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Routes Statiques Flottantes (Cisco)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&lt;réseau&gt; &lt;masque&gt; &lt;passerelle&gt; &lt;distance_administrative&gt;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 une route statique avec une distance administrative personnalisée. Plus la valeur est élevée, moins la route est prioritaire.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Exemple : ip route 192.168.1.0 255.255.255.0 100.10.10.1 1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 principale : distance administrative 1 (priorité haute, utilisée en premier)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Exemple : ip route 192.168.1.0 255.255.255.0 200.20.20.1 5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 flottante : distance administrative 5 (utilisée uniquement si la route principale est indisponible)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la table de routage. La route flottante n'apparaît que si la route principale est inactive.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Distance admin route statique = 1 (par défaut)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Une route statique normale a une distance de 1. La route flottante doit avoir une valeur supérieure.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Distance admin RIP = 120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routes RIP ont une distance de 120 – moins fiables que les routes statiques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Distance admin OSPF = 110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routes OSPF ont une distance de 110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Utilité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route flottante sert de chemin de secours automatique : si l'interface principale tombe, le routeur bascule sur la route flottante sans intervention manuelle.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2026-04-21T06:49:09.541Z</dcterms:created>
  <dcterms:modified xsi:type="dcterms:W3CDTF">2026-04-21T06:49:09.541Z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