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rPr>
          <w:rtl w:val="0"/>
        </w:rPr>
      </w:pPr>
      <w:r>
        <w:rPr>
          <w:rFonts w:ascii="Helvetica" w:cs="Arial Unicode MS" w:hAnsi="Arial Unicode MS" w:eastAsia="Arial Unicode MS"/>
          <w:rtl w:val="0"/>
          <w:lang w:val="en-US"/>
        </w:rPr>
        <w:t>Readme</w:t>
      </w:r>
    </w:p>
    <w:p>
      <w:pPr>
        <w:pStyle w:val="def"/>
        <w:spacing w:line="288" w:lineRule="auto"/>
      </w:pPr>
      <w:r>
        <w:rPr>
          <w:rtl w:val="0"/>
          <w:lang w:val="en-US"/>
        </w:rPr>
        <w:t>Text file used for project info. Readme files contain project descriptions and are displayed on the main page of the project repo. These are plain text files although Github supports its own version of Markdown as well.</w:t>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