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Azrieli College of Engineering Jerusalem</w:t>
      </w:r>
    </w:p>
    <w:p>
      <w:pPr>
        <w:spacing w:after="40"/>
        <w:jc w:val="center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Department of Industrial Engineering and Management — Final Project, Knowledge Discovery and Machine Learning</w:t>
      </w:r>
    </w:p>
    <w:p>
      <w:pPr>
        <w:spacing w:after="40" w:before="12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AutoGuard AI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Machine Learning System for Insurance Claim Risk Prediction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Submitted by: Noam Eitam · Shirel Nir · Abanau (Nati) Workneh · Avishai Goss · Oz Ofir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Submitted to: Dr. Roni Horowitz  |  Date: August 17, 2026</w:t>
      </w:r>
    </w:p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 Introduction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Manual review of every insurance application does not scale and introduces reviewer-to-reviewer inconsistency. AutoGuard AI addresses this by learning to estimate the probability that a policyholder will file a claim, so low-risk applications can be processed automatically while higher-risk applications are routed to human review. This report summarizes the complete, reproducible pipeline behind the production model — from the source dataset through model comparison, threshold selection, and the business case for deployment. This is decision support, not automated adjudication: significant underwriting consequences still require human review.</w:t>
      </w:r>
    </w:p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 Dataset and Problem Definition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>The project uses a single authoritative dataset, Car_Insurance_Claim_50000_FINAL.csv, containing 50,000 policyholder records with 19 raw columns. CREDIT_SCORE and ANNUAL_MILEAGE contain missing values (each under 10%). CREDIT_SCORE is excluded during feature selection, while missing ANNUAL_MILEAGE values used by the final model are handled through median imputation within the preprocessing pipeline; ID values are unique with no fully duplicated rows; 155 rows share an identical feature profile under a different unique ID and are retained as distinct records.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Target variable: OUTCOME — binary (1 = claim filed, 0 = not filed), imbalanced (~30% positive), so every model is judged on Accuracy, Precision, Recall, F1 and ROC-AUC together, not Accuracy alone.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Selected features (all already collected on the production intake form): AGE, DRIVING_EXPERIENCE, PAST_ACCIDENTS, SPEEDING_VIOLATIONS, DUIS, ANNUAL_MILEAGE, VEHICLE_OWNERSHIP, VEHICLE_YEAR. Excluded: identifiers (ID, POSTAL_CODE — a geographic proxy for protected characteristics); demographic/protected attributes (GENDER, RACE, MARRIED, CHILDREN) on fairness grounds; EDUCATION, INCOME and CREDIT_SCORE as coarse or partially-missing proxies overlapping with protected attributes; and VEHICLE_TYPE, since over 95% of records share one value.</w:t>
      </w:r>
    </w:p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 Data Preparation and Exploratory Data Analysis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Missing values, duplicate rows and dtype consistency were verified directly from the dataset. The Train / Validation / Test split uses a stratified, content-fingerprint-grouped method so no row with identical attribute content appears in more than one partition. All preprocessing (encoding, imputation, scaling) is fit on Train only.</w:t>
      </w:r>
    </w:p>
    <w:tbl>
      <w:tblPr>
        <w:tblW w:type="dxa" w:w="6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Partition</w:t>
            </w:r>
          </w:p>
        </w:tc>
        <w:tc>
          <w:tcPr>
            <w:tcW w:type="dxa" w:w="3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Rows</w:t>
            </w:r>
          </w:p>
        </w:tc>
      </w:tr>
      <w:tr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Train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31,999</w:t>
            </w:r>
          </w:p>
        </w:tc>
      </w:tr>
      <w:tr>
        <w:tc>
          <w:tcPr>
            <w:tcW w:type="dxa" w:w="3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Validation</w:t>
            </w:r>
          </w:p>
        </w:tc>
        <w:tc>
          <w:tcPr>
            <w:tcW w:type="dxa" w:w="3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8,000</w:t>
            </w:r>
          </w:p>
        </w:tc>
      </w:tr>
      <w:tr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10,001</w:t>
            </w:r>
          </w:p>
        </w:tc>
      </w:tr>
      <w:tr>
        <w:tc>
          <w:tcPr>
            <w:tcW w:type="dxa" w:w="3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Total</w:t>
            </w:r>
          </w:p>
        </w:tc>
        <w:tc>
          <w:tcPr>
            <w:tcW w:type="dxa" w:w="32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50,000</w:t>
            </w:r>
          </w:p>
        </w:tc>
      </w:tr>
    </w:tbl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Table 1. Train / Validation / Test partition sizes.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Claim rate falls sharply as age and driving experience rise, is higher for drivers who do not own their vehicle, and is higher for older vehicles — four strong, business-plausible signals anchoring the final feature set. Correlation analysis shows PAST_ACCIDENTS, DUIS and SPEEDING_VIOLATIONS correlating most positively with OUTCOME and VEHICLE_OWNERSHIP correlating negatively, with no strongly collinear predictor pairs.</w:t>
      </w:r>
    </w:p>
    <w:p>
      <w:pPr>
        <w:spacing w:after="80"/>
        <w:jc w:val="center"/>
      </w:pPr>
      <w:r>
        <w:drawing>
          <wp:inline distT="0" distB="0" distL="0" distR="0">
            <wp:extent cx="36195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Figure 1. Claim rate against four of the selected features.</w:t>
      </w:r>
    </w:p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 Model Development and Comparison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Six candidates were trained on Train and evaluated on Validation with an identical metric set: a majority-class Baseline; Logistic Regression; Random Forest (300 trees); and three PyTorch networks — A (Dense 64 → ReLU), B (Dense 128 → 64, ReLU) and C (Dense 128 → 64 with LeakyReLU and Dropout 0.30).</w:t>
      </w:r>
    </w:p>
    <w:tbl>
      <w:tblPr>
        <w:tblW w:type="dxa" w:w="8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30"/>
        <w:gridCol w:w="1130"/>
        <w:gridCol w:w="1130"/>
        <w:gridCol w:w="1000"/>
        <w:gridCol w:w="113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13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Accuracy</w:t>
            </w:r>
          </w:p>
        </w:tc>
        <w:tc>
          <w:tcPr>
            <w:tcW w:type="dxa" w:w="113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13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F1</w:t>
            </w:r>
          </w:p>
        </w:tc>
        <w:tc>
          <w:tcPr>
            <w:tcW w:type="dxa" w:w="113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ROC-AUC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Random Forest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0.8549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0.7460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0.8141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0.7786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0.9324</w:t>
            </w:r>
          </w:p>
        </w:tc>
      </w:tr>
      <w:tr>
        <w:tc>
          <w:tcPr>
            <w:tcW w:type="dxa" w:w="2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Neural Net B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0.8294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0.7033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0.7878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0.7432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0.9025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Neural Net C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0.8304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0.7002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0.8022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0.7477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0.8979</w:t>
            </w:r>
          </w:p>
        </w:tc>
      </w:tr>
      <w:tr>
        <w:tc>
          <w:tcPr>
            <w:tcW w:type="dxa" w:w="2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Neural Net A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0.8304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0.7085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0.7794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0.7423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0.8960</w:t>
            </w:r>
          </w:p>
        </w:tc>
      </w:tr>
      <w:tr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Logistic Regression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0.8273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0.7083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0.7631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0.7346</w:t>
            </w:r>
          </w:p>
        </w:tc>
        <w:tc>
          <w:tcPr>
            <w:tcW w:type="dxa" w:w="113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0.8932</w:t>
            </w:r>
          </w:p>
        </w:tc>
      </w:tr>
      <w:tr>
        <w:tc>
          <w:tcPr>
            <w:tcW w:type="dxa" w:w="2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Baseline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0.6866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0.0000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0.0000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0.0000</w:t>
            </w:r>
          </w:p>
        </w:tc>
        <w:tc>
          <w:tcPr>
            <w:tcW w:type="dxa" w:w="113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0.5000</w:t>
            </w:r>
          </w:p>
        </w:tc>
      </w:tr>
    </w:tbl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Table 2. Validation-set performance for all six candidates, sorted by ROC-AUC.</w:t>
      </w:r>
    </w:p>
    <w:p>
      <w:pPr>
        <w:spacing w:after="80"/>
        <w:jc w:val="center"/>
      </w:pPr>
      <w:r>
        <w:drawing>
          <wp:inline distT="0" distB="0" distL="0" distR="0">
            <wp:extent cx="30480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Figure 2. Validation ROC-AUC by model.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Random Forest achieved the strongest discrimination performance among all six candidates and was selected as the final model.</w:t>
      </w:r>
    </w:p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5. Final Model and Results</w:t>
      </w:r>
    </w:p>
    <w:p>
      <w:pPr>
        <w:pStyle w:val="Heading2"/>
        <w:spacing w:after="80" w:before="140"/>
      </w:pPr>
      <w:r>
        <w:rPr>
          <w:rFonts w:ascii="Calibri" w:cs="Calibri" w:eastAsia="Calibri" w:hAnsi="Calibri"/>
          <w:b/>
          <w:bCs/>
          <w:color w:val="2E5395"/>
          <w:sz w:val="22"/>
          <w:szCs w:val="22"/>
        </w:rPr>
        <w:t xml:space="preserve">5.1 Selection and Threshold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>Selection rule: highest Validation ROC-AUC, with F1 breaking ties — selected once, before Test is touched. Random Forest achieved the highest Validation ROC-AUC (0.9324) and was refit on Train + Validation before the single Test evaluation. The ML decision threshold — selected on Validation by sweeping candidate thresholds from 0.05 to 0.95 and maximizing F1 — is 0.35. This answers a purely statistical question, independent of dollar figures; a separate business/economic threshold is derived in Section 6.</w:t>
      </w:r>
    </w:p>
    <w:p>
      <w:pPr>
        <w:pStyle w:val="Heading2"/>
        <w:spacing w:after="80" w:before="140"/>
      </w:pPr>
      <w:r>
        <w:rPr>
          <w:rFonts w:ascii="Calibri" w:cs="Calibri" w:eastAsia="Calibri" w:hAnsi="Calibri"/>
          <w:b/>
          <w:bCs/>
          <w:color w:val="2E5395"/>
          <w:sz w:val="22"/>
          <w:szCs w:val="22"/>
        </w:rPr>
        <w:t xml:space="preserve">5.2 Test Performance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The Test partition (10,001 records) was untouched until this point and is scored exactly once, at the ML threshold (0.35).</w:t>
      </w:r>
    </w:p>
    <w:tbl>
      <w:tblPr>
        <w:tblW w:type="dxa" w:w="8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312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2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result</w:t>
            </w:r>
          </w:p>
        </w:tc>
        <w:tc>
          <w:tcPr>
            <w:tcW w:type="dxa" w:w="31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95% CI</w:t>
            </w:r>
          </w:p>
        </w:tc>
      </w:tr>
      <w:tr>
        <w:tc>
          <w:tcPr>
            <w:tcW w:type="dxa" w:w="2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Accuracy</w:t>
            </w:r>
          </w:p>
        </w:tc>
        <w:tc>
          <w:tcPr>
            <w:tcW w:type="dxa" w:w="2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0.8546</w:t>
            </w:r>
          </w:p>
        </w:tc>
        <w:tc>
          <w:tcPr>
            <w:tcW w:type="dxa" w:w="31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[0.8476, 0.8616]</w:t>
            </w:r>
          </w:p>
        </w:tc>
      </w:tr>
      <w:tr>
        <w:tc>
          <w:tcPr>
            <w:tcW w:type="dxa" w:w="25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Precision</w:t>
            </w:r>
          </w:p>
        </w:tc>
        <w:tc>
          <w:tcPr>
            <w:tcW w:type="dxa" w:w="25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0.7131</w:t>
            </w:r>
          </w:p>
        </w:tc>
        <w:tc>
          <w:tcPr>
            <w:tcW w:type="dxa" w:w="312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[0.6988, 0.7271]</w:t>
            </w:r>
          </w:p>
        </w:tc>
      </w:tr>
      <w:tr>
        <w:tc>
          <w:tcPr>
            <w:tcW w:type="dxa" w:w="2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Recall</w:t>
            </w:r>
          </w:p>
        </w:tc>
        <w:tc>
          <w:tcPr>
            <w:tcW w:type="dxa" w:w="2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0.8966</w:t>
            </w:r>
          </w:p>
        </w:tc>
        <w:tc>
          <w:tcPr>
            <w:tcW w:type="dxa" w:w="31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[0.8868, 0.9077]</w:t>
            </w:r>
          </w:p>
        </w:tc>
      </w:tr>
      <w:tr>
        <w:tc>
          <w:tcPr>
            <w:tcW w:type="dxa" w:w="25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25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0.7944</w:t>
            </w:r>
          </w:p>
        </w:tc>
        <w:tc>
          <w:tcPr>
            <w:tcW w:type="dxa" w:w="312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[0.7845, 0.8054]</w:t>
            </w:r>
          </w:p>
        </w:tc>
      </w:tr>
      <w:tr>
        <w:tc>
          <w:tcPr>
            <w:tcW w:type="dxa" w:w="2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ROC-AUC</w:t>
            </w:r>
          </w:p>
        </w:tc>
        <w:tc>
          <w:tcPr>
            <w:tcW w:type="dxa" w:w="2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0.9350</w:t>
            </w:r>
          </w:p>
        </w:tc>
        <w:tc>
          <w:tcPr>
            <w:tcW w:type="dxa" w:w="31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[0.9304, 0.9394]</w:t>
            </w:r>
          </w:p>
        </w:tc>
      </w:tr>
      <w:tr>
        <w:tc>
          <w:tcPr>
            <w:tcW w:type="dxa" w:w="25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PR-AUC</w:t>
            </w:r>
          </w:p>
        </w:tc>
        <w:tc>
          <w:tcPr>
            <w:tcW w:type="dxa" w:w="25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0.8562</w:t>
            </w:r>
          </w:p>
        </w:tc>
        <w:tc>
          <w:tcPr>
            <w:tcW w:type="dxa" w:w="312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[0.8450, 0.8682]</w:t>
            </w:r>
          </w:p>
        </w:tc>
      </w:tr>
    </w:tbl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Table 3. Final Test results (Random Forest, threshold = 0.35) with 95% bootstrap confidence intervals (1,000 resamples).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Confusion matrix at threshold 0.35 (n = 10,001): 5,738 true negatives, 1,130 false positives, 324 false negatives, 2,809 true positives.</w:t>
      </w:r>
    </w:p>
    <w:p>
      <w:pPr>
        <w:spacing w:after="8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Figure 3. Test confusion matrix, threshold = 0.35.</w:t>
      </w:r>
    </w:p>
    <w:p>
      <w:pPr>
        <w:pStyle w:val="Heading2"/>
        <w:spacing w:after="80" w:before="140"/>
      </w:pPr>
      <w:r>
        <w:rPr>
          <w:rFonts w:ascii="Calibri" w:cs="Calibri" w:eastAsia="Calibri" w:hAnsi="Calibri"/>
          <w:b/>
          <w:bCs/>
          <w:color w:val="2E5395"/>
          <w:sz w:val="22"/>
          <w:szCs w:val="22"/>
        </w:rPr>
        <w:t xml:space="preserve">5.3 Feature Importance and Error Analysis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Permutation importance, computed on the final fitted pipeline against Test, measures the mean drop in ROC-AUC when a feature's values are shuffled. This is an association measured on held-out data, not a causal claim.</w:t>
      </w:r>
    </w:p>
    <w:tbl>
      <w:tblPr>
        <w:tblW w:type="dxa" w:w="6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Feature</w:t>
            </w:r>
          </w:p>
        </w:tc>
        <w:tc>
          <w:tcPr>
            <w:tcW w:type="dxa" w:w="28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 ROC-AUC drop</w:t>
            </w:r>
          </w:p>
        </w:tc>
      </w:tr>
      <w:tr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DRIVING_EXPERIENCE</w:t>
            </w:r>
          </w:p>
        </w:tc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0.1303</w:t>
            </w:r>
          </w:p>
        </w:tc>
      </w:tr>
      <w:tr>
        <w:tc>
          <w:tcPr>
            <w:tcW w:type="dxa" w:w="3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VEHICLE_OWNERSHIP</w:t>
            </w:r>
          </w:p>
        </w:tc>
        <w:tc>
          <w:tcPr>
            <w:tcW w:type="dxa" w:w="2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0.0799</w:t>
            </w:r>
          </w:p>
        </w:tc>
      </w:tr>
      <w:tr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VEHICLE_YEAR</w:t>
            </w:r>
          </w:p>
        </w:tc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0.0705</w:t>
            </w:r>
          </w:p>
        </w:tc>
      </w:tr>
      <w:tr>
        <w:tc>
          <w:tcPr>
            <w:tcW w:type="dxa" w:w="3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ANNUAL_MILEAGE</w:t>
            </w:r>
          </w:p>
        </w:tc>
        <w:tc>
          <w:tcPr>
            <w:tcW w:type="dxa" w:w="2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0.0613</w:t>
            </w:r>
          </w:p>
        </w:tc>
      </w:tr>
      <w:tr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SPEEDING_VIOLATIONS</w:t>
            </w:r>
          </w:p>
        </w:tc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0.0590</w:t>
            </w:r>
          </w:p>
        </w:tc>
      </w:tr>
      <w:tr>
        <w:tc>
          <w:tcPr>
            <w:tcW w:type="dxa" w:w="3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AGE</w:t>
            </w:r>
          </w:p>
        </w:tc>
        <w:tc>
          <w:tcPr>
            <w:tcW w:type="dxa" w:w="2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0.0543</w:t>
            </w:r>
          </w:p>
        </w:tc>
      </w:tr>
      <w:tr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PAST_ACCIDENTS</w:t>
            </w:r>
          </w:p>
        </w:tc>
        <w:tc>
          <w:tcPr>
            <w:tcW w:type="dxa" w:w="28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0.0448</w:t>
            </w:r>
          </w:p>
        </w:tc>
      </w:tr>
      <w:tr>
        <w:tc>
          <w:tcPr>
            <w:tcW w:type="dxa" w:w="36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DUIS</w:t>
            </w:r>
          </w:p>
        </w:tc>
        <w:tc>
          <w:tcPr>
            <w:tcW w:type="dxa" w:w="2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0.0212</w:t>
            </w:r>
          </w:p>
        </w:tc>
      </w:tr>
    </w:tbl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Table 4. Permutation feature importance, sorted by impact.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DRIVING_EXPERIENCE is the most influential feature, followed by VEHICLE_OWNERSHIP and VEHICLE_YEAR — consistent with how underwriters already reason about risk.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>At the ML threshold, the model produced 1,130 false positives (low-risk drivers flagged unnecessarily) and 324 false negatives (claimants missed) out of 10,001 Test records. A false negative — an unpriced claim payout — is typically the costlier mistake, which is why the business threshold (Section 6) is set lower than the ML threshold.</w:t>
      </w:r>
    </w:p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 Business Value and ROI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The business/economic threshold reflects an operational decision, not a statistical one: the economic model sweeps the same Validation probabilities through a cost model and picks the threshold maximizing expected annual net benefit in dollars — 0.1, the threshold actually enforced in production. Because a missed claimant costs far more than an unnecessary review, this policy accepts more false positives for fewer false negatives: at 0.1 the model produces 73 false negatives on Test (vs. 324 at 0.35), at the cost of 1,984 false positives (vs. 1,130).</w:t>
      </w:r>
    </w:p>
    <w:tbl>
      <w:tblPr>
        <w:tblW w:type="dxa" w:w="9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50"/>
        <w:gridCol w:w="1300"/>
        <w:gridCol w:w="1450"/>
        <w:gridCol w:w="1400"/>
        <w:gridCol w:w="165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Scenario</w:t>
            </w:r>
          </w:p>
        </w:tc>
        <w:tc>
          <w:tcPr>
            <w:tcW w:type="dxa" w:w="145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Annual apps.</w:t>
            </w:r>
          </w:p>
        </w:tc>
        <w:tc>
          <w:tcPr>
            <w:tcW w:type="dxa" w:w="13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Year-1 ROI</w:t>
            </w:r>
          </w:p>
        </w:tc>
        <w:tc>
          <w:tcPr>
            <w:tcW w:type="dxa" w:w="145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Recurring ROI</w:t>
            </w:r>
          </w:p>
        </w:tc>
        <w:tc>
          <w:tcPr>
            <w:tcW w:type="dxa" w:w="14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Payback (mo.)</w:t>
            </w:r>
          </w:p>
        </w:tc>
        <w:tc>
          <w:tcPr>
            <w:tcW w:type="dxa" w:w="165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Annual net benefit</w:t>
            </w:r>
          </w:p>
        </w:tc>
      </w:tr>
      <w:tr>
        <w:tc>
          <w:tcPr>
            <w:tcW w:type="dxa" w:w="2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45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8,000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-75.16%</w:t>
            </w:r>
          </w:p>
        </w:tc>
        <w:tc>
          <w:tcPr>
            <w:tcW w:type="dxa" w:w="145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17.52%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48.3</w:t>
            </w:r>
          </w:p>
        </w:tc>
        <w:tc>
          <w:tcPr>
            <w:tcW w:type="dxa" w:w="165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$19,873</w:t>
            </w:r>
          </w:p>
        </w:tc>
      </w:tr>
      <w:tr>
        <w:tc>
          <w:tcPr>
            <w:tcW w:type="dxa" w:w="20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Expected</w:t>
            </w:r>
          </w:p>
        </w:tc>
        <w:tc>
          <w:tcPr>
            <w:tcW w:type="dxa" w:w="145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12,000</w:t>
            </w:r>
          </w:p>
        </w:tc>
        <w:tc>
          <w:tcPr>
            <w:tcW w:type="dxa" w:w="13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18.80%</w:t>
            </w:r>
          </w:p>
        </w:tc>
        <w:tc>
          <w:tcPr>
            <w:tcW w:type="dxa" w:w="145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65.56%</w:t>
            </w:r>
          </w:p>
        </w:tc>
        <w:tc>
          <w:tcPr>
            <w:tcW w:type="dxa" w:w="14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10.1</w:t>
            </w:r>
          </w:p>
        </w:tc>
        <w:tc>
          <w:tcPr>
            <w:tcW w:type="dxa" w:w="165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$71,277</w:t>
            </w:r>
          </w:p>
        </w:tc>
      </w:tr>
      <w:tr>
        <w:tc>
          <w:tcPr>
            <w:tcW w:type="dxa" w:w="2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Optimistic</w:t>
            </w:r>
          </w:p>
        </w:tc>
        <w:tc>
          <w:tcPr>
            <w:tcW w:type="dxa" w:w="145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18,000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180.30%</w:t>
            </w:r>
          </w:p>
        </w:tc>
        <w:tc>
          <w:tcPr>
            <w:tcW w:type="dxa" w:w="145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110.78%</w:t>
            </w:r>
          </w:p>
        </w:tc>
        <w:tc>
          <w:tcPr>
            <w:tcW w:type="dxa" w:w="1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4.3</w:t>
            </w:r>
          </w:p>
        </w:tc>
        <w:tc>
          <w:tcPr>
            <w:tcW w:type="dxa" w:w="165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$126,135</w:t>
            </w:r>
          </w:p>
        </w:tc>
      </w:tr>
    </w:tbl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Table 5. ROI by scenario, business threshold = 0.1. The economic model is a transparent scenario model, not proprietary insurer financial data.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Under Expected-scenario assumptions (12,000 annual applications, $60,000 implementation cost, $18,000/year maintenance), automation reaches 49.21% of applications for a projected Year-1 ROI of 18.80% and payback in 10.1 months. Evaluated once on the untouched Test set, the observed Year-1 ROI is 6.88% — lower than the Expected projection because Test applies Expected-scenario cost assumptions to the actually observed confusion matrix. These are scenario estimates, not promised savings.</w:t>
      </w:r>
    </w:p>
    <w:p>
      <w:pPr>
        <w:spacing w:after="80"/>
        <w:jc w:val="center"/>
      </w:pPr>
      <w:r>
        <w:drawing>
          <wp:inline distT="0" distB="0" distL="0" distR="0">
            <wp:extent cx="3048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Figure 5. Expected annual net benefit vs. threshold, with the ML threshold (0.35) and business threshold (0.1) marked.</w:t>
      </w:r>
    </w:p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7. System Interfaces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>The same artifact, 01_ML_Model/model_v2.pkl, is the single source of truth for every serving surface — no separate model is trained for demo versus production use. A standalone Gradio interface (05_Gradio_Interface/gradio_app.py) is an inference-only demo that loads the pipeline via joblib, never calls .fit(), and displays headline metrics read directly from model_v2_metadata.json. The production web interface pairs a FastAPI backend (06_Production_Interface/backend/, exposing /api/v2/quick-predict and /api/v2/health) with a web frontend, integrating a live vehicle-registry lookup and applying the Section 6 business policy to produce an operational recommendation alongside the raw claim probability.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600"/>
      </w:tblGrid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00250" cy="1409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0025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Figure 6. Gradio demo interface (left) and production web interface (right).</w:t>
      </w:r>
    </w:p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8. Conclusion</w:t>
      </w:r>
    </w:p>
    <w:p>
      <w:pPr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AutoGuard AI's production model is Random Forest, selected on Validation ROC-AUC among six candidates including a documented baseline and three PyTorch architectures. It reaches a final, one-time Test ROC-AUC of 0.9350 (95% CI [0.9304, 0.9394]) at its statistically selected ML threshold of 0.35. In production, a separately derived, ROI-optimized business threshold of 0.1 governs the actual automate-vs-review decision, projected to deliver a positive Year-1 ROI with sub-year payback under Expected-case assumptions. Every number in this report traces back to the notebook's own artifacts and can be reproduced by re-running 01_ML_Model/AutoGuard_AI_Final_ML_Pipeline.ipynb end to end.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5f64e0ffa0e486543d8fbcb243c211fc69a2a87.png"/><Relationship Id="rId8" Type="http://schemas.openxmlformats.org/officeDocument/2006/relationships/image" Target="media/07b795f42f96b9ae583fc43bda7b5820249d1e79.png"/><Relationship Id="rId9" Type="http://schemas.openxmlformats.org/officeDocument/2006/relationships/image" Target="media/876ff1bf267a85d2c7948cd143f2e595a2d91d98.png"/><Relationship Id="rId10" Type="http://schemas.openxmlformats.org/officeDocument/2006/relationships/image" Target="media/a4e81b0a7b2b21fcfbbc375901b743ff91654b1b.png"/><Relationship Id="rId11" Type="http://schemas.openxmlformats.org/officeDocument/2006/relationships/image" Target="media/bdcd402baaf24e3947de1f7cb29030707c670172.png"/><Relationship Id="rId12" Type="http://schemas.openxmlformats.org/officeDocument/2006/relationships/image" Target="media/26303df6e802c736752d9e582bf12f216758cea9.png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2026-08-17T14:32:20.100Z</dcterms:created>
  <dcterms:modified xsi:type="dcterms:W3CDTF">2026-08-17T14:32:20.112Z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