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do prontuário para medicina de família</w:t>
      </w:r>
    </w:p>
    <w:p>
      <w:pPr>
        <w:pStyle w:val="Subtitle"/>
      </w:pPr>
      <w:r>
        <w:t>Módulo de cuidado da pessoa idosa integrado ao Prontuário Aprimorado</w:t>
      </w:r>
    </w:p>
    <w:p>
      <w:r>
        <w:t>Especificação funcional e técnica para engenharia de software | Versão 1.3 | 8 de outubro de 2026</w:t>
      </w:r>
    </w:p>
    <w:p>
      <w:r>
        <w:t>Product owner: Dra. Natalia Mendes. Destinatário: engenheiro de software responsável pelo projeto.</w:t>
      </w:r>
    </w:p>
    <w:p>
      <w:pPr>
        <w:pStyle w:val="Heading2"/>
      </w:pPr>
      <w:r>
        <w:t>Decisão e objetivo</w:t>
      </w:r>
    </w:p>
    <w:p>
      <w:r>
        <w:t>O projeto foi autorizado pela product owner. A primeira versão deverá orientar a avaliação da pessoa idosa por perguntas rápidas, aprofundamentos condicionais e um plano de cuidado com responsável e prazo. Este documento constitui a base para planejamento, implementação e homologação clínica e funcional.</w:t>
      </w:r>
    </w:p>
    <w:p>
      <w:r>
        <w:t>A regra cognitiva final aprovada é: sem diagnóstico prévio de demência, aplicar 10-CS e aprofundar com MEEM quando indicado; com demência já diagnosticada, aplicar FAST. O MoCA não integra o percurso padrão desta versão.</w:t>
      </w:r>
    </w:p>
    <w:p>
      <w:pPr>
        <w:pStyle w:val="Heading2"/>
      </w:pPr>
      <w:r>
        <w:t>Escopo da primeira versão</w:t>
      </w:r>
    </w:p>
    <w:p>
      <w:pPr>
        <w:pStyle w:val="ListBullet"/>
      </w:pPr>
      <w:r>
        <w:t>Avaliação inicial e retorno centrados na consulta, com cognição, funcionalidade, humor, locomoção, fragilidade e nutrição.</w:t>
      </w:r>
      <w:r>
        <w:t xml:space="preserve"> Incluir rastreio de quedas e STOPPFall na revisão medicamentosa.</w:t>
      </w:r>
    </w:p>
    <w:p>
      <w:pPr>
        <w:pStyle w:val="ListBullet"/>
      </w:pPr>
      <w:r>
        <w:t>Rastreio de disfagia apenas quando houver queixa do paciente ou cuidador; avaliação de necessidades paliativas e PPS quando indicada.</w:t>
      </w:r>
    </w:p>
    <w:p>
      <w:pPr>
        <w:pStyle w:val="ListBullet"/>
      </w:pPr>
      <w:r>
        <w:t>Salvamento por paciente e consulta, histórico longitudinal, evolução clínica, relatório para paciente e família e plano de cuidado.</w:t>
      </w:r>
    </w:p>
    <w:p>
      <w:pPr>
        <w:pStyle w:val="ListBullet"/>
      </w:pPr>
      <w:r>
        <w:t>Integração com cadastro, medicamentos, problemas, exames, prevenção e permissões já existentes.</w:t>
      </w:r>
      <w:r>
        <w:t xml:space="preserve"> Incluir visão, audição, carga de doenças, polifarmácia e internação recente; aplicar LACE no percurso pós-internação.</w:t>
      </w:r>
    </w:p>
    <w:p>
      <w:pPr>
        <w:pStyle w:val="Heading2"/>
      </w:pPr>
      <w:r>
        <w:t>Limites de escopo</w:t>
      </w:r>
    </w:p>
    <w:p>
      <w:r>
        <w:t>O módulo inicial é voltado ao cuidado da pessoa idosa. Não representa a cobertura de todas as faixas etárias ou de todas as condições da medicina de família. Oncogeriatria, calculadora alimentar e Programa 55+ permanecem como módulos existentes; mudanças em suas regras não fazem parte desta especificação.</w:t>
      </w:r>
    </w:p>
    <w:p>
      <w:pPr>
        <w:pStyle w:val="Heading2"/>
      </w:pPr>
      <w:r>
        <w:t>Responsabilidades</w:t>
      </w:r>
    </w:p>
    <w:p>
      <w:r>
        <w:t>A product owner valida conteúdo clínico, versões dos instrumentos e homologação. Engenharia define a solução no repositório existente, documenta decisões técnicas, implementa e demonstra os critérios de aceite. A equipe piloto avalia tempo de uso, clareza e adequação à consulta.</w:t>
      </w:r>
    </w:p>
    <w:p>
      <w:r>
        <w:br w:type="page"/>
      </w:r>
    </w:p>
    <w:p>
      <w:pPr>
        <w:pStyle w:val="Heading1"/>
      </w:pPr>
      <w:r>
        <w:t>1 Fluxo da consulta</w:t>
      </w:r>
    </w:p>
    <w:p>
      <w:r>
        <w:t>A demanda principal e o objetivo do paciente antecedem as escalas. Uma intercorrência aguda permite priorizar o atendimento e deixar avaliações pendentes, sem transformar dados ausentes em resultados normais.</w:t>
      </w:r>
    </w:p>
    <w:p>
      <w:r>
        <w:drawing>
          <wp:inline xmlns:a="http://schemas.openxmlformats.org/drawingml/2006/main" xmlns:pic="http://schemas.openxmlformats.org/drawingml/2006/picture">
            <wp:extent cx="5852160" cy="4406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consul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06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Abertura e fechamento</w:t>
      </w:r>
    </w:p>
    <w:p>
      <w:r>
        <w:t>Na abertura: tipo de consulta, principal preocupação, objetivo do paciente, informante e eventos recentes. No fechamento: revisar achados, confirmar condutas, definir responsável e prazo e finalizar a consulta com confirmação explícita de salvamento.</w:t>
      </w:r>
    </w:p>
    <w:p>
      <w:r>
        <w:t>Domínios essenciais: 10-CS ou FAST conforme diagnóstico; Katz e Lawton; GDS-5; mobilidade, SARC-CalF e cinco levantadas; FRAIL-BR; MNA-SF; quedas e STOPPFall. A ordem pode ser ajustada pelo médico sem perder respostas.</w:t>
      </w:r>
    </w:p>
    <w:p>
      <w:r>
        <w:br w:type="page"/>
      </w:r>
    </w:p>
    <w:p>
      <w:pPr>
        <w:pStyle w:val="Heading1"/>
      </w:pPr>
      <w:r>
        <w:t>2 Percurso cognitivo aprovado</w:t>
      </w:r>
    </w:p>
    <w:p>
      <w:r>
        <w:drawing>
          <wp:inline xmlns:a="http://schemas.openxmlformats.org/drawingml/2006/main" xmlns:pic="http://schemas.openxmlformats.org/drawingml/2006/picture">
            <wp:extent cx="5623560" cy="42344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cogn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3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Regras de apresentação e interpretação</w:t>
      </w:r>
    </w:p>
    <w:p>
      <w:r>
        <w:t>Escolaridade, informante, instrumento, versão e condições de aplicação acompanham o resultado. O resultado do 10-CS é rastreio; o MEEM apoia o aprofundamento e não confirma demência automaticamente. Uma suspeita clínica persistente permite abrir o MEEM mesmo sem rastreio alterado.</w:t>
      </w:r>
    </w:p>
    <w:p>
      <w:r>
        <w:t>FAST: armazenar o código do estágio como texto e preservar os subestágios, por exemplo 6A e 7E. Não converter 7E em 7.4, não tratar o estágio como número decimal e não inferir estágio a partir de MEEM, Katz ou Lawton. Registrar confirmação médica e contexto de perdas funcionais por outras causas. [1–3]</w:t>
      </w:r>
    </w:p>
    <w:p>
      <w:r>
        <w:t>O FAST tem origem no estadiamento funcional da doença de Alzheimer. Em outras etiologias, o médico deve considerar a adequação e registrar limitações; o software não determina etiologia ou diagnóstico a partir do estágio. [2–3]</w:t>
      </w:r>
    </w:p>
    <w:p>
      <w:r>
        <w:br w:type="page"/>
      </w:r>
    </w:p>
    <w:p>
      <w:pPr>
        <w:pStyle w:val="Heading1"/>
      </w:pPr>
      <w:r>
        <w:t>3 Contrato clínico dos instrumentos</w:t>
      </w:r>
    </w:p>
    <w:p>
      <w:r>
        <w:t>Cada escala deverá ter um contrato versionado com fonte, idioma, itens, opções, pontuação, ajustes, interpretação, condições de aplicação e exemplos de referência. Versões e pontos de corte não poderão ser alterados silenciosamente.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248"/>
      </w:tblGrid>
      <w:tr>
        <w:trPr>
          <w:cantSplit/>
          <w:tblHeader/>
        </w:trPr>
        <w:tc>
          <w:tcPr>
            <w:tcW w:type="dxa" w:w="1440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Instrumento</w:t>
            </w:r>
          </w:p>
        </w:tc>
        <w:tc>
          <w:tcPr>
            <w:tcW w:type="dxa" w:w="4392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Regra de implementação</w:t>
            </w:r>
          </w:p>
        </w:tc>
        <w:tc>
          <w:tcPr>
            <w:tcW w:type="dxa" w:w="4248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Validação necessária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10-CS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Rastreio inicial sem demência diagnosticada; abrir MEEM se alterado ou suspeita persistente.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Congelar versão brasileira, ajuste por escolaridade e corte com a product owner antes de programar classificação.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MEEM</w:t>
            </w:r>
          </w:p>
        </w:tc>
        <w:tc>
          <w:tcPr>
            <w:tcW w:type="dxa" w:w="439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Aprofundar avaliação cognitiva; integrar história e impacto funcional.</w:t>
            </w:r>
          </w:p>
        </w:tc>
        <w:tc>
          <w:tcPr>
            <w:tcW w:type="dxa" w:w="42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Registrar escolaridade; reutilizar apenas regras existentes efetivamente validadas. Não rotular diagnóstico automaticamente.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FAST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Estadiamento funcional em demência diagnosticada; selecionar estágio e subestágio.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Preservar códigos e descrições oficiais; confirmação médica e contexto clínico.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Katz</w:t>
            </w:r>
          </w:p>
        </w:tc>
        <w:tc>
          <w:tcPr>
            <w:tcW w:type="dxa" w:w="439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Avaliar atividades básicas e necessidades de ajuda por item.</w:t>
            </w:r>
          </w:p>
        </w:tc>
        <w:tc>
          <w:tcPr>
            <w:tcW w:type="dxa" w:w="42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Definir versão e sentido do escore. Não converter a série de Barthel em Katz.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Lawton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Avaliar atividades instrumentais e ajuda necessária.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Fixar versão, quantidade de itens e faixa de pontuação; distinguir tarefa não realizada por hábito de incapacidade.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GDS-5</w:t>
            </w:r>
          </w:p>
        </w:tc>
        <w:tc>
          <w:tcPr>
            <w:tcW w:type="dxa" w:w="439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Cinco itens; soma de 0 a 5; 0–1 negativo e ≥2 positivo no protocolo proposto.</w:t>
            </w:r>
          </w:p>
        </w:tc>
        <w:tc>
          <w:tcPr>
            <w:tcW w:type="dxa" w:w="42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Escolher tradução validada; item de tédio não deve ser substituído por vida vazia.</w:t>
            </w:r>
          </w:p>
        </w:tc>
      </w:tr>
    </w:tbl>
    <w:p/>
    <w:p>
      <w:pPr>
        <w:pStyle w:val="Heading2"/>
      </w:pPr>
      <w:r>
        <w:t>GDS de cinco itens</w:t>
      </w:r>
    </w:p>
    <w:p>
      <w:r>
        <w:t>Estrutura semântica do formulário: satisfação com a vida; tédio frequente; desamparo; preferência por ficar em casa; sentimento de inutilidade. Pontuar 1 para “não” no primeiro item e para “sim” nos demais. A redação final e o período de referência devem seguir a versão adotada. [4]</w:t>
      </w:r>
    </w:p>
    <w:p>
      <w:r>
        <w:t>Usar “rastreio negativo” e “rastreio positivo — aprofundar avaliação clínica”. Respostas incompletas impedem um escore final válido. Se a capacidade de autorrelato estiver comprometida, registrar impossibilidade ou limitação, sem substituir automaticamente as respostas por opinião do cuidador.</w:t>
      </w:r>
    </w:p>
    <w:p>
      <w:pPr>
        <w:pStyle w:val="Heading2"/>
      </w:pPr>
      <w:r>
        <w:t>Aprovação do contrato</w:t>
      </w:r>
    </w:p>
    <w:p>
      <w:r>
        <w:t>O fluxo e os instrumentos estão aprovados; os contratos de versão são entregas de preparação clínica, não uma nova aprovação do projeto. Engenharia deve apresentar os formulários e os exemplos calculados para validação da product owner antes da homologação.</w:t>
      </w:r>
    </w:p>
    <w:p>
      <w:r>
        <w:br w:type="page"/>
      </w:r>
    </w:p>
    <w:p>
      <w:pPr>
        <w:pStyle w:val="Heading1"/>
      </w:pPr>
      <w:r>
        <w:t>4 Mobilidade fragilidade e nutrição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104"/>
        <w:gridCol w:w="4176"/>
      </w:tblGrid>
      <w:tr>
        <w:trPr>
          <w:cantSplit/>
          <w:tblHeader/>
        </w:trPr>
        <w:tc>
          <w:tcPr>
            <w:tcW w:type="dxa" w:w="1800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Avaliação</w:t>
            </w:r>
          </w:p>
        </w:tc>
        <w:tc>
          <w:tcPr>
            <w:tcW w:type="dxa" w:w="4104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Dados e resultado</w:t>
            </w:r>
          </w:p>
        </w:tc>
        <w:tc>
          <w:tcPr>
            <w:tcW w:type="dxa" w:w="4176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Cinco levantadas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Tempo em segundos e condição de aplicação; &gt;15 s sinaliza baixa força no EWGSOP2. [5]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Cronômetro opcional e entrada manual. Separar não consegue, não seguro e não realizado; não preencher tempo fictício.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Apoio à mobilidade</w:t>
            </w:r>
          </w:p>
        </w:tc>
        <w:tc>
          <w:tcPr>
            <w:tcW w:type="dxa" w:w="410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Sem dispositivo, bengala, andador, ajuda de pessoa, cadeira de rodas e restrição ao leito.</w:t>
            </w:r>
          </w:p>
        </w:tc>
        <w:tc>
          <w:tcPr>
            <w:tcW w:type="dxa" w:w="41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Registrar situações de uso e ajuda concomitante. Relatório menciona apenas o apoio confirmado.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SARC-CalF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Respostas do SARC-F e circunferência da panturrilha em cm; rastreio conforme versão validada. [6]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Preservar regras próprias de panturrilha. Não usar o corte da MNA-SF para calcular SARC-CalF.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FRAIL-BR</w:t>
            </w:r>
          </w:p>
        </w:tc>
        <w:tc>
          <w:tcPr>
            <w:tcW w:type="dxa" w:w="410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Fadiga, resistência, deambulação, doenças e perda de peso. 0 robusto; 1–2 pré-frágil; 3–5 frágil. [7]</w:t>
            </w:r>
          </w:p>
        </w:tc>
        <w:tc>
          <w:tcPr>
            <w:tcW w:type="dxa" w:w="41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Respeitar períodos, lista de doenças e critérios da versão adotada. Não deduzir fragilidade apenas pela idade.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MNA-SF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Seis itens; 12–14 estado nutricional normal; 8–11 risco; 0–7 desnutrição. [8]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Escolher percurso de IMC ou panturrilha conforme formulário oficial, sem somar ambos. Exibir medidas e data.</w:t>
            </w:r>
          </w:p>
        </w:tc>
      </w:tr>
    </w:tbl>
    <w:p/>
    <w:p>
      <w:pPr>
        <w:pStyle w:val="Heading2"/>
      </w:pPr>
      <w:r>
        <w:t>Aplicação segura e interpretação</w:t>
      </w:r>
    </w:p>
    <w:p>
      <w:r>
        <w:t>As instruções do teste de cinco levantadas devem estar acessíveis na mesma tela, com técnica padronizada e decisão clínica sobre segurança. Um tempo alterado ou rastreio positivo não gera diagnóstico confirmado de sarcopenia sem a avaliação complementar correspondente. [5]</w:t>
      </w:r>
    </w:p>
    <w:p>
      <w:pPr>
        <w:pStyle w:val="Heading2"/>
      </w:pPr>
      <w:r>
        <w:t>Reuso de informações</w:t>
      </w:r>
    </w:p>
    <w:p>
      <w:r>
        <w:t>Uma medida antropométrica atual pode ser sugerida a instrumentos da mesma consulta com confirmação de contexto. Regras de pontuação continuam independentes. Informações de períodos diferentes, mesmo semelhantes, não serão copiadas automaticamente entre FRAIL-BR, MNA-SF e SARC-CalF.</w:t>
      </w:r>
    </w:p>
    <w:p>
      <w:pPr>
        <w:pStyle w:val="Heading2"/>
      </w:pPr>
      <w:r>
        <w:t>Orientações individualizadas</w:t>
      </w:r>
    </w:p>
    <w:p>
      <w:r>
        <w:t>Registrar terapias em andamento, apoio disponível, disfagia, dieta adaptada, sonda nasoenteral e gastrostomia quando pertinentes. Preservar as orientações específicas de cada via e distinguir paciente já acompanhado daquele que necessita avaliação. Recomendações geradas permanecem editáveis pelo médico.</w:t>
      </w:r>
    </w:p>
    <w:p>
      <w:r>
        <w:br w:type="page"/>
      </w:r>
    </w:p>
    <w:p>
      <w:pPr>
        <w:pStyle w:val="Heading1"/>
      </w:pPr>
      <w:r>
        <w:t>5 Aprofundamentos condicionais</w:t>
      </w:r>
    </w:p>
    <w:p>
      <w:pPr>
        <w:pStyle w:val="Heading2"/>
      </w:pPr>
      <w:r>
        <w:t>Disfagia</w:t>
      </w:r>
    </w:p>
    <w:p>
      <w:r>
        <w:t>Pergunta de entrada: há dificuldade para engolir, engasgos ou outra queixa de deglutição relatada pelo paciente ou cuidador? Se não houver queixa, não abrir o EAT-10 automaticamente. Se houver, permitir aplicação da versão brasileira e registro da avaliação clínica. Escore ≥3 indica risco de disfagia. [9]</w:t>
      </w:r>
    </w:p>
    <w:p>
      <w:r>
        <w:t>Registrar acompanhamento fonoaudiológico atual, dieta adaptada e via de alimentação. Não sugerir textura de dieta ou manobras como prescrição automática. Se o autorrelato não for viável, registrar limitação e permitir avaliação clínica direta; não inventar respostas nem presumir um teste negativo.</w:t>
      </w:r>
    </w:p>
    <w:p>
      <w:pPr>
        <w:pStyle w:val="Heading2"/>
      </w:pPr>
      <w:r>
        <w:t>Cuidados paliativos</w:t>
      </w:r>
    </w:p>
    <w:p>
      <w:r>
        <w:t>A abertura deve permitir identificar doença avançada, deterioração funcional, internações não programadas, sintomas persistentes, perda de peso ou necessidades expressas pelo paciente e família. Recomenda-se o SPICT-BR como referência estruturada para a avaliação médica de necessidades. [10]</w:t>
      </w:r>
    </w:p>
    <w:p>
      <w:r>
        <w:t>Quando houver indicação, abrir PPS, objetivos de cuidado, sintomas prioritários, apoio ao cuidador e planejamento antecipado. O PPS será calculado conforme tabela e definições oficiais, considerando deambulação, atividade/doença, autocuidado, ingestão e consciência. Não somar os domínios como pontos independentes. [11]</w:t>
      </w:r>
    </w:p>
    <w:p>
      <w:r>
        <w:t>O resultado do PPS apoia acompanhamento e planejamento. Não define isoladamente limitação terapêutica, decisão de hospitalização ou indicação de procedimento. Registrar o julgamento clínico e as preferências do paciente.</w:t>
      </w:r>
    </w:p>
    <w:p>
      <w:pPr>
        <w:pStyle w:val="Heading2"/>
      </w:pPr>
      <w:r>
        <w:t>Prioridade clínica</w:t>
      </w:r>
    </w:p>
    <w:p>
      <w:r>
        <w:t>Sinais de gravidade observados durante a consulta permitem interromper o percurso e documentar o atendimento prioritário. Avaliações adiadas recebem estado próprio. Qualquer alerta automatizado adicional precisará de regra explícita, fonte e validação clínica antes de ser incluído.</w:t>
      </w:r>
    </w:p>
    <w:p>
      <w:pPr>
        <w:pStyle w:val="Heading2"/>
      </w:pPr>
      <w:r>
        <w:t>Permissões de uso dos instrumentos</w:t>
      </w:r>
    </w:p>
    <w:p>
      <w:r>
        <w:t>Antes da incorporação digital, verificar condições de reprodução e uso de cada instrumento, inclusive MEEM, MNA-SF e PPS, mantendo atribuição e versão. A seleção clínica não substitui essa verificação. A fonte do PPS informa a necessidade de acordo de uso. [11]</w:t>
      </w:r>
    </w:p>
    <w:p>
      <w:r>
        <w:br w:type="page"/>
      </w:r>
    </w:p>
    <w:p>
      <w:pPr>
        <w:pStyle w:val="Heading1"/>
      </w:pPr>
      <w:r>
        <w:t>6 Requisitos de experiência e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952"/>
        <w:gridCol w:w="6120"/>
      </w:tblGrid>
      <w:tr>
        <w:trPr>
          <w:cantSplit/>
          <w:tblHeader/>
        </w:trPr>
        <w:tc>
          <w:tcPr>
            <w:tcW w:type="dxa" w:w="1008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2952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6120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Critério observável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UX01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Paciente e consulta sempre visíveis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Nome e data permanecem identificáveis durante o preenchimento; retorno à home e troca de paciente acessíveis.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UX02</w:t>
            </w:r>
          </w:p>
        </w:tc>
        <w:tc>
          <w:tcPr>
            <w:tcW w:type="dxa" w:w="29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Etapas curtas e navegação livre</w:t>
            </w:r>
          </w:p>
        </w:tc>
        <w:tc>
          <w:tcPr>
            <w:tcW w:type="dxa" w:w="61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Uma etapa por domínio, progresso visível, voltar sem apagar respostas e abrir apenas o aprofundamento pertinente.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UX03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Respostas acessíveis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Opções grandes, teclado, foco visível, rótulos claros e instruções junto ao item; significado não depende só de cor.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UX04</w:t>
            </w:r>
          </w:p>
        </w:tc>
        <w:tc>
          <w:tcPr>
            <w:tcW w:type="dxa" w:w="29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Salvamento explícito</w:t>
            </w:r>
          </w:p>
        </w:tc>
        <w:tc>
          <w:tcPr>
            <w:tcW w:type="dxa" w:w="61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Estados salvando, salvo e falha distinguíveis. Falha permite nova tentativa e preserva os dados na tela.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UX05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Retorno sem respostas herdadas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Instrumentos selecionados abrem em branco; resultado anterior aparece separado e datado.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UX06</w:t>
            </w:r>
          </w:p>
        </w:tc>
        <w:tc>
          <w:tcPr>
            <w:tcW w:type="dxa" w:w="29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Finalização transparente</w:t>
            </w:r>
          </w:p>
        </w:tc>
        <w:tc>
          <w:tcPr>
            <w:tcW w:type="dxa" w:w="61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Mostrar pendências; permitir registrar motivo para não aplicação. Não impedir finalizar por escala sem indicação.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DOC01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Relatório clínico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Lista de problemas, avaliação, resultados, contexto relevante e plano editáveis; preservar evolução existente.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DOC02</w:t>
            </w:r>
          </w:p>
        </w:tc>
        <w:tc>
          <w:tcPr>
            <w:tcW w:type="dxa" w:w="29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Relatório paciente e família</w:t>
            </w:r>
          </w:p>
        </w:tc>
        <w:tc>
          <w:tcPr>
            <w:tcW w:type="dxa" w:w="61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Tabela aprovada de escalas: resultado, significado acessível e ações. Orientações específicas, empáticas e editáveis.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DOC03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Impressão e exportação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Identificação, data e profissional; tabelas legíveis, títulos unidos ao conteúdo e nenhuma informação cortada.</w:t>
            </w:r>
          </w:p>
        </w:tc>
      </w:tr>
    </w:tbl>
    <w:p/>
    <w:p>
      <w:pPr>
        <w:pStyle w:val="Heading2"/>
      </w:pPr>
      <w:r>
        <w:t>Plano de cuidado</w:t>
      </w:r>
    </w:p>
    <w:p>
      <w:r>
        <w:t>Cada linha contém necessidade/problema, objetivo pactuado, conduta, responsável, prazo de revisão e estado. O médico confirma a conduta; a aplicação pode sugerir ações a partir de regras aprovadas, mas não executa encaminhamentos ou prescrições automaticamente.</w:t>
      </w:r>
    </w:p>
    <w:p>
      <w:pPr>
        <w:pStyle w:val="Heading2"/>
      </w:pPr>
      <w:r>
        <w:t>Conteúdo ausente</w:t>
      </w:r>
    </w:p>
    <w:p>
      <w:r>
        <w:t>Não incluir “não avaliado nesta consulta” como orientação familiar. Preservar a distinção no registro clínico. O relatório não deve apresentar diagnóstico, escore ou recomendação como decorrência de um formulário incompleto.</w:t>
      </w:r>
    </w:p>
    <w:p>
      <w:r>
        <w:br w:type="page"/>
      </w:r>
    </w:p>
    <w:p>
      <w:pPr>
        <w:pStyle w:val="Heading1"/>
      </w:pPr>
      <w:r>
        <w:t>7 Persistência e integração técnica</w:t>
      </w:r>
    </w:p>
    <w:p>
      <w:r>
        <w:t>Implementar no repositório natimn4-dev/Prontuario, após inspeção da arquitetura e instruções do projeto. A referência existente é Next.js e Node 22; confirmar versões e infraestrutura no repositório antes de escolher bibliotecas. Reutilizar autenticação, permissões, identidade visual e mecanismos de exportação compatíveis.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608"/>
        <w:gridCol w:w="3888"/>
      </w:tblGrid>
      <w:tr>
        <w:trPr>
          <w:cantSplit/>
          <w:tblHeader/>
        </w:trPr>
        <w:tc>
          <w:tcPr>
            <w:tcW w:type="dxa" w:w="1584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Entidade sugerida</w:t>
            </w:r>
          </w:p>
        </w:tc>
        <w:tc>
          <w:tcPr>
            <w:tcW w:type="dxa" w:w="4608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Campos mínimos</w:t>
            </w:r>
          </w:p>
        </w:tc>
        <w:tc>
          <w:tcPr>
            <w:tcW w:type="dxa" w:w="3888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Consulta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ID, paciente, profissional, data, tipo, estado, versão de registro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Cada avaliação pertence a uma consulta e a um paciente.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Aplicação de escala</w:t>
            </w:r>
          </w:p>
        </w:tc>
        <w:tc>
          <w:tcPr>
            <w:tcW w:type="dxa" w:w="460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ID, consulta, instrumento, versão, respostas, estado, autor e data</w:t>
            </w:r>
          </w:p>
        </w:tc>
        <w:tc>
          <w:tcPr>
            <w:tcW w:type="dxa" w:w="388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Uma consulta pode conter várias aplicações; repetição explícita cria nova aplicação.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Resultado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Escore bruto/ajustado quando aplicável, classificação, código FAST, versão da regra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Calcular e validar no servidor; guardar origem e regra para reprodutibilidade.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Contexto</w:t>
            </w:r>
          </w:p>
        </w:tc>
        <w:tc>
          <w:tcPr>
            <w:tcW w:type="dxa" w:w="460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Escolaridade, informante, limitações, medidas e terapias atuais</w:t>
            </w:r>
          </w:p>
        </w:tc>
        <w:tc>
          <w:tcPr>
            <w:tcW w:type="dxa" w:w="388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Dados históricos exibidos com data; não assumidos como respostas atuais.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Plano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Problema, objetivo, conduta, responsável, prazo, estado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Alterações rastreáveis; vínculo com consulta e aplicação quando pertinente.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Documento</w:t>
            </w:r>
          </w:p>
        </w:tc>
        <w:tc>
          <w:tcPr>
            <w:tcW w:type="dxa" w:w="460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Consulta, versão, conteúdo confirmado, profissional e data</w:t>
            </w:r>
          </w:p>
        </w:tc>
        <w:tc>
          <w:tcPr>
            <w:tcW w:type="dxa" w:w="388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Documento final preserva a versão emitida; nova edição gera versão rastreável.</w:t>
            </w:r>
          </w:p>
        </w:tc>
      </w:tr>
    </w:tbl>
    <w:p/>
    <w:p>
      <w:pPr>
        <w:pStyle w:val="Heading2"/>
      </w:pPr>
      <w:r>
        <w:t>Estados e concorrência</w:t>
      </w:r>
    </w:p>
    <w:p>
      <w:r>
        <w:t>Distinguir aplicação pendente, parcial, concluída, não realizada e não aplicável; registrar motivo quando pertinente. Não representar ausência por zero. Finalização da consulta é estado independente das escalas. Usar controle de versão para evitar que duas abas sobrescrevam alterações sem aviso.</w:t>
      </w:r>
    </w:p>
    <w:p>
      <w:pPr>
        <w:pStyle w:val="Heading2"/>
      </w:pPr>
      <w:r>
        <w:t>Operações de salvamento</w:t>
      </w:r>
    </w:p>
    <w:p>
      <w:r>
        <w:t>Validar autorização e vínculo paciente–consulta no servidor. Atualizar respostas e resultado da mesma aplicação de forma consistente; respostas parciais não recebem resultado final. Repetir uma requisição de salvamento não deve duplicar aplicações. Após recarregar, os dados salvos e o estado de finalização devem ser recuperados.</w:t>
      </w:r>
    </w:p>
    <w:p>
      <w:r>
        <w:t>Não definir endpoints ou migrações sem inspecionar o código. Se houver alteração de esquema, entregar migração, estratégia para dados existentes e recuperação. Logs devem evitar conteúdo clínico desnecessário; preservar controle de acesso e auditoria já adotados.</w:t>
      </w:r>
    </w:p>
    <w:p>
      <w:r>
        <w:br w:type="page"/>
      </w:r>
    </w:p>
    <w:p>
      <w:pPr>
        <w:pStyle w:val="Heading1"/>
      </w:pPr>
      <w:r>
        <w:t>8 Histórico longitudinal e critérios de aceite</w:t>
      </w:r>
    </w:p>
    <w:p>
      <w:r>
        <w:t>Gerar comparação apenas entre aplicações concluídas e compatíveis do mesmo instrumento. A segunda consulta sem reaplicação não cria ponto, linha ou resultado novo. Não ligar versões diferentes como se fossem equivalentes; Katz e Barthel permanecem separados. FAST é ordinal, exibido por estágio; nunca como decimal ou escore contínuo.</w:t>
      </w:r>
    </w:p>
    <w:p>
      <w:r>
        <w:t>Na visão por domínios, preservar a decisão existente de não gerar gráficos de visão e audição. Fragilidade e PPS podem ter histórico tabular no MVP; novas visualizações dependem de desenho e validação próprios. Não criar um escore global por média das escalas.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6048"/>
      </w:tblGrid>
      <w:tr>
        <w:trPr>
          <w:cantSplit/>
          <w:tblHeader/>
        </w:trPr>
        <w:tc>
          <w:tcPr>
            <w:tcW w:type="dxa" w:w="4032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Caso de teste</w:t>
            </w:r>
          </w:p>
        </w:tc>
        <w:tc>
          <w:tcPr>
            <w:tcW w:type="dxa" w:w="6048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Paciente sem demência; rastreio alterado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10-CS salvo e MEEM disponível; nenhum diagnóstico automático.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Paciente com demência diagnosticada</w:t>
            </w:r>
          </w:p>
        </w:tc>
        <w:tc>
          <w:tcPr>
            <w:tcW w:type="dxa" w:w="60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FAST é o percurso padrão; seleção 7E salva e reaparece como 7E.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GDS-5 completa com 1 ou 2 pontos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Classificações corretas no limite; resposta ausente deixa aplicação parcial.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Retorno sem novas escalas</w:t>
            </w:r>
          </w:p>
        </w:tc>
        <w:tc>
          <w:tcPr>
            <w:tcW w:type="dxa" w:w="60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Formulários novos em branco; anterior datado; sem novos pontos nos gráficos.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Reaplicação no retorno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Nova aplicação vinculada à consulta; primeira consulta preservada.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Teste motor impossível ou não seguro</w:t>
            </w:r>
          </w:p>
        </w:tc>
        <w:tc>
          <w:tcPr>
            <w:tcW w:type="dxa" w:w="60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Estado e motivo próprios; nenhum tempo zero ou fictício.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Sem queixa de disfagia / com queixa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EAT-10 oculto no primeiro caso e disponível no segundo.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Necessidade paliativa reconhecida</w:t>
            </w:r>
          </w:p>
        </w:tc>
        <w:tc>
          <w:tcPr>
            <w:tcW w:type="dxa" w:w="60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PPS e objetivos de cuidado disponíveis; sem limitação terapêutica automática.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Salvar, recarregar e trocar paciente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Dados completos recuperados apenas no paciente e consulta corretos.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Falha de rede ou edição em duas abas</w:t>
            </w:r>
          </w:p>
        </w:tc>
        <w:tc>
          <w:tcPr>
            <w:tcW w:type="dxa" w:w="60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Erro visível, recuperação sem duplicação e conflito sem perda silenciosa.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Relatório de caso parcial e impressão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Omitir orientações sem base; tabela preservada; texto e tabelas sem cortes.</w:t>
            </w:r>
          </w:p>
        </w:tc>
      </w:tr>
    </w:tbl>
    <w:p/>
    <w:p>
      <w:pPr>
        <w:pStyle w:val="Heading2"/>
      </w:pPr>
      <w:r>
        <w:t>Verificação obrigatória</w:t>
      </w:r>
    </w:p>
    <w:p>
      <w:r>
        <w:t>Executar testes de limites, ausência e versões dos instrumentos; testes de vínculo e persistência; typecheck, build e CI; inspeção visual desktop, mobile e impressão; smoke autenticado com dados sintéticos. Verificar que SOAP, oncogeriatria, Programa 55+ e relatórios existentes não sofreram regressão.</w:t>
      </w:r>
    </w:p>
    <w:p>
      <w:r>
        <w:br w:type="page"/>
      </w:r>
    </w:p>
    <w:p>
      <w:pPr>
        <w:pStyle w:val="Heading1"/>
      </w:pPr>
      <w:r>
        <w:t>9 Entrega e homologação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4176"/>
      </w:tblGrid>
      <w:tr>
        <w:trPr>
          <w:cantSplit/>
          <w:tblHeader/>
        </w:trPr>
        <w:tc>
          <w:tcPr>
            <w:tcW w:type="dxa" w:w="1584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4320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Entrega de engenharia</w:t>
            </w:r>
          </w:p>
        </w:tc>
        <w:tc>
          <w:tcPr>
            <w:tcW w:type="dxa" w:w="4176"/>
            <w:vAlign w:val="center"/>
            <w:shd w:fill="E7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Condição de conclusão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1 Preparação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Inventário dos componentes e contratos clínicos das escalas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Versões, redação, ajustes, fontes e condições de uso registrados e validados.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2 Fluxo navegável</w:t>
            </w:r>
          </w:p>
        </w:tc>
        <w:tc>
          <w:tcPr>
            <w:tcW w:type="dxa" w:w="43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Protótipo com consulta inicial, retorno e decisões condicionais</w:t>
            </w:r>
          </w:p>
        </w:tc>
        <w:tc>
          <w:tcPr>
            <w:tcW w:type="dxa" w:w="41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Product owner consegue revisar o percurso completo com dados sintéticos.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3 Implementação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Formulários, cálculo, persistência, histórico e plano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Critérios funcionais e de salvamento demonstrados.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4 Documentos</w:t>
            </w:r>
          </w:p>
        </w:tc>
        <w:tc>
          <w:tcPr>
            <w:tcW w:type="dxa" w:w="43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Evolução e relatório familiar com tabela e orientações</w:t>
            </w:r>
          </w:p>
        </w:tc>
        <w:tc>
          <w:tcPr>
            <w:tcW w:type="dxa" w:w="41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Conteúdo clínico homologado e impressão/exportação conferidas.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5 Validação e release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Testes, CI, demonstração, plano de recuperação e implantação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Ausência de falhas críticas; homologação registrada e release verificável.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6 Piloto</w:t>
            </w:r>
          </w:p>
        </w:tc>
        <w:tc>
          <w:tcPr>
            <w:tcW w:type="dxa" w:w="432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Acompanhamento do uso real pela equipe</w:t>
            </w:r>
          </w:p>
        </w:tc>
        <w:tc>
          <w:tcPr>
            <w:tcW w:type="dxa" w:w="417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Resultados e dificuldades apresentados à product owner para priorização.</w:t>
            </w:r>
          </w:p>
        </w:tc>
      </w:tr>
    </w:tbl>
    <w:p/>
    <w:p>
      <w:pPr>
        <w:pStyle w:val="Heading2"/>
      </w:pPr>
      <w:r>
        <w:t>Indicadores do piloto</w:t>
      </w:r>
    </w:p>
    <w:p>
      <w:pPr>
        <w:pStyle w:val="ListBullet"/>
      </w:pPr>
      <w:r>
        <w:t>Tempo mediano de preenchimento e tempo por domínio, coletados sem registrar respostas clínicas em telemetria.</w:t>
      </w:r>
    </w:p>
    <w:p>
      <w:pPr>
        <w:pStyle w:val="ListBullet"/>
      </w:pPr>
      <w:r>
        <w:t>Proporção de avaliações concluídas, parciais e não realizadas, discriminando ausência de indicação e dificuldades de aplicação.</w:t>
      </w:r>
    </w:p>
    <w:p>
      <w:pPr>
        <w:pStyle w:val="ListBullet"/>
      </w:pPr>
      <w:r>
        <w:t>Proporção de necessidades identificadas com conduta, responsável e prazo registrados.</w:t>
      </w:r>
    </w:p>
    <w:p>
      <w:pPr>
        <w:pStyle w:val="ListBullet"/>
      </w:pPr>
      <w:r>
        <w:t>Falhas de salvamento, conflitos de edição e tempo até confirmação de salvamento.</w:t>
      </w:r>
    </w:p>
    <w:p>
      <w:pPr>
        <w:pStyle w:val="ListBullet"/>
      </w:pPr>
      <w:r>
        <w:t>Clareza e utilidade percebidas pelos médicos; compreensão do relatório pelo paciente ou cuidador.</w:t>
      </w:r>
    </w:p>
    <w:p>
      <w:pPr>
        <w:pStyle w:val="Heading2"/>
      </w:pPr>
      <w:r>
        <w:t>Definição de pronto</w:t>
      </w:r>
    </w:p>
    <w:p>
      <w:r>
        <w:t>A entrega inclui código revisado, contratos das escalas, modelo de dados documentado, migrações quando necessárias, evidências dos testes, demonstração dos fluxos, relatório final inspecionado e instruções breves de uso. Metas de tempo e cronograma serão definidos após estimativa técnica e piloto; não se presume ganho clínico ou redução de custos sem medição.</w:t>
      </w:r>
    </w:p>
    <w:p>
      <w:pPr>
        <w:pStyle w:val="Heading2"/>
      </w:pPr>
      <w:r>
        <w:t>Priorização posterior</w:t>
      </w:r>
    </w:p>
    <w:p>
      <w:r>
        <w:t>Após estabilizar o MVP, avaliar listas de acompanhamento para a equipe, discussão de casos com geriatria e ampliação das condições e faixas etárias. Integrações externas, lembretes enviados ao paciente, faturamento e novos escores não integram esta entrega inicial.</w:t>
      </w:r>
    </w:p>
    <w:p>
      <w:r>
        <w:br w:type="page"/>
      </w:r>
    </w:p>
    <w:p>
      <w:pPr>
        <w:pStyle w:val="Heading1"/>
      </w:pPr>
      <w:r>
        <w:t>10 Referências e registro de decisões</w:t>
      </w:r>
    </w:p>
    <w:p>
      <w:r>
        <w:t>As referências orientam os contratos clínicos. A engenharia deve consultar o instrumento completo e a versão adotada antes de codificar itens, cortes ou permissões de reprodução.</w:t>
      </w:r>
    </w:p>
    <w:p>
      <w:pPr>
        <w:spacing w:after="120"/>
      </w:pPr>
      <w:r>
        <w:rPr>
          <w:sz w:val="20"/>
        </w:rPr>
        <w:t>[1] Apolinario D et al. Using temporal orientation, category fluency, and word recall for detecting cognitive impairment: the 10-point cognitive screener. 2016. https://pubmed.ncbi.nlm.nih.gov/25779210/</w:t>
      </w:r>
    </w:p>
    <w:p>
      <w:pPr>
        <w:spacing w:after="120"/>
      </w:pPr>
      <w:r>
        <w:rPr>
          <w:sz w:val="20"/>
        </w:rPr>
        <w:t>[2] Reisberg B. Functional assessment staging (FAST). 1988. https://pubmed.ncbi.nlm.nih.gov/3249767/</w:t>
      </w:r>
    </w:p>
    <w:p>
      <w:pPr>
        <w:spacing w:after="120"/>
      </w:pPr>
      <w:r>
        <w:rPr>
          <w:sz w:val="20"/>
        </w:rPr>
        <w:t>[3] Sclan SG, Reisberg B. FAST in Alzheimer’s disease: reliability, validity, and ordinality. 1992. https://pubmed.ncbi.nlm.nih.gov/1504288/</w:t>
      </w:r>
    </w:p>
    <w:p>
      <w:pPr>
        <w:spacing w:after="120"/>
      </w:pPr>
      <w:r>
        <w:rPr>
          <w:sz w:val="20"/>
        </w:rPr>
        <w:t>[4] Hoyl MT et al. Development and testing of a five-item version of the Geriatric Depression Scale. 1999. https://pubmed.ncbi.nlm.nih.gov/10404935/</w:t>
      </w:r>
    </w:p>
    <w:p>
      <w:pPr>
        <w:spacing w:after="120"/>
      </w:pPr>
      <w:r>
        <w:rPr>
          <w:sz w:val="20"/>
        </w:rPr>
        <w:t>[5] Cruz-Jentoft AJ et al. Sarcopenia: revised European consensus on definition and diagnosis. 2019. https://doi.org/10.1093/ageing/afy169</w:t>
      </w:r>
    </w:p>
    <w:p>
      <w:pPr>
        <w:spacing w:after="120"/>
      </w:pPr>
      <w:r>
        <w:rPr>
          <w:sz w:val="20"/>
        </w:rPr>
        <w:t>[6] Barbosa-Silva TG et al. Enhancing SARC-F: Improving Sarcopenia Screening in the Clinical Practice. 2016. https://pubmed.ncbi.nlm.nih.gov/27650212/</w:t>
      </w:r>
    </w:p>
    <w:p>
      <w:pPr>
        <w:spacing w:after="120"/>
      </w:pPr>
      <w:r>
        <w:rPr>
          <w:sz w:val="20"/>
        </w:rPr>
        <w:t>[7] Screening for Frailty With the FRAIL Scale: A Comparison With the Phenotype Criteria. 2017. https://pubmed.ncbi.nlm.nih.gov/28279607/</w:t>
      </w:r>
    </w:p>
    <w:p>
      <w:pPr>
        <w:spacing w:after="120"/>
      </w:pPr>
      <w:r>
        <w:rPr>
          <w:sz w:val="20"/>
        </w:rPr>
        <w:t>[8] MNA. Formulário oficial em português brasileiro. https://www.mna-elderly.com/sites/default/files/2021-10/mna-mini-portuguese-brazil.pdf</w:t>
      </w:r>
    </w:p>
    <w:p>
      <w:pPr>
        <w:spacing w:after="120"/>
      </w:pPr>
      <w:r>
        <w:rPr>
          <w:sz w:val="20"/>
        </w:rPr>
        <w:t>[9] Equivalência cultural da versão brasileira do Eating Assessment Tool EAT-10. https://www.scielo.br/j/codas/a/QYqVrkLzCxDbZmdCVhwxSyK/?lang=pt</w:t>
      </w:r>
    </w:p>
    <w:p>
      <w:pPr>
        <w:spacing w:after="120"/>
      </w:pPr>
      <w:r>
        <w:rPr>
          <w:sz w:val="20"/>
        </w:rPr>
        <w:t>[10] SPICT-BR. Identificação de necessidades de cuidados de suporte e paliativos. https://www.spict.org.uk/the-spict/brazil/</w:t>
      </w:r>
    </w:p>
    <w:p>
      <w:pPr>
        <w:spacing w:after="120"/>
      </w:pPr>
      <w:r>
        <w:rPr>
          <w:sz w:val="20"/>
        </w:rPr>
        <w:t>[11] Victoria Hospice. PPSv2 Q&amp;A Manual, Instructions and Definitions. 2020. https://victoriahospice.org/wp-content/uploads/2020/08/PPSv2-QA-Instructions-and-Definitions-updated-July-2020.pdf</w:t>
      </w:r>
    </w:p>
    <w:p>
      <w:r>
        <w:rPr>
          <w:sz w:val="20"/>
        </w:rPr>
        <w:t>[12] Seppala LJ et al. STOPPFall: a Delphi study by the EuGMS Task and Finish Group on Fall-Risk-Increasing Drugs. 2021. https://pubmed.ncbi.nlm.nih.gov/33349863/</w:t>
      </w:r>
    </w:p>
    <w:p>
      <w:r>
        <w:rPr>
          <w:sz w:val="20"/>
        </w:rPr>
        <w:t>[13] World guidelines for falls prevention and management for older adults. 2022. https://pmc.ncbi.nlm.nih.gov/articles/PMC9523684/</w:t>
      </w:r>
    </w:p>
    <w:p>
      <w:pPr>
        <w:pStyle w:val="Heading2"/>
      </w:pPr>
      <w:r>
        <w:t>Decisões consolidadas da product owner</w:t>
      </w:r>
    </w:p>
    <w:p>
      <w:r>
        <w:t>Projeto autorizado; núcleo de avaliação para pessoa idosa; 10-CS seguido de MEEM quando indicado; FAST em demência diagnosticada; Katz e Lawton; GDS-5; cinco levantadas, apoio à deambulação e SARC-CalF; FRAIL; MNA-SF; rastreio de disfagia quando houver queixa; PPS quando houver indicação de cuidados paliativos; rastreio de quedas com revisão medicamentosa pelo STOPPFall.</w:t>
      </w:r>
      <w:r>
        <w:t xml:space="preserve"> Incluir os itens sensoriais e clínicos do anexo e LACE se internação nos últimos seis meses.</w:t>
      </w:r>
    </w:p>
    <w:p>
      <w:r>
        <w:t>A aprovação do projeto não permite alterar silenciosamente escalas, regras de pontuação ou relatórios já validados. O contrato clínico de cada versão integra a homologação. Esta especificação orienta a implementação; não constitui evidência de implantação ou validação do software.</w:t>
      </w:r>
    </w:p>
    <w:p>
      <w:r>
        <w:br w:type="page"/>
      </w:r>
    </w:p>
    <w:p>
      <w:pPr>
        <w:pStyle w:val="Heading1"/>
      </w:pPr>
      <w:r>
        <w:t>11 Rastreio de quedas e STOPPFall</w:t>
      </w:r>
    </w:p>
    <w:p>
      <w:r>
        <w:t>Incluir o rastreio de quedas no domínio locomoção e uma revisão medicamentosa estruturada pelo STOPPFall. A ferramenta identifica medicamentos que aumentam o risco de quedas; não é uma escala numérica de risco global. [12–13]</w:t>
      </w:r>
    </w:p>
    <w:p>
      <w:r>
        <w:drawing>
          <wp:inline xmlns:a="http://schemas.openxmlformats.org/drawingml/2006/main" xmlns:pic="http://schemas.openxmlformats.org/drawingml/2006/picture">
            <wp:extent cx="6035040" cy="2873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qued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7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Perguntas de entrada e dados</w:t>
      </w:r>
    </w:p>
    <w:p>
      <w:r>
        <w:t>Perguntar separadamente: caiu nos últimos 12 meses? Sente instabilidade ao ficar em pé ou caminhar? Tem medo de cair? Registrar sim, não ou informação indisponível, informante e data. Se houve queda, registrar número, última ocorrência, circunstâncias, lesão e possível perda de consciência. Resposta positiva abre avaliação clínica dos fatores contribuintes; não classifica automaticamente como alto risco. [13]</w:t>
      </w:r>
    </w:p>
    <w:p>
      <w:pPr>
        <w:pStyle w:val="Heading2"/>
      </w:pPr>
      <w:r>
        <w:t>Revisão medicamentosa pelo STOPPFall</w:t>
      </w:r>
    </w:p>
    <w:p>
      <w:r>
        <w:t>Usar a lista atual confirmada de medicamentos, incluindo uso eventual e automedicação. Identificar classes e critérios da versão oficial, sinalizar itens para revisão e permitir conferência manual. Medicamento não reconhecido deve aparecer como não analisado. Ausência de itens identificados não exclui risco de queda. [12]</w:t>
      </w:r>
    </w:p>
    <w:p>
      <w:r>
        <w:t>Para cada item, registrar indicação, sintomas relevantes, decisão médica e acompanhamento. Oferecer manter, revisar, reduzir ou suspender como decisões documentadas; não alterar prescrição automaticamente. Preservar orientações específicas de retirada e monitoramento da fonte quando aplicáveis. O plano registra responsável e prazo; o relatório familiar mostra somente a conduta confirmada. [12]</w:t>
      </w:r>
    </w:p>
    <w:p>
      <w:pPr>
        <w:pStyle w:val="Heading2"/>
      </w:pPr>
      <w:r>
        <w:t>Persistência e critérios de aceite</w:t>
      </w:r>
    </w:p>
    <w:p>
      <w:r>
        <w:t>Salvar perguntas, eventos, lista medicamentosa revisada, versão do STOPPFall, itens sinalizados e decisões por consulta. No retorno, revisar novas quedas e medicamentos sem herdar respostas como atuais. Não criar pontuação ou gráfico STOPPFall. Testar: queixa positiva abre revisão; acesso médico direto disponível; lista desconhecida não produz resultado negativo; item sinalizado não suspende medicamento; salvamento e recarga preservam decisões e consulta correta.</w:t>
      </w:r>
    </w:p>
    <w:p>
      <w:r>
        <w:br w:type="page"/>
      </w:r>
    </w:p>
    <w:p>
      <w:pPr>
        <w:pStyle w:val="Heading1"/>
      </w:pPr>
      <w:r>
        <w:t>12 Visão audição e condições clínicas</w:t>
      </w:r>
    </w:p>
    <w:p>
      <w:r>
        <w:t>Incorporar os cinco itens do anexo à abertura da avaliação, com respostas independentes. Visão e audição compõem um bloco sensorial curto; doenças, medicamentos e internações se integram à história clínica. Estes itens não geram uma pontuação global nem reproduzem o escore do instrumento de origem do anexo.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536"/>
        <w:gridCol w:w="3960"/>
      </w:tblGrid>
      <w:tr>
        <w:trPr>
          <w:cantSplit/>
          <w:tblHeader/>
        </w:trPr>
        <w:tc>
          <w:tcPr>
            <w:tcW w:type="dxa" w:w="1584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4536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Pergunta ou condição</w:t>
            </w:r>
          </w:p>
        </w:tc>
        <w:tc>
          <w:tcPr>
            <w:tcW w:type="dxa" w:w="3960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Registro complementar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Visão</w:t>
            </w:r>
          </w:p>
        </w:tc>
        <w:tc>
          <w:tcPr>
            <w:tcW w:type="dxa" w:w="453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Você tem problemas de visão capazes de impedir a realização de alguma atividade do cotidiano? É permitido o uso de óculos ou lentes de contato.</w:t>
            </w:r>
          </w:p>
        </w:tc>
        <w:tc>
          <w:tcPr>
            <w:tcW w:type="dxa" w:w="396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Sim, não ou informação indisponível; atividade afetada; uso de óculos ou lentes de contato.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Audição</w:t>
            </w:r>
          </w:p>
        </w:tc>
        <w:tc>
          <w:tcPr>
            <w:tcW w:type="dxa" w:w="453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Você tem problemas de audição capazes de impedir a realização de alguma atividade do cotidiano? É permitido o uso de aparelhos de audição.</w:t>
            </w:r>
          </w:p>
        </w:tc>
        <w:tc>
          <w:tcPr>
            <w:tcW w:type="dxa" w:w="396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Sim, não ou informação indisponível; atividade afetada; uso de aparelho auditivo.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Carga de doenças</w:t>
            </w:r>
          </w:p>
        </w:tc>
        <w:tc>
          <w:tcPr>
            <w:tcW w:type="dxa" w:w="453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Cinco ou mais doenças crônicas.</w:t>
            </w:r>
          </w:p>
        </w:tc>
        <w:tc>
          <w:tcPr>
            <w:tcW w:type="dxa" w:w="396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Sim, não ou informação indisponível; lista de doenças confirmadas, sem contar duplicatas.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Polifarmácia</w:t>
            </w:r>
          </w:p>
        </w:tc>
        <w:tc>
          <w:tcPr>
            <w:tcW w:type="dxa" w:w="453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Uso regular de cinco ou mais medicamentos diferentes, todos os dias.</w:t>
            </w:r>
          </w:p>
        </w:tc>
        <w:tc>
          <w:tcPr>
            <w:tcW w:type="dxa" w:w="396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Sim, não ou informação indisponível; lista atual conciliada e contagem conferida.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Internação recente</w:t>
            </w:r>
          </w:p>
        </w:tc>
        <w:tc>
          <w:tcPr>
            <w:tcW w:type="dxa" w:w="453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Internação nos últimos seis meses.</w:t>
            </w:r>
          </w:p>
        </w:tc>
        <w:tc>
          <w:tcPr>
            <w:tcW w:type="dxa" w:w="396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Sim, não ou informação indisponível; admissão, alta, motivo e hospital. Se sim, abrir LACE.</w:t>
            </w:r>
          </w:p>
        </w:tc>
      </w:tr>
    </w:tbl>
    <w:p/>
    <w:p>
      <w:pPr>
        <w:pStyle w:val="Heading2"/>
      </w:pPr>
      <w:r>
        <w:t>Regras de interface e relatório</w:t>
      </w:r>
    </w:p>
    <w:p>
      <w:r>
        <w:t>Registrar a dificuldade funcional considerando a correção visual ou auditiva disponível na avaliação. Ter óculos ou aparelho auditivo não implica resposta positiva. Se a resposta for positiva, abrir atividade afetada, acompanhamento atual e conduta a confirmar pelo médico. Exibir os achados na visão geral e no relatório, preservando a decisão de não gerar gráficos de visão e audição.</w:t>
      </w:r>
    </w:p>
    <w:p>
      <w:r>
        <w:t>A contagem de medicamentos deste item considera o uso regular diário. Medicamentos eventuais continuam disponíveis para revisão pelo STOPPFall. A regra de contagem e o tratamento de combinações devem ser documentados e validados; não classificar uma lista incompleta como ausência de polifarmácia.</w:t>
      </w:r>
    </w:p>
    <w:p>
      <w:pPr>
        <w:pStyle w:val="Heading2"/>
      </w:pPr>
      <w:r>
        <w:t>Critérios de aceite</w:t>
      </w:r>
    </w:p>
    <w:p>
      <w:r>
        <w:t>Testar respostas independentes; visão e audição alteradas com e sem dispositivos; ausência de gráficos sensoriais; limites de quatro e cinco doenças ou medicamentos; listas incompletas; internação recente abrindo LACE; dados recuperados na consulta correta e relatório sem informação presumida.</w:t>
      </w:r>
    </w:p>
    <w:p>
      <w:r>
        <w:br w:type="page"/>
      </w:r>
    </w:p>
    <w:p>
      <w:pPr>
        <w:pStyle w:val="Heading1"/>
      </w:pPr>
      <w:r>
        <w:t>13 Internação recente e LACE</w:t>
      </w:r>
    </w:p>
    <w:p>
      <w:r>
        <w:t>Regra aprovada: internação nos últimos seis meses → abrir aplicação do LACE. Registrar o episódio de referência e a data da alta antes do cálculo. Se houver várias internações, sugerir a última com alta conhecida e permitir seleção explícita, sem misturar dados de episódios diferentes.</w:t>
      </w:r>
    </w:p>
    <w:p>
      <w:pPr>
        <w:pStyle w:val="Heading2"/>
      </w:pPr>
      <w:r>
        <w:t>Dados do instrumento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4536"/>
        <w:gridCol w:w="4248"/>
      </w:tblGrid>
      <w:tr>
        <w:trPr>
          <w:cantSplit/>
          <w:tblHeader/>
        </w:trPr>
        <w:tc>
          <w:tcPr>
            <w:tcW w:type="dxa" w:w="1296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536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Dado necessário</w:t>
            </w:r>
          </w:p>
        </w:tc>
        <w:tc>
          <w:tcPr>
            <w:tcW w:type="dxa" w:w="4248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Regra de cálculo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L</w:t>
            </w:r>
          </w:p>
        </w:tc>
        <w:tc>
          <w:tcPr>
            <w:tcW w:type="dxa" w:w="453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Duração da internação de referência em dias.</w:t>
            </w:r>
          </w:p>
        </w:tc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Converter dias em pontos segundo tabela original; não usar dias desde a alta.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453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Caráter da admissão: urgente/não programada ou eletiva.</w:t>
            </w:r>
          </w:p>
        </w:tc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Aplicar a definição e pontuação do instrumento.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453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Comorbidades pelo índice de Charlson adotado no LACE.</w:t>
            </w:r>
          </w:p>
        </w:tc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Preservar a versão e pesos usados no instrumento; não substituir pelo número de doenças nem por ajuste etário sem validação.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</w:t>
            </w:r>
          </w:p>
        </w:tc>
        <w:tc>
          <w:tcPr>
            <w:tcW w:type="dxa" w:w="453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Número de visitas à emergência nos seis meses anteriores à admissão de referência.</w:t>
            </w:r>
          </w:p>
        </w:tc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Confirmar período e critérios de inclusão da versão; não contar visitas posteriores à alta neste componente.</w:t>
            </w:r>
          </w:p>
        </w:tc>
      </w:tr>
    </w:tbl>
    <w:p/>
    <w:p>
      <w:pPr>
        <w:pStyle w:val="Heading2"/>
      </w:pPr>
      <w:r>
        <w:t>Interpretação e período de aplicação</w:t>
      </w:r>
    </w:p>
    <w:p>
      <w:r>
        <w:t>O LACE original tem faixa de 0 a 19 e estima o desfecho combinado de óbito ou reinternação não programada nos 30 dias após a alta. Não representa risco de reinternação isoladamente nem prevê os próximos 30 dias a partir de qualquer consulta. [14]</w:t>
      </w:r>
    </w:p>
    <w:p>
      <w:r>
        <w:t>A janela de seis meses define a abertura do percurso neste projeto. Se já passaram mais de 30 dias da alta, permitir registrar o LACE referente ao episódio com identificação histórica; não apresentar a estimativa original como risco prospectivo atual. O médico revê as necessidades pós-alta conforme a condição presente.</w:t>
      </w:r>
    </w:p>
    <w:p>
      <w:pPr>
        <w:pStyle w:val="Heading2"/>
      </w:pPr>
      <w:r>
        <w:t>Plano de transição do cuidado</w:t>
      </w:r>
    </w:p>
    <w:p>
      <w:r>
        <w:t>Disponibilizar conciliação medicamentosa, revisão do resumo de alta, exames pendentes, mudança funcional, sintomas, apoio domiciliar e seguimento. O médico confirma ações, responsável e prazo. Não criar cortes de risco ou intervalos automáticos de retorno sem contrato clínico aprovado. Componentes ausentes deixam o LACE parcial, sem escore final.</w:t>
      </w:r>
    </w:p>
    <w:p>
      <w:pPr>
        <w:pStyle w:val="Heading2"/>
      </w:pPr>
      <w:r>
        <w:t>Persistência e critérios de aceite</w:t>
      </w:r>
    </w:p>
    <w:p>
      <w:r>
        <w:t>Vincular o LACE ao paciente, consulta e internação de referência; guardar componentes, fonte, versão e resultado. Testar ausência de internação, múltiplos episódios, alta desconhecida, dados incompletos, limites da tabela de pontos e consultas após 30 dias. O resultado anterior não é reaplicação; preservar cada episódio e seu plano.</w:t>
      </w:r>
    </w:p>
    <w:p>
      <w:r>
        <w:t>[14] van Walraven C et al. Derivation and validation of an index to predict early death or unplanned readmission after discharge from hospital to the community. CMAJ. 2010. https://pubmed.ncbi.nlm.nih.gov/20194559/</w:t>
      </w:r>
    </w:p>
    <w:p>
      <w:pPr>
        <w:pStyle w:val="Heading1"/>
        <w:pageBreakBefore/>
      </w:pPr>
      <w:r>
        <w:t>14 Informações técnicas no relatório final</w:t>
      </w:r>
    </w:p>
    <w:p>
      <w:r>
        <w:t>Adicionar o botão “Informações técnicas” ao relatório final do Projeto Saúde da Família. Ao clicar, o médico abre orientações profissionais baseadas nos seis domínios de rastreio da consulta e no fluxo de cuidado compartilhado com o geriatra do programa. A regra central é: qualquer domínio alterado exige discussão do caso, mesmo quando a equipe de família já iniciou a conduta.</w:t>
      </w:r>
    </w:p>
    <w:p>
      <w:pPr>
        <w:pStyle w:val="Heading2"/>
      </w:pPr>
      <w:r>
        <w:t>Interação e organização do painel</w:t>
      </w:r>
    </w:p>
    <w:p>
      <w:r>
        <w:t>Exibir o botão em posição visível próxima à tabela de resultados. Abrir uma seção expansível, sem sair do paciente ou perder a posição de leitura. Identificar paciente, consulta e data; manter os resultados e a versão de cada instrumento visíveis. Navegação por teclado, foco e estado expandido/recolhido devem ser acessíveis.</w:t>
      </w:r>
    </w:p>
    <w:p>
      <w:r>
        <w:t>Organizar o conteúdo em quatro partes: rastreio inicial; interpretação e conduta por domínio; discussão com o geriatra; plano compartilhado e reavaliação. A primeira informação será a síntese de domínios com alteração, incompletos e sem alteração registrada, seguida da recomendação de percurso.</w:t>
      </w:r>
    </w:p>
    <w:p>
      <w:pPr>
        <w:pStyle w:val="Heading2"/>
      </w:pPr>
      <w:r>
        <w:t>Público e revisão clínica</w:t>
      </w:r>
    </w:p>
    <w:p>
      <w:r>
        <w:t>O painel utiliza linguagem técnica para o médico de família e constitui apoio à decisão. Cada conduta derivada é uma sugestão até confirmação médica. Não converter a abertura do painel ou a finalização da consulta em confirmação automática de encaminhamento, prescrição ou discussão com o geriatra.</w:t>
      </w:r>
    </w:p>
    <w:p>
      <w:r>
        <w:t>No relatório da família, manter orientações acessíveis e condutas confirmadas; não inserir automaticamente a discussão técnica. Permitir incluir o apêndice profissional na impressão/exportação por escolha explícita e após revisão. A tabela de resultados previamente aprovada permanece preservada.</w:t>
      </w:r>
    </w:p>
    <w:p>
      <w:pPr>
        <w:pStyle w:val="Heading2"/>
      </w:pPr>
      <w:r>
        <w:t>Rastreio inicial e periodicidade</w:t>
      </w:r>
    </w:p>
    <w:p>
      <w:r>
        <w:t>Aplicar os seis domínios na consulta índice ou no exame periódico da pessoa idosa; repetir anualmente quando não houver alterações e antecipar conforme sintomas, eventos e necessidade clínica. Instrumentos de autorrelato e testes administrados pelo profissional terão instruções próprias; não tratar 10-CS ou teste motor como autoaplicáveis.</w:t>
      </w:r>
    </w:p>
    <w:p>
      <w:r>
        <w:t>GDS-5 permanece o padrão aprovado. GDS-15 pode ser usada como alternativa identificada, sem exigir ambas na mesma consulta. MNA-SF permanece o rastreio nutricional principal; perda de peso involuntária &gt;3 kg em três meses funciona como alerta independente, sem converter-se em escore MNA-SF. A informação ausente deve permanecer desconhecida.</w:t>
      </w:r>
    </w:p>
    <w:p>
      <w:pPr>
        <w:pStyle w:val="Heading2"/>
      </w:pPr>
      <w:r>
        <w:t>Contratos atualizados</w:t>
      </w:r>
    </w:p>
    <w:p>
      <w:r>
        <w:t>Os limiares descritos na seção seguinte passam a integrar o protocolo do programa. Congelar a versão, redação e ajustes por escolaridade do 10-CS e a tradução da GDS antes de codificar. Não alterar classificações históricas ou de outros módulos quando o protocolo do programa tiver um limiar distinto.</w:t>
      </w:r>
    </w:p>
    <w:p>
      <w:pPr>
        <w:pStyle w:val="Heading1"/>
        <w:pageBreakBefore/>
      </w:pPr>
      <w:r>
        <w:t>15 Orientações técnicas por domínio</w:t>
      </w:r>
    </w:p>
    <w:p>
      <w:r>
        <w:t>Exibir a orientação específica quando o critério estiver presente na consulta atual. Mostrar o achado que ativou a orientação e sua data. Uma alteração isolada recebe conduta inicial e discussão com o geriatra; a ausência de resultado válido não recebe orientação de normalidade.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5544"/>
      </w:tblGrid>
      <w:tr>
        <w:trPr>
          <w:cantSplit/>
          <w:tblHeader/>
        </w:trPr>
        <w:tc>
          <w:tcPr>
            <w:tcW w:type="dxa" w:w="1512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sz w:val="19"/>
              </w:rPr>
              <w:t>Domínio</w:t>
            </w:r>
          </w:p>
        </w:tc>
        <w:tc>
          <w:tcPr>
            <w:tcW w:type="dxa" w:w="3024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sz w:val="19"/>
              </w:rPr>
              <w:t>Critério do programa</w:t>
            </w:r>
          </w:p>
        </w:tc>
        <w:tc>
          <w:tcPr>
            <w:tcW w:type="dxa" w:w="5544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sz w:val="19"/>
              </w:rPr>
              <w:t>Orientação ao médico de família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Funcionalidade</w:t>
            </w:r>
          </w:p>
        </w:tc>
        <w:tc>
          <w:tcPr>
            <w:tcW w:type="dxa" w:w="30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Katz ou Lawton: qualquer item com necessidade de ajuda ou incapacidade.</w:t>
            </w:r>
          </w:p>
        </w:tc>
        <w:tc>
          <w:tcPr>
            <w:tcW w:type="dxa" w:w="55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Investigar doença aguda, dor, déficit sensorial e medicamentos. Registrar início e evolução da perda. Encaminhar para terapia ocupacional/fisioterapia conforme necessidade. Declínio agudo ou progressivo prioriza avaliação geriátrica ampla.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Locomoção</w:t>
            </w:r>
          </w:p>
        </w:tc>
        <w:tc>
          <w:tcPr>
            <w:tcW w:type="dxa" w:w="30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5xSTS &gt;15 s, dispositivo de marcha ou queda no último ano.</w:t>
            </w:r>
          </w:p>
        </w:tc>
        <w:tc>
          <w:tcPr>
            <w:tcW w:type="dxa" w:w="55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Rever medicamentos pelo STOPPFall, visão, calçados e ambiente domiciliar. Avaliar marcha/equilíbrio e encaminhar à fisioterapia para treino e fortalecimento. O tempo sinaliza baixa força; não mede equilíbrio isoladamente. [5,12–13,15]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Humor</w:t>
            </w:r>
          </w:p>
        </w:tc>
        <w:tc>
          <w:tcPr>
            <w:tcW w:type="dxa" w:w="30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GDS-5 ≥2; se utilizada GDS-15, ≥5.</w:t>
            </w:r>
          </w:p>
        </w:tc>
        <w:tc>
          <w:tcPr>
            <w:tcW w:type="dxa" w:w="55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Aprofundar avaliação de depressão, ideação suicida e álcool. Manejo pela equipe de família conforme avaliação clínica. GDS-15 ≥10 pede avaliação prioritária da intensidade e repercussão. Sintomas graves, risco de suicídio ou falha terapêutica indicam saúde mental/psiquiatria. [4,16]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Cognição</w:t>
            </w:r>
          </w:p>
        </w:tc>
        <w:tc>
          <w:tcPr>
            <w:tcW w:type="dxa" w:w="30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10-CS ≤7: 6–7 possível comprometimento; ≤5 provável comprometimento.</w:t>
            </w:r>
          </w:p>
        </w:tc>
        <w:tc>
          <w:tcPr>
            <w:tcW w:type="dxa" w:w="55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Aplicar MEEM e integrar história, funcionalidade e relato familiar. Investigar delirium, depressão, medicamentos, hipotireoidismo e deficiência de B12 conforme contexto. ≥8 é rastreio sem alteração pelo corte, sem excluir suspeita persistente. Demência diagnosticada segue FAST. [1]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Fragilidade</w:t>
            </w:r>
          </w:p>
        </w:tc>
        <w:tc>
          <w:tcPr>
            <w:tcW w:type="dxa" w:w="30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FRAIL 1–2: pré-fragilidade; ≥3: fragilidade.</w:t>
            </w:r>
          </w:p>
        </w:tc>
        <w:tc>
          <w:tcPr>
            <w:tcW w:type="dxa" w:w="55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Rever polifarmácia e otimizar exercício e nutrição. Pré-fragilidade também conta como domínio alterado e exige discussão do caso; prever revisão específica em 6–12 meses. FRAIL ≥3 prioriza avaliação geriátrica ampla. [7]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Nutrição</w:t>
            </w:r>
          </w:p>
        </w:tc>
        <w:tc>
          <w:tcPr>
            <w:tcW w:type="dxa" w:w="30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MNA-SF ≤11 ou perda involuntária &gt;3 kg em três meses.</w:t>
            </w:r>
          </w:p>
        </w:tc>
        <w:tc>
          <w:tcPr>
            <w:tcW w:type="dxa" w:w="55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sz w:val="19"/>
              </w:rPr>
              <w:t>MNA-SF 8–11: risco; 0–7: desnutrição. Encaminhar à nutrição/dietética e investigar disfagia, condições odontológicas, depressão, isolamento e acesso à alimentação. Queixa de disfagia abre EAT-10. [8–9]</w:t>
            </w:r>
          </w:p>
        </w:tc>
      </w:tr>
    </w:tbl>
    <w:p/>
    <w:p>
      <w:pPr>
        <w:pStyle w:val="Heading2"/>
      </w:pPr>
      <w:r>
        <w:t>Interpretação clínica</w:t>
      </w:r>
    </w:p>
    <w:p>
      <w:r>
        <w:t>GDS positiva não estabelece diagnóstico ou gravidade de depressão. O corte ≥5 da GDS-15 tem apoio em validação brasileira na atenção primária; outras versões/contextos podem adotar corte distinto. [16] MEEM alterado reforça suspeita, mas não confirma demência sozinho. Dispositivo de marcha é sinal de necessidade de avaliação, não justificativa para retirar um apoio indicado.</w:t>
      </w:r>
    </w:p>
    <w:p>
      <w:r>
        <w:t>Incapacidade ou aplicação insegura de 5xSTS motiva avaliação clínica e pode registrar limitação de mobilidade confirmada; não atribuir tempo fictício. A revisão mais precoce por outro domínio ou intercorrência prevalece sobre o intervalo de 6–12 meses da pré-fragilidade.</w:t>
      </w:r>
    </w:p>
    <w:p>
      <w:pPr>
        <w:pStyle w:val="Heading1"/>
        <w:pageBreakBefore/>
      </w:pPr>
      <w:r>
        <w:t>16 Discussão com o geriatra e reavaliação</w:t>
      </w:r>
    </w:p>
    <w:p>
      <w:r>
        <w:drawing>
          <wp:inline xmlns:a="http://schemas.openxmlformats.org/drawingml/2006/main" xmlns:pic="http://schemas.openxmlformats.org/drawingml/2006/picture">
            <wp:extent cx="6035040" cy="3524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matriciam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Regra única de discussão</w:t>
      </w:r>
    </w:p>
    <w:p>
      <w:r>
        <w:t>Qualquer alteração em funcionalidade, locomoção, humor, cognição, fragilidade ou nutrição exige discussão com o geriatra do programa. A conduta inicial da equipe de família não dispensa a discussão. Matriciamento é discussão de caso e não implica necessariamente consulta presencial.</w:t>
      </w:r>
    </w:p>
    <w:p>
      <w:r>
        <w:t>Alteração isolada: manter condução pela equipe de família, discutir com o geriatra e prever reavaliação em 3–6 meses, ajustada à necessidade clínica. Dois ou mais domínios alterados, FRAIL ≥3, declínio funcional agudo/progressivo ou suspeita de demência reforçada na avaliação de segundo nível: priorizar avaliação geriátrica ampla e seguimento compartilhado.</w:t>
      </w:r>
    </w:p>
    <w:p>
      <w:r>
        <w:t>Demência já diagnosticada mantém FAST e planejamento compartilhado; não exigir novo 10-CS/MEEM para permitir discussão. Casos com diagnóstico e plano prévios devem ter continuidade definida conjuntamente. Rastreio completo sem alterações: hábitos saudáveis, atividade física e revisão anual, sem discussão obrigatória pelo protocolo.</w:t>
      </w:r>
    </w:p>
    <w:p>
      <w:pPr>
        <w:pStyle w:val="Heading2"/>
      </w:pPr>
      <w:r>
        <w:t>Fluxo de urgência independente</w:t>
      </w:r>
    </w:p>
    <w:p>
      <w:r>
        <w:t>Ideação suicida requer avaliação imediata do risco; risco iminente segue urgência. Lesão relevante após queda, instabilidade clínica ou repercussões graves da desnutrição seguem atendimento prioritário/urgência conforme avaliação. Não aguardar matriciamento ou AGA para atender uma emergência. O escore isolado não determina a urgência.</w:t>
      </w:r>
    </w:p>
    <w:p>
      <w:pPr>
        <w:pStyle w:val="Heading1"/>
        <w:pageBreakBefore/>
      </w:pPr>
      <w:r>
        <w:t>17 Regras de geração e critérios de aceite do painel</w:t>
      </w:r>
    </w:p>
    <w:p>
      <w:pPr>
        <w:pStyle w:val="Heading2"/>
      </w:pPr>
      <w:r>
        <w:t>Estado por domínio e recomendação de percurso</w:t>
      </w:r>
    </w:p>
    <w:p>
      <w:r>
        <w:t>Gerar o painel a partir de dados persistidos, regras clínicas versionadas e um modelo de apresentação. Não calcular critérios no componente React. Um domínio recebe estado sem alteração, alterado, incompleto ou não realizado. Preservar o motivo e a versão da regra que produziram o estado.</w:t>
      </w:r>
    </w:p>
    <w:p>
      <w:r>
        <w:t>Se houver pelo menos uma alteração válida, recomendar discussão com o geriatra mesmo que outro domínio esteja incompleto. Contar domínios distintos: Katz e Lawton alterados contam como uma alteração funcional; vários critérios motores contam como uma alteração de locomoção. FRAIL 1–2 ativa pré-fragilidade e matriciamento; FRAIL ≥3 ativa também prioridade para AGA.</w:t>
      </w:r>
    </w:p>
    <w:p>
      <w:r>
        <w:t>Recomendar revisão anual sem discussão obrigatória apenas quando todos os domínios tiverem avaliação válida sem alterações. Em avaliação parcial, exibir “rastreio incompleto” e pendências; não declarar robustez ou baixo risco. Retorno sem reaplicação não transforma resultado histórico em resultado atual: mostrar data e distinguir informação atual de histórico.</w:t>
      </w:r>
    </w:p>
    <w:p>
      <w:pPr>
        <w:pStyle w:val="Heading2"/>
      </w:pPr>
      <w:r>
        <w:t>Registro do cuidado compartilhado</w:t>
      </w:r>
    </w:p>
    <w:p>
      <w:r>
        <w:t>Persistir indicação de discussão, motivo, prioridade, estado pendente/discutido/encaminhado, profissional responsável, data, participantes e plano acordado. Se houver encaminhamento para AGA, registrar o destino e acompanhamento. Não marcar discussão como realizada apenas porque foi sugerida. Registrar prazo e confirmação de cada conduta.</w:t>
      </w:r>
    </w:p>
    <w:p>
      <w:pPr>
        <w:pStyle w:val="Heading2"/>
        <w:pageBreakBefore/>
      </w:pPr>
      <w:r>
        <w:t>Cenários obrigatórios de homologação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48"/>
        <w:gridCol w:w="5832"/>
      </w:tblGrid>
      <w:tr>
        <w:trPr>
          <w:cantSplit/>
          <w:tblHeader/>
        </w:trPr>
        <w:tc>
          <w:tcPr>
            <w:tcW w:type="dxa" w:w="4248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Cenário</w:t>
            </w:r>
          </w:p>
        </w:tc>
        <w:tc>
          <w:tcPr>
            <w:tcW w:type="dxa" w:w="5832"/>
            <w:vAlign w:val="center"/>
            <w:shd w:fill="E7EF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Seis domínios completos sem alteração</w:t>
            </w:r>
          </w:p>
        </w:tc>
        <w:tc>
          <w:tcPr>
            <w:tcW w:type="dxa" w:w="583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Prevenção e revisão anual; sem discussão obrigatória.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Uma alteração, conduta já iniciada</w:t>
            </w:r>
          </w:p>
        </w:tc>
        <w:tc>
          <w:tcPr>
            <w:tcW w:type="dxa" w:w="583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Orientação específica e matriciamento continuam indicados.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Duas escalas do mesmo domínio alteradas</w:t>
            </w:r>
          </w:p>
        </w:tc>
        <w:tc>
          <w:tcPr>
            <w:tcW w:type="dxa" w:w="583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Contar um domínio; não priorizar AGA apenas por duplicidade.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Dois domínios alterados ou FRAIL ≥3</w:t>
            </w:r>
          </w:p>
        </w:tc>
        <w:tc>
          <w:tcPr>
            <w:tcW w:type="dxa" w:w="583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Priorizar AGA e plano compartilhado.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FRAIL 1–2 isolado</w:t>
            </w:r>
          </w:p>
        </w:tc>
        <w:tc>
          <w:tcPr>
            <w:tcW w:type="dxa" w:w="583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Matriciamento, cuidado inicial e prazo individualizado; pré-fragilidade preservada.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GDS-5 1/2; GDS-15 4/5; 5xSTS 15/&gt;15</w:t>
            </w:r>
          </w:p>
        </w:tc>
        <w:tc>
          <w:tcPr>
            <w:tcW w:type="dxa" w:w="583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Ativar somente no limiar correto; não inferir gravidade ou diagnóstico.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10-CS 5/6/7/8; demência diagnosticada</w:t>
            </w:r>
          </w:p>
        </w:tc>
        <w:tc>
          <w:tcPr>
            <w:tcW w:type="dxa" w:w="583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Faixas corretas e MEEM quando indicado; FAST no diagnóstico prévio.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MNA-SF 7/8/11/12; perda &gt;3 kg</w:t>
            </w:r>
          </w:p>
        </w:tc>
        <w:tc>
          <w:tcPr>
            <w:tcW w:type="dxa" w:w="583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Classificação correta; alerta de peso independente do escore.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Resultado ausente ou apenas histórico</w:t>
            </w:r>
          </w:p>
        </w:tc>
        <w:tc>
          <w:tcPr>
            <w:tcW w:type="dxa" w:w="583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Não declarar normalidade; indicação válida em outro domínio preservada.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Urgência e exportação familiar</w:t>
            </w:r>
          </w:p>
        </w:tc>
        <w:tc>
          <w:tcPr>
            <w:tcW w:type="dxa" w:w="583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47" w:lineRule="auto"/>
            </w:pPr>
            <w:r>
              <w:rPr>
                <w:b w:val="0"/>
                <w:sz w:val="20"/>
              </w:rPr>
              <w:t>Fluxo de urgência independente; texto técnico separado e conduta confirmada.</w:t>
            </w:r>
          </w:p>
        </w:tc>
      </w:tr>
    </w:tbl>
    <w:p/>
    <w:p>
      <w:r>
        <w:t>[15] CDC. STEADI Algorithm for Fall Risk Screening, Assessment and Intervention. https://stacks.cdc.gov/view/cdc/123853</w:t>
      </w:r>
    </w:p>
    <w:p>
      <w:r>
        <w:t>[16] Validity of the Brazilian version of the Geriatric Depression Scale among primary care patients. https://pubmed.ncbi.nlm.nih.gov/19883523/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Prontuário Aprimorado | Especificação 1.3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do módulo de cuidado da pessoa idosa para medicina de família</dc:title>
  <dc:subject/>
  <dc:creator>Projeto Prontuário Aprimorado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