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C253F" w14:textId="77777777" w:rsidR="00851B8A" w:rsidRDefault="00851B8A" w:rsidP="00851B8A">
      <w:pPr>
        <w:spacing w:after="43"/>
        <w:rPr>
          <w:rFonts w:ascii="Times New Roman" w:hAnsi="Times New Roman"/>
          <w:color w:val="000000" w:themeColor="text1"/>
          <w:sz w:val="24"/>
          <w:szCs w:val="24"/>
        </w:rPr>
      </w:pPr>
    </w:p>
    <w:p w14:paraId="640DC0BE" w14:textId="1431EF74" w:rsidR="00851B8A" w:rsidRPr="002F1E34" w:rsidRDefault="00851B8A" w:rsidP="00851B8A">
      <w:pPr>
        <w:spacing w:after="43"/>
        <w:rPr>
          <w:rFonts w:ascii="Times New Roman" w:hAnsi="Times New Roman"/>
          <w:color w:val="000000" w:themeColor="text1"/>
          <w:sz w:val="24"/>
          <w:szCs w:val="24"/>
          <w:u w:val="single"/>
        </w:rPr>
      </w:pPr>
      <w:r w:rsidRPr="002F1E34">
        <w:rPr>
          <w:rFonts w:ascii="Times New Roman" w:hAnsi="Times New Roman"/>
          <w:color w:val="000000" w:themeColor="text1"/>
          <w:sz w:val="24"/>
          <w:szCs w:val="24"/>
          <w:u w:val="single"/>
        </w:rPr>
        <w:t xml:space="preserve">Neutral Citation Number: </w:t>
      </w:r>
      <w:r w:rsidR="00A258BC">
        <w:rPr>
          <w:rFonts w:ascii="Times New Roman" w:hAnsi="Times New Roman"/>
          <w:color w:val="000000" w:themeColor="text1"/>
          <w:sz w:val="24"/>
          <w:szCs w:val="24"/>
          <w:u w:val="single"/>
        </w:rPr>
        <w:t xml:space="preserve">[2022] </w:t>
      </w:r>
      <w:r w:rsidRPr="002F1E34">
        <w:rPr>
          <w:rFonts w:ascii="Times New Roman" w:hAnsi="Times New Roman"/>
          <w:color w:val="000000" w:themeColor="text1"/>
          <w:sz w:val="24"/>
          <w:szCs w:val="24"/>
          <w:u w:val="single"/>
        </w:rPr>
        <w:t>EAT</w:t>
      </w:r>
      <w:r w:rsidR="00A258BC">
        <w:rPr>
          <w:rFonts w:ascii="Times New Roman" w:hAnsi="Times New Roman"/>
          <w:color w:val="000000" w:themeColor="text1"/>
          <w:sz w:val="24"/>
          <w:szCs w:val="24"/>
          <w:u w:val="single"/>
        </w:rPr>
        <w:t xml:space="preserve"> </w:t>
      </w:r>
      <w:r w:rsidRPr="002F1E34">
        <w:rPr>
          <w:rFonts w:ascii="Times New Roman" w:hAnsi="Times New Roman"/>
          <w:color w:val="000000" w:themeColor="text1"/>
          <w:sz w:val="24"/>
          <w:szCs w:val="24"/>
          <w:u w:val="single"/>
        </w:rPr>
        <w:t>1</w:t>
      </w:r>
    </w:p>
    <w:p w14:paraId="7EA83793" w14:textId="77777777" w:rsidR="00851B8A" w:rsidRPr="00AB25F4" w:rsidRDefault="00851B8A" w:rsidP="00851B8A">
      <w:pPr>
        <w:spacing w:line="265" w:lineRule="exact"/>
        <w:rPr>
          <w:rFonts w:ascii="Times New Roman" w:hAnsi="Times New Roman" w:cs="Times New Roman"/>
          <w:color w:val="010302"/>
          <w:sz w:val="24"/>
          <w:szCs w:val="24"/>
        </w:rPr>
      </w:pPr>
    </w:p>
    <w:p w14:paraId="583F2922" w14:textId="70BA47A6" w:rsidR="00E14E89" w:rsidRDefault="00EE4D98" w:rsidP="00443F54">
      <w:pPr>
        <w:spacing w:before="241" w:line="265" w:lineRule="exact"/>
        <w:jc w:val="right"/>
        <w:rPr>
          <w:rFonts w:ascii="Times New Roman" w:hAnsi="Times New Roman" w:cs="Times New Roman"/>
          <w:color w:val="000000"/>
          <w:sz w:val="24"/>
          <w:szCs w:val="24"/>
          <w:u w:val="single"/>
        </w:rPr>
      </w:pPr>
      <w:r w:rsidRPr="00AB25F4">
        <w:rPr>
          <w:rFonts w:ascii="Times New Roman" w:hAnsi="Times New Roman" w:cs="Times New Roman"/>
          <w:color w:val="000000"/>
          <w:sz w:val="24"/>
          <w:szCs w:val="24"/>
          <w:u w:val="single"/>
        </w:rPr>
        <w:t xml:space="preserve">Case No: </w:t>
      </w:r>
      <w:bookmarkStart w:id="0" w:name="_Hlk89857914"/>
      <w:r w:rsidR="00962DE5" w:rsidRPr="00962DE5">
        <w:rPr>
          <w:rFonts w:ascii="Times New Roman" w:hAnsi="Times New Roman" w:cs="Times New Roman"/>
          <w:color w:val="000000"/>
          <w:sz w:val="24"/>
          <w:szCs w:val="24"/>
          <w:u w:val="single"/>
        </w:rPr>
        <w:t>EA-2020-000385-JOJ</w:t>
      </w:r>
      <w:bookmarkStart w:id="1" w:name="_GoBack"/>
      <w:bookmarkEnd w:id="0"/>
      <w:bookmarkEnd w:id="1"/>
    </w:p>
    <w:p w14:paraId="7511DA26" w14:textId="77777777" w:rsidR="001D464F" w:rsidRPr="00AB25F4" w:rsidRDefault="001D464F" w:rsidP="00443F54">
      <w:pPr>
        <w:spacing w:before="241" w:line="265" w:lineRule="exact"/>
        <w:jc w:val="right"/>
        <w:rPr>
          <w:rFonts w:ascii="Times New Roman" w:hAnsi="Times New Roman" w:cs="Times New Roman"/>
          <w:color w:val="010302"/>
          <w:sz w:val="24"/>
          <w:szCs w:val="24"/>
        </w:rPr>
      </w:pPr>
    </w:p>
    <w:p w14:paraId="0A19E6B4" w14:textId="77777777" w:rsidR="00E14E89" w:rsidRPr="00AB25F4" w:rsidRDefault="00EE4D98" w:rsidP="00443F54">
      <w:pPr>
        <w:spacing w:before="10" w:line="265" w:lineRule="exact"/>
        <w:rPr>
          <w:rFonts w:ascii="Times New Roman" w:hAnsi="Times New Roman" w:cs="Times New Roman"/>
          <w:color w:val="010302"/>
          <w:sz w:val="24"/>
          <w:szCs w:val="24"/>
        </w:rPr>
      </w:pPr>
      <w:r w:rsidRPr="00AB25F4">
        <w:rPr>
          <w:rFonts w:ascii="Times New Roman" w:hAnsi="Times New Roman" w:cs="Times New Roman"/>
          <w:b/>
          <w:bCs/>
          <w:color w:val="000000"/>
          <w:sz w:val="24"/>
          <w:szCs w:val="24"/>
          <w:u w:val="single"/>
        </w:rPr>
        <w:t>E</w:t>
      </w:r>
      <w:r w:rsidRPr="00AB25F4">
        <w:rPr>
          <w:rFonts w:ascii="Times New Roman" w:hAnsi="Times New Roman" w:cs="Times New Roman"/>
          <w:b/>
          <w:bCs/>
          <w:color w:val="000000"/>
          <w:spacing w:val="-3"/>
          <w:sz w:val="24"/>
          <w:szCs w:val="24"/>
          <w:u w:val="single"/>
        </w:rPr>
        <w:t>M</w:t>
      </w:r>
      <w:r w:rsidRPr="00AB25F4">
        <w:rPr>
          <w:rFonts w:ascii="Times New Roman" w:hAnsi="Times New Roman" w:cs="Times New Roman"/>
          <w:b/>
          <w:bCs/>
          <w:color w:val="000000"/>
          <w:spacing w:val="-2"/>
          <w:sz w:val="24"/>
          <w:szCs w:val="24"/>
          <w:u w:val="single"/>
        </w:rPr>
        <w:t>P</w:t>
      </w:r>
      <w:r w:rsidRPr="00AB25F4">
        <w:rPr>
          <w:rFonts w:ascii="Times New Roman" w:hAnsi="Times New Roman" w:cs="Times New Roman"/>
          <w:b/>
          <w:bCs/>
          <w:color w:val="000000"/>
          <w:spacing w:val="-4"/>
          <w:sz w:val="24"/>
          <w:szCs w:val="24"/>
          <w:u w:val="single"/>
        </w:rPr>
        <w:t>L</w:t>
      </w:r>
      <w:r w:rsidRPr="00AB25F4">
        <w:rPr>
          <w:rFonts w:ascii="Times New Roman" w:hAnsi="Times New Roman" w:cs="Times New Roman"/>
          <w:b/>
          <w:bCs/>
          <w:color w:val="000000"/>
          <w:sz w:val="24"/>
          <w:szCs w:val="24"/>
          <w:u w:val="single"/>
        </w:rPr>
        <w:t>O</w:t>
      </w:r>
      <w:r w:rsidRPr="00AB25F4">
        <w:rPr>
          <w:rFonts w:ascii="Times New Roman" w:hAnsi="Times New Roman" w:cs="Times New Roman"/>
          <w:b/>
          <w:bCs/>
          <w:color w:val="000000"/>
          <w:spacing w:val="-2"/>
          <w:sz w:val="24"/>
          <w:szCs w:val="24"/>
          <w:u w:val="single"/>
        </w:rPr>
        <w:t>Y</w:t>
      </w:r>
      <w:r w:rsidRPr="00AB25F4">
        <w:rPr>
          <w:rFonts w:ascii="Times New Roman" w:hAnsi="Times New Roman" w:cs="Times New Roman"/>
          <w:b/>
          <w:bCs/>
          <w:color w:val="000000"/>
          <w:spacing w:val="-3"/>
          <w:sz w:val="24"/>
          <w:szCs w:val="24"/>
          <w:u w:val="single"/>
        </w:rPr>
        <w:t>M</w:t>
      </w:r>
      <w:r w:rsidRPr="00AB25F4">
        <w:rPr>
          <w:rFonts w:ascii="Times New Roman" w:hAnsi="Times New Roman" w:cs="Times New Roman"/>
          <w:b/>
          <w:bCs/>
          <w:color w:val="000000"/>
          <w:sz w:val="24"/>
          <w:szCs w:val="24"/>
          <w:u w:val="single"/>
        </w:rPr>
        <w:t>E</w:t>
      </w:r>
      <w:r w:rsidRPr="00AB25F4">
        <w:rPr>
          <w:rFonts w:ascii="Times New Roman" w:hAnsi="Times New Roman" w:cs="Times New Roman"/>
          <w:b/>
          <w:bCs/>
          <w:color w:val="000000"/>
          <w:spacing w:val="-5"/>
          <w:sz w:val="24"/>
          <w:szCs w:val="24"/>
          <w:u w:val="single"/>
        </w:rPr>
        <w:t>N</w:t>
      </w:r>
      <w:r w:rsidRPr="00AB25F4">
        <w:rPr>
          <w:rFonts w:ascii="Times New Roman" w:hAnsi="Times New Roman" w:cs="Times New Roman"/>
          <w:b/>
          <w:bCs/>
          <w:color w:val="000000"/>
          <w:sz w:val="24"/>
          <w:szCs w:val="24"/>
          <w:u w:val="single"/>
        </w:rPr>
        <w:t>T</w:t>
      </w:r>
      <w:r w:rsidRPr="00AB25F4">
        <w:rPr>
          <w:rFonts w:ascii="Times New Roman" w:hAnsi="Times New Roman" w:cs="Times New Roman"/>
          <w:b/>
          <w:bCs/>
          <w:color w:val="000000"/>
          <w:spacing w:val="-2"/>
          <w:sz w:val="24"/>
          <w:szCs w:val="24"/>
          <w:u w:val="single"/>
        </w:rPr>
        <w:t xml:space="preserve"> AP</w:t>
      </w:r>
      <w:r w:rsidRPr="00AB25F4">
        <w:rPr>
          <w:rFonts w:ascii="Times New Roman" w:hAnsi="Times New Roman" w:cs="Times New Roman"/>
          <w:b/>
          <w:bCs/>
          <w:color w:val="000000"/>
          <w:spacing w:val="-5"/>
          <w:sz w:val="24"/>
          <w:szCs w:val="24"/>
          <w:u w:val="single"/>
        </w:rPr>
        <w:t>P</w:t>
      </w:r>
      <w:r w:rsidRPr="00AB25F4">
        <w:rPr>
          <w:rFonts w:ascii="Times New Roman" w:hAnsi="Times New Roman" w:cs="Times New Roman"/>
          <w:b/>
          <w:bCs/>
          <w:color w:val="000000"/>
          <w:spacing w:val="-4"/>
          <w:sz w:val="24"/>
          <w:szCs w:val="24"/>
          <w:u w:val="single"/>
        </w:rPr>
        <w:t>E</w:t>
      </w:r>
      <w:r w:rsidRPr="00AB25F4">
        <w:rPr>
          <w:rFonts w:ascii="Times New Roman" w:hAnsi="Times New Roman" w:cs="Times New Roman"/>
          <w:b/>
          <w:bCs/>
          <w:color w:val="000000"/>
          <w:spacing w:val="-2"/>
          <w:sz w:val="24"/>
          <w:szCs w:val="24"/>
          <w:u w:val="single"/>
        </w:rPr>
        <w:t>A</w:t>
      </w:r>
      <w:r w:rsidRPr="00AB25F4">
        <w:rPr>
          <w:rFonts w:ascii="Times New Roman" w:hAnsi="Times New Roman" w:cs="Times New Roman"/>
          <w:b/>
          <w:bCs/>
          <w:color w:val="000000"/>
          <w:sz w:val="24"/>
          <w:szCs w:val="24"/>
          <w:u w:val="single"/>
        </w:rPr>
        <w:t>L</w:t>
      </w:r>
      <w:r w:rsidRPr="00AB25F4">
        <w:rPr>
          <w:rFonts w:ascii="Times New Roman" w:hAnsi="Times New Roman" w:cs="Times New Roman"/>
          <w:b/>
          <w:bCs/>
          <w:color w:val="000000"/>
          <w:spacing w:val="-2"/>
          <w:sz w:val="24"/>
          <w:szCs w:val="24"/>
          <w:u w:val="single"/>
        </w:rPr>
        <w:t xml:space="preserve"> </w:t>
      </w:r>
      <w:r w:rsidRPr="00AB25F4">
        <w:rPr>
          <w:rFonts w:ascii="Times New Roman" w:hAnsi="Times New Roman" w:cs="Times New Roman"/>
          <w:b/>
          <w:bCs/>
          <w:color w:val="000000"/>
          <w:sz w:val="24"/>
          <w:szCs w:val="24"/>
          <w:u w:val="single"/>
        </w:rPr>
        <w:t>T</w:t>
      </w:r>
      <w:r w:rsidRPr="00AB25F4">
        <w:rPr>
          <w:rFonts w:ascii="Times New Roman" w:hAnsi="Times New Roman" w:cs="Times New Roman"/>
          <w:b/>
          <w:bCs/>
          <w:color w:val="000000"/>
          <w:spacing w:val="-5"/>
          <w:sz w:val="24"/>
          <w:szCs w:val="24"/>
          <w:u w:val="single"/>
        </w:rPr>
        <w:t>R</w:t>
      </w:r>
      <w:r w:rsidRPr="00AB25F4">
        <w:rPr>
          <w:rFonts w:ascii="Times New Roman" w:hAnsi="Times New Roman" w:cs="Times New Roman"/>
          <w:b/>
          <w:bCs/>
          <w:color w:val="000000"/>
          <w:spacing w:val="-2"/>
          <w:sz w:val="24"/>
          <w:szCs w:val="24"/>
          <w:u w:val="single"/>
        </w:rPr>
        <w:t>I</w:t>
      </w:r>
      <w:r w:rsidRPr="00AB25F4">
        <w:rPr>
          <w:rFonts w:ascii="Times New Roman" w:hAnsi="Times New Roman" w:cs="Times New Roman"/>
          <w:b/>
          <w:bCs/>
          <w:color w:val="000000"/>
          <w:sz w:val="24"/>
          <w:szCs w:val="24"/>
          <w:u w:val="single"/>
        </w:rPr>
        <w:t>B</w:t>
      </w:r>
      <w:r w:rsidRPr="00AB25F4">
        <w:rPr>
          <w:rFonts w:ascii="Times New Roman" w:hAnsi="Times New Roman" w:cs="Times New Roman"/>
          <w:b/>
          <w:bCs/>
          <w:color w:val="000000"/>
          <w:spacing w:val="-2"/>
          <w:sz w:val="24"/>
          <w:szCs w:val="24"/>
          <w:u w:val="single"/>
        </w:rPr>
        <w:t>UN</w:t>
      </w:r>
      <w:r w:rsidRPr="00AB25F4">
        <w:rPr>
          <w:rFonts w:ascii="Times New Roman" w:hAnsi="Times New Roman" w:cs="Times New Roman"/>
          <w:b/>
          <w:bCs/>
          <w:color w:val="000000"/>
          <w:spacing w:val="-5"/>
          <w:sz w:val="24"/>
          <w:szCs w:val="24"/>
          <w:u w:val="single"/>
        </w:rPr>
        <w:t>A</w:t>
      </w:r>
      <w:r w:rsidRPr="00AB25F4">
        <w:rPr>
          <w:rFonts w:ascii="Times New Roman" w:hAnsi="Times New Roman" w:cs="Times New Roman"/>
          <w:b/>
          <w:bCs/>
          <w:color w:val="000000"/>
          <w:spacing w:val="-3"/>
          <w:sz w:val="24"/>
          <w:szCs w:val="24"/>
          <w:u w:val="single"/>
        </w:rPr>
        <w:t>L</w:t>
      </w:r>
      <w:r w:rsidRPr="00AB25F4">
        <w:rPr>
          <w:rFonts w:ascii="Times New Roman" w:hAnsi="Times New Roman" w:cs="Times New Roman"/>
          <w:b/>
          <w:bCs/>
          <w:color w:val="000000"/>
          <w:sz w:val="24"/>
          <w:szCs w:val="24"/>
        </w:rPr>
        <w:t xml:space="preserve">  </w:t>
      </w:r>
    </w:p>
    <w:p w14:paraId="1EB449B4" w14:textId="77777777" w:rsidR="00E14E89" w:rsidRPr="00AB25F4" w:rsidRDefault="00E14E89" w:rsidP="00443F54">
      <w:pPr>
        <w:spacing w:after="2"/>
        <w:rPr>
          <w:rFonts w:ascii="Times New Roman" w:hAnsi="Times New Roman"/>
          <w:color w:val="000000" w:themeColor="text1"/>
          <w:sz w:val="24"/>
          <w:szCs w:val="24"/>
        </w:rPr>
      </w:pPr>
    </w:p>
    <w:p w14:paraId="01D9C20A" w14:textId="77777777" w:rsidR="00717B8E" w:rsidRPr="00AB25F4" w:rsidRDefault="00EE4D98" w:rsidP="00443F54">
      <w:pPr>
        <w:spacing w:line="275" w:lineRule="exact"/>
        <w:jc w:val="right"/>
        <w:rPr>
          <w:rFonts w:ascii="Times New Roman" w:hAnsi="Times New Roman" w:cs="Times New Roman"/>
          <w:color w:val="000000"/>
          <w:sz w:val="24"/>
          <w:szCs w:val="24"/>
        </w:rPr>
      </w:pPr>
      <w:r w:rsidRPr="00AB25F4">
        <w:rPr>
          <w:rFonts w:ascii="Times New Roman" w:hAnsi="Times New Roman" w:cs="Times New Roman"/>
          <w:color w:val="000000"/>
          <w:sz w:val="24"/>
          <w:szCs w:val="24"/>
          <w:u w:val="single"/>
        </w:rPr>
        <w:t>Rolls Building</w:t>
      </w:r>
    </w:p>
    <w:p w14:paraId="057C4EB8" w14:textId="7E21F4D1" w:rsidR="00E14E89" w:rsidRPr="00AB25F4" w:rsidRDefault="00EE4D98" w:rsidP="00443F54">
      <w:pPr>
        <w:spacing w:line="275" w:lineRule="exact"/>
        <w:jc w:val="right"/>
        <w:rPr>
          <w:rFonts w:ascii="Times New Roman" w:hAnsi="Times New Roman" w:cs="Times New Roman"/>
          <w:color w:val="010302"/>
          <w:sz w:val="24"/>
          <w:szCs w:val="24"/>
        </w:rPr>
      </w:pPr>
      <w:r w:rsidRPr="00AB25F4">
        <w:rPr>
          <w:rFonts w:ascii="Times New Roman" w:hAnsi="Times New Roman" w:cs="Times New Roman"/>
          <w:color w:val="000000"/>
          <w:sz w:val="24"/>
          <w:szCs w:val="24"/>
          <w:u w:val="single"/>
        </w:rPr>
        <w:t>Fetter Lane, London, EC4A</w:t>
      </w:r>
      <w:r w:rsidR="009A3442" w:rsidRPr="00AB25F4">
        <w:rPr>
          <w:rFonts w:ascii="Times New Roman" w:hAnsi="Times New Roman" w:cs="Times New Roman"/>
          <w:color w:val="000000"/>
          <w:sz w:val="24"/>
          <w:szCs w:val="24"/>
          <w:u w:val="single"/>
        </w:rPr>
        <w:t xml:space="preserve"> </w:t>
      </w:r>
      <w:r w:rsidRPr="00AB25F4">
        <w:rPr>
          <w:rFonts w:ascii="Times New Roman" w:hAnsi="Times New Roman" w:cs="Times New Roman"/>
          <w:color w:val="000000"/>
          <w:sz w:val="24"/>
          <w:szCs w:val="24"/>
          <w:u w:val="single"/>
        </w:rPr>
        <w:t>1NL</w:t>
      </w:r>
    </w:p>
    <w:p w14:paraId="0CE49189" w14:textId="77777777" w:rsidR="00E14E89" w:rsidRPr="00AB25F4" w:rsidRDefault="00E14E89" w:rsidP="00443F54">
      <w:pPr>
        <w:spacing w:after="10"/>
        <w:rPr>
          <w:rFonts w:ascii="Times New Roman" w:hAnsi="Times New Roman"/>
          <w:color w:val="000000" w:themeColor="text1"/>
          <w:sz w:val="24"/>
          <w:szCs w:val="24"/>
        </w:rPr>
      </w:pPr>
    </w:p>
    <w:p w14:paraId="37AFDA16" w14:textId="76FAACD7" w:rsidR="00E14E89" w:rsidRPr="00AB25F4" w:rsidRDefault="00EE4D98" w:rsidP="00443F54">
      <w:pPr>
        <w:spacing w:line="265" w:lineRule="exact"/>
        <w:jc w:val="right"/>
        <w:rPr>
          <w:rFonts w:ascii="Times New Roman" w:hAnsi="Times New Roman" w:cs="Times New Roman"/>
          <w:color w:val="010302"/>
          <w:sz w:val="24"/>
          <w:szCs w:val="24"/>
        </w:rPr>
      </w:pPr>
      <w:r w:rsidRPr="00AB25F4">
        <w:rPr>
          <w:rFonts w:ascii="Times New Roman" w:hAnsi="Times New Roman" w:cs="Times New Roman"/>
          <w:color w:val="000000"/>
          <w:sz w:val="24"/>
          <w:szCs w:val="24"/>
          <w:u w:val="single"/>
        </w:rPr>
        <w:t xml:space="preserve">Date: </w:t>
      </w:r>
      <w:r w:rsidR="00962DE5" w:rsidRPr="00962DE5">
        <w:rPr>
          <w:rFonts w:ascii="Times New Roman" w:hAnsi="Times New Roman" w:cs="Times New Roman"/>
          <w:color w:val="000000"/>
          <w:sz w:val="24"/>
          <w:szCs w:val="24"/>
          <w:u w:val="single"/>
        </w:rPr>
        <w:t>28 September 2021</w:t>
      </w:r>
    </w:p>
    <w:p w14:paraId="704E4300" w14:textId="77777777" w:rsidR="00E14E89" w:rsidRPr="00AB25F4" w:rsidRDefault="00E14E89" w:rsidP="00443F54">
      <w:pPr>
        <w:spacing w:after="10"/>
        <w:rPr>
          <w:rFonts w:ascii="Times New Roman" w:hAnsi="Times New Roman"/>
          <w:color w:val="000000" w:themeColor="text1"/>
          <w:sz w:val="24"/>
          <w:szCs w:val="24"/>
        </w:rPr>
      </w:pPr>
    </w:p>
    <w:p w14:paraId="056D3C02" w14:textId="2FB9DFF2" w:rsidR="00E14E89" w:rsidRPr="00AB25F4" w:rsidRDefault="00EE4D98" w:rsidP="00443F54">
      <w:pPr>
        <w:spacing w:line="265" w:lineRule="exact"/>
        <w:jc w:val="center"/>
        <w:rPr>
          <w:rFonts w:ascii="Times New Roman" w:hAnsi="Times New Roman" w:cs="Times New Roman"/>
          <w:color w:val="010302"/>
          <w:sz w:val="24"/>
          <w:szCs w:val="24"/>
        </w:rPr>
      </w:pPr>
      <w:r w:rsidRPr="00AB25F4">
        <w:rPr>
          <w:rFonts w:ascii="Times New Roman" w:hAnsi="Times New Roman" w:cs="Times New Roman"/>
          <w:b/>
          <w:bCs/>
          <w:color w:val="000000"/>
          <w:sz w:val="24"/>
          <w:szCs w:val="24"/>
        </w:rPr>
        <w:t>B</w:t>
      </w:r>
      <w:r w:rsidRPr="00AB25F4">
        <w:rPr>
          <w:rFonts w:ascii="Times New Roman" w:hAnsi="Times New Roman" w:cs="Times New Roman"/>
          <w:b/>
          <w:bCs/>
          <w:color w:val="000000"/>
          <w:spacing w:val="-3"/>
          <w:sz w:val="24"/>
          <w:szCs w:val="24"/>
        </w:rPr>
        <w:t>ef</w:t>
      </w:r>
      <w:r w:rsidRPr="00AB25F4">
        <w:rPr>
          <w:rFonts w:ascii="Times New Roman" w:hAnsi="Times New Roman" w:cs="Times New Roman"/>
          <w:b/>
          <w:bCs/>
          <w:color w:val="000000"/>
          <w:spacing w:val="-2"/>
          <w:sz w:val="24"/>
          <w:szCs w:val="24"/>
        </w:rPr>
        <w:t>o</w:t>
      </w:r>
      <w:r w:rsidRPr="00AB25F4">
        <w:rPr>
          <w:rFonts w:ascii="Times New Roman" w:hAnsi="Times New Roman" w:cs="Times New Roman"/>
          <w:b/>
          <w:bCs/>
          <w:color w:val="000000"/>
          <w:spacing w:val="-3"/>
          <w:sz w:val="24"/>
          <w:szCs w:val="24"/>
        </w:rPr>
        <w:t>r</w:t>
      </w:r>
      <w:r w:rsidRPr="00AB25F4">
        <w:rPr>
          <w:rFonts w:ascii="Times New Roman" w:hAnsi="Times New Roman" w:cs="Times New Roman"/>
          <w:b/>
          <w:bCs/>
          <w:color w:val="000000"/>
          <w:spacing w:val="-2"/>
          <w:sz w:val="24"/>
          <w:szCs w:val="24"/>
        </w:rPr>
        <w:t>e</w:t>
      </w:r>
      <w:r w:rsidRPr="00AB25F4">
        <w:rPr>
          <w:rFonts w:ascii="Times New Roman" w:hAnsi="Times New Roman" w:cs="Times New Roman"/>
          <w:color w:val="000000"/>
          <w:spacing w:val="-4"/>
          <w:sz w:val="24"/>
          <w:szCs w:val="24"/>
        </w:rPr>
        <w:t>:</w:t>
      </w:r>
    </w:p>
    <w:p w14:paraId="4AA3C682" w14:textId="77777777" w:rsidR="00E14E89" w:rsidRPr="00AB25F4" w:rsidRDefault="00E14E89" w:rsidP="00443F54">
      <w:pPr>
        <w:spacing w:after="1"/>
        <w:rPr>
          <w:rFonts w:ascii="Times New Roman" w:hAnsi="Times New Roman"/>
          <w:color w:val="000000" w:themeColor="text1"/>
          <w:sz w:val="24"/>
          <w:szCs w:val="24"/>
        </w:rPr>
      </w:pPr>
    </w:p>
    <w:p w14:paraId="0A85D0F7" w14:textId="1D132F3C" w:rsidR="00962DE5" w:rsidRDefault="00962DE5" w:rsidP="00443F54">
      <w:pPr>
        <w:spacing w:line="276" w:lineRule="exact"/>
        <w:jc w:val="center"/>
        <w:rPr>
          <w:rFonts w:ascii="Times New Roman" w:hAnsi="Times New Roman" w:cs="Times New Roman"/>
          <w:b/>
          <w:bCs/>
          <w:color w:val="000000"/>
          <w:spacing w:val="-3"/>
          <w:sz w:val="24"/>
          <w:szCs w:val="24"/>
          <w:u w:val="single"/>
        </w:rPr>
      </w:pPr>
      <w:r w:rsidRPr="00962DE5">
        <w:rPr>
          <w:rFonts w:ascii="Times New Roman" w:hAnsi="Times New Roman" w:cs="Times New Roman"/>
          <w:b/>
          <w:bCs/>
          <w:color w:val="000000"/>
          <w:spacing w:val="-3"/>
          <w:sz w:val="24"/>
          <w:szCs w:val="24"/>
          <w:u w:val="single"/>
        </w:rPr>
        <w:t xml:space="preserve">HIS HONOUR JUDGE </w:t>
      </w:r>
      <w:r>
        <w:rPr>
          <w:rFonts w:ascii="Times New Roman" w:hAnsi="Times New Roman" w:cs="Times New Roman"/>
          <w:b/>
          <w:bCs/>
          <w:color w:val="000000"/>
          <w:spacing w:val="-3"/>
          <w:sz w:val="24"/>
          <w:szCs w:val="24"/>
          <w:u w:val="single"/>
        </w:rPr>
        <w:t xml:space="preserve">JAMES </w:t>
      </w:r>
      <w:r w:rsidRPr="00962DE5">
        <w:rPr>
          <w:rFonts w:ascii="Times New Roman" w:hAnsi="Times New Roman" w:cs="Times New Roman"/>
          <w:b/>
          <w:bCs/>
          <w:color w:val="000000"/>
          <w:spacing w:val="-3"/>
          <w:sz w:val="24"/>
          <w:szCs w:val="24"/>
          <w:u w:val="single"/>
        </w:rPr>
        <w:t>TAYLER</w:t>
      </w:r>
    </w:p>
    <w:p w14:paraId="08034265" w14:textId="0121D8C6" w:rsidR="00E14E89" w:rsidRPr="00AB25F4" w:rsidRDefault="00EE4D98" w:rsidP="00443F54">
      <w:pPr>
        <w:spacing w:line="276" w:lineRule="exact"/>
        <w:jc w:val="center"/>
        <w:rPr>
          <w:rFonts w:ascii="Times New Roman" w:hAnsi="Times New Roman" w:cs="Times New Roman"/>
          <w:color w:val="010302"/>
          <w:sz w:val="24"/>
          <w:szCs w:val="24"/>
        </w:rPr>
      </w:pP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4"/>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p>
    <w:p w14:paraId="0016D604" w14:textId="08D103E9" w:rsidR="00E14E89" w:rsidRPr="00AB25F4" w:rsidRDefault="00EE4D98" w:rsidP="00443F54">
      <w:pPr>
        <w:spacing w:line="265" w:lineRule="exact"/>
        <w:jc w:val="center"/>
        <w:rPr>
          <w:rFonts w:ascii="Times New Roman" w:hAnsi="Times New Roman" w:cs="Times New Roman"/>
          <w:color w:val="010302"/>
          <w:sz w:val="24"/>
          <w:szCs w:val="24"/>
        </w:rPr>
      </w:pPr>
      <w:r w:rsidRPr="00AB25F4">
        <w:rPr>
          <w:rFonts w:ascii="Times New Roman" w:hAnsi="Times New Roman" w:cs="Times New Roman"/>
          <w:b/>
          <w:bCs/>
          <w:color w:val="000000"/>
          <w:sz w:val="24"/>
          <w:szCs w:val="24"/>
        </w:rPr>
        <w:t>B</w:t>
      </w:r>
      <w:r w:rsidRPr="00AB25F4">
        <w:rPr>
          <w:rFonts w:ascii="Times New Roman" w:hAnsi="Times New Roman" w:cs="Times New Roman"/>
          <w:b/>
          <w:bCs/>
          <w:color w:val="000000"/>
          <w:spacing w:val="-3"/>
          <w:sz w:val="24"/>
          <w:szCs w:val="24"/>
        </w:rPr>
        <w:t>et</w:t>
      </w:r>
      <w:r w:rsidRPr="00AB25F4">
        <w:rPr>
          <w:rFonts w:ascii="Times New Roman" w:hAnsi="Times New Roman" w:cs="Times New Roman"/>
          <w:b/>
          <w:bCs/>
          <w:color w:val="000000"/>
          <w:spacing w:val="-2"/>
          <w:sz w:val="24"/>
          <w:szCs w:val="24"/>
        </w:rPr>
        <w:t>w</w:t>
      </w:r>
      <w:r w:rsidRPr="00AB25F4">
        <w:rPr>
          <w:rFonts w:ascii="Times New Roman" w:hAnsi="Times New Roman" w:cs="Times New Roman"/>
          <w:b/>
          <w:bCs/>
          <w:color w:val="000000"/>
          <w:spacing w:val="-3"/>
          <w:sz w:val="24"/>
          <w:szCs w:val="24"/>
        </w:rPr>
        <w:t>ee</w:t>
      </w:r>
      <w:r w:rsidRPr="00AB25F4">
        <w:rPr>
          <w:rFonts w:ascii="Times New Roman" w:hAnsi="Times New Roman" w:cs="Times New Roman"/>
          <w:b/>
          <w:bCs/>
          <w:color w:val="000000"/>
          <w:sz w:val="24"/>
          <w:szCs w:val="24"/>
        </w:rPr>
        <w:t>n</w:t>
      </w:r>
      <w:r w:rsidRPr="00AB25F4">
        <w:rPr>
          <w:rFonts w:ascii="Times New Roman" w:hAnsi="Times New Roman" w:cs="Times New Roman"/>
          <w:b/>
          <w:bCs/>
          <w:color w:val="000000"/>
          <w:spacing w:val="-5"/>
          <w:sz w:val="24"/>
          <w:szCs w:val="24"/>
        </w:rPr>
        <w:t>:</w:t>
      </w:r>
    </w:p>
    <w:p w14:paraId="071D0936" w14:textId="7E15920D" w:rsidR="00E14E89" w:rsidRPr="00AB25F4" w:rsidRDefault="00E14E89" w:rsidP="00443F54">
      <w:pPr>
        <w:spacing w:after="3"/>
        <w:rPr>
          <w:rFonts w:ascii="Times New Roman" w:hAnsi="Times New Roman"/>
          <w:color w:val="000000" w:themeColor="text1"/>
          <w:sz w:val="24"/>
          <w:szCs w:val="24"/>
        </w:rPr>
      </w:pPr>
    </w:p>
    <w:p w14:paraId="707434E3" w14:textId="4AFC93E8" w:rsidR="009A3442" w:rsidRPr="00AB25F4" w:rsidRDefault="009A3442" w:rsidP="00443F54">
      <w:pPr>
        <w:tabs>
          <w:tab w:val="center" w:pos="4820"/>
          <w:tab w:val="right" w:pos="9639"/>
        </w:tabs>
        <w:rPr>
          <w:sz w:val="24"/>
          <w:szCs w:val="24"/>
        </w:rPr>
      </w:pPr>
      <w:r w:rsidRPr="00AB25F4">
        <w:rPr>
          <w:sz w:val="24"/>
          <w:szCs w:val="24"/>
        </w:rPr>
        <w:tab/>
      </w:r>
      <w:r w:rsidR="00962DE5" w:rsidRPr="00962DE5">
        <w:rPr>
          <w:b/>
          <w:noProof/>
          <w:sz w:val="24"/>
          <w:szCs w:val="24"/>
        </w:rPr>
        <w:t>SECRETARY OF STATE FOR JUSTICE</w:t>
      </w:r>
      <w:r w:rsidRPr="00AB25F4">
        <w:rPr>
          <w:sz w:val="24"/>
          <w:szCs w:val="24"/>
        </w:rPr>
        <w:tab/>
      </w:r>
      <w:r w:rsidRPr="00AB25F4">
        <w:rPr>
          <w:b/>
          <w:noProof/>
          <w:sz w:val="24"/>
          <w:szCs w:val="24"/>
          <w:u w:val="single"/>
        </w:rPr>
        <w:t>Appellant</w:t>
      </w:r>
    </w:p>
    <w:p w14:paraId="5900EBFA" w14:textId="0E5E98B0" w:rsidR="009A3442" w:rsidRPr="00AB25F4" w:rsidRDefault="009A3442" w:rsidP="00443F54">
      <w:pPr>
        <w:tabs>
          <w:tab w:val="center" w:pos="4139"/>
          <w:tab w:val="right" w:pos="8222"/>
        </w:tabs>
        <w:jc w:val="center"/>
        <w:rPr>
          <w:b/>
          <w:sz w:val="24"/>
          <w:szCs w:val="24"/>
        </w:rPr>
      </w:pPr>
      <w:r w:rsidRPr="00AB25F4">
        <w:rPr>
          <w:b/>
          <w:sz w:val="24"/>
          <w:szCs w:val="24"/>
        </w:rPr>
        <w:t>- and -</w:t>
      </w:r>
    </w:p>
    <w:p w14:paraId="6EBC7318" w14:textId="722DFA55" w:rsidR="009A3442" w:rsidRPr="00AB25F4" w:rsidRDefault="009A3442" w:rsidP="00443F54">
      <w:pPr>
        <w:tabs>
          <w:tab w:val="center" w:pos="4820"/>
          <w:tab w:val="right" w:pos="9639"/>
        </w:tabs>
        <w:rPr>
          <w:sz w:val="24"/>
          <w:szCs w:val="24"/>
        </w:rPr>
      </w:pPr>
      <w:r w:rsidRPr="00AB25F4">
        <w:rPr>
          <w:sz w:val="24"/>
          <w:szCs w:val="24"/>
        </w:rPr>
        <w:tab/>
      </w:r>
      <w:bookmarkStart w:id="2" w:name="_Hlk89778037"/>
      <w:r w:rsidR="00962DE5" w:rsidRPr="00962DE5">
        <w:rPr>
          <w:b/>
          <w:noProof/>
          <w:sz w:val="24"/>
          <w:szCs w:val="24"/>
        </w:rPr>
        <w:t>MR ALAN JOHNSON</w:t>
      </w:r>
      <w:bookmarkEnd w:id="2"/>
      <w:r w:rsidRPr="00AB25F4">
        <w:rPr>
          <w:sz w:val="24"/>
          <w:szCs w:val="24"/>
        </w:rPr>
        <w:tab/>
      </w:r>
      <w:r w:rsidRPr="00AB25F4">
        <w:rPr>
          <w:b/>
          <w:noProof/>
          <w:sz w:val="24"/>
          <w:szCs w:val="24"/>
          <w:u w:val="single"/>
        </w:rPr>
        <w:t>Respondent</w:t>
      </w:r>
    </w:p>
    <w:p w14:paraId="1C90EF24" w14:textId="7F32F9A3" w:rsidR="009A3442" w:rsidRPr="00AB25F4" w:rsidRDefault="009A3442" w:rsidP="00443F54">
      <w:pPr>
        <w:spacing w:after="3"/>
        <w:rPr>
          <w:rFonts w:ascii="Times New Roman" w:hAnsi="Times New Roman"/>
          <w:color w:val="000000" w:themeColor="text1"/>
          <w:sz w:val="24"/>
          <w:szCs w:val="24"/>
        </w:rPr>
      </w:pPr>
    </w:p>
    <w:p w14:paraId="61C95F2D" w14:textId="77777777" w:rsidR="00717B8E" w:rsidRPr="00AB25F4" w:rsidRDefault="00717B8E" w:rsidP="00443F54">
      <w:pPr>
        <w:spacing w:line="276" w:lineRule="exact"/>
        <w:jc w:val="center"/>
        <w:rPr>
          <w:rFonts w:ascii="Times New Roman" w:hAnsi="Times New Roman" w:cs="Times New Roman"/>
          <w:color w:val="010302"/>
          <w:sz w:val="24"/>
          <w:szCs w:val="24"/>
        </w:rPr>
      </w:pP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4"/>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p>
    <w:p w14:paraId="055527C7" w14:textId="77777777" w:rsidR="00717B8E" w:rsidRPr="00AB25F4" w:rsidRDefault="00717B8E" w:rsidP="00443F54">
      <w:pPr>
        <w:spacing w:line="276" w:lineRule="exact"/>
        <w:jc w:val="center"/>
        <w:rPr>
          <w:rFonts w:ascii="Times New Roman" w:hAnsi="Times New Roman" w:cs="Times New Roman"/>
          <w:color w:val="010302"/>
          <w:sz w:val="24"/>
          <w:szCs w:val="24"/>
        </w:rPr>
      </w:pP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4"/>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p>
    <w:p w14:paraId="240887BF" w14:textId="764C6F3E" w:rsidR="00717B8E" w:rsidRPr="00AB25F4" w:rsidRDefault="00717B8E" w:rsidP="00443F54">
      <w:pPr>
        <w:spacing w:after="3"/>
        <w:rPr>
          <w:rFonts w:ascii="Times New Roman" w:hAnsi="Times New Roman"/>
          <w:color w:val="000000" w:themeColor="text1"/>
          <w:sz w:val="24"/>
          <w:szCs w:val="24"/>
        </w:rPr>
      </w:pPr>
    </w:p>
    <w:p w14:paraId="2510D00C" w14:textId="460B2516" w:rsidR="00CF54BE" w:rsidRPr="00AB25F4" w:rsidRDefault="001D464F" w:rsidP="00443F54">
      <w:pPr>
        <w:spacing w:line="275" w:lineRule="exact"/>
        <w:ind w:hanging="7"/>
        <w:jc w:val="center"/>
        <w:rPr>
          <w:rFonts w:ascii="Times New Roman" w:hAnsi="Times New Roman" w:cs="Times New Roman"/>
          <w:b/>
          <w:bCs/>
          <w:color w:val="000000"/>
          <w:sz w:val="24"/>
          <w:szCs w:val="24"/>
        </w:rPr>
      </w:pPr>
      <w:r>
        <w:rPr>
          <w:rFonts w:ascii="Times New Roman" w:hAnsi="Times New Roman" w:cs="Times New Roman"/>
          <w:b/>
          <w:bCs/>
          <w:color w:val="000000"/>
          <w:spacing w:val="-3"/>
          <w:sz w:val="24"/>
          <w:szCs w:val="24"/>
        </w:rPr>
        <w:t>Mr A Tinnion</w:t>
      </w:r>
      <w:r w:rsidR="00EE4D98" w:rsidRPr="00AB25F4">
        <w:rPr>
          <w:rFonts w:ascii="Times New Roman" w:hAnsi="Times New Roman" w:cs="Times New Roman"/>
          <w:b/>
          <w:bCs/>
          <w:color w:val="000000"/>
          <w:spacing w:val="-2"/>
          <w:sz w:val="24"/>
          <w:szCs w:val="24"/>
        </w:rPr>
        <w:t xml:space="preserve"> </w:t>
      </w:r>
      <w:r w:rsidR="00EE4D98" w:rsidRPr="00AB25F4">
        <w:rPr>
          <w:rFonts w:ascii="Times New Roman" w:hAnsi="Times New Roman" w:cs="Times New Roman"/>
          <w:color w:val="000000"/>
          <w:spacing w:val="-5"/>
          <w:sz w:val="24"/>
          <w:szCs w:val="24"/>
        </w:rPr>
        <w:t>(</w:t>
      </w:r>
      <w:r w:rsidR="00EE4D98" w:rsidRPr="00AB25F4">
        <w:rPr>
          <w:rFonts w:ascii="Times New Roman" w:hAnsi="Times New Roman" w:cs="Times New Roman"/>
          <w:color w:val="000000"/>
          <w:sz w:val="24"/>
          <w:szCs w:val="24"/>
        </w:rPr>
        <w:t>i</w:t>
      </w:r>
      <w:r w:rsidR="00EE4D98" w:rsidRPr="00AB25F4">
        <w:rPr>
          <w:rFonts w:ascii="Times New Roman" w:hAnsi="Times New Roman" w:cs="Times New Roman"/>
          <w:color w:val="000000"/>
          <w:spacing w:val="-2"/>
          <w:sz w:val="24"/>
          <w:szCs w:val="24"/>
        </w:rPr>
        <w:t>n</w:t>
      </w:r>
      <w:r w:rsidR="00EE4D98" w:rsidRPr="00AB25F4">
        <w:rPr>
          <w:rFonts w:ascii="Times New Roman" w:hAnsi="Times New Roman" w:cs="Times New Roman"/>
          <w:color w:val="000000"/>
          <w:spacing w:val="-4"/>
          <w:sz w:val="24"/>
          <w:szCs w:val="24"/>
        </w:rPr>
        <w:t>s</w:t>
      </w:r>
      <w:r w:rsidR="00EE4D98" w:rsidRPr="00AB25F4">
        <w:rPr>
          <w:rFonts w:ascii="Times New Roman" w:hAnsi="Times New Roman" w:cs="Times New Roman"/>
          <w:color w:val="000000"/>
          <w:sz w:val="24"/>
          <w:szCs w:val="24"/>
        </w:rPr>
        <w:t>t</w:t>
      </w:r>
      <w:r w:rsidR="00EE4D98" w:rsidRPr="00AB25F4">
        <w:rPr>
          <w:rFonts w:ascii="Times New Roman" w:hAnsi="Times New Roman" w:cs="Times New Roman"/>
          <w:color w:val="000000"/>
          <w:spacing w:val="-3"/>
          <w:sz w:val="24"/>
          <w:szCs w:val="24"/>
        </w:rPr>
        <w:t>r</w:t>
      </w:r>
      <w:r w:rsidR="00EE4D98" w:rsidRPr="00AB25F4">
        <w:rPr>
          <w:rFonts w:ascii="Times New Roman" w:hAnsi="Times New Roman" w:cs="Times New Roman"/>
          <w:color w:val="000000"/>
          <w:spacing w:val="-2"/>
          <w:sz w:val="24"/>
          <w:szCs w:val="24"/>
        </w:rPr>
        <w:t>u</w:t>
      </w:r>
      <w:r w:rsidR="00EE4D98" w:rsidRPr="00AB25F4">
        <w:rPr>
          <w:rFonts w:ascii="Times New Roman" w:hAnsi="Times New Roman" w:cs="Times New Roman"/>
          <w:color w:val="000000"/>
          <w:spacing w:val="-3"/>
          <w:sz w:val="24"/>
          <w:szCs w:val="24"/>
        </w:rPr>
        <w:t>c</w:t>
      </w:r>
      <w:r w:rsidR="00EE4D98" w:rsidRPr="00AB25F4">
        <w:rPr>
          <w:rFonts w:ascii="Times New Roman" w:hAnsi="Times New Roman" w:cs="Times New Roman"/>
          <w:color w:val="000000"/>
          <w:spacing w:val="-4"/>
          <w:sz w:val="24"/>
          <w:szCs w:val="24"/>
        </w:rPr>
        <w:t>t</w:t>
      </w:r>
      <w:r w:rsidR="00EE4D98" w:rsidRPr="00AB25F4">
        <w:rPr>
          <w:rFonts w:ascii="Times New Roman" w:hAnsi="Times New Roman" w:cs="Times New Roman"/>
          <w:color w:val="000000"/>
          <w:spacing w:val="-3"/>
          <w:sz w:val="24"/>
          <w:szCs w:val="24"/>
        </w:rPr>
        <w:t>e</w:t>
      </w:r>
      <w:r w:rsidR="00EE4D98" w:rsidRPr="00AB25F4">
        <w:rPr>
          <w:rFonts w:ascii="Times New Roman" w:hAnsi="Times New Roman" w:cs="Times New Roman"/>
          <w:color w:val="000000"/>
          <w:spacing w:val="-2"/>
          <w:sz w:val="24"/>
          <w:szCs w:val="24"/>
        </w:rPr>
        <w:t>d by</w:t>
      </w:r>
      <w:r w:rsidR="00EE4D98" w:rsidRPr="00AB25F4">
        <w:rPr>
          <w:rFonts w:ascii="Times New Roman" w:hAnsi="Times New Roman" w:cs="Times New Roman"/>
          <w:bCs/>
          <w:color w:val="000000"/>
          <w:spacing w:val="-2"/>
          <w:sz w:val="24"/>
          <w:szCs w:val="24"/>
        </w:rPr>
        <w:t xml:space="preserve"> </w:t>
      </w:r>
      <w:r w:rsidR="001C30CB">
        <w:rPr>
          <w:rFonts w:ascii="Times New Roman" w:hAnsi="Times New Roman" w:cs="Times New Roman"/>
          <w:bCs/>
          <w:color w:val="000000"/>
          <w:spacing w:val="-2"/>
          <w:sz w:val="24"/>
          <w:szCs w:val="24"/>
        </w:rPr>
        <w:t xml:space="preserve">the </w:t>
      </w:r>
      <w:r w:rsidR="001C30CB" w:rsidRPr="001C30CB">
        <w:rPr>
          <w:rFonts w:ascii="Times New Roman" w:hAnsi="Times New Roman" w:cs="Times New Roman"/>
          <w:bCs/>
          <w:color w:val="000000"/>
          <w:spacing w:val="-2"/>
          <w:sz w:val="24"/>
          <w:szCs w:val="24"/>
        </w:rPr>
        <w:t xml:space="preserve">Government Legal </w:t>
      </w:r>
      <w:r w:rsidR="00F42618" w:rsidRPr="001C30CB">
        <w:rPr>
          <w:rFonts w:ascii="Times New Roman" w:hAnsi="Times New Roman" w:cs="Times New Roman"/>
          <w:bCs/>
          <w:color w:val="000000"/>
          <w:spacing w:val="-2"/>
          <w:sz w:val="24"/>
          <w:szCs w:val="24"/>
        </w:rPr>
        <w:t>Department</w:t>
      </w:r>
      <w:r w:rsidR="00F42618" w:rsidRPr="001C30CB" w:rsidDel="001C30CB">
        <w:rPr>
          <w:rFonts w:ascii="Times New Roman" w:hAnsi="Times New Roman" w:cs="Times New Roman"/>
          <w:bCs/>
          <w:color w:val="000000"/>
          <w:spacing w:val="-2"/>
          <w:sz w:val="24"/>
          <w:szCs w:val="24"/>
        </w:rPr>
        <w:t>)</w:t>
      </w:r>
      <w:r w:rsidR="00EE4D98" w:rsidRPr="00AB25F4">
        <w:rPr>
          <w:rFonts w:ascii="Times New Roman" w:hAnsi="Times New Roman" w:cs="Times New Roman"/>
          <w:color w:val="000000"/>
          <w:spacing w:val="-2"/>
          <w:sz w:val="24"/>
          <w:szCs w:val="24"/>
        </w:rPr>
        <w:t xml:space="preserve"> </w:t>
      </w:r>
      <w:r w:rsidR="00EE4D98" w:rsidRPr="00AB25F4">
        <w:rPr>
          <w:rFonts w:ascii="Times New Roman" w:hAnsi="Times New Roman" w:cs="Times New Roman"/>
          <w:color w:val="000000"/>
          <w:spacing w:val="-3"/>
          <w:sz w:val="24"/>
          <w:szCs w:val="24"/>
        </w:rPr>
        <w:t>f</w:t>
      </w:r>
      <w:r w:rsidR="00EE4D98" w:rsidRPr="00AB25F4">
        <w:rPr>
          <w:rFonts w:ascii="Times New Roman" w:hAnsi="Times New Roman" w:cs="Times New Roman"/>
          <w:color w:val="000000"/>
          <w:spacing w:val="-2"/>
          <w:sz w:val="24"/>
          <w:szCs w:val="24"/>
        </w:rPr>
        <w:t>o</w:t>
      </w:r>
      <w:r w:rsidR="00EE4D98" w:rsidRPr="00AB25F4">
        <w:rPr>
          <w:rFonts w:ascii="Times New Roman" w:hAnsi="Times New Roman" w:cs="Times New Roman"/>
          <w:color w:val="000000"/>
          <w:spacing w:val="-3"/>
          <w:sz w:val="24"/>
          <w:szCs w:val="24"/>
        </w:rPr>
        <w:t>r</w:t>
      </w:r>
      <w:r w:rsidR="00EE4D98" w:rsidRPr="00AB25F4">
        <w:rPr>
          <w:rFonts w:ascii="Times New Roman" w:hAnsi="Times New Roman" w:cs="Times New Roman"/>
          <w:color w:val="000000"/>
          <w:spacing w:val="-2"/>
          <w:sz w:val="24"/>
          <w:szCs w:val="24"/>
        </w:rPr>
        <w:t xml:space="preserve"> </w:t>
      </w:r>
      <w:r w:rsidR="00EE4D98" w:rsidRPr="00AB25F4">
        <w:rPr>
          <w:rFonts w:ascii="Times New Roman" w:hAnsi="Times New Roman" w:cs="Times New Roman"/>
          <w:color w:val="000000"/>
          <w:spacing w:val="-4"/>
          <w:sz w:val="24"/>
          <w:szCs w:val="24"/>
        </w:rPr>
        <w:t>t</w:t>
      </w:r>
      <w:r w:rsidR="00EE4D98" w:rsidRPr="00AB25F4">
        <w:rPr>
          <w:rFonts w:ascii="Times New Roman" w:hAnsi="Times New Roman" w:cs="Times New Roman"/>
          <w:color w:val="000000"/>
          <w:spacing w:val="-2"/>
          <w:sz w:val="24"/>
          <w:szCs w:val="24"/>
        </w:rPr>
        <w:t>h</w:t>
      </w:r>
      <w:r w:rsidR="00EE4D98" w:rsidRPr="00AB25F4">
        <w:rPr>
          <w:rFonts w:ascii="Times New Roman" w:hAnsi="Times New Roman" w:cs="Times New Roman"/>
          <w:color w:val="000000"/>
          <w:spacing w:val="-3"/>
          <w:sz w:val="24"/>
          <w:szCs w:val="24"/>
        </w:rPr>
        <w:t>e</w:t>
      </w:r>
      <w:r w:rsidR="00EE4D98" w:rsidRPr="00AB25F4">
        <w:rPr>
          <w:rFonts w:ascii="Times New Roman" w:hAnsi="Times New Roman" w:cs="Times New Roman"/>
          <w:color w:val="000000"/>
          <w:spacing w:val="-2"/>
          <w:sz w:val="24"/>
          <w:szCs w:val="24"/>
        </w:rPr>
        <w:t xml:space="preserve"> </w:t>
      </w:r>
      <w:r w:rsidR="00EE4D98" w:rsidRPr="00AB25F4">
        <w:rPr>
          <w:rFonts w:ascii="Times New Roman" w:hAnsi="Times New Roman" w:cs="Times New Roman"/>
          <w:b/>
          <w:bCs/>
          <w:color w:val="000000"/>
          <w:spacing w:val="-2"/>
          <w:sz w:val="24"/>
          <w:szCs w:val="24"/>
        </w:rPr>
        <w:t>A</w:t>
      </w:r>
      <w:r w:rsidR="00EE4D98" w:rsidRPr="00AB25F4">
        <w:rPr>
          <w:rFonts w:ascii="Times New Roman" w:hAnsi="Times New Roman" w:cs="Times New Roman"/>
          <w:b/>
          <w:bCs/>
          <w:color w:val="000000"/>
          <w:spacing w:val="-3"/>
          <w:sz w:val="24"/>
          <w:szCs w:val="24"/>
        </w:rPr>
        <w:t>ppe</w:t>
      </w:r>
      <w:r w:rsidR="00EE4D98" w:rsidRPr="00AB25F4">
        <w:rPr>
          <w:rFonts w:ascii="Times New Roman" w:hAnsi="Times New Roman" w:cs="Times New Roman"/>
          <w:b/>
          <w:bCs/>
          <w:color w:val="000000"/>
          <w:sz w:val="24"/>
          <w:szCs w:val="24"/>
        </w:rPr>
        <w:t>ll</w:t>
      </w:r>
      <w:r w:rsidR="00EE4D98" w:rsidRPr="00AB25F4">
        <w:rPr>
          <w:rFonts w:ascii="Times New Roman" w:hAnsi="Times New Roman" w:cs="Times New Roman"/>
          <w:b/>
          <w:bCs/>
          <w:color w:val="000000"/>
          <w:spacing w:val="-4"/>
          <w:sz w:val="24"/>
          <w:szCs w:val="24"/>
        </w:rPr>
        <w:t>a</w:t>
      </w:r>
      <w:r w:rsidR="00EE4D98" w:rsidRPr="00AB25F4">
        <w:rPr>
          <w:rFonts w:ascii="Times New Roman" w:hAnsi="Times New Roman" w:cs="Times New Roman"/>
          <w:b/>
          <w:bCs/>
          <w:color w:val="000000"/>
          <w:sz w:val="24"/>
          <w:szCs w:val="24"/>
        </w:rPr>
        <w:t>n</w:t>
      </w:r>
      <w:r w:rsidR="00EE4D98" w:rsidRPr="00AB25F4">
        <w:rPr>
          <w:rFonts w:ascii="Times New Roman" w:hAnsi="Times New Roman" w:cs="Times New Roman"/>
          <w:b/>
          <w:bCs/>
          <w:color w:val="000000"/>
          <w:spacing w:val="-4"/>
          <w:sz w:val="24"/>
          <w:szCs w:val="24"/>
        </w:rPr>
        <w:t>t</w:t>
      </w:r>
    </w:p>
    <w:p w14:paraId="17CDC517" w14:textId="26DE0D8E" w:rsidR="00E14E89" w:rsidRPr="00AB25F4" w:rsidRDefault="001D464F" w:rsidP="00443F54">
      <w:pPr>
        <w:tabs>
          <w:tab w:val="left" w:pos="9639"/>
        </w:tabs>
        <w:spacing w:line="275" w:lineRule="exact"/>
        <w:ind w:hanging="7"/>
        <w:jc w:val="center"/>
        <w:rPr>
          <w:rFonts w:ascii="Times New Roman" w:hAnsi="Times New Roman" w:cs="Times New Roman"/>
          <w:color w:val="010302"/>
          <w:sz w:val="24"/>
          <w:szCs w:val="24"/>
        </w:rPr>
      </w:pPr>
      <w:r>
        <w:rPr>
          <w:rFonts w:ascii="Times New Roman" w:hAnsi="Times New Roman" w:cs="Times New Roman"/>
          <w:b/>
          <w:bCs/>
          <w:color w:val="000000"/>
          <w:spacing w:val="-2"/>
          <w:sz w:val="24"/>
          <w:szCs w:val="24"/>
        </w:rPr>
        <w:t>Mr M Brien</w:t>
      </w:r>
      <w:r w:rsidR="00EE4D98" w:rsidRPr="00AB25F4">
        <w:rPr>
          <w:rFonts w:ascii="Times New Roman" w:hAnsi="Times New Roman" w:cs="Times New Roman"/>
          <w:b/>
          <w:bCs/>
          <w:color w:val="000000"/>
          <w:spacing w:val="-2"/>
          <w:sz w:val="24"/>
          <w:szCs w:val="24"/>
        </w:rPr>
        <w:t xml:space="preserve"> </w:t>
      </w:r>
      <w:r w:rsidR="00EE4D98" w:rsidRPr="00AB25F4">
        <w:rPr>
          <w:rFonts w:ascii="Times New Roman" w:hAnsi="Times New Roman" w:cs="Times New Roman"/>
          <w:color w:val="000000"/>
          <w:spacing w:val="-3"/>
          <w:sz w:val="24"/>
          <w:szCs w:val="24"/>
        </w:rPr>
        <w:t>(</w:t>
      </w:r>
      <w:r w:rsidR="00EE4D98" w:rsidRPr="00AB25F4">
        <w:rPr>
          <w:rFonts w:ascii="Times New Roman" w:hAnsi="Times New Roman" w:cs="Times New Roman"/>
          <w:color w:val="000000"/>
          <w:sz w:val="24"/>
          <w:szCs w:val="24"/>
        </w:rPr>
        <w:t>i</w:t>
      </w:r>
      <w:r w:rsidR="00EE4D98" w:rsidRPr="00AB25F4">
        <w:rPr>
          <w:rFonts w:ascii="Times New Roman" w:hAnsi="Times New Roman" w:cs="Times New Roman"/>
          <w:color w:val="000000"/>
          <w:spacing w:val="-4"/>
          <w:sz w:val="24"/>
          <w:szCs w:val="24"/>
        </w:rPr>
        <w:t>n</w:t>
      </w:r>
      <w:r w:rsidR="00EE4D98" w:rsidRPr="00AB25F4">
        <w:rPr>
          <w:rFonts w:ascii="Times New Roman" w:hAnsi="Times New Roman" w:cs="Times New Roman"/>
          <w:color w:val="000000"/>
          <w:spacing w:val="-2"/>
          <w:sz w:val="24"/>
          <w:szCs w:val="24"/>
        </w:rPr>
        <w:t>s</w:t>
      </w:r>
      <w:r w:rsidR="00EE4D98" w:rsidRPr="00AB25F4">
        <w:rPr>
          <w:rFonts w:ascii="Times New Roman" w:hAnsi="Times New Roman" w:cs="Times New Roman"/>
          <w:color w:val="000000"/>
          <w:sz w:val="24"/>
          <w:szCs w:val="24"/>
        </w:rPr>
        <w:t>t</w:t>
      </w:r>
      <w:r w:rsidR="00EE4D98" w:rsidRPr="00AB25F4">
        <w:rPr>
          <w:rFonts w:ascii="Times New Roman" w:hAnsi="Times New Roman" w:cs="Times New Roman"/>
          <w:color w:val="000000"/>
          <w:spacing w:val="-3"/>
          <w:sz w:val="24"/>
          <w:szCs w:val="24"/>
        </w:rPr>
        <w:t>r</w:t>
      </w:r>
      <w:r w:rsidR="00EE4D98" w:rsidRPr="00AB25F4">
        <w:rPr>
          <w:rFonts w:ascii="Times New Roman" w:hAnsi="Times New Roman" w:cs="Times New Roman"/>
          <w:color w:val="000000"/>
          <w:spacing w:val="-2"/>
          <w:sz w:val="24"/>
          <w:szCs w:val="24"/>
        </w:rPr>
        <w:t>u</w:t>
      </w:r>
      <w:r w:rsidR="00EE4D98" w:rsidRPr="00AB25F4">
        <w:rPr>
          <w:rFonts w:ascii="Times New Roman" w:hAnsi="Times New Roman" w:cs="Times New Roman"/>
          <w:color w:val="000000"/>
          <w:spacing w:val="-5"/>
          <w:sz w:val="24"/>
          <w:szCs w:val="24"/>
        </w:rPr>
        <w:t>c</w:t>
      </w:r>
      <w:r w:rsidR="00EE4D98" w:rsidRPr="00AB25F4">
        <w:rPr>
          <w:rFonts w:ascii="Times New Roman" w:hAnsi="Times New Roman" w:cs="Times New Roman"/>
          <w:color w:val="000000"/>
          <w:sz w:val="24"/>
          <w:szCs w:val="24"/>
        </w:rPr>
        <w:t>t</w:t>
      </w:r>
      <w:r w:rsidR="00EE4D98" w:rsidRPr="00AB25F4">
        <w:rPr>
          <w:rFonts w:ascii="Times New Roman" w:hAnsi="Times New Roman" w:cs="Times New Roman"/>
          <w:color w:val="000000"/>
          <w:spacing w:val="-3"/>
          <w:sz w:val="24"/>
          <w:szCs w:val="24"/>
        </w:rPr>
        <w:t>e</w:t>
      </w:r>
      <w:r w:rsidR="00EE4D98" w:rsidRPr="00AB25F4">
        <w:rPr>
          <w:rFonts w:ascii="Times New Roman" w:hAnsi="Times New Roman" w:cs="Times New Roman"/>
          <w:color w:val="000000"/>
          <w:spacing w:val="-4"/>
          <w:sz w:val="24"/>
          <w:szCs w:val="24"/>
        </w:rPr>
        <w:t>d</w:t>
      </w:r>
      <w:r w:rsidR="00EE4D98" w:rsidRPr="00AB25F4">
        <w:rPr>
          <w:rFonts w:ascii="Times New Roman" w:hAnsi="Times New Roman" w:cs="Times New Roman"/>
          <w:color w:val="000000"/>
          <w:spacing w:val="-2"/>
          <w:sz w:val="24"/>
          <w:szCs w:val="24"/>
        </w:rPr>
        <w:t xml:space="preserve"> by</w:t>
      </w:r>
      <w:r w:rsidR="00EE4D98" w:rsidRPr="00AB25F4">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Thompsons</w:t>
      </w:r>
      <w:r w:rsidR="00EE4D98" w:rsidRPr="00AB25F4">
        <w:rPr>
          <w:rFonts w:ascii="Times New Roman" w:hAnsi="Times New Roman" w:cs="Times New Roman"/>
          <w:color w:val="000000"/>
          <w:spacing w:val="-3"/>
          <w:sz w:val="24"/>
          <w:szCs w:val="24"/>
        </w:rPr>
        <w:t>)</w:t>
      </w:r>
      <w:r w:rsidR="00EE4D98" w:rsidRPr="00AB25F4">
        <w:rPr>
          <w:rFonts w:ascii="Times New Roman" w:hAnsi="Times New Roman" w:cs="Times New Roman"/>
          <w:color w:val="000000"/>
          <w:spacing w:val="-2"/>
          <w:sz w:val="24"/>
          <w:szCs w:val="24"/>
        </w:rPr>
        <w:t xml:space="preserve"> </w:t>
      </w:r>
      <w:r w:rsidR="00EE4D98" w:rsidRPr="00AB25F4">
        <w:rPr>
          <w:rFonts w:ascii="Times New Roman" w:hAnsi="Times New Roman" w:cs="Times New Roman"/>
          <w:color w:val="000000"/>
          <w:spacing w:val="-5"/>
          <w:sz w:val="24"/>
          <w:szCs w:val="24"/>
        </w:rPr>
        <w:t>f</w:t>
      </w:r>
      <w:r w:rsidR="00EE4D98" w:rsidRPr="00AB25F4">
        <w:rPr>
          <w:rFonts w:ascii="Times New Roman" w:hAnsi="Times New Roman" w:cs="Times New Roman"/>
          <w:color w:val="000000"/>
          <w:spacing w:val="-2"/>
          <w:sz w:val="24"/>
          <w:szCs w:val="24"/>
        </w:rPr>
        <w:t>o</w:t>
      </w:r>
      <w:r w:rsidR="00EE4D98" w:rsidRPr="00AB25F4">
        <w:rPr>
          <w:rFonts w:ascii="Times New Roman" w:hAnsi="Times New Roman" w:cs="Times New Roman"/>
          <w:color w:val="000000"/>
          <w:spacing w:val="-3"/>
          <w:sz w:val="24"/>
          <w:szCs w:val="24"/>
        </w:rPr>
        <w:t>r</w:t>
      </w:r>
      <w:r w:rsidR="00EE4D98" w:rsidRPr="00AB25F4">
        <w:rPr>
          <w:rFonts w:ascii="Times New Roman" w:hAnsi="Times New Roman" w:cs="Times New Roman"/>
          <w:color w:val="000000"/>
          <w:spacing w:val="-2"/>
          <w:sz w:val="24"/>
          <w:szCs w:val="24"/>
        </w:rPr>
        <w:t xml:space="preserve"> </w:t>
      </w:r>
      <w:r w:rsidR="00EE4D98" w:rsidRPr="00AB25F4">
        <w:rPr>
          <w:rFonts w:ascii="Times New Roman" w:hAnsi="Times New Roman" w:cs="Times New Roman"/>
          <w:color w:val="000000"/>
          <w:sz w:val="24"/>
          <w:szCs w:val="24"/>
        </w:rPr>
        <w:t>t</w:t>
      </w:r>
      <w:r w:rsidR="00EE4D98" w:rsidRPr="00AB25F4">
        <w:rPr>
          <w:rFonts w:ascii="Times New Roman" w:hAnsi="Times New Roman" w:cs="Times New Roman"/>
          <w:color w:val="000000"/>
          <w:spacing w:val="-2"/>
          <w:sz w:val="24"/>
          <w:szCs w:val="24"/>
        </w:rPr>
        <w:t>h</w:t>
      </w:r>
      <w:r w:rsidR="00EE4D98" w:rsidRPr="00AB25F4">
        <w:rPr>
          <w:rFonts w:ascii="Times New Roman" w:hAnsi="Times New Roman" w:cs="Times New Roman"/>
          <w:color w:val="000000"/>
          <w:spacing w:val="-5"/>
          <w:sz w:val="24"/>
          <w:szCs w:val="24"/>
        </w:rPr>
        <w:t>e</w:t>
      </w:r>
      <w:r w:rsidR="00EE4D98" w:rsidRPr="00AB25F4">
        <w:rPr>
          <w:rFonts w:ascii="Times New Roman" w:hAnsi="Times New Roman" w:cs="Times New Roman"/>
          <w:color w:val="000000"/>
          <w:spacing w:val="-2"/>
          <w:sz w:val="24"/>
          <w:szCs w:val="24"/>
        </w:rPr>
        <w:t xml:space="preserve"> </w:t>
      </w:r>
      <w:r w:rsidR="00EE4D98" w:rsidRPr="00AB25F4">
        <w:rPr>
          <w:rFonts w:ascii="Times New Roman" w:hAnsi="Times New Roman" w:cs="Times New Roman"/>
          <w:b/>
          <w:bCs/>
          <w:color w:val="000000"/>
          <w:spacing w:val="-2"/>
          <w:sz w:val="24"/>
          <w:szCs w:val="24"/>
        </w:rPr>
        <w:t>R</w:t>
      </w:r>
      <w:r w:rsidR="00EE4D98" w:rsidRPr="00AB25F4">
        <w:rPr>
          <w:rFonts w:ascii="Times New Roman" w:hAnsi="Times New Roman" w:cs="Times New Roman"/>
          <w:b/>
          <w:bCs/>
          <w:color w:val="000000"/>
          <w:spacing w:val="-3"/>
          <w:sz w:val="24"/>
          <w:szCs w:val="24"/>
        </w:rPr>
        <w:t>e</w:t>
      </w:r>
      <w:r w:rsidR="00EE4D98" w:rsidRPr="00AB25F4">
        <w:rPr>
          <w:rFonts w:ascii="Times New Roman" w:hAnsi="Times New Roman" w:cs="Times New Roman"/>
          <w:b/>
          <w:bCs/>
          <w:color w:val="000000"/>
          <w:spacing w:val="-2"/>
          <w:sz w:val="24"/>
          <w:szCs w:val="24"/>
        </w:rPr>
        <w:t>s</w:t>
      </w:r>
      <w:r w:rsidR="00EE4D98" w:rsidRPr="00AB25F4">
        <w:rPr>
          <w:rFonts w:ascii="Times New Roman" w:hAnsi="Times New Roman" w:cs="Times New Roman"/>
          <w:b/>
          <w:bCs/>
          <w:color w:val="000000"/>
          <w:spacing w:val="-3"/>
          <w:sz w:val="24"/>
          <w:szCs w:val="24"/>
        </w:rPr>
        <w:t>p</w:t>
      </w:r>
      <w:r w:rsidR="00EE4D98" w:rsidRPr="00AB25F4">
        <w:rPr>
          <w:rFonts w:ascii="Times New Roman" w:hAnsi="Times New Roman" w:cs="Times New Roman"/>
          <w:b/>
          <w:bCs/>
          <w:color w:val="000000"/>
          <w:spacing w:val="-4"/>
          <w:sz w:val="24"/>
          <w:szCs w:val="24"/>
        </w:rPr>
        <w:t>o</w:t>
      </w:r>
      <w:r w:rsidR="00EE4D98" w:rsidRPr="00AB25F4">
        <w:rPr>
          <w:rFonts w:ascii="Times New Roman" w:hAnsi="Times New Roman" w:cs="Times New Roman"/>
          <w:b/>
          <w:bCs/>
          <w:color w:val="000000"/>
          <w:sz w:val="24"/>
          <w:szCs w:val="24"/>
        </w:rPr>
        <w:t>nd</w:t>
      </w:r>
      <w:r w:rsidR="00EE4D98" w:rsidRPr="00AB25F4">
        <w:rPr>
          <w:rFonts w:ascii="Times New Roman" w:hAnsi="Times New Roman" w:cs="Times New Roman"/>
          <w:b/>
          <w:bCs/>
          <w:color w:val="000000"/>
          <w:spacing w:val="-5"/>
          <w:sz w:val="24"/>
          <w:szCs w:val="24"/>
        </w:rPr>
        <w:t>e</w:t>
      </w:r>
      <w:r w:rsidR="00EE4D98" w:rsidRPr="00AB25F4">
        <w:rPr>
          <w:rFonts w:ascii="Times New Roman" w:hAnsi="Times New Roman" w:cs="Times New Roman"/>
          <w:b/>
          <w:bCs/>
          <w:color w:val="000000"/>
          <w:sz w:val="24"/>
          <w:szCs w:val="24"/>
        </w:rPr>
        <w:t>n</w:t>
      </w:r>
      <w:r w:rsidR="00EE4D98" w:rsidRPr="00AB25F4">
        <w:rPr>
          <w:rFonts w:ascii="Times New Roman" w:hAnsi="Times New Roman" w:cs="Times New Roman"/>
          <w:b/>
          <w:bCs/>
          <w:color w:val="000000"/>
          <w:spacing w:val="-4"/>
          <w:sz w:val="24"/>
          <w:szCs w:val="24"/>
        </w:rPr>
        <w:t>t</w:t>
      </w:r>
    </w:p>
    <w:p w14:paraId="4C0EBEEC" w14:textId="77777777" w:rsidR="00E14E89" w:rsidRPr="00AB25F4" w:rsidRDefault="00E14E89" w:rsidP="00443F54">
      <w:pPr>
        <w:spacing w:after="3"/>
        <w:rPr>
          <w:rFonts w:ascii="Times New Roman" w:hAnsi="Times New Roman"/>
          <w:color w:val="000000" w:themeColor="text1"/>
          <w:sz w:val="24"/>
          <w:szCs w:val="24"/>
        </w:rPr>
      </w:pPr>
    </w:p>
    <w:p w14:paraId="4D818FB0" w14:textId="002E240D" w:rsidR="00CF54BE" w:rsidRPr="00AB25F4" w:rsidRDefault="00EE4D98" w:rsidP="00443F54">
      <w:pPr>
        <w:spacing w:line="275" w:lineRule="exact"/>
        <w:jc w:val="center"/>
        <w:rPr>
          <w:rFonts w:ascii="Times New Roman" w:hAnsi="Times New Roman" w:cs="Times New Roman"/>
          <w:color w:val="000000"/>
          <w:spacing w:val="-2"/>
          <w:sz w:val="24"/>
          <w:szCs w:val="24"/>
        </w:rPr>
      </w:pPr>
      <w:r w:rsidRPr="00AB25F4">
        <w:rPr>
          <w:rFonts w:ascii="Times New Roman" w:hAnsi="Times New Roman" w:cs="Times New Roman"/>
          <w:color w:val="000000"/>
          <w:spacing w:val="-2"/>
          <w:sz w:val="24"/>
          <w:szCs w:val="24"/>
        </w:rPr>
        <w:t>H</w:t>
      </w:r>
      <w:r w:rsidRPr="00AB25F4">
        <w:rPr>
          <w:rFonts w:ascii="Times New Roman" w:hAnsi="Times New Roman" w:cs="Times New Roman"/>
          <w:color w:val="000000"/>
          <w:spacing w:val="-3"/>
          <w:sz w:val="24"/>
          <w:szCs w:val="24"/>
        </w:rPr>
        <w:t>ear</w:t>
      </w:r>
      <w:r w:rsidRPr="00AB25F4">
        <w:rPr>
          <w:rFonts w:ascii="Times New Roman" w:hAnsi="Times New Roman" w:cs="Times New Roman"/>
          <w:color w:val="000000"/>
          <w:sz w:val="24"/>
          <w:szCs w:val="24"/>
        </w:rPr>
        <w:t>i</w:t>
      </w:r>
      <w:r w:rsidRPr="00AB25F4">
        <w:rPr>
          <w:rFonts w:ascii="Times New Roman" w:hAnsi="Times New Roman" w:cs="Times New Roman"/>
          <w:color w:val="000000"/>
          <w:spacing w:val="-2"/>
          <w:sz w:val="24"/>
          <w:szCs w:val="24"/>
        </w:rPr>
        <w:t>ng d</w:t>
      </w:r>
      <w:r w:rsidRPr="00AB25F4">
        <w:rPr>
          <w:rFonts w:ascii="Times New Roman" w:hAnsi="Times New Roman" w:cs="Times New Roman"/>
          <w:color w:val="000000"/>
          <w:spacing w:val="-3"/>
          <w:sz w:val="24"/>
          <w:szCs w:val="24"/>
        </w:rPr>
        <w:t>a</w:t>
      </w:r>
      <w:r w:rsidRPr="00AB25F4">
        <w:rPr>
          <w:rFonts w:ascii="Times New Roman" w:hAnsi="Times New Roman" w:cs="Times New Roman"/>
          <w:color w:val="000000"/>
          <w:sz w:val="24"/>
          <w:szCs w:val="24"/>
        </w:rPr>
        <w:t>t</w:t>
      </w:r>
      <w:r w:rsidRPr="00AB25F4">
        <w:rPr>
          <w:rFonts w:ascii="Times New Roman" w:hAnsi="Times New Roman" w:cs="Times New Roman"/>
          <w:color w:val="000000"/>
          <w:spacing w:val="-5"/>
          <w:sz w:val="24"/>
          <w:szCs w:val="24"/>
        </w:rPr>
        <w:t>e</w:t>
      </w:r>
      <w:r w:rsidRPr="00AB25F4">
        <w:rPr>
          <w:rFonts w:ascii="Times New Roman" w:hAnsi="Times New Roman" w:cs="Times New Roman"/>
          <w:color w:val="000000"/>
          <w:sz w:val="24"/>
          <w:szCs w:val="24"/>
        </w:rPr>
        <w:t>:</w:t>
      </w:r>
      <w:r w:rsidRPr="00AB25F4">
        <w:rPr>
          <w:rFonts w:ascii="Times New Roman" w:hAnsi="Times New Roman" w:cs="Times New Roman"/>
          <w:color w:val="000000"/>
          <w:spacing w:val="-4"/>
          <w:sz w:val="24"/>
          <w:szCs w:val="24"/>
        </w:rPr>
        <w:t xml:space="preserve"> </w:t>
      </w:r>
      <w:r w:rsidR="00962DE5" w:rsidRPr="00962DE5">
        <w:rPr>
          <w:rFonts w:ascii="Times New Roman" w:hAnsi="Times New Roman" w:cs="Times New Roman"/>
          <w:color w:val="000000"/>
          <w:spacing w:val="-2"/>
          <w:sz w:val="24"/>
          <w:szCs w:val="24"/>
        </w:rPr>
        <w:t>28 September 2021</w:t>
      </w:r>
    </w:p>
    <w:p w14:paraId="6CBF4D15" w14:textId="1E8DD94E" w:rsidR="00E14E89" w:rsidRPr="00AB25F4" w:rsidRDefault="00EE4D98" w:rsidP="00443F54">
      <w:pPr>
        <w:spacing w:line="275" w:lineRule="exact"/>
        <w:jc w:val="center"/>
        <w:rPr>
          <w:rFonts w:ascii="Times New Roman" w:hAnsi="Times New Roman" w:cs="Times New Roman"/>
          <w:color w:val="010302"/>
          <w:sz w:val="24"/>
          <w:szCs w:val="24"/>
        </w:rPr>
      </w:pP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4"/>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p>
    <w:p w14:paraId="01FD074F" w14:textId="69D383E0" w:rsidR="00E14E89" w:rsidRDefault="00EE4D98" w:rsidP="00443F54">
      <w:pPr>
        <w:spacing w:line="398" w:lineRule="exact"/>
        <w:jc w:val="center"/>
        <w:rPr>
          <w:rFonts w:ascii="Times New Roman" w:hAnsi="Times New Roman" w:cs="Times New Roman"/>
          <w:color w:val="010302"/>
        </w:rPr>
      </w:pPr>
      <w:r>
        <w:rPr>
          <w:rFonts w:ascii="Times New Roman" w:hAnsi="Times New Roman" w:cs="Times New Roman"/>
          <w:b/>
          <w:bCs/>
          <w:color w:val="000000"/>
          <w:sz w:val="36"/>
          <w:szCs w:val="36"/>
        </w:rPr>
        <w:t>JUDGMENT</w:t>
      </w:r>
    </w:p>
    <w:p w14:paraId="630E0BBB" w14:textId="70A74447" w:rsidR="00E14E89" w:rsidRDefault="00E14E89" w:rsidP="00443F54">
      <w:pPr>
        <w:spacing w:after="37"/>
        <w:rPr>
          <w:rFonts w:ascii="Times New Roman" w:hAnsi="Times New Roman"/>
          <w:color w:val="000000" w:themeColor="text1"/>
          <w:sz w:val="24"/>
          <w:szCs w:val="24"/>
        </w:rPr>
      </w:pPr>
    </w:p>
    <w:p w14:paraId="5BF352E6" w14:textId="20C02C2E" w:rsidR="00717B8E" w:rsidRDefault="00717B8E" w:rsidP="00443F54">
      <w:pPr>
        <w:spacing w:after="37"/>
        <w:rPr>
          <w:rFonts w:ascii="Times New Roman" w:hAnsi="Times New Roman"/>
          <w:color w:val="000000" w:themeColor="text1"/>
          <w:sz w:val="24"/>
          <w:szCs w:val="24"/>
        </w:rPr>
      </w:pPr>
    </w:p>
    <w:p w14:paraId="076BA666" w14:textId="08BC0B4D" w:rsidR="00717B8E" w:rsidRDefault="00717B8E" w:rsidP="00443F54">
      <w:pPr>
        <w:spacing w:after="37"/>
        <w:rPr>
          <w:rFonts w:ascii="Times New Roman" w:hAnsi="Times New Roman"/>
          <w:color w:val="000000" w:themeColor="text1"/>
          <w:sz w:val="24"/>
          <w:szCs w:val="24"/>
        </w:rPr>
      </w:pPr>
    </w:p>
    <w:p w14:paraId="4259D9FE" w14:textId="26AEE584" w:rsidR="00443F54" w:rsidRDefault="00443F54" w:rsidP="00443F54">
      <w:pPr>
        <w:spacing w:after="37"/>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65B03518" w14:textId="026A82BB" w:rsidR="00E14E89" w:rsidRPr="000F67FA" w:rsidRDefault="00EE4D98" w:rsidP="00F371D5">
      <w:pPr>
        <w:spacing w:line="480" w:lineRule="auto"/>
        <w:contextualSpacing/>
        <w:jc w:val="both"/>
        <w:rPr>
          <w:rFonts w:ascii="Times New Roman" w:hAnsi="Times New Roman" w:cs="Times New Roman"/>
          <w:color w:val="010302"/>
          <w:u w:val="single"/>
        </w:rPr>
      </w:pPr>
      <w:r w:rsidRPr="000F67FA">
        <w:rPr>
          <w:rFonts w:ascii="Times New Roman" w:hAnsi="Times New Roman" w:cs="Times New Roman"/>
          <w:b/>
          <w:bCs/>
          <w:color w:val="000000"/>
          <w:sz w:val="24"/>
          <w:szCs w:val="24"/>
          <w:u w:val="single"/>
        </w:rPr>
        <w:t>SUMMARY</w:t>
      </w:r>
    </w:p>
    <w:p w14:paraId="2CF4EC05" w14:textId="20CC9717" w:rsidR="00F35511" w:rsidRDefault="00F35511" w:rsidP="00F35511">
      <w:pPr>
        <w:jc w:val="both"/>
        <w:rPr>
          <w:rFonts w:ascii="Times New Roman" w:hAnsi="Times New Roman" w:cs="Times New Roman"/>
          <w:b/>
          <w:bCs/>
          <w:color w:val="000000"/>
          <w:sz w:val="24"/>
          <w:szCs w:val="24"/>
        </w:rPr>
      </w:pPr>
      <w:r w:rsidRPr="00F35511">
        <w:rPr>
          <w:rFonts w:ascii="Times New Roman" w:hAnsi="Times New Roman" w:cs="Times New Roman"/>
          <w:b/>
          <w:bCs/>
          <w:color w:val="000000"/>
          <w:sz w:val="24"/>
          <w:szCs w:val="24"/>
        </w:rPr>
        <w:t>DISABILITY DISCRIMINATION</w:t>
      </w:r>
      <w:r>
        <w:rPr>
          <w:rFonts w:ascii="Times New Roman" w:hAnsi="Times New Roman" w:cs="Times New Roman"/>
          <w:b/>
          <w:bCs/>
          <w:color w:val="000000"/>
          <w:sz w:val="24"/>
          <w:szCs w:val="24"/>
        </w:rPr>
        <w:t xml:space="preserve">, </w:t>
      </w:r>
      <w:r w:rsidR="006831E8" w:rsidRPr="006831E8">
        <w:rPr>
          <w:rFonts w:ascii="Times New Roman" w:hAnsi="Times New Roman" w:cs="Times New Roman"/>
          <w:b/>
          <w:bCs/>
          <w:color w:val="000000"/>
          <w:sz w:val="24"/>
          <w:szCs w:val="24"/>
        </w:rPr>
        <w:t>PRACTICE AND PROCEDURE</w:t>
      </w:r>
    </w:p>
    <w:p w14:paraId="239E3F01" w14:textId="77777777" w:rsidR="00F35511" w:rsidRDefault="00F35511" w:rsidP="00F35511">
      <w:pPr>
        <w:jc w:val="both"/>
        <w:rPr>
          <w:rFonts w:ascii="Times New Roman" w:hAnsi="Times New Roman" w:cs="Times New Roman"/>
          <w:b/>
          <w:bCs/>
          <w:color w:val="000000"/>
          <w:sz w:val="24"/>
          <w:szCs w:val="24"/>
        </w:rPr>
      </w:pPr>
    </w:p>
    <w:p w14:paraId="6B27872C" w14:textId="5CBC1844" w:rsidR="00F35511" w:rsidRPr="00F52C9F" w:rsidRDefault="00F35511" w:rsidP="00210332">
      <w:pPr>
        <w:spacing w:line="480" w:lineRule="auto"/>
        <w:jc w:val="both"/>
        <w:rPr>
          <w:sz w:val="24"/>
          <w:szCs w:val="24"/>
        </w:rPr>
      </w:pPr>
      <w:r w:rsidRPr="00F52C9F">
        <w:rPr>
          <w:sz w:val="24"/>
          <w:szCs w:val="24"/>
        </w:rPr>
        <w:t>The employment tribunal found that the claimant had been subject to harassment by “being compelled to complete an ill-health retirement assessment application (after expressing the fact he did not want medical retirement)”.</w:t>
      </w:r>
      <w:r>
        <w:rPr>
          <w:sz w:val="24"/>
          <w:szCs w:val="24"/>
        </w:rPr>
        <w:t xml:space="preserve"> </w:t>
      </w:r>
      <w:r w:rsidRPr="00F52C9F">
        <w:rPr>
          <w:sz w:val="24"/>
          <w:szCs w:val="24"/>
        </w:rPr>
        <w:t>The employment tribunal erred in law in failing to make specific findings about the conduct on the part of the respondent that constituted the harassment and, if it extended beyond 20 February 2013 (the date on which the claimant submitted an application for ill health retirement) to no later than September 2020 (the date by which it was accepted any conduct was no longer unwanted) what specific conduct on the part of the respondent occurred and when the period over which it extended ended.  The matter is remitted to the same employment tribunal if practicable. Having determined the date or period over which the harassment occurred, the employment tribunal should go on to determine whether it is just and equitable to apply a time limit in excess of three months. The employment tribunal also erred in law in holding that it was only appropriate to take into account the period by which the submission of the claim form exceeded the usual three month time limit in determining whether it was just and equitable to apply a longer time limit. It was also necessary to consider the effect that extending the time limit would have on the respondent’s ability to defend the claim, including the fact that it would result in the tribunal having to make determinations about matters that had occurred ma</w:t>
      </w:r>
      <w:r w:rsidR="00D204CA">
        <w:rPr>
          <w:sz w:val="24"/>
          <w:szCs w:val="24"/>
        </w:rPr>
        <w:t>n</w:t>
      </w:r>
      <w:r w:rsidRPr="00F52C9F">
        <w:rPr>
          <w:sz w:val="24"/>
          <w:szCs w:val="24"/>
        </w:rPr>
        <w:t xml:space="preserve">y years previous to the hearing, albeit not because of any fault of either party but because the claim had been stayed pending the resolution of a personal injury claim. The Tribunal should have regard to the decision of the Court of Appeal in </w:t>
      </w:r>
      <w:r w:rsidRPr="00F52C9F">
        <w:rPr>
          <w:b/>
          <w:bCs/>
          <w:sz w:val="24"/>
          <w:szCs w:val="24"/>
        </w:rPr>
        <w:t xml:space="preserve">Adedeji v University Hospitals Birmingham NHS Foundation </w:t>
      </w:r>
      <w:r w:rsidRPr="00F52C9F">
        <w:rPr>
          <w:sz w:val="24"/>
          <w:szCs w:val="24"/>
        </w:rPr>
        <w:t>[2021] EWCA Civ 23 (determined after the original employment tribunal hearing of this matter).</w:t>
      </w:r>
    </w:p>
    <w:p w14:paraId="209148D5" w14:textId="77777777" w:rsidR="00F35511" w:rsidRDefault="00F35511" w:rsidP="00F371D5">
      <w:pPr>
        <w:spacing w:line="480" w:lineRule="auto"/>
        <w:contextualSpacing/>
        <w:jc w:val="both"/>
        <w:rPr>
          <w:rFonts w:ascii="Times New Roman" w:hAnsi="Times New Roman" w:cs="Times New Roman"/>
          <w:color w:val="010302"/>
        </w:rPr>
      </w:pPr>
    </w:p>
    <w:p w14:paraId="25AF990E" w14:textId="5C2A2886" w:rsidR="001D464F" w:rsidRDefault="00443F54" w:rsidP="001D464F">
      <w:pPr>
        <w:spacing w:line="480" w:lineRule="auto"/>
        <w:contextualSpacing/>
        <w:jc w:val="both"/>
        <w:rPr>
          <w:rFonts w:ascii="Times New Roman" w:hAnsi="Times New Roman" w:cs="Times New Roman"/>
          <w:b/>
          <w:bCs/>
          <w:color w:val="000000"/>
          <w:sz w:val="24"/>
          <w:szCs w:val="24"/>
        </w:rPr>
      </w:pPr>
      <w:r>
        <w:rPr>
          <w:rFonts w:ascii="Times New Roman" w:hAnsi="Times New Roman"/>
          <w:color w:val="000000" w:themeColor="text1"/>
          <w:sz w:val="24"/>
          <w:szCs w:val="24"/>
        </w:rPr>
        <w:br w:type="page"/>
      </w:r>
      <w:r w:rsidR="001D464F" w:rsidRPr="001D464F">
        <w:rPr>
          <w:rFonts w:ascii="Times New Roman" w:hAnsi="Times New Roman"/>
          <w:b/>
          <w:bCs/>
          <w:color w:val="000000" w:themeColor="text1"/>
          <w:sz w:val="24"/>
          <w:szCs w:val="24"/>
        </w:rPr>
        <w:lastRenderedPageBreak/>
        <w:t>HIS HONOUR</w:t>
      </w:r>
      <w:r w:rsidR="001D464F">
        <w:rPr>
          <w:rFonts w:ascii="Times New Roman" w:hAnsi="Times New Roman"/>
          <w:color w:val="000000" w:themeColor="text1"/>
          <w:sz w:val="24"/>
          <w:szCs w:val="24"/>
        </w:rPr>
        <w:t xml:space="preserve"> </w:t>
      </w:r>
      <w:r w:rsidR="001D464F" w:rsidRPr="001B426E">
        <w:rPr>
          <w:rFonts w:ascii="Times New Roman" w:hAnsi="Times New Roman"/>
          <w:b/>
          <w:bCs/>
          <w:color w:val="000000" w:themeColor="text1"/>
          <w:sz w:val="24"/>
          <w:szCs w:val="24"/>
        </w:rPr>
        <w:t xml:space="preserve">JUDGE </w:t>
      </w:r>
      <w:r w:rsidR="001D464F">
        <w:rPr>
          <w:rFonts w:ascii="Times New Roman" w:hAnsi="Times New Roman"/>
          <w:b/>
          <w:bCs/>
          <w:color w:val="000000" w:themeColor="text1"/>
          <w:sz w:val="24"/>
          <w:szCs w:val="24"/>
        </w:rPr>
        <w:t xml:space="preserve">JAMES </w:t>
      </w:r>
      <w:r w:rsidR="001D464F" w:rsidRPr="001B426E">
        <w:rPr>
          <w:rFonts w:ascii="Times New Roman" w:hAnsi="Times New Roman"/>
          <w:b/>
          <w:bCs/>
          <w:color w:val="000000" w:themeColor="text1"/>
          <w:sz w:val="24"/>
          <w:szCs w:val="24"/>
        </w:rPr>
        <w:t>TAYLER</w:t>
      </w:r>
      <w:r w:rsidR="001D464F">
        <w:rPr>
          <w:rFonts w:ascii="Times New Roman" w:hAnsi="Times New Roman" w:cs="Times New Roman"/>
          <w:b/>
          <w:bCs/>
          <w:color w:val="000000"/>
          <w:sz w:val="24"/>
          <w:szCs w:val="24"/>
        </w:rPr>
        <w:t>:</w:t>
      </w:r>
    </w:p>
    <w:p w14:paraId="5861801C" w14:textId="70E3430B" w:rsidR="001D464F" w:rsidRPr="005D2F2C" w:rsidRDefault="00E54936" w:rsidP="001D464F">
      <w:pPr>
        <w:spacing w:line="480" w:lineRule="auto"/>
        <w:contextualSpacing/>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Introduction </w:t>
      </w:r>
    </w:p>
    <w:p w14:paraId="38409DB5" w14:textId="77777777" w:rsidR="004C1872" w:rsidRPr="00F52C9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 xml:space="preserve">This is an appeal against the decision of the </w:t>
      </w:r>
      <w:r w:rsidR="00170503">
        <w:rPr>
          <w:rFonts w:ascii="Times New Roman" w:hAnsi="Times New Roman" w:cs="Times New Roman"/>
          <w:color w:val="000000"/>
          <w:sz w:val="24"/>
          <w:szCs w:val="24"/>
        </w:rPr>
        <w:t xml:space="preserve">employment tribunal </w:t>
      </w:r>
      <w:r>
        <w:rPr>
          <w:rFonts w:ascii="Times New Roman" w:hAnsi="Times New Roman" w:cs="Times New Roman"/>
          <w:color w:val="000000"/>
          <w:sz w:val="24"/>
          <w:szCs w:val="24"/>
        </w:rPr>
        <w:t xml:space="preserve">sitting in North Shields between 17 to 19 February 2020, Employment Judge Garnon sitting with lay members.  The judgment was signed by the employment judge on 28 February 2020.  </w:t>
      </w:r>
    </w:p>
    <w:p w14:paraId="684EFDE2" w14:textId="77777777" w:rsidR="004C1872" w:rsidRPr="00F52C9F" w:rsidRDefault="004C1872" w:rsidP="00F52C9F">
      <w:pPr>
        <w:pStyle w:val="ListParagraph"/>
        <w:tabs>
          <w:tab w:val="left" w:pos="0"/>
        </w:tabs>
        <w:spacing w:line="480" w:lineRule="auto"/>
        <w:contextualSpacing/>
        <w:jc w:val="both"/>
        <w:rPr>
          <w:rFonts w:ascii="Times New Roman" w:hAnsi="Times New Roman" w:cs="Times New Roman"/>
          <w:color w:val="010302"/>
        </w:rPr>
      </w:pPr>
    </w:p>
    <w:p w14:paraId="5C8F8740" w14:textId="62DA6BBC" w:rsidR="001D464F" w:rsidRPr="00F52C9F" w:rsidRDefault="004C1872"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 xml:space="preserve">The parties are referred to as the claimant and respondent as they were before the employment tribunal. </w:t>
      </w:r>
      <w:r w:rsidR="001D464F">
        <w:rPr>
          <w:rFonts w:ascii="Times New Roman" w:hAnsi="Times New Roman" w:cs="Times New Roman"/>
          <w:color w:val="000000"/>
          <w:sz w:val="24"/>
          <w:szCs w:val="24"/>
        </w:rPr>
        <w:t xml:space="preserve">The </w:t>
      </w:r>
      <w:r w:rsidR="00170503">
        <w:rPr>
          <w:rFonts w:ascii="Times New Roman" w:hAnsi="Times New Roman" w:cs="Times New Roman"/>
          <w:color w:val="000000"/>
          <w:sz w:val="24"/>
          <w:szCs w:val="24"/>
        </w:rPr>
        <w:t xml:space="preserve">employment tribunal </w:t>
      </w:r>
      <w:r w:rsidR="001D464F">
        <w:rPr>
          <w:rFonts w:ascii="Times New Roman" w:hAnsi="Times New Roman" w:cs="Times New Roman"/>
          <w:color w:val="000000"/>
          <w:sz w:val="24"/>
          <w:szCs w:val="24"/>
        </w:rPr>
        <w:t xml:space="preserve">found in the claimant's favour in respect of one </w:t>
      </w:r>
      <w:r w:rsidR="00170503">
        <w:rPr>
          <w:rFonts w:ascii="Times New Roman" w:hAnsi="Times New Roman" w:cs="Times New Roman"/>
          <w:color w:val="000000"/>
          <w:sz w:val="24"/>
          <w:szCs w:val="24"/>
        </w:rPr>
        <w:t xml:space="preserve">allegation </w:t>
      </w:r>
      <w:r w:rsidR="001D464F">
        <w:rPr>
          <w:rFonts w:ascii="Times New Roman" w:hAnsi="Times New Roman" w:cs="Times New Roman"/>
          <w:color w:val="000000"/>
          <w:sz w:val="24"/>
          <w:szCs w:val="24"/>
        </w:rPr>
        <w:t xml:space="preserve">of harassment. </w:t>
      </w:r>
      <w:r w:rsidR="001D464F" w:rsidRPr="001D464F">
        <w:rPr>
          <w:rFonts w:ascii="Times New Roman" w:hAnsi="Times New Roman" w:cs="Times New Roman"/>
          <w:color w:val="000000"/>
          <w:sz w:val="24"/>
          <w:szCs w:val="24"/>
        </w:rPr>
        <w:t xml:space="preserve"> </w:t>
      </w:r>
    </w:p>
    <w:p w14:paraId="0F1A1158" w14:textId="77777777" w:rsidR="003E4E29" w:rsidRPr="001D464F" w:rsidRDefault="003E4E29" w:rsidP="00F52C9F">
      <w:pPr>
        <w:pStyle w:val="ListParagraph"/>
        <w:tabs>
          <w:tab w:val="left" w:pos="0"/>
        </w:tabs>
        <w:spacing w:line="480" w:lineRule="auto"/>
        <w:contextualSpacing/>
        <w:jc w:val="both"/>
        <w:rPr>
          <w:rFonts w:ascii="Times New Roman" w:hAnsi="Times New Roman" w:cs="Times New Roman"/>
          <w:color w:val="010302"/>
        </w:rPr>
      </w:pPr>
    </w:p>
    <w:p w14:paraId="01AA2134" w14:textId="1ECD1183" w:rsidR="006B727F" w:rsidRPr="00F52C9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 xml:space="preserve">The claimant was employed as a prison officer from 4 July 1990, latterly at HMP Frankland.  On 1 October 2011 the claimant attended the scene of the brutal murder </w:t>
      </w:r>
      <w:r w:rsidR="00212716">
        <w:rPr>
          <w:rFonts w:ascii="Times New Roman" w:hAnsi="Times New Roman" w:cs="Times New Roman"/>
          <w:color w:val="000000"/>
          <w:sz w:val="24"/>
          <w:szCs w:val="24"/>
        </w:rPr>
        <w:t>of a prisoner who had been mutilated</w:t>
      </w:r>
      <w:r>
        <w:rPr>
          <w:rFonts w:ascii="Times New Roman" w:hAnsi="Times New Roman" w:cs="Times New Roman"/>
          <w:color w:val="000000"/>
          <w:sz w:val="24"/>
          <w:szCs w:val="24"/>
        </w:rPr>
        <w:t xml:space="preserve"> and </w:t>
      </w:r>
      <w:r w:rsidR="00212716">
        <w:rPr>
          <w:rFonts w:ascii="Times New Roman" w:hAnsi="Times New Roman" w:cs="Times New Roman"/>
          <w:color w:val="000000"/>
          <w:sz w:val="24"/>
          <w:szCs w:val="24"/>
        </w:rPr>
        <w:t>disembowelled</w:t>
      </w:r>
      <w:r>
        <w:rPr>
          <w:rFonts w:ascii="Times New Roman" w:hAnsi="Times New Roman" w:cs="Times New Roman"/>
          <w:color w:val="000000"/>
          <w:sz w:val="24"/>
          <w:szCs w:val="24"/>
        </w:rPr>
        <w:t xml:space="preserve">.  The </w:t>
      </w:r>
      <w:r w:rsidR="006B727F">
        <w:rPr>
          <w:rFonts w:ascii="Times New Roman" w:hAnsi="Times New Roman" w:cs="Times New Roman"/>
          <w:color w:val="000000"/>
          <w:sz w:val="24"/>
          <w:szCs w:val="24"/>
        </w:rPr>
        <w:t xml:space="preserve">claimant </w:t>
      </w:r>
      <w:r w:rsidR="003E4E29">
        <w:rPr>
          <w:rFonts w:ascii="Times New Roman" w:hAnsi="Times New Roman" w:cs="Times New Roman"/>
          <w:color w:val="000000"/>
          <w:sz w:val="24"/>
          <w:szCs w:val="24"/>
        </w:rPr>
        <w:t>said the sights</w:t>
      </w:r>
      <w:r>
        <w:rPr>
          <w:rFonts w:ascii="Times New Roman" w:hAnsi="Times New Roman" w:cs="Times New Roman"/>
          <w:color w:val="000000"/>
          <w:sz w:val="24"/>
          <w:szCs w:val="24"/>
        </w:rPr>
        <w:t xml:space="preserve"> he </w:t>
      </w:r>
      <w:r w:rsidR="003E4E29">
        <w:rPr>
          <w:rFonts w:ascii="Times New Roman" w:hAnsi="Times New Roman" w:cs="Times New Roman"/>
          <w:color w:val="000000"/>
          <w:sz w:val="24"/>
          <w:szCs w:val="24"/>
        </w:rPr>
        <w:t xml:space="preserve">saw </w:t>
      </w:r>
      <w:r>
        <w:rPr>
          <w:rFonts w:ascii="Times New Roman" w:hAnsi="Times New Roman" w:cs="Times New Roman"/>
          <w:color w:val="000000"/>
          <w:sz w:val="24"/>
          <w:szCs w:val="24"/>
        </w:rPr>
        <w:t xml:space="preserve">would haunt him for the rest of his life.  </w:t>
      </w:r>
    </w:p>
    <w:p w14:paraId="12EB6638" w14:textId="77777777" w:rsidR="003E4E29" w:rsidRPr="00F52C9F" w:rsidRDefault="003E4E29" w:rsidP="00F52C9F">
      <w:pPr>
        <w:pStyle w:val="ListParagraph"/>
        <w:tabs>
          <w:tab w:val="left" w:pos="0"/>
        </w:tabs>
        <w:spacing w:line="480" w:lineRule="auto"/>
        <w:contextualSpacing/>
        <w:jc w:val="both"/>
        <w:rPr>
          <w:rFonts w:ascii="Times New Roman" w:hAnsi="Times New Roman" w:cs="Times New Roman"/>
          <w:color w:val="010302"/>
        </w:rPr>
      </w:pPr>
    </w:p>
    <w:p w14:paraId="094481F0" w14:textId="0B4679AD" w:rsidR="001D464F" w:rsidRPr="00F52C9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 xml:space="preserve">The claimant submitted a claim form on </w:t>
      </w:r>
      <w:r w:rsidRPr="00F52C9F">
        <w:rPr>
          <w:rFonts w:ascii="Times New Roman" w:hAnsi="Times New Roman" w:cs="Times New Roman"/>
          <w:b/>
          <w:bCs/>
          <w:color w:val="000000"/>
          <w:sz w:val="24"/>
          <w:szCs w:val="24"/>
        </w:rPr>
        <w:t>19 December</w:t>
      </w:r>
      <w:r w:rsidRPr="00F52C9F">
        <w:rPr>
          <w:rFonts w:ascii="Times New Roman" w:hAnsi="Times New Roman" w:cs="Times New Roman"/>
          <w:b/>
          <w:bCs/>
          <w:color w:val="000000"/>
          <w:sz w:val="24"/>
          <w:szCs w:val="24"/>
          <w:u w:val="single"/>
        </w:rPr>
        <w:t xml:space="preserve"> 2013</w:t>
      </w:r>
      <w:r>
        <w:rPr>
          <w:rFonts w:ascii="Times New Roman" w:hAnsi="Times New Roman" w:cs="Times New Roman"/>
          <w:color w:val="000000"/>
          <w:sz w:val="24"/>
          <w:szCs w:val="24"/>
        </w:rPr>
        <w:t xml:space="preserve">.  </w:t>
      </w:r>
      <w:r w:rsidR="003E4E29">
        <w:rPr>
          <w:rFonts w:ascii="Times New Roman" w:hAnsi="Times New Roman" w:cs="Times New Roman"/>
          <w:color w:val="000000"/>
          <w:sz w:val="24"/>
          <w:szCs w:val="24"/>
        </w:rPr>
        <w:t>T</w:t>
      </w:r>
      <w:r>
        <w:rPr>
          <w:rFonts w:ascii="Times New Roman" w:hAnsi="Times New Roman" w:cs="Times New Roman"/>
          <w:color w:val="000000"/>
          <w:sz w:val="24"/>
          <w:szCs w:val="24"/>
        </w:rPr>
        <w:t xml:space="preserve">he proceedings were stayed for a number of years </w:t>
      </w:r>
      <w:r w:rsidR="006B727F">
        <w:rPr>
          <w:rFonts w:ascii="Times New Roman" w:hAnsi="Times New Roman" w:cs="Times New Roman"/>
          <w:color w:val="000000"/>
          <w:sz w:val="24"/>
          <w:szCs w:val="24"/>
        </w:rPr>
        <w:t xml:space="preserve">while </w:t>
      </w:r>
      <w:r w:rsidR="00C4019B">
        <w:rPr>
          <w:rFonts w:ascii="Times New Roman" w:hAnsi="Times New Roman" w:cs="Times New Roman"/>
          <w:color w:val="000000"/>
          <w:sz w:val="24"/>
          <w:szCs w:val="24"/>
        </w:rPr>
        <w:t>the claimant's</w:t>
      </w:r>
      <w:r w:rsidR="006B72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personal injury </w:t>
      </w:r>
      <w:r w:rsidR="00C4019B">
        <w:rPr>
          <w:rFonts w:ascii="Times New Roman" w:hAnsi="Times New Roman" w:cs="Times New Roman"/>
          <w:color w:val="000000"/>
          <w:sz w:val="24"/>
          <w:szCs w:val="24"/>
        </w:rPr>
        <w:t xml:space="preserve">claim </w:t>
      </w:r>
      <w:r>
        <w:rPr>
          <w:rFonts w:ascii="Times New Roman" w:hAnsi="Times New Roman" w:cs="Times New Roman"/>
          <w:color w:val="000000"/>
          <w:sz w:val="24"/>
          <w:szCs w:val="24"/>
        </w:rPr>
        <w:t xml:space="preserve">was brought and resolved.  </w:t>
      </w:r>
    </w:p>
    <w:p w14:paraId="5596D5F9" w14:textId="77777777" w:rsidR="003E4E29" w:rsidRPr="00371B06" w:rsidRDefault="003E4E29" w:rsidP="00F52C9F">
      <w:pPr>
        <w:pStyle w:val="ListParagraph"/>
        <w:tabs>
          <w:tab w:val="left" w:pos="0"/>
        </w:tabs>
        <w:spacing w:line="480" w:lineRule="auto"/>
        <w:contextualSpacing/>
        <w:jc w:val="both"/>
        <w:rPr>
          <w:rFonts w:ascii="Times New Roman" w:hAnsi="Times New Roman" w:cs="Times New Roman"/>
          <w:color w:val="010302"/>
        </w:rPr>
      </w:pPr>
    </w:p>
    <w:p w14:paraId="26380D2E" w14:textId="29B6AAD4" w:rsidR="006B727F" w:rsidRPr="00F52C9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 xml:space="preserve">The complaint of harassment upon which the claimant succeeded </w:t>
      </w:r>
      <w:r w:rsidR="00C4019B">
        <w:rPr>
          <w:rFonts w:ascii="Times New Roman" w:hAnsi="Times New Roman" w:cs="Times New Roman"/>
          <w:color w:val="000000"/>
          <w:sz w:val="24"/>
          <w:szCs w:val="24"/>
        </w:rPr>
        <w:t xml:space="preserve">in the employment tribunal </w:t>
      </w:r>
      <w:r>
        <w:rPr>
          <w:rFonts w:ascii="Times New Roman" w:hAnsi="Times New Roman" w:cs="Times New Roman"/>
          <w:color w:val="000000"/>
          <w:sz w:val="24"/>
          <w:szCs w:val="24"/>
        </w:rPr>
        <w:t>was set out at paragraph 122 of his claim form</w:t>
      </w:r>
      <w:r w:rsidR="006B727F">
        <w:rPr>
          <w:rFonts w:ascii="Times New Roman" w:hAnsi="Times New Roman" w:cs="Times New Roman"/>
          <w:color w:val="000000"/>
          <w:sz w:val="24"/>
          <w:szCs w:val="24"/>
        </w:rPr>
        <w:t>:</w:t>
      </w:r>
    </w:p>
    <w:p w14:paraId="2F70830B" w14:textId="77777777" w:rsidR="00C4019B" w:rsidRDefault="00C4019B" w:rsidP="00886302">
      <w:pPr>
        <w:pStyle w:val="ListParagraph"/>
        <w:tabs>
          <w:tab w:val="left" w:pos="1418"/>
        </w:tabs>
        <w:ind w:left="1418"/>
        <w:contextualSpacing/>
        <w:jc w:val="both"/>
        <w:rPr>
          <w:rFonts w:ascii="Times New Roman" w:hAnsi="Times New Roman" w:cs="Times New Roman"/>
          <w:sz w:val="24"/>
          <w:szCs w:val="24"/>
        </w:rPr>
      </w:pPr>
    </w:p>
    <w:p w14:paraId="72A4F5DA" w14:textId="0B4BC8AA" w:rsidR="006B727F" w:rsidRDefault="001D464F" w:rsidP="00886302">
      <w:pPr>
        <w:pStyle w:val="ListParagraph"/>
        <w:tabs>
          <w:tab w:val="left" w:pos="1418"/>
        </w:tabs>
        <w:ind w:left="1418"/>
        <w:contextualSpacing/>
        <w:jc w:val="both"/>
        <w:rPr>
          <w:rFonts w:ascii="Times New Roman" w:hAnsi="Times New Roman" w:cs="Times New Roman"/>
          <w:sz w:val="24"/>
          <w:szCs w:val="24"/>
        </w:rPr>
      </w:pPr>
      <w:r w:rsidRPr="00F52C9F">
        <w:rPr>
          <w:rFonts w:ascii="Times New Roman" w:hAnsi="Times New Roman" w:cs="Times New Roman"/>
          <w:sz w:val="24"/>
          <w:szCs w:val="24"/>
        </w:rPr>
        <w:t xml:space="preserve">"Compelling the claimant to complete an ill-health retirement assessment application when he emphatically expressed the fact that he did not want a medical retirement" </w:t>
      </w:r>
    </w:p>
    <w:p w14:paraId="77033B10" w14:textId="540BF5FE" w:rsidR="00886302" w:rsidRDefault="00886302" w:rsidP="00886302">
      <w:pPr>
        <w:pStyle w:val="ListParagraph"/>
        <w:tabs>
          <w:tab w:val="left" w:pos="1418"/>
        </w:tabs>
        <w:ind w:left="1418"/>
        <w:contextualSpacing/>
        <w:jc w:val="both"/>
        <w:rPr>
          <w:rFonts w:ascii="Times New Roman" w:hAnsi="Times New Roman" w:cs="Times New Roman"/>
          <w:sz w:val="24"/>
          <w:szCs w:val="24"/>
        </w:rPr>
      </w:pPr>
    </w:p>
    <w:p w14:paraId="02D76E58" w14:textId="2EAA0F5D" w:rsidR="00B00E6F" w:rsidRPr="00F52C9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The tribunal slightly paraphrased</w:t>
      </w:r>
      <w:r w:rsidR="00C4019B">
        <w:rPr>
          <w:rFonts w:ascii="Times New Roman" w:hAnsi="Times New Roman" w:cs="Times New Roman"/>
          <w:color w:val="000000"/>
          <w:sz w:val="24"/>
          <w:szCs w:val="24"/>
        </w:rPr>
        <w:t xml:space="preserve"> the allegation</w:t>
      </w:r>
      <w:r>
        <w:rPr>
          <w:rFonts w:ascii="Times New Roman" w:hAnsi="Times New Roman" w:cs="Times New Roman"/>
          <w:color w:val="000000"/>
          <w:sz w:val="24"/>
          <w:szCs w:val="24"/>
        </w:rPr>
        <w:t>, at paragraph 4.2 as</w:t>
      </w:r>
      <w:r w:rsidR="0088630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0EAF681F" w14:textId="4C63396C" w:rsidR="00886302" w:rsidRDefault="001D464F" w:rsidP="00B00E6F">
      <w:pPr>
        <w:pStyle w:val="ListParagraph"/>
        <w:tabs>
          <w:tab w:val="left" w:pos="1418"/>
        </w:tabs>
        <w:ind w:left="1418"/>
        <w:contextualSpacing/>
        <w:jc w:val="both"/>
        <w:rPr>
          <w:rFonts w:ascii="Times New Roman" w:hAnsi="Times New Roman" w:cs="Times New Roman"/>
          <w:sz w:val="24"/>
          <w:szCs w:val="24"/>
        </w:rPr>
      </w:pPr>
      <w:r w:rsidRPr="00F52C9F">
        <w:rPr>
          <w:rFonts w:ascii="Times New Roman" w:hAnsi="Times New Roman" w:cs="Times New Roman"/>
          <w:sz w:val="24"/>
          <w:szCs w:val="24"/>
        </w:rPr>
        <w:t>"C was harassed by being compelled to complete an ill-health retirement assessment application (after expressing the fact he did not want a medical retirement)"</w:t>
      </w:r>
    </w:p>
    <w:p w14:paraId="1EA12472" w14:textId="26FFDADE" w:rsidR="00B00E6F" w:rsidRDefault="00B00E6F" w:rsidP="00B00E6F">
      <w:pPr>
        <w:pStyle w:val="ListParagraph"/>
        <w:tabs>
          <w:tab w:val="left" w:pos="1418"/>
        </w:tabs>
        <w:ind w:left="1418"/>
        <w:contextualSpacing/>
        <w:jc w:val="both"/>
        <w:rPr>
          <w:rFonts w:ascii="Times New Roman" w:hAnsi="Times New Roman" w:cs="Times New Roman"/>
          <w:sz w:val="24"/>
          <w:szCs w:val="24"/>
        </w:rPr>
      </w:pPr>
    </w:p>
    <w:p w14:paraId="6584BD3F" w14:textId="46F44C22" w:rsidR="009514C8" w:rsidRPr="00F52C9F" w:rsidRDefault="003B24D1"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T</w:t>
      </w:r>
      <w:r w:rsidR="00B00E6F">
        <w:rPr>
          <w:rFonts w:ascii="Times New Roman" w:hAnsi="Times New Roman" w:cs="Times New Roman"/>
          <w:color w:val="000000"/>
          <w:sz w:val="24"/>
          <w:szCs w:val="24"/>
        </w:rPr>
        <w:t>he</w:t>
      </w:r>
      <w:r w:rsidR="001D464F" w:rsidRPr="00CC0E84">
        <w:rPr>
          <w:rFonts w:ascii="Times New Roman" w:hAnsi="Times New Roman" w:cs="Times New Roman"/>
          <w:color w:val="000000"/>
          <w:sz w:val="24"/>
          <w:szCs w:val="24"/>
        </w:rPr>
        <w:t xml:space="preserve"> pleading </w:t>
      </w:r>
      <w:r w:rsidR="00B00E6F">
        <w:rPr>
          <w:rFonts w:ascii="Times New Roman" w:hAnsi="Times New Roman" w:cs="Times New Roman"/>
          <w:color w:val="000000"/>
          <w:sz w:val="24"/>
          <w:szCs w:val="24"/>
        </w:rPr>
        <w:t>appears to</w:t>
      </w:r>
      <w:r w:rsidR="00B00E6F" w:rsidRPr="00CC0E84">
        <w:rPr>
          <w:rFonts w:ascii="Times New Roman" w:hAnsi="Times New Roman" w:cs="Times New Roman"/>
          <w:color w:val="000000"/>
          <w:sz w:val="24"/>
          <w:szCs w:val="24"/>
        </w:rPr>
        <w:t xml:space="preserve"> </w:t>
      </w:r>
      <w:r w:rsidR="00C4019B">
        <w:rPr>
          <w:rFonts w:ascii="Times New Roman" w:hAnsi="Times New Roman" w:cs="Times New Roman"/>
          <w:color w:val="000000"/>
          <w:sz w:val="24"/>
          <w:szCs w:val="24"/>
        </w:rPr>
        <w:t>relate</w:t>
      </w:r>
      <w:r w:rsidR="00C4019B" w:rsidRPr="00CC0E84">
        <w:rPr>
          <w:rFonts w:ascii="Times New Roman" w:hAnsi="Times New Roman" w:cs="Times New Roman"/>
          <w:color w:val="000000"/>
          <w:sz w:val="24"/>
          <w:szCs w:val="24"/>
        </w:rPr>
        <w:t xml:space="preserve"> </w:t>
      </w:r>
      <w:r w:rsidR="001D464F" w:rsidRPr="00CC0E84">
        <w:rPr>
          <w:rFonts w:ascii="Times New Roman" w:hAnsi="Times New Roman" w:cs="Times New Roman"/>
          <w:color w:val="000000"/>
          <w:sz w:val="24"/>
          <w:szCs w:val="24"/>
        </w:rPr>
        <w:t xml:space="preserve">to </w:t>
      </w:r>
      <w:r w:rsidR="00B00E6F">
        <w:rPr>
          <w:rFonts w:ascii="Times New Roman" w:hAnsi="Times New Roman" w:cs="Times New Roman"/>
          <w:color w:val="000000"/>
          <w:sz w:val="24"/>
          <w:szCs w:val="24"/>
        </w:rPr>
        <w:t xml:space="preserve">the </w:t>
      </w:r>
      <w:r w:rsidR="00C4019B">
        <w:rPr>
          <w:rFonts w:ascii="Times New Roman" w:hAnsi="Times New Roman" w:cs="Times New Roman"/>
          <w:color w:val="000000"/>
          <w:sz w:val="24"/>
          <w:szCs w:val="24"/>
        </w:rPr>
        <w:t xml:space="preserve">claimant being compelled to make </w:t>
      </w:r>
      <w:r w:rsidR="001D464F" w:rsidRPr="00CC0E84">
        <w:rPr>
          <w:rFonts w:ascii="Times New Roman" w:hAnsi="Times New Roman" w:cs="Times New Roman"/>
          <w:color w:val="000000"/>
          <w:sz w:val="24"/>
          <w:szCs w:val="24"/>
        </w:rPr>
        <w:t xml:space="preserve">the original application for ill-health retirement rather than the ongoing process during which that application was </w:t>
      </w:r>
      <w:r w:rsidR="00C4019B">
        <w:rPr>
          <w:rFonts w:ascii="Times New Roman" w:hAnsi="Times New Roman" w:cs="Times New Roman"/>
          <w:color w:val="000000"/>
          <w:sz w:val="24"/>
          <w:szCs w:val="24"/>
        </w:rPr>
        <w:lastRenderedPageBreak/>
        <w:t>determined</w:t>
      </w:r>
      <w:r w:rsidR="001D464F" w:rsidRPr="00CC0E84">
        <w:rPr>
          <w:rFonts w:ascii="Times New Roman" w:hAnsi="Times New Roman" w:cs="Times New Roman"/>
          <w:color w:val="000000"/>
          <w:sz w:val="24"/>
          <w:szCs w:val="24"/>
        </w:rPr>
        <w:t xml:space="preserve">.  The application form </w:t>
      </w:r>
      <w:r w:rsidR="00B84BA2" w:rsidRPr="00B84BA2">
        <w:rPr>
          <w:rFonts w:ascii="Times New Roman" w:hAnsi="Times New Roman" w:cs="Times New Roman"/>
          <w:color w:val="000000"/>
          <w:sz w:val="24"/>
          <w:szCs w:val="24"/>
        </w:rPr>
        <w:t xml:space="preserve">for ill-health retirement </w:t>
      </w:r>
      <w:r w:rsidR="001D464F" w:rsidRPr="00CC0E84">
        <w:rPr>
          <w:rFonts w:ascii="Times New Roman" w:hAnsi="Times New Roman" w:cs="Times New Roman"/>
          <w:color w:val="000000"/>
          <w:sz w:val="24"/>
          <w:szCs w:val="24"/>
        </w:rPr>
        <w:t>was submitted by the claimant on 20 February 2013</w:t>
      </w:r>
      <w:r w:rsidR="00B84BA2">
        <w:rPr>
          <w:rFonts w:ascii="Times New Roman" w:hAnsi="Times New Roman" w:cs="Times New Roman"/>
          <w:color w:val="000000"/>
          <w:sz w:val="24"/>
          <w:szCs w:val="24"/>
        </w:rPr>
        <w:t>.</w:t>
      </w:r>
      <w:r w:rsidR="001D464F" w:rsidRPr="00CC0E84">
        <w:rPr>
          <w:rFonts w:ascii="Times New Roman" w:hAnsi="Times New Roman" w:cs="Times New Roman"/>
          <w:color w:val="000000"/>
          <w:sz w:val="24"/>
          <w:szCs w:val="24"/>
        </w:rPr>
        <w:t xml:space="preserve"> </w:t>
      </w:r>
      <w:r w:rsidR="00B84BA2">
        <w:rPr>
          <w:rFonts w:ascii="Times New Roman" w:hAnsi="Times New Roman" w:cs="Times New Roman"/>
          <w:color w:val="000000"/>
          <w:sz w:val="24"/>
          <w:szCs w:val="24"/>
        </w:rPr>
        <w:t>That</w:t>
      </w:r>
      <w:r w:rsidR="00B84BA2" w:rsidRPr="00CC0E84">
        <w:rPr>
          <w:rFonts w:ascii="Times New Roman" w:hAnsi="Times New Roman" w:cs="Times New Roman"/>
          <w:color w:val="000000"/>
          <w:sz w:val="24"/>
          <w:szCs w:val="24"/>
        </w:rPr>
        <w:t xml:space="preserve"> </w:t>
      </w:r>
      <w:r w:rsidR="001D464F" w:rsidRPr="00CC0E84">
        <w:rPr>
          <w:rFonts w:ascii="Times New Roman" w:hAnsi="Times New Roman" w:cs="Times New Roman"/>
          <w:color w:val="000000"/>
          <w:sz w:val="24"/>
          <w:szCs w:val="24"/>
        </w:rPr>
        <w:t xml:space="preserve">is apparent from an email in the bundle </w:t>
      </w:r>
      <w:r w:rsidR="00B84BA2">
        <w:rPr>
          <w:rFonts w:ascii="Times New Roman" w:hAnsi="Times New Roman" w:cs="Times New Roman"/>
          <w:color w:val="000000"/>
          <w:sz w:val="24"/>
          <w:szCs w:val="24"/>
        </w:rPr>
        <w:t>for this hearing.</w:t>
      </w:r>
      <w:r>
        <w:rPr>
          <w:rFonts w:ascii="Times New Roman" w:hAnsi="Times New Roman" w:cs="Times New Roman"/>
          <w:color w:val="000000"/>
          <w:sz w:val="24"/>
          <w:szCs w:val="24"/>
        </w:rPr>
        <w:t xml:space="preserve"> T</w:t>
      </w:r>
      <w:r w:rsidR="001D464F" w:rsidRPr="00CC0E84">
        <w:rPr>
          <w:rFonts w:ascii="Times New Roman" w:hAnsi="Times New Roman" w:cs="Times New Roman"/>
          <w:color w:val="000000"/>
          <w:sz w:val="24"/>
          <w:szCs w:val="24"/>
        </w:rPr>
        <w:t xml:space="preserve">he </w:t>
      </w:r>
      <w:r w:rsidRPr="00CC0E84">
        <w:rPr>
          <w:rFonts w:ascii="Times New Roman" w:hAnsi="Times New Roman" w:cs="Times New Roman"/>
          <w:color w:val="000000"/>
          <w:sz w:val="24"/>
          <w:szCs w:val="24"/>
        </w:rPr>
        <w:t xml:space="preserve">employment tribunal did not make a specific finding </w:t>
      </w:r>
      <w:r w:rsidR="00617A93">
        <w:rPr>
          <w:rFonts w:ascii="Times New Roman" w:hAnsi="Times New Roman" w:cs="Times New Roman"/>
          <w:color w:val="000000"/>
          <w:sz w:val="24"/>
          <w:szCs w:val="24"/>
        </w:rPr>
        <w:t>of fact determining</w:t>
      </w:r>
      <w:r w:rsidRPr="00CC0E84">
        <w:rPr>
          <w:rFonts w:ascii="Times New Roman" w:hAnsi="Times New Roman" w:cs="Times New Roman"/>
          <w:color w:val="000000"/>
          <w:sz w:val="24"/>
          <w:szCs w:val="24"/>
        </w:rPr>
        <w:t xml:space="preserve"> the date on which the application was originally made</w:t>
      </w:r>
      <w:r w:rsidR="001D464F" w:rsidRPr="00CC0E84">
        <w:rPr>
          <w:rFonts w:ascii="Times New Roman" w:hAnsi="Times New Roman" w:cs="Times New Roman"/>
          <w:color w:val="000000"/>
          <w:sz w:val="24"/>
          <w:szCs w:val="24"/>
        </w:rPr>
        <w:t xml:space="preserve">, despite having </w:t>
      </w:r>
      <w:r w:rsidRPr="00CC0E84">
        <w:rPr>
          <w:rFonts w:ascii="Times New Roman" w:hAnsi="Times New Roman" w:cs="Times New Roman"/>
          <w:color w:val="000000"/>
          <w:sz w:val="24"/>
          <w:szCs w:val="24"/>
        </w:rPr>
        <w:t>th</w:t>
      </w:r>
      <w:r>
        <w:rPr>
          <w:rFonts w:ascii="Times New Roman" w:hAnsi="Times New Roman" w:cs="Times New Roman"/>
          <w:color w:val="000000"/>
          <w:sz w:val="24"/>
          <w:szCs w:val="24"/>
        </w:rPr>
        <w:t>e</w:t>
      </w:r>
      <w:r w:rsidRPr="00CC0E84">
        <w:rPr>
          <w:rFonts w:ascii="Times New Roman" w:hAnsi="Times New Roman" w:cs="Times New Roman"/>
          <w:color w:val="000000"/>
          <w:sz w:val="24"/>
          <w:szCs w:val="24"/>
        </w:rPr>
        <w:t xml:space="preserve"> </w:t>
      </w:r>
      <w:r w:rsidR="00617A93">
        <w:rPr>
          <w:rFonts w:ascii="Times New Roman" w:hAnsi="Times New Roman" w:cs="Times New Roman"/>
          <w:color w:val="000000"/>
          <w:sz w:val="24"/>
          <w:szCs w:val="24"/>
        </w:rPr>
        <w:t xml:space="preserve">relevant </w:t>
      </w:r>
      <w:r w:rsidR="001D464F" w:rsidRPr="00CC0E84">
        <w:rPr>
          <w:rFonts w:ascii="Times New Roman" w:hAnsi="Times New Roman" w:cs="Times New Roman"/>
          <w:color w:val="000000"/>
          <w:sz w:val="24"/>
          <w:szCs w:val="24"/>
        </w:rPr>
        <w:t xml:space="preserve">email </w:t>
      </w:r>
      <w:r>
        <w:rPr>
          <w:rFonts w:ascii="Times New Roman" w:hAnsi="Times New Roman" w:cs="Times New Roman"/>
          <w:color w:val="000000"/>
          <w:sz w:val="24"/>
          <w:szCs w:val="24"/>
        </w:rPr>
        <w:t xml:space="preserve">in the bundle of documents </w:t>
      </w:r>
      <w:r w:rsidR="001D464F" w:rsidRPr="00CC0E84">
        <w:rPr>
          <w:rFonts w:ascii="Times New Roman" w:hAnsi="Times New Roman" w:cs="Times New Roman"/>
          <w:color w:val="000000"/>
          <w:sz w:val="24"/>
          <w:szCs w:val="24"/>
        </w:rPr>
        <w:t xml:space="preserve">and being referred to </w:t>
      </w:r>
      <w:r w:rsidR="00617A93">
        <w:rPr>
          <w:rFonts w:ascii="Times New Roman" w:hAnsi="Times New Roman" w:cs="Times New Roman"/>
          <w:color w:val="000000"/>
          <w:sz w:val="24"/>
          <w:szCs w:val="24"/>
        </w:rPr>
        <w:t xml:space="preserve">it </w:t>
      </w:r>
      <w:r w:rsidR="001D464F" w:rsidRPr="00CC0E84">
        <w:rPr>
          <w:rFonts w:ascii="Times New Roman" w:hAnsi="Times New Roman" w:cs="Times New Roman"/>
          <w:color w:val="000000"/>
          <w:sz w:val="24"/>
          <w:szCs w:val="24"/>
        </w:rPr>
        <w:t xml:space="preserve">in the respondent's chronology.  </w:t>
      </w:r>
    </w:p>
    <w:p w14:paraId="69C2A2B1" w14:textId="77777777" w:rsidR="003E4E29" w:rsidRPr="00F52C9F" w:rsidRDefault="003E4E29" w:rsidP="00F52C9F">
      <w:pPr>
        <w:pStyle w:val="ListParagraph"/>
        <w:tabs>
          <w:tab w:val="left" w:pos="0"/>
        </w:tabs>
        <w:spacing w:line="480" w:lineRule="auto"/>
        <w:contextualSpacing/>
        <w:jc w:val="both"/>
        <w:rPr>
          <w:rFonts w:ascii="Times New Roman" w:hAnsi="Times New Roman" w:cs="Times New Roman"/>
          <w:color w:val="010302"/>
        </w:rPr>
      </w:pPr>
    </w:p>
    <w:p w14:paraId="243985F1" w14:textId="6F8CFB6B" w:rsidR="001D464F" w:rsidRPr="00F52C9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sidRPr="002E1634">
        <w:rPr>
          <w:rFonts w:ascii="Times New Roman" w:hAnsi="Times New Roman" w:cs="Times New Roman"/>
          <w:color w:val="000000"/>
          <w:sz w:val="24"/>
          <w:szCs w:val="24"/>
        </w:rPr>
        <w:t>The claimant accepts that after th</w:t>
      </w:r>
      <w:r w:rsidR="002B2EB4">
        <w:rPr>
          <w:rFonts w:ascii="Times New Roman" w:hAnsi="Times New Roman" w:cs="Times New Roman"/>
          <w:color w:val="000000"/>
          <w:sz w:val="24"/>
          <w:szCs w:val="24"/>
        </w:rPr>
        <w:t>e</w:t>
      </w:r>
      <w:r w:rsidRPr="002E1634">
        <w:rPr>
          <w:rFonts w:ascii="Times New Roman" w:hAnsi="Times New Roman" w:cs="Times New Roman"/>
          <w:color w:val="000000"/>
          <w:sz w:val="24"/>
          <w:szCs w:val="24"/>
        </w:rPr>
        <w:t xml:space="preserve"> application was submitted there were no specific additional acts on the part of the respondent </w:t>
      </w:r>
      <w:r w:rsidR="009514C8">
        <w:rPr>
          <w:rFonts w:ascii="Times New Roman" w:hAnsi="Times New Roman" w:cs="Times New Roman"/>
          <w:color w:val="000000"/>
          <w:sz w:val="24"/>
          <w:szCs w:val="24"/>
        </w:rPr>
        <w:t>that forced</w:t>
      </w:r>
      <w:r w:rsidRPr="002E1634">
        <w:rPr>
          <w:rFonts w:ascii="Times New Roman" w:hAnsi="Times New Roman" w:cs="Times New Roman"/>
          <w:color w:val="000000"/>
          <w:sz w:val="24"/>
          <w:szCs w:val="24"/>
        </w:rPr>
        <w:t xml:space="preserve"> him to continue with the application, although it is contended that the original pressure</w:t>
      </w:r>
      <w:r w:rsidR="009514C8">
        <w:rPr>
          <w:rFonts w:ascii="Times New Roman" w:hAnsi="Times New Roman" w:cs="Times New Roman"/>
          <w:color w:val="000000"/>
          <w:sz w:val="24"/>
          <w:szCs w:val="24"/>
        </w:rPr>
        <w:t xml:space="preserve"> put on him to make the application</w:t>
      </w:r>
      <w:r w:rsidRPr="002E1634">
        <w:rPr>
          <w:rFonts w:ascii="Times New Roman" w:hAnsi="Times New Roman" w:cs="Times New Roman"/>
          <w:color w:val="000000"/>
          <w:sz w:val="24"/>
          <w:szCs w:val="24"/>
        </w:rPr>
        <w:t xml:space="preserve"> continued </w:t>
      </w:r>
      <w:r w:rsidR="002B2EB4" w:rsidRPr="002E1634">
        <w:rPr>
          <w:rFonts w:ascii="Times New Roman" w:hAnsi="Times New Roman" w:cs="Times New Roman"/>
          <w:color w:val="000000"/>
          <w:sz w:val="24"/>
          <w:szCs w:val="24"/>
        </w:rPr>
        <w:t xml:space="preserve">in some way </w:t>
      </w:r>
      <w:r w:rsidRPr="002E1634">
        <w:rPr>
          <w:rFonts w:ascii="Times New Roman" w:hAnsi="Times New Roman" w:cs="Times New Roman"/>
          <w:color w:val="000000"/>
          <w:sz w:val="24"/>
          <w:szCs w:val="24"/>
        </w:rPr>
        <w:t xml:space="preserve">until the application had been determined.  </w:t>
      </w:r>
    </w:p>
    <w:p w14:paraId="60C59389" w14:textId="457F9696" w:rsidR="00E54936" w:rsidRPr="00F52C9F" w:rsidRDefault="00E54936" w:rsidP="002B2EB4">
      <w:pPr>
        <w:pStyle w:val="ListParagraph"/>
        <w:tabs>
          <w:tab w:val="left" w:pos="0"/>
        </w:tabs>
        <w:spacing w:line="480" w:lineRule="auto"/>
        <w:contextualSpacing/>
        <w:jc w:val="both"/>
        <w:rPr>
          <w:rFonts w:ascii="Times New Roman" w:hAnsi="Times New Roman" w:cs="Times New Roman"/>
          <w:b/>
          <w:bCs/>
          <w:color w:val="010302"/>
        </w:rPr>
      </w:pPr>
      <w:r>
        <w:rPr>
          <w:rFonts w:ascii="Times New Roman" w:hAnsi="Times New Roman" w:cs="Times New Roman"/>
          <w:b/>
          <w:bCs/>
          <w:color w:val="010302"/>
        </w:rPr>
        <w:t>The appeal</w:t>
      </w:r>
    </w:p>
    <w:p w14:paraId="4DD43967" w14:textId="1D7F5612" w:rsidR="001D464F" w:rsidRPr="00F61E88" w:rsidRDefault="009514C8"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By a notice of appeal originally submitted on 16 September 2020 t</w:t>
      </w:r>
      <w:r w:rsidR="001D464F">
        <w:rPr>
          <w:rFonts w:ascii="Times New Roman" w:hAnsi="Times New Roman" w:cs="Times New Roman"/>
          <w:color w:val="000000"/>
          <w:sz w:val="24"/>
          <w:szCs w:val="24"/>
        </w:rPr>
        <w:t xml:space="preserve">he respondent appealed against the determination of the tribunal that the claimant had been subject to harassment and that the complaint </w:t>
      </w:r>
      <w:r w:rsidR="002B2EB4">
        <w:rPr>
          <w:rFonts w:ascii="Times New Roman" w:hAnsi="Times New Roman" w:cs="Times New Roman"/>
          <w:color w:val="000000"/>
          <w:sz w:val="24"/>
          <w:szCs w:val="24"/>
        </w:rPr>
        <w:t xml:space="preserve">had been </w:t>
      </w:r>
      <w:r w:rsidR="00177E97">
        <w:rPr>
          <w:rFonts w:ascii="Times New Roman" w:hAnsi="Times New Roman" w:cs="Times New Roman"/>
          <w:color w:val="000000"/>
          <w:sz w:val="24"/>
          <w:szCs w:val="24"/>
        </w:rPr>
        <w:t xml:space="preserve">submitted </w:t>
      </w:r>
      <w:r w:rsidR="001D464F">
        <w:rPr>
          <w:rFonts w:ascii="Times New Roman" w:hAnsi="Times New Roman" w:cs="Times New Roman"/>
          <w:color w:val="000000"/>
          <w:sz w:val="24"/>
          <w:szCs w:val="24"/>
        </w:rPr>
        <w:t xml:space="preserve">within time.  The </w:t>
      </w:r>
      <w:r w:rsidR="00675308">
        <w:rPr>
          <w:rFonts w:ascii="Times New Roman" w:hAnsi="Times New Roman" w:cs="Times New Roman"/>
          <w:color w:val="000000"/>
          <w:sz w:val="24"/>
          <w:szCs w:val="24"/>
        </w:rPr>
        <w:t xml:space="preserve">appeal was </w:t>
      </w:r>
      <w:r w:rsidR="00A410B9">
        <w:rPr>
          <w:rFonts w:ascii="Times New Roman" w:hAnsi="Times New Roman" w:cs="Times New Roman"/>
          <w:color w:val="000000"/>
          <w:sz w:val="24"/>
          <w:szCs w:val="24"/>
        </w:rPr>
        <w:t>considered at</w:t>
      </w:r>
      <w:r w:rsidR="001D464F">
        <w:rPr>
          <w:rFonts w:ascii="Times New Roman" w:hAnsi="Times New Roman" w:cs="Times New Roman"/>
          <w:color w:val="000000"/>
          <w:sz w:val="24"/>
          <w:szCs w:val="24"/>
        </w:rPr>
        <w:t xml:space="preserve"> a preliminary hearing</w:t>
      </w:r>
      <w:r w:rsidR="00A410B9">
        <w:rPr>
          <w:rFonts w:ascii="Times New Roman" w:hAnsi="Times New Roman" w:cs="Times New Roman"/>
          <w:color w:val="000000"/>
          <w:sz w:val="24"/>
          <w:szCs w:val="24"/>
        </w:rPr>
        <w:t xml:space="preserve"> </w:t>
      </w:r>
      <w:r w:rsidR="001D464F">
        <w:rPr>
          <w:rFonts w:ascii="Times New Roman" w:hAnsi="Times New Roman" w:cs="Times New Roman"/>
          <w:color w:val="000000"/>
          <w:sz w:val="24"/>
          <w:szCs w:val="24"/>
        </w:rPr>
        <w:t xml:space="preserve"> by HHJ Auerbach on 4 March 2021 who permitted the matter to proceed on amended grounds in relation to the determination of the tribunal that the harassment complaint was within time</w:t>
      </w:r>
      <w:r w:rsidR="00A410B9">
        <w:rPr>
          <w:rFonts w:ascii="Times New Roman" w:hAnsi="Times New Roman" w:cs="Times New Roman"/>
          <w:color w:val="000000"/>
          <w:sz w:val="24"/>
          <w:szCs w:val="24"/>
        </w:rPr>
        <w:t>.</w:t>
      </w:r>
      <w:r w:rsidR="001D464F">
        <w:rPr>
          <w:rFonts w:ascii="Times New Roman" w:hAnsi="Times New Roman" w:cs="Times New Roman"/>
          <w:color w:val="000000"/>
          <w:sz w:val="24"/>
          <w:szCs w:val="24"/>
        </w:rPr>
        <w:t xml:space="preserve"> </w:t>
      </w:r>
      <w:r w:rsidR="00A410B9">
        <w:rPr>
          <w:rFonts w:ascii="Times New Roman" w:hAnsi="Times New Roman" w:cs="Times New Roman"/>
          <w:color w:val="000000"/>
          <w:sz w:val="24"/>
          <w:szCs w:val="24"/>
        </w:rPr>
        <w:t>He made</w:t>
      </w:r>
      <w:r w:rsidR="001D464F">
        <w:rPr>
          <w:rFonts w:ascii="Times New Roman" w:hAnsi="Times New Roman" w:cs="Times New Roman"/>
          <w:color w:val="000000"/>
          <w:sz w:val="24"/>
          <w:szCs w:val="24"/>
        </w:rPr>
        <w:t xml:space="preserve"> an order with seal date 26 March 2021</w:t>
      </w:r>
      <w:r w:rsidR="00D537B7">
        <w:rPr>
          <w:rFonts w:ascii="Times New Roman" w:hAnsi="Times New Roman" w:cs="Times New Roman"/>
          <w:color w:val="000000"/>
          <w:sz w:val="24"/>
          <w:szCs w:val="24"/>
        </w:rPr>
        <w:t>.</w:t>
      </w:r>
      <w:r w:rsidR="00A410B9">
        <w:rPr>
          <w:rFonts w:ascii="Times New Roman" w:hAnsi="Times New Roman" w:cs="Times New Roman"/>
          <w:color w:val="000000"/>
          <w:sz w:val="24"/>
          <w:szCs w:val="24"/>
        </w:rPr>
        <w:t xml:space="preserve"> </w:t>
      </w:r>
      <w:r w:rsidR="00D537B7">
        <w:rPr>
          <w:rFonts w:ascii="Times New Roman" w:hAnsi="Times New Roman" w:cs="Times New Roman"/>
          <w:color w:val="000000"/>
          <w:sz w:val="24"/>
          <w:szCs w:val="24"/>
        </w:rPr>
        <w:t>A</w:t>
      </w:r>
      <w:r w:rsidR="001D464F">
        <w:rPr>
          <w:rFonts w:ascii="Times New Roman" w:hAnsi="Times New Roman" w:cs="Times New Roman"/>
          <w:color w:val="000000"/>
          <w:sz w:val="24"/>
          <w:szCs w:val="24"/>
        </w:rPr>
        <w:t xml:space="preserve">mended grounds of appeal </w:t>
      </w:r>
      <w:r w:rsidR="00D537B7">
        <w:rPr>
          <w:rFonts w:ascii="Times New Roman" w:hAnsi="Times New Roman" w:cs="Times New Roman"/>
          <w:color w:val="000000"/>
          <w:sz w:val="24"/>
          <w:szCs w:val="24"/>
        </w:rPr>
        <w:t xml:space="preserve">were produced that have </w:t>
      </w:r>
      <w:r w:rsidR="001D464F">
        <w:rPr>
          <w:rFonts w:ascii="Times New Roman" w:hAnsi="Times New Roman" w:cs="Times New Roman"/>
          <w:color w:val="000000"/>
          <w:sz w:val="24"/>
          <w:szCs w:val="24"/>
        </w:rPr>
        <w:t xml:space="preserve">the same seal date: </w:t>
      </w:r>
    </w:p>
    <w:p w14:paraId="03711398" w14:textId="4993CDA7" w:rsidR="00F61E88" w:rsidRDefault="00F61E88" w:rsidP="00F61E88">
      <w:pPr>
        <w:pStyle w:val="ListParagraph"/>
        <w:tabs>
          <w:tab w:val="left" w:pos="0"/>
        </w:tabs>
        <w:spacing w:line="480" w:lineRule="auto"/>
        <w:contextualSpacing/>
        <w:jc w:val="center"/>
        <w:rPr>
          <w:rFonts w:ascii="Times New Roman" w:hAnsi="Times New Roman" w:cs="Times New Roman"/>
          <w:b/>
          <w:bCs/>
          <w:color w:val="010302"/>
          <w:u w:val="single"/>
        </w:rPr>
      </w:pPr>
      <w:r w:rsidRPr="00F52C9F">
        <w:rPr>
          <w:rFonts w:ascii="Times New Roman" w:hAnsi="Times New Roman" w:cs="Times New Roman"/>
          <w:b/>
          <w:bCs/>
          <w:color w:val="010302"/>
          <w:u w:val="single"/>
        </w:rPr>
        <w:t>“ III. NUMBERED GROUNDS OF APPEAL</w:t>
      </w:r>
    </w:p>
    <w:p w14:paraId="409E598D" w14:textId="5E90504E" w:rsidR="00F61E88" w:rsidRDefault="00F61E88" w:rsidP="00F61E88">
      <w:pPr>
        <w:pStyle w:val="ListParagraph"/>
        <w:tabs>
          <w:tab w:val="left" w:pos="142"/>
        </w:tabs>
        <w:spacing w:line="480" w:lineRule="auto"/>
        <w:ind w:left="1134"/>
        <w:contextualSpacing/>
        <w:rPr>
          <w:rFonts w:ascii="Times New Roman" w:hAnsi="Times New Roman" w:cs="Times New Roman"/>
          <w:b/>
          <w:bCs/>
          <w:color w:val="010302"/>
          <w:u w:val="single"/>
        </w:rPr>
      </w:pPr>
      <w:r w:rsidRPr="00F52C9F">
        <w:rPr>
          <w:rFonts w:ascii="Times New Roman" w:hAnsi="Times New Roman" w:cs="Times New Roman"/>
          <w:b/>
          <w:bCs/>
          <w:color w:val="010302"/>
          <w:u w:val="single"/>
        </w:rPr>
        <w:t xml:space="preserve">Ground of Appeal </w:t>
      </w:r>
      <w:r>
        <w:rPr>
          <w:rFonts w:ascii="Times New Roman" w:hAnsi="Times New Roman" w:cs="Times New Roman"/>
          <w:b/>
          <w:bCs/>
          <w:color w:val="010302"/>
          <w:u w:val="single"/>
        </w:rPr>
        <w:t>#1</w:t>
      </w:r>
    </w:p>
    <w:p w14:paraId="6E1B1696" w14:textId="06551FBC" w:rsidR="00F61E88" w:rsidRDefault="00F61E88" w:rsidP="00F52C9F">
      <w:pPr>
        <w:pStyle w:val="ListParagraph"/>
        <w:tabs>
          <w:tab w:val="left" w:pos="142"/>
        </w:tabs>
        <w:ind w:left="1134"/>
        <w:contextualSpacing/>
        <w:rPr>
          <w:rFonts w:ascii="Times New Roman" w:hAnsi="Times New Roman" w:cs="Times New Roman"/>
          <w:color w:val="010302"/>
        </w:rPr>
      </w:pPr>
      <w:r w:rsidRPr="00F52C9F">
        <w:rPr>
          <w:rFonts w:ascii="Times New Roman" w:hAnsi="Times New Roman" w:cs="Times New Roman"/>
          <w:color w:val="010302"/>
        </w:rPr>
        <w:t xml:space="preserve">33. </w:t>
      </w:r>
      <w:r>
        <w:rPr>
          <w:rFonts w:ascii="Times New Roman" w:hAnsi="Times New Roman" w:cs="Times New Roman"/>
          <w:color w:val="010302"/>
        </w:rPr>
        <w:t xml:space="preserve">    The ET erred in law when addressing the </w:t>
      </w:r>
      <w:r w:rsidR="00A410B9">
        <w:rPr>
          <w:rFonts w:ascii="Times New Roman" w:hAnsi="Times New Roman" w:cs="Times New Roman"/>
          <w:color w:val="010302"/>
        </w:rPr>
        <w:t>jurisdiction</w:t>
      </w:r>
      <w:r>
        <w:rPr>
          <w:rFonts w:ascii="Times New Roman" w:hAnsi="Times New Roman" w:cs="Times New Roman"/>
          <w:color w:val="010302"/>
        </w:rPr>
        <w:t xml:space="preserve">/time point (primary 3 month limitation period under s.123(1) </w:t>
      </w:r>
      <w:r w:rsidR="006A7DB2">
        <w:rPr>
          <w:rFonts w:ascii="Times New Roman" w:hAnsi="Times New Roman" w:cs="Times New Roman"/>
          <w:color w:val="010302"/>
        </w:rPr>
        <w:t>of Equality</w:t>
      </w:r>
      <w:r>
        <w:rPr>
          <w:rFonts w:ascii="Times New Roman" w:hAnsi="Times New Roman" w:cs="Times New Roman"/>
          <w:color w:val="010302"/>
        </w:rPr>
        <w:t xml:space="preserve"> Act 2010) b</w:t>
      </w:r>
      <w:r w:rsidR="006A7DB2">
        <w:rPr>
          <w:rFonts w:ascii="Times New Roman" w:hAnsi="Times New Roman" w:cs="Times New Roman"/>
          <w:color w:val="010302"/>
        </w:rPr>
        <w:t>y</w:t>
      </w:r>
      <w:r>
        <w:rPr>
          <w:rFonts w:ascii="Times New Roman" w:hAnsi="Times New Roman" w:cs="Times New Roman"/>
          <w:color w:val="010302"/>
        </w:rPr>
        <w:t>:</w:t>
      </w:r>
    </w:p>
    <w:p w14:paraId="2AE8CEAA" w14:textId="77777777" w:rsidR="006A7DB2" w:rsidRDefault="006A7DB2" w:rsidP="00F52C9F">
      <w:pPr>
        <w:pStyle w:val="ListParagraph"/>
        <w:spacing w:line="480" w:lineRule="auto"/>
        <w:ind w:left="2127" w:hanging="284"/>
        <w:contextualSpacing/>
        <w:rPr>
          <w:rFonts w:ascii="Times New Roman" w:hAnsi="Times New Roman" w:cs="Times New Roman"/>
          <w:color w:val="010302"/>
        </w:rPr>
      </w:pPr>
    </w:p>
    <w:p w14:paraId="36412B98" w14:textId="120A3053" w:rsidR="00F61E88" w:rsidRDefault="00443454" w:rsidP="00F52C9F">
      <w:pPr>
        <w:pStyle w:val="ListParagraph"/>
        <w:numPr>
          <w:ilvl w:val="0"/>
          <w:numId w:val="4"/>
        </w:numPr>
        <w:ind w:left="2127" w:hanging="284"/>
        <w:contextualSpacing/>
        <w:jc w:val="both"/>
        <w:rPr>
          <w:rFonts w:ascii="Times New Roman" w:hAnsi="Times New Roman" w:cs="Times New Roman"/>
          <w:color w:val="010302"/>
        </w:rPr>
      </w:pPr>
      <w:r>
        <w:rPr>
          <w:rFonts w:ascii="Times New Roman" w:hAnsi="Times New Roman" w:cs="Times New Roman"/>
          <w:color w:val="010302"/>
        </w:rPr>
        <w:t xml:space="preserve">  </w:t>
      </w:r>
      <w:r w:rsidR="00F61E88">
        <w:rPr>
          <w:rFonts w:ascii="Times New Roman" w:hAnsi="Times New Roman" w:cs="Times New Roman"/>
          <w:color w:val="010302"/>
        </w:rPr>
        <w:t xml:space="preserve">failing to make any (or any clear) finding of fact and/or failing to identify and/or state in its reasons the 20 February 2013 date on which the Claimant completed and posted his IHR application; </w:t>
      </w:r>
    </w:p>
    <w:p w14:paraId="53F343DA" w14:textId="367EF489" w:rsidR="006A7DB2" w:rsidRDefault="006A7DB2" w:rsidP="00F52C9F">
      <w:pPr>
        <w:pStyle w:val="ListParagraph"/>
        <w:tabs>
          <w:tab w:val="left" w:pos="142"/>
        </w:tabs>
        <w:ind w:left="2127" w:hanging="284"/>
        <w:contextualSpacing/>
        <w:jc w:val="both"/>
        <w:rPr>
          <w:rFonts w:ascii="Times New Roman" w:hAnsi="Times New Roman" w:cs="Times New Roman"/>
          <w:color w:val="010302"/>
        </w:rPr>
      </w:pPr>
    </w:p>
    <w:p w14:paraId="3F780CA7" w14:textId="44CBBA19" w:rsidR="006A7DB2" w:rsidRDefault="00443454" w:rsidP="00F52C9F">
      <w:pPr>
        <w:pStyle w:val="ListParagraph"/>
        <w:numPr>
          <w:ilvl w:val="0"/>
          <w:numId w:val="4"/>
        </w:numPr>
        <w:tabs>
          <w:tab w:val="left" w:pos="142"/>
        </w:tabs>
        <w:ind w:left="2127" w:hanging="284"/>
        <w:contextualSpacing/>
        <w:jc w:val="both"/>
        <w:rPr>
          <w:rFonts w:ascii="Times New Roman" w:hAnsi="Times New Roman" w:cs="Times New Roman"/>
          <w:color w:val="010302"/>
        </w:rPr>
      </w:pPr>
      <w:r>
        <w:rPr>
          <w:rFonts w:ascii="Times New Roman" w:hAnsi="Times New Roman" w:cs="Times New Roman"/>
          <w:color w:val="010302"/>
        </w:rPr>
        <w:t xml:space="preserve"> </w:t>
      </w:r>
      <w:r w:rsidR="006A7DB2">
        <w:rPr>
          <w:rFonts w:ascii="Times New Roman" w:hAnsi="Times New Roman" w:cs="Times New Roman"/>
          <w:color w:val="010302"/>
        </w:rPr>
        <w:t>failing to apply that 20 February 2013 date/event to determine whether the IHR complaint presented in the ET1 on 19 December 2013 (“</w:t>
      </w:r>
      <w:r w:rsidR="006A7DB2" w:rsidRPr="00F52C9F">
        <w:rPr>
          <w:rFonts w:ascii="Times New Roman" w:hAnsi="Times New Roman" w:cs="Times New Roman"/>
          <w:i/>
          <w:iCs/>
          <w:color w:val="010302"/>
        </w:rPr>
        <w:t>Compelling the Claimant to complete an IHR assessment application when he emphatically expressed the fact he did not want medical retirement</w:t>
      </w:r>
      <w:r w:rsidR="006A7DB2">
        <w:rPr>
          <w:rFonts w:ascii="Times New Roman" w:hAnsi="Times New Roman" w:cs="Times New Roman"/>
          <w:color w:val="010302"/>
        </w:rPr>
        <w:t>”) had been presented within the primary 3 month limitation period or not; and/or</w:t>
      </w:r>
    </w:p>
    <w:p w14:paraId="48393301" w14:textId="55668A0C" w:rsidR="006A7DB2" w:rsidRDefault="006A7DB2" w:rsidP="00F52C9F">
      <w:pPr>
        <w:pStyle w:val="ListParagraph"/>
        <w:tabs>
          <w:tab w:val="left" w:pos="142"/>
        </w:tabs>
        <w:ind w:left="2127" w:hanging="284"/>
        <w:contextualSpacing/>
        <w:rPr>
          <w:rFonts w:ascii="Times New Roman" w:hAnsi="Times New Roman" w:cs="Times New Roman"/>
          <w:color w:val="010302"/>
        </w:rPr>
      </w:pPr>
    </w:p>
    <w:p w14:paraId="59CAE2A6" w14:textId="6E89D0B1" w:rsidR="006A7DB2" w:rsidRPr="00F52C9F" w:rsidRDefault="00443454" w:rsidP="00F52C9F">
      <w:pPr>
        <w:pStyle w:val="ListParagraph"/>
        <w:numPr>
          <w:ilvl w:val="0"/>
          <w:numId w:val="4"/>
        </w:numPr>
        <w:tabs>
          <w:tab w:val="left" w:pos="142"/>
        </w:tabs>
        <w:ind w:left="2127" w:hanging="284"/>
        <w:contextualSpacing/>
        <w:jc w:val="both"/>
        <w:rPr>
          <w:rFonts w:ascii="Times New Roman" w:hAnsi="Times New Roman" w:cs="Times New Roman"/>
          <w:color w:val="010302"/>
        </w:rPr>
      </w:pPr>
      <w:r>
        <w:rPr>
          <w:rFonts w:ascii="Times New Roman" w:hAnsi="Times New Roman" w:cs="Times New Roman"/>
          <w:color w:val="010302"/>
        </w:rPr>
        <w:t xml:space="preserve"> </w:t>
      </w:r>
      <w:r w:rsidR="006A7DB2">
        <w:rPr>
          <w:rFonts w:ascii="Times New Roman" w:hAnsi="Times New Roman" w:cs="Times New Roman"/>
          <w:color w:val="010302"/>
        </w:rPr>
        <w:t>making a finding that the 3 month limitation period had begun to run in early September 2013 [</w:t>
      </w:r>
      <w:r w:rsidR="006A7DB2" w:rsidRPr="00F52C9F">
        <w:rPr>
          <w:rFonts w:ascii="Times New Roman" w:hAnsi="Times New Roman" w:cs="Times New Roman"/>
          <w:color w:val="010302"/>
          <w:u w:val="single"/>
        </w:rPr>
        <w:t>Judgmen</w:t>
      </w:r>
      <w:r w:rsidR="006A7DB2">
        <w:rPr>
          <w:rFonts w:ascii="Times New Roman" w:hAnsi="Times New Roman" w:cs="Times New Roman"/>
          <w:color w:val="010302"/>
        </w:rPr>
        <w:t xml:space="preserve">t, para 4.10] without making any (or any adequate) findings of fact that </w:t>
      </w:r>
      <w:r w:rsidR="00950B62">
        <w:rPr>
          <w:rFonts w:ascii="Times New Roman" w:hAnsi="Times New Roman" w:cs="Times New Roman"/>
          <w:color w:val="010302"/>
        </w:rPr>
        <w:t>t</w:t>
      </w:r>
      <w:r w:rsidR="006A7DB2">
        <w:rPr>
          <w:rFonts w:ascii="Times New Roman" w:hAnsi="Times New Roman" w:cs="Times New Roman"/>
          <w:color w:val="010302"/>
        </w:rPr>
        <w:t xml:space="preserve">he conduct complained of had continued in the period 21 February 2013 – early September 2013 (ie, after the Claimant had completed and posted his IHR application on 20 February 2013). </w:t>
      </w:r>
    </w:p>
    <w:p w14:paraId="760D442B" w14:textId="75FD1A82" w:rsidR="006A7DB2" w:rsidRDefault="006A7DB2" w:rsidP="00F52C9F">
      <w:pPr>
        <w:tabs>
          <w:tab w:val="left" w:pos="142"/>
          <w:tab w:val="left" w:pos="1665"/>
        </w:tabs>
        <w:contextualSpacing/>
        <w:rPr>
          <w:rFonts w:ascii="Times New Roman" w:hAnsi="Times New Roman" w:cs="Times New Roman"/>
          <w:b/>
          <w:bCs/>
          <w:color w:val="010302"/>
          <w:u w:val="single"/>
        </w:rPr>
      </w:pPr>
    </w:p>
    <w:p w14:paraId="542463BC" w14:textId="0AAF1C55" w:rsidR="00F61E88" w:rsidRDefault="006A7DB2" w:rsidP="006A7DB2">
      <w:pPr>
        <w:tabs>
          <w:tab w:val="left" w:pos="142"/>
          <w:tab w:val="left" w:pos="1665"/>
        </w:tabs>
        <w:spacing w:line="480" w:lineRule="auto"/>
        <w:ind w:left="1134"/>
        <w:contextualSpacing/>
        <w:rPr>
          <w:rFonts w:ascii="Times New Roman" w:hAnsi="Times New Roman" w:cs="Times New Roman"/>
          <w:b/>
          <w:bCs/>
          <w:color w:val="010302"/>
          <w:u w:val="single"/>
        </w:rPr>
      </w:pPr>
      <w:r w:rsidRPr="00F52C9F">
        <w:rPr>
          <w:rFonts w:ascii="Times New Roman" w:hAnsi="Times New Roman" w:cs="Times New Roman"/>
          <w:b/>
          <w:bCs/>
          <w:color w:val="010302"/>
          <w:u w:val="single"/>
        </w:rPr>
        <w:t>Ground of Appeal #2</w:t>
      </w:r>
    </w:p>
    <w:p w14:paraId="09C10806" w14:textId="2D2D0646" w:rsidR="006A7DB2" w:rsidRDefault="006A7DB2" w:rsidP="00F52C9F">
      <w:pPr>
        <w:tabs>
          <w:tab w:val="left" w:pos="142"/>
          <w:tab w:val="left" w:pos="1665"/>
        </w:tabs>
        <w:ind w:left="1134"/>
        <w:contextualSpacing/>
        <w:rPr>
          <w:rFonts w:ascii="Times New Roman" w:hAnsi="Times New Roman" w:cs="Times New Roman"/>
          <w:color w:val="010302"/>
        </w:rPr>
      </w:pPr>
      <w:r>
        <w:rPr>
          <w:rFonts w:ascii="Times New Roman" w:hAnsi="Times New Roman" w:cs="Times New Roman"/>
          <w:color w:val="010302"/>
        </w:rPr>
        <w:t xml:space="preserve">34. The ET erred in law when exercising its jurisdiction under s.123(1)(b) of Equality Act 2010 to extend time on just and equitable </w:t>
      </w:r>
      <w:r w:rsidR="00D537B7">
        <w:rPr>
          <w:rFonts w:ascii="Times New Roman" w:hAnsi="Times New Roman" w:cs="Times New Roman"/>
          <w:color w:val="010302"/>
        </w:rPr>
        <w:t>g</w:t>
      </w:r>
      <w:r>
        <w:rPr>
          <w:rFonts w:ascii="Times New Roman" w:hAnsi="Times New Roman" w:cs="Times New Roman"/>
          <w:color w:val="010302"/>
        </w:rPr>
        <w:t>rounds by:</w:t>
      </w:r>
    </w:p>
    <w:p w14:paraId="7EEC8F14" w14:textId="77777777" w:rsidR="00443454" w:rsidRDefault="00443454" w:rsidP="00F52C9F">
      <w:pPr>
        <w:tabs>
          <w:tab w:val="left" w:pos="142"/>
          <w:tab w:val="left" w:pos="1665"/>
        </w:tabs>
        <w:ind w:left="1134"/>
        <w:contextualSpacing/>
        <w:rPr>
          <w:rFonts w:ascii="Times New Roman" w:hAnsi="Times New Roman" w:cs="Times New Roman"/>
          <w:color w:val="010302"/>
        </w:rPr>
      </w:pPr>
    </w:p>
    <w:p w14:paraId="46B284DF" w14:textId="1385AD7A" w:rsidR="00443454" w:rsidRDefault="00443454" w:rsidP="00F52C9F">
      <w:pPr>
        <w:pStyle w:val="ListParagraph"/>
        <w:numPr>
          <w:ilvl w:val="0"/>
          <w:numId w:val="3"/>
        </w:numPr>
        <w:tabs>
          <w:tab w:val="left" w:pos="142"/>
          <w:tab w:val="left" w:pos="1665"/>
        </w:tabs>
        <w:ind w:left="2127" w:hanging="283"/>
        <w:contextualSpacing/>
        <w:rPr>
          <w:rFonts w:ascii="Times New Roman" w:hAnsi="Times New Roman" w:cs="Times New Roman"/>
          <w:color w:val="010302"/>
        </w:rPr>
      </w:pPr>
      <w:r>
        <w:rPr>
          <w:rFonts w:ascii="Times New Roman" w:hAnsi="Times New Roman" w:cs="Times New Roman"/>
          <w:color w:val="010302"/>
        </w:rPr>
        <w:t xml:space="preserve">  </w:t>
      </w:r>
      <w:r w:rsidRPr="00B92CDA">
        <w:rPr>
          <w:rFonts w:ascii="Times New Roman" w:hAnsi="Times New Roman" w:cs="Times New Roman"/>
          <w:color w:val="010302"/>
        </w:rPr>
        <w:t>holding that the Claimant’s delay in presenting the ET1 (excess of the primary 3 month limitation period) was “only by a few weeks at most” [</w:t>
      </w:r>
      <w:r w:rsidRPr="00B92CDA">
        <w:rPr>
          <w:rFonts w:ascii="Times New Roman" w:hAnsi="Times New Roman" w:cs="Times New Roman"/>
          <w:color w:val="010302"/>
          <w:u w:val="single"/>
        </w:rPr>
        <w:t>Judgment,</w:t>
      </w:r>
      <w:r w:rsidRPr="00B92CDA">
        <w:rPr>
          <w:rFonts w:ascii="Times New Roman" w:hAnsi="Times New Roman" w:cs="Times New Roman"/>
          <w:color w:val="010302"/>
        </w:rPr>
        <w:t xml:space="preserve"> para. 4.10] whereas the true length of delay was the 7 month period following 20 May 2013 (date falling 3 months after 20 February 2013 date/event), for which see Ground of Appeal #1; and/or</w:t>
      </w:r>
    </w:p>
    <w:p w14:paraId="2267183B" w14:textId="77777777" w:rsidR="00443454" w:rsidRPr="00F52C9F" w:rsidRDefault="00443454" w:rsidP="00F52C9F">
      <w:pPr>
        <w:tabs>
          <w:tab w:val="left" w:pos="142"/>
          <w:tab w:val="left" w:pos="1665"/>
        </w:tabs>
        <w:contextualSpacing/>
        <w:rPr>
          <w:rFonts w:ascii="Times New Roman" w:hAnsi="Times New Roman" w:cs="Times New Roman"/>
          <w:color w:val="010302"/>
        </w:rPr>
      </w:pPr>
    </w:p>
    <w:p w14:paraId="681960E1" w14:textId="2E13140B" w:rsidR="00443454" w:rsidRDefault="00443454">
      <w:pPr>
        <w:pStyle w:val="ListParagraph"/>
        <w:numPr>
          <w:ilvl w:val="0"/>
          <w:numId w:val="3"/>
        </w:numPr>
        <w:tabs>
          <w:tab w:val="left" w:pos="142"/>
          <w:tab w:val="left" w:pos="1665"/>
        </w:tabs>
        <w:ind w:left="2127" w:hanging="283"/>
        <w:contextualSpacing/>
        <w:rPr>
          <w:rFonts w:ascii="Times New Roman" w:hAnsi="Times New Roman" w:cs="Times New Roman"/>
          <w:color w:val="010302"/>
        </w:rPr>
      </w:pPr>
      <w:r>
        <w:rPr>
          <w:rFonts w:ascii="Times New Roman" w:hAnsi="Times New Roman" w:cs="Times New Roman"/>
          <w:color w:val="010302"/>
        </w:rPr>
        <w:t xml:space="preserve">  </w:t>
      </w:r>
      <w:r w:rsidRPr="00443454">
        <w:rPr>
          <w:rFonts w:ascii="Times New Roman" w:hAnsi="Times New Roman" w:cs="Times New Roman"/>
          <w:color w:val="010302"/>
        </w:rPr>
        <w:t>holding that the 6-7 year passage of time between brin</w:t>
      </w:r>
      <w:r w:rsidR="003E574D">
        <w:rPr>
          <w:rFonts w:ascii="Times New Roman" w:hAnsi="Times New Roman" w:cs="Times New Roman"/>
          <w:color w:val="010302"/>
        </w:rPr>
        <w:t>g</w:t>
      </w:r>
      <w:r w:rsidRPr="00443454">
        <w:rPr>
          <w:rFonts w:ascii="Times New Roman" w:hAnsi="Times New Roman" w:cs="Times New Roman"/>
          <w:color w:val="010302"/>
        </w:rPr>
        <w:t xml:space="preserve">ing the IH complaint to trial (ET1 presented 19 December 2013, trial conducted 17-19 </w:t>
      </w:r>
      <w:r w:rsidR="00962898" w:rsidRPr="00443454">
        <w:rPr>
          <w:rFonts w:ascii="Times New Roman" w:hAnsi="Times New Roman" w:cs="Times New Roman"/>
          <w:color w:val="010302"/>
        </w:rPr>
        <w:t>February</w:t>
      </w:r>
      <w:r w:rsidRPr="00443454">
        <w:rPr>
          <w:rFonts w:ascii="Times New Roman" w:hAnsi="Times New Roman" w:cs="Times New Roman"/>
          <w:color w:val="010302"/>
        </w:rPr>
        <w:t xml:space="preserve"> 202</w:t>
      </w:r>
      <w:r w:rsidR="003E574D">
        <w:rPr>
          <w:rFonts w:ascii="Times New Roman" w:hAnsi="Times New Roman" w:cs="Times New Roman"/>
          <w:color w:val="010302"/>
        </w:rPr>
        <w:t>0</w:t>
      </w:r>
      <w:r w:rsidRPr="00443454">
        <w:rPr>
          <w:rFonts w:ascii="Times New Roman" w:hAnsi="Times New Roman" w:cs="Times New Roman"/>
          <w:color w:val="010302"/>
        </w:rPr>
        <w:t xml:space="preserve">) was irrelevant because it “is fault of neither </w:t>
      </w:r>
      <w:r w:rsidR="00962898" w:rsidRPr="00443454">
        <w:rPr>
          <w:rFonts w:ascii="Times New Roman" w:hAnsi="Times New Roman" w:cs="Times New Roman"/>
          <w:color w:val="010302"/>
        </w:rPr>
        <w:t>party</w:t>
      </w:r>
      <w:r w:rsidRPr="00443454">
        <w:rPr>
          <w:rFonts w:ascii="Times New Roman" w:hAnsi="Times New Roman" w:cs="Times New Roman"/>
          <w:color w:val="010302"/>
        </w:rPr>
        <w:t xml:space="preserve">” [Judgment, para 4.12], whereas that substantial passage of time, and its effect on the Respondent’s ability to answer in 2020 complaints about </w:t>
      </w:r>
      <w:r w:rsidR="00962898" w:rsidRPr="00443454">
        <w:rPr>
          <w:rFonts w:ascii="Times New Roman" w:hAnsi="Times New Roman" w:cs="Times New Roman"/>
          <w:color w:val="010302"/>
        </w:rPr>
        <w:t>matters</w:t>
      </w:r>
      <w:r w:rsidRPr="00443454">
        <w:rPr>
          <w:rFonts w:ascii="Times New Roman" w:hAnsi="Times New Roman" w:cs="Times New Roman"/>
          <w:color w:val="010302"/>
        </w:rPr>
        <w:t xml:space="preserve"> which occurred in 2012 and 2013, was both (a) legally relevant (irrespective of fault), and (b) material, to the Employment Tribunal’s exercise of its discretion to extend time – see </w:t>
      </w:r>
      <w:r w:rsidRPr="00F52C9F">
        <w:rPr>
          <w:rFonts w:ascii="Times New Roman" w:hAnsi="Times New Roman" w:cs="Times New Roman"/>
          <w:color w:val="010302"/>
          <w:u w:val="single"/>
        </w:rPr>
        <w:t>Adedeji v</w:t>
      </w:r>
      <w:r w:rsidR="007A648E" w:rsidRPr="00F52C9F">
        <w:rPr>
          <w:rFonts w:ascii="Times New Roman" w:hAnsi="Times New Roman" w:cs="Times New Roman"/>
          <w:color w:val="010302"/>
          <w:u w:val="single"/>
        </w:rPr>
        <w:t xml:space="preserve"> </w:t>
      </w:r>
      <w:r w:rsidRPr="00F52C9F">
        <w:rPr>
          <w:rFonts w:ascii="Times New Roman" w:hAnsi="Times New Roman" w:cs="Times New Roman"/>
          <w:color w:val="010302"/>
          <w:u w:val="single"/>
        </w:rPr>
        <w:t>Uni. Hospitals Birmingham NHS Foundation Trust</w:t>
      </w:r>
      <w:r w:rsidRPr="00443454">
        <w:rPr>
          <w:rFonts w:ascii="Times New Roman" w:hAnsi="Times New Roman" w:cs="Times New Roman"/>
          <w:color w:val="010302"/>
        </w:rPr>
        <w:t xml:space="preserve"> [2021] EWCA Civ.23, paras. 31-32.</w:t>
      </w:r>
    </w:p>
    <w:p w14:paraId="79CA22C4" w14:textId="5AA4C1B9" w:rsidR="00BC2EBE" w:rsidRDefault="00BC2EBE" w:rsidP="00BC2EBE">
      <w:pPr>
        <w:pStyle w:val="ListParagraph"/>
        <w:tabs>
          <w:tab w:val="left" w:pos="142"/>
          <w:tab w:val="left" w:pos="1665"/>
        </w:tabs>
        <w:ind w:left="2127"/>
        <w:contextualSpacing/>
        <w:rPr>
          <w:rFonts w:ascii="Times New Roman" w:hAnsi="Times New Roman" w:cs="Times New Roman"/>
          <w:color w:val="010302"/>
        </w:rPr>
      </w:pPr>
    </w:p>
    <w:p w14:paraId="7DA8AE3F" w14:textId="36B5D6B6" w:rsidR="00BC2EBE" w:rsidRPr="00443454" w:rsidRDefault="00BC2EBE" w:rsidP="00F52C9F">
      <w:pPr>
        <w:pStyle w:val="ListParagraph"/>
        <w:tabs>
          <w:tab w:val="left" w:pos="142"/>
          <w:tab w:val="left" w:pos="1665"/>
        </w:tabs>
        <w:ind w:left="1134"/>
        <w:contextualSpacing/>
        <w:rPr>
          <w:rFonts w:ascii="Times New Roman" w:hAnsi="Times New Roman" w:cs="Times New Roman"/>
          <w:color w:val="010302"/>
        </w:rPr>
      </w:pPr>
      <w:r>
        <w:rPr>
          <w:rFonts w:ascii="Times New Roman" w:hAnsi="Times New Roman" w:cs="Times New Roman"/>
          <w:color w:val="010302"/>
        </w:rPr>
        <w:t xml:space="preserve">35. </w:t>
      </w:r>
      <w:r w:rsidRPr="00BC2EBE">
        <w:rPr>
          <w:rFonts w:ascii="Times New Roman" w:hAnsi="Times New Roman" w:cs="Times New Roman"/>
          <w:color w:val="010302"/>
        </w:rPr>
        <w:t>Further and/or in the alternative, the ET erred in law and breached its duty to</w:t>
      </w:r>
      <w:r>
        <w:rPr>
          <w:rFonts w:ascii="Times New Roman" w:hAnsi="Times New Roman" w:cs="Times New Roman"/>
          <w:color w:val="010302"/>
        </w:rPr>
        <w:t xml:space="preserve"> </w:t>
      </w:r>
      <w:r w:rsidRPr="00BC2EBE">
        <w:rPr>
          <w:rFonts w:ascii="Times New Roman" w:hAnsi="Times New Roman" w:cs="Times New Roman"/>
          <w:color w:val="010302"/>
        </w:rPr>
        <w:t>give reasons by failing to address the aforementioned prejudice issue the</w:t>
      </w:r>
      <w:r>
        <w:rPr>
          <w:rFonts w:ascii="Times New Roman" w:hAnsi="Times New Roman" w:cs="Times New Roman"/>
          <w:color w:val="010302"/>
        </w:rPr>
        <w:t xml:space="preserve"> </w:t>
      </w:r>
      <w:r w:rsidRPr="00BC2EBE">
        <w:rPr>
          <w:rFonts w:ascii="Times New Roman" w:hAnsi="Times New Roman" w:cs="Times New Roman"/>
          <w:color w:val="010302"/>
        </w:rPr>
        <w:t>Appellant raised either at all or adequately in the Judgment.</w:t>
      </w:r>
    </w:p>
    <w:p w14:paraId="63292D21" w14:textId="1C3D992B" w:rsidR="006A7DB2" w:rsidRPr="006A7DB2" w:rsidRDefault="00443454" w:rsidP="00F52C9F">
      <w:pPr>
        <w:tabs>
          <w:tab w:val="left" w:pos="142"/>
          <w:tab w:val="left" w:pos="2535"/>
        </w:tabs>
        <w:ind w:left="2127"/>
        <w:contextualSpacing/>
        <w:rPr>
          <w:rFonts w:ascii="Times New Roman" w:hAnsi="Times New Roman" w:cs="Times New Roman"/>
          <w:color w:val="010302"/>
        </w:rPr>
      </w:pPr>
      <w:r>
        <w:rPr>
          <w:rFonts w:ascii="Times New Roman" w:hAnsi="Times New Roman" w:cs="Times New Roman"/>
          <w:color w:val="010302"/>
        </w:rPr>
        <w:tab/>
      </w:r>
    </w:p>
    <w:p w14:paraId="7A8C7D41" w14:textId="77777777" w:rsidR="001D464F" w:rsidRPr="00415EC0" w:rsidRDefault="001D464F" w:rsidP="001D464F">
      <w:pPr>
        <w:pStyle w:val="ListParagraph"/>
        <w:tabs>
          <w:tab w:val="left" w:pos="0"/>
        </w:tabs>
        <w:spacing w:line="480" w:lineRule="auto"/>
        <w:contextualSpacing/>
        <w:jc w:val="both"/>
        <w:rPr>
          <w:rFonts w:ascii="Times New Roman" w:hAnsi="Times New Roman" w:cs="Times New Roman"/>
          <w:b/>
          <w:bCs/>
          <w:color w:val="010302"/>
          <w:sz w:val="24"/>
          <w:szCs w:val="24"/>
        </w:rPr>
      </w:pPr>
      <w:r w:rsidRPr="00415EC0">
        <w:rPr>
          <w:rFonts w:ascii="Times New Roman" w:hAnsi="Times New Roman" w:cs="Times New Roman"/>
          <w:b/>
          <w:bCs/>
          <w:color w:val="010302"/>
          <w:sz w:val="24"/>
          <w:szCs w:val="24"/>
        </w:rPr>
        <w:t>The relevant law</w:t>
      </w:r>
    </w:p>
    <w:p w14:paraId="7AAE1CFF" w14:textId="77777777" w:rsidR="001D464F" w:rsidRPr="00604654"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b/>
          <w:bCs/>
          <w:color w:val="010302"/>
        </w:rPr>
      </w:pPr>
      <w:r w:rsidRPr="00604654">
        <w:rPr>
          <w:rFonts w:ascii="Times New Roman" w:hAnsi="Times New Roman" w:cs="Times New Roman"/>
          <w:color w:val="010302"/>
        </w:rPr>
        <w:t xml:space="preserve">Section 26 of the </w:t>
      </w:r>
      <w:r w:rsidRPr="00265126">
        <w:rPr>
          <w:rFonts w:ascii="Times New Roman" w:hAnsi="Times New Roman" w:cs="Times New Roman"/>
          <w:b/>
          <w:bCs/>
          <w:color w:val="010302"/>
        </w:rPr>
        <w:t>Equality Act 2010</w:t>
      </w:r>
      <w:r w:rsidRPr="00604654">
        <w:rPr>
          <w:rFonts w:ascii="Times New Roman" w:hAnsi="Times New Roman" w:cs="Times New Roman"/>
          <w:color w:val="010302"/>
        </w:rPr>
        <w:t xml:space="preserve"> defines harassment at subparagraphs (1) and (4) as follows:</w:t>
      </w:r>
    </w:p>
    <w:p w14:paraId="049B628B" w14:textId="77777777" w:rsidR="001D464F" w:rsidRPr="00394348" w:rsidRDefault="001D464F" w:rsidP="001D464F">
      <w:pPr>
        <w:tabs>
          <w:tab w:val="left" w:pos="1418"/>
        </w:tabs>
        <w:ind w:left="1418"/>
        <w:contextualSpacing/>
        <w:jc w:val="both"/>
        <w:rPr>
          <w:rFonts w:ascii="Times New Roman" w:hAnsi="Times New Roman" w:cs="Times New Roman"/>
          <w:b/>
          <w:bCs/>
          <w:sz w:val="24"/>
          <w:szCs w:val="24"/>
        </w:rPr>
      </w:pPr>
      <w:r w:rsidRPr="002955E7">
        <w:rPr>
          <w:rFonts w:ascii="Times New Roman" w:hAnsi="Times New Roman" w:cs="Times New Roman"/>
          <w:sz w:val="24"/>
          <w:szCs w:val="24"/>
        </w:rPr>
        <w:t>“</w:t>
      </w:r>
      <w:r w:rsidRPr="000553CA">
        <w:rPr>
          <w:rFonts w:ascii="Times New Roman" w:hAnsi="Times New Roman" w:cs="Times New Roman"/>
          <w:sz w:val="24"/>
          <w:szCs w:val="24"/>
        </w:rPr>
        <w:t>(1) A person (A) harasses another (B) if—</w:t>
      </w:r>
    </w:p>
    <w:p w14:paraId="5820245E" w14:textId="77777777" w:rsidR="001D464F" w:rsidRPr="000553CA" w:rsidRDefault="001D464F" w:rsidP="001D464F">
      <w:pPr>
        <w:tabs>
          <w:tab w:val="left" w:pos="1418"/>
        </w:tabs>
        <w:ind w:left="1418"/>
        <w:contextualSpacing/>
        <w:jc w:val="both"/>
        <w:rPr>
          <w:rFonts w:ascii="Times New Roman" w:hAnsi="Times New Roman" w:cs="Times New Roman"/>
          <w:sz w:val="24"/>
          <w:szCs w:val="24"/>
        </w:rPr>
      </w:pPr>
    </w:p>
    <w:p w14:paraId="64201AFD" w14:textId="77777777" w:rsidR="001D464F" w:rsidRPr="000553CA" w:rsidRDefault="001D464F" w:rsidP="00D0059D">
      <w:pPr>
        <w:tabs>
          <w:tab w:val="left" w:pos="1560"/>
        </w:tabs>
        <w:ind w:left="1843"/>
        <w:contextualSpacing/>
        <w:jc w:val="both"/>
        <w:rPr>
          <w:rFonts w:ascii="Times New Roman" w:hAnsi="Times New Roman" w:cs="Times New Roman"/>
          <w:sz w:val="24"/>
          <w:szCs w:val="24"/>
        </w:rPr>
      </w:pPr>
      <w:r w:rsidRPr="000553CA">
        <w:rPr>
          <w:rFonts w:ascii="Times New Roman" w:hAnsi="Times New Roman" w:cs="Times New Roman"/>
          <w:sz w:val="24"/>
          <w:szCs w:val="24"/>
        </w:rPr>
        <w:t>(a) A engages in unwanted conduct related to a relevant protected characteristic, and</w:t>
      </w:r>
    </w:p>
    <w:p w14:paraId="3EB84AE1" w14:textId="77777777" w:rsidR="001D464F" w:rsidRPr="000553CA" w:rsidRDefault="001D464F" w:rsidP="00F52C9F">
      <w:pPr>
        <w:tabs>
          <w:tab w:val="left" w:pos="1560"/>
        </w:tabs>
        <w:ind w:left="1843"/>
        <w:contextualSpacing/>
        <w:jc w:val="both"/>
        <w:rPr>
          <w:rFonts w:ascii="Times New Roman" w:hAnsi="Times New Roman" w:cs="Times New Roman"/>
          <w:sz w:val="24"/>
          <w:szCs w:val="24"/>
        </w:rPr>
      </w:pPr>
    </w:p>
    <w:p w14:paraId="3F1D73F4" w14:textId="77777777" w:rsidR="001D464F" w:rsidRPr="000553CA" w:rsidRDefault="001D464F" w:rsidP="00F52C9F">
      <w:pPr>
        <w:tabs>
          <w:tab w:val="left" w:pos="1560"/>
        </w:tabs>
        <w:ind w:left="1843"/>
        <w:contextualSpacing/>
        <w:jc w:val="both"/>
        <w:rPr>
          <w:rFonts w:ascii="Times New Roman" w:hAnsi="Times New Roman" w:cs="Times New Roman"/>
          <w:sz w:val="24"/>
          <w:szCs w:val="24"/>
        </w:rPr>
      </w:pPr>
      <w:r w:rsidRPr="000553CA">
        <w:rPr>
          <w:rFonts w:ascii="Times New Roman" w:hAnsi="Times New Roman" w:cs="Times New Roman"/>
          <w:sz w:val="24"/>
          <w:szCs w:val="24"/>
        </w:rPr>
        <w:t>(b) the conduct has the purpose or effect of—</w:t>
      </w:r>
    </w:p>
    <w:p w14:paraId="67F625CA" w14:textId="77777777" w:rsidR="001D464F" w:rsidRPr="000553CA" w:rsidRDefault="001D464F" w:rsidP="001D464F">
      <w:pPr>
        <w:tabs>
          <w:tab w:val="left" w:pos="1418"/>
        </w:tabs>
        <w:ind w:left="1418"/>
        <w:contextualSpacing/>
        <w:jc w:val="both"/>
        <w:rPr>
          <w:rFonts w:ascii="Times New Roman" w:hAnsi="Times New Roman" w:cs="Times New Roman"/>
          <w:sz w:val="24"/>
          <w:szCs w:val="24"/>
        </w:rPr>
      </w:pPr>
    </w:p>
    <w:p w14:paraId="6914A187" w14:textId="77777777" w:rsidR="001D464F" w:rsidRPr="000553CA" w:rsidRDefault="001D464F" w:rsidP="00F52C9F">
      <w:pPr>
        <w:tabs>
          <w:tab w:val="left" w:pos="1701"/>
        </w:tabs>
        <w:ind w:left="1985"/>
        <w:contextualSpacing/>
        <w:jc w:val="both"/>
        <w:rPr>
          <w:rFonts w:ascii="Times New Roman" w:hAnsi="Times New Roman" w:cs="Times New Roman"/>
          <w:sz w:val="24"/>
          <w:szCs w:val="24"/>
        </w:rPr>
      </w:pPr>
      <w:r w:rsidRPr="000553CA">
        <w:rPr>
          <w:rFonts w:ascii="Times New Roman" w:hAnsi="Times New Roman" w:cs="Times New Roman"/>
          <w:sz w:val="24"/>
          <w:szCs w:val="24"/>
        </w:rPr>
        <w:t>(i) violating B's dignity, or</w:t>
      </w:r>
    </w:p>
    <w:p w14:paraId="5785AE81" w14:textId="77777777" w:rsidR="001D464F" w:rsidRPr="000553CA" w:rsidRDefault="001D464F" w:rsidP="00F52C9F">
      <w:pPr>
        <w:tabs>
          <w:tab w:val="left" w:pos="1701"/>
        </w:tabs>
        <w:ind w:left="1985"/>
        <w:contextualSpacing/>
        <w:jc w:val="both"/>
        <w:rPr>
          <w:rFonts w:ascii="Times New Roman" w:hAnsi="Times New Roman" w:cs="Times New Roman"/>
          <w:sz w:val="24"/>
          <w:szCs w:val="24"/>
        </w:rPr>
      </w:pPr>
    </w:p>
    <w:p w14:paraId="3E846B5F" w14:textId="77777777" w:rsidR="001D464F" w:rsidRPr="000553CA" w:rsidRDefault="001D464F" w:rsidP="00F52C9F">
      <w:pPr>
        <w:tabs>
          <w:tab w:val="left" w:pos="1701"/>
        </w:tabs>
        <w:ind w:left="1985"/>
        <w:contextualSpacing/>
        <w:jc w:val="both"/>
        <w:rPr>
          <w:rFonts w:ascii="Times New Roman" w:hAnsi="Times New Roman" w:cs="Times New Roman"/>
          <w:sz w:val="24"/>
          <w:szCs w:val="24"/>
        </w:rPr>
      </w:pPr>
      <w:r w:rsidRPr="000553CA">
        <w:rPr>
          <w:rFonts w:ascii="Times New Roman" w:hAnsi="Times New Roman" w:cs="Times New Roman"/>
          <w:sz w:val="24"/>
          <w:szCs w:val="24"/>
        </w:rPr>
        <w:t>(ii) creating an intimidating, hostile, degrading, humiliating or offensive environment for B.</w:t>
      </w:r>
    </w:p>
    <w:p w14:paraId="7917F38D" w14:textId="77777777" w:rsidR="001D464F" w:rsidRPr="000553CA" w:rsidRDefault="001D464F" w:rsidP="00F52C9F">
      <w:pPr>
        <w:tabs>
          <w:tab w:val="left" w:pos="1701"/>
        </w:tabs>
        <w:ind w:left="1985"/>
        <w:contextualSpacing/>
        <w:jc w:val="both"/>
        <w:rPr>
          <w:rFonts w:ascii="Times New Roman" w:hAnsi="Times New Roman" w:cs="Times New Roman"/>
          <w:sz w:val="24"/>
          <w:szCs w:val="24"/>
        </w:rPr>
      </w:pPr>
    </w:p>
    <w:p w14:paraId="26E75279" w14:textId="77777777" w:rsidR="001D464F" w:rsidRPr="000553CA" w:rsidRDefault="001D464F" w:rsidP="001D464F">
      <w:pPr>
        <w:tabs>
          <w:tab w:val="left" w:pos="1418"/>
        </w:tabs>
        <w:ind w:left="1418"/>
        <w:contextualSpacing/>
        <w:jc w:val="both"/>
        <w:rPr>
          <w:rFonts w:ascii="Times New Roman" w:hAnsi="Times New Roman" w:cs="Times New Roman"/>
          <w:sz w:val="24"/>
          <w:szCs w:val="24"/>
        </w:rPr>
      </w:pPr>
      <w:r w:rsidRPr="000553CA">
        <w:rPr>
          <w:rFonts w:ascii="Times New Roman" w:hAnsi="Times New Roman" w:cs="Times New Roman"/>
          <w:sz w:val="24"/>
          <w:szCs w:val="24"/>
        </w:rPr>
        <w:t>[...]</w:t>
      </w:r>
    </w:p>
    <w:p w14:paraId="1353B551" w14:textId="77777777" w:rsidR="001D464F" w:rsidRPr="000553CA" w:rsidRDefault="001D464F" w:rsidP="001D464F">
      <w:pPr>
        <w:tabs>
          <w:tab w:val="left" w:pos="1418"/>
        </w:tabs>
        <w:ind w:left="1418"/>
        <w:contextualSpacing/>
        <w:jc w:val="both"/>
        <w:rPr>
          <w:rFonts w:ascii="Times New Roman" w:hAnsi="Times New Roman" w:cs="Times New Roman"/>
          <w:sz w:val="24"/>
          <w:szCs w:val="24"/>
        </w:rPr>
      </w:pPr>
    </w:p>
    <w:p w14:paraId="0D5F913C" w14:textId="77777777" w:rsidR="001D464F" w:rsidRPr="000553CA" w:rsidRDefault="001D464F" w:rsidP="001D464F">
      <w:pPr>
        <w:tabs>
          <w:tab w:val="left" w:pos="1418"/>
        </w:tabs>
        <w:ind w:left="1418"/>
        <w:contextualSpacing/>
        <w:jc w:val="both"/>
        <w:rPr>
          <w:rFonts w:ascii="Times New Roman" w:hAnsi="Times New Roman" w:cs="Times New Roman"/>
          <w:sz w:val="24"/>
          <w:szCs w:val="24"/>
        </w:rPr>
      </w:pPr>
      <w:r w:rsidRPr="000553CA">
        <w:rPr>
          <w:rFonts w:ascii="Times New Roman" w:hAnsi="Times New Roman" w:cs="Times New Roman"/>
          <w:sz w:val="24"/>
          <w:szCs w:val="24"/>
        </w:rPr>
        <w:t>(4) In deciding whether conduct has the effect referred to in subsection (1)(b), each of the following must be taken into account—</w:t>
      </w:r>
    </w:p>
    <w:p w14:paraId="2653761A" w14:textId="77777777" w:rsidR="001D464F" w:rsidRPr="000553CA" w:rsidRDefault="001D464F" w:rsidP="001D464F">
      <w:pPr>
        <w:tabs>
          <w:tab w:val="left" w:pos="1418"/>
        </w:tabs>
        <w:ind w:left="1418"/>
        <w:contextualSpacing/>
        <w:jc w:val="both"/>
        <w:rPr>
          <w:rFonts w:ascii="Times New Roman" w:hAnsi="Times New Roman" w:cs="Times New Roman"/>
          <w:sz w:val="24"/>
          <w:szCs w:val="24"/>
        </w:rPr>
      </w:pPr>
    </w:p>
    <w:p w14:paraId="6AE68BF9" w14:textId="77777777" w:rsidR="001D464F" w:rsidRPr="000553CA" w:rsidRDefault="001D464F" w:rsidP="0009078A">
      <w:pPr>
        <w:tabs>
          <w:tab w:val="left" w:pos="1560"/>
        </w:tabs>
        <w:ind w:left="1843"/>
        <w:contextualSpacing/>
        <w:jc w:val="both"/>
        <w:rPr>
          <w:rFonts w:ascii="Times New Roman" w:hAnsi="Times New Roman" w:cs="Times New Roman"/>
          <w:sz w:val="24"/>
          <w:szCs w:val="24"/>
        </w:rPr>
      </w:pPr>
      <w:r w:rsidRPr="000553CA">
        <w:rPr>
          <w:rFonts w:ascii="Times New Roman" w:hAnsi="Times New Roman" w:cs="Times New Roman"/>
          <w:sz w:val="24"/>
          <w:szCs w:val="24"/>
        </w:rPr>
        <w:t>(a) the perception of B;</w:t>
      </w:r>
    </w:p>
    <w:p w14:paraId="2994C911" w14:textId="77777777" w:rsidR="001D464F" w:rsidRPr="000553CA" w:rsidRDefault="001D464F" w:rsidP="00F52C9F">
      <w:pPr>
        <w:tabs>
          <w:tab w:val="left" w:pos="1560"/>
        </w:tabs>
        <w:ind w:left="1843"/>
        <w:contextualSpacing/>
        <w:jc w:val="both"/>
        <w:rPr>
          <w:rFonts w:ascii="Times New Roman" w:hAnsi="Times New Roman" w:cs="Times New Roman"/>
          <w:sz w:val="24"/>
          <w:szCs w:val="24"/>
        </w:rPr>
      </w:pPr>
    </w:p>
    <w:p w14:paraId="4BF26386" w14:textId="77777777" w:rsidR="001D464F" w:rsidRPr="000553CA" w:rsidRDefault="001D464F" w:rsidP="00F52C9F">
      <w:pPr>
        <w:tabs>
          <w:tab w:val="left" w:pos="1560"/>
        </w:tabs>
        <w:ind w:left="1843"/>
        <w:contextualSpacing/>
        <w:jc w:val="both"/>
        <w:rPr>
          <w:rFonts w:ascii="Times New Roman" w:hAnsi="Times New Roman" w:cs="Times New Roman"/>
          <w:sz w:val="24"/>
          <w:szCs w:val="24"/>
        </w:rPr>
      </w:pPr>
      <w:r w:rsidRPr="000553CA">
        <w:rPr>
          <w:rFonts w:ascii="Times New Roman" w:hAnsi="Times New Roman" w:cs="Times New Roman"/>
          <w:sz w:val="24"/>
          <w:szCs w:val="24"/>
        </w:rPr>
        <w:t>(b) the other circumstances of the case;</w:t>
      </w:r>
    </w:p>
    <w:p w14:paraId="2CE0D70F" w14:textId="77777777" w:rsidR="001D464F" w:rsidRPr="000553CA" w:rsidRDefault="001D464F" w:rsidP="00F52C9F">
      <w:pPr>
        <w:tabs>
          <w:tab w:val="left" w:pos="1560"/>
        </w:tabs>
        <w:ind w:left="1843"/>
        <w:contextualSpacing/>
        <w:jc w:val="both"/>
        <w:rPr>
          <w:rFonts w:ascii="Times New Roman" w:hAnsi="Times New Roman" w:cs="Times New Roman"/>
          <w:sz w:val="24"/>
          <w:szCs w:val="24"/>
        </w:rPr>
      </w:pPr>
    </w:p>
    <w:p w14:paraId="48A729F3" w14:textId="1F5E10D7" w:rsidR="001D464F" w:rsidRDefault="001D464F" w:rsidP="00F52C9F">
      <w:pPr>
        <w:tabs>
          <w:tab w:val="left" w:pos="1560"/>
        </w:tabs>
        <w:ind w:left="1843"/>
        <w:contextualSpacing/>
        <w:jc w:val="both"/>
        <w:rPr>
          <w:rFonts w:ascii="Times New Roman" w:hAnsi="Times New Roman" w:cs="Times New Roman"/>
          <w:sz w:val="24"/>
          <w:szCs w:val="24"/>
        </w:rPr>
      </w:pPr>
      <w:r w:rsidRPr="000553CA">
        <w:rPr>
          <w:rFonts w:ascii="Times New Roman" w:hAnsi="Times New Roman" w:cs="Times New Roman"/>
          <w:sz w:val="24"/>
          <w:szCs w:val="24"/>
        </w:rPr>
        <w:t>(c) whether it is reasonable for the conduct to have that effect.</w:t>
      </w:r>
      <w:r w:rsidRPr="002955E7">
        <w:rPr>
          <w:rFonts w:ascii="TimesNewRomanPSMT" w:hAnsi="TimesNewRomanPSMT" w:cs="TimesNewRomanPSMT"/>
          <w:sz w:val="24"/>
          <w:szCs w:val="24"/>
        </w:rPr>
        <w:t>”</w:t>
      </w:r>
      <w:r w:rsidRPr="002955E7">
        <w:rPr>
          <w:rFonts w:ascii="Times New Roman" w:hAnsi="Times New Roman" w:cs="Times New Roman"/>
          <w:sz w:val="24"/>
          <w:szCs w:val="24"/>
        </w:rPr>
        <w:t xml:space="preserve">  </w:t>
      </w:r>
    </w:p>
    <w:p w14:paraId="50011E67" w14:textId="77777777" w:rsidR="001D464F" w:rsidRPr="002955E7" w:rsidRDefault="001D464F" w:rsidP="001D464F">
      <w:pPr>
        <w:tabs>
          <w:tab w:val="left" w:pos="1418"/>
        </w:tabs>
        <w:ind w:left="1418"/>
        <w:contextualSpacing/>
        <w:jc w:val="both"/>
        <w:rPr>
          <w:rFonts w:ascii="Times New Roman" w:hAnsi="Times New Roman" w:cs="Times New Roman"/>
        </w:rPr>
      </w:pPr>
    </w:p>
    <w:p w14:paraId="4BDCA945" w14:textId="7A87EE9F" w:rsidR="00BC2EBE"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415EC0">
        <w:rPr>
          <w:rFonts w:ascii="Times New Roman" w:hAnsi="Times New Roman" w:cs="Times New Roman"/>
          <w:color w:val="010302"/>
          <w:sz w:val="24"/>
          <w:szCs w:val="24"/>
        </w:rPr>
        <w:t xml:space="preserve">Harassment requires that there be conduct on the part of the harasser that is unwanted and has the relevant </w:t>
      </w:r>
      <w:r w:rsidR="001B4367">
        <w:rPr>
          <w:rFonts w:ascii="Times New Roman" w:hAnsi="Times New Roman" w:cs="Times New Roman"/>
          <w:color w:val="010302"/>
          <w:sz w:val="24"/>
          <w:szCs w:val="24"/>
        </w:rPr>
        <w:t xml:space="preserve">objectionable </w:t>
      </w:r>
      <w:r w:rsidRPr="00415EC0">
        <w:rPr>
          <w:rFonts w:ascii="Times New Roman" w:hAnsi="Times New Roman" w:cs="Times New Roman"/>
          <w:color w:val="010302"/>
          <w:sz w:val="24"/>
          <w:szCs w:val="24"/>
        </w:rPr>
        <w:t xml:space="preserve">purpose or effect.  </w:t>
      </w:r>
    </w:p>
    <w:p w14:paraId="73CD366F" w14:textId="77777777" w:rsidR="00BC2EBE" w:rsidRDefault="00BC2EBE"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55F82810" w14:textId="502F89F2"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The time limit within which claims to the </w:t>
      </w:r>
      <w:r w:rsidR="003E574D">
        <w:rPr>
          <w:rFonts w:ascii="Times New Roman" w:hAnsi="Times New Roman" w:cs="Times New Roman"/>
          <w:color w:val="010302"/>
          <w:sz w:val="24"/>
          <w:szCs w:val="24"/>
        </w:rPr>
        <w:t xml:space="preserve">employment tribunal </w:t>
      </w:r>
      <w:r w:rsidR="00675308">
        <w:rPr>
          <w:rFonts w:ascii="Times New Roman" w:hAnsi="Times New Roman" w:cs="Times New Roman"/>
          <w:color w:val="010302"/>
          <w:sz w:val="24"/>
          <w:szCs w:val="24"/>
        </w:rPr>
        <w:t>must</w:t>
      </w:r>
      <w:r>
        <w:rPr>
          <w:rFonts w:ascii="Times New Roman" w:hAnsi="Times New Roman" w:cs="Times New Roman"/>
          <w:color w:val="010302"/>
          <w:sz w:val="24"/>
          <w:szCs w:val="24"/>
        </w:rPr>
        <w:t xml:space="preserve"> be brought </w:t>
      </w:r>
      <w:r w:rsidR="001B4367">
        <w:rPr>
          <w:rFonts w:ascii="Times New Roman" w:hAnsi="Times New Roman" w:cs="Times New Roman"/>
          <w:color w:val="010302"/>
          <w:sz w:val="24"/>
          <w:szCs w:val="24"/>
        </w:rPr>
        <w:t xml:space="preserve">is </w:t>
      </w:r>
      <w:r>
        <w:rPr>
          <w:rFonts w:ascii="Times New Roman" w:hAnsi="Times New Roman" w:cs="Times New Roman"/>
          <w:color w:val="010302"/>
          <w:sz w:val="24"/>
          <w:szCs w:val="24"/>
        </w:rPr>
        <w:t xml:space="preserve">set out at </w:t>
      </w:r>
      <w:r w:rsidR="001B4367">
        <w:rPr>
          <w:rFonts w:ascii="Times New Roman" w:hAnsi="Times New Roman" w:cs="Times New Roman"/>
          <w:color w:val="010302"/>
          <w:sz w:val="24"/>
          <w:szCs w:val="24"/>
        </w:rPr>
        <w:t xml:space="preserve">section </w:t>
      </w:r>
      <w:r>
        <w:rPr>
          <w:rFonts w:ascii="Times New Roman" w:hAnsi="Times New Roman" w:cs="Times New Roman"/>
          <w:color w:val="010302"/>
          <w:sz w:val="24"/>
          <w:szCs w:val="24"/>
        </w:rPr>
        <w:t xml:space="preserve">123 of the </w:t>
      </w:r>
      <w:r w:rsidRPr="00BC3E98">
        <w:rPr>
          <w:rFonts w:ascii="Times New Roman" w:hAnsi="Times New Roman" w:cs="Times New Roman"/>
          <w:b/>
          <w:bCs/>
          <w:color w:val="010302"/>
          <w:sz w:val="24"/>
          <w:szCs w:val="24"/>
        </w:rPr>
        <w:t>Equality Act</w:t>
      </w:r>
      <w:r w:rsidR="008178C7">
        <w:rPr>
          <w:rFonts w:ascii="Times New Roman" w:hAnsi="Times New Roman" w:cs="Times New Roman"/>
          <w:b/>
          <w:bCs/>
          <w:color w:val="010302"/>
          <w:sz w:val="24"/>
          <w:szCs w:val="24"/>
        </w:rPr>
        <w:t xml:space="preserve"> </w:t>
      </w:r>
      <w:r w:rsidR="008178C7" w:rsidRPr="008178C7">
        <w:rPr>
          <w:rFonts w:ascii="Times New Roman" w:hAnsi="Times New Roman" w:cs="Times New Roman"/>
          <w:b/>
          <w:bCs/>
          <w:color w:val="010302"/>
          <w:sz w:val="24"/>
          <w:szCs w:val="24"/>
        </w:rPr>
        <w:t>2010</w:t>
      </w:r>
      <w:r w:rsidR="008178C7">
        <w:rPr>
          <w:rFonts w:ascii="Times New Roman" w:hAnsi="Times New Roman" w:cs="Times New Roman"/>
          <w:b/>
          <w:bCs/>
          <w:color w:val="010302"/>
          <w:sz w:val="24"/>
          <w:szCs w:val="24"/>
        </w:rPr>
        <w:t xml:space="preserve"> </w:t>
      </w:r>
      <w:r w:rsidR="008178C7">
        <w:rPr>
          <w:rFonts w:ascii="Times New Roman" w:hAnsi="Times New Roman" w:cs="Times New Roman"/>
          <w:color w:val="010302"/>
          <w:sz w:val="24"/>
          <w:szCs w:val="24"/>
        </w:rPr>
        <w:t>which at the relevant time provided</w:t>
      </w:r>
      <w:r>
        <w:rPr>
          <w:rFonts w:ascii="Times New Roman" w:hAnsi="Times New Roman" w:cs="Times New Roman"/>
          <w:color w:val="010302"/>
          <w:sz w:val="24"/>
          <w:szCs w:val="24"/>
        </w:rPr>
        <w:t>:</w:t>
      </w:r>
    </w:p>
    <w:p w14:paraId="2C25D511" w14:textId="4ACBEBE5" w:rsidR="001D464F" w:rsidRPr="00F73AEE" w:rsidRDefault="001D464F" w:rsidP="001D464F">
      <w:pPr>
        <w:pStyle w:val="ListParagraph"/>
        <w:tabs>
          <w:tab w:val="left" w:pos="1418"/>
        </w:tabs>
        <w:ind w:left="1418"/>
        <w:contextualSpacing/>
        <w:jc w:val="both"/>
        <w:rPr>
          <w:rFonts w:ascii="Times New Roman" w:hAnsi="Times New Roman" w:cs="Times New Roman"/>
          <w:sz w:val="24"/>
          <w:szCs w:val="24"/>
        </w:rPr>
      </w:pPr>
      <w:r w:rsidRPr="003B1C8B">
        <w:rPr>
          <w:rFonts w:ascii="Times New Roman" w:hAnsi="Times New Roman" w:cs="Times New Roman"/>
          <w:sz w:val="24"/>
          <w:szCs w:val="24"/>
        </w:rPr>
        <w:t>“</w:t>
      </w:r>
      <w:r w:rsidRPr="00F73AEE">
        <w:rPr>
          <w:rFonts w:ascii="Times New Roman" w:hAnsi="Times New Roman" w:cs="Times New Roman"/>
          <w:sz w:val="24"/>
          <w:szCs w:val="24"/>
        </w:rPr>
        <w:t xml:space="preserve">(1) </w:t>
      </w:r>
      <w:r w:rsidR="008178C7">
        <w:rPr>
          <w:rFonts w:ascii="Times New Roman" w:hAnsi="Times New Roman" w:cs="Times New Roman"/>
          <w:sz w:val="24"/>
          <w:szCs w:val="24"/>
        </w:rPr>
        <w:t>…</w:t>
      </w:r>
      <w:r w:rsidRPr="00F73AEE">
        <w:rPr>
          <w:rFonts w:ascii="Times New Roman" w:hAnsi="Times New Roman" w:cs="Times New Roman"/>
          <w:sz w:val="24"/>
          <w:szCs w:val="24"/>
        </w:rPr>
        <w:t xml:space="preserve"> proceedings on a complaint within section 120 may not be brought after the end of—</w:t>
      </w:r>
    </w:p>
    <w:p w14:paraId="426BAC31" w14:textId="77777777" w:rsidR="001D464F" w:rsidRPr="00F73AEE" w:rsidRDefault="001D464F" w:rsidP="001D464F">
      <w:pPr>
        <w:pStyle w:val="ListParagraph"/>
        <w:tabs>
          <w:tab w:val="left" w:pos="1418"/>
        </w:tabs>
        <w:ind w:left="1418"/>
        <w:contextualSpacing/>
        <w:jc w:val="both"/>
        <w:rPr>
          <w:rFonts w:ascii="Times New Roman" w:hAnsi="Times New Roman" w:cs="Times New Roman"/>
          <w:sz w:val="24"/>
          <w:szCs w:val="24"/>
        </w:rPr>
      </w:pPr>
    </w:p>
    <w:p w14:paraId="37B9A46D" w14:textId="77777777" w:rsidR="001D464F" w:rsidRPr="00F73AEE" w:rsidRDefault="001D464F" w:rsidP="00D0059D">
      <w:pPr>
        <w:pStyle w:val="ListParagraph"/>
        <w:tabs>
          <w:tab w:val="left" w:pos="1560"/>
        </w:tabs>
        <w:ind w:left="1985"/>
        <w:contextualSpacing/>
        <w:jc w:val="both"/>
        <w:rPr>
          <w:rFonts w:ascii="Times New Roman" w:hAnsi="Times New Roman" w:cs="Times New Roman"/>
          <w:sz w:val="24"/>
          <w:szCs w:val="24"/>
        </w:rPr>
      </w:pPr>
      <w:r w:rsidRPr="00F73AEE">
        <w:rPr>
          <w:rFonts w:ascii="Times New Roman" w:hAnsi="Times New Roman" w:cs="Times New Roman"/>
          <w:sz w:val="24"/>
          <w:szCs w:val="24"/>
        </w:rPr>
        <w:t>(a) the period of 3 months starting with the date of the act to which the complaint relates, or</w:t>
      </w:r>
    </w:p>
    <w:p w14:paraId="67E5AE28" w14:textId="77777777" w:rsidR="001D464F" w:rsidRPr="00F73AEE" w:rsidRDefault="001D464F" w:rsidP="00D0059D">
      <w:pPr>
        <w:pStyle w:val="ListParagraph"/>
        <w:tabs>
          <w:tab w:val="left" w:pos="1560"/>
        </w:tabs>
        <w:ind w:left="1985"/>
        <w:contextualSpacing/>
        <w:jc w:val="both"/>
        <w:rPr>
          <w:rFonts w:ascii="Times New Roman" w:hAnsi="Times New Roman" w:cs="Times New Roman"/>
          <w:sz w:val="24"/>
          <w:szCs w:val="24"/>
        </w:rPr>
      </w:pPr>
    </w:p>
    <w:p w14:paraId="71571616" w14:textId="77777777" w:rsidR="001D464F" w:rsidRPr="00F73AEE" w:rsidRDefault="001D464F" w:rsidP="00F52C9F">
      <w:pPr>
        <w:pStyle w:val="ListParagraph"/>
        <w:tabs>
          <w:tab w:val="left" w:pos="1560"/>
        </w:tabs>
        <w:ind w:left="1985"/>
        <w:contextualSpacing/>
        <w:jc w:val="both"/>
        <w:rPr>
          <w:rFonts w:ascii="Times New Roman" w:hAnsi="Times New Roman" w:cs="Times New Roman"/>
          <w:sz w:val="24"/>
          <w:szCs w:val="24"/>
        </w:rPr>
      </w:pPr>
      <w:r w:rsidRPr="00F73AEE">
        <w:rPr>
          <w:rFonts w:ascii="Times New Roman" w:hAnsi="Times New Roman" w:cs="Times New Roman"/>
          <w:sz w:val="24"/>
          <w:szCs w:val="24"/>
        </w:rPr>
        <w:t>(b) such other period as the employment tribunal thinks just and equitable.</w:t>
      </w:r>
    </w:p>
    <w:p w14:paraId="34F736DD" w14:textId="77777777" w:rsidR="001D464F" w:rsidRPr="00F73AEE" w:rsidRDefault="001D464F" w:rsidP="00F52C9F">
      <w:pPr>
        <w:pStyle w:val="ListParagraph"/>
        <w:tabs>
          <w:tab w:val="left" w:pos="1560"/>
        </w:tabs>
        <w:ind w:left="1985"/>
        <w:contextualSpacing/>
        <w:jc w:val="both"/>
        <w:rPr>
          <w:rFonts w:ascii="Times New Roman" w:hAnsi="Times New Roman" w:cs="Times New Roman"/>
          <w:sz w:val="24"/>
          <w:szCs w:val="24"/>
        </w:rPr>
      </w:pPr>
    </w:p>
    <w:p w14:paraId="0B009348" w14:textId="77777777" w:rsidR="001D464F" w:rsidRPr="00F73AEE" w:rsidRDefault="001D464F" w:rsidP="001D464F">
      <w:pPr>
        <w:pStyle w:val="ListParagraph"/>
        <w:tabs>
          <w:tab w:val="left" w:pos="1418"/>
        </w:tabs>
        <w:ind w:left="1418"/>
        <w:contextualSpacing/>
        <w:jc w:val="both"/>
        <w:rPr>
          <w:rFonts w:ascii="Times New Roman" w:hAnsi="Times New Roman" w:cs="Times New Roman"/>
          <w:sz w:val="24"/>
          <w:szCs w:val="24"/>
        </w:rPr>
      </w:pPr>
      <w:r>
        <w:rPr>
          <w:rFonts w:ascii="Times New Roman" w:hAnsi="Times New Roman" w:cs="Times New Roman"/>
          <w:sz w:val="24"/>
          <w:szCs w:val="24"/>
        </w:rPr>
        <w:t>[…]</w:t>
      </w:r>
    </w:p>
    <w:p w14:paraId="301EE036" w14:textId="77777777" w:rsidR="001D464F" w:rsidRPr="00F73AEE" w:rsidRDefault="001D464F" w:rsidP="001D464F">
      <w:pPr>
        <w:pStyle w:val="ListParagraph"/>
        <w:tabs>
          <w:tab w:val="left" w:pos="1418"/>
        </w:tabs>
        <w:ind w:left="1418"/>
        <w:contextualSpacing/>
        <w:jc w:val="both"/>
        <w:rPr>
          <w:rFonts w:ascii="Times New Roman" w:hAnsi="Times New Roman" w:cs="Times New Roman"/>
          <w:sz w:val="24"/>
          <w:szCs w:val="24"/>
        </w:rPr>
      </w:pPr>
    </w:p>
    <w:p w14:paraId="2B8C5428" w14:textId="77777777" w:rsidR="001D464F" w:rsidRPr="00F73AEE" w:rsidRDefault="001D464F" w:rsidP="001D464F">
      <w:pPr>
        <w:pStyle w:val="ListParagraph"/>
        <w:tabs>
          <w:tab w:val="left" w:pos="1418"/>
        </w:tabs>
        <w:ind w:left="1418"/>
        <w:contextualSpacing/>
        <w:jc w:val="both"/>
        <w:rPr>
          <w:rFonts w:ascii="Times New Roman" w:hAnsi="Times New Roman" w:cs="Times New Roman"/>
          <w:sz w:val="24"/>
          <w:szCs w:val="24"/>
        </w:rPr>
      </w:pPr>
      <w:r w:rsidRPr="00F73AEE">
        <w:rPr>
          <w:rFonts w:ascii="Times New Roman" w:hAnsi="Times New Roman" w:cs="Times New Roman"/>
          <w:sz w:val="24"/>
          <w:szCs w:val="24"/>
        </w:rPr>
        <w:t>(3) For the purposes of this section—</w:t>
      </w:r>
    </w:p>
    <w:p w14:paraId="41854285" w14:textId="77777777" w:rsidR="001D464F" w:rsidRPr="00F73AEE" w:rsidRDefault="001D464F" w:rsidP="001D464F">
      <w:pPr>
        <w:pStyle w:val="ListParagraph"/>
        <w:tabs>
          <w:tab w:val="left" w:pos="1418"/>
        </w:tabs>
        <w:ind w:left="1418"/>
        <w:contextualSpacing/>
        <w:jc w:val="both"/>
        <w:rPr>
          <w:rFonts w:ascii="Times New Roman" w:hAnsi="Times New Roman" w:cs="Times New Roman"/>
          <w:sz w:val="24"/>
          <w:szCs w:val="24"/>
        </w:rPr>
      </w:pPr>
    </w:p>
    <w:p w14:paraId="3055C6CD" w14:textId="77777777" w:rsidR="001D464F" w:rsidRPr="00F73AEE" w:rsidRDefault="001D464F" w:rsidP="00D0059D">
      <w:pPr>
        <w:pStyle w:val="ListParagraph"/>
        <w:tabs>
          <w:tab w:val="left" w:pos="1560"/>
        </w:tabs>
        <w:ind w:left="1985"/>
        <w:contextualSpacing/>
        <w:jc w:val="both"/>
        <w:rPr>
          <w:rFonts w:ascii="Times New Roman" w:hAnsi="Times New Roman" w:cs="Times New Roman"/>
          <w:sz w:val="24"/>
          <w:szCs w:val="24"/>
        </w:rPr>
      </w:pPr>
      <w:r w:rsidRPr="00F73AEE">
        <w:rPr>
          <w:rFonts w:ascii="Times New Roman" w:hAnsi="Times New Roman" w:cs="Times New Roman"/>
          <w:sz w:val="24"/>
          <w:szCs w:val="24"/>
        </w:rPr>
        <w:t>(a) conduct extending over a period is to be treated as done at the end of the period;</w:t>
      </w:r>
    </w:p>
    <w:p w14:paraId="65B8822F" w14:textId="77777777" w:rsidR="001D464F" w:rsidRPr="00F73AEE" w:rsidRDefault="001D464F" w:rsidP="00F52C9F">
      <w:pPr>
        <w:pStyle w:val="ListParagraph"/>
        <w:tabs>
          <w:tab w:val="left" w:pos="1560"/>
        </w:tabs>
        <w:ind w:left="1985"/>
        <w:contextualSpacing/>
        <w:jc w:val="both"/>
        <w:rPr>
          <w:rFonts w:ascii="Times New Roman" w:hAnsi="Times New Roman" w:cs="Times New Roman"/>
          <w:sz w:val="24"/>
          <w:szCs w:val="24"/>
        </w:rPr>
      </w:pPr>
    </w:p>
    <w:p w14:paraId="72672B80" w14:textId="77777777" w:rsidR="001D464F" w:rsidRPr="00F73AEE" w:rsidRDefault="001D464F" w:rsidP="00F52C9F">
      <w:pPr>
        <w:pStyle w:val="ListParagraph"/>
        <w:tabs>
          <w:tab w:val="left" w:pos="1560"/>
        </w:tabs>
        <w:ind w:left="1985"/>
        <w:contextualSpacing/>
        <w:jc w:val="both"/>
        <w:rPr>
          <w:rFonts w:ascii="Times New Roman" w:hAnsi="Times New Roman" w:cs="Times New Roman"/>
          <w:sz w:val="24"/>
          <w:szCs w:val="24"/>
        </w:rPr>
      </w:pPr>
      <w:r w:rsidRPr="00F73AEE">
        <w:rPr>
          <w:rFonts w:ascii="Times New Roman" w:hAnsi="Times New Roman" w:cs="Times New Roman"/>
          <w:sz w:val="24"/>
          <w:szCs w:val="24"/>
        </w:rPr>
        <w:t>(b) failure to do something is to be treated as occurring when the person in question decided on it.</w:t>
      </w:r>
    </w:p>
    <w:p w14:paraId="7AFCB2F3" w14:textId="77777777" w:rsidR="001D464F" w:rsidRPr="00F73AEE" w:rsidRDefault="001D464F" w:rsidP="00F52C9F">
      <w:pPr>
        <w:pStyle w:val="ListParagraph"/>
        <w:tabs>
          <w:tab w:val="left" w:pos="1560"/>
        </w:tabs>
        <w:ind w:left="1985"/>
        <w:contextualSpacing/>
        <w:jc w:val="both"/>
        <w:rPr>
          <w:rFonts w:ascii="Times New Roman" w:hAnsi="Times New Roman" w:cs="Times New Roman"/>
          <w:sz w:val="24"/>
          <w:szCs w:val="24"/>
        </w:rPr>
      </w:pPr>
    </w:p>
    <w:p w14:paraId="4B6A1262" w14:textId="77777777" w:rsidR="001D464F" w:rsidRPr="00F73AEE" w:rsidRDefault="001D464F" w:rsidP="001D464F">
      <w:pPr>
        <w:pStyle w:val="ListParagraph"/>
        <w:tabs>
          <w:tab w:val="left" w:pos="1418"/>
        </w:tabs>
        <w:ind w:left="1418"/>
        <w:contextualSpacing/>
        <w:jc w:val="both"/>
        <w:rPr>
          <w:rFonts w:ascii="Times New Roman" w:hAnsi="Times New Roman" w:cs="Times New Roman"/>
          <w:sz w:val="24"/>
          <w:szCs w:val="24"/>
        </w:rPr>
      </w:pPr>
      <w:r w:rsidRPr="00F73AEE">
        <w:rPr>
          <w:rFonts w:ascii="Times New Roman" w:hAnsi="Times New Roman" w:cs="Times New Roman"/>
          <w:sz w:val="24"/>
          <w:szCs w:val="24"/>
        </w:rPr>
        <w:t>(4) In the absence of evidence to the contrary, a person (P) is to be taken to decide on failure to do something—</w:t>
      </w:r>
    </w:p>
    <w:p w14:paraId="3F50080D" w14:textId="77777777" w:rsidR="001D464F" w:rsidRPr="00F73AEE" w:rsidRDefault="001D464F" w:rsidP="001D464F">
      <w:pPr>
        <w:pStyle w:val="ListParagraph"/>
        <w:tabs>
          <w:tab w:val="left" w:pos="1418"/>
        </w:tabs>
        <w:ind w:left="1418"/>
        <w:contextualSpacing/>
        <w:jc w:val="both"/>
        <w:rPr>
          <w:rFonts w:ascii="Times New Roman" w:hAnsi="Times New Roman" w:cs="Times New Roman"/>
          <w:sz w:val="24"/>
          <w:szCs w:val="24"/>
        </w:rPr>
      </w:pPr>
    </w:p>
    <w:p w14:paraId="7C51BB60" w14:textId="77777777" w:rsidR="001D464F" w:rsidRPr="00F73AEE" w:rsidRDefault="001D464F" w:rsidP="00F52C9F">
      <w:pPr>
        <w:pStyle w:val="ListParagraph"/>
        <w:tabs>
          <w:tab w:val="left" w:pos="1560"/>
        </w:tabs>
        <w:ind w:left="1985"/>
        <w:contextualSpacing/>
        <w:jc w:val="both"/>
        <w:rPr>
          <w:rFonts w:ascii="Times New Roman" w:hAnsi="Times New Roman" w:cs="Times New Roman"/>
          <w:sz w:val="24"/>
          <w:szCs w:val="24"/>
        </w:rPr>
      </w:pPr>
      <w:r w:rsidRPr="00F73AEE">
        <w:rPr>
          <w:rFonts w:ascii="Times New Roman" w:hAnsi="Times New Roman" w:cs="Times New Roman"/>
          <w:sz w:val="24"/>
          <w:szCs w:val="24"/>
        </w:rPr>
        <w:t>(a) when P does an act inconsistent with doing it, or</w:t>
      </w:r>
    </w:p>
    <w:p w14:paraId="668E5E37" w14:textId="77777777" w:rsidR="001D464F" w:rsidRPr="00F73AEE" w:rsidRDefault="001D464F" w:rsidP="00F52C9F">
      <w:pPr>
        <w:pStyle w:val="ListParagraph"/>
        <w:tabs>
          <w:tab w:val="left" w:pos="1560"/>
        </w:tabs>
        <w:ind w:left="1985"/>
        <w:contextualSpacing/>
        <w:jc w:val="both"/>
        <w:rPr>
          <w:rFonts w:ascii="Times New Roman" w:hAnsi="Times New Roman" w:cs="Times New Roman"/>
          <w:sz w:val="24"/>
          <w:szCs w:val="24"/>
        </w:rPr>
      </w:pPr>
    </w:p>
    <w:p w14:paraId="7EC1460F" w14:textId="77777777" w:rsidR="001D464F" w:rsidRPr="003B1C8B" w:rsidRDefault="001D464F" w:rsidP="00F52C9F">
      <w:pPr>
        <w:pStyle w:val="ListParagraph"/>
        <w:tabs>
          <w:tab w:val="left" w:pos="1560"/>
        </w:tabs>
        <w:ind w:left="1985"/>
        <w:contextualSpacing/>
        <w:jc w:val="both"/>
        <w:rPr>
          <w:rFonts w:ascii="Times New Roman" w:hAnsi="Times New Roman" w:cs="Times New Roman"/>
          <w:b/>
          <w:bCs/>
          <w:sz w:val="24"/>
          <w:szCs w:val="24"/>
        </w:rPr>
      </w:pPr>
      <w:r w:rsidRPr="00F73AEE">
        <w:rPr>
          <w:rFonts w:ascii="Times New Roman" w:hAnsi="Times New Roman" w:cs="Times New Roman"/>
          <w:sz w:val="24"/>
          <w:szCs w:val="24"/>
        </w:rPr>
        <w:t>(b) if P does no inconsistent act, on the expiry of the period in which P might reasonably have been expected to do it.</w:t>
      </w:r>
      <w:r>
        <w:rPr>
          <w:rFonts w:ascii="Times New Roman" w:hAnsi="Times New Roman" w:cs="Times New Roman"/>
          <w:sz w:val="24"/>
          <w:szCs w:val="24"/>
        </w:rPr>
        <w:t>"</w:t>
      </w:r>
    </w:p>
    <w:p w14:paraId="57A9A4BC" w14:textId="3C2CBB5A" w:rsidR="001D464F" w:rsidRDefault="001D464F" w:rsidP="001D464F">
      <w:pPr>
        <w:pStyle w:val="ListParagraph"/>
        <w:tabs>
          <w:tab w:val="left" w:pos="0"/>
        </w:tabs>
        <w:spacing w:line="480" w:lineRule="auto"/>
        <w:contextualSpacing/>
        <w:jc w:val="both"/>
        <w:rPr>
          <w:rFonts w:ascii="Times New Roman" w:hAnsi="Times New Roman" w:cs="Times New Roman"/>
          <w:color w:val="010302"/>
          <w:sz w:val="24"/>
          <w:szCs w:val="24"/>
        </w:rPr>
      </w:pPr>
    </w:p>
    <w:p w14:paraId="2221A0BB" w14:textId="0C258803" w:rsidR="001D464F" w:rsidRDefault="001C233D"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C</w:t>
      </w:r>
      <w:r w:rsidR="001D464F">
        <w:rPr>
          <w:rFonts w:ascii="Times New Roman" w:hAnsi="Times New Roman" w:cs="Times New Roman"/>
          <w:color w:val="010302"/>
          <w:sz w:val="24"/>
          <w:szCs w:val="24"/>
        </w:rPr>
        <w:t xml:space="preserve">onduct on the part of a respondent that constitutes harassment could potentially be conduct that extends over a period.  </w:t>
      </w:r>
    </w:p>
    <w:p w14:paraId="5C3F1DEB" w14:textId="77777777" w:rsidR="00675308" w:rsidRDefault="00675308"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0E4D33BD" w14:textId="5FAD30C6" w:rsidR="001B4367" w:rsidRDefault="003E63A9"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It is to be noted that the claim form was presented on </w:t>
      </w:r>
      <w:r w:rsidRPr="003E63A9">
        <w:rPr>
          <w:rFonts w:ascii="Times New Roman" w:hAnsi="Times New Roman" w:cs="Times New Roman"/>
          <w:b/>
          <w:bCs/>
          <w:color w:val="010302"/>
          <w:sz w:val="24"/>
          <w:szCs w:val="24"/>
        </w:rPr>
        <w:t>19 December</w:t>
      </w:r>
      <w:r w:rsidRPr="003E63A9">
        <w:rPr>
          <w:rFonts w:ascii="Times New Roman" w:hAnsi="Times New Roman" w:cs="Times New Roman"/>
          <w:b/>
          <w:bCs/>
          <w:color w:val="010302"/>
          <w:sz w:val="24"/>
          <w:szCs w:val="24"/>
          <w:u w:val="single"/>
        </w:rPr>
        <w:t xml:space="preserve"> 2013</w:t>
      </w:r>
      <w:r>
        <w:rPr>
          <w:rFonts w:ascii="Times New Roman" w:hAnsi="Times New Roman" w:cs="Times New Roman"/>
          <w:color w:val="010302"/>
          <w:sz w:val="24"/>
          <w:szCs w:val="24"/>
        </w:rPr>
        <w:t xml:space="preserve">, after the repeal of </w:t>
      </w:r>
      <w:r w:rsidR="005A5D5E">
        <w:rPr>
          <w:rFonts w:ascii="Times New Roman" w:hAnsi="Times New Roman" w:cs="Times New Roman"/>
          <w:color w:val="010302"/>
          <w:sz w:val="24"/>
          <w:szCs w:val="24"/>
        </w:rPr>
        <w:t xml:space="preserve">the </w:t>
      </w:r>
      <w:r w:rsidR="005A5D5E" w:rsidRPr="003E63A9">
        <w:rPr>
          <w:rFonts w:ascii="Times New Roman" w:hAnsi="Times New Roman" w:cs="Times New Roman"/>
          <w:color w:val="010302"/>
          <w:sz w:val="24"/>
          <w:szCs w:val="24"/>
        </w:rPr>
        <w:t>statutory</w:t>
      </w:r>
      <w:r w:rsidRPr="003E63A9">
        <w:rPr>
          <w:rFonts w:ascii="Times New Roman" w:hAnsi="Times New Roman" w:cs="Times New Roman"/>
          <w:color w:val="010302"/>
          <w:sz w:val="24"/>
          <w:szCs w:val="24"/>
        </w:rPr>
        <w:t xml:space="preserve"> dispute resolution procedures</w:t>
      </w:r>
      <w:r>
        <w:rPr>
          <w:rFonts w:ascii="Times New Roman" w:hAnsi="Times New Roman" w:cs="Times New Roman"/>
          <w:color w:val="010302"/>
          <w:sz w:val="24"/>
          <w:szCs w:val="24"/>
        </w:rPr>
        <w:t xml:space="preserve"> </w:t>
      </w:r>
      <w:r w:rsidR="00E07D1E">
        <w:rPr>
          <w:rFonts w:ascii="Times New Roman" w:hAnsi="Times New Roman" w:cs="Times New Roman"/>
          <w:color w:val="010302"/>
          <w:sz w:val="24"/>
          <w:szCs w:val="24"/>
        </w:rPr>
        <w:t>and shortly</w:t>
      </w:r>
      <w:r>
        <w:rPr>
          <w:rFonts w:ascii="Times New Roman" w:hAnsi="Times New Roman" w:cs="Times New Roman"/>
          <w:color w:val="010302"/>
          <w:sz w:val="24"/>
          <w:szCs w:val="24"/>
        </w:rPr>
        <w:t xml:space="preserve"> before the introduction of the requirement for early conciliation</w:t>
      </w:r>
      <w:r w:rsidR="00D12FC9">
        <w:rPr>
          <w:rFonts w:ascii="Times New Roman" w:hAnsi="Times New Roman" w:cs="Times New Roman"/>
          <w:color w:val="010302"/>
          <w:sz w:val="24"/>
          <w:szCs w:val="24"/>
        </w:rPr>
        <w:t>,</w:t>
      </w:r>
      <w:r>
        <w:rPr>
          <w:rFonts w:ascii="Times New Roman" w:hAnsi="Times New Roman" w:cs="Times New Roman"/>
          <w:color w:val="010302"/>
          <w:sz w:val="24"/>
          <w:szCs w:val="24"/>
        </w:rPr>
        <w:t xml:space="preserve"> so the time limit was not </w:t>
      </w:r>
      <w:r w:rsidR="00E07D1E">
        <w:rPr>
          <w:rFonts w:ascii="Times New Roman" w:hAnsi="Times New Roman" w:cs="Times New Roman"/>
          <w:color w:val="010302"/>
          <w:sz w:val="24"/>
          <w:szCs w:val="24"/>
        </w:rPr>
        <w:t>subject to extension under either regime.</w:t>
      </w:r>
    </w:p>
    <w:p w14:paraId="48F3652D" w14:textId="77777777" w:rsidR="00675308" w:rsidRDefault="00675308"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7F1FF701" w14:textId="64218FEF"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The approach to be adopted to time limits </w:t>
      </w:r>
      <w:r w:rsidR="00AE7887">
        <w:rPr>
          <w:rFonts w:ascii="Times New Roman" w:hAnsi="Times New Roman" w:cs="Times New Roman"/>
          <w:color w:val="010302"/>
          <w:sz w:val="24"/>
          <w:szCs w:val="24"/>
        </w:rPr>
        <w:t>in</w:t>
      </w:r>
      <w:r>
        <w:rPr>
          <w:rFonts w:ascii="Times New Roman" w:hAnsi="Times New Roman" w:cs="Times New Roman"/>
          <w:color w:val="010302"/>
          <w:sz w:val="24"/>
          <w:szCs w:val="24"/>
        </w:rPr>
        <w:t xml:space="preserve"> </w:t>
      </w:r>
      <w:r w:rsidR="00D12FC9">
        <w:rPr>
          <w:rFonts w:ascii="Times New Roman" w:hAnsi="Times New Roman" w:cs="Times New Roman"/>
          <w:color w:val="010302"/>
          <w:sz w:val="24"/>
          <w:szCs w:val="24"/>
        </w:rPr>
        <w:t xml:space="preserve">employment tribunal </w:t>
      </w:r>
      <w:r>
        <w:rPr>
          <w:rFonts w:ascii="Times New Roman" w:hAnsi="Times New Roman" w:cs="Times New Roman"/>
          <w:color w:val="010302"/>
          <w:sz w:val="24"/>
          <w:szCs w:val="24"/>
        </w:rPr>
        <w:t xml:space="preserve">claims was considered by Leggatt LJ in </w:t>
      </w:r>
      <w:r w:rsidRPr="00BC3E98">
        <w:rPr>
          <w:rFonts w:ascii="Times New Roman" w:hAnsi="Times New Roman" w:cs="Times New Roman"/>
          <w:b/>
          <w:bCs/>
          <w:color w:val="010302"/>
          <w:sz w:val="24"/>
          <w:szCs w:val="24"/>
        </w:rPr>
        <w:t>Abertawe Bro Morgannwg University Local Health Board v Morgan</w:t>
      </w:r>
      <w:r w:rsidRPr="00CD2141">
        <w:rPr>
          <w:rFonts w:ascii="Times New Roman" w:hAnsi="Times New Roman" w:cs="Times New Roman"/>
          <w:color w:val="010302"/>
          <w:sz w:val="24"/>
          <w:szCs w:val="24"/>
        </w:rPr>
        <w:t xml:space="preserve"> [2018] </w:t>
      </w:r>
      <w:r w:rsidR="001C233D" w:rsidRPr="001C233D">
        <w:rPr>
          <w:rFonts w:ascii="Times New Roman" w:hAnsi="Times New Roman" w:cs="Times New Roman"/>
          <w:color w:val="010302"/>
          <w:sz w:val="24"/>
          <w:szCs w:val="24"/>
        </w:rPr>
        <w:t xml:space="preserve">ICR. 1194 </w:t>
      </w:r>
      <w:r>
        <w:rPr>
          <w:rFonts w:ascii="Times New Roman" w:hAnsi="Times New Roman" w:cs="Times New Roman"/>
          <w:color w:val="010302"/>
          <w:sz w:val="24"/>
          <w:szCs w:val="24"/>
        </w:rPr>
        <w:t>at paragraphs 18 to 20:</w:t>
      </w:r>
    </w:p>
    <w:p w14:paraId="12552835" w14:textId="5DE2F9B0" w:rsidR="001D464F" w:rsidRPr="00BC3E98" w:rsidRDefault="001D464F" w:rsidP="00BC3E98">
      <w:pPr>
        <w:pStyle w:val="ListParagraph"/>
        <w:tabs>
          <w:tab w:val="left" w:pos="1418"/>
        </w:tabs>
        <w:ind w:left="1418"/>
        <w:contextualSpacing/>
        <w:jc w:val="both"/>
        <w:rPr>
          <w:rFonts w:ascii="Times New Roman" w:hAnsi="Times New Roman" w:cs="Times New Roman"/>
          <w:sz w:val="24"/>
          <w:szCs w:val="24"/>
        </w:rPr>
      </w:pPr>
      <w:r w:rsidRPr="003B1C8B">
        <w:rPr>
          <w:rFonts w:ascii="Times New Roman" w:hAnsi="Times New Roman" w:cs="Times New Roman"/>
          <w:sz w:val="24"/>
          <w:szCs w:val="24"/>
        </w:rPr>
        <w:t>“</w:t>
      </w:r>
      <w:r w:rsidRPr="00BC3E98">
        <w:rPr>
          <w:rFonts w:ascii="Times New Roman" w:hAnsi="Times New Roman" w:cs="Times New Roman"/>
          <w:sz w:val="24"/>
          <w:szCs w:val="24"/>
        </w:rPr>
        <w:t>18. First, it is plain from the language used (</w:t>
      </w:r>
      <w:r w:rsidR="00A718D0">
        <w:rPr>
          <w:rFonts w:ascii="Times New Roman" w:hAnsi="Times New Roman" w:cs="Times New Roman"/>
          <w:sz w:val="24"/>
          <w:szCs w:val="24"/>
        </w:rPr>
        <w:t>“</w:t>
      </w:r>
      <w:r w:rsidRPr="00BC3E98">
        <w:rPr>
          <w:rFonts w:ascii="Times New Roman" w:hAnsi="Times New Roman" w:cs="Times New Roman"/>
          <w:sz w:val="24"/>
          <w:szCs w:val="24"/>
        </w:rPr>
        <w:t>such other period as the employment tribunal thinks just and equitable</w:t>
      </w:r>
      <w:r w:rsidR="00A718D0">
        <w:rPr>
          <w:rFonts w:ascii="Times New Roman" w:hAnsi="Times New Roman" w:cs="Times New Roman"/>
          <w:sz w:val="24"/>
          <w:szCs w:val="24"/>
        </w:rPr>
        <w:t>”</w:t>
      </w:r>
      <w:r w:rsidRPr="00BC3E98">
        <w:rPr>
          <w:rFonts w:ascii="Times New Roman" w:hAnsi="Times New Roman" w:cs="Times New Roman"/>
          <w:sz w:val="24"/>
          <w:szCs w:val="24"/>
        </w:rPr>
        <w:t xml:space="preserve">) that Parliament has chosen to give the employment tribunal the widest possible discretion. Unlike section 33 of the Limitation Act 1980, section 123(1) of the Equality Act does not specify any list of factors to which the tribunal is instructed to have regard, and it would be wrong in these circumstances to put a gloss on the words of the provision or to interpret it as if it contains such a list. Thus, although it has been suggested that it may be useful for a tribunal in exercising its discretion to consider the list of factors specified in section 33(3) of the Limitation Act 1980 (see </w:t>
      </w:r>
      <w:r w:rsidRPr="00BC3E98">
        <w:rPr>
          <w:rFonts w:ascii="Times New Roman" w:hAnsi="Times New Roman" w:cs="Times New Roman"/>
          <w:i/>
          <w:iCs/>
          <w:sz w:val="24"/>
          <w:szCs w:val="24"/>
        </w:rPr>
        <w:t>British Coal Corporation v Keeble</w:t>
      </w:r>
      <w:r w:rsidRPr="00BC3E98">
        <w:rPr>
          <w:rFonts w:ascii="Times New Roman" w:hAnsi="Times New Roman" w:cs="Times New Roman"/>
          <w:sz w:val="24"/>
          <w:szCs w:val="24"/>
        </w:rPr>
        <w:t xml:space="preserve"> [1997] IRLR 336), the Court of Appeal has made it clear that the tribunal is not required to go through such a list, the only requirement being that it does not leave a significant factor out of account: see </w:t>
      </w:r>
      <w:r w:rsidRPr="00BC3E98">
        <w:rPr>
          <w:rFonts w:ascii="Times New Roman" w:hAnsi="Times New Roman" w:cs="Times New Roman"/>
          <w:i/>
          <w:iCs/>
          <w:sz w:val="24"/>
          <w:szCs w:val="24"/>
        </w:rPr>
        <w:t>Southwark London Borough Council v Afolabi</w:t>
      </w:r>
      <w:r w:rsidRPr="00BC3E98">
        <w:rPr>
          <w:rFonts w:ascii="Times New Roman" w:hAnsi="Times New Roman" w:cs="Times New Roman"/>
          <w:sz w:val="24"/>
          <w:szCs w:val="24"/>
        </w:rPr>
        <w:t xml:space="preserve"> [2003] EWCA Civ15; [2003] ICR 800, para 33. The position is analogous to that where a court or tribunal is exercising the similarly worded discretion to extend the time for bringing proceedings under section 7(5) of the Human Rights Act 1998: see </w:t>
      </w:r>
      <w:r w:rsidRPr="00BC3E98">
        <w:rPr>
          <w:rFonts w:ascii="Times New Roman" w:hAnsi="Times New Roman" w:cs="Times New Roman"/>
          <w:i/>
          <w:iCs/>
          <w:sz w:val="24"/>
          <w:szCs w:val="24"/>
        </w:rPr>
        <w:t>Dunn v Parole Board</w:t>
      </w:r>
      <w:r w:rsidRPr="00BC3E98">
        <w:rPr>
          <w:rFonts w:ascii="Times New Roman" w:hAnsi="Times New Roman" w:cs="Times New Roman"/>
          <w:sz w:val="24"/>
          <w:szCs w:val="24"/>
        </w:rPr>
        <w:t xml:space="preserve"> [2008] EWCA Civ 374; [2009] 1 WLR 728, paras 30-32, 43, 48; and </w:t>
      </w:r>
      <w:r w:rsidRPr="00BC3E98">
        <w:rPr>
          <w:rFonts w:ascii="Times New Roman" w:hAnsi="Times New Roman" w:cs="Times New Roman"/>
          <w:i/>
          <w:iCs/>
          <w:sz w:val="24"/>
          <w:szCs w:val="24"/>
        </w:rPr>
        <w:t xml:space="preserve">Rabone v Pennine Care NHS Trust </w:t>
      </w:r>
      <w:r w:rsidRPr="00BC3E98">
        <w:rPr>
          <w:rFonts w:ascii="Times New Roman" w:hAnsi="Times New Roman" w:cs="Times New Roman"/>
          <w:sz w:val="24"/>
          <w:szCs w:val="24"/>
        </w:rPr>
        <w:t>[2012] UKSC 2; [2012] 2 AC 72, para 75.</w:t>
      </w:r>
    </w:p>
    <w:p w14:paraId="67F4229D" w14:textId="77777777" w:rsidR="001D464F" w:rsidRPr="00735F2C" w:rsidRDefault="001D464F" w:rsidP="001D464F">
      <w:pPr>
        <w:pStyle w:val="ListParagraph"/>
        <w:tabs>
          <w:tab w:val="left" w:pos="1418"/>
        </w:tabs>
        <w:ind w:left="1418"/>
        <w:contextualSpacing/>
        <w:jc w:val="both"/>
        <w:rPr>
          <w:rFonts w:ascii="Times New Roman" w:hAnsi="Times New Roman" w:cs="Times New Roman"/>
          <w:sz w:val="24"/>
          <w:szCs w:val="24"/>
        </w:rPr>
      </w:pPr>
    </w:p>
    <w:p w14:paraId="05C6E7E2" w14:textId="24DB3D9D" w:rsidR="001D464F" w:rsidRPr="00B63222" w:rsidRDefault="001D464F" w:rsidP="00F52C9F">
      <w:pPr>
        <w:pStyle w:val="ListParagraph"/>
        <w:tabs>
          <w:tab w:val="left" w:pos="1418"/>
        </w:tabs>
        <w:ind w:left="1418"/>
        <w:contextualSpacing/>
        <w:jc w:val="both"/>
      </w:pPr>
      <w:r w:rsidRPr="00735F2C">
        <w:rPr>
          <w:rFonts w:ascii="Times New Roman" w:hAnsi="Times New Roman" w:cs="Times New Roman"/>
          <w:sz w:val="24"/>
          <w:szCs w:val="24"/>
        </w:rPr>
        <w:t xml:space="preserve">19. That said, factors which are almost always relevant to consider when exercising any discretion whether to extend time are: </w:t>
      </w:r>
      <w:r w:rsidRPr="00B63222">
        <w:t>(a) the length of, and reasons for, the delay and (b) whether the delay has prejudiced the respondent (for example, by preventing or inhibiting it from investigating the claim while matters were fresh).</w:t>
      </w:r>
    </w:p>
    <w:p w14:paraId="3ABA7D8D" w14:textId="77777777" w:rsidR="001D464F" w:rsidRPr="00735F2C" w:rsidRDefault="001D464F" w:rsidP="001D464F">
      <w:pPr>
        <w:pStyle w:val="ListParagraph"/>
        <w:tabs>
          <w:tab w:val="left" w:pos="1418"/>
        </w:tabs>
        <w:ind w:left="1418"/>
        <w:contextualSpacing/>
        <w:jc w:val="both"/>
        <w:rPr>
          <w:rFonts w:ascii="Times New Roman" w:hAnsi="Times New Roman" w:cs="Times New Roman"/>
          <w:sz w:val="24"/>
          <w:szCs w:val="24"/>
        </w:rPr>
      </w:pPr>
    </w:p>
    <w:p w14:paraId="1F6F69C2" w14:textId="77777777" w:rsidR="001D464F" w:rsidRDefault="001D464F" w:rsidP="001D464F">
      <w:pPr>
        <w:pStyle w:val="ListParagraph"/>
        <w:tabs>
          <w:tab w:val="left" w:pos="1418"/>
        </w:tabs>
        <w:ind w:left="1418"/>
        <w:contextualSpacing/>
        <w:jc w:val="both"/>
        <w:rPr>
          <w:rFonts w:ascii="Times New Roman" w:hAnsi="Times New Roman" w:cs="Times New Roman"/>
          <w:sz w:val="24"/>
          <w:szCs w:val="24"/>
        </w:rPr>
      </w:pPr>
      <w:r w:rsidRPr="00735F2C">
        <w:rPr>
          <w:rFonts w:ascii="Times New Roman" w:hAnsi="Times New Roman" w:cs="Times New Roman"/>
          <w:sz w:val="24"/>
          <w:szCs w:val="24"/>
        </w:rPr>
        <w:t xml:space="preserve">20. The second point to note is that, because of the width of the discretion given to the employment tribunal to proceed in accordance with what it thinks just and equitable, there is very limited scope for challenging the tribunal's exercise of its discretion on an appeal. It is axiomatic that an appellate court or tribunal should not substitute its own view of what is just and equitable for that of the tribunal charged with the decision. It should only disturb the tribunal's decision if the tribunal has erred in principle – for example, by failing to have regard to a factor which is plainly relevant and significant or by giving significant weight to a factor which is plainly irrelevant – or if the tribunal's conclusion is outside the very wide ambit within which different views may reasonably be taken about what is just and equitable: see </w:t>
      </w:r>
      <w:r w:rsidRPr="00735F2C">
        <w:rPr>
          <w:rFonts w:ascii="Times New Roman" w:hAnsi="Times New Roman" w:cs="Times New Roman"/>
          <w:i/>
          <w:iCs/>
          <w:sz w:val="24"/>
          <w:szCs w:val="24"/>
        </w:rPr>
        <w:t xml:space="preserve">Robertson v Bexley Community Centre t/a Leisure Link </w:t>
      </w:r>
      <w:r w:rsidRPr="00735F2C">
        <w:rPr>
          <w:rFonts w:ascii="Times New Roman" w:hAnsi="Times New Roman" w:cs="Times New Roman"/>
          <w:sz w:val="24"/>
          <w:szCs w:val="24"/>
        </w:rPr>
        <w:t>[2003] EWCA Civ 576; [2003] IRLR 434, para 24."</w:t>
      </w:r>
    </w:p>
    <w:p w14:paraId="103901A9" w14:textId="77777777" w:rsidR="001D464F" w:rsidRPr="00735F2C" w:rsidRDefault="001D464F" w:rsidP="001D464F">
      <w:pPr>
        <w:pStyle w:val="ListParagraph"/>
        <w:tabs>
          <w:tab w:val="left" w:pos="1418"/>
        </w:tabs>
        <w:ind w:left="1418"/>
        <w:contextualSpacing/>
        <w:jc w:val="both"/>
        <w:rPr>
          <w:rFonts w:ascii="Times New Roman" w:hAnsi="Times New Roman" w:cs="Times New Roman"/>
          <w:sz w:val="24"/>
          <w:szCs w:val="24"/>
        </w:rPr>
      </w:pPr>
    </w:p>
    <w:p w14:paraId="76015D20" w14:textId="09D77DE4"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The </w:t>
      </w:r>
      <w:r w:rsidR="00B63222">
        <w:rPr>
          <w:rFonts w:ascii="Times New Roman" w:hAnsi="Times New Roman" w:cs="Times New Roman"/>
          <w:color w:val="010302"/>
          <w:sz w:val="24"/>
          <w:szCs w:val="24"/>
        </w:rPr>
        <w:t xml:space="preserve">employment tribunal </w:t>
      </w:r>
      <w:r>
        <w:rPr>
          <w:rFonts w:ascii="Times New Roman" w:hAnsi="Times New Roman" w:cs="Times New Roman"/>
          <w:color w:val="010302"/>
          <w:sz w:val="24"/>
          <w:szCs w:val="24"/>
        </w:rPr>
        <w:t xml:space="preserve">is now discouraged from focusing on what are </w:t>
      </w:r>
      <w:r w:rsidR="00B63222">
        <w:rPr>
          <w:rFonts w:ascii="Times New Roman" w:hAnsi="Times New Roman" w:cs="Times New Roman"/>
          <w:color w:val="010302"/>
          <w:sz w:val="24"/>
          <w:szCs w:val="24"/>
        </w:rPr>
        <w:t xml:space="preserve">sometimes referred to </w:t>
      </w:r>
      <w:r>
        <w:rPr>
          <w:rFonts w:ascii="Times New Roman" w:hAnsi="Times New Roman" w:cs="Times New Roman"/>
          <w:color w:val="010302"/>
          <w:sz w:val="24"/>
          <w:szCs w:val="24"/>
        </w:rPr>
        <w:t xml:space="preserve">as the </w:t>
      </w:r>
      <w:r w:rsidRPr="00BC3E98">
        <w:rPr>
          <w:rFonts w:ascii="Times New Roman" w:hAnsi="Times New Roman" w:cs="Times New Roman"/>
          <w:b/>
          <w:bCs/>
          <w:color w:val="010302"/>
          <w:sz w:val="24"/>
          <w:szCs w:val="24"/>
        </w:rPr>
        <w:t>Keeble</w:t>
      </w:r>
      <w:r>
        <w:rPr>
          <w:rFonts w:ascii="Times New Roman" w:hAnsi="Times New Roman" w:cs="Times New Roman"/>
          <w:i/>
          <w:iCs/>
          <w:color w:val="010302"/>
          <w:sz w:val="24"/>
          <w:szCs w:val="24"/>
        </w:rPr>
        <w:t xml:space="preserve"> </w:t>
      </w:r>
      <w:r>
        <w:rPr>
          <w:rFonts w:ascii="Times New Roman" w:hAnsi="Times New Roman" w:cs="Times New Roman"/>
          <w:color w:val="010302"/>
          <w:sz w:val="24"/>
          <w:szCs w:val="24"/>
        </w:rPr>
        <w:t>factors but should</w:t>
      </w:r>
      <w:r w:rsidR="00B63222">
        <w:rPr>
          <w:rFonts w:ascii="Times New Roman" w:hAnsi="Times New Roman" w:cs="Times New Roman"/>
          <w:color w:val="010302"/>
          <w:sz w:val="24"/>
          <w:szCs w:val="24"/>
        </w:rPr>
        <w:t>,</w:t>
      </w:r>
      <w:r>
        <w:rPr>
          <w:rFonts w:ascii="Times New Roman" w:hAnsi="Times New Roman" w:cs="Times New Roman"/>
          <w:color w:val="010302"/>
          <w:sz w:val="24"/>
          <w:szCs w:val="24"/>
        </w:rPr>
        <w:t xml:space="preserve"> in exercising its wide discretion</w:t>
      </w:r>
      <w:r w:rsidR="00B63222">
        <w:rPr>
          <w:rFonts w:ascii="Times New Roman" w:hAnsi="Times New Roman" w:cs="Times New Roman"/>
          <w:color w:val="010302"/>
          <w:sz w:val="24"/>
          <w:szCs w:val="24"/>
        </w:rPr>
        <w:t>,</w:t>
      </w:r>
      <w:r>
        <w:rPr>
          <w:rFonts w:ascii="Times New Roman" w:hAnsi="Times New Roman" w:cs="Times New Roman"/>
          <w:color w:val="010302"/>
          <w:sz w:val="24"/>
          <w:szCs w:val="24"/>
        </w:rPr>
        <w:t xml:space="preserve"> take into account all relevant factors</w:t>
      </w:r>
      <w:r w:rsidR="00B63222">
        <w:rPr>
          <w:rFonts w:ascii="Times New Roman" w:hAnsi="Times New Roman" w:cs="Times New Roman"/>
          <w:color w:val="010302"/>
          <w:sz w:val="24"/>
          <w:szCs w:val="24"/>
        </w:rPr>
        <w:t>,</w:t>
      </w:r>
      <w:r>
        <w:rPr>
          <w:rFonts w:ascii="Times New Roman" w:hAnsi="Times New Roman" w:cs="Times New Roman"/>
          <w:color w:val="010302"/>
          <w:sz w:val="24"/>
          <w:szCs w:val="24"/>
        </w:rPr>
        <w:t xml:space="preserve"> which will almost always involve considering the length and reason for the delay and whether the delay has prejudiced the respondent in </w:t>
      </w:r>
      <w:r w:rsidR="00B63222">
        <w:rPr>
          <w:rFonts w:ascii="Times New Roman" w:hAnsi="Times New Roman" w:cs="Times New Roman"/>
          <w:color w:val="010302"/>
          <w:sz w:val="24"/>
          <w:szCs w:val="24"/>
        </w:rPr>
        <w:t xml:space="preserve">respect of </w:t>
      </w:r>
      <w:r>
        <w:rPr>
          <w:rFonts w:ascii="Times New Roman" w:hAnsi="Times New Roman" w:cs="Times New Roman"/>
          <w:color w:val="010302"/>
          <w:sz w:val="24"/>
          <w:szCs w:val="24"/>
        </w:rPr>
        <w:t xml:space="preserve">matters such as investigation and obtaining evidence.  </w:t>
      </w:r>
    </w:p>
    <w:p w14:paraId="3FB62E6A" w14:textId="77777777" w:rsidR="00B63222" w:rsidRDefault="00B63222"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2D5E7F53" w14:textId="693E6389"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In </w:t>
      </w:r>
      <w:r w:rsidRPr="00BC3E98">
        <w:rPr>
          <w:rFonts w:ascii="Times New Roman" w:hAnsi="Times New Roman" w:cs="Times New Roman"/>
          <w:b/>
          <w:bCs/>
          <w:color w:val="010302"/>
          <w:sz w:val="24"/>
          <w:szCs w:val="24"/>
        </w:rPr>
        <w:t>Adedeji  v  University  Hospitals  Birmingham  NHS  Trust</w:t>
      </w:r>
      <w:r w:rsidRPr="00B62887">
        <w:rPr>
          <w:rFonts w:ascii="Times New Roman" w:hAnsi="Times New Roman" w:cs="Times New Roman"/>
          <w:i/>
          <w:iCs/>
          <w:color w:val="010302"/>
          <w:sz w:val="24"/>
          <w:szCs w:val="24"/>
        </w:rPr>
        <w:t xml:space="preserve"> </w:t>
      </w:r>
      <w:r>
        <w:rPr>
          <w:rFonts w:ascii="Times New Roman" w:hAnsi="Times New Roman" w:cs="Times New Roman"/>
          <w:color w:val="010302"/>
          <w:sz w:val="24"/>
          <w:szCs w:val="24"/>
        </w:rPr>
        <w:t>[2021] EWCA Civ 23,</w:t>
      </w:r>
      <w:r>
        <w:rPr>
          <w:rFonts w:ascii="Times New Roman" w:hAnsi="Times New Roman" w:cs="Times New Roman"/>
          <w:i/>
          <w:iCs/>
          <w:color w:val="010302"/>
          <w:sz w:val="24"/>
          <w:szCs w:val="24"/>
        </w:rPr>
        <w:t xml:space="preserve"> </w:t>
      </w:r>
      <w:r w:rsidRPr="0064522F">
        <w:rPr>
          <w:rFonts w:ascii="Times New Roman" w:hAnsi="Times New Roman" w:cs="Times New Roman"/>
          <w:color w:val="010302"/>
          <w:sz w:val="24"/>
          <w:szCs w:val="24"/>
        </w:rPr>
        <w:t>Underhill</w:t>
      </w:r>
      <w:r>
        <w:rPr>
          <w:rFonts w:ascii="Times New Roman" w:hAnsi="Times New Roman" w:cs="Times New Roman"/>
          <w:color w:val="010302"/>
          <w:sz w:val="24"/>
          <w:szCs w:val="24"/>
        </w:rPr>
        <w:t> </w:t>
      </w:r>
      <w:r w:rsidRPr="0064522F">
        <w:rPr>
          <w:rFonts w:ascii="Times New Roman" w:hAnsi="Times New Roman" w:cs="Times New Roman"/>
          <w:color w:val="010302"/>
          <w:sz w:val="24"/>
          <w:szCs w:val="24"/>
        </w:rPr>
        <w:t xml:space="preserve">LJ at paragraphs 31 to 32 </w:t>
      </w:r>
      <w:r>
        <w:rPr>
          <w:rFonts w:ascii="Times New Roman" w:hAnsi="Times New Roman" w:cs="Times New Roman"/>
          <w:color w:val="010302"/>
          <w:sz w:val="24"/>
          <w:szCs w:val="24"/>
        </w:rPr>
        <w:t xml:space="preserve">considered whether an employment tribunal in </w:t>
      </w:r>
      <w:r w:rsidR="002A32FD">
        <w:rPr>
          <w:rFonts w:ascii="Times New Roman" w:hAnsi="Times New Roman" w:cs="Times New Roman"/>
          <w:color w:val="010302"/>
          <w:sz w:val="24"/>
          <w:szCs w:val="24"/>
        </w:rPr>
        <w:t xml:space="preserve">analysing </w:t>
      </w:r>
      <w:r>
        <w:rPr>
          <w:rFonts w:ascii="Times New Roman" w:hAnsi="Times New Roman" w:cs="Times New Roman"/>
          <w:color w:val="010302"/>
          <w:sz w:val="24"/>
          <w:szCs w:val="24"/>
        </w:rPr>
        <w:t xml:space="preserve">a claim that had been submitted a matter of days outside the statutory time limit was entitled to take into account the fact that allowing an extension of time would result in consideration of matters that had happened a considerable time </w:t>
      </w:r>
      <w:r w:rsidR="006C1604">
        <w:rPr>
          <w:rFonts w:ascii="Times New Roman" w:hAnsi="Times New Roman" w:cs="Times New Roman"/>
          <w:color w:val="010302"/>
          <w:sz w:val="24"/>
          <w:szCs w:val="24"/>
        </w:rPr>
        <w:t xml:space="preserve">before the submission of the claim, </w:t>
      </w:r>
      <w:r w:rsidR="00092734">
        <w:rPr>
          <w:rFonts w:ascii="Times New Roman" w:hAnsi="Times New Roman" w:cs="Times New Roman"/>
          <w:color w:val="010302"/>
          <w:sz w:val="24"/>
          <w:szCs w:val="24"/>
        </w:rPr>
        <w:t xml:space="preserve">because the claim included complaints that went back </w:t>
      </w:r>
      <w:r w:rsidR="002A32FD">
        <w:rPr>
          <w:rFonts w:ascii="Times New Roman" w:hAnsi="Times New Roman" w:cs="Times New Roman"/>
          <w:color w:val="010302"/>
          <w:sz w:val="24"/>
          <w:szCs w:val="24"/>
        </w:rPr>
        <w:t xml:space="preserve">over </w:t>
      </w:r>
      <w:r w:rsidR="00092734">
        <w:rPr>
          <w:rFonts w:ascii="Times New Roman" w:hAnsi="Times New Roman" w:cs="Times New Roman"/>
          <w:color w:val="010302"/>
          <w:sz w:val="24"/>
          <w:szCs w:val="24"/>
        </w:rPr>
        <w:t>a considerable period of time</w:t>
      </w:r>
      <w:r>
        <w:rPr>
          <w:rFonts w:ascii="Times New Roman" w:hAnsi="Times New Roman" w:cs="Times New Roman"/>
          <w:color w:val="010302"/>
          <w:sz w:val="24"/>
          <w:szCs w:val="24"/>
        </w:rPr>
        <w:t xml:space="preserve">.  </w:t>
      </w:r>
      <w:r w:rsidR="00092734" w:rsidRPr="00092734">
        <w:rPr>
          <w:rFonts w:ascii="Times New Roman" w:hAnsi="Times New Roman" w:cs="Times New Roman"/>
          <w:color w:val="010302"/>
          <w:sz w:val="24"/>
          <w:szCs w:val="24"/>
        </w:rPr>
        <w:t xml:space="preserve">Underhill LJ </w:t>
      </w:r>
      <w:r>
        <w:rPr>
          <w:rFonts w:ascii="Times New Roman" w:hAnsi="Times New Roman" w:cs="Times New Roman"/>
          <w:color w:val="010302"/>
          <w:sz w:val="24"/>
          <w:szCs w:val="24"/>
        </w:rPr>
        <w:t>held that was a matter that the tribunal was entitled to take into account:</w:t>
      </w:r>
    </w:p>
    <w:p w14:paraId="1D475FCE" w14:textId="16CBCFAC" w:rsidR="001D464F" w:rsidRPr="00DE6B29" w:rsidRDefault="001D464F" w:rsidP="001D464F">
      <w:pPr>
        <w:pStyle w:val="ListParagraph"/>
        <w:tabs>
          <w:tab w:val="left" w:pos="1418"/>
        </w:tabs>
        <w:ind w:left="1418"/>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w:t>
      </w:r>
      <w:r w:rsidR="00211CAF">
        <w:rPr>
          <w:rFonts w:ascii="Times New Roman" w:hAnsi="Times New Roman" w:cs="Times New Roman"/>
          <w:color w:val="010302"/>
          <w:sz w:val="24"/>
          <w:szCs w:val="24"/>
        </w:rPr>
        <w:t xml:space="preserve"> 31. </w:t>
      </w:r>
      <w:r w:rsidRPr="00DE6B29">
        <w:rPr>
          <w:rFonts w:ascii="Times New Roman" w:hAnsi="Times New Roman" w:cs="Times New Roman"/>
          <w:color w:val="010302"/>
          <w:sz w:val="24"/>
          <w:szCs w:val="24"/>
        </w:rPr>
        <w:t xml:space="preserve">However, I do not believe that the substantive point that the Judge was making at para. 33 of her Reasons was about the impact of that very short delay, which she herself described as </w:t>
      </w:r>
      <w:r w:rsidR="00211CAF">
        <w:rPr>
          <w:rFonts w:ascii="Times New Roman" w:hAnsi="Times New Roman" w:cs="Times New Roman"/>
          <w:color w:val="010302"/>
          <w:sz w:val="24"/>
          <w:szCs w:val="24"/>
        </w:rPr>
        <w:t>“</w:t>
      </w:r>
      <w:r w:rsidRPr="00DE6B29">
        <w:rPr>
          <w:rFonts w:ascii="Times New Roman" w:hAnsi="Times New Roman" w:cs="Times New Roman"/>
          <w:color w:val="010302"/>
          <w:sz w:val="24"/>
          <w:szCs w:val="24"/>
        </w:rPr>
        <w:t>not substantial</w:t>
      </w:r>
      <w:r w:rsidR="00211CAF">
        <w:rPr>
          <w:rFonts w:ascii="Times New Roman" w:hAnsi="Times New Roman" w:cs="Times New Roman"/>
          <w:color w:val="010302"/>
          <w:sz w:val="24"/>
          <w:szCs w:val="24"/>
        </w:rPr>
        <w:t>”</w:t>
      </w:r>
      <w:r w:rsidRPr="00DE6B29">
        <w:rPr>
          <w:rFonts w:ascii="Times New Roman" w:hAnsi="Times New Roman" w:cs="Times New Roman"/>
          <w:color w:val="010302"/>
          <w:sz w:val="24"/>
          <w:szCs w:val="24"/>
        </w:rPr>
        <w:t xml:space="preserve">. Rather, she was making the point that the substance of the claim concerned events which had occurred long before the formal act complained of, and that the evidence of those events was likely to be less good than if a claim about them had been brought nearer the time: see para. 22 above. I appreciate that, if that was her point, her reference to "impact on the cogency of evidence" is rather inapt because if taken by itself it would suggest that she had in mind </w:t>
      </w:r>
      <w:r>
        <w:rPr>
          <w:rFonts w:ascii="Times New Roman" w:hAnsi="Times New Roman" w:cs="Times New Roman"/>
          <w:color w:val="010302"/>
          <w:sz w:val="24"/>
          <w:szCs w:val="24"/>
        </w:rPr>
        <w:t>'</w:t>
      </w:r>
      <w:r w:rsidRPr="00DE6B29">
        <w:rPr>
          <w:rFonts w:ascii="Times New Roman" w:hAnsi="Times New Roman" w:cs="Times New Roman"/>
          <w:i/>
          <w:iCs/>
          <w:color w:val="010302"/>
          <w:sz w:val="24"/>
          <w:szCs w:val="24"/>
        </w:rPr>
        <w:t>Keeble</w:t>
      </w:r>
      <w:r w:rsidRPr="00DE6B29">
        <w:rPr>
          <w:rFonts w:ascii="Times New Roman" w:hAnsi="Times New Roman" w:cs="Times New Roman"/>
          <w:color w:val="010302"/>
          <w:sz w:val="24"/>
          <w:szCs w:val="24"/>
        </w:rPr>
        <w:t xml:space="preserve"> factor (b)</w:t>
      </w:r>
      <w:r>
        <w:rPr>
          <w:rFonts w:ascii="Times New Roman" w:hAnsi="Times New Roman" w:cs="Times New Roman"/>
          <w:color w:val="010302"/>
          <w:sz w:val="24"/>
          <w:szCs w:val="24"/>
        </w:rPr>
        <w:t>'</w:t>
      </w:r>
      <w:r w:rsidRPr="00DE6B29">
        <w:rPr>
          <w:rFonts w:ascii="Times New Roman" w:hAnsi="Times New Roman" w:cs="Times New Roman"/>
          <w:color w:val="010302"/>
          <w:sz w:val="24"/>
          <w:szCs w:val="24"/>
        </w:rPr>
        <w:t>, which is indeed focused specifically on the impact of the delay following the expiry of the relevant deadline; but we are concerned with the substance of her reasoning, which is in my view adequately clear, and we should not be distracted by any mere looseness of expression.</w:t>
      </w:r>
    </w:p>
    <w:p w14:paraId="563334B5" w14:textId="77777777" w:rsidR="001D464F" w:rsidRPr="00DE6B29" w:rsidRDefault="001D464F" w:rsidP="001D464F">
      <w:pPr>
        <w:pStyle w:val="ListParagraph"/>
        <w:tabs>
          <w:tab w:val="left" w:pos="1418"/>
        </w:tabs>
        <w:ind w:left="1418"/>
        <w:contextualSpacing/>
        <w:jc w:val="both"/>
        <w:rPr>
          <w:rFonts w:ascii="Times New Roman" w:hAnsi="Times New Roman" w:cs="Times New Roman"/>
          <w:color w:val="010302"/>
          <w:sz w:val="24"/>
          <w:szCs w:val="24"/>
        </w:rPr>
      </w:pPr>
    </w:p>
    <w:p w14:paraId="0579D98D" w14:textId="651B5B14" w:rsidR="001D464F" w:rsidRDefault="00211CAF" w:rsidP="001D464F">
      <w:pPr>
        <w:pStyle w:val="ListParagraph"/>
        <w:tabs>
          <w:tab w:val="left" w:pos="1418"/>
        </w:tabs>
        <w:ind w:left="1418"/>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32. </w:t>
      </w:r>
      <w:r w:rsidR="001D464F" w:rsidRPr="00DE6B29">
        <w:rPr>
          <w:rFonts w:ascii="Times New Roman" w:hAnsi="Times New Roman" w:cs="Times New Roman"/>
          <w:color w:val="010302"/>
          <w:sz w:val="24"/>
          <w:szCs w:val="24"/>
        </w:rPr>
        <w:t>So understood, I see no error of law in this element in the Judge's reasoning. Of course employment tribunals very often have to consider disputed events which occurred a long time prior to the actual act complained of, even though the passage of time will inevitably have impacted on the cogency of the evidence. But that does not make the investigation of stale issues any the less undesirable in principle. As part of the exercise of its overall discretion, a tribunal can properly take into account the fact that, although the formal delay may have been short, the consequence of granting an extension may be to open up issues which arose much longer ago. On the facts of this case the Judge clearly had in mind both the respects in which the events of late 2016 were historic, as identified at para. 22 above; and she also had in mind the fact that the Appellant could have complained of them in their own right as soon as they occurred or in May, immediately following his resignation. She does not, rightly, treat this factor as decisive: in fact, as I read it, she placed more weight on the absence of any good reason for the delay. But what matters is that she was entitled to take it into account. As regards the Appellant's point that the relevant proposals were contained in emails, it is not clear that this specific point was made in either the ET or the EAT, but in any event it cannot be assumed that it follows that no oral evidence on the issue would be required: the assessment of whether there was a risk of evidence being less satisfactory because of the passage of time was for the Judge and cannot be challenged in this Court unless it was perverse. (I would add, while acknowledging that this does not appear to have been the Judge's approach in this case, that the fact that the grant of an extension will have the effect of requiring investigation of events which took place a long time previously may be relevant to the tribunal's assessment even if there is no reason to suppose that the evidence may be less cogent than if the claim had been brought in time.)</w:t>
      </w:r>
      <w:r w:rsidR="001D464F">
        <w:rPr>
          <w:rFonts w:ascii="Times New Roman" w:hAnsi="Times New Roman" w:cs="Times New Roman"/>
          <w:color w:val="010302"/>
          <w:sz w:val="24"/>
          <w:szCs w:val="24"/>
        </w:rPr>
        <w:t>"</w:t>
      </w:r>
    </w:p>
    <w:p w14:paraId="663C8D37" w14:textId="50CF8584" w:rsidR="004C1872"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The respondent relied on the case of </w:t>
      </w:r>
      <w:r w:rsidRPr="00F623E2">
        <w:rPr>
          <w:rFonts w:ascii="Times New Roman" w:hAnsi="Times New Roman" w:cs="Times New Roman"/>
          <w:b/>
          <w:bCs/>
          <w:color w:val="010302"/>
          <w:sz w:val="24"/>
          <w:szCs w:val="24"/>
        </w:rPr>
        <w:t>Martin v Kogan</w:t>
      </w:r>
      <w:r w:rsidRPr="004B1973">
        <w:rPr>
          <w:rFonts w:ascii="Times New Roman" w:hAnsi="Times New Roman" w:cs="Times New Roman"/>
          <w:color w:val="010302"/>
          <w:sz w:val="24"/>
          <w:szCs w:val="24"/>
        </w:rPr>
        <w:t xml:space="preserve"> [2021] EWHC 24 (Ch</w:t>
      </w:r>
      <w:r w:rsidRPr="004B1973">
        <w:rPr>
          <w:rFonts w:ascii="Times New Roman" w:hAnsi="Times New Roman" w:cs="Times New Roman"/>
          <w:i/>
          <w:iCs/>
          <w:color w:val="010302"/>
          <w:sz w:val="24"/>
          <w:szCs w:val="24"/>
        </w:rPr>
        <w:t>)</w:t>
      </w:r>
      <w:r>
        <w:rPr>
          <w:rFonts w:ascii="Times New Roman" w:hAnsi="Times New Roman" w:cs="Times New Roman"/>
          <w:i/>
          <w:iCs/>
          <w:color w:val="010302"/>
          <w:sz w:val="24"/>
          <w:szCs w:val="24"/>
        </w:rPr>
        <w:t xml:space="preserve"> </w:t>
      </w:r>
      <w:r>
        <w:rPr>
          <w:rFonts w:ascii="Times New Roman" w:hAnsi="Times New Roman" w:cs="Times New Roman"/>
          <w:color w:val="010302"/>
          <w:sz w:val="24"/>
          <w:szCs w:val="24"/>
        </w:rPr>
        <w:t xml:space="preserve">for the relatively self-evident proposition that the </w:t>
      </w:r>
      <w:r w:rsidR="00D12FC9">
        <w:rPr>
          <w:rFonts w:ascii="Times New Roman" w:hAnsi="Times New Roman" w:cs="Times New Roman"/>
          <w:color w:val="010302"/>
          <w:sz w:val="24"/>
          <w:szCs w:val="24"/>
        </w:rPr>
        <w:t xml:space="preserve">employment tribunal </w:t>
      </w:r>
      <w:r w:rsidR="004C1872">
        <w:rPr>
          <w:rFonts w:ascii="Times New Roman" w:hAnsi="Times New Roman" w:cs="Times New Roman"/>
          <w:color w:val="010302"/>
          <w:sz w:val="24"/>
          <w:szCs w:val="24"/>
        </w:rPr>
        <w:t>should</w:t>
      </w:r>
      <w:r>
        <w:rPr>
          <w:rFonts w:ascii="Times New Roman" w:hAnsi="Times New Roman" w:cs="Times New Roman"/>
          <w:color w:val="010302"/>
          <w:sz w:val="24"/>
          <w:szCs w:val="24"/>
        </w:rPr>
        <w:t xml:space="preserve"> make findings of fact on the key material matters.  The claimant relied on </w:t>
      </w:r>
      <w:r w:rsidRPr="00F623E2">
        <w:rPr>
          <w:rFonts w:ascii="Times New Roman" w:hAnsi="Times New Roman" w:cs="Times New Roman"/>
          <w:b/>
          <w:bCs/>
          <w:color w:val="010302"/>
          <w:sz w:val="24"/>
          <w:szCs w:val="24"/>
        </w:rPr>
        <w:t>DPP v Greenberg</w:t>
      </w:r>
      <w:r>
        <w:rPr>
          <w:rFonts w:ascii="Times New Roman" w:hAnsi="Times New Roman" w:cs="Times New Roman"/>
          <w:i/>
          <w:iCs/>
          <w:color w:val="010302"/>
          <w:sz w:val="24"/>
          <w:szCs w:val="24"/>
        </w:rPr>
        <w:t xml:space="preserve"> </w:t>
      </w:r>
      <w:r w:rsidR="00C10FA2" w:rsidRPr="00F52C9F">
        <w:rPr>
          <w:rFonts w:ascii="Times New Roman" w:hAnsi="Times New Roman" w:cs="Times New Roman"/>
          <w:color w:val="010302"/>
          <w:sz w:val="24"/>
          <w:szCs w:val="24"/>
        </w:rPr>
        <w:t xml:space="preserve">[2021] IRLR 1016 </w:t>
      </w:r>
      <w:r>
        <w:rPr>
          <w:rFonts w:ascii="Times New Roman" w:hAnsi="Times New Roman" w:cs="Times New Roman"/>
          <w:color w:val="010302"/>
          <w:sz w:val="24"/>
          <w:szCs w:val="24"/>
        </w:rPr>
        <w:t xml:space="preserve">for the approach that </w:t>
      </w:r>
      <w:r w:rsidR="00C10FA2">
        <w:rPr>
          <w:rFonts w:ascii="Times New Roman" w:hAnsi="Times New Roman" w:cs="Times New Roman"/>
          <w:color w:val="010302"/>
          <w:sz w:val="24"/>
          <w:szCs w:val="24"/>
        </w:rPr>
        <w:t xml:space="preserve">the Court of Appeal </w:t>
      </w:r>
      <w:r>
        <w:rPr>
          <w:rFonts w:ascii="Times New Roman" w:hAnsi="Times New Roman" w:cs="Times New Roman"/>
          <w:color w:val="010302"/>
          <w:sz w:val="24"/>
          <w:szCs w:val="24"/>
        </w:rPr>
        <w:t xml:space="preserve">reiterated </w:t>
      </w:r>
      <w:r w:rsidR="00C10FA2">
        <w:rPr>
          <w:rFonts w:ascii="Times New Roman" w:hAnsi="Times New Roman" w:cs="Times New Roman"/>
          <w:color w:val="010302"/>
          <w:sz w:val="24"/>
          <w:szCs w:val="24"/>
        </w:rPr>
        <w:t>should be applied to</w:t>
      </w:r>
      <w:r>
        <w:rPr>
          <w:rFonts w:ascii="Times New Roman" w:hAnsi="Times New Roman" w:cs="Times New Roman"/>
          <w:color w:val="010302"/>
          <w:sz w:val="24"/>
          <w:szCs w:val="24"/>
        </w:rPr>
        <w:t xml:space="preserve"> considering appeals from the </w:t>
      </w:r>
      <w:r w:rsidR="004C1872">
        <w:rPr>
          <w:rFonts w:ascii="Times New Roman" w:hAnsi="Times New Roman" w:cs="Times New Roman"/>
          <w:color w:val="010302"/>
          <w:sz w:val="24"/>
          <w:szCs w:val="24"/>
        </w:rPr>
        <w:t>employment tribunal,</w:t>
      </w:r>
      <w:r>
        <w:rPr>
          <w:rFonts w:ascii="Times New Roman" w:hAnsi="Times New Roman" w:cs="Times New Roman"/>
          <w:color w:val="010302"/>
          <w:sz w:val="24"/>
          <w:szCs w:val="24"/>
        </w:rPr>
        <w:t xml:space="preserve"> at paragraphs 57 to 58.  </w:t>
      </w:r>
      <w:r w:rsidR="00120227">
        <w:rPr>
          <w:rFonts w:ascii="Times New Roman" w:hAnsi="Times New Roman" w:cs="Times New Roman"/>
          <w:color w:val="010302"/>
          <w:sz w:val="24"/>
          <w:szCs w:val="24"/>
        </w:rPr>
        <w:t>I have considered the guidance given and have had in mind the importance of not adopting an excessively fastidious approach to considering decision</w:t>
      </w:r>
      <w:r w:rsidR="002A32FD">
        <w:rPr>
          <w:rFonts w:ascii="Times New Roman" w:hAnsi="Times New Roman" w:cs="Times New Roman"/>
          <w:color w:val="010302"/>
          <w:sz w:val="24"/>
          <w:szCs w:val="24"/>
        </w:rPr>
        <w:t>s</w:t>
      </w:r>
      <w:r w:rsidR="00120227">
        <w:rPr>
          <w:rFonts w:ascii="Times New Roman" w:hAnsi="Times New Roman" w:cs="Times New Roman"/>
          <w:color w:val="010302"/>
          <w:sz w:val="24"/>
          <w:szCs w:val="24"/>
        </w:rPr>
        <w:t xml:space="preserve"> of the employment tribunal.</w:t>
      </w:r>
    </w:p>
    <w:p w14:paraId="437570D6" w14:textId="77777777" w:rsidR="004C1872" w:rsidRDefault="004C1872"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38DC649F" w14:textId="044F8182" w:rsidR="001D464F" w:rsidRDefault="00B336D5"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The respondent denied that there had been any harassment. </w:t>
      </w:r>
      <w:r w:rsidR="001D464F">
        <w:rPr>
          <w:rFonts w:ascii="Times New Roman" w:hAnsi="Times New Roman" w:cs="Times New Roman"/>
          <w:color w:val="010302"/>
          <w:sz w:val="24"/>
          <w:szCs w:val="24"/>
        </w:rPr>
        <w:t xml:space="preserve">In the bundle </w:t>
      </w:r>
      <w:r w:rsidR="004C1872">
        <w:rPr>
          <w:rFonts w:ascii="Times New Roman" w:hAnsi="Times New Roman" w:cs="Times New Roman"/>
          <w:color w:val="010302"/>
          <w:sz w:val="24"/>
          <w:szCs w:val="24"/>
        </w:rPr>
        <w:t>for the ap</w:t>
      </w:r>
      <w:r w:rsidR="00C10FA2">
        <w:rPr>
          <w:rFonts w:ascii="Times New Roman" w:hAnsi="Times New Roman" w:cs="Times New Roman"/>
          <w:color w:val="010302"/>
          <w:sz w:val="24"/>
          <w:szCs w:val="24"/>
        </w:rPr>
        <w:t>p</w:t>
      </w:r>
      <w:r w:rsidR="004C1872">
        <w:rPr>
          <w:rFonts w:ascii="Times New Roman" w:hAnsi="Times New Roman" w:cs="Times New Roman"/>
          <w:color w:val="010302"/>
          <w:sz w:val="24"/>
          <w:szCs w:val="24"/>
        </w:rPr>
        <w:t>eal</w:t>
      </w:r>
      <w:r w:rsidR="001D464F">
        <w:rPr>
          <w:rFonts w:ascii="Times New Roman" w:hAnsi="Times New Roman" w:cs="Times New Roman"/>
          <w:color w:val="010302"/>
          <w:sz w:val="24"/>
          <w:szCs w:val="24"/>
        </w:rPr>
        <w:t xml:space="preserve"> I had an extract from the respondent's written closing submission </w:t>
      </w:r>
      <w:r w:rsidR="00120227">
        <w:rPr>
          <w:rFonts w:ascii="Times New Roman" w:hAnsi="Times New Roman" w:cs="Times New Roman"/>
          <w:color w:val="010302"/>
          <w:sz w:val="24"/>
          <w:szCs w:val="24"/>
        </w:rPr>
        <w:t xml:space="preserve">in </w:t>
      </w:r>
      <w:r w:rsidR="001D464F">
        <w:rPr>
          <w:rFonts w:ascii="Times New Roman" w:hAnsi="Times New Roman" w:cs="Times New Roman"/>
          <w:color w:val="010302"/>
          <w:sz w:val="24"/>
          <w:szCs w:val="24"/>
        </w:rPr>
        <w:t xml:space="preserve">the </w:t>
      </w:r>
      <w:r w:rsidR="004B6451">
        <w:rPr>
          <w:rFonts w:ascii="Times New Roman" w:hAnsi="Times New Roman" w:cs="Times New Roman"/>
          <w:color w:val="010302"/>
          <w:sz w:val="24"/>
          <w:szCs w:val="24"/>
        </w:rPr>
        <w:t>employment tribunal</w:t>
      </w:r>
      <w:r w:rsidR="001D464F">
        <w:rPr>
          <w:rFonts w:ascii="Times New Roman" w:hAnsi="Times New Roman" w:cs="Times New Roman"/>
          <w:color w:val="010302"/>
          <w:sz w:val="24"/>
          <w:szCs w:val="24"/>
        </w:rPr>
        <w:t xml:space="preserve">.  </w:t>
      </w:r>
      <w:r w:rsidR="004B6451">
        <w:rPr>
          <w:rFonts w:ascii="Times New Roman" w:hAnsi="Times New Roman" w:cs="Times New Roman"/>
          <w:color w:val="010302"/>
          <w:sz w:val="24"/>
          <w:szCs w:val="24"/>
        </w:rPr>
        <w:t xml:space="preserve">The respondent dealt with the time issue in respect of the </w:t>
      </w:r>
      <w:r>
        <w:rPr>
          <w:rFonts w:ascii="Times New Roman" w:hAnsi="Times New Roman" w:cs="Times New Roman"/>
          <w:color w:val="010302"/>
          <w:sz w:val="24"/>
          <w:szCs w:val="24"/>
        </w:rPr>
        <w:t xml:space="preserve">alleged harassment by the </w:t>
      </w:r>
      <w:r w:rsidR="004B6451">
        <w:rPr>
          <w:rFonts w:ascii="Times New Roman" w:hAnsi="Times New Roman" w:cs="Times New Roman"/>
          <w:color w:val="010302"/>
          <w:sz w:val="24"/>
          <w:szCs w:val="24"/>
        </w:rPr>
        <w:t>claimant being compelled to complete an ill-health retirement application</w:t>
      </w:r>
      <w:r w:rsidR="004B6451" w:rsidDel="004B6451">
        <w:rPr>
          <w:rFonts w:ascii="Times New Roman" w:hAnsi="Times New Roman" w:cs="Times New Roman"/>
          <w:color w:val="010302"/>
          <w:sz w:val="24"/>
          <w:szCs w:val="24"/>
        </w:rPr>
        <w:t xml:space="preserve"> </w:t>
      </w:r>
      <w:r w:rsidR="001D464F">
        <w:rPr>
          <w:rFonts w:ascii="Times New Roman" w:hAnsi="Times New Roman" w:cs="Times New Roman"/>
          <w:color w:val="010302"/>
          <w:sz w:val="24"/>
          <w:szCs w:val="24"/>
        </w:rPr>
        <w:t>at paragraphs 15 and 16:</w:t>
      </w:r>
    </w:p>
    <w:p w14:paraId="09DD7004" w14:textId="77777777" w:rsidR="00E97FD4" w:rsidRDefault="00E97FD4"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4D2DA929" w14:textId="395301A8" w:rsidR="00E97FD4" w:rsidRDefault="00E97FD4" w:rsidP="00F52C9F">
      <w:pPr>
        <w:pStyle w:val="ListParagraph"/>
        <w:tabs>
          <w:tab w:val="left" w:pos="142"/>
        </w:tabs>
        <w:ind w:left="1418"/>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“15. C’s second complaint (being compelled to complete an ill-health retirement (</w:t>
      </w:r>
      <w:r w:rsidRPr="00F52C9F">
        <w:rPr>
          <w:rFonts w:ascii="Times New Roman" w:hAnsi="Times New Roman" w:cs="Times New Roman"/>
          <w:b/>
          <w:bCs/>
          <w:color w:val="010302"/>
          <w:sz w:val="24"/>
          <w:szCs w:val="24"/>
          <w:u w:val="single"/>
        </w:rPr>
        <w:t>IHR</w:t>
      </w:r>
      <w:r>
        <w:rPr>
          <w:rFonts w:ascii="Times New Roman" w:hAnsi="Times New Roman" w:cs="Times New Roman"/>
          <w:color w:val="010302"/>
          <w:sz w:val="24"/>
          <w:szCs w:val="24"/>
        </w:rPr>
        <w:t>) application) is also out of time. It is clear that C’s attitude towards being asked to complete an IHR application change over time, from (i) an initial period in 2012 and part of 2013 when C was opposed to making an IHR application, to (ii) to a later period starting no later than early September 2013 when C accepted (following advice he trusted) that it was in his own interests to “</w:t>
      </w:r>
      <w:r w:rsidRPr="00F52C9F">
        <w:rPr>
          <w:rFonts w:ascii="Times New Roman" w:hAnsi="Times New Roman" w:cs="Times New Roman"/>
          <w:i/>
          <w:iCs/>
          <w:color w:val="010302"/>
          <w:sz w:val="24"/>
          <w:szCs w:val="24"/>
        </w:rPr>
        <w:t>hedge his bets</w:t>
      </w:r>
      <w:r>
        <w:rPr>
          <w:rFonts w:ascii="Times New Roman" w:hAnsi="Times New Roman" w:cs="Times New Roman"/>
          <w:color w:val="010302"/>
          <w:sz w:val="24"/>
          <w:szCs w:val="24"/>
        </w:rPr>
        <w:t xml:space="preserve">” and complete the IHR forms). Since harassment relates only to unwanted conduct, C’s complaint here can only relate to the earlier period, which since it predates 20 September 2013 means it is out of time. </w:t>
      </w:r>
    </w:p>
    <w:p w14:paraId="4FA5D9ED" w14:textId="28A635F0" w:rsidR="00E97FD4" w:rsidRDefault="00E97FD4" w:rsidP="00F52C9F">
      <w:pPr>
        <w:pStyle w:val="ListParagraph"/>
        <w:tabs>
          <w:tab w:val="left" w:pos="142"/>
        </w:tabs>
        <w:ind w:left="1418"/>
        <w:contextualSpacing/>
        <w:jc w:val="both"/>
        <w:rPr>
          <w:rFonts w:ascii="Times New Roman" w:hAnsi="Times New Roman" w:cs="Times New Roman"/>
          <w:color w:val="010302"/>
          <w:sz w:val="24"/>
          <w:szCs w:val="24"/>
        </w:rPr>
      </w:pPr>
    </w:p>
    <w:p w14:paraId="0B6FEDB1" w14:textId="2A043FF2" w:rsidR="00E97FD4" w:rsidRDefault="00E97FD4" w:rsidP="00F52C9F">
      <w:pPr>
        <w:pStyle w:val="ListParagraph"/>
        <w:tabs>
          <w:tab w:val="left" w:pos="142"/>
        </w:tabs>
        <w:ind w:left="1418"/>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16. </w:t>
      </w:r>
      <w:r w:rsidR="00137B65">
        <w:rPr>
          <w:rFonts w:ascii="Times New Roman" w:hAnsi="Times New Roman" w:cs="Times New Roman"/>
          <w:color w:val="010302"/>
          <w:sz w:val="24"/>
          <w:szCs w:val="24"/>
        </w:rPr>
        <w:t>It is not just and equitable for the ET to extend time in relation to either of these two complaints.</w:t>
      </w:r>
    </w:p>
    <w:p w14:paraId="5F1AF742" w14:textId="77777777" w:rsidR="00E54936" w:rsidRDefault="00E54936" w:rsidP="001D464F">
      <w:pPr>
        <w:pStyle w:val="ListParagraph"/>
        <w:tabs>
          <w:tab w:val="left" w:pos="1418"/>
        </w:tabs>
        <w:spacing w:line="480" w:lineRule="auto"/>
        <w:ind w:left="1418"/>
        <w:contextualSpacing/>
        <w:jc w:val="both"/>
        <w:rPr>
          <w:rFonts w:ascii="Times New Roman" w:hAnsi="Times New Roman" w:cs="Times New Roman"/>
          <w:caps/>
          <w:color w:val="FF0000"/>
          <w:sz w:val="24"/>
          <w:szCs w:val="24"/>
        </w:rPr>
      </w:pPr>
    </w:p>
    <w:p w14:paraId="5DA79DC6" w14:textId="2060AEE3" w:rsidR="001D464F" w:rsidRPr="00C818F1" w:rsidRDefault="001D464F" w:rsidP="001D464F">
      <w:pPr>
        <w:tabs>
          <w:tab w:val="left" w:pos="1418"/>
        </w:tabs>
        <w:spacing w:line="480" w:lineRule="auto"/>
        <w:contextualSpacing/>
        <w:jc w:val="both"/>
        <w:rPr>
          <w:rFonts w:ascii="Times New Roman" w:hAnsi="Times New Roman" w:cs="Times New Roman"/>
          <w:b/>
          <w:bCs/>
          <w:sz w:val="24"/>
          <w:szCs w:val="24"/>
        </w:rPr>
      </w:pPr>
      <w:r w:rsidRPr="00C818F1">
        <w:rPr>
          <w:rFonts w:ascii="Times New Roman" w:hAnsi="Times New Roman" w:cs="Times New Roman"/>
          <w:b/>
          <w:bCs/>
          <w:sz w:val="24"/>
          <w:szCs w:val="24"/>
        </w:rPr>
        <w:t xml:space="preserve">The determination </w:t>
      </w:r>
      <w:r w:rsidR="00E54936">
        <w:rPr>
          <w:rFonts w:ascii="Times New Roman" w:hAnsi="Times New Roman" w:cs="Times New Roman"/>
          <w:b/>
          <w:bCs/>
          <w:sz w:val="24"/>
          <w:szCs w:val="24"/>
        </w:rPr>
        <w:t xml:space="preserve">of </w:t>
      </w:r>
      <w:r w:rsidRPr="00C818F1">
        <w:rPr>
          <w:rFonts w:ascii="Times New Roman" w:hAnsi="Times New Roman" w:cs="Times New Roman"/>
          <w:b/>
          <w:bCs/>
          <w:sz w:val="24"/>
          <w:szCs w:val="24"/>
        </w:rPr>
        <w:t xml:space="preserve">the tribunal </w:t>
      </w:r>
    </w:p>
    <w:p w14:paraId="019EF407" w14:textId="1B0EB3A4" w:rsidR="006F52C7" w:rsidRPr="00E54936" w:rsidRDefault="00E54936" w:rsidP="00F52C9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T</w:t>
      </w:r>
      <w:r w:rsidR="001D464F" w:rsidRPr="00C818F1">
        <w:rPr>
          <w:rFonts w:ascii="Times New Roman" w:hAnsi="Times New Roman" w:cs="Times New Roman"/>
          <w:color w:val="010302"/>
          <w:sz w:val="24"/>
          <w:szCs w:val="24"/>
        </w:rPr>
        <w:t xml:space="preserve">he tribunal directed itself to section 123 of the </w:t>
      </w:r>
      <w:r w:rsidR="001D464F" w:rsidRPr="00F52C9F">
        <w:rPr>
          <w:rFonts w:ascii="Times New Roman" w:hAnsi="Times New Roman" w:cs="Times New Roman"/>
          <w:b/>
          <w:bCs/>
          <w:color w:val="010302"/>
          <w:sz w:val="24"/>
          <w:szCs w:val="24"/>
        </w:rPr>
        <w:t>Equality Act</w:t>
      </w:r>
      <w:r w:rsidR="001D464F">
        <w:rPr>
          <w:rFonts w:ascii="Times New Roman" w:hAnsi="Times New Roman" w:cs="Times New Roman"/>
          <w:color w:val="010302"/>
          <w:sz w:val="24"/>
          <w:szCs w:val="24"/>
        </w:rPr>
        <w:t xml:space="preserve">, and at paragraph 3.22 briefly </w:t>
      </w:r>
      <w:r>
        <w:rPr>
          <w:rFonts w:ascii="Times New Roman" w:hAnsi="Times New Roman" w:cs="Times New Roman"/>
          <w:color w:val="010302"/>
          <w:sz w:val="24"/>
          <w:szCs w:val="24"/>
        </w:rPr>
        <w:t xml:space="preserve">to </w:t>
      </w:r>
      <w:r w:rsidR="001D464F">
        <w:rPr>
          <w:rFonts w:ascii="Times New Roman" w:hAnsi="Times New Roman" w:cs="Times New Roman"/>
          <w:color w:val="010302"/>
          <w:sz w:val="24"/>
          <w:szCs w:val="24"/>
        </w:rPr>
        <w:t>what it described as acts extending over a period</w:t>
      </w:r>
      <w:r w:rsidR="001B2384">
        <w:rPr>
          <w:rFonts w:ascii="Times New Roman" w:hAnsi="Times New Roman" w:cs="Times New Roman"/>
          <w:color w:val="010302"/>
          <w:sz w:val="24"/>
          <w:szCs w:val="24"/>
        </w:rPr>
        <w:t xml:space="preserve"> (strictly speaking </w:t>
      </w:r>
      <w:r w:rsidR="001B2384" w:rsidRPr="001B2384">
        <w:rPr>
          <w:rFonts w:ascii="Times New Roman" w:hAnsi="Times New Roman" w:cs="Times New Roman"/>
          <w:color w:val="010302"/>
          <w:sz w:val="24"/>
          <w:szCs w:val="24"/>
        </w:rPr>
        <w:t>conduct extending over a period</w:t>
      </w:r>
      <w:r w:rsidR="001B2384">
        <w:rPr>
          <w:rFonts w:ascii="Times New Roman" w:hAnsi="Times New Roman" w:cs="Times New Roman"/>
          <w:color w:val="010302"/>
          <w:sz w:val="24"/>
          <w:szCs w:val="24"/>
        </w:rPr>
        <w:t>)</w:t>
      </w:r>
      <w:r w:rsidR="001D464F">
        <w:rPr>
          <w:rFonts w:ascii="Times New Roman" w:hAnsi="Times New Roman" w:cs="Times New Roman"/>
          <w:color w:val="010302"/>
          <w:sz w:val="24"/>
          <w:szCs w:val="24"/>
        </w:rPr>
        <w:t>:</w:t>
      </w:r>
    </w:p>
    <w:p w14:paraId="3E8166DF" w14:textId="28E32916" w:rsidR="00745256" w:rsidRDefault="00745256">
      <w:pPr>
        <w:pStyle w:val="ListParagraph"/>
        <w:tabs>
          <w:tab w:val="left" w:pos="142"/>
        </w:tabs>
        <w:ind w:left="1134"/>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3.2</w:t>
      </w:r>
      <w:r w:rsidR="001B2384">
        <w:rPr>
          <w:rFonts w:ascii="Times New Roman" w:hAnsi="Times New Roman" w:cs="Times New Roman"/>
          <w:color w:val="010302"/>
          <w:sz w:val="24"/>
          <w:szCs w:val="24"/>
        </w:rPr>
        <w:t>2</w:t>
      </w:r>
      <w:r>
        <w:rPr>
          <w:rFonts w:ascii="Times New Roman" w:hAnsi="Times New Roman" w:cs="Times New Roman"/>
          <w:color w:val="010302"/>
          <w:sz w:val="24"/>
          <w:szCs w:val="24"/>
        </w:rPr>
        <w:t xml:space="preserve">. The question of acts “extending over a period” has been considered in a number of cases notably </w:t>
      </w:r>
      <w:r w:rsidRPr="00F52C9F">
        <w:rPr>
          <w:rFonts w:ascii="Times New Roman" w:hAnsi="Times New Roman" w:cs="Times New Roman"/>
          <w:color w:val="010302"/>
          <w:sz w:val="24"/>
          <w:szCs w:val="24"/>
          <w:u w:val="single"/>
        </w:rPr>
        <w:t>Cast-v-Croydon College 1998</w:t>
      </w:r>
      <w:r>
        <w:rPr>
          <w:rFonts w:ascii="Times New Roman" w:hAnsi="Times New Roman" w:cs="Times New Roman"/>
          <w:color w:val="010302"/>
          <w:sz w:val="24"/>
          <w:szCs w:val="24"/>
        </w:rPr>
        <w:t xml:space="preserve"> IRLR 318 and </w:t>
      </w:r>
      <w:r w:rsidRPr="00F52C9F">
        <w:rPr>
          <w:rFonts w:ascii="Times New Roman" w:hAnsi="Times New Roman" w:cs="Times New Roman"/>
          <w:color w:val="010302"/>
          <w:sz w:val="24"/>
          <w:szCs w:val="24"/>
          <w:u w:val="single"/>
        </w:rPr>
        <w:t>Hendricks-v-Commissioner of Police for the Metropolis</w:t>
      </w:r>
      <w:r w:rsidRPr="00B336D5">
        <w:rPr>
          <w:rFonts w:ascii="Times New Roman" w:hAnsi="Times New Roman" w:cs="Times New Roman"/>
          <w:color w:val="010302"/>
          <w:sz w:val="24"/>
          <w:szCs w:val="24"/>
        </w:rPr>
        <w:t xml:space="preserve"> 2003</w:t>
      </w:r>
      <w:r>
        <w:rPr>
          <w:rFonts w:ascii="Times New Roman" w:hAnsi="Times New Roman" w:cs="Times New Roman"/>
          <w:color w:val="010302"/>
          <w:sz w:val="24"/>
          <w:szCs w:val="24"/>
        </w:rPr>
        <w:t xml:space="preserve"> IRLR 96. Acts with only </w:t>
      </w:r>
      <w:r w:rsidR="001559D4">
        <w:rPr>
          <w:rFonts w:ascii="Times New Roman" w:hAnsi="Times New Roman" w:cs="Times New Roman"/>
          <w:color w:val="010302"/>
          <w:sz w:val="24"/>
          <w:szCs w:val="24"/>
        </w:rPr>
        <w:t>continuing</w:t>
      </w:r>
      <w:r>
        <w:rPr>
          <w:rFonts w:ascii="Times New Roman" w:hAnsi="Times New Roman" w:cs="Times New Roman"/>
          <w:color w:val="010302"/>
          <w:sz w:val="24"/>
          <w:szCs w:val="24"/>
        </w:rPr>
        <w:t xml:space="preserve"> consequences or a succession of is</w:t>
      </w:r>
      <w:r w:rsidR="006F52C7">
        <w:rPr>
          <w:rFonts w:ascii="Times New Roman" w:hAnsi="Times New Roman" w:cs="Times New Roman"/>
          <w:color w:val="010302"/>
          <w:sz w:val="24"/>
          <w:szCs w:val="24"/>
        </w:rPr>
        <w:t>olated unconnected acts are not an act extending over a period.”</w:t>
      </w:r>
    </w:p>
    <w:p w14:paraId="00E6E7F1" w14:textId="44EF0E4B"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The tribunal's determination in respect of the harassment claim subject of this appeal was at paragraphs 4.7 through to 4.12 of the judgment:</w:t>
      </w:r>
    </w:p>
    <w:p w14:paraId="7C34A4AE" w14:textId="31B231AF" w:rsidR="00A560C1" w:rsidRDefault="00A560C1" w:rsidP="00F52C9F">
      <w:pPr>
        <w:tabs>
          <w:tab w:val="left" w:pos="142"/>
        </w:tabs>
        <w:ind w:left="1134"/>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w:t>
      </w:r>
      <w:r w:rsidR="005A1517">
        <w:rPr>
          <w:rFonts w:ascii="Times New Roman" w:hAnsi="Times New Roman" w:cs="Times New Roman"/>
          <w:color w:val="010302"/>
          <w:sz w:val="24"/>
          <w:szCs w:val="24"/>
        </w:rPr>
        <w:t>4.7</w:t>
      </w:r>
      <w:r w:rsidR="00720505">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 Working in a prison like Frankland is a demanding job for which an officer must be of sufficiently good physical and mental health not to be absent frequently or for long. It appears Governors at all levels at Frankland do whatever is necessary to run the prison well, which is laudable. The HR officers, particularly Ms Liddell, appear to aim to deliver whatever the Governors want and CM’s and SO’s obey orders and follow policy. If an officer says he cannot cope for mental health reasons, some think he must be making an excuse, whilst others think if he is genuine, he is of no use to the prison service. Either way, the claimant was pushed down the IHR option which clearly “relates to” disability as anyone who satisfy the eligibility criteria for IHR would, </w:t>
      </w:r>
      <w:r w:rsidR="005A1517">
        <w:rPr>
          <w:rFonts w:ascii="Times New Roman" w:hAnsi="Times New Roman" w:cs="Times New Roman"/>
          <w:color w:val="010302"/>
          <w:sz w:val="24"/>
          <w:szCs w:val="24"/>
        </w:rPr>
        <w:t xml:space="preserve">having regard to such cases as </w:t>
      </w:r>
      <w:r w:rsidR="005A1517" w:rsidRPr="00F52C9F">
        <w:rPr>
          <w:rFonts w:ascii="Times New Roman" w:hAnsi="Times New Roman" w:cs="Times New Roman"/>
          <w:color w:val="010302"/>
          <w:sz w:val="24"/>
          <w:szCs w:val="24"/>
          <w:u w:val="single"/>
        </w:rPr>
        <w:t>SCA Packaging -v- Boyle</w:t>
      </w:r>
      <w:r w:rsidR="005A1517" w:rsidRPr="00346910">
        <w:rPr>
          <w:rFonts w:ascii="Times New Roman" w:hAnsi="Times New Roman" w:cs="Times New Roman"/>
          <w:color w:val="010302"/>
          <w:sz w:val="24"/>
          <w:szCs w:val="24"/>
        </w:rPr>
        <w:t xml:space="preserve"> 2009 </w:t>
      </w:r>
      <w:r w:rsidR="005A1517">
        <w:rPr>
          <w:rFonts w:ascii="Times New Roman" w:hAnsi="Times New Roman" w:cs="Times New Roman"/>
          <w:color w:val="010302"/>
          <w:sz w:val="24"/>
          <w:szCs w:val="24"/>
        </w:rPr>
        <w:t xml:space="preserve">ICR 1056 </w:t>
      </w:r>
      <w:r w:rsidR="005A1517" w:rsidRPr="00F52C9F">
        <w:rPr>
          <w:rFonts w:ascii="Times New Roman" w:hAnsi="Times New Roman" w:cs="Times New Roman"/>
          <w:color w:val="010302"/>
          <w:sz w:val="24"/>
          <w:szCs w:val="24"/>
          <w:u w:val="single"/>
        </w:rPr>
        <w:t>and Banaszczyk v Booker Ltd</w:t>
      </w:r>
      <w:r w:rsidR="005A1517" w:rsidRPr="00346910">
        <w:rPr>
          <w:rFonts w:ascii="Times New Roman" w:hAnsi="Times New Roman" w:cs="Times New Roman"/>
          <w:color w:val="010302"/>
          <w:sz w:val="24"/>
          <w:szCs w:val="24"/>
        </w:rPr>
        <w:t xml:space="preserve"> 2016</w:t>
      </w:r>
      <w:r w:rsidR="005A1517">
        <w:rPr>
          <w:rFonts w:ascii="Times New Roman" w:hAnsi="Times New Roman" w:cs="Times New Roman"/>
          <w:color w:val="010302"/>
          <w:sz w:val="24"/>
          <w:szCs w:val="24"/>
        </w:rPr>
        <w:t xml:space="preserve"> IRLR 273 be a disabled person. </w:t>
      </w:r>
    </w:p>
    <w:p w14:paraId="76B98160" w14:textId="45A54134" w:rsidR="005A1517" w:rsidRDefault="005A1517" w:rsidP="00F52C9F">
      <w:pPr>
        <w:tabs>
          <w:tab w:val="left" w:pos="142"/>
        </w:tabs>
        <w:ind w:left="1134"/>
        <w:contextualSpacing/>
        <w:jc w:val="both"/>
        <w:rPr>
          <w:rFonts w:ascii="Times New Roman" w:hAnsi="Times New Roman" w:cs="Times New Roman"/>
          <w:color w:val="010302"/>
          <w:sz w:val="24"/>
          <w:szCs w:val="24"/>
        </w:rPr>
      </w:pPr>
    </w:p>
    <w:p w14:paraId="6FC32F25" w14:textId="5A39F851" w:rsidR="005A1517" w:rsidRDefault="005A1517" w:rsidP="00F52C9F">
      <w:pPr>
        <w:tabs>
          <w:tab w:val="left" w:pos="142"/>
        </w:tabs>
        <w:ind w:left="1134"/>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4.8 The Disability advisor, Ms Butler, was viewed as only useful to advise on aids an adaption for physical impairments. Managers at all levels show no sign of having absorbed any training of equality, if any, they may have received. In many respects information was not shared when it should have been hence SO Nutton did not know the claimant was not attending his capability hearing for medical reasons. The SLE application was a fiasco. </w:t>
      </w:r>
    </w:p>
    <w:p w14:paraId="7CF8224D" w14:textId="5648CCDF" w:rsidR="005A1517" w:rsidRDefault="005A1517" w:rsidP="00F52C9F">
      <w:pPr>
        <w:tabs>
          <w:tab w:val="left" w:pos="142"/>
        </w:tabs>
        <w:ind w:left="1134"/>
        <w:contextualSpacing/>
        <w:jc w:val="both"/>
        <w:rPr>
          <w:rFonts w:ascii="Times New Roman" w:hAnsi="Times New Roman" w:cs="Times New Roman"/>
          <w:color w:val="010302"/>
          <w:sz w:val="24"/>
          <w:szCs w:val="24"/>
        </w:rPr>
      </w:pPr>
    </w:p>
    <w:p w14:paraId="41E86C3D" w14:textId="6764DB64" w:rsidR="005A1517" w:rsidRDefault="005A1517" w:rsidP="00F52C9F">
      <w:pPr>
        <w:tabs>
          <w:tab w:val="left" w:pos="142"/>
        </w:tabs>
        <w:ind w:left="1134"/>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4.9 Society </w:t>
      </w:r>
      <w:r w:rsidR="00E74225">
        <w:rPr>
          <w:rFonts w:ascii="Times New Roman" w:hAnsi="Times New Roman" w:cs="Times New Roman"/>
          <w:color w:val="010302"/>
          <w:sz w:val="24"/>
          <w:szCs w:val="24"/>
        </w:rPr>
        <w:t>expects</w:t>
      </w:r>
      <w:r>
        <w:rPr>
          <w:rFonts w:ascii="Times New Roman" w:hAnsi="Times New Roman" w:cs="Times New Roman"/>
          <w:color w:val="010302"/>
          <w:sz w:val="24"/>
          <w:szCs w:val="24"/>
        </w:rPr>
        <w:t xml:space="preserve"> prison offers, like members of its armed forces, the police and other emergency services, to put themselves at risk. If they are injured in the line of duty that they are permanently </w:t>
      </w:r>
      <w:r w:rsidR="00E74225">
        <w:rPr>
          <w:rFonts w:ascii="Times New Roman" w:hAnsi="Times New Roman" w:cs="Times New Roman"/>
          <w:color w:val="010302"/>
          <w:sz w:val="24"/>
          <w:szCs w:val="24"/>
        </w:rPr>
        <w:t>incapable</w:t>
      </w:r>
      <w:r>
        <w:rPr>
          <w:rFonts w:ascii="Times New Roman" w:hAnsi="Times New Roman" w:cs="Times New Roman"/>
          <w:color w:val="010302"/>
          <w:sz w:val="24"/>
          <w:szCs w:val="24"/>
        </w:rPr>
        <w:t xml:space="preserve"> of work they may qualify for IHR. The fact the claimant was alter given IHR and his civil case for compensation has been settled </w:t>
      </w:r>
      <w:r w:rsidR="009E79D9">
        <w:rPr>
          <w:rFonts w:ascii="Times New Roman" w:hAnsi="Times New Roman" w:cs="Times New Roman"/>
          <w:color w:val="010302"/>
          <w:sz w:val="24"/>
          <w:szCs w:val="24"/>
        </w:rPr>
        <w:t>d</w:t>
      </w:r>
      <w:r>
        <w:rPr>
          <w:rFonts w:ascii="Times New Roman" w:hAnsi="Times New Roman" w:cs="Times New Roman"/>
          <w:color w:val="010302"/>
          <w:sz w:val="24"/>
          <w:szCs w:val="24"/>
        </w:rPr>
        <w:t xml:space="preserve">oes not detract </w:t>
      </w:r>
      <w:r w:rsidR="00346910">
        <w:rPr>
          <w:rFonts w:ascii="Times New Roman" w:hAnsi="Times New Roman" w:cs="Times New Roman"/>
          <w:color w:val="010302"/>
          <w:sz w:val="24"/>
          <w:szCs w:val="24"/>
        </w:rPr>
        <w:t xml:space="preserve">from </w:t>
      </w:r>
      <w:r>
        <w:rPr>
          <w:rFonts w:ascii="Times New Roman" w:hAnsi="Times New Roman" w:cs="Times New Roman"/>
          <w:color w:val="010302"/>
          <w:sz w:val="24"/>
          <w:szCs w:val="24"/>
        </w:rPr>
        <w:t xml:space="preserve">the </w:t>
      </w:r>
      <w:r w:rsidR="009E79D9">
        <w:rPr>
          <w:rFonts w:ascii="Times New Roman" w:hAnsi="Times New Roman" w:cs="Times New Roman"/>
          <w:color w:val="010302"/>
          <w:sz w:val="24"/>
          <w:szCs w:val="24"/>
        </w:rPr>
        <w:t>harm</w:t>
      </w:r>
      <w:r>
        <w:rPr>
          <w:rFonts w:ascii="Times New Roman" w:hAnsi="Times New Roman" w:cs="Times New Roman"/>
          <w:color w:val="010302"/>
          <w:sz w:val="24"/>
          <w:szCs w:val="24"/>
        </w:rPr>
        <w:t xml:space="preserve"> done to him </w:t>
      </w:r>
      <w:r w:rsidR="009E79D9">
        <w:rPr>
          <w:rFonts w:ascii="Times New Roman" w:hAnsi="Times New Roman" w:cs="Times New Roman"/>
          <w:color w:val="010302"/>
          <w:sz w:val="24"/>
          <w:szCs w:val="24"/>
        </w:rPr>
        <w:t xml:space="preserve">by writing him off as a hopeless case for rehabilitation to some work long before he or any medical advisors were ready to do so. It is that which violated his dignity and created a hostile environment for him and it is entirely reasonable it would. The so called “eggshell skull rule” is relevant to reasonableness of effect, and will be to remedy. </w:t>
      </w:r>
    </w:p>
    <w:p w14:paraId="7D52F93B" w14:textId="73303AA6" w:rsidR="002C22EF" w:rsidRDefault="002C22EF" w:rsidP="00F52C9F">
      <w:pPr>
        <w:tabs>
          <w:tab w:val="left" w:pos="142"/>
        </w:tabs>
        <w:ind w:left="1134"/>
        <w:contextualSpacing/>
        <w:jc w:val="both"/>
        <w:rPr>
          <w:rFonts w:ascii="Times New Roman" w:hAnsi="Times New Roman" w:cs="Times New Roman"/>
          <w:color w:val="010302"/>
          <w:sz w:val="24"/>
          <w:szCs w:val="24"/>
        </w:rPr>
      </w:pPr>
    </w:p>
    <w:p w14:paraId="1C46FA01" w14:textId="1C28CD3C" w:rsidR="002C22EF" w:rsidRDefault="00C2544C" w:rsidP="00F52C9F">
      <w:pPr>
        <w:tabs>
          <w:tab w:val="left" w:pos="142"/>
        </w:tabs>
        <w:ind w:left="1134"/>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4.10. Mr Tinnion argues the claimant’s attitude to being asked to complete an IHR application changed over time, form (i) an initial period in 2012 and part of 2013 when he was opposed to making one, (ii) a period starting </w:t>
      </w:r>
      <w:r w:rsidRPr="00F52C9F">
        <w:rPr>
          <w:rFonts w:ascii="Times New Roman" w:hAnsi="Times New Roman" w:cs="Times New Roman"/>
          <w:b/>
          <w:bCs/>
          <w:color w:val="010302"/>
          <w:sz w:val="24"/>
          <w:szCs w:val="24"/>
        </w:rPr>
        <w:t xml:space="preserve">no later than early September 2013 </w:t>
      </w:r>
      <w:r>
        <w:rPr>
          <w:rFonts w:ascii="Times New Roman" w:hAnsi="Times New Roman" w:cs="Times New Roman"/>
          <w:color w:val="010302"/>
          <w:sz w:val="24"/>
          <w:szCs w:val="24"/>
        </w:rPr>
        <w:t xml:space="preserve">when he accepted (following advice he trusted) it was in his own interests to do so. Since harassment relates only to unwanted conduct, Mr Tinnion says the only acts complained of can be in the earlier period, which since it predates 20 September 2013 means it is out of time.  Ingenious though this argument is, we are not </w:t>
      </w:r>
      <w:r w:rsidR="000E3D98">
        <w:rPr>
          <w:rFonts w:ascii="Times New Roman" w:hAnsi="Times New Roman" w:cs="Times New Roman"/>
          <w:color w:val="010302"/>
          <w:sz w:val="24"/>
          <w:szCs w:val="24"/>
        </w:rPr>
        <w:t>convince</w:t>
      </w:r>
      <w:r>
        <w:rPr>
          <w:rFonts w:ascii="Times New Roman" w:hAnsi="Times New Roman" w:cs="Times New Roman"/>
          <w:color w:val="010302"/>
          <w:sz w:val="24"/>
          <w:szCs w:val="24"/>
        </w:rPr>
        <w:t xml:space="preserve">d acceptance of his union’s advice makes the conduct “wanted” but even if this claim is out of time, it is only by a few weeks at most. </w:t>
      </w:r>
    </w:p>
    <w:p w14:paraId="40246BE1" w14:textId="504B72AD" w:rsidR="00C2544C" w:rsidRDefault="00C2544C" w:rsidP="00F52C9F">
      <w:pPr>
        <w:tabs>
          <w:tab w:val="left" w:pos="142"/>
        </w:tabs>
        <w:ind w:left="1134"/>
        <w:contextualSpacing/>
        <w:jc w:val="both"/>
        <w:rPr>
          <w:rFonts w:ascii="Times New Roman" w:hAnsi="Times New Roman" w:cs="Times New Roman"/>
          <w:color w:val="010302"/>
          <w:sz w:val="24"/>
          <w:szCs w:val="24"/>
        </w:rPr>
      </w:pPr>
    </w:p>
    <w:p w14:paraId="797B2BD0" w14:textId="4D8E5832" w:rsidR="00C2544C" w:rsidRDefault="00C2544C" w:rsidP="00F52C9F">
      <w:pPr>
        <w:tabs>
          <w:tab w:val="left" w:pos="142"/>
        </w:tabs>
        <w:ind w:left="1134"/>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4.11. He adds it </w:t>
      </w:r>
      <w:r w:rsidR="000E3D98">
        <w:rPr>
          <w:rFonts w:ascii="Times New Roman" w:hAnsi="Times New Roman" w:cs="Times New Roman"/>
          <w:color w:val="010302"/>
          <w:sz w:val="24"/>
          <w:szCs w:val="24"/>
        </w:rPr>
        <w:t>is</w:t>
      </w:r>
      <w:r>
        <w:rPr>
          <w:rFonts w:ascii="Times New Roman" w:hAnsi="Times New Roman" w:cs="Times New Roman"/>
          <w:color w:val="010302"/>
          <w:sz w:val="24"/>
          <w:szCs w:val="24"/>
        </w:rPr>
        <w:t xml:space="preserve"> not just and equitable to extend time because (a) the </w:t>
      </w:r>
      <w:r w:rsidR="000E3D98">
        <w:rPr>
          <w:rFonts w:ascii="Times New Roman" w:hAnsi="Times New Roman" w:cs="Times New Roman"/>
          <w:color w:val="010302"/>
          <w:sz w:val="24"/>
          <w:szCs w:val="24"/>
        </w:rPr>
        <w:t>claimant</w:t>
      </w:r>
      <w:r>
        <w:rPr>
          <w:rFonts w:ascii="Times New Roman" w:hAnsi="Times New Roman" w:cs="Times New Roman"/>
          <w:color w:val="010302"/>
          <w:sz w:val="24"/>
          <w:szCs w:val="24"/>
        </w:rPr>
        <w:t xml:space="preserve"> had the benefit of trade union advice throughout the time he </w:t>
      </w:r>
      <w:r w:rsidR="00CD57AA">
        <w:rPr>
          <w:rFonts w:ascii="Times New Roman" w:hAnsi="Times New Roman" w:cs="Times New Roman"/>
          <w:color w:val="010302"/>
          <w:sz w:val="24"/>
          <w:szCs w:val="24"/>
        </w:rPr>
        <w:t>w</w:t>
      </w:r>
      <w:r>
        <w:rPr>
          <w:rFonts w:ascii="Times New Roman" w:hAnsi="Times New Roman" w:cs="Times New Roman"/>
          <w:color w:val="010302"/>
          <w:sz w:val="24"/>
          <w:szCs w:val="24"/>
        </w:rPr>
        <w:t xml:space="preserve">as trying to </w:t>
      </w:r>
      <w:r w:rsidR="000E3D98">
        <w:rPr>
          <w:rFonts w:ascii="Times New Roman" w:hAnsi="Times New Roman" w:cs="Times New Roman"/>
          <w:color w:val="010302"/>
          <w:sz w:val="24"/>
          <w:szCs w:val="24"/>
        </w:rPr>
        <w:t>reach a</w:t>
      </w:r>
      <w:r>
        <w:rPr>
          <w:rFonts w:ascii="Times New Roman" w:hAnsi="Times New Roman" w:cs="Times New Roman"/>
          <w:color w:val="010302"/>
          <w:sz w:val="24"/>
          <w:szCs w:val="24"/>
        </w:rPr>
        <w:t xml:space="preserve">  solution before issuing proceedings (b) it is necessary his witness statement should put forward grounds for us to extend time because the burden rests on him to show it is just to extend time, not on </w:t>
      </w:r>
      <w:r w:rsidR="009051C3">
        <w:rPr>
          <w:rFonts w:ascii="Times New Roman" w:hAnsi="Times New Roman" w:cs="Times New Roman"/>
          <w:color w:val="010302"/>
          <w:sz w:val="24"/>
          <w:szCs w:val="24"/>
        </w:rPr>
        <w:t xml:space="preserve">respondent to show it is not, and (c) there is prejudice to the respondent in having to answer in February 2020 complaints about matters which occurred in 2012 and 2013. </w:t>
      </w:r>
    </w:p>
    <w:p w14:paraId="41F19AA7" w14:textId="6CC6E204" w:rsidR="009051C3" w:rsidRDefault="009051C3" w:rsidP="00F52C9F">
      <w:pPr>
        <w:tabs>
          <w:tab w:val="left" w:pos="142"/>
        </w:tabs>
        <w:ind w:left="1134"/>
        <w:contextualSpacing/>
        <w:jc w:val="both"/>
        <w:rPr>
          <w:rFonts w:ascii="Times New Roman" w:hAnsi="Times New Roman" w:cs="Times New Roman"/>
          <w:color w:val="010302"/>
          <w:sz w:val="24"/>
          <w:szCs w:val="24"/>
        </w:rPr>
      </w:pPr>
    </w:p>
    <w:p w14:paraId="24D9B322" w14:textId="2C677A9A" w:rsidR="009051C3" w:rsidRDefault="009051C3">
      <w:pPr>
        <w:tabs>
          <w:tab w:val="left" w:pos="142"/>
        </w:tabs>
        <w:ind w:left="1134"/>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4.12. We reject these submissions. On point (a), for m</w:t>
      </w:r>
      <w:r w:rsidR="000E3D98">
        <w:rPr>
          <w:rFonts w:ascii="Times New Roman" w:hAnsi="Times New Roman" w:cs="Times New Roman"/>
          <w:color w:val="010302"/>
          <w:sz w:val="24"/>
          <w:szCs w:val="24"/>
        </w:rPr>
        <w:t>a</w:t>
      </w:r>
      <w:r>
        <w:rPr>
          <w:rFonts w:ascii="Times New Roman" w:hAnsi="Times New Roman" w:cs="Times New Roman"/>
          <w:color w:val="010302"/>
          <w:sz w:val="24"/>
          <w:szCs w:val="24"/>
        </w:rPr>
        <w:t xml:space="preserve">ny years, Parliament has tried various means to ensure before employees rush to a Tribunal, they try to resolve problems internally. That is what the claimant and Mr Redford were doing. The claimant was in no fit mental state to be making fine decisions on when to issue and even if, which we do not accept, Mr Redford </w:t>
      </w:r>
      <w:r w:rsidR="003E5340">
        <w:rPr>
          <w:rFonts w:ascii="Times New Roman" w:hAnsi="Times New Roman" w:cs="Times New Roman"/>
          <w:color w:val="010302"/>
          <w:sz w:val="24"/>
          <w:szCs w:val="24"/>
        </w:rPr>
        <w:t>should have pressed hi</w:t>
      </w:r>
      <w:r w:rsidR="00CD57AA">
        <w:rPr>
          <w:rFonts w:ascii="Times New Roman" w:hAnsi="Times New Roman" w:cs="Times New Roman"/>
          <w:color w:val="010302"/>
          <w:sz w:val="24"/>
          <w:szCs w:val="24"/>
        </w:rPr>
        <w:t>m</w:t>
      </w:r>
      <w:r w:rsidR="003E5340">
        <w:rPr>
          <w:rFonts w:ascii="Times New Roman" w:hAnsi="Times New Roman" w:cs="Times New Roman"/>
          <w:color w:val="010302"/>
          <w:sz w:val="24"/>
          <w:szCs w:val="24"/>
        </w:rPr>
        <w:t xml:space="preserve"> to, applying </w:t>
      </w:r>
      <w:r w:rsidR="003E5340" w:rsidRPr="00F52C9F">
        <w:rPr>
          <w:rFonts w:ascii="Times New Roman" w:hAnsi="Times New Roman" w:cs="Times New Roman"/>
          <w:color w:val="010302"/>
          <w:sz w:val="24"/>
          <w:szCs w:val="24"/>
          <w:u w:val="single"/>
        </w:rPr>
        <w:t>Chohan v Derby Law Centre</w:t>
      </w:r>
      <w:r w:rsidR="003E5340">
        <w:rPr>
          <w:rFonts w:ascii="Times New Roman" w:hAnsi="Times New Roman" w:cs="Times New Roman"/>
          <w:color w:val="010302"/>
          <w:sz w:val="24"/>
          <w:szCs w:val="24"/>
        </w:rPr>
        <w:t xml:space="preserve"> we are not willing to say there were</w:t>
      </w:r>
      <w:r w:rsidR="00B95D8E">
        <w:rPr>
          <w:rFonts w:ascii="Times New Roman" w:hAnsi="Times New Roman" w:cs="Times New Roman"/>
          <w:color w:val="010302"/>
          <w:sz w:val="24"/>
          <w:szCs w:val="24"/>
        </w:rPr>
        <w:t xml:space="preserve"> not good reasons for any delay. If we do not exercise the discretion, patience before brining proceedings to allow the respondent the opportunity to remedy the situation would result in a decision that great wrong </w:t>
      </w:r>
      <w:r w:rsidR="00CD57AA">
        <w:rPr>
          <w:rFonts w:ascii="Times New Roman" w:hAnsi="Times New Roman" w:cs="Times New Roman"/>
          <w:color w:val="010302"/>
          <w:sz w:val="24"/>
          <w:szCs w:val="24"/>
        </w:rPr>
        <w:t>w</w:t>
      </w:r>
      <w:r w:rsidR="00B95D8E">
        <w:rPr>
          <w:rFonts w:ascii="Times New Roman" w:hAnsi="Times New Roman" w:cs="Times New Roman"/>
          <w:color w:val="010302"/>
          <w:sz w:val="24"/>
          <w:szCs w:val="24"/>
        </w:rPr>
        <w:t xml:space="preserve">as done to a claimant but he </w:t>
      </w:r>
      <w:r w:rsidR="00F06997">
        <w:rPr>
          <w:rFonts w:ascii="Times New Roman" w:hAnsi="Times New Roman" w:cs="Times New Roman"/>
          <w:color w:val="010302"/>
          <w:sz w:val="24"/>
          <w:szCs w:val="24"/>
        </w:rPr>
        <w:t>c</w:t>
      </w:r>
      <w:r w:rsidR="00B95D8E">
        <w:rPr>
          <w:rFonts w:ascii="Times New Roman" w:hAnsi="Times New Roman" w:cs="Times New Roman"/>
          <w:color w:val="010302"/>
          <w:sz w:val="24"/>
          <w:szCs w:val="24"/>
        </w:rPr>
        <w:t xml:space="preserve">an have no remedy because he waited too long. That is not just or equitable. On point (b) the discretion is for us to exercise and our decision may be made based on </w:t>
      </w:r>
      <w:r w:rsidR="000E3D98">
        <w:rPr>
          <w:rFonts w:ascii="Times New Roman" w:hAnsi="Times New Roman" w:cs="Times New Roman"/>
          <w:color w:val="010302"/>
          <w:sz w:val="24"/>
          <w:szCs w:val="24"/>
        </w:rPr>
        <w:t>the</w:t>
      </w:r>
      <w:r w:rsidR="00B95D8E">
        <w:rPr>
          <w:rFonts w:ascii="Times New Roman" w:hAnsi="Times New Roman" w:cs="Times New Roman"/>
          <w:color w:val="010302"/>
          <w:sz w:val="24"/>
          <w:szCs w:val="24"/>
        </w:rPr>
        <w:t xml:space="preserve"> facts we have found and submissions without the point being in a witness statement. On point (c) it is the short delay in bringing the claim to which we must have regard not the delay in it being brought to trial</w:t>
      </w:r>
      <w:r w:rsidR="000E3D98">
        <w:rPr>
          <w:rFonts w:ascii="Times New Roman" w:hAnsi="Times New Roman" w:cs="Times New Roman"/>
          <w:color w:val="010302"/>
          <w:sz w:val="24"/>
          <w:szCs w:val="24"/>
        </w:rPr>
        <w:t xml:space="preserve"> which is the fault of neither party. This case passes all the tests in </w:t>
      </w:r>
      <w:r w:rsidR="000E3D98" w:rsidRPr="00F52C9F">
        <w:rPr>
          <w:rFonts w:ascii="Times New Roman" w:hAnsi="Times New Roman" w:cs="Times New Roman"/>
          <w:color w:val="010302"/>
          <w:sz w:val="24"/>
          <w:szCs w:val="24"/>
          <w:u w:val="single"/>
        </w:rPr>
        <w:t>Keeble</w:t>
      </w:r>
      <w:r w:rsidR="000E3D98">
        <w:rPr>
          <w:rFonts w:ascii="Times New Roman" w:hAnsi="Times New Roman" w:cs="Times New Roman"/>
          <w:color w:val="010302"/>
          <w:sz w:val="24"/>
          <w:szCs w:val="24"/>
        </w:rPr>
        <w:t xml:space="preserve"> for extending time.”</w:t>
      </w:r>
    </w:p>
    <w:p w14:paraId="27261EF2" w14:textId="7C7DFAFC" w:rsidR="001559D4" w:rsidRDefault="001559D4">
      <w:pPr>
        <w:tabs>
          <w:tab w:val="left" w:pos="142"/>
        </w:tabs>
        <w:ind w:left="1134"/>
        <w:contextualSpacing/>
        <w:jc w:val="both"/>
        <w:rPr>
          <w:rFonts w:ascii="Times New Roman" w:hAnsi="Times New Roman" w:cs="Times New Roman"/>
          <w:color w:val="010302"/>
          <w:sz w:val="24"/>
          <w:szCs w:val="24"/>
        </w:rPr>
      </w:pPr>
    </w:p>
    <w:p w14:paraId="41D42826" w14:textId="205526D5"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It appears that the tribunal took its lead from the respondent's written closing submission in focusing on any conduct on the part of the respondent having ceased to be unwanted </w:t>
      </w:r>
      <w:r w:rsidR="00F06997">
        <w:rPr>
          <w:rFonts w:ascii="Times New Roman" w:hAnsi="Times New Roman" w:cs="Times New Roman"/>
          <w:color w:val="010302"/>
          <w:sz w:val="24"/>
          <w:szCs w:val="24"/>
        </w:rPr>
        <w:t xml:space="preserve">by </w:t>
      </w:r>
      <w:r>
        <w:rPr>
          <w:rFonts w:ascii="Times New Roman" w:hAnsi="Times New Roman" w:cs="Times New Roman"/>
          <w:color w:val="010302"/>
          <w:sz w:val="24"/>
          <w:szCs w:val="24"/>
        </w:rPr>
        <w:t xml:space="preserve">no later than early September 2013.  However, </w:t>
      </w:r>
      <w:r w:rsidR="00F06997">
        <w:rPr>
          <w:rFonts w:ascii="Times New Roman" w:hAnsi="Times New Roman" w:cs="Times New Roman"/>
          <w:color w:val="010302"/>
          <w:sz w:val="24"/>
          <w:szCs w:val="24"/>
        </w:rPr>
        <w:t xml:space="preserve">the respondent also denied that there had been any harassment. </w:t>
      </w:r>
      <w:r>
        <w:rPr>
          <w:rFonts w:ascii="Times New Roman" w:hAnsi="Times New Roman" w:cs="Times New Roman"/>
          <w:color w:val="010302"/>
          <w:sz w:val="24"/>
          <w:szCs w:val="24"/>
        </w:rPr>
        <w:t xml:space="preserve">I consider it was incumbent upon the tribunal to identify the </w:t>
      </w:r>
      <w:r w:rsidR="00F06997">
        <w:rPr>
          <w:rFonts w:ascii="Times New Roman" w:hAnsi="Times New Roman" w:cs="Times New Roman"/>
          <w:color w:val="010302"/>
          <w:sz w:val="24"/>
          <w:szCs w:val="24"/>
        </w:rPr>
        <w:t xml:space="preserve">specific </w:t>
      </w:r>
      <w:r>
        <w:rPr>
          <w:rFonts w:ascii="Times New Roman" w:hAnsi="Times New Roman" w:cs="Times New Roman"/>
          <w:color w:val="010302"/>
          <w:sz w:val="24"/>
          <w:szCs w:val="24"/>
        </w:rPr>
        <w:t xml:space="preserve">conduct on the part of the respondent </w:t>
      </w:r>
      <w:r w:rsidR="00F06997">
        <w:rPr>
          <w:rFonts w:ascii="Times New Roman" w:hAnsi="Times New Roman" w:cs="Times New Roman"/>
          <w:color w:val="010302"/>
          <w:sz w:val="24"/>
          <w:szCs w:val="24"/>
        </w:rPr>
        <w:t xml:space="preserve">that </w:t>
      </w:r>
      <w:r>
        <w:rPr>
          <w:rFonts w:ascii="Times New Roman" w:hAnsi="Times New Roman" w:cs="Times New Roman"/>
          <w:color w:val="010302"/>
          <w:sz w:val="24"/>
          <w:szCs w:val="24"/>
        </w:rPr>
        <w:t xml:space="preserve">constituted harassment and, if it was more than the original pressure to submit an application for ill-health retirement, to set out what ongoing conduct </w:t>
      </w:r>
      <w:r w:rsidR="00F71E99">
        <w:rPr>
          <w:rFonts w:ascii="Times New Roman" w:hAnsi="Times New Roman" w:cs="Times New Roman"/>
          <w:color w:val="010302"/>
          <w:sz w:val="24"/>
          <w:szCs w:val="24"/>
        </w:rPr>
        <w:t>occurred</w:t>
      </w:r>
      <w:r w:rsidR="00E57589">
        <w:rPr>
          <w:rFonts w:ascii="Times New Roman" w:hAnsi="Times New Roman" w:cs="Times New Roman"/>
          <w:color w:val="010302"/>
          <w:sz w:val="24"/>
          <w:szCs w:val="24"/>
        </w:rPr>
        <w:t>,</w:t>
      </w:r>
      <w:r>
        <w:rPr>
          <w:rFonts w:ascii="Times New Roman" w:hAnsi="Times New Roman" w:cs="Times New Roman"/>
          <w:color w:val="010302"/>
          <w:sz w:val="24"/>
          <w:szCs w:val="24"/>
        </w:rPr>
        <w:t xml:space="preserve"> and when that conduct came to an end.  I consider that the </w:t>
      </w:r>
      <w:r w:rsidR="002E62B1">
        <w:rPr>
          <w:rFonts w:ascii="Times New Roman" w:hAnsi="Times New Roman" w:cs="Times New Roman"/>
          <w:color w:val="010302"/>
          <w:sz w:val="24"/>
          <w:szCs w:val="24"/>
        </w:rPr>
        <w:t xml:space="preserve">employment tribunal </w:t>
      </w:r>
      <w:r>
        <w:rPr>
          <w:rFonts w:ascii="Times New Roman" w:hAnsi="Times New Roman" w:cs="Times New Roman"/>
          <w:color w:val="010302"/>
          <w:sz w:val="24"/>
          <w:szCs w:val="24"/>
        </w:rPr>
        <w:t xml:space="preserve">failed to make the fundamental findings that were necessary to consider the extent to which the claim was </w:t>
      </w:r>
      <w:r w:rsidR="002E62B1">
        <w:rPr>
          <w:rFonts w:ascii="Times New Roman" w:hAnsi="Times New Roman" w:cs="Times New Roman"/>
          <w:color w:val="010302"/>
          <w:sz w:val="24"/>
          <w:szCs w:val="24"/>
        </w:rPr>
        <w:t>submitted after the primary three month time limit</w:t>
      </w:r>
      <w:r>
        <w:rPr>
          <w:rFonts w:ascii="Times New Roman" w:hAnsi="Times New Roman" w:cs="Times New Roman"/>
          <w:color w:val="010302"/>
          <w:sz w:val="24"/>
          <w:szCs w:val="24"/>
        </w:rPr>
        <w:t xml:space="preserve">, which was a necessary component of going on to consider whether it would be just and equitable to </w:t>
      </w:r>
      <w:r w:rsidR="002E62B1">
        <w:rPr>
          <w:rFonts w:ascii="Times New Roman" w:hAnsi="Times New Roman" w:cs="Times New Roman"/>
          <w:color w:val="010302"/>
          <w:sz w:val="24"/>
          <w:szCs w:val="24"/>
        </w:rPr>
        <w:t>apply a longer time limit</w:t>
      </w:r>
      <w:r>
        <w:rPr>
          <w:rFonts w:ascii="Times New Roman" w:hAnsi="Times New Roman" w:cs="Times New Roman"/>
          <w:color w:val="010302"/>
          <w:sz w:val="24"/>
          <w:szCs w:val="24"/>
        </w:rPr>
        <w:t xml:space="preserve">.  </w:t>
      </w:r>
    </w:p>
    <w:p w14:paraId="4EFE1B3D" w14:textId="77777777" w:rsidR="00E57589" w:rsidRDefault="00E57589"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03150320" w14:textId="0723E9DD"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I also consider that at paragraph 4.12 in the last two sentences, the tribunal directed itself that it was only the period by which the complaint was </w:t>
      </w:r>
      <w:r w:rsidR="002E62B1">
        <w:rPr>
          <w:rFonts w:ascii="Times New Roman" w:hAnsi="Times New Roman" w:cs="Times New Roman"/>
          <w:color w:val="010302"/>
          <w:sz w:val="24"/>
          <w:szCs w:val="24"/>
        </w:rPr>
        <w:t xml:space="preserve">originally submitted </w:t>
      </w:r>
      <w:r>
        <w:rPr>
          <w:rFonts w:ascii="Times New Roman" w:hAnsi="Times New Roman" w:cs="Times New Roman"/>
          <w:color w:val="010302"/>
          <w:sz w:val="24"/>
          <w:szCs w:val="24"/>
        </w:rPr>
        <w:t xml:space="preserve">out of time that was legally relevant.  It is clear from the decision in </w:t>
      </w:r>
      <w:r w:rsidRPr="00FB1DB1">
        <w:rPr>
          <w:rFonts w:ascii="Times New Roman" w:hAnsi="Times New Roman" w:cs="Times New Roman"/>
          <w:b/>
          <w:bCs/>
          <w:color w:val="010302"/>
          <w:sz w:val="24"/>
          <w:szCs w:val="24"/>
        </w:rPr>
        <w:t>Adedeji</w:t>
      </w:r>
      <w:r>
        <w:rPr>
          <w:rFonts w:ascii="Times New Roman" w:hAnsi="Times New Roman" w:cs="Times New Roman"/>
          <w:i/>
          <w:iCs/>
          <w:color w:val="010302"/>
          <w:sz w:val="24"/>
          <w:szCs w:val="24"/>
        </w:rPr>
        <w:t xml:space="preserve"> </w:t>
      </w:r>
      <w:r>
        <w:rPr>
          <w:rFonts w:ascii="Times New Roman" w:hAnsi="Times New Roman" w:cs="Times New Roman"/>
          <w:color w:val="010302"/>
          <w:sz w:val="24"/>
          <w:szCs w:val="24"/>
        </w:rPr>
        <w:t xml:space="preserve">that in considering whether to exercise the broad discretion to extend time it </w:t>
      </w:r>
      <w:r w:rsidR="002E62B1">
        <w:rPr>
          <w:rFonts w:ascii="Times New Roman" w:hAnsi="Times New Roman" w:cs="Times New Roman"/>
          <w:color w:val="010302"/>
          <w:sz w:val="24"/>
          <w:szCs w:val="24"/>
        </w:rPr>
        <w:t>is</w:t>
      </w:r>
      <w:r>
        <w:rPr>
          <w:rFonts w:ascii="Times New Roman" w:hAnsi="Times New Roman" w:cs="Times New Roman"/>
          <w:color w:val="010302"/>
          <w:sz w:val="24"/>
          <w:szCs w:val="24"/>
        </w:rPr>
        <w:t xml:space="preserve"> relevant for the tribunal to consider the consequences for the respondent of granting an extension, even if it is of a relatively brief period, including whether it will require the tribunal to make determinations</w:t>
      </w:r>
      <w:r w:rsidR="00F71E99">
        <w:rPr>
          <w:rFonts w:ascii="Times New Roman" w:hAnsi="Times New Roman" w:cs="Times New Roman"/>
          <w:color w:val="010302"/>
          <w:sz w:val="24"/>
          <w:szCs w:val="24"/>
        </w:rPr>
        <w:t xml:space="preserve">, for whatever reason, </w:t>
      </w:r>
      <w:r>
        <w:rPr>
          <w:rFonts w:ascii="Times New Roman" w:hAnsi="Times New Roman" w:cs="Times New Roman"/>
          <w:color w:val="010302"/>
          <w:sz w:val="24"/>
          <w:szCs w:val="24"/>
        </w:rPr>
        <w:t>about matters which</w:t>
      </w:r>
      <w:r w:rsidR="00F71E99">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occurred long </w:t>
      </w:r>
      <w:r w:rsidR="0010492C">
        <w:rPr>
          <w:rFonts w:ascii="Times New Roman" w:hAnsi="Times New Roman" w:cs="Times New Roman"/>
          <w:color w:val="010302"/>
          <w:sz w:val="24"/>
          <w:szCs w:val="24"/>
        </w:rPr>
        <w:t>before the hearing</w:t>
      </w:r>
      <w:r>
        <w:rPr>
          <w:rFonts w:ascii="Times New Roman" w:hAnsi="Times New Roman" w:cs="Times New Roman"/>
          <w:color w:val="010302"/>
          <w:sz w:val="24"/>
          <w:szCs w:val="24"/>
        </w:rPr>
        <w:t xml:space="preserve">.  Accordingly, while it was correct that it was neither of the parties' fault that there had been considerable delay whilst the personal injury proceedings had been dealt with, allowing an extension of time, even of a relatively brief period, would result in the tribunal having to make determinations on matters that had happened many years ago.  That was a factor that the tribunal </w:t>
      </w:r>
      <w:r w:rsidR="00AE658D">
        <w:rPr>
          <w:rFonts w:ascii="Times New Roman" w:hAnsi="Times New Roman" w:cs="Times New Roman"/>
          <w:color w:val="010302"/>
          <w:sz w:val="24"/>
          <w:szCs w:val="24"/>
        </w:rPr>
        <w:t xml:space="preserve">was required to </w:t>
      </w:r>
      <w:r>
        <w:rPr>
          <w:rFonts w:ascii="Times New Roman" w:hAnsi="Times New Roman" w:cs="Times New Roman"/>
          <w:color w:val="010302"/>
          <w:sz w:val="24"/>
          <w:szCs w:val="24"/>
        </w:rPr>
        <w:t xml:space="preserve"> consider.  </w:t>
      </w:r>
    </w:p>
    <w:p w14:paraId="25BA0586" w14:textId="77777777" w:rsidR="00AE658D" w:rsidRDefault="00AE658D"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58259F2A" w14:textId="17B46903" w:rsidR="001D464F" w:rsidRDefault="006B2CE1"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The employment tribunal concluded that</w:t>
      </w:r>
      <w:r w:rsidR="001D464F">
        <w:rPr>
          <w:rFonts w:ascii="Times New Roman" w:hAnsi="Times New Roman" w:cs="Times New Roman"/>
          <w:color w:val="010302"/>
          <w:sz w:val="24"/>
          <w:szCs w:val="24"/>
        </w:rPr>
        <w:t xml:space="preserve"> </w:t>
      </w:r>
      <w:r w:rsidR="00AE658D">
        <w:rPr>
          <w:rFonts w:ascii="Times New Roman" w:hAnsi="Times New Roman" w:cs="Times New Roman"/>
          <w:color w:val="010302"/>
          <w:sz w:val="24"/>
          <w:szCs w:val="24"/>
        </w:rPr>
        <w:t>any delay was</w:t>
      </w:r>
      <w:r w:rsidR="001D464F">
        <w:rPr>
          <w:rFonts w:ascii="Times New Roman" w:hAnsi="Times New Roman" w:cs="Times New Roman"/>
          <w:color w:val="010302"/>
          <w:sz w:val="24"/>
          <w:szCs w:val="24"/>
        </w:rPr>
        <w:t xml:space="preserve"> for a relatively short period </w:t>
      </w:r>
      <w:r w:rsidR="00AE658D">
        <w:rPr>
          <w:rFonts w:ascii="Times New Roman" w:hAnsi="Times New Roman" w:cs="Times New Roman"/>
          <w:color w:val="010302"/>
          <w:sz w:val="24"/>
          <w:szCs w:val="24"/>
        </w:rPr>
        <w:t xml:space="preserve">of time </w:t>
      </w:r>
      <w:r>
        <w:rPr>
          <w:rFonts w:ascii="Times New Roman" w:hAnsi="Times New Roman" w:cs="Times New Roman"/>
          <w:color w:val="010302"/>
          <w:sz w:val="24"/>
          <w:szCs w:val="24"/>
        </w:rPr>
        <w:t xml:space="preserve">because it focused on any conduct </w:t>
      </w:r>
      <w:r w:rsidR="005A5D5E">
        <w:rPr>
          <w:rFonts w:ascii="Times New Roman" w:hAnsi="Times New Roman" w:cs="Times New Roman"/>
          <w:color w:val="010302"/>
          <w:sz w:val="24"/>
          <w:szCs w:val="24"/>
        </w:rPr>
        <w:t>having ceased</w:t>
      </w:r>
      <w:r>
        <w:rPr>
          <w:rFonts w:ascii="Times New Roman" w:hAnsi="Times New Roman" w:cs="Times New Roman"/>
          <w:color w:val="010302"/>
          <w:sz w:val="24"/>
          <w:szCs w:val="24"/>
        </w:rPr>
        <w:t xml:space="preserve"> to have been unwanted</w:t>
      </w:r>
      <w:r w:rsidDel="00AE658D">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by </w:t>
      </w:r>
      <w:r w:rsidR="001D464F">
        <w:rPr>
          <w:rFonts w:ascii="Times New Roman" w:hAnsi="Times New Roman" w:cs="Times New Roman"/>
          <w:color w:val="010302"/>
          <w:sz w:val="24"/>
          <w:szCs w:val="24"/>
        </w:rPr>
        <w:t xml:space="preserve">September 2013 .  </w:t>
      </w:r>
      <w:r w:rsidR="00416AFD">
        <w:rPr>
          <w:rFonts w:ascii="Times New Roman" w:hAnsi="Times New Roman" w:cs="Times New Roman"/>
          <w:color w:val="010302"/>
          <w:sz w:val="24"/>
          <w:szCs w:val="24"/>
        </w:rPr>
        <w:t>T</w:t>
      </w:r>
      <w:r w:rsidR="001D464F">
        <w:rPr>
          <w:rFonts w:ascii="Times New Roman" w:hAnsi="Times New Roman" w:cs="Times New Roman"/>
          <w:color w:val="010302"/>
          <w:sz w:val="24"/>
          <w:szCs w:val="24"/>
        </w:rPr>
        <w:t xml:space="preserve">he </w:t>
      </w:r>
      <w:r w:rsidR="00416AFD">
        <w:rPr>
          <w:rFonts w:ascii="Times New Roman" w:hAnsi="Times New Roman" w:cs="Times New Roman"/>
          <w:color w:val="010302"/>
          <w:sz w:val="24"/>
          <w:szCs w:val="24"/>
        </w:rPr>
        <w:t xml:space="preserve">employment tribunal </w:t>
      </w:r>
      <w:r w:rsidR="001D464F">
        <w:rPr>
          <w:rFonts w:ascii="Times New Roman" w:hAnsi="Times New Roman" w:cs="Times New Roman"/>
          <w:color w:val="010302"/>
          <w:sz w:val="24"/>
          <w:szCs w:val="24"/>
        </w:rPr>
        <w:t xml:space="preserve">will </w:t>
      </w:r>
      <w:r>
        <w:rPr>
          <w:rFonts w:ascii="Times New Roman" w:hAnsi="Times New Roman" w:cs="Times New Roman"/>
          <w:color w:val="010302"/>
          <w:sz w:val="24"/>
          <w:szCs w:val="24"/>
        </w:rPr>
        <w:t>have</w:t>
      </w:r>
      <w:r w:rsidR="001D464F">
        <w:rPr>
          <w:rFonts w:ascii="Times New Roman" w:hAnsi="Times New Roman" w:cs="Times New Roman"/>
          <w:color w:val="010302"/>
          <w:sz w:val="24"/>
          <w:szCs w:val="24"/>
        </w:rPr>
        <w:t xml:space="preserve"> to determine the date of any harassment and, if it is conduct continuing over a period, the </w:t>
      </w:r>
      <w:r w:rsidR="005A5D5E">
        <w:rPr>
          <w:rFonts w:ascii="Times New Roman" w:hAnsi="Times New Roman" w:cs="Times New Roman"/>
          <w:color w:val="010302"/>
          <w:sz w:val="24"/>
          <w:szCs w:val="24"/>
        </w:rPr>
        <w:t>precise nature</w:t>
      </w:r>
      <w:r w:rsidR="0010492C">
        <w:rPr>
          <w:rFonts w:ascii="Times New Roman" w:hAnsi="Times New Roman" w:cs="Times New Roman"/>
          <w:color w:val="010302"/>
          <w:sz w:val="24"/>
          <w:szCs w:val="24"/>
        </w:rPr>
        <w:t xml:space="preserve"> of the conduct that continue</w:t>
      </w:r>
      <w:r>
        <w:rPr>
          <w:rFonts w:ascii="Times New Roman" w:hAnsi="Times New Roman" w:cs="Times New Roman"/>
          <w:color w:val="010302"/>
          <w:sz w:val="24"/>
          <w:szCs w:val="24"/>
        </w:rPr>
        <w:t>d</w:t>
      </w:r>
      <w:r w:rsidR="0010492C">
        <w:rPr>
          <w:rFonts w:ascii="Times New Roman" w:hAnsi="Times New Roman" w:cs="Times New Roman"/>
          <w:color w:val="010302"/>
          <w:sz w:val="24"/>
          <w:szCs w:val="24"/>
        </w:rPr>
        <w:t xml:space="preserve">. </w:t>
      </w:r>
      <w:r w:rsidR="001D464F">
        <w:rPr>
          <w:rFonts w:ascii="Times New Roman" w:hAnsi="Times New Roman" w:cs="Times New Roman"/>
          <w:color w:val="010302"/>
          <w:sz w:val="24"/>
          <w:szCs w:val="24"/>
        </w:rPr>
        <w:t xml:space="preserve"> </w:t>
      </w:r>
      <w:r w:rsidR="0010492C">
        <w:rPr>
          <w:rFonts w:ascii="Times New Roman" w:hAnsi="Times New Roman" w:cs="Times New Roman"/>
          <w:color w:val="010302"/>
          <w:sz w:val="24"/>
          <w:szCs w:val="24"/>
        </w:rPr>
        <w:t>I</w:t>
      </w:r>
      <w:r w:rsidR="00416AFD">
        <w:rPr>
          <w:rFonts w:ascii="Times New Roman" w:hAnsi="Times New Roman" w:cs="Times New Roman"/>
          <w:color w:val="010302"/>
          <w:sz w:val="24"/>
          <w:szCs w:val="24"/>
        </w:rPr>
        <w:t>n addition</w:t>
      </w:r>
      <w:r>
        <w:rPr>
          <w:rFonts w:ascii="Times New Roman" w:hAnsi="Times New Roman" w:cs="Times New Roman"/>
          <w:color w:val="010302"/>
          <w:sz w:val="24"/>
          <w:szCs w:val="24"/>
        </w:rPr>
        <w:t>,</w:t>
      </w:r>
      <w:r w:rsidR="00416AFD">
        <w:rPr>
          <w:rFonts w:ascii="Times New Roman" w:hAnsi="Times New Roman" w:cs="Times New Roman"/>
          <w:color w:val="010302"/>
          <w:sz w:val="24"/>
          <w:szCs w:val="24"/>
        </w:rPr>
        <w:t xml:space="preserve"> </w:t>
      </w:r>
      <w:r w:rsidR="0010492C">
        <w:rPr>
          <w:rFonts w:ascii="Times New Roman" w:hAnsi="Times New Roman" w:cs="Times New Roman"/>
          <w:color w:val="010302"/>
          <w:sz w:val="24"/>
          <w:szCs w:val="24"/>
        </w:rPr>
        <w:t>the employment tribunal will have to determine</w:t>
      </w:r>
      <w:r w:rsidR="00416AFD">
        <w:rPr>
          <w:rFonts w:ascii="Times New Roman" w:hAnsi="Times New Roman" w:cs="Times New Roman"/>
          <w:color w:val="010302"/>
          <w:sz w:val="24"/>
          <w:szCs w:val="24"/>
        </w:rPr>
        <w:t xml:space="preserve"> the date by</w:t>
      </w:r>
      <w:r w:rsidR="001D464F">
        <w:rPr>
          <w:rFonts w:ascii="Times New Roman" w:hAnsi="Times New Roman" w:cs="Times New Roman"/>
          <w:color w:val="010302"/>
          <w:sz w:val="24"/>
          <w:szCs w:val="24"/>
        </w:rPr>
        <w:t xml:space="preserve"> which </w:t>
      </w:r>
      <w:r w:rsidR="00416AFD">
        <w:rPr>
          <w:rFonts w:ascii="Times New Roman" w:hAnsi="Times New Roman" w:cs="Times New Roman"/>
          <w:color w:val="010302"/>
          <w:sz w:val="24"/>
          <w:szCs w:val="24"/>
        </w:rPr>
        <w:t xml:space="preserve">the specific </w:t>
      </w:r>
      <w:r w:rsidR="001D464F">
        <w:rPr>
          <w:rFonts w:ascii="Times New Roman" w:hAnsi="Times New Roman" w:cs="Times New Roman"/>
          <w:color w:val="010302"/>
          <w:sz w:val="24"/>
          <w:szCs w:val="24"/>
        </w:rPr>
        <w:t xml:space="preserve">conduct </w:t>
      </w:r>
      <w:r>
        <w:rPr>
          <w:rFonts w:ascii="Times New Roman" w:hAnsi="Times New Roman" w:cs="Times New Roman"/>
          <w:color w:val="010302"/>
          <w:sz w:val="24"/>
          <w:szCs w:val="24"/>
        </w:rPr>
        <w:t>extending</w:t>
      </w:r>
      <w:r w:rsidR="00416AFD">
        <w:rPr>
          <w:rFonts w:ascii="Times New Roman" w:hAnsi="Times New Roman" w:cs="Times New Roman"/>
          <w:color w:val="010302"/>
          <w:sz w:val="24"/>
          <w:szCs w:val="24"/>
        </w:rPr>
        <w:t xml:space="preserve"> over a period ended and/or </w:t>
      </w:r>
      <w:r w:rsidR="001D464F">
        <w:rPr>
          <w:rFonts w:ascii="Times New Roman" w:hAnsi="Times New Roman" w:cs="Times New Roman"/>
          <w:color w:val="010302"/>
          <w:sz w:val="24"/>
          <w:szCs w:val="24"/>
        </w:rPr>
        <w:t xml:space="preserve">ceased be </w:t>
      </w:r>
      <w:r w:rsidR="00416AFD">
        <w:rPr>
          <w:rFonts w:ascii="Times New Roman" w:hAnsi="Times New Roman" w:cs="Times New Roman"/>
          <w:color w:val="010302"/>
          <w:sz w:val="24"/>
          <w:szCs w:val="24"/>
        </w:rPr>
        <w:t>unwanted</w:t>
      </w:r>
      <w:r w:rsidR="001D464F">
        <w:rPr>
          <w:rFonts w:ascii="Times New Roman" w:hAnsi="Times New Roman" w:cs="Times New Roman"/>
          <w:color w:val="010302"/>
          <w:sz w:val="24"/>
          <w:szCs w:val="24"/>
        </w:rPr>
        <w:t xml:space="preserve">.  </w:t>
      </w:r>
    </w:p>
    <w:p w14:paraId="270EDE45" w14:textId="77777777" w:rsidR="00095E38" w:rsidRDefault="00095E38"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36580579" w14:textId="2B5462B9"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Accordingly, the appeal is allowed on both grounds.  It will be remitted</w:t>
      </w:r>
      <w:r w:rsidR="00416AFD">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to be considered by the same </w:t>
      </w:r>
      <w:r w:rsidR="00416AFD">
        <w:rPr>
          <w:rFonts w:ascii="Times New Roman" w:hAnsi="Times New Roman" w:cs="Times New Roman"/>
          <w:color w:val="010302"/>
          <w:sz w:val="24"/>
          <w:szCs w:val="24"/>
        </w:rPr>
        <w:t xml:space="preserve">employment tribunal </w:t>
      </w:r>
      <w:r w:rsidR="005A5D5E">
        <w:rPr>
          <w:rFonts w:ascii="Times New Roman" w:hAnsi="Times New Roman" w:cs="Times New Roman"/>
          <w:color w:val="010302"/>
          <w:sz w:val="24"/>
          <w:szCs w:val="24"/>
        </w:rPr>
        <w:t>if possible</w:t>
      </w:r>
      <w:r>
        <w:rPr>
          <w:rFonts w:ascii="Times New Roman" w:hAnsi="Times New Roman" w:cs="Times New Roman"/>
          <w:color w:val="010302"/>
          <w:sz w:val="24"/>
          <w:szCs w:val="24"/>
        </w:rPr>
        <w:t xml:space="preserve">.  I </w:t>
      </w:r>
      <w:r w:rsidR="00762B27">
        <w:rPr>
          <w:rFonts w:ascii="Times New Roman" w:hAnsi="Times New Roman" w:cs="Times New Roman"/>
          <w:color w:val="010302"/>
          <w:sz w:val="24"/>
          <w:szCs w:val="24"/>
        </w:rPr>
        <w:t xml:space="preserve">was </w:t>
      </w:r>
      <w:r w:rsidR="005A5D5E">
        <w:rPr>
          <w:rFonts w:ascii="Times New Roman" w:hAnsi="Times New Roman" w:cs="Times New Roman"/>
          <w:color w:val="010302"/>
          <w:sz w:val="24"/>
          <w:szCs w:val="24"/>
        </w:rPr>
        <w:t>told that</w:t>
      </w:r>
      <w:r w:rsidR="00416AFD">
        <w:rPr>
          <w:rFonts w:ascii="Times New Roman" w:hAnsi="Times New Roman" w:cs="Times New Roman"/>
          <w:color w:val="010302"/>
          <w:sz w:val="24"/>
          <w:szCs w:val="24"/>
        </w:rPr>
        <w:t xml:space="preserve"> </w:t>
      </w:r>
      <w:r>
        <w:rPr>
          <w:rFonts w:ascii="Times New Roman" w:hAnsi="Times New Roman" w:cs="Times New Roman"/>
          <w:color w:val="010302"/>
          <w:sz w:val="24"/>
          <w:szCs w:val="24"/>
        </w:rPr>
        <w:t>Employment Judge Garnon has retired</w:t>
      </w:r>
      <w:r w:rsidR="00762B27">
        <w:rPr>
          <w:rFonts w:ascii="Times New Roman" w:hAnsi="Times New Roman" w:cs="Times New Roman"/>
          <w:color w:val="010302"/>
          <w:sz w:val="24"/>
          <w:szCs w:val="24"/>
        </w:rPr>
        <w:t>.</w:t>
      </w:r>
      <w:r>
        <w:rPr>
          <w:rFonts w:ascii="Times New Roman" w:hAnsi="Times New Roman" w:cs="Times New Roman"/>
          <w:color w:val="010302"/>
          <w:sz w:val="24"/>
          <w:szCs w:val="24"/>
        </w:rPr>
        <w:t xml:space="preserve"> </w:t>
      </w:r>
      <w:r w:rsidR="00762B27">
        <w:rPr>
          <w:rFonts w:ascii="Times New Roman" w:hAnsi="Times New Roman" w:cs="Times New Roman"/>
          <w:color w:val="010302"/>
          <w:sz w:val="24"/>
          <w:szCs w:val="24"/>
        </w:rPr>
        <w:t>C</w:t>
      </w:r>
      <w:r>
        <w:rPr>
          <w:rFonts w:ascii="Times New Roman" w:hAnsi="Times New Roman" w:cs="Times New Roman"/>
          <w:color w:val="010302"/>
          <w:sz w:val="24"/>
          <w:szCs w:val="24"/>
        </w:rPr>
        <w:t>ounsel were not aware whether he is continuing to sit after his retirement.  I consider it is appropriate to remit the matter to the same tribunal</w:t>
      </w:r>
      <w:r w:rsidR="00762B27">
        <w:rPr>
          <w:rFonts w:ascii="Times New Roman" w:hAnsi="Times New Roman" w:cs="Times New Roman"/>
          <w:color w:val="010302"/>
          <w:sz w:val="24"/>
          <w:szCs w:val="24"/>
        </w:rPr>
        <w:t xml:space="preserve"> if possible</w:t>
      </w:r>
      <w:r>
        <w:rPr>
          <w:rFonts w:ascii="Times New Roman" w:hAnsi="Times New Roman" w:cs="Times New Roman"/>
          <w:color w:val="010302"/>
          <w:sz w:val="24"/>
          <w:szCs w:val="24"/>
        </w:rPr>
        <w:t xml:space="preserve">, having regard to the principles in </w:t>
      </w:r>
      <w:r w:rsidRPr="00FB1DB1">
        <w:rPr>
          <w:rFonts w:ascii="Times New Roman" w:hAnsi="Times New Roman" w:cs="Times New Roman"/>
          <w:b/>
          <w:bCs/>
          <w:color w:val="010302"/>
          <w:sz w:val="24"/>
          <w:szCs w:val="24"/>
        </w:rPr>
        <w:t>Sinclair Roche and Temperley and Others v Heard and Another</w:t>
      </w:r>
      <w:r w:rsidRPr="00E6492A">
        <w:rPr>
          <w:rFonts w:ascii="Times New Roman" w:hAnsi="Times New Roman" w:cs="Times New Roman"/>
          <w:i/>
          <w:iCs/>
          <w:color w:val="010302"/>
          <w:sz w:val="24"/>
          <w:szCs w:val="24"/>
        </w:rPr>
        <w:t xml:space="preserve"> </w:t>
      </w:r>
      <w:r>
        <w:rPr>
          <w:rFonts w:ascii="Times New Roman" w:hAnsi="Times New Roman" w:cs="Times New Roman"/>
          <w:color w:val="010302"/>
          <w:sz w:val="24"/>
          <w:szCs w:val="24"/>
        </w:rPr>
        <w:t xml:space="preserve">[2004] IRLR 763.  I consider it is proportionate to do so.  The tribunal made detailed and careful findings of fact, the majority of which are not challenged.  Although there has been a significant passage of time, in the light of those detailed findings I consider that the </w:t>
      </w:r>
      <w:r w:rsidR="006B2CE1">
        <w:rPr>
          <w:rFonts w:ascii="Times New Roman" w:hAnsi="Times New Roman" w:cs="Times New Roman"/>
          <w:color w:val="010302"/>
          <w:sz w:val="24"/>
          <w:szCs w:val="24"/>
        </w:rPr>
        <w:t xml:space="preserve">original </w:t>
      </w:r>
      <w:r>
        <w:rPr>
          <w:rFonts w:ascii="Times New Roman" w:hAnsi="Times New Roman" w:cs="Times New Roman"/>
          <w:color w:val="010302"/>
          <w:sz w:val="24"/>
          <w:szCs w:val="24"/>
        </w:rPr>
        <w:t xml:space="preserve">tribunal would be well placed to make this determination.  </w:t>
      </w:r>
    </w:p>
    <w:p w14:paraId="68FE4B72" w14:textId="77777777" w:rsidR="00762B27" w:rsidRDefault="00762B27" w:rsidP="00F52C9F">
      <w:pPr>
        <w:pStyle w:val="ListParagraph"/>
        <w:tabs>
          <w:tab w:val="left" w:pos="0"/>
        </w:tabs>
        <w:spacing w:line="480" w:lineRule="auto"/>
        <w:contextualSpacing/>
        <w:jc w:val="both"/>
        <w:rPr>
          <w:rFonts w:ascii="Times New Roman" w:hAnsi="Times New Roman" w:cs="Times New Roman"/>
          <w:color w:val="010302"/>
          <w:sz w:val="24"/>
          <w:szCs w:val="24"/>
        </w:rPr>
      </w:pPr>
    </w:p>
    <w:p w14:paraId="69D6BD0F" w14:textId="53498F0D" w:rsidR="001D464F" w:rsidRDefault="001D464F" w:rsidP="001D46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To the extent that the tribunal has erred in law, that is in considerable part because of the way it was directed by the submissions of the respondent, which did not themselves focus on the key date of 20 February 2013, the date on which the application for ill-health retirement was submitted.  I do not consider that the respondent is right in suggesting the fact that the </w:t>
      </w:r>
      <w:r w:rsidR="00F71E99">
        <w:rPr>
          <w:rFonts w:ascii="Times New Roman" w:hAnsi="Times New Roman" w:cs="Times New Roman"/>
          <w:color w:val="010302"/>
          <w:sz w:val="24"/>
          <w:szCs w:val="24"/>
        </w:rPr>
        <w:t xml:space="preserve">employment tribunal </w:t>
      </w:r>
      <w:r>
        <w:rPr>
          <w:rFonts w:ascii="Times New Roman" w:hAnsi="Times New Roman" w:cs="Times New Roman"/>
          <w:color w:val="010302"/>
          <w:sz w:val="24"/>
          <w:szCs w:val="24"/>
        </w:rPr>
        <w:t xml:space="preserve">held for the claimant on this issue of harassment in robust terms means that there is a risk that the tribunal will be perceived to be having a second bite of the cherry.  I consider that the tribunal's professionalism can be relied upon </w:t>
      </w:r>
      <w:r w:rsidR="00B112A0">
        <w:rPr>
          <w:rFonts w:ascii="Times New Roman" w:hAnsi="Times New Roman" w:cs="Times New Roman"/>
          <w:color w:val="010302"/>
          <w:sz w:val="24"/>
          <w:szCs w:val="24"/>
        </w:rPr>
        <w:t xml:space="preserve">and that it will </w:t>
      </w:r>
      <w:r>
        <w:rPr>
          <w:rFonts w:ascii="Times New Roman" w:hAnsi="Times New Roman" w:cs="Times New Roman"/>
          <w:color w:val="010302"/>
          <w:sz w:val="24"/>
          <w:szCs w:val="24"/>
        </w:rPr>
        <w:t xml:space="preserve">consider with care precisely what conduct on the part of the respondent constituted harassment, if that was conduct extending over a period, the period over which it extended and whether it is just and equitable to </w:t>
      </w:r>
      <w:r w:rsidR="00B112A0">
        <w:rPr>
          <w:rFonts w:ascii="Times New Roman" w:hAnsi="Times New Roman" w:cs="Times New Roman"/>
          <w:color w:val="010302"/>
          <w:sz w:val="24"/>
          <w:szCs w:val="24"/>
        </w:rPr>
        <w:t xml:space="preserve">apply a </w:t>
      </w:r>
      <w:r>
        <w:rPr>
          <w:rFonts w:ascii="Times New Roman" w:hAnsi="Times New Roman" w:cs="Times New Roman"/>
          <w:color w:val="010302"/>
          <w:sz w:val="24"/>
          <w:szCs w:val="24"/>
        </w:rPr>
        <w:t>time</w:t>
      </w:r>
      <w:r w:rsidR="00B112A0">
        <w:rPr>
          <w:rFonts w:ascii="Times New Roman" w:hAnsi="Times New Roman" w:cs="Times New Roman"/>
          <w:color w:val="010302"/>
          <w:sz w:val="24"/>
          <w:szCs w:val="24"/>
        </w:rPr>
        <w:t xml:space="preserve"> limit in excess of 3 months</w:t>
      </w:r>
      <w:r>
        <w:rPr>
          <w:rFonts w:ascii="Times New Roman" w:hAnsi="Times New Roman" w:cs="Times New Roman"/>
          <w:color w:val="010302"/>
          <w:sz w:val="24"/>
          <w:szCs w:val="24"/>
        </w:rPr>
        <w:t>, having regard to all relevant circumstances</w:t>
      </w:r>
      <w:r w:rsidR="00762B27">
        <w:rPr>
          <w:rFonts w:ascii="Times New Roman" w:hAnsi="Times New Roman" w:cs="Times New Roman"/>
          <w:color w:val="010302"/>
          <w:sz w:val="24"/>
          <w:szCs w:val="24"/>
        </w:rPr>
        <w:t>,</w:t>
      </w:r>
      <w:r>
        <w:rPr>
          <w:rFonts w:ascii="Times New Roman" w:hAnsi="Times New Roman" w:cs="Times New Roman"/>
          <w:color w:val="010302"/>
          <w:sz w:val="24"/>
          <w:szCs w:val="24"/>
        </w:rPr>
        <w:t xml:space="preserve"> including t</w:t>
      </w:r>
      <w:r w:rsidR="00762B27">
        <w:rPr>
          <w:rFonts w:ascii="Times New Roman" w:hAnsi="Times New Roman" w:cs="Times New Roman"/>
          <w:color w:val="010302"/>
          <w:sz w:val="24"/>
          <w:szCs w:val="24"/>
        </w:rPr>
        <w:t xml:space="preserve">hat </w:t>
      </w:r>
      <w:r>
        <w:rPr>
          <w:rFonts w:ascii="Times New Roman" w:hAnsi="Times New Roman" w:cs="Times New Roman"/>
          <w:color w:val="010302"/>
          <w:sz w:val="24"/>
          <w:szCs w:val="24"/>
        </w:rPr>
        <w:t xml:space="preserve">an extension of time </w:t>
      </w:r>
      <w:r w:rsidR="00762B27">
        <w:rPr>
          <w:rFonts w:ascii="Times New Roman" w:hAnsi="Times New Roman" w:cs="Times New Roman"/>
          <w:color w:val="010302"/>
          <w:sz w:val="24"/>
          <w:szCs w:val="24"/>
        </w:rPr>
        <w:t xml:space="preserve">would require consideration of </w:t>
      </w:r>
      <w:r>
        <w:rPr>
          <w:rFonts w:ascii="Times New Roman" w:hAnsi="Times New Roman" w:cs="Times New Roman"/>
          <w:color w:val="010302"/>
          <w:sz w:val="24"/>
          <w:szCs w:val="24"/>
        </w:rPr>
        <w:t xml:space="preserve">matters that had happened many years ago.  </w:t>
      </w:r>
    </w:p>
    <w:p w14:paraId="745E1A47" w14:textId="6E1FDAF0" w:rsidR="00443F54" w:rsidRPr="00443F54" w:rsidRDefault="00443F54" w:rsidP="001D464F">
      <w:pPr>
        <w:spacing w:line="480" w:lineRule="auto"/>
        <w:contextualSpacing/>
        <w:jc w:val="both"/>
        <w:rPr>
          <w:rFonts w:ascii="Times New Roman" w:hAnsi="Times New Roman" w:cs="Times New Roman"/>
          <w:color w:val="010302"/>
        </w:rPr>
      </w:pPr>
    </w:p>
    <w:sectPr w:rsidR="00443F54" w:rsidRPr="00443F54" w:rsidSect="00443F54">
      <w:headerReference w:type="default" r:id="rId11"/>
      <w:footerReference w:type="default" r:id="rId12"/>
      <w:type w:val="continuous"/>
      <w:pgSz w:w="11918" w:h="16843"/>
      <w:pgMar w:top="500" w:right="1145" w:bottom="400"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EA33" w16cex:dateUtc="2021-12-07T14: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4DA48" w14:textId="77777777" w:rsidR="00804446" w:rsidRDefault="00804446" w:rsidP="00804446">
      <w:r>
        <w:separator/>
      </w:r>
    </w:p>
  </w:endnote>
  <w:endnote w:type="continuationSeparator" w:id="0">
    <w:p w14:paraId="339AE739" w14:textId="77777777" w:rsidR="00804446" w:rsidRDefault="00804446" w:rsidP="0080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auto"/>
    <w:pitch w:val="variable"/>
    <w:sig w:usb0="8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9336F" w14:textId="6AD3D27A" w:rsidR="00717B8E" w:rsidRPr="00443F54" w:rsidRDefault="00717B8E" w:rsidP="00A258BC">
    <w:pPr>
      <w:pStyle w:val="Footer"/>
      <w:tabs>
        <w:tab w:val="left" w:pos="7938"/>
      </w:tabs>
      <w:ind w:left="-142"/>
      <w:rPr>
        <w:sz w:val="16"/>
        <w:szCs w:val="16"/>
      </w:rPr>
    </w:pPr>
    <w:r w:rsidRPr="00443F54">
      <w:rPr>
        <w:sz w:val="16"/>
        <w:szCs w:val="16"/>
      </w:rPr>
      <w:tab/>
      <w:t xml:space="preserve">Page </w:t>
    </w:r>
    <w:sdt>
      <w:sdtPr>
        <w:rPr>
          <w:sz w:val="16"/>
          <w:szCs w:val="16"/>
        </w:rPr>
        <w:id w:val="9112782"/>
        <w:docPartObj>
          <w:docPartGallery w:val="Page Numbers (Bottom of Page)"/>
          <w:docPartUnique/>
        </w:docPartObj>
      </w:sdtPr>
      <w:sdtEndPr>
        <w:rPr>
          <w:noProof/>
        </w:rPr>
      </w:sdtEndPr>
      <w:sdtContent>
        <w:r w:rsidRPr="00443F54">
          <w:rPr>
            <w:sz w:val="16"/>
            <w:szCs w:val="16"/>
          </w:rPr>
          <w:fldChar w:fldCharType="begin"/>
        </w:r>
        <w:r w:rsidRPr="00443F54">
          <w:rPr>
            <w:sz w:val="16"/>
            <w:szCs w:val="16"/>
          </w:rPr>
          <w:instrText xml:space="preserve"> PAGE   \* MERGEFORMAT </w:instrText>
        </w:r>
        <w:r w:rsidRPr="00443F54">
          <w:rPr>
            <w:sz w:val="16"/>
            <w:szCs w:val="16"/>
          </w:rPr>
          <w:fldChar w:fldCharType="separate"/>
        </w:r>
        <w:r w:rsidRPr="00443F54">
          <w:rPr>
            <w:sz w:val="16"/>
            <w:szCs w:val="16"/>
          </w:rPr>
          <w:t>1</w:t>
        </w:r>
        <w:r w:rsidRPr="00443F54">
          <w:rPr>
            <w:noProof/>
            <w:sz w:val="16"/>
            <w:szCs w:val="16"/>
          </w:rPr>
          <w:fldChar w:fldCharType="end"/>
        </w:r>
        <w:r w:rsidR="00A258BC">
          <w:rPr>
            <w:noProof/>
            <w:sz w:val="16"/>
            <w:szCs w:val="16"/>
          </w:rPr>
          <w:br/>
        </w:r>
      </w:sdtContent>
    </w:sdt>
    <w:r w:rsidR="00A258BC">
      <w:rPr>
        <w:sz w:val="16"/>
        <w:szCs w:val="16"/>
      </w:rPr>
      <w:t xml:space="preserve">                                                                                                                                                                       Neutral Citation Number: [2022] EAT 1</w:t>
    </w:r>
    <w:r w:rsidR="00F42618">
      <w:rPr>
        <w:sz w:val="16"/>
        <w:szCs w:val="16"/>
      </w:rPr>
      <w:br/>
    </w:r>
    <w:r w:rsidRPr="00443F54">
      <w:rPr>
        <w:sz w:val="16"/>
        <w:szCs w:val="16"/>
      </w:rPr>
      <w:t>© EAT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CB78" w14:textId="77777777" w:rsidR="00804446" w:rsidRDefault="00804446" w:rsidP="00804446">
      <w:r>
        <w:separator/>
      </w:r>
    </w:p>
  </w:footnote>
  <w:footnote w:type="continuationSeparator" w:id="0">
    <w:p w14:paraId="100FB7BE" w14:textId="77777777" w:rsidR="00804446" w:rsidRDefault="00804446" w:rsidP="00804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60F8" w14:textId="281C6615" w:rsidR="009A3442" w:rsidRDefault="00F42618" w:rsidP="001D464F">
    <w:pPr>
      <w:tabs>
        <w:tab w:val="left" w:pos="7088"/>
      </w:tabs>
      <w:jc w:val="right"/>
      <w:rPr>
        <w:rFonts w:ascii="Times New Roman" w:hAnsi="Times New Roman" w:cs="Times New Roman"/>
        <w:color w:val="010302"/>
      </w:rPr>
    </w:pPr>
    <w:r w:rsidRPr="00E132AC">
      <w:rPr>
        <w:rFonts w:ascii="Times New Roman" w:hAnsi="Times New Roman" w:cs="Times New Roman"/>
        <w:b/>
        <w:bCs/>
        <w:color w:val="000000"/>
        <w:sz w:val="16"/>
        <w:szCs w:val="16"/>
        <w:u w:val="single"/>
      </w:rPr>
      <w:t>Judgment approved by the</w:t>
    </w:r>
    <w:r>
      <w:rPr>
        <w:rFonts w:ascii="Times New Roman" w:hAnsi="Times New Roman" w:cs="Times New Roman"/>
        <w:b/>
        <w:bCs/>
        <w:color w:val="000000"/>
        <w:sz w:val="16"/>
        <w:szCs w:val="16"/>
        <w:u w:val="single"/>
      </w:rPr>
      <w:t xml:space="preserve"> court</w:t>
    </w:r>
    <w:r w:rsidRPr="00F42618">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r w:rsidRPr="00F42618">
      <w:rPr>
        <w:rFonts w:ascii="Times New Roman" w:hAnsi="Times New Roman" w:cs="Times New Roman"/>
        <w:color w:val="000000"/>
        <w:sz w:val="16"/>
        <w:szCs w:val="16"/>
      </w:rPr>
      <w:t xml:space="preserve">Secretary of State for </w:t>
    </w:r>
    <w:r>
      <w:rPr>
        <w:rFonts w:ascii="Times New Roman" w:hAnsi="Times New Roman" w:cs="Times New Roman"/>
        <w:color w:val="000000"/>
        <w:sz w:val="16"/>
        <w:szCs w:val="16"/>
      </w:rPr>
      <w:t>J</w:t>
    </w:r>
    <w:r w:rsidRPr="00F42618">
      <w:rPr>
        <w:rFonts w:ascii="Times New Roman" w:hAnsi="Times New Roman" w:cs="Times New Roman"/>
        <w:color w:val="000000"/>
        <w:sz w:val="16"/>
        <w:szCs w:val="16"/>
      </w:rPr>
      <w:t>ustice</w:t>
    </w:r>
    <w:r w:rsidR="009A3442" w:rsidRPr="00F42618">
      <w:rPr>
        <w:rFonts w:ascii="Times New Roman" w:hAnsi="Times New Roman" w:cs="Times New Roman"/>
        <w:color w:val="000000"/>
        <w:sz w:val="16"/>
        <w:szCs w:val="16"/>
      </w:rPr>
      <w:t xml:space="preserve"> v </w:t>
    </w:r>
    <w:r w:rsidR="001D464F" w:rsidRPr="00F42618">
      <w:rPr>
        <w:rFonts w:ascii="Times New Roman" w:hAnsi="Times New Roman" w:cs="Times New Roman"/>
        <w:color w:val="000000"/>
        <w:sz w:val="16"/>
        <w:szCs w:val="16"/>
      </w:rPr>
      <w:t>M</w:t>
    </w:r>
    <w:r w:rsidRPr="00F42618">
      <w:rPr>
        <w:rFonts w:ascii="Times New Roman" w:hAnsi="Times New Roman" w:cs="Times New Roman"/>
        <w:color w:val="000000"/>
        <w:sz w:val="16"/>
        <w:szCs w:val="16"/>
      </w:rPr>
      <w:t>r</w:t>
    </w:r>
    <w:r w:rsidR="001D464F" w:rsidRPr="00F42618">
      <w:rPr>
        <w:rFonts w:ascii="Times New Roman" w:hAnsi="Times New Roman" w:cs="Times New Roman"/>
        <w:color w:val="000000"/>
        <w:sz w:val="16"/>
        <w:szCs w:val="16"/>
      </w:rPr>
      <w:t xml:space="preserve"> A</w:t>
    </w:r>
    <w:r w:rsidRPr="00F42618">
      <w:rPr>
        <w:rFonts w:ascii="Times New Roman" w:hAnsi="Times New Roman" w:cs="Times New Roman"/>
        <w:color w:val="000000"/>
        <w:sz w:val="16"/>
        <w:szCs w:val="16"/>
      </w:rPr>
      <w:t>lan</w:t>
    </w:r>
    <w:r w:rsidR="001D464F" w:rsidRPr="00F42618">
      <w:rPr>
        <w:rFonts w:ascii="Times New Roman" w:hAnsi="Times New Roman" w:cs="Times New Roman"/>
        <w:color w:val="000000"/>
        <w:sz w:val="16"/>
        <w:szCs w:val="16"/>
      </w:rPr>
      <w:t xml:space="preserve"> J</w:t>
    </w:r>
    <w:r w:rsidRPr="00F42618">
      <w:rPr>
        <w:rFonts w:ascii="Times New Roman" w:hAnsi="Times New Roman" w:cs="Times New Roman"/>
        <w:color w:val="000000"/>
        <w:sz w:val="16"/>
        <w:szCs w:val="16"/>
      </w:rPr>
      <w:t>ohnson</w:t>
    </w:r>
    <w:r w:rsidR="009A3442" w:rsidRPr="009A3442">
      <w:rPr>
        <w:rFonts w:ascii="Times New Roman" w:hAnsi="Times New Roman" w:cs="Times New Roman"/>
        <w:position w:val="1"/>
        <w:sz w:val="16"/>
        <w:szCs w:val="16"/>
        <w:vertAlign w:val="superscript"/>
      </w:rPr>
      <w:t xml:space="preserve">  </w:t>
    </w:r>
  </w:p>
  <w:p w14:paraId="18ECDB66" w14:textId="49ED3DDE" w:rsidR="00804446" w:rsidRDefault="00804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A0C62"/>
    <w:multiLevelType w:val="hybridMultilevel"/>
    <w:tmpl w:val="66BCD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9D6FDD"/>
    <w:multiLevelType w:val="hybridMultilevel"/>
    <w:tmpl w:val="9C76D3A4"/>
    <w:lvl w:ilvl="0" w:tplc="8BB29BF6">
      <w:start w:val="1"/>
      <w:numFmt w:val="lowerLetter"/>
      <w:lvlText w:val="(%1)"/>
      <w:lvlJc w:val="left"/>
      <w:pPr>
        <w:ind w:left="2487" w:hanging="360"/>
      </w:pPr>
      <w:rPr>
        <w:rFonts w:hint="default"/>
      </w:rPr>
    </w:lvl>
    <w:lvl w:ilvl="1" w:tplc="08090019" w:tentative="1">
      <w:start w:val="1"/>
      <w:numFmt w:val="lowerLetter"/>
      <w:lvlText w:val="%2."/>
      <w:lvlJc w:val="left"/>
      <w:pPr>
        <w:ind w:left="3207" w:hanging="360"/>
      </w:pPr>
    </w:lvl>
    <w:lvl w:ilvl="2" w:tplc="0809001B" w:tentative="1">
      <w:start w:val="1"/>
      <w:numFmt w:val="lowerRoman"/>
      <w:lvlText w:val="%3."/>
      <w:lvlJc w:val="right"/>
      <w:pPr>
        <w:ind w:left="3927" w:hanging="180"/>
      </w:pPr>
    </w:lvl>
    <w:lvl w:ilvl="3" w:tplc="0809000F" w:tentative="1">
      <w:start w:val="1"/>
      <w:numFmt w:val="decimal"/>
      <w:lvlText w:val="%4."/>
      <w:lvlJc w:val="left"/>
      <w:pPr>
        <w:ind w:left="4647" w:hanging="360"/>
      </w:pPr>
    </w:lvl>
    <w:lvl w:ilvl="4" w:tplc="08090019" w:tentative="1">
      <w:start w:val="1"/>
      <w:numFmt w:val="lowerLetter"/>
      <w:lvlText w:val="%5."/>
      <w:lvlJc w:val="left"/>
      <w:pPr>
        <w:ind w:left="5367" w:hanging="360"/>
      </w:pPr>
    </w:lvl>
    <w:lvl w:ilvl="5" w:tplc="0809001B" w:tentative="1">
      <w:start w:val="1"/>
      <w:numFmt w:val="lowerRoman"/>
      <w:lvlText w:val="%6."/>
      <w:lvlJc w:val="right"/>
      <w:pPr>
        <w:ind w:left="6087" w:hanging="180"/>
      </w:pPr>
    </w:lvl>
    <w:lvl w:ilvl="6" w:tplc="0809000F" w:tentative="1">
      <w:start w:val="1"/>
      <w:numFmt w:val="decimal"/>
      <w:lvlText w:val="%7."/>
      <w:lvlJc w:val="left"/>
      <w:pPr>
        <w:ind w:left="6807" w:hanging="360"/>
      </w:pPr>
    </w:lvl>
    <w:lvl w:ilvl="7" w:tplc="08090019" w:tentative="1">
      <w:start w:val="1"/>
      <w:numFmt w:val="lowerLetter"/>
      <w:lvlText w:val="%8."/>
      <w:lvlJc w:val="left"/>
      <w:pPr>
        <w:ind w:left="7527" w:hanging="360"/>
      </w:pPr>
    </w:lvl>
    <w:lvl w:ilvl="8" w:tplc="0809001B" w:tentative="1">
      <w:start w:val="1"/>
      <w:numFmt w:val="lowerRoman"/>
      <w:lvlText w:val="%9."/>
      <w:lvlJc w:val="right"/>
      <w:pPr>
        <w:ind w:left="8247" w:hanging="180"/>
      </w:pPr>
    </w:lvl>
  </w:abstractNum>
  <w:abstractNum w:abstractNumId="2" w15:restartNumberingAfterBreak="0">
    <w:nsid w:val="768104DB"/>
    <w:multiLevelType w:val="hybridMultilevel"/>
    <w:tmpl w:val="7640EC26"/>
    <w:lvl w:ilvl="0" w:tplc="2E280EE6">
      <w:start w:val="1"/>
      <w:numFmt w:val="decimal"/>
      <w:lvlText w:val="%1."/>
      <w:lvlJc w:val="left"/>
      <w:pPr>
        <w:ind w:left="1080" w:hanging="720"/>
      </w:pPr>
      <w:rPr>
        <w:rFonts w:hint="default"/>
        <w:b w:val="0"/>
        <w:bCs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E0C17"/>
    <w:multiLevelType w:val="hybridMultilevel"/>
    <w:tmpl w:val="68EA69E8"/>
    <w:lvl w:ilvl="0" w:tplc="7BB41EFE">
      <w:start w:val="1"/>
      <w:numFmt w:val="decimal"/>
      <w:lvlText w:val="(%1)"/>
      <w:lvlJc w:val="left"/>
      <w:pPr>
        <w:ind w:left="2487" w:hanging="360"/>
      </w:pPr>
      <w:rPr>
        <w:rFonts w:hint="default"/>
      </w:rPr>
    </w:lvl>
    <w:lvl w:ilvl="1" w:tplc="08090019" w:tentative="1">
      <w:start w:val="1"/>
      <w:numFmt w:val="lowerLetter"/>
      <w:lvlText w:val="%2."/>
      <w:lvlJc w:val="left"/>
      <w:pPr>
        <w:ind w:left="3207" w:hanging="360"/>
      </w:pPr>
    </w:lvl>
    <w:lvl w:ilvl="2" w:tplc="0809001B" w:tentative="1">
      <w:start w:val="1"/>
      <w:numFmt w:val="lowerRoman"/>
      <w:lvlText w:val="%3."/>
      <w:lvlJc w:val="right"/>
      <w:pPr>
        <w:ind w:left="3927" w:hanging="180"/>
      </w:pPr>
    </w:lvl>
    <w:lvl w:ilvl="3" w:tplc="0809000F" w:tentative="1">
      <w:start w:val="1"/>
      <w:numFmt w:val="decimal"/>
      <w:lvlText w:val="%4."/>
      <w:lvlJc w:val="left"/>
      <w:pPr>
        <w:ind w:left="4647" w:hanging="360"/>
      </w:pPr>
    </w:lvl>
    <w:lvl w:ilvl="4" w:tplc="08090019" w:tentative="1">
      <w:start w:val="1"/>
      <w:numFmt w:val="lowerLetter"/>
      <w:lvlText w:val="%5."/>
      <w:lvlJc w:val="left"/>
      <w:pPr>
        <w:ind w:left="5367" w:hanging="360"/>
      </w:pPr>
    </w:lvl>
    <w:lvl w:ilvl="5" w:tplc="0809001B" w:tentative="1">
      <w:start w:val="1"/>
      <w:numFmt w:val="lowerRoman"/>
      <w:lvlText w:val="%6."/>
      <w:lvlJc w:val="right"/>
      <w:pPr>
        <w:ind w:left="6087" w:hanging="180"/>
      </w:pPr>
    </w:lvl>
    <w:lvl w:ilvl="6" w:tplc="0809000F" w:tentative="1">
      <w:start w:val="1"/>
      <w:numFmt w:val="decimal"/>
      <w:lvlText w:val="%7."/>
      <w:lvlJc w:val="left"/>
      <w:pPr>
        <w:ind w:left="6807" w:hanging="360"/>
      </w:pPr>
    </w:lvl>
    <w:lvl w:ilvl="7" w:tplc="08090019" w:tentative="1">
      <w:start w:val="1"/>
      <w:numFmt w:val="lowerLetter"/>
      <w:lvlText w:val="%8."/>
      <w:lvlJc w:val="left"/>
      <w:pPr>
        <w:ind w:left="7527" w:hanging="360"/>
      </w:pPr>
    </w:lvl>
    <w:lvl w:ilvl="8" w:tplc="0809001B" w:tentative="1">
      <w:start w:val="1"/>
      <w:numFmt w:val="lowerRoman"/>
      <w:lvlText w:val="%9."/>
      <w:lvlJc w:val="right"/>
      <w:pPr>
        <w:ind w:left="824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B264A7-7F04-4D18-8B68-50F7F400A363}"/>
    <w:docVar w:name="dgnword-eventsink" w:val="1915848730464"/>
  </w:docVars>
  <w:rsids>
    <w:rsidRoot w:val="00E14E89"/>
    <w:rsid w:val="00001EC5"/>
    <w:rsid w:val="0009078A"/>
    <w:rsid w:val="00092734"/>
    <w:rsid w:val="00095E38"/>
    <w:rsid w:val="000E3D98"/>
    <w:rsid w:val="000F4B73"/>
    <w:rsid w:val="000F67FA"/>
    <w:rsid w:val="0010492C"/>
    <w:rsid w:val="00120227"/>
    <w:rsid w:val="00137B65"/>
    <w:rsid w:val="001559D4"/>
    <w:rsid w:val="00170503"/>
    <w:rsid w:val="00177E97"/>
    <w:rsid w:val="001B2384"/>
    <w:rsid w:val="001B4367"/>
    <w:rsid w:val="001C233D"/>
    <w:rsid w:val="001C30CB"/>
    <w:rsid w:val="001C73FB"/>
    <w:rsid w:val="001D464F"/>
    <w:rsid w:val="001E109D"/>
    <w:rsid w:val="00210332"/>
    <w:rsid w:val="00211CAF"/>
    <w:rsid w:val="00212716"/>
    <w:rsid w:val="00230339"/>
    <w:rsid w:val="00265126"/>
    <w:rsid w:val="002A1C7A"/>
    <w:rsid w:val="002A32FD"/>
    <w:rsid w:val="002B2EB4"/>
    <w:rsid w:val="002C22EF"/>
    <w:rsid w:val="002E62B1"/>
    <w:rsid w:val="002F1E34"/>
    <w:rsid w:val="00341AC0"/>
    <w:rsid w:val="00346910"/>
    <w:rsid w:val="003B24D1"/>
    <w:rsid w:val="003E0DEC"/>
    <w:rsid w:val="003E4E29"/>
    <w:rsid w:val="003E5340"/>
    <w:rsid w:val="003E574D"/>
    <w:rsid w:val="003E63A9"/>
    <w:rsid w:val="00416AFD"/>
    <w:rsid w:val="004222B8"/>
    <w:rsid w:val="00443454"/>
    <w:rsid w:val="00443F54"/>
    <w:rsid w:val="004A7D59"/>
    <w:rsid w:val="004B6451"/>
    <w:rsid w:val="004C1872"/>
    <w:rsid w:val="004D1425"/>
    <w:rsid w:val="004F0620"/>
    <w:rsid w:val="00587725"/>
    <w:rsid w:val="005A077F"/>
    <w:rsid w:val="005A1517"/>
    <w:rsid w:val="005A5D5E"/>
    <w:rsid w:val="005B21DC"/>
    <w:rsid w:val="00617A93"/>
    <w:rsid w:val="006705C6"/>
    <w:rsid w:val="00675308"/>
    <w:rsid w:val="006831E8"/>
    <w:rsid w:val="006A7DB2"/>
    <w:rsid w:val="006B2CE1"/>
    <w:rsid w:val="006B727F"/>
    <w:rsid w:val="006C1604"/>
    <w:rsid w:val="006F52C7"/>
    <w:rsid w:val="00717B8E"/>
    <w:rsid w:val="00720505"/>
    <w:rsid w:val="00745256"/>
    <w:rsid w:val="00762B27"/>
    <w:rsid w:val="007A648E"/>
    <w:rsid w:val="00804446"/>
    <w:rsid w:val="008178C7"/>
    <w:rsid w:val="0082184F"/>
    <w:rsid w:val="00827C33"/>
    <w:rsid w:val="00851B8A"/>
    <w:rsid w:val="00886302"/>
    <w:rsid w:val="008F6B39"/>
    <w:rsid w:val="009051C3"/>
    <w:rsid w:val="009274B1"/>
    <w:rsid w:val="00950B62"/>
    <w:rsid w:val="009514C8"/>
    <w:rsid w:val="00962898"/>
    <w:rsid w:val="00962DE5"/>
    <w:rsid w:val="009A3442"/>
    <w:rsid w:val="009E79D9"/>
    <w:rsid w:val="009F429C"/>
    <w:rsid w:val="00A258BC"/>
    <w:rsid w:val="00A410B9"/>
    <w:rsid w:val="00A43DCD"/>
    <w:rsid w:val="00A560C1"/>
    <w:rsid w:val="00A718D0"/>
    <w:rsid w:val="00AB25F4"/>
    <w:rsid w:val="00AE658D"/>
    <w:rsid w:val="00AE7887"/>
    <w:rsid w:val="00B00E6F"/>
    <w:rsid w:val="00B112A0"/>
    <w:rsid w:val="00B336D5"/>
    <w:rsid w:val="00B63222"/>
    <w:rsid w:val="00B84BA2"/>
    <w:rsid w:val="00B95D8E"/>
    <w:rsid w:val="00BC2EBE"/>
    <w:rsid w:val="00BC3E98"/>
    <w:rsid w:val="00BD7CFF"/>
    <w:rsid w:val="00C03334"/>
    <w:rsid w:val="00C10FA2"/>
    <w:rsid w:val="00C2544C"/>
    <w:rsid w:val="00C26790"/>
    <w:rsid w:val="00C4019B"/>
    <w:rsid w:val="00C95933"/>
    <w:rsid w:val="00CB3A16"/>
    <w:rsid w:val="00CD502C"/>
    <w:rsid w:val="00CD57AA"/>
    <w:rsid w:val="00CD6940"/>
    <w:rsid w:val="00CF54BE"/>
    <w:rsid w:val="00D0059D"/>
    <w:rsid w:val="00D12FC9"/>
    <w:rsid w:val="00D204CA"/>
    <w:rsid w:val="00D537B7"/>
    <w:rsid w:val="00DA4D5F"/>
    <w:rsid w:val="00DF601E"/>
    <w:rsid w:val="00E07D1E"/>
    <w:rsid w:val="00E14E89"/>
    <w:rsid w:val="00E30B9E"/>
    <w:rsid w:val="00E54936"/>
    <w:rsid w:val="00E57589"/>
    <w:rsid w:val="00E74225"/>
    <w:rsid w:val="00E9313C"/>
    <w:rsid w:val="00E97FD4"/>
    <w:rsid w:val="00EE4D98"/>
    <w:rsid w:val="00F06997"/>
    <w:rsid w:val="00F35511"/>
    <w:rsid w:val="00F371D5"/>
    <w:rsid w:val="00F42618"/>
    <w:rsid w:val="00F52C9F"/>
    <w:rsid w:val="00F61E88"/>
    <w:rsid w:val="00F623E2"/>
    <w:rsid w:val="00F71E99"/>
    <w:rsid w:val="00FB1D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96D3C9C"/>
  <w15:docId w15:val="{BBEF2512-9ABE-4705-B97F-911C9132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CF54BE"/>
    <w:rPr>
      <w:color w:val="0000FF" w:themeColor="hyperlink"/>
      <w:u w:val="single"/>
    </w:rPr>
  </w:style>
  <w:style w:type="character" w:styleId="UnresolvedMention">
    <w:name w:val="Unresolved Mention"/>
    <w:basedOn w:val="DefaultParagraphFont"/>
    <w:uiPriority w:val="99"/>
    <w:semiHidden/>
    <w:unhideWhenUsed/>
    <w:rsid w:val="00CF54BE"/>
    <w:rPr>
      <w:color w:val="605E5C"/>
      <w:shd w:val="clear" w:color="auto" w:fill="E1DFDD"/>
    </w:rPr>
  </w:style>
  <w:style w:type="paragraph" w:styleId="Header">
    <w:name w:val="header"/>
    <w:basedOn w:val="Normal"/>
    <w:link w:val="HeaderChar"/>
    <w:uiPriority w:val="99"/>
    <w:unhideWhenUsed/>
    <w:rsid w:val="00804446"/>
    <w:pPr>
      <w:tabs>
        <w:tab w:val="center" w:pos="4513"/>
        <w:tab w:val="right" w:pos="9026"/>
      </w:tabs>
    </w:pPr>
  </w:style>
  <w:style w:type="character" w:customStyle="1" w:styleId="HeaderChar">
    <w:name w:val="Header Char"/>
    <w:basedOn w:val="DefaultParagraphFont"/>
    <w:link w:val="Header"/>
    <w:uiPriority w:val="99"/>
    <w:rsid w:val="00804446"/>
  </w:style>
  <w:style w:type="paragraph" w:styleId="Footer">
    <w:name w:val="footer"/>
    <w:basedOn w:val="Normal"/>
    <w:link w:val="FooterChar"/>
    <w:uiPriority w:val="99"/>
    <w:unhideWhenUsed/>
    <w:rsid w:val="00804446"/>
    <w:pPr>
      <w:tabs>
        <w:tab w:val="center" w:pos="4513"/>
        <w:tab w:val="right" w:pos="9026"/>
      </w:tabs>
    </w:pPr>
  </w:style>
  <w:style w:type="character" w:customStyle="1" w:styleId="FooterChar">
    <w:name w:val="Footer Char"/>
    <w:basedOn w:val="DefaultParagraphFont"/>
    <w:link w:val="Footer"/>
    <w:uiPriority w:val="99"/>
    <w:rsid w:val="00804446"/>
  </w:style>
  <w:style w:type="character" w:styleId="CommentReference">
    <w:name w:val="annotation reference"/>
    <w:basedOn w:val="DefaultParagraphFont"/>
    <w:uiPriority w:val="99"/>
    <w:semiHidden/>
    <w:unhideWhenUsed/>
    <w:rsid w:val="003E0DEC"/>
    <w:rPr>
      <w:sz w:val="16"/>
      <w:szCs w:val="16"/>
    </w:rPr>
  </w:style>
  <w:style w:type="paragraph" w:styleId="CommentText">
    <w:name w:val="annotation text"/>
    <w:basedOn w:val="Normal"/>
    <w:link w:val="CommentTextChar"/>
    <w:uiPriority w:val="99"/>
    <w:semiHidden/>
    <w:unhideWhenUsed/>
    <w:rsid w:val="003E0DEC"/>
    <w:rPr>
      <w:sz w:val="20"/>
      <w:szCs w:val="20"/>
    </w:rPr>
  </w:style>
  <w:style w:type="character" w:customStyle="1" w:styleId="CommentTextChar">
    <w:name w:val="Comment Text Char"/>
    <w:basedOn w:val="DefaultParagraphFont"/>
    <w:link w:val="CommentText"/>
    <w:uiPriority w:val="99"/>
    <w:semiHidden/>
    <w:rsid w:val="003E0DEC"/>
    <w:rPr>
      <w:sz w:val="20"/>
      <w:szCs w:val="20"/>
      <w:lang w:val="en-GB"/>
    </w:rPr>
  </w:style>
  <w:style w:type="paragraph" w:styleId="CommentSubject">
    <w:name w:val="annotation subject"/>
    <w:basedOn w:val="CommentText"/>
    <w:next w:val="CommentText"/>
    <w:link w:val="CommentSubjectChar"/>
    <w:uiPriority w:val="99"/>
    <w:semiHidden/>
    <w:unhideWhenUsed/>
    <w:rsid w:val="003E0DEC"/>
    <w:rPr>
      <w:b/>
      <w:bCs/>
    </w:rPr>
  </w:style>
  <w:style w:type="character" w:customStyle="1" w:styleId="CommentSubjectChar">
    <w:name w:val="Comment Subject Char"/>
    <w:basedOn w:val="CommentTextChar"/>
    <w:link w:val="CommentSubject"/>
    <w:uiPriority w:val="99"/>
    <w:semiHidden/>
    <w:rsid w:val="003E0DEC"/>
    <w:rPr>
      <w:b/>
      <w:bCs/>
      <w:sz w:val="20"/>
      <w:szCs w:val="20"/>
      <w:lang w:val="en-GB"/>
    </w:rPr>
  </w:style>
  <w:style w:type="paragraph" w:styleId="BalloonText">
    <w:name w:val="Balloon Text"/>
    <w:basedOn w:val="Normal"/>
    <w:link w:val="BalloonTextChar"/>
    <w:uiPriority w:val="99"/>
    <w:semiHidden/>
    <w:unhideWhenUsed/>
    <w:rsid w:val="003E0D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DE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7F3BE7F2B66A458EF9264AD3593AC1" ma:contentTypeVersion="13" ma:contentTypeDescription="Create a new document." ma:contentTypeScope="" ma:versionID="149bbabb8732849294ecad0fe24b8240">
  <xsd:schema xmlns:xsd="http://www.w3.org/2001/XMLSchema" xmlns:xs="http://www.w3.org/2001/XMLSchema" xmlns:p="http://schemas.microsoft.com/office/2006/metadata/properties" xmlns:ns3="76d3a303-d3b1-4656-9032-548c83ba0ca2" xmlns:ns4="6a80dd03-4835-4256-bf74-5dd09d63673c" targetNamespace="http://schemas.microsoft.com/office/2006/metadata/properties" ma:root="true" ma:fieldsID="f0f9c71f8c62ea090a5358eb51d8867e" ns3:_="" ns4:_="">
    <xsd:import namespace="76d3a303-d3b1-4656-9032-548c83ba0ca2"/>
    <xsd:import namespace="6a80dd03-4835-4256-bf74-5dd09d6367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3a303-d3b1-4656-9032-548c83ba0c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80dd03-4835-4256-bf74-5dd09d63673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975F0-C599-498C-9EC4-03F1CA4C4F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516D64-5022-49AC-903B-719059BC243A}">
  <ds:schemaRefs>
    <ds:schemaRef ds:uri="http://schemas.microsoft.com/sharepoint/v3/contenttype/forms"/>
  </ds:schemaRefs>
</ds:datastoreItem>
</file>

<file path=customXml/itemProps3.xml><?xml version="1.0" encoding="utf-8"?>
<ds:datastoreItem xmlns:ds="http://schemas.openxmlformats.org/officeDocument/2006/customXml" ds:itemID="{CA6C52DD-EA3E-4FA4-9429-DD24F23A8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d3a303-d3b1-4656-9032-548c83ba0ca2"/>
    <ds:schemaRef ds:uri="6a80dd03-4835-4256-bf74-5dd09d636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66847-B5D9-48C5-9AFE-D14821AED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4293</Words>
  <Characters>24474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Abbey</dc:creator>
  <cp:lastModifiedBy>Theodoracopoulos, Maria</cp:lastModifiedBy>
  <cp:revision>5</cp:revision>
  <cp:lastPrinted>2022-01-12T12:02:00Z</cp:lastPrinted>
  <dcterms:created xsi:type="dcterms:W3CDTF">2022-01-11T12:57:00Z</dcterms:created>
  <dcterms:modified xsi:type="dcterms:W3CDTF">2022-01-12T12:03:00Z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0x010100627F3BE7F2B66A458EF9264AD3593AC1</vt:lpwstr>
  </property>
</Properties>
</file>