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C3E" w14:textId="5088C8FA" w:rsidR="004309B7" w:rsidRPr="007F4B5C" w:rsidRDefault="004309B7" w:rsidP="009E049B">
      <w:pPr>
        <w:jc w:val="right"/>
        <w:rPr>
          <w:color w:val="000000" w:themeColor="text1"/>
        </w:rPr>
      </w:pPr>
    </w:p>
    <w:p w14:paraId="64841E9B" w14:textId="77777777" w:rsidR="00E078B0" w:rsidRDefault="00E078B0" w:rsidP="00E078B0">
      <w:pPr>
        <w:jc w:val="center"/>
      </w:pPr>
    </w:p>
    <w:p w14:paraId="48D4041A" w14:textId="42A071BC" w:rsidR="00E078B0" w:rsidRDefault="002B0E22" w:rsidP="00E078B0">
      <w:pPr>
        <w:jc w:val="center"/>
      </w:pPr>
      <w:r>
        <w:rPr>
          <w:noProof/>
        </w:rPr>
        <w:drawing>
          <wp:inline distT="0" distB="0" distL="0" distR="0" wp14:anchorId="6C5690D3" wp14:editId="1E9E86A7">
            <wp:extent cx="118872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52525"/>
                    </a:xfrm>
                    <a:prstGeom prst="rect">
                      <a:avLst/>
                    </a:prstGeom>
                    <a:noFill/>
                  </pic:spPr>
                </pic:pic>
              </a:graphicData>
            </a:graphic>
          </wp:inline>
        </w:drawing>
      </w:r>
    </w:p>
    <w:p w14:paraId="57A4A4C7" w14:textId="5E33649A" w:rsidR="00C306C1" w:rsidRDefault="00C306C1" w:rsidP="00C306C1">
      <w:pPr>
        <w:jc w:val="center"/>
        <w:rPr>
          <w:color w:val="000000" w:themeColor="text1"/>
        </w:rPr>
      </w:pPr>
    </w:p>
    <w:p w14:paraId="01F11F6A" w14:textId="50A1C562" w:rsidR="00E078B0" w:rsidRDefault="00E078B0" w:rsidP="00E078B0">
      <w:pPr>
        <w:pStyle w:val="CoverText"/>
        <w:jc w:val="left"/>
        <w:rPr>
          <w:bCs/>
          <w:sz w:val="20"/>
          <w:u w:val="none"/>
        </w:rPr>
      </w:pPr>
      <w:r>
        <w:rPr>
          <w:bCs/>
        </w:rPr>
        <w:t>Neutral Citation Number</w:t>
      </w:r>
      <w:r w:rsidRPr="00B15598">
        <w:rPr>
          <w:bCs/>
        </w:rPr>
        <w:t xml:space="preserve">: </w:t>
      </w:r>
      <w:r w:rsidR="00B15598" w:rsidRPr="00B15598">
        <w:t>[2024] EWHC 1048 (Ch)</w:t>
      </w:r>
      <w:r>
        <w:rPr>
          <w:bCs/>
        </w:rPr>
        <w:br/>
      </w:r>
    </w:p>
    <w:p w14:paraId="1A4EE7F9" w14:textId="488E11F7" w:rsidR="00E078B0" w:rsidRDefault="00E078B0" w:rsidP="00E078B0">
      <w:pPr>
        <w:pStyle w:val="CoverText"/>
      </w:pPr>
      <w:r>
        <w:t xml:space="preserve">Case No: </w:t>
      </w:r>
      <w:r w:rsidR="00AC15B9" w:rsidRPr="00AC15B9">
        <w:t>BL-2018-002691</w:t>
      </w:r>
    </w:p>
    <w:p w14:paraId="006DB542" w14:textId="739AF13F" w:rsidR="00664590" w:rsidRDefault="00664590" w:rsidP="00E078B0">
      <w:pPr>
        <w:pStyle w:val="CoverText"/>
      </w:pPr>
      <w:r>
        <w:t>BL-2023-000277</w:t>
      </w:r>
    </w:p>
    <w:p w14:paraId="5B2C85E0" w14:textId="77777777" w:rsidR="0021220D" w:rsidRPr="0021220D" w:rsidRDefault="0021220D" w:rsidP="0021220D">
      <w:pPr>
        <w:suppressAutoHyphens/>
        <w:rPr>
          <w:b/>
          <w:bCs/>
          <w:color w:val="000000" w:themeColor="text1"/>
          <w:spacing w:val="-3"/>
          <w:szCs w:val="20"/>
          <w:u w:val="single"/>
        </w:rPr>
      </w:pPr>
      <w:r w:rsidRPr="0021220D">
        <w:rPr>
          <w:b/>
          <w:bCs/>
          <w:color w:val="000000" w:themeColor="text1"/>
          <w:spacing w:val="-3"/>
          <w:szCs w:val="20"/>
          <w:u w:val="single"/>
        </w:rPr>
        <w:t>IN THE HIGH COURT OF JUSTICE </w:t>
      </w:r>
    </w:p>
    <w:p w14:paraId="5618B9AA" w14:textId="77777777" w:rsidR="0021220D" w:rsidRPr="0021220D" w:rsidRDefault="0021220D" w:rsidP="0021220D">
      <w:pPr>
        <w:suppressAutoHyphens/>
        <w:rPr>
          <w:b/>
          <w:color w:val="000000" w:themeColor="text1"/>
          <w:spacing w:val="-3"/>
          <w:szCs w:val="20"/>
          <w:u w:val="single"/>
        </w:rPr>
      </w:pPr>
      <w:r w:rsidRPr="0021220D">
        <w:rPr>
          <w:b/>
          <w:bCs/>
          <w:color w:val="000000" w:themeColor="text1"/>
          <w:spacing w:val="-3"/>
          <w:szCs w:val="20"/>
          <w:u w:val="single"/>
        </w:rPr>
        <w:t>BUSINESS AND PROPERTY COURTS </w:t>
      </w:r>
      <w:r w:rsidRPr="0021220D">
        <w:rPr>
          <w:b/>
          <w:color w:val="000000" w:themeColor="text1"/>
          <w:spacing w:val="-3"/>
          <w:szCs w:val="20"/>
          <w:u w:val="single"/>
        </w:rPr>
        <w:t> </w:t>
      </w:r>
    </w:p>
    <w:p w14:paraId="0D97A00E" w14:textId="77777777" w:rsidR="0021220D" w:rsidRPr="0021220D" w:rsidRDefault="0021220D" w:rsidP="0021220D">
      <w:pPr>
        <w:suppressAutoHyphens/>
        <w:rPr>
          <w:b/>
          <w:color w:val="000000" w:themeColor="text1"/>
          <w:spacing w:val="-3"/>
          <w:szCs w:val="20"/>
          <w:u w:val="single"/>
        </w:rPr>
      </w:pPr>
      <w:r w:rsidRPr="0021220D">
        <w:rPr>
          <w:b/>
          <w:bCs/>
          <w:color w:val="000000" w:themeColor="text1"/>
          <w:spacing w:val="-3"/>
          <w:szCs w:val="20"/>
          <w:u w:val="single"/>
        </w:rPr>
        <w:t>OF ENGLAND AND WALES</w:t>
      </w:r>
      <w:r w:rsidRPr="0021220D">
        <w:rPr>
          <w:b/>
          <w:color w:val="000000" w:themeColor="text1"/>
          <w:spacing w:val="-3"/>
          <w:szCs w:val="20"/>
          <w:u w:val="single"/>
        </w:rPr>
        <w:t> </w:t>
      </w:r>
    </w:p>
    <w:p w14:paraId="0CE3DEC7" w14:textId="7507E01B" w:rsidR="0021220D" w:rsidRPr="0021220D" w:rsidRDefault="00621362" w:rsidP="0021220D">
      <w:pPr>
        <w:suppressAutoHyphens/>
        <w:rPr>
          <w:b/>
          <w:color w:val="000000" w:themeColor="text1"/>
          <w:spacing w:val="-3"/>
          <w:szCs w:val="20"/>
          <w:u w:val="single"/>
        </w:rPr>
      </w:pPr>
      <w:r>
        <w:rPr>
          <w:b/>
          <w:bCs/>
          <w:color w:val="000000" w:themeColor="text1"/>
          <w:spacing w:val="-3"/>
          <w:szCs w:val="20"/>
          <w:u w:val="single"/>
        </w:rPr>
        <w:t>CHANCERY</w:t>
      </w:r>
      <w:r w:rsidR="0021220D" w:rsidRPr="0021220D">
        <w:rPr>
          <w:b/>
          <w:bCs/>
          <w:color w:val="000000" w:themeColor="text1"/>
          <w:spacing w:val="-3"/>
          <w:szCs w:val="20"/>
          <w:u w:val="single"/>
        </w:rPr>
        <w:t xml:space="preserve"> DIVISION</w:t>
      </w:r>
      <w:r w:rsidR="0021220D" w:rsidRPr="0021220D">
        <w:rPr>
          <w:b/>
          <w:color w:val="000000" w:themeColor="text1"/>
          <w:spacing w:val="-3"/>
          <w:szCs w:val="20"/>
          <w:u w:val="single"/>
        </w:rPr>
        <w:t> </w:t>
      </w:r>
    </w:p>
    <w:p w14:paraId="1CE639C8" w14:textId="6181BD93" w:rsidR="0021220D" w:rsidRPr="0021220D" w:rsidRDefault="00621362" w:rsidP="0021220D">
      <w:pPr>
        <w:suppressAutoHyphens/>
        <w:rPr>
          <w:b/>
          <w:color w:val="000000" w:themeColor="text1"/>
          <w:spacing w:val="-3"/>
          <w:szCs w:val="20"/>
          <w:u w:val="single"/>
        </w:rPr>
      </w:pPr>
      <w:r>
        <w:rPr>
          <w:b/>
          <w:bCs/>
          <w:color w:val="000000" w:themeColor="text1"/>
          <w:spacing w:val="-3"/>
          <w:szCs w:val="20"/>
          <w:u w:val="single"/>
        </w:rPr>
        <w:t>BUSINESS LIST</w:t>
      </w:r>
    </w:p>
    <w:p w14:paraId="4279307D" w14:textId="77777777" w:rsidR="00C62D25" w:rsidRDefault="00C62D25" w:rsidP="00E078B0">
      <w:pPr>
        <w:suppressAutoHyphens/>
        <w:rPr>
          <w:b/>
          <w:color w:val="000000" w:themeColor="text1"/>
          <w:spacing w:val="-3"/>
          <w:szCs w:val="20"/>
          <w:u w:val="single"/>
        </w:rPr>
      </w:pPr>
    </w:p>
    <w:p w14:paraId="7F5B0CD3" w14:textId="77777777" w:rsidR="00E078B0" w:rsidRPr="00E078B0" w:rsidRDefault="00E078B0" w:rsidP="00D92B52">
      <w:pPr>
        <w:suppressAutoHyphens/>
        <w:rPr>
          <w:b/>
          <w:color w:val="000000" w:themeColor="text1"/>
          <w:spacing w:val="-3"/>
          <w:szCs w:val="20"/>
          <w:u w:val="single"/>
        </w:rPr>
      </w:pPr>
    </w:p>
    <w:p w14:paraId="797ABFB2" w14:textId="77777777" w:rsidR="00C306C1" w:rsidRPr="007F4B5C" w:rsidRDefault="00C306C1" w:rsidP="00D92B52">
      <w:pPr>
        <w:suppressAutoHyphens/>
        <w:jc w:val="both"/>
        <w:rPr>
          <w:b/>
          <w:color w:val="000000" w:themeColor="text1"/>
          <w:spacing w:val="-3"/>
          <w:u w:val="single"/>
        </w:rPr>
      </w:pPr>
    </w:p>
    <w:p w14:paraId="2137570F" w14:textId="6055B6F1" w:rsidR="00D92B52" w:rsidRDefault="00D92B52" w:rsidP="00C306C1">
      <w:pPr>
        <w:pStyle w:val="CoverText"/>
        <w:rPr>
          <w:color w:val="000000" w:themeColor="text1"/>
          <w:u w:val="none"/>
        </w:rPr>
      </w:pPr>
      <w:r>
        <w:rPr>
          <w:color w:val="000000" w:themeColor="text1"/>
          <w:u w:val="none"/>
        </w:rPr>
        <w:t>Friday 3 May 2024</w:t>
      </w:r>
    </w:p>
    <w:p w14:paraId="0271B52B" w14:textId="77777777" w:rsidR="00D92B52" w:rsidRDefault="00D92B52" w:rsidP="00C306C1">
      <w:pPr>
        <w:pStyle w:val="CoverText"/>
        <w:rPr>
          <w:color w:val="000000" w:themeColor="text1"/>
          <w:u w:val="none"/>
        </w:rPr>
      </w:pPr>
    </w:p>
    <w:p w14:paraId="2FCD3161" w14:textId="77777777" w:rsidR="00D92B52" w:rsidRDefault="00D92B52" w:rsidP="00C306C1">
      <w:pPr>
        <w:pStyle w:val="CoverText"/>
        <w:rPr>
          <w:color w:val="000000" w:themeColor="text1"/>
          <w:u w:val="none"/>
        </w:rPr>
      </w:pPr>
    </w:p>
    <w:p w14:paraId="657719D2" w14:textId="63139CC2" w:rsidR="00120F03" w:rsidRDefault="0094320D" w:rsidP="00C306C1">
      <w:pPr>
        <w:pStyle w:val="CoverText"/>
        <w:rPr>
          <w:color w:val="000000" w:themeColor="text1"/>
          <w:u w:val="none"/>
        </w:rPr>
      </w:pPr>
      <w:r>
        <w:rPr>
          <w:color w:val="000000" w:themeColor="text1"/>
          <w:u w:val="none"/>
        </w:rPr>
        <w:t>Ro</w:t>
      </w:r>
      <w:r w:rsidR="00120F03">
        <w:rPr>
          <w:color w:val="000000" w:themeColor="text1"/>
          <w:u w:val="none"/>
        </w:rPr>
        <w:t>lls Building</w:t>
      </w:r>
    </w:p>
    <w:p w14:paraId="256C5602" w14:textId="77777777" w:rsidR="00120F03" w:rsidRDefault="00120F03" w:rsidP="00C306C1">
      <w:pPr>
        <w:pStyle w:val="CoverText"/>
        <w:rPr>
          <w:color w:val="000000" w:themeColor="text1"/>
          <w:u w:val="none"/>
        </w:rPr>
      </w:pPr>
      <w:r>
        <w:rPr>
          <w:color w:val="000000" w:themeColor="text1"/>
          <w:u w:val="none"/>
        </w:rPr>
        <w:t>Fetter Lane</w:t>
      </w:r>
    </w:p>
    <w:p w14:paraId="02776D32" w14:textId="77777777" w:rsidR="00120F03" w:rsidRDefault="00120F03" w:rsidP="00C306C1">
      <w:pPr>
        <w:pStyle w:val="CoverText"/>
        <w:rPr>
          <w:color w:val="000000" w:themeColor="text1"/>
          <w:u w:val="none"/>
        </w:rPr>
      </w:pPr>
      <w:r>
        <w:rPr>
          <w:color w:val="000000" w:themeColor="text1"/>
          <w:u w:val="none"/>
        </w:rPr>
        <w:t>London</w:t>
      </w:r>
    </w:p>
    <w:p w14:paraId="38E0FEFC" w14:textId="2B964340" w:rsidR="00C306C1" w:rsidRPr="00826BBA" w:rsidRDefault="00120F03" w:rsidP="00C306C1">
      <w:pPr>
        <w:pStyle w:val="CoverText"/>
        <w:rPr>
          <w:color w:val="000000" w:themeColor="text1"/>
        </w:rPr>
      </w:pPr>
      <w:r>
        <w:rPr>
          <w:color w:val="000000" w:themeColor="text1"/>
          <w:u w:val="none"/>
        </w:rPr>
        <w:t>EC4A 1NL</w:t>
      </w:r>
    </w:p>
    <w:p w14:paraId="2AA2D467" w14:textId="77777777" w:rsidR="00C306C1" w:rsidRPr="00826BBA" w:rsidRDefault="00C306C1" w:rsidP="00C306C1">
      <w:pPr>
        <w:suppressAutoHyphens/>
        <w:jc w:val="right"/>
        <w:rPr>
          <w:color w:val="000000" w:themeColor="text1"/>
          <w:spacing w:val="-3"/>
          <w:u w:val="single"/>
        </w:rPr>
      </w:pPr>
    </w:p>
    <w:p w14:paraId="0073727A" w14:textId="77777777" w:rsidR="00C306C1" w:rsidRPr="00826BBA" w:rsidRDefault="00C306C1" w:rsidP="00C306C1">
      <w:pPr>
        <w:suppressAutoHyphens/>
        <w:rPr>
          <w:color w:val="000000" w:themeColor="text1"/>
          <w:spacing w:val="-3"/>
        </w:rPr>
      </w:pPr>
    </w:p>
    <w:p w14:paraId="67FB5BFA" w14:textId="22535D3F" w:rsidR="00C306C1" w:rsidRPr="007F4B5C" w:rsidRDefault="00C306C1" w:rsidP="00C306C1">
      <w:pPr>
        <w:suppressAutoHyphens/>
        <w:jc w:val="center"/>
        <w:rPr>
          <w:color w:val="000000" w:themeColor="text1"/>
          <w:spacing w:val="-3"/>
        </w:rPr>
      </w:pPr>
      <w:r w:rsidRPr="007F4B5C">
        <w:rPr>
          <w:b/>
          <w:color w:val="000000" w:themeColor="text1"/>
          <w:spacing w:val="-3"/>
        </w:rPr>
        <w:t>Before</w:t>
      </w:r>
      <w:r w:rsidRPr="007F4B5C">
        <w:rPr>
          <w:color w:val="000000" w:themeColor="text1"/>
          <w:spacing w:val="-3"/>
        </w:rPr>
        <w:t>:</w:t>
      </w:r>
    </w:p>
    <w:p w14:paraId="310485BA" w14:textId="77777777" w:rsidR="00C306C1" w:rsidRPr="007F4B5C" w:rsidRDefault="00C306C1" w:rsidP="00C306C1">
      <w:pPr>
        <w:suppressAutoHyphens/>
        <w:jc w:val="center"/>
        <w:rPr>
          <w:color w:val="000000" w:themeColor="text1"/>
          <w:spacing w:val="-3"/>
        </w:rPr>
      </w:pPr>
    </w:p>
    <w:p w14:paraId="158AF1D6" w14:textId="054B357F" w:rsidR="00C306C1" w:rsidRDefault="00C306C1" w:rsidP="00C306C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color w:val="000000" w:themeColor="text1"/>
          <w:u w:val="none"/>
        </w:rPr>
      </w:pPr>
      <w:r w:rsidRPr="007F4B5C">
        <w:rPr>
          <w:color w:val="000000" w:themeColor="text1"/>
          <w:u w:val="none"/>
        </w:rPr>
        <w:t>MRS JUSTICE COCKERILL</w:t>
      </w:r>
      <w:r w:rsidR="00B91A39">
        <w:rPr>
          <w:color w:val="000000" w:themeColor="text1"/>
          <w:u w:val="none"/>
        </w:rPr>
        <w:t xml:space="preserve"> DBE</w:t>
      </w:r>
    </w:p>
    <w:p w14:paraId="472D004A" w14:textId="77777777" w:rsidR="00884186" w:rsidRDefault="00884186" w:rsidP="00C306C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color w:val="000000" w:themeColor="text1"/>
          <w:u w:val="none"/>
        </w:rPr>
      </w:pPr>
    </w:p>
    <w:p w14:paraId="194EB7B9" w14:textId="1A28376D" w:rsidR="00884186" w:rsidRPr="007F4B5C" w:rsidRDefault="00652586" w:rsidP="00C306C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color w:val="000000" w:themeColor="text1"/>
          <w:u w:val="none"/>
        </w:rPr>
      </w:pPr>
      <w:r>
        <w:rPr>
          <w:color w:val="000000" w:themeColor="text1"/>
          <w:u w:val="none"/>
        </w:rPr>
        <w:t>MASTER KAYE</w:t>
      </w:r>
    </w:p>
    <w:p w14:paraId="0E6C5A3D" w14:textId="77777777" w:rsidR="00C306C1" w:rsidRPr="007F4B5C" w:rsidRDefault="00C306C1" w:rsidP="00C306C1">
      <w:pPr>
        <w:suppressAutoHyphens/>
        <w:jc w:val="center"/>
        <w:rPr>
          <w:color w:val="000000" w:themeColor="text1"/>
          <w:spacing w:val="-3"/>
        </w:rPr>
      </w:pPr>
      <w:r w:rsidRPr="007F4B5C">
        <w:rPr>
          <w:color w:val="000000" w:themeColor="text1"/>
          <w:spacing w:val="-3"/>
        </w:rPr>
        <w:t>- - - - - - - - - - - - - - - - - - - - -</w:t>
      </w:r>
    </w:p>
    <w:p w14:paraId="6DCE922D" w14:textId="6292E356" w:rsidR="00C306C1" w:rsidRDefault="00C306C1" w:rsidP="009E049B">
      <w:pPr>
        <w:suppressAutoHyphens/>
        <w:jc w:val="center"/>
        <w:rPr>
          <w:b/>
          <w:color w:val="000000" w:themeColor="text1"/>
          <w:spacing w:val="-3"/>
        </w:rPr>
      </w:pPr>
      <w:r w:rsidRPr="007F4B5C">
        <w:rPr>
          <w:b/>
          <w:color w:val="000000" w:themeColor="text1"/>
          <w:spacing w:val="-3"/>
        </w:rPr>
        <w:t>Between:</w:t>
      </w:r>
    </w:p>
    <w:p w14:paraId="1E7BB9FC" w14:textId="77777777" w:rsidR="00784E92" w:rsidRDefault="00784E92" w:rsidP="009E049B">
      <w:pPr>
        <w:suppressAutoHyphens/>
        <w:jc w:val="center"/>
        <w:rPr>
          <w:b/>
          <w:color w:val="000000" w:themeColor="text1"/>
          <w:spacing w:val="-3"/>
        </w:rPr>
      </w:pPr>
    </w:p>
    <w:p w14:paraId="164D50B3" w14:textId="7E1974F6" w:rsidR="00784E92" w:rsidRPr="007F4B5C" w:rsidRDefault="00F71F52" w:rsidP="009E049B">
      <w:pPr>
        <w:suppressAutoHyphens/>
        <w:jc w:val="center"/>
        <w:rPr>
          <w:b/>
          <w:color w:val="000000" w:themeColor="text1"/>
          <w:spacing w:val="-3"/>
        </w:rPr>
      </w:pPr>
      <w:r>
        <w:rPr>
          <w:b/>
          <w:color w:val="000000" w:themeColor="text1"/>
          <w:spacing w:val="-3"/>
        </w:rPr>
        <w:t xml:space="preserve">   </w:t>
      </w:r>
      <w:r w:rsidR="00DB4B74">
        <w:rPr>
          <w:b/>
          <w:color w:val="000000" w:themeColor="text1"/>
          <w:spacing w:val="-3"/>
        </w:rPr>
        <w:t>VNESHPROMBANK LLC</w:t>
      </w:r>
    </w:p>
    <w:p w14:paraId="28CAB525" w14:textId="77777777" w:rsidR="00C306C1" w:rsidRPr="007F4B5C" w:rsidRDefault="00C306C1" w:rsidP="00C306C1">
      <w:pPr>
        <w:suppressAutoHyphens/>
        <w:rPr>
          <w:b/>
          <w:color w:val="000000" w:themeColor="text1"/>
          <w:spacing w:val="-3"/>
        </w:rPr>
      </w:pPr>
    </w:p>
    <w:p w14:paraId="2E77DE9F" w14:textId="5D6F95A1" w:rsidR="00A12C2F" w:rsidRDefault="00784E92" w:rsidP="00784E92">
      <w:pPr>
        <w:suppressAutoHyphens/>
        <w:jc w:val="center"/>
        <w:rPr>
          <w:b/>
          <w:bCs/>
          <w:color w:val="000000" w:themeColor="text1"/>
          <w:spacing w:val="-3"/>
          <w:u w:val="single"/>
        </w:rPr>
      </w:pP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sidR="002065E7">
        <w:rPr>
          <w:b/>
          <w:bCs/>
          <w:color w:val="000000" w:themeColor="text1"/>
          <w:spacing w:val="-3"/>
          <w:u w:val="single"/>
        </w:rPr>
        <w:t>Claimant</w:t>
      </w:r>
    </w:p>
    <w:p w14:paraId="5362D477" w14:textId="339582F6" w:rsidR="00784E92" w:rsidRDefault="00784E92" w:rsidP="00784E92">
      <w:pPr>
        <w:suppressAutoHyphens/>
        <w:rPr>
          <w:b/>
          <w:bCs/>
          <w:color w:val="000000" w:themeColor="text1"/>
          <w:spacing w:val="-3"/>
        </w:rPr>
      </w:pP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sidR="00F71F52">
        <w:rPr>
          <w:b/>
          <w:bCs/>
          <w:color w:val="000000" w:themeColor="text1"/>
          <w:spacing w:val="-3"/>
        </w:rPr>
        <w:t xml:space="preserve">- </w:t>
      </w:r>
      <w:r>
        <w:rPr>
          <w:b/>
          <w:bCs/>
          <w:color w:val="000000" w:themeColor="text1"/>
          <w:spacing w:val="-3"/>
        </w:rPr>
        <w:t>and</w:t>
      </w:r>
      <w:r w:rsidR="00F71F52">
        <w:rPr>
          <w:b/>
          <w:bCs/>
          <w:color w:val="000000" w:themeColor="text1"/>
          <w:spacing w:val="-3"/>
        </w:rPr>
        <w:t xml:space="preserve"> -</w:t>
      </w:r>
    </w:p>
    <w:p w14:paraId="4F129706" w14:textId="77777777" w:rsidR="00784E92" w:rsidRDefault="00784E92" w:rsidP="00784E92">
      <w:pPr>
        <w:suppressAutoHyphens/>
        <w:rPr>
          <w:b/>
          <w:bCs/>
          <w:color w:val="000000" w:themeColor="text1"/>
          <w:spacing w:val="-3"/>
        </w:rPr>
      </w:pPr>
    </w:p>
    <w:p w14:paraId="45732900" w14:textId="761FA392" w:rsidR="008C5B26" w:rsidRPr="00A3221F" w:rsidRDefault="009C045C" w:rsidP="008C5B26">
      <w:pPr>
        <w:ind w:left="360"/>
        <w:jc w:val="center"/>
        <w:rPr>
          <w:b/>
        </w:rPr>
      </w:pPr>
      <w:r>
        <w:rPr>
          <w:b/>
          <w:spacing w:val="-3"/>
        </w:rPr>
        <w:t>GEORGY IVANOVICH BED</w:t>
      </w:r>
      <w:r w:rsidR="00664590">
        <w:rPr>
          <w:b/>
          <w:spacing w:val="-3"/>
        </w:rPr>
        <w:t xml:space="preserve">ZHAMOV </w:t>
      </w:r>
    </w:p>
    <w:p w14:paraId="4A904899" w14:textId="77777777" w:rsidR="00F71F52" w:rsidRPr="00A3221F" w:rsidRDefault="00F71F52" w:rsidP="00F71F52">
      <w:pPr>
        <w:suppressAutoHyphens/>
        <w:rPr>
          <w:b/>
          <w:spacing w:val="-3"/>
        </w:rPr>
      </w:pPr>
    </w:p>
    <w:p w14:paraId="6FE53467" w14:textId="0668D7AB" w:rsidR="00784E92" w:rsidRPr="00A3221F" w:rsidRDefault="006E206B" w:rsidP="00784E92">
      <w:pPr>
        <w:suppressAutoHyphens/>
        <w:jc w:val="center"/>
        <w:rPr>
          <w:b/>
          <w:bCs/>
          <w:color w:val="000000" w:themeColor="text1"/>
          <w:spacing w:val="-3"/>
          <w:u w:val="single"/>
        </w:rPr>
      </w:pPr>
      <w:r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r>
      <w:r w:rsidR="00F71F52" w:rsidRPr="00A3221F">
        <w:rPr>
          <w:b/>
          <w:bCs/>
          <w:color w:val="000000" w:themeColor="text1"/>
          <w:spacing w:val="-3"/>
        </w:rPr>
        <w:tab/>
        <w:t xml:space="preserve">                        </w:t>
      </w:r>
      <w:r w:rsidR="00664590" w:rsidRPr="00A3221F">
        <w:rPr>
          <w:b/>
          <w:bCs/>
          <w:color w:val="000000" w:themeColor="text1"/>
          <w:spacing w:val="-3"/>
          <w:u w:val="single"/>
        </w:rPr>
        <w:t xml:space="preserve">First </w:t>
      </w:r>
      <w:r w:rsidR="002065E7" w:rsidRPr="00A3221F">
        <w:rPr>
          <w:b/>
          <w:bCs/>
          <w:color w:val="000000" w:themeColor="text1"/>
          <w:spacing w:val="-3"/>
          <w:u w:val="single"/>
        </w:rPr>
        <w:t>Defendant</w:t>
      </w:r>
    </w:p>
    <w:p w14:paraId="267042A5" w14:textId="77777777" w:rsidR="00664590" w:rsidRPr="00A3221F" w:rsidRDefault="00F71F52" w:rsidP="00C306C1">
      <w:pPr>
        <w:suppressAutoHyphens/>
        <w:jc w:val="center"/>
        <w:rPr>
          <w:color w:val="000000" w:themeColor="text1"/>
          <w:spacing w:val="-3"/>
        </w:rPr>
      </w:pPr>
      <w:r w:rsidRPr="00A3221F">
        <w:rPr>
          <w:color w:val="000000" w:themeColor="text1"/>
          <w:spacing w:val="-3"/>
        </w:rPr>
        <w:t xml:space="preserve">     </w:t>
      </w:r>
    </w:p>
    <w:p w14:paraId="53EF17F6" w14:textId="72D5CC9D" w:rsidR="00664590" w:rsidRPr="00A3221F" w:rsidRDefault="00664590" w:rsidP="00664590">
      <w:pPr>
        <w:suppressAutoHyphens/>
        <w:rPr>
          <w:b/>
          <w:bCs/>
          <w:color w:val="000000" w:themeColor="text1"/>
          <w:spacing w:val="-3"/>
        </w:rPr>
      </w:pPr>
      <w:r w:rsidRPr="00A3221F">
        <w:rPr>
          <w:b/>
          <w:bCs/>
          <w:color w:val="000000" w:themeColor="text1"/>
          <w:spacing w:val="-3"/>
        </w:rPr>
        <w:t>AND BETWEEN</w:t>
      </w:r>
    </w:p>
    <w:p w14:paraId="18C72DF2" w14:textId="61A5362A" w:rsidR="00664590" w:rsidRPr="00A3221F" w:rsidRDefault="002312F0" w:rsidP="00664590">
      <w:pPr>
        <w:suppressAutoHyphens/>
        <w:jc w:val="center"/>
        <w:rPr>
          <w:b/>
          <w:bCs/>
          <w:color w:val="000000" w:themeColor="text1"/>
          <w:spacing w:val="-3"/>
        </w:rPr>
      </w:pPr>
      <w:r w:rsidRPr="00A3221F">
        <w:rPr>
          <w:b/>
          <w:bCs/>
          <w:color w:val="000000" w:themeColor="text1"/>
          <w:spacing w:val="-3"/>
        </w:rPr>
        <w:t>LYUBOV KIREEVA</w:t>
      </w:r>
    </w:p>
    <w:p w14:paraId="364F054C" w14:textId="07535668" w:rsidR="002312F0" w:rsidRPr="00A3221F" w:rsidRDefault="002312F0" w:rsidP="00664590">
      <w:pPr>
        <w:suppressAutoHyphens/>
        <w:jc w:val="center"/>
        <w:rPr>
          <w:b/>
          <w:bCs/>
          <w:color w:val="000000" w:themeColor="text1"/>
          <w:spacing w:val="-3"/>
        </w:rPr>
      </w:pPr>
      <w:r w:rsidRPr="00A3221F">
        <w:rPr>
          <w:b/>
          <w:bCs/>
          <w:color w:val="000000" w:themeColor="text1"/>
          <w:spacing w:val="-3"/>
        </w:rPr>
        <w:t>(</w:t>
      </w:r>
      <w:proofErr w:type="gramStart"/>
      <w:r w:rsidRPr="00A3221F">
        <w:rPr>
          <w:b/>
          <w:bCs/>
          <w:color w:val="000000" w:themeColor="text1"/>
          <w:spacing w:val="-3"/>
        </w:rPr>
        <w:t>as</w:t>
      </w:r>
      <w:proofErr w:type="gramEnd"/>
      <w:r w:rsidRPr="00A3221F">
        <w:rPr>
          <w:b/>
          <w:bCs/>
          <w:color w:val="000000" w:themeColor="text1"/>
          <w:spacing w:val="-3"/>
        </w:rPr>
        <w:t xml:space="preserve"> bankruptcy trustee of Georg</w:t>
      </w:r>
      <w:r w:rsidR="00B73BB6" w:rsidRPr="00A3221F">
        <w:rPr>
          <w:b/>
          <w:bCs/>
          <w:color w:val="000000" w:themeColor="text1"/>
          <w:spacing w:val="-3"/>
        </w:rPr>
        <w:t>y</w:t>
      </w:r>
      <w:r w:rsidRPr="00A3221F">
        <w:rPr>
          <w:b/>
          <w:bCs/>
          <w:color w:val="000000" w:themeColor="text1"/>
          <w:spacing w:val="-3"/>
        </w:rPr>
        <w:t xml:space="preserve"> Bedzhamov)</w:t>
      </w:r>
    </w:p>
    <w:p w14:paraId="275F2847" w14:textId="26EE3B31" w:rsidR="00DD1059" w:rsidRPr="00A3221F" w:rsidRDefault="00DD1059" w:rsidP="00DD1059">
      <w:pPr>
        <w:suppressAutoHyphens/>
        <w:rPr>
          <w:b/>
          <w:bCs/>
          <w:color w:val="000000" w:themeColor="text1"/>
          <w:spacing w:val="-3"/>
          <w:u w:val="single"/>
        </w:rPr>
      </w:pP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rPr>
        <w:tab/>
      </w:r>
      <w:r w:rsidRPr="00A3221F">
        <w:rPr>
          <w:b/>
          <w:bCs/>
          <w:color w:val="000000" w:themeColor="text1"/>
          <w:spacing w:val="-3"/>
          <w:u w:val="single"/>
        </w:rPr>
        <w:t>Applicant</w:t>
      </w:r>
    </w:p>
    <w:p w14:paraId="099B5577" w14:textId="77777777" w:rsidR="00DD1059" w:rsidRPr="00A3221F" w:rsidRDefault="00DD1059" w:rsidP="00DD1059">
      <w:pPr>
        <w:suppressAutoHyphens/>
        <w:rPr>
          <w:b/>
          <w:bCs/>
          <w:color w:val="000000" w:themeColor="text1"/>
          <w:spacing w:val="-3"/>
          <w:u w:val="single"/>
        </w:rPr>
      </w:pPr>
    </w:p>
    <w:p w14:paraId="0ADE9F17" w14:textId="4B09E7F1" w:rsidR="00DD1059" w:rsidRDefault="00DD1059" w:rsidP="00DD1059">
      <w:pPr>
        <w:suppressAutoHyphens/>
        <w:jc w:val="center"/>
        <w:rPr>
          <w:b/>
          <w:bCs/>
          <w:color w:val="000000" w:themeColor="text1"/>
          <w:spacing w:val="-3"/>
        </w:rPr>
      </w:pPr>
      <w:r>
        <w:rPr>
          <w:b/>
          <w:bCs/>
          <w:color w:val="000000" w:themeColor="text1"/>
          <w:spacing w:val="-3"/>
        </w:rPr>
        <w:t>- and -</w:t>
      </w:r>
    </w:p>
    <w:p w14:paraId="1243F344" w14:textId="77777777" w:rsidR="00DD1059" w:rsidRDefault="00DD1059" w:rsidP="00DD1059">
      <w:pPr>
        <w:suppressAutoHyphens/>
        <w:jc w:val="center"/>
        <w:rPr>
          <w:b/>
          <w:bCs/>
          <w:color w:val="000000" w:themeColor="text1"/>
          <w:spacing w:val="-3"/>
        </w:rPr>
      </w:pPr>
    </w:p>
    <w:p w14:paraId="5462422E" w14:textId="66E54D8B" w:rsidR="00DD1059" w:rsidRDefault="00B73BB6" w:rsidP="00DD1059">
      <w:pPr>
        <w:suppressAutoHyphens/>
        <w:jc w:val="center"/>
        <w:rPr>
          <w:b/>
          <w:bCs/>
          <w:color w:val="000000" w:themeColor="text1"/>
          <w:spacing w:val="-3"/>
        </w:rPr>
      </w:pPr>
      <w:r>
        <w:rPr>
          <w:b/>
          <w:bCs/>
          <w:color w:val="000000" w:themeColor="text1"/>
          <w:spacing w:val="-3"/>
        </w:rPr>
        <w:lastRenderedPageBreak/>
        <w:t>GEORGY BEDZHAMOV</w:t>
      </w:r>
    </w:p>
    <w:p w14:paraId="026A621A" w14:textId="592B0029" w:rsidR="00B73BB6" w:rsidRPr="00257BDC" w:rsidRDefault="00B73BB6" w:rsidP="00DD1059">
      <w:pPr>
        <w:suppressAutoHyphens/>
        <w:jc w:val="center"/>
        <w:rPr>
          <w:b/>
          <w:bCs/>
          <w:color w:val="000000" w:themeColor="text1"/>
          <w:spacing w:val="-3"/>
          <w:u w:val="single"/>
        </w:rPr>
      </w:pP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Pr>
          <w:b/>
          <w:bCs/>
          <w:color w:val="000000" w:themeColor="text1"/>
          <w:spacing w:val="-3"/>
        </w:rPr>
        <w:tab/>
      </w:r>
      <w:r w:rsidR="00257BDC">
        <w:rPr>
          <w:b/>
          <w:bCs/>
          <w:color w:val="000000" w:themeColor="text1"/>
          <w:spacing w:val="-3"/>
        </w:rPr>
        <w:t xml:space="preserve">                   </w:t>
      </w:r>
      <w:r w:rsidR="00C15A6A" w:rsidRPr="00257BDC">
        <w:rPr>
          <w:b/>
          <w:bCs/>
          <w:color w:val="000000" w:themeColor="text1"/>
          <w:spacing w:val="-3"/>
          <w:u w:val="single"/>
        </w:rPr>
        <w:t>R</w:t>
      </w:r>
      <w:r w:rsidR="00257BDC" w:rsidRPr="00257BDC">
        <w:rPr>
          <w:b/>
          <w:bCs/>
          <w:color w:val="000000" w:themeColor="text1"/>
          <w:spacing w:val="-3"/>
          <w:u w:val="single"/>
        </w:rPr>
        <w:t>espondent</w:t>
      </w:r>
    </w:p>
    <w:p w14:paraId="1AAC3B69" w14:textId="77777777" w:rsidR="00DD1059" w:rsidRPr="00A3221F" w:rsidRDefault="00DD1059" w:rsidP="00DD1059">
      <w:pPr>
        <w:suppressAutoHyphens/>
        <w:jc w:val="center"/>
        <w:rPr>
          <w:b/>
          <w:bCs/>
          <w:color w:val="000000" w:themeColor="text1"/>
          <w:spacing w:val="-3"/>
          <w:u w:val="single"/>
        </w:rPr>
      </w:pPr>
    </w:p>
    <w:p w14:paraId="3FACD6D1" w14:textId="071013EB" w:rsidR="00C306C1" w:rsidRPr="007F4B5C" w:rsidRDefault="00C6203F" w:rsidP="00C306C1">
      <w:pPr>
        <w:suppressAutoHyphens/>
        <w:jc w:val="center"/>
        <w:rPr>
          <w:color w:val="000000" w:themeColor="text1"/>
          <w:spacing w:val="-3"/>
        </w:rPr>
      </w:pPr>
      <w:r w:rsidRPr="00A3221F">
        <w:rPr>
          <w:color w:val="000000" w:themeColor="text1"/>
          <w:spacing w:val="-3"/>
        </w:rPr>
        <w:t xml:space="preserve">    </w:t>
      </w:r>
      <w:r w:rsidR="00F71F52" w:rsidRPr="00A3221F">
        <w:rPr>
          <w:color w:val="000000" w:themeColor="text1"/>
          <w:spacing w:val="-3"/>
        </w:rPr>
        <w:t xml:space="preserve"> </w:t>
      </w:r>
      <w:r w:rsidR="00C306C1" w:rsidRPr="007F4B5C">
        <w:rPr>
          <w:color w:val="000000" w:themeColor="text1"/>
          <w:spacing w:val="-3"/>
        </w:rPr>
        <w:t>- - - - - - - - - - - - - - - - - - - - -</w:t>
      </w:r>
    </w:p>
    <w:p w14:paraId="64B9D3CF" w14:textId="0202F1F0" w:rsidR="00C306C1" w:rsidRPr="007F4B5C" w:rsidRDefault="00F71F52" w:rsidP="00C306C1">
      <w:pPr>
        <w:suppressAutoHyphens/>
        <w:jc w:val="center"/>
        <w:rPr>
          <w:color w:val="000000" w:themeColor="text1"/>
          <w:spacing w:val="-3"/>
        </w:rPr>
      </w:pPr>
      <w:r>
        <w:rPr>
          <w:color w:val="000000" w:themeColor="text1"/>
          <w:spacing w:val="-3"/>
        </w:rPr>
        <w:t xml:space="preserve">     </w:t>
      </w:r>
      <w:r w:rsidR="00C306C1" w:rsidRPr="007F4B5C">
        <w:rPr>
          <w:color w:val="000000" w:themeColor="text1"/>
          <w:spacing w:val="-3"/>
        </w:rPr>
        <w:t>- - - - - - - - - - - - - - - - - - - - -</w:t>
      </w:r>
    </w:p>
    <w:p w14:paraId="47FF9BC4" w14:textId="77777777" w:rsidR="00C306C1" w:rsidRPr="007F4B5C" w:rsidRDefault="00C306C1" w:rsidP="00C306C1">
      <w:pPr>
        <w:suppressAutoHyphens/>
        <w:jc w:val="center"/>
        <w:rPr>
          <w:color w:val="000000" w:themeColor="text1"/>
          <w:spacing w:val="-3"/>
        </w:rPr>
      </w:pPr>
    </w:p>
    <w:p w14:paraId="471A9644" w14:textId="07A4B539" w:rsidR="006924A2" w:rsidRDefault="006924A2" w:rsidP="00651F40">
      <w:pPr>
        <w:suppressAutoHyphens/>
        <w:jc w:val="center"/>
        <w:rPr>
          <w:b/>
          <w:bCs/>
          <w:spacing w:val="-3"/>
        </w:rPr>
      </w:pPr>
      <w:r>
        <w:rPr>
          <w:b/>
          <w:bCs/>
          <w:spacing w:val="-3"/>
        </w:rPr>
        <w:t>Fergus Rando</w:t>
      </w:r>
      <w:r w:rsidR="00A91E71">
        <w:rPr>
          <w:b/>
          <w:bCs/>
          <w:spacing w:val="-3"/>
        </w:rPr>
        <w:t>l</w:t>
      </w:r>
      <w:r>
        <w:rPr>
          <w:b/>
          <w:bCs/>
          <w:spacing w:val="-3"/>
        </w:rPr>
        <w:t xml:space="preserve">ph KC </w:t>
      </w:r>
      <w:r w:rsidRPr="000A3483">
        <w:rPr>
          <w:spacing w:val="-3"/>
        </w:rPr>
        <w:t>(instructed by</w:t>
      </w:r>
      <w:r>
        <w:rPr>
          <w:b/>
          <w:bCs/>
          <w:spacing w:val="-3"/>
        </w:rPr>
        <w:t xml:space="preserve"> Keystone Law) for the Claimant in BL-2018-002691</w:t>
      </w:r>
    </w:p>
    <w:p w14:paraId="501CE9B5" w14:textId="65B5CB22" w:rsidR="00E078B0" w:rsidRDefault="00AD01B6" w:rsidP="00651F40">
      <w:pPr>
        <w:suppressAutoHyphens/>
        <w:jc w:val="center"/>
        <w:rPr>
          <w:b/>
          <w:bCs/>
          <w:spacing w:val="-3"/>
        </w:rPr>
      </w:pPr>
      <w:r>
        <w:rPr>
          <w:b/>
          <w:bCs/>
          <w:spacing w:val="-3"/>
        </w:rPr>
        <w:t xml:space="preserve">Rachel Barnes KC </w:t>
      </w:r>
      <w:r w:rsidR="00E078B0">
        <w:rPr>
          <w:bCs/>
          <w:spacing w:val="-3"/>
        </w:rPr>
        <w:t>(instructed by</w:t>
      </w:r>
      <w:r w:rsidR="00E078B0">
        <w:rPr>
          <w:b/>
          <w:spacing w:val="-3"/>
        </w:rPr>
        <w:t xml:space="preserve"> </w:t>
      </w:r>
      <w:r w:rsidR="00EE5455">
        <w:rPr>
          <w:b/>
          <w:spacing w:val="-3"/>
        </w:rPr>
        <w:t>DCQ</w:t>
      </w:r>
      <w:r w:rsidR="003B5022">
        <w:rPr>
          <w:b/>
          <w:spacing w:val="-3"/>
        </w:rPr>
        <w:t>)</w:t>
      </w:r>
      <w:r w:rsidR="00E078B0" w:rsidRPr="00651F40">
        <w:rPr>
          <w:bCs/>
          <w:spacing w:val="-3"/>
        </w:rPr>
        <w:t xml:space="preserve"> </w:t>
      </w:r>
      <w:r w:rsidR="00E078B0">
        <w:rPr>
          <w:bCs/>
          <w:spacing w:val="-3"/>
        </w:rPr>
        <w:t>for the</w:t>
      </w:r>
      <w:r w:rsidR="00E078B0">
        <w:rPr>
          <w:spacing w:val="-3"/>
        </w:rPr>
        <w:t xml:space="preserve"> </w:t>
      </w:r>
      <w:r w:rsidR="00112CB9">
        <w:rPr>
          <w:b/>
          <w:bCs/>
          <w:spacing w:val="-3"/>
        </w:rPr>
        <w:t>Applicant Trustee</w:t>
      </w:r>
      <w:r w:rsidR="006924A2">
        <w:rPr>
          <w:b/>
          <w:bCs/>
          <w:spacing w:val="-3"/>
        </w:rPr>
        <w:t xml:space="preserve"> in BL-2023-000277</w:t>
      </w:r>
    </w:p>
    <w:p w14:paraId="003EB108" w14:textId="0A3EB35E" w:rsidR="00E078B0" w:rsidRDefault="000F2516" w:rsidP="00E078B0">
      <w:pPr>
        <w:suppressAutoHyphens/>
        <w:jc w:val="center"/>
        <w:rPr>
          <w:b/>
          <w:spacing w:val="-3"/>
        </w:rPr>
      </w:pPr>
      <w:bookmarkStart w:id="0" w:name="_Hlk121306996"/>
      <w:r>
        <w:rPr>
          <w:b/>
          <w:spacing w:val="-3"/>
        </w:rPr>
        <w:t xml:space="preserve">Justin Fenwick </w:t>
      </w:r>
      <w:r w:rsidR="00BE1A63">
        <w:rPr>
          <w:b/>
          <w:spacing w:val="-3"/>
        </w:rPr>
        <w:t xml:space="preserve">KC and </w:t>
      </w:r>
      <w:r>
        <w:rPr>
          <w:b/>
          <w:spacing w:val="-3"/>
        </w:rPr>
        <w:t>Mark Cullen</w:t>
      </w:r>
      <w:r w:rsidR="005A0F08" w:rsidRPr="005A0F08">
        <w:rPr>
          <w:b/>
          <w:bCs/>
          <w:spacing w:val="-3"/>
        </w:rPr>
        <w:t xml:space="preserve"> </w:t>
      </w:r>
      <w:r w:rsidR="00E078B0">
        <w:rPr>
          <w:bCs/>
          <w:spacing w:val="-3"/>
        </w:rPr>
        <w:t>(instructed by</w:t>
      </w:r>
      <w:r w:rsidR="00294704">
        <w:rPr>
          <w:bCs/>
          <w:spacing w:val="-3"/>
        </w:rPr>
        <w:t xml:space="preserve"> </w:t>
      </w:r>
      <w:r w:rsidR="003B5022" w:rsidRPr="00651F40">
        <w:rPr>
          <w:b/>
          <w:spacing w:val="-3"/>
        </w:rPr>
        <w:t>Greenberg Traurig LLP</w:t>
      </w:r>
      <w:r w:rsidR="003B5022" w:rsidRPr="00651F40">
        <w:rPr>
          <w:bCs/>
          <w:spacing w:val="-3"/>
        </w:rPr>
        <w:t>)</w:t>
      </w:r>
      <w:r w:rsidR="005A0F08">
        <w:rPr>
          <w:bCs/>
          <w:spacing w:val="-3"/>
        </w:rPr>
        <w:t>)</w:t>
      </w:r>
      <w:r w:rsidR="00E078B0">
        <w:rPr>
          <w:bCs/>
          <w:spacing w:val="-3"/>
        </w:rPr>
        <w:t xml:space="preserve"> for the </w:t>
      </w:r>
      <w:r>
        <w:rPr>
          <w:b/>
          <w:spacing w:val="-3"/>
        </w:rPr>
        <w:t>Defendant/Respondent</w:t>
      </w:r>
    </w:p>
    <w:bookmarkEnd w:id="0"/>
    <w:p w14:paraId="05270B53" w14:textId="77777777" w:rsidR="00E078B0" w:rsidRDefault="00E078B0" w:rsidP="00E078B0">
      <w:pPr>
        <w:suppressAutoHyphens/>
        <w:jc w:val="center"/>
        <w:rPr>
          <w:b/>
          <w:spacing w:val="-3"/>
        </w:rPr>
      </w:pPr>
    </w:p>
    <w:p w14:paraId="45EA34D3" w14:textId="1F4DC33B" w:rsidR="00E078B0" w:rsidRDefault="00E078B0" w:rsidP="00E078B0">
      <w:pPr>
        <w:suppressAutoHyphens/>
        <w:jc w:val="center"/>
        <w:rPr>
          <w:spacing w:val="-3"/>
        </w:rPr>
      </w:pPr>
      <w:r>
        <w:rPr>
          <w:spacing w:val="-3"/>
        </w:rPr>
        <w:t>Hearing dates</w:t>
      </w:r>
      <w:r w:rsidR="008B222E">
        <w:rPr>
          <w:spacing w:val="-3"/>
        </w:rPr>
        <w:t>:</w:t>
      </w:r>
      <w:r w:rsidR="005A0F08">
        <w:rPr>
          <w:spacing w:val="-3"/>
        </w:rPr>
        <w:t xml:space="preserve"> </w:t>
      </w:r>
      <w:r w:rsidR="00076EB6">
        <w:rPr>
          <w:spacing w:val="-3"/>
        </w:rPr>
        <w:t>4,5,6 March</w:t>
      </w:r>
      <w:r w:rsidR="004B273E">
        <w:rPr>
          <w:spacing w:val="-3"/>
        </w:rPr>
        <w:t xml:space="preserve"> 2024</w:t>
      </w:r>
    </w:p>
    <w:p w14:paraId="44F95401" w14:textId="674D27F5" w:rsidR="00E078B0" w:rsidRDefault="00E078B0" w:rsidP="00E078B0">
      <w:pPr>
        <w:suppressAutoHyphens/>
        <w:jc w:val="center"/>
        <w:rPr>
          <w:spacing w:val="-3"/>
        </w:rPr>
      </w:pPr>
      <w:r>
        <w:rPr>
          <w:spacing w:val="-3"/>
        </w:rPr>
        <w:t>- - - - - - - - - - - - - - - - - - - - -</w:t>
      </w:r>
    </w:p>
    <w:p w14:paraId="772D4ABA" w14:textId="77777777" w:rsidR="00CB3AB2" w:rsidRDefault="00CB3AB2" w:rsidP="007A0032">
      <w:pPr>
        <w:pStyle w:val="CoverDesc"/>
      </w:pPr>
    </w:p>
    <w:p w14:paraId="1A4F728C" w14:textId="618645B6" w:rsidR="007A0032" w:rsidRDefault="007A0032" w:rsidP="007A0032">
      <w:pPr>
        <w:pStyle w:val="CoverDesc"/>
      </w:pPr>
      <w:r>
        <w:t xml:space="preserve">APPROVED JUDGMENT </w:t>
      </w:r>
    </w:p>
    <w:p w14:paraId="553E3B32" w14:textId="77777777" w:rsidR="007A0032" w:rsidRDefault="007A0032" w:rsidP="007A0032">
      <w:pPr>
        <w:pStyle w:val="CoverDesc"/>
        <w:rPr>
          <w:sz w:val="24"/>
        </w:rPr>
      </w:pPr>
    </w:p>
    <w:p w14:paraId="464391A7" w14:textId="77777777" w:rsidR="00E078B0" w:rsidRDefault="00E078B0" w:rsidP="00E078B0">
      <w:pPr>
        <w:pStyle w:val="CoverDesc"/>
        <w:rPr>
          <w:sz w:val="24"/>
        </w:rPr>
      </w:pPr>
    </w:p>
    <w:p w14:paraId="550B5113" w14:textId="77777777" w:rsidR="00E078B0" w:rsidRDefault="00E078B0" w:rsidP="00E078B0"/>
    <w:p w14:paraId="2E323A58" w14:textId="77777777" w:rsidR="00E078B0" w:rsidRDefault="00E078B0" w:rsidP="00E078B0">
      <w:pPr>
        <w:jc w:val="center"/>
      </w:pPr>
    </w:p>
    <w:p w14:paraId="0495DC68" w14:textId="77777777" w:rsidR="004309B7" w:rsidRPr="007F4B5C" w:rsidRDefault="004309B7" w:rsidP="004309B7">
      <w:pPr>
        <w:rPr>
          <w:color w:val="000000" w:themeColor="text1"/>
        </w:rPr>
        <w:sectPr w:rsidR="004309B7" w:rsidRPr="007F4B5C" w:rsidSect="00DC4016">
          <w:footerReference w:type="default" r:id="rId9"/>
          <w:pgSz w:w="11909" w:h="16834" w:code="9"/>
          <w:pgMar w:top="720" w:right="1440" w:bottom="720" w:left="1440" w:header="720" w:footer="720" w:gutter="0"/>
          <w:pgNumType w:start="1"/>
          <w:cols w:space="720"/>
        </w:sectPr>
      </w:pPr>
    </w:p>
    <w:p w14:paraId="0495DC69" w14:textId="12A22FB0" w:rsidR="004309B7" w:rsidRPr="007F4B5C" w:rsidRDefault="009D159A" w:rsidP="004309B7">
      <w:pPr>
        <w:spacing w:after="240"/>
        <w:rPr>
          <w:color w:val="000000" w:themeColor="text1"/>
        </w:rPr>
      </w:pPr>
      <w:r w:rsidRPr="007F4B5C">
        <w:rPr>
          <w:b/>
          <w:color w:val="000000" w:themeColor="text1"/>
        </w:rPr>
        <w:lastRenderedPageBreak/>
        <w:t xml:space="preserve">Mrs Justice </w:t>
      </w:r>
      <w:r w:rsidR="004B3565" w:rsidRPr="007F4B5C">
        <w:rPr>
          <w:b/>
          <w:color w:val="000000" w:themeColor="text1"/>
        </w:rPr>
        <w:t>Cockerill</w:t>
      </w:r>
      <w:r w:rsidR="004309B7" w:rsidRPr="007F4B5C">
        <w:rPr>
          <w:b/>
          <w:color w:val="000000" w:themeColor="text1"/>
        </w:rPr>
        <w:t>:</w:t>
      </w:r>
      <w:r w:rsidR="004309B7" w:rsidRPr="007F4B5C">
        <w:rPr>
          <w:color w:val="000000" w:themeColor="text1"/>
        </w:rPr>
        <w:t xml:space="preserve"> </w:t>
      </w:r>
    </w:p>
    <w:p w14:paraId="0495DC6A" w14:textId="77777777" w:rsidR="004309B7" w:rsidRPr="007F4B5C" w:rsidRDefault="004309B7" w:rsidP="004309B7">
      <w:pPr>
        <w:pStyle w:val="ParaHeading"/>
        <w:rPr>
          <w:color w:val="000000" w:themeColor="text1"/>
        </w:rPr>
        <w:sectPr w:rsidR="004309B7" w:rsidRPr="007F4B5C" w:rsidSect="007A0032">
          <w:headerReference w:type="default" r:id="rId10"/>
          <w:footerReference w:type="default" r:id="rId11"/>
          <w:pgSz w:w="11909" w:h="16834" w:code="9"/>
          <w:pgMar w:top="1440" w:right="1440" w:bottom="1440" w:left="1440" w:header="567" w:footer="709" w:gutter="0"/>
          <w:cols w:space="720"/>
          <w:formProt w:val="0"/>
        </w:sectPr>
      </w:pPr>
    </w:p>
    <w:p w14:paraId="14CB23D9" w14:textId="6A64ECF1" w:rsidR="00D9210A" w:rsidRPr="007F4B5C" w:rsidRDefault="00D9210A" w:rsidP="00D9210A">
      <w:pPr>
        <w:pStyle w:val="Heading1"/>
        <w:spacing w:before="480"/>
        <w:rPr>
          <w:color w:val="000000" w:themeColor="text1"/>
          <w:lang w:val="en-US"/>
        </w:rPr>
      </w:pPr>
      <w:r w:rsidRPr="007F4B5C">
        <w:rPr>
          <w:color w:val="000000" w:themeColor="text1"/>
          <w:lang w:val="en-US"/>
        </w:rPr>
        <w:t>Introduction</w:t>
      </w:r>
      <w:r w:rsidR="001B1BBF">
        <w:rPr>
          <w:color w:val="000000" w:themeColor="text1"/>
          <w:lang w:val="en-US"/>
        </w:rPr>
        <w:t xml:space="preserve"> </w:t>
      </w:r>
    </w:p>
    <w:p w14:paraId="43DFE256" w14:textId="77777777" w:rsidR="00923D1E" w:rsidRDefault="007017C7" w:rsidP="00E8487A">
      <w:pPr>
        <w:pStyle w:val="BodyText"/>
        <w:rPr>
          <w:color w:val="000000" w:themeColor="text1"/>
        </w:rPr>
      </w:pPr>
      <w:r w:rsidRPr="007017C7">
        <w:rPr>
          <w:color w:val="000000" w:themeColor="text1"/>
        </w:rPr>
        <w:t xml:space="preserve">This is an application </w:t>
      </w:r>
      <w:r w:rsidR="00B86E6F" w:rsidRPr="000D4CEB">
        <w:rPr>
          <w:color w:val="000000" w:themeColor="text1"/>
        </w:rPr>
        <w:t xml:space="preserve">made during the course of long running and </w:t>
      </w:r>
      <w:proofErr w:type="gramStart"/>
      <w:r w:rsidR="00B86E6F" w:rsidRPr="000D4CEB">
        <w:rPr>
          <w:color w:val="000000" w:themeColor="text1"/>
        </w:rPr>
        <w:t>hard fought</w:t>
      </w:r>
      <w:proofErr w:type="gramEnd"/>
      <w:r w:rsidR="00B86E6F" w:rsidRPr="000D4CEB">
        <w:rPr>
          <w:color w:val="000000" w:themeColor="text1"/>
        </w:rPr>
        <w:t xml:space="preserve"> litigation</w:t>
      </w:r>
      <w:r w:rsidR="00B86E6F" w:rsidRPr="00B86E6F">
        <w:rPr>
          <w:color w:val="000000" w:themeColor="text1"/>
          <w:vertAlign w:val="superscript"/>
        </w:rPr>
        <w:footnoteReference w:id="2"/>
      </w:r>
      <w:r w:rsidR="00B86E6F" w:rsidRPr="000D4CEB">
        <w:rPr>
          <w:color w:val="000000" w:themeColor="text1"/>
        </w:rPr>
        <w:t xml:space="preserve"> by Mr Georgy Bedzhamov on one hand and </w:t>
      </w:r>
      <w:proofErr w:type="spellStart"/>
      <w:r w:rsidR="00923D1E" w:rsidRPr="007017C7">
        <w:rPr>
          <w:color w:val="000000" w:themeColor="text1"/>
        </w:rPr>
        <w:t>Vneshprombank</w:t>
      </w:r>
      <w:proofErr w:type="spellEnd"/>
      <w:r w:rsidR="00923D1E" w:rsidRPr="007017C7">
        <w:rPr>
          <w:color w:val="000000" w:themeColor="text1"/>
        </w:rPr>
        <w:t xml:space="preserve"> LLC (“VPB”)</w:t>
      </w:r>
      <w:r w:rsidR="00923D1E">
        <w:rPr>
          <w:color w:val="000000" w:themeColor="text1"/>
        </w:rPr>
        <w:t xml:space="preserve"> and </w:t>
      </w:r>
      <w:r w:rsidR="00923D1E" w:rsidRPr="00923D1E">
        <w:rPr>
          <w:color w:val="000000" w:themeColor="text1"/>
        </w:rPr>
        <w:t>Ms Lyubov Kireeva, his Russian trustee in bankruptcy (“the Trustee”)</w:t>
      </w:r>
      <w:r w:rsidR="00923D1E">
        <w:rPr>
          <w:color w:val="000000" w:themeColor="text1"/>
        </w:rPr>
        <w:t xml:space="preserve"> </w:t>
      </w:r>
      <w:r w:rsidR="00B86E6F" w:rsidRPr="000D4CEB">
        <w:rPr>
          <w:color w:val="000000" w:themeColor="text1"/>
        </w:rPr>
        <w:t xml:space="preserve">on the other. </w:t>
      </w:r>
    </w:p>
    <w:p w14:paraId="2B36115C" w14:textId="6E024381" w:rsidR="001B538B" w:rsidRDefault="00923D1E" w:rsidP="00E8487A">
      <w:pPr>
        <w:pStyle w:val="BodyText"/>
        <w:rPr>
          <w:color w:val="000000" w:themeColor="text1"/>
        </w:rPr>
      </w:pPr>
      <w:r>
        <w:rPr>
          <w:color w:val="000000" w:themeColor="text1"/>
        </w:rPr>
        <w:t xml:space="preserve">The application is </w:t>
      </w:r>
      <w:r w:rsidR="007017C7" w:rsidRPr="007017C7">
        <w:rPr>
          <w:color w:val="000000" w:themeColor="text1"/>
        </w:rPr>
        <w:t>for declarations as to whether there is reasonable cause to suspect that A1 LLC (“A1”)</w:t>
      </w:r>
      <w:r w:rsidR="002A030E">
        <w:rPr>
          <w:color w:val="000000" w:themeColor="text1"/>
        </w:rPr>
        <w:t xml:space="preserve"> – a company which has to date funded VPB</w:t>
      </w:r>
      <w:r w:rsidR="00BF6297">
        <w:rPr>
          <w:color w:val="000000" w:themeColor="text1"/>
        </w:rPr>
        <w:t xml:space="preserve"> and the Trustee</w:t>
      </w:r>
      <w:r w:rsidR="002A030E">
        <w:rPr>
          <w:color w:val="000000" w:themeColor="text1"/>
        </w:rPr>
        <w:t xml:space="preserve"> in this litigation </w:t>
      </w:r>
      <w:proofErr w:type="gramStart"/>
      <w:r w:rsidR="002A030E">
        <w:rPr>
          <w:color w:val="000000" w:themeColor="text1"/>
        </w:rPr>
        <w:t xml:space="preserve">- </w:t>
      </w:r>
      <w:r w:rsidR="007017C7" w:rsidRPr="007017C7">
        <w:rPr>
          <w:color w:val="000000" w:themeColor="text1"/>
        </w:rPr>
        <w:t xml:space="preserve"> is</w:t>
      </w:r>
      <w:proofErr w:type="gramEnd"/>
      <w:r w:rsidR="007017C7" w:rsidRPr="007017C7">
        <w:rPr>
          <w:color w:val="000000" w:themeColor="text1"/>
        </w:rPr>
        <w:t xml:space="preserve"> owned or controlled by a designated person or persons within the meaning of Regulations 5 and 6 of the Russia (Sanctions) (EU Exit) Regulations 2019 (“the 2019 Regulations”)</w:t>
      </w:r>
      <w:r w:rsidR="001F50A5">
        <w:rPr>
          <w:color w:val="000000" w:themeColor="text1"/>
        </w:rPr>
        <w:t xml:space="preserve"> following</w:t>
      </w:r>
      <w:r w:rsidR="001B538B">
        <w:rPr>
          <w:color w:val="000000" w:themeColor="text1"/>
        </w:rPr>
        <w:t>:</w:t>
      </w:r>
    </w:p>
    <w:p w14:paraId="4AE7BBC8" w14:textId="1F905D83" w:rsidR="001B538B" w:rsidRDefault="001B538B" w:rsidP="001B538B">
      <w:pPr>
        <w:pStyle w:val="BodyText"/>
        <w:numPr>
          <w:ilvl w:val="1"/>
          <w:numId w:val="4"/>
        </w:numPr>
        <w:rPr>
          <w:color w:val="000000" w:themeColor="text1"/>
        </w:rPr>
      </w:pPr>
      <w:r>
        <w:rPr>
          <w:color w:val="000000" w:themeColor="text1"/>
        </w:rPr>
        <w:t>T</w:t>
      </w:r>
      <w:r w:rsidR="001F50A5">
        <w:rPr>
          <w:color w:val="000000" w:themeColor="text1"/>
        </w:rPr>
        <w:t xml:space="preserve">he </w:t>
      </w:r>
      <w:r>
        <w:rPr>
          <w:color w:val="000000" w:themeColor="text1"/>
        </w:rPr>
        <w:t>designation</w:t>
      </w:r>
      <w:r w:rsidR="001F50A5">
        <w:rPr>
          <w:color w:val="000000" w:themeColor="text1"/>
        </w:rPr>
        <w:t xml:space="preserve"> of </w:t>
      </w:r>
      <w:r w:rsidR="001948E8">
        <w:rPr>
          <w:color w:val="000000" w:themeColor="text1"/>
        </w:rPr>
        <w:t xml:space="preserve">persons </w:t>
      </w:r>
      <w:r w:rsidR="008E3EB0">
        <w:rPr>
          <w:color w:val="000000" w:themeColor="text1"/>
        </w:rPr>
        <w:t>(Messrs Fridman</w:t>
      </w:r>
      <w:r w:rsidR="001C3ABB">
        <w:rPr>
          <w:color w:val="000000" w:themeColor="text1"/>
        </w:rPr>
        <w:t xml:space="preserve">, Khan and Kuzmichev) </w:t>
      </w:r>
      <w:r w:rsidR="001948E8">
        <w:rPr>
          <w:color w:val="000000" w:themeColor="text1"/>
        </w:rPr>
        <w:t xml:space="preserve">who were </w:t>
      </w:r>
      <w:r w:rsidR="001F50A5">
        <w:rPr>
          <w:color w:val="000000" w:themeColor="text1"/>
        </w:rPr>
        <w:t xml:space="preserve">major shareholders </w:t>
      </w:r>
      <w:r w:rsidR="00692B40">
        <w:rPr>
          <w:color w:val="000000" w:themeColor="text1"/>
        </w:rPr>
        <w:t xml:space="preserve">in A1 </w:t>
      </w:r>
      <w:r w:rsidR="001948E8">
        <w:rPr>
          <w:color w:val="000000" w:themeColor="text1"/>
        </w:rPr>
        <w:t>until</w:t>
      </w:r>
      <w:r w:rsidR="001F50A5">
        <w:rPr>
          <w:color w:val="000000" w:themeColor="text1"/>
        </w:rPr>
        <w:t xml:space="preserve"> March 2022 and </w:t>
      </w:r>
    </w:p>
    <w:p w14:paraId="074EF49B" w14:textId="71978E90" w:rsidR="001B538B" w:rsidRDefault="001B538B" w:rsidP="001B538B">
      <w:pPr>
        <w:pStyle w:val="BodyText"/>
        <w:numPr>
          <w:ilvl w:val="1"/>
          <w:numId w:val="4"/>
        </w:numPr>
        <w:rPr>
          <w:color w:val="000000" w:themeColor="text1"/>
        </w:rPr>
      </w:pPr>
      <w:r>
        <w:rPr>
          <w:color w:val="000000" w:themeColor="text1"/>
        </w:rPr>
        <w:t>I</w:t>
      </w:r>
      <w:r w:rsidR="001F50A5">
        <w:rPr>
          <w:color w:val="000000" w:themeColor="text1"/>
        </w:rPr>
        <w:t>ts sale</w:t>
      </w:r>
      <w:r w:rsidR="00B52C70">
        <w:rPr>
          <w:color w:val="000000" w:themeColor="text1"/>
        </w:rPr>
        <w:t xml:space="preserve"> (or – </w:t>
      </w:r>
      <w:r w:rsidR="00055466">
        <w:rPr>
          <w:color w:val="000000" w:themeColor="text1"/>
        </w:rPr>
        <w:t>Mr Bedzhamov</w:t>
      </w:r>
      <w:r w:rsidR="00B52C70">
        <w:rPr>
          <w:color w:val="000000" w:themeColor="text1"/>
        </w:rPr>
        <w:t xml:space="preserve"> would say – apparent sale)</w:t>
      </w:r>
      <w:r w:rsidR="001F50A5">
        <w:rPr>
          <w:color w:val="000000" w:themeColor="text1"/>
        </w:rPr>
        <w:t xml:space="preserve"> </w:t>
      </w:r>
      <w:r w:rsidR="001948E8">
        <w:rPr>
          <w:color w:val="000000" w:themeColor="text1"/>
        </w:rPr>
        <w:t>shortly after</w:t>
      </w:r>
      <w:r>
        <w:rPr>
          <w:color w:val="000000" w:themeColor="text1"/>
        </w:rPr>
        <w:t xml:space="preserve"> that designation</w:t>
      </w:r>
      <w:r w:rsidR="007017C7" w:rsidRPr="007017C7">
        <w:rPr>
          <w:color w:val="000000" w:themeColor="text1"/>
        </w:rPr>
        <w:t xml:space="preserve">. </w:t>
      </w:r>
    </w:p>
    <w:p w14:paraId="37F19D6B" w14:textId="59A621CF" w:rsidR="007017C7" w:rsidRDefault="00055466" w:rsidP="001B538B">
      <w:pPr>
        <w:pStyle w:val="BodyText"/>
        <w:numPr>
          <w:ilvl w:val="0"/>
          <w:numId w:val="0"/>
        </w:numPr>
        <w:ind w:left="567"/>
        <w:rPr>
          <w:color w:val="000000" w:themeColor="text1"/>
        </w:rPr>
      </w:pPr>
      <w:r>
        <w:rPr>
          <w:color w:val="000000" w:themeColor="text1"/>
        </w:rPr>
        <w:t>Mr Bedzhamov</w:t>
      </w:r>
      <w:r w:rsidR="007017C7" w:rsidRPr="007017C7">
        <w:rPr>
          <w:color w:val="000000" w:themeColor="text1"/>
        </w:rPr>
        <w:t xml:space="preserve"> also seeks directions for the future conduct of these proceedings in light of any such declarations, including directions as to the payment </w:t>
      </w:r>
      <w:r w:rsidR="00493E8B">
        <w:rPr>
          <w:color w:val="000000" w:themeColor="text1"/>
        </w:rPr>
        <w:t xml:space="preserve">and receipt </w:t>
      </w:r>
      <w:r w:rsidR="007017C7" w:rsidRPr="007017C7">
        <w:rPr>
          <w:color w:val="000000" w:themeColor="text1"/>
        </w:rPr>
        <w:t xml:space="preserve">of the outstanding costs order in favour of </w:t>
      </w:r>
      <w:r w:rsidR="00300024">
        <w:rPr>
          <w:color w:val="000000" w:themeColor="text1"/>
        </w:rPr>
        <w:t>the Trustee</w:t>
      </w:r>
      <w:r w:rsidR="007017C7" w:rsidRPr="007017C7">
        <w:rPr>
          <w:color w:val="000000" w:themeColor="text1"/>
        </w:rPr>
        <w:t xml:space="preserve"> and any future orders made in favour of the Trustee or</w:t>
      </w:r>
      <w:r w:rsidR="00300024">
        <w:rPr>
          <w:color w:val="000000" w:themeColor="text1"/>
        </w:rPr>
        <w:t xml:space="preserve"> VPB</w:t>
      </w:r>
      <w:r w:rsidR="007017C7" w:rsidRPr="007017C7">
        <w:rPr>
          <w:color w:val="000000" w:themeColor="text1"/>
        </w:rPr>
        <w:t>.</w:t>
      </w:r>
    </w:p>
    <w:p w14:paraId="11351562" w14:textId="587491B5" w:rsidR="00F83A90" w:rsidRPr="007017C7" w:rsidRDefault="00F83A90" w:rsidP="00F83A90">
      <w:pPr>
        <w:pStyle w:val="BodyText"/>
        <w:rPr>
          <w:color w:val="000000" w:themeColor="text1"/>
        </w:rPr>
      </w:pPr>
      <w:r w:rsidRPr="007017C7">
        <w:rPr>
          <w:color w:val="000000" w:themeColor="text1"/>
        </w:rPr>
        <w:t xml:space="preserve">Mr Bedzhamov’s position is, in essence, that the litigation cannot </w:t>
      </w:r>
      <w:r w:rsidR="001B538B">
        <w:rPr>
          <w:color w:val="000000" w:themeColor="text1"/>
        </w:rPr>
        <w:t xml:space="preserve">now </w:t>
      </w:r>
      <w:r w:rsidRPr="007017C7">
        <w:rPr>
          <w:color w:val="000000" w:themeColor="text1"/>
        </w:rPr>
        <w:t xml:space="preserve">proceed smoothly without a determination as to whether </w:t>
      </w:r>
      <w:r w:rsidR="00DE0D1D">
        <w:rPr>
          <w:color w:val="000000" w:themeColor="text1"/>
        </w:rPr>
        <w:t xml:space="preserve">there is reasonable cause to believe that </w:t>
      </w:r>
      <w:r w:rsidRPr="007017C7">
        <w:rPr>
          <w:color w:val="000000" w:themeColor="text1"/>
        </w:rPr>
        <w:t xml:space="preserve">A1 is owned or controlled by Designated Persons (“DPs”). If A1 is owned or controlled by DPs, then payments </w:t>
      </w:r>
      <w:r w:rsidR="00944C9F">
        <w:rPr>
          <w:color w:val="000000" w:themeColor="text1"/>
        </w:rPr>
        <w:t xml:space="preserve">in the course of the litigation </w:t>
      </w:r>
      <w:r w:rsidRPr="007017C7">
        <w:rPr>
          <w:color w:val="000000" w:themeColor="text1"/>
        </w:rPr>
        <w:t>to the Trustee and VPB may benefit DPs and are therefore prohibited under the 2019 Regulations. The position of the Trustee and VPB is that no such determination is necessary, alternatively that the determination should only be made at the point which funds fall to be paid.</w:t>
      </w:r>
    </w:p>
    <w:p w14:paraId="317B88CB" w14:textId="18951945" w:rsidR="009B7A33" w:rsidRPr="009B7A33" w:rsidRDefault="009B7A33" w:rsidP="009B7A33">
      <w:pPr>
        <w:pStyle w:val="BodyText"/>
        <w:rPr>
          <w:color w:val="000000" w:themeColor="text1"/>
        </w:rPr>
      </w:pPr>
      <w:r w:rsidRPr="009B7A33">
        <w:rPr>
          <w:color w:val="000000" w:themeColor="text1"/>
        </w:rPr>
        <w:t>The application has to some extent been prompted by judicial concerns, though it seems likely that the point would have been taken in any event</w:t>
      </w:r>
      <w:r w:rsidR="0032623F">
        <w:rPr>
          <w:color w:val="000000" w:themeColor="text1"/>
        </w:rPr>
        <w:t>, since sanctions questions have been ventil</w:t>
      </w:r>
      <w:r w:rsidR="00183668">
        <w:rPr>
          <w:color w:val="000000" w:themeColor="text1"/>
        </w:rPr>
        <w:t>ated in these proceedings as early as 2021</w:t>
      </w:r>
      <w:r w:rsidRPr="009B7A33">
        <w:rPr>
          <w:color w:val="000000" w:themeColor="text1"/>
        </w:rPr>
        <w:t>. In the judgment [2023] EWHC 348 (Ch) (the “February 2023 Judgment”) Falk LJ (sitting with Master Kaye) held (at [35]) that:</w:t>
      </w:r>
    </w:p>
    <w:p w14:paraId="7312804A" w14:textId="73CF385B" w:rsidR="001533C3" w:rsidRPr="001533C3" w:rsidRDefault="001533C3" w:rsidP="001533C3">
      <w:pPr>
        <w:pStyle w:val="Quote"/>
        <w:rPr>
          <w:snapToGrid w:val="0"/>
        </w:rPr>
      </w:pPr>
      <w:r w:rsidRPr="001533C3">
        <w:rPr>
          <w:snapToGrid w:val="0"/>
        </w:rPr>
        <w:t xml:space="preserve">“Based on the evidence I have seen it is impossible at this stage to dispel the concern that the March 2022 transaction was not genuine, but instead arranged to give the appearance that A1 is no longer under the control of sanctioned individuals. It is </w:t>
      </w:r>
      <w:r w:rsidRPr="001533C3">
        <w:rPr>
          <w:snapToGrid w:val="0"/>
        </w:rPr>
        <w:lastRenderedPageBreak/>
        <w:t>important to note that the relevant regulations, the Russia (Sanctions) (EU Exit) Regulations 2019, make provision for action to be unlawful, at least without a licence, where a person either knows or has reasonable cause to suspect that the person or individual concerned is sanctioned”</w:t>
      </w:r>
      <w:r>
        <w:rPr>
          <w:snapToGrid w:val="0"/>
        </w:rPr>
        <w:t>.</w:t>
      </w:r>
    </w:p>
    <w:p w14:paraId="19B669E1" w14:textId="26974097" w:rsidR="00E00F28" w:rsidRDefault="00936410" w:rsidP="00E779E3">
      <w:pPr>
        <w:pStyle w:val="BodyText"/>
        <w:rPr>
          <w:color w:val="000000" w:themeColor="text1"/>
        </w:rPr>
      </w:pPr>
      <w:r>
        <w:rPr>
          <w:color w:val="000000" w:themeColor="text1"/>
        </w:rPr>
        <w:t xml:space="preserve">Following that </w:t>
      </w:r>
      <w:r w:rsidR="00692B40">
        <w:rPr>
          <w:color w:val="000000" w:themeColor="text1"/>
        </w:rPr>
        <w:t xml:space="preserve">expression of </w:t>
      </w:r>
      <w:r>
        <w:rPr>
          <w:color w:val="000000" w:themeColor="text1"/>
        </w:rPr>
        <w:t>concern a structure was put in place for the determination of the sanctions issue</w:t>
      </w:r>
      <w:r w:rsidR="00EB6CE7">
        <w:rPr>
          <w:color w:val="000000" w:themeColor="text1"/>
        </w:rPr>
        <w:t xml:space="preserve"> in partnership with the determination of certain property issues. Matters have moved on however and this separate application was issued by </w:t>
      </w:r>
      <w:r w:rsidR="00CB5569">
        <w:rPr>
          <w:color w:val="000000" w:themeColor="text1"/>
        </w:rPr>
        <w:t xml:space="preserve">Mr </w:t>
      </w:r>
      <w:r w:rsidR="00EB6CE7">
        <w:rPr>
          <w:color w:val="000000" w:themeColor="text1"/>
        </w:rPr>
        <w:t>B</w:t>
      </w:r>
      <w:r w:rsidR="00CB5569">
        <w:rPr>
          <w:color w:val="000000" w:themeColor="text1"/>
        </w:rPr>
        <w:t>edzhamov</w:t>
      </w:r>
      <w:r w:rsidR="00EB6CE7">
        <w:rPr>
          <w:color w:val="000000" w:themeColor="text1"/>
        </w:rPr>
        <w:t xml:space="preserve"> in October 2023</w:t>
      </w:r>
      <w:r w:rsidR="00E00F28">
        <w:rPr>
          <w:color w:val="000000" w:themeColor="text1"/>
        </w:rPr>
        <w:t>.</w:t>
      </w:r>
    </w:p>
    <w:p w14:paraId="6A321B0C" w14:textId="1395B959" w:rsidR="007017C7" w:rsidRPr="007D75EA" w:rsidRDefault="00E00F28" w:rsidP="00E779E3">
      <w:pPr>
        <w:pStyle w:val="BodyText"/>
        <w:rPr>
          <w:color w:val="000000" w:themeColor="text1"/>
        </w:rPr>
      </w:pPr>
      <w:r w:rsidRPr="007D75EA">
        <w:rPr>
          <w:color w:val="000000" w:themeColor="text1"/>
        </w:rPr>
        <w:t>As to the ambit of the dispute, t</w:t>
      </w:r>
      <w:r w:rsidR="007017C7" w:rsidRPr="007D75EA">
        <w:rPr>
          <w:color w:val="000000" w:themeColor="text1"/>
        </w:rPr>
        <w:t xml:space="preserve">he parties disagree on </w:t>
      </w:r>
      <w:r w:rsidR="00C15729" w:rsidRPr="007D75EA">
        <w:rPr>
          <w:color w:val="000000" w:themeColor="text1"/>
        </w:rPr>
        <w:t xml:space="preserve">facts but also on </w:t>
      </w:r>
      <w:r w:rsidR="007017C7" w:rsidRPr="007D75EA">
        <w:rPr>
          <w:color w:val="000000" w:themeColor="text1"/>
        </w:rPr>
        <w:t xml:space="preserve">the “trigger” for the 2019 Regulations to bite. </w:t>
      </w:r>
      <w:r w:rsidR="00C15729" w:rsidRPr="007D75EA">
        <w:rPr>
          <w:color w:val="000000" w:themeColor="text1"/>
        </w:rPr>
        <w:t xml:space="preserve">In line with the </w:t>
      </w:r>
      <w:r w:rsidR="00EF4CA2" w:rsidRPr="007D75EA">
        <w:rPr>
          <w:color w:val="000000" w:themeColor="text1"/>
        </w:rPr>
        <w:t xml:space="preserve">obiter </w:t>
      </w:r>
      <w:r w:rsidR="00C15729" w:rsidRPr="007D75EA">
        <w:rPr>
          <w:color w:val="000000" w:themeColor="text1"/>
        </w:rPr>
        <w:t xml:space="preserve">indication of Falk LJ, </w:t>
      </w:r>
      <w:r w:rsidR="007017C7" w:rsidRPr="007D75EA">
        <w:rPr>
          <w:color w:val="000000" w:themeColor="text1"/>
        </w:rPr>
        <w:t xml:space="preserve">Mr Bedzhamov submits that dealing with funds which one has “reasonable cause to suspect” </w:t>
      </w:r>
      <w:r w:rsidR="0017305A" w:rsidRPr="007D75EA">
        <w:rPr>
          <w:color w:val="000000" w:themeColor="text1"/>
        </w:rPr>
        <w:t>are</w:t>
      </w:r>
      <w:r w:rsidR="007017C7" w:rsidRPr="007D75EA">
        <w:rPr>
          <w:color w:val="000000" w:themeColor="text1"/>
        </w:rPr>
        <w:t xml:space="preserve"> owned or controlled by DPs is prohibited unless and until that suspicion is dispelled. The funds must be frozen in the intervening period. The Trustee and VPB say that the prohibition is only engaged if the funds are in fact proven to be owned or controlled by DPs.</w:t>
      </w:r>
    </w:p>
    <w:p w14:paraId="21FE7EE1" w14:textId="48EA802A" w:rsidR="009B053C" w:rsidRPr="00064037" w:rsidRDefault="009B053C" w:rsidP="00495134">
      <w:pPr>
        <w:pStyle w:val="BodyText"/>
      </w:pPr>
      <w:r w:rsidRPr="007D75EA">
        <w:t xml:space="preserve">Shortly before the hearing </w:t>
      </w:r>
      <w:r w:rsidR="00E00F28" w:rsidRPr="007D75EA">
        <w:t xml:space="preserve">of the application </w:t>
      </w:r>
      <w:r w:rsidRPr="007D75EA">
        <w:t xml:space="preserve">it emerged that the Trustee and VPB are exploring a change of funder away from A1, which </w:t>
      </w:r>
      <w:r w:rsidR="00F10F55" w:rsidRPr="007D75EA">
        <w:t xml:space="preserve">we are told </w:t>
      </w:r>
      <w:r w:rsidRPr="007D75EA">
        <w:t xml:space="preserve">may render </w:t>
      </w:r>
      <w:r w:rsidR="00F10F55" w:rsidRPr="007D75EA">
        <w:t>the</w:t>
      </w:r>
      <w:r w:rsidRPr="007D75EA">
        <w:t xml:space="preserve"> findings</w:t>
      </w:r>
      <w:r w:rsidR="00F10F55" w:rsidRPr="007D75EA">
        <w:t xml:space="preserve"> in this judgment</w:t>
      </w:r>
      <w:r w:rsidRPr="007D75EA">
        <w:t xml:space="preserve"> moot. We </w:t>
      </w:r>
      <w:r w:rsidR="00F10F55" w:rsidRPr="007D75EA">
        <w:t>were</w:t>
      </w:r>
      <w:r w:rsidRPr="007D75EA">
        <w:t xml:space="preserve"> informed that negotiations with an alternative funder are progressing and are expected to complete sometime in April 2024</w:t>
      </w:r>
      <w:r w:rsidR="003C1DCE" w:rsidRPr="007D75EA">
        <w:t xml:space="preserve">. There was </w:t>
      </w:r>
      <w:r w:rsidR="00463183" w:rsidRPr="007D75EA">
        <w:t>consequently</w:t>
      </w:r>
      <w:r w:rsidR="003C1DCE" w:rsidRPr="007D75EA">
        <w:t xml:space="preserve"> some discussion at the hearing about whether the </w:t>
      </w:r>
      <w:r w:rsidR="00463183" w:rsidRPr="007D75EA">
        <w:t>hearing</w:t>
      </w:r>
      <w:r w:rsidR="003C1DCE" w:rsidRPr="007D75EA">
        <w:t xml:space="preserve"> should be </w:t>
      </w:r>
      <w:proofErr w:type="gramStart"/>
      <w:r w:rsidR="00463183" w:rsidRPr="007D75EA">
        <w:t>adjourned</w:t>
      </w:r>
      <w:proofErr w:type="gramEnd"/>
      <w:r w:rsidR="003C1DCE" w:rsidRPr="007D75EA">
        <w:t xml:space="preserve"> or its scope limited. I</w:t>
      </w:r>
      <w:r w:rsidR="00463183" w:rsidRPr="007D75EA">
        <w:t>n</w:t>
      </w:r>
      <w:r w:rsidR="003C1DCE" w:rsidRPr="007D75EA">
        <w:t xml:space="preserve"> the end there was no agreement for either of these courses, or</w:t>
      </w:r>
      <w:r w:rsidR="00463183" w:rsidRPr="007D75EA">
        <w:t xml:space="preserve"> even any real enthusiasm on either side for them. Accordingly</w:t>
      </w:r>
      <w:r w:rsidR="00CD6F34" w:rsidRPr="007D75EA">
        <w:t>,</w:t>
      </w:r>
      <w:r w:rsidR="00463183" w:rsidRPr="007D75EA">
        <w:t xml:space="preserve"> the hearing proceeded as scheduled on the basis that we would be kept informed of any relevant developments. No</w:t>
      </w:r>
      <w:r w:rsidRPr="007D75EA">
        <w:t xml:space="preserve"> agreement ha</w:t>
      </w:r>
      <w:r w:rsidR="00E7294C">
        <w:t>d</w:t>
      </w:r>
      <w:r w:rsidRPr="007D75EA">
        <w:t xml:space="preserve"> been reached as at </w:t>
      </w:r>
      <w:r w:rsidR="00F10F55" w:rsidRPr="007D75EA">
        <w:t>the time of the hearing</w:t>
      </w:r>
      <w:r w:rsidR="00BB72B3" w:rsidRPr="007D75EA">
        <w:t xml:space="preserve">. Since the hearing we have been informed </w:t>
      </w:r>
      <w:r w:rsidR="00A40482" w:rsidRPr="007D75EA">
        <w:t>on 15 April</w:t>
      </w:r>
      <w:r w:rsidR="006F7309" w:rsidRPr="007D75EA">
        <w:t xml:space="preserve"> 2024 </w:t>
      </w:r>
      <w:r w:rsidR="002B2C0D">
        <w:t xml:space="preserve">(separately by each of VPB and the Trustee) </w:t>
      </w:r>
      <w:r w:rsidR="006F7309" w:rsidRPr="007D75EA">
        <w:t xml:space="preserve">that </w:t>
      </w:r>
      <w:r w:rsidR="006F7309" w:rsidRPr="007D75EA">
        <w:rPr>
          <w:color w:val="000000" w:themeColor="text1"/>
        </w:rPr>
        <w:t>A1 LLC is no longer funding VPB</w:t>
      </w:r>
      <w:r w:rsidR="00E7294C">
        <w:rPr>
          <w:color w:val="000000" w:themeColor="text1"/>
        </w:rPr>
        <w:t xml:space="preserve"> or the Trustee</w:t>
      </w:r>
      <w:r w:rsidR="006F7309" w:rsidRPr="007D75EA">
        <w:rPr>
          <w:color w:val="000000" w:themeColor="text1"/>
        </w:rPr>
        <w:t>, having been replaced by Cezar Legal Consulting Agency LLC (“Cezar”) pursuant to agreement</w:t>
      </w:r>
      <w:r w:rsidR="00E7294C">
        <w:rPr>
          <w:color w:val="000000" w:themeColor="text1"/>
        </w:rPr>
        <w:t>s</w:t>
      </w:r>
      <w:r w:rsidR="006F7309" w:rsidRPr="007D75EA">
        <w:rPr>
          <w:color w:val="000000" w:themeColor="text1"/>
        </w:rPr>
        <w:t xml:space="preserve"> dated 27 March 2024.</w:t>
      </w:r>
      <w:r w:rsidR="00A20087" w:rsidRPr="007D75EA">
        <w:rPr>
          <w:color w:val="000000" w:themeColor="text1"/>
        </w:rPr>
        <w:t xml:space="preserve"> O</w:t>
      </w:r>
      <w:r w:rsidR="00CD6F34" w:rsidRPr="007D75EA">
        <w:rPr>
          <w:color w:val="000000" w:themeColor="text1"/>
        </w:rPr>
        <w:t>n</w:t>
      </w:r>
      <w:r w:rsidR="00A20087" w:rsidRPr="007D75EA">
        <w:rPr>
          <w:color w:val="000000" w:themeColor="text1"/>
        </w:rPr>
        <w:t xml:space="preserve"> 16 April those acting for Mr</w:t>
      </w:r>
      <w:r w:rsidR="0011022E" w:rsidRPr="007D75EA">
        <w:rPr>
          <w:color w:val="000000" w:themeColor="text1"/>
        </w:rPr>
        <w:t xml:space="preserve"> Bedzhamov indicated that both the proposed new funder and its </w:t>
      </w:r>
      <w:proofErr w:type="gramStart"/>
      <w:r w:rsidR="0011022E" w:rsidRPr="007D75EA">
        <w:rPr>
          <w:color w:val="000000" w:themeColor="text1"/>
        </w:rPr>
        <w:t>third party</w:t>
      </w:r>
      <w:proofErr w:type="gramEnd"/>
      <w:r w:rsidR="0011022E" w:rsidRPr="007D75EA">
        <w:rPr>
          <w:color w:val="000000" w:themeColor="text1"/>
        </w:rPr>
        <w:t xml:space="preserve"> payer are Russian companies</w:t>
      </w:r>
      <w:r w:rsidR="00C94D10" w:rsidRPr="007D75EA">
        <w:rPr>
          <w:color w:val="000000" w:themeColor="text1"/>
        </w:rPr>
        <w:t xml:space="preserve"> and that </w:t>
      </w:r>
      <w:r w:rsidR="00944621" w:rsidRPr="007D75EA">
        <w:rPr>
          <w:color w:val="000000" w:themeColor="text1"/>
        </w:rPr>
        <w:t>further</w:t>
      </w:r>
      <w:r w:rsidR="00C94D10" w:rsidRPr="007D75EA">
        <w:rPr>
          <w:color w:val="000000" w:themeColor="text1"/>
        </w:rPr>
        <w:t xml:space="preserve"> due diligence would need to be conducted before</w:t>
      </w:r>
      <w:r w:rsidR="00405DFF" w:rsidRPr="007D75EA">
        <w:rPr>
          <w:color w:val="000000" w:themeColor="text1"/>
        </w:rPr>
        <w:t xml:space="preserve"> they could be satisfied that </w:t>
      </w:r>
      <w:r w:rsidR="00944621" w:rsidRPr="007D75EA">
        <w:rPr>
          <w:color w:val="000000" w:themeColor="text1"/>
        </w:rPr>
        <w:t>the issues before us were at all affected</w:t>
      </w:r>
      <w:r w:rsidR="00484A2F">
        <w:rPr>
          <w:color w:val="000000" w:themeColor="text1"/>
        </w:rPr>
        <w:t>.</w:t>
      </w:r>
      <w:r w:rsidR="00F92EF9">
        <w:rPr>
          <w:color w:val="000000" w:themeColor="text1"/>
        </w:rPr>
        <w:t xml:space="preserve"> On 25 April</w:t>
      </w:r>
      <w:r w:rsidR="00393F48">
        <w:rPr>
          <w:color w:val="000000" w:themeColor="text1"/>
        </w:rPr>
        <w:t xml:space="preserve"> those acting for VPB indicated</w:t>
      </w:r>
      <w:r w:rsidR="000C45C1">
        <w:rPr>
          <w:color w:val="000000" w:themeColor="text1"/>
        </w:rPr>
        <w:t xml:space="preserve"> that the due diligence process was coming to an end and suggesting that the circulation of a draft might be delayed.</w:t>
      </w:r>
      <w:r w:rsidR="00ED2F18">
        <w:rPr>
          <w:color w:val="000000" w:themeColor="text1"/>
        </w:rPr>
        <w:t xml:space="preserve"> That suggestion was disagreed with both by</w:t>
      </w:r>
      <w:r w:rsidR="00C52F3D">
        <w:rPr>
          <w:color w:val="000000" w:themeColor="text1"/>
        </w:rPr>
        <w:t xml:space="preserve"> the representatives of Mr Bedzhamov and those acting for a related party in imminent litigation elsewhere</w:t>
      </w:r>
      <w:r w:rsidR="00F45FDA">
        <w:rPr>
          <w:color w:val="000000" w:themeColor="text1"/>
        </w:rPr>
        <w:t>.</w:t>
      </w:r>
      <w:r w:rsidR="00F0508C">
        <w:rPr>
          <w:color w:val="000000" w:themeColor="text1"/>
        </w:rPr>
        <w:t xml:space="preserve"> We have not been minded </w:t>
      </w:r>
      <w:proofErr w:type="gramStart"/>
      <w:r w:rsidR="00F0508C">
        <w:rPr>
          <w:color w:val="000000" w:themeColor="text1"/>
        </w:rPr>
        <w:t>to delay</w:t>
      </w:r>
      <w:proofErr w:type="gramEnd"/>
      <w:r w:rsidR="00F0508C">
        <w:rPr>
          <w:color w:val="000000" w:themeColor="text1"/>
        </w:rPr>
        <w:t xml:space="preserve"> circulation of the draft or hand down of the judgment.</w:t>
      </w:r>
    </w:p>
    <w:p w14:paraId="16785917" w14:textId="1B09B8AE" w:rsidR="009B053C" w:rsidRDefault="00C577BA" w:rsidP="00E779E3">
      <w:pPr>
        <w:pStyle w:val="BodyText"/>
        <w:rPr>
          <w:color w:val="000000" w:themeColor="text1"/>
        </w:rPr>
      </w:pPr>
      <w:r>
        <w:rPr>
          <w:color w:val="000000" w:themeColor="text1"/>
        </w:rPr>
        <w:t>As noted on the title page</w:t>
      </w:r>
      <w:r w:rsidR="00730B31">
        <w:rPr>
          <w:color w:val="000000" w:themeColor="text1"/>
        </w:rPr>
        <w:t>,</w:t>
      </w:r>
      <w:r w:rsidR="007A7DA0">
        <w:rPr>
          <w:color w:val="000000" w:themeColor="text1"/>
        </w:rPr>
        <w:t xml:space="preserve"> VPB and the Trustee were separately represented. </w:t>
      </w:r>
      <w:proofErr w:type="gramStart"/>
      <w:r w:rsidR="007A7DA0">
        <w:rPr>
          <w:color w:val="000000" w:themeColor="text1"/>
        </w:rPr>
        <w:t>However</w:t>
      </w:r>
      <w:proofErr w:type="gramEnd"/>
      <w:r w:rsidR="007A7DA0">
        <w:rPr>
          <w:color w:val="000000" w:themeColor="text1"/>
        </w:rPr>
        <w:t xml:space="preserve"> the two parties largely made common cause</w:t>
      </w:r>
      <w:r w:rsidR="00FC4787">
        <w:rPr>
          <w:color w:val="000000" w:themeColor="text1"/>
        </w:rPr>
        <w:t>, dividing the submissions between Ms Barnes KC for the Trustee, who led on the issue of construction and Mr Rando</w:t>
      </w:r>
      <w:r w:rsidR="007673D5">
        <w:rPr>
          <w:color w:val="000000" w:themeColor="text1"/>
        </w:rPr>
        <w:t>l</w:t>
      </w:r>
      <w:r w:rsidR="00FC4787">
        <w:rPr>
          <w:color w:val="000000" w:themeColor="text1"/>
        </w:rPr>
        <w:t>ph KC who dealt with the factual aspects</w:t>
      </w:r>
      <w:r w:rsidR="00660469">
        <w:rPr>
          <w:color w:val="000000" w:themeColor="text1"/>
        </w:rPr>
        <w:t>.</w:t>
      </w:r>
    </w:p>
    <w:p w14:paraId="4FC85A15" w14:textId="6A155C6E" w:rsidR="00E779E3" w:rsidRPr="007017C7" w:rsidRDefault="00E779E3" w:rsidP="00E779E3">
      <w:pPr>
        <w:pStyle w:val="Heading2"/>
      </w:pPr>
      <w:r>
        <w:t>Background</w:t>
      </w:r>
    </w:p>
    <w:p w14:paraId="65A873B6" w14:textId="65419C14" w:rsidR="009E6B85" w:rsidRDefault="009E6B85" w:rsidP="00F41E84">
      <w:pPr>
        <w:pStyle w:val="BodyText"/>
        <w:rPr>
          <w:color w:val="000000" w:themeColor="text1"/>
          <w:lang w:val="en-US"/>
        </w:rPr>
      </w:pPr>
      <w:r>
        <w:rPr>
          <w:color w:val="000000" w:themeColor="text1"/>
          <w:lang w:val="en-US"/>
        </w:rPr>
        <w:t>The background to the wider litigation is set out in earlier judgments in this case and need not be repeated.</w:t>
      </w:r>
      <w:r w:rsidR="00C924A3">
        <w:rPr>
          <w:color w:val="000000" w:themeColor="text1"/>
          <w:lang w:val="en-US"/>
        </w:rPr>
        <w:t xml:space="preserve"> A </w:t>
      </w:r>
      <w:r w:rsidR="00B32F61">
        <w:rPr>
          <w:color w:val="000000" w:themeColor="text1"/>
          <w:lang w:val="en-US"/>
        </w:rPr>
        <w:t>good understanding of it can be gleaned from reading:</w:t>
      </w:r>
    </w:p>
    <w:p w14:paraId="216CEF51" w14:textId="676CB845" w:rsidR="00B32F61" w:rsidRDefault="00B32F61" w:rsidP="00B32F61">
      <w:pPr>
        <w:pStyle w:val="BodyText"/>
        <w:numPr>
          <w:ilvl w:val="1"/>
          <w:numId w:val="4"/>
        </w:numPr>
        <w:rPr>
          <w:color w:val="000000" w:themeColor="text1"/>
          <w:lang w:val="en-US"/>
        </w:rPr>
      </w:pPr>
      <w:r>
        <w:rPr>
          <w:color w:val="000000" w:themeColor="text1"/>
          <w:lang w:val="en-US"/>
        </w:rPr>
        <w:lastRenderedPageBreak/>
        <w:t xml:space="preserve">[1]-[105] of the judgment of Snowden J </w:t>
      </w:r>
      <w:r w:rsidR="005F4231">
        <w:rPr>
          <w:color w:val="000000" w:themeColor="text1"/>
          <w:lang w:val="en-US"/>
        </w:rPr>
        <w:t>[2021]</w:t>
      </w:r>
      <w:r w:rsidR="00230BD5">
        <w:rPr>
          <w:color w:val="000000" w:themeColor="text1"/>
          <w:lang w:val="en-US"/>
        </w:rPr>
        <w:t xml:space="preserve"> EWHC 2281 (Ch</w:t>
      </w:r>
      <w:proofErr w:type="gramStart"/>
      <w:r w:rsidR="00230BD5">
        <w:rPr>
          <w:color w:val="000000" w:themeColor="text1"/>
          <w:lang w:val="en-US"/>
        </w:rPr>
        <w:t>);</w:t>
      </w:r>
      <w:proofErr w:type="gramEnd"/>
    </w:p>
    <w:p w14:paraId="26A25EEB" w14:textId="0896A738" w:rsidR="00230BD5" w:rsidRDefault="00107381" w:rsidP="00B32F61">
      <w:pPr>
        <w:pStyle w:val="BodyText"/>
        <w:numPr>
          <w:ilvl w:val="1"/>
          <w:numId w:val="4"/>
        </w:numPr>
        <w:rPr>
          <w:color w:val="000000" w:themeColor="text1"/>
          <w:lang w:val="en-US"/>
        </w:rPr>
      </w:pPr>
      <w:r>
        <w:rPr>
          <w:color w:val="000000" w:themeColor="text1"/>
          <w:lang w:val="en-US"/>
        </w:rPr>
        <w:t xml:space="preserve">The Judgment of Falk J </w:t>
      </w:r>
      <w:r w:rsidR="009E1125">
        <w:rPr>
          <w:color w:val="000000" w:themeColor="text1"/>
          <w:lang w:val="en-US"/>
        </w:rPr>
        <w:t>[2022] EWHC 1166 (Ch).</w:t>
      </w:r>
    </w:p>
    <w:p w14:paraId="6CF20A31" w14:textId="4835C53C" w:rsidR="00A66148" w:rsidRDefault="00CE3A2A" w:rsidP="003617AE">
      <w:pPr>
        <w:pStyle w:val="BodyText"/>
        <w:numPr>
          <w:ilvl w:val="0"/>
          <w:numId w:val="0"/>
        </w:numPr>
        <w:ind w:left="927"/>
        <w:rPr>
          <w:color w:val="000000" w:themeColor="text1"/>
          <w:lang w:val="en-US"/>
        </w:rPr>
      </w:pPr>
      <w:r>
        <w:rPr>
          <w:color w:val="000000" w:themeColor="text1"/>
          <w:lang w:val="en-US"/>
        </w:rPr>
        <w:t>It is however perhaps worth just noting that the claims are very considerable indeed</w:t>
      </w:r>
      <w:r w:rsidR="00BF72BB">
        <w:rPr>
          <w:color w:val="000000" w:themeColor="text1"/>
          <w:lang w:val="en-US"/>
        </w:rPr>
        <w:t xml:space="preserve">, </w:t>
      </w:r>
      <w:r>
        <w:rPr>
          <w:color w:val="000000" w:themeColor="text1"/>
          <w:lang w:val="en-US"/>
        </w:rPr>
        <w:t>t</w:t>
      </w:r>
      <w:r w:rsidRPr="00CE3A2A">
        <w:rPr>
          <w:color w:val="000000" w:themeColor="text1"/>
          <w:lang w:val="en-US"/>
        </w:rPr>
        <w:t xml:space="preserve">he VPB claim is pleaded at </w:t>
      </w:r>
      <w:r>
        <w:rPr>
          <w:color w:val="000000" w:themeColor="text1"/>
          <w:lang w:val="en-US"/>
        </w:rPr>
        <w:t>US$</w:t>
      </w:r>
      <w:r w:rsidRPr="00CE3A2A">
        <w:rPr>
          <w:color w:val="000000" w:themeColor="text1"/>
          <w:lang w:val="en-US"/>
        </w:rPr>
        <w:t>1.34bn</w:t>
      </w:r>
      <w:r w:rsidR="00214D5D">
        <w:rPr>
          <w:color w:val="000000" w:themeColor="text1"/>
          <w:lang w:val="en-US"/>
        </w:rPr>
        <w:t>.</w:t>
      </w:r>
    </w:p>
    <w:p w14:paraId="29AF0508" w14:textId="18EFEFB0" w:rsidR="00F41E84" w:rsidRPr="00F41E84" w:rsidRDefault="00A274BB" w:rsidP="00F41E84">
      <w:pPr>
        <w:pStyle w:val="BodyText"/>
        <w:rPr>
          <w:color w:val="000000" w:themeColor="text1"/>
          <w:lang w:val="en-US"/>
        </w:rPr>
      </w:pPr>
      <w:r>
        <w:rPr>
          <w:color w:val="000000" w:themeColor="text1"/>
          <w:lang w:val="en-US"/>
        </w:rPr>
        <w:t xml:space="preserve">The critical base fact which </w:t>
      </w:r>
      <w:r w:rsidR="001E66B7">
        <w:rPr>
          <w:color w:val="000000" w:themeColor="text1"/>
          <w:lang w:val="en-US"/>
        </w:rPr>
        <w:t>leads to this application</w:t>
      </w:r>
      <w:r w:rsidR="00580FD5">
        <w:rPr>
          <w:color w:val="000000" w:themeColor="text1"/>
          <w:lang w:val="en-US"/>
        </w:rPr>
        <w:t xml:space="preserve"> is that</w:t>
      </w:r>
      <w:r w:rsidR="00F41E84" w:rsidRPr="00F41E84">
        <w:rPr>
          <w:color w:val="000000" w:themeColor="text1"/>
          <w:lang w:val="en-US"/>
        </w:rPr>
        <w:t xml:space="preserve"> A1 is the litigation funder of VPB and the Trustee and therefore stands to obtain a financial benefit from recoveries obtained by them from Mr Bedzhamov. Part of those recoveries include the proceeds of sale from Mr Bedzhamov’s interest in a property at 17 Belgrave Square and 17 Belgrave Square Mews, London, SW1X 8PG (“the Property”). </w:t>
      </w:r>
      <w:r w:rsidR="00C60477">
        <w:rPr>
          <w:color w:val="000000" w:themeColor="text1"/>
          <w:lang w:val="en-US"/>
        </w:rPr>
        <w:t>That is understood to be his main asset in this jurisdiction. There have been three applications over the last three years for permission to sell th</w:t>
      </w:r>
      <w:r w:rsidR="00B35758">
        <w:rPr>
          <w:color w:val="000000" w:themeColor="text1"/>
          <w:lang w:val="en-US"/>
        </w:rPr>
        <w:t>is property.</w:t>
      </w:r>
    </w:p>
    <w:p w14:paraId="0356413F" w14:textId="77777777" w:rsidR="00376E5A" w:rsidRDefault="00F41E84" w:rsidP="00F41E84">
      <w:pPr>
        <w:pStyle w:val="BodyText"/>
        <w:rPr>
          <w:color w:val="000000" w:themeColor="text1"/>
          <w:lang w:val="en-US"/>
        </w:rPr>
      </w:pPr>
      <w:r w:rsidRPr="00F41E84">
        <w:rPr>
          <w:color w:val="000000" w:themeColor="text1"/>
          <w:lang w:val="en-US"/>
        </w:rPr>
        <w:t xml:space="preserve">A1 is part of the Alfa Group, which </w:t>
      </w:r>
      <w:r w:rsidR="007019F6">
        <w:rPr>
          <w:color w:val="000000" w:themeColor="text1"/>
          <w:lang w:val="en-US"/>
        </w:rPr>
        <w:t xml:space="preserve">was founded in 1989 and </w:t>
      </w:r>
      <w:r w:rsidRPr="00F41E84">
        <w:rPr>
          <w:color w:val="000000" w:themeColor="text1"/>
          <w:lang w:val="en-US"/>
        </w:rPr>
        <w:t xml:space="preserve">is described </w:t>
      </w:r>
      <w:r w:rsidR="002C5B50">
        <w:rPr>
          <w:color w:val="000000" w:themeColor="text1"/>
          <w:lang w:val="en-US"/>
        </w:rPr>
        <w:t xml:space="preserve">on its website </w:t>
      </w:r>
      <w:r w:rsidRPr="00F41E84">
        <w:rPr>
          <w:color w:val="000000" w:themeColor="text1"/>
          <w:lang w:val="en-US"/>
        </w:rPr>
        <w:t>as “</w:t>
      </w:r>
      <w:r w:rsidRPr="008C50D3">
        <w:rPr>
          <w:i/>
          <w:iCs/>
          <w:color w:val="000000" w:themeColor="text1"/>
          <w:lang w:val="en-US"/>
        </w:rPr>
        <w:t>one of the largest privately owned financial-investment conglomerates in Russia</w:t>
      </w:r>
      <w:r w:rsidRPr="00F41E84">
        <w:rPr>
          <w:color w:val="000000" w:themeColor="text1"/>
          <w:lang w:val="en-US"/>
        </w:rPr>
        <w:t>”.</w:t>
      </w:r>
      <w:r w:rsidR="00483429">
        <w:rPr>
          <w:color w:val="000000" w:themeColor="text1"/>
          <w:lang w:val="en-US"/>
        </w:rPr>
        <w:t xml:space="preserve"> </w:t>
      </w:r>
    </w:p>
    <w:p w14:paraId="48CCE2E2" w14:textId="435086F5" w:rsidR="002C5B50" w:rsidRDefault="00F41E84" w:rsidP="00F41E84">
      <w:pPr>
        <w:pStyle w:val="BodyText"/>
        <w:rPr>
          <w:color w:val="000000" w:themeColor="text1"/>
          <w:lang w:val="en-US"/>
        </w:rPr>
      </w:pPr>
      <w:r w:rsidRPr="00F41E84">
        <w:rPr>
          <w:color w:val="000000" w:themeColor="text1"/>
          <w:lang w:val="en-US"/>
        </w:rPr>
        <w:t>According to Alfa Group’s 2020 Annual Report, the three founders of the Alfa Group, who were described as its “main beneficial owners”, are Mr Mikhail Fridman, Mr German Khan, and Mr Alexey Kuzmichev</w:t>
      </w:r>
      <w:r w:rsidR="00CF12C1">
        <w:rPr>
          <w:color w:val="000000" w:themeColor="text1"/>
          <w:lang w:val="en-US"/>
        </w:rPr>
        <w:t xml:space="preserve"> (“the Founders”)</w:t>
      </w:r>
      <w:r w:rsidRPr="00F41E84">
        <w:rPr>
          <w:color w:val="000000" w:themeColor="text1"/>
          <w:lang w:val="en-US"/>
        </w:rPr>
        <w:t xml:space="preserve">. They were members of the Supervisory Board of Alfa Group. </w:t>
      </w:r>
    </w:p>
    <w:p w14:paraId="606E905F" w14:textId="5D7BB6E8" w:rsidR="009F6830" w:rsidRDefault="009F6830" w:rsidP="00F41E84">
      <w:pPr>
        <w:pStyle w:val="BodyText"/>
        <w:rPr>
          <w:color w:val="000000" w:themeColor="text1"/>
          <w:lang w:val="en-US"/>
        </w:rPr>
      </w:pPr>
      <w:r>
        <w:rPr>
          <w:color w:val="000000" w:themeColor="text1"/>
          <w:lang w:val="en-US"/>
        </w:rPr>
        <w:t>Also on the Alfa Group S</w:t>
      </w:r>
      <w:r w:rsidR="00C62F98">
        <w:rPr>
          <w:color w:val="000000" w:themeColor="text1"/>
          <w:lang w:val="en-US"/>
        </w:rPr>
        <w:t>u</w:t>
      </w:r>
      <w:r>
        <w:rPr>
          <w:color w:val="000000" w:themeColor="text1"/>
          <w:lang w:val="en-US"/>
        </w:rPr>
        <w:t>perv</w:t>
      </w:r>
      <w:r w:rsidR="00C62F98">
        <w:rPr>
          <w:color w:val="000000" w:themeColor="text1"/>
          <w:lang w:val="en-US"/>
        </w:rPr>
        <w:t xml:space="preserve">isory Board are two other gentlemen who have a central role to play in this </w:t>
      </w:r>
      <w:r w:rsidR="00757B26">
        <w:rPr>
          <w:color w:val="000000" w:themeColor="text1"/>
          <w:lang w:val="en-US"/>
        </w:rPr>
        <w:t xml:space="preserve">manifestation of the </w:t>
      </w:r>
      <w:r w:rsidR="00C62F98">
        <w:rPr>
          <w:color w:val="000000" w:themeColor="text1"/>
          <w:lang w:val="en-US"/>
        </w:rPr>
        <w:t>dispute. The first is Mr Andrei Kosogov.</w:t>
      </w:r>
      <w:r w:rsidR="00356087">
        <w:rPr>
          <w:color w:val="000000" w:themeColor="text1"/>
          <w:lang w:val="en-US"/>
        </w:rPr>
        <w:t xml:space="preserve"> His biography in the Alfa Group Annual Report states this:</w:t>
      </w:r>
    </w:p>
    <w:p w14:paraId="659CBB01" w14:textId="10C39A16" w:rsidR="00F8786F" w:rsidRDefault="00F8786F" w:rsidP="00030E57">
      <w:pPr>
        <w:pStyle w:val="Quote"/>
        <w:rPr>
          <w:lang w:val="en-US"/>
        </w:rPr>
      </w:pPr>
      <w:r>
        <w:rPr>
          <w:lang w:val="en-US"/>
        </w:rPr>
        <w:t>“</w:t>
      </w:r>
      <w:r w:rsidRPr="00F8786F">
        <w:rPr>
          <w:lang w:val="en-US"/>
        </w:rPr>
        <w:t xml:space="preserve">Mr. Kosogov is a member of the Board of Directors of </w:t>
      </w:r>
      <w:proofErr w:type="spellStart"/>
      <w:r w:rsidRPr="00F8786F">
        <w:rPr>
          <w:lang w:val="en-US"/>
        </w:rPr>
        <w:t>AlfaStrakhovanie</w:t>
      </w:r>
      <w:proofErr w:type="spellEnd"/>
      <w:r w:rsidRPr="00F8786F">
        <w:rPr>
          <w:lang w:val="en-US"/>
        </w:rPr>
        <w:t xml:space="preserve"> Group, a member of the Board of Directors of Alfa-Bank (Russia), a member of the Board of Directors of ABH Holdings S.A., a member of the Board of Directors of Alfa-Bank (Kazakhstan) and a member of the Board of Directors of Alfa-Capital Management Company LLC. From November 2005 through June 2009, Mr. Kosogov acted as Chairman of the Supervisory Board of Alfa-Bank (Ukraine). From 2005 to 2011, Mr. Kosogov served as Chairman of the Board of Directors of Alfa Asset Management. From 2003 to 2007, Mr. Kosogov acted as Chairman of the Board of Directors of </w:t>
      </w:r>
      <w:proofErr w:type="spellStart"/>
      <w:r w:rsidRPr="00F8786F">
        <w:rPr>
          <w:lang w:val="en-US"/>
        </w:rPr>
        <w:t>AlfaStrakhovanie</w:t>
      </w:r>
      <w:proofErr w:type="spellEnd"/>
      <w:r w:rsidRPr="00F8786F">
        <w:rPr>
          <w:lang w:val="en-US"/>
        </w:rPr>
        <w:t xml:space="preserve"> Group. From 1998 to 2005, Mr. Kosogov was First Deputy Chairman of the Management Board of Alfa-Bank Russia and Director of its Investment banking division. From 1992 to 1998, Mr. Kosogov served as CEO of Alfa-Capital Management Company LLC. Mr. Kosogov graduated from the Moscow Power Engineering Institute in 1987. He was born in </w:t>
      </w:r>
      <w:proofErr w:type="spellStart"/>
      <w:r w:rsidRPr="00F8786F">
        <w:rPr>
          <w:lang w:val="en-US"/>
        </w:rPr>
        <w:t>Sillamaё</w:t>
      </w:r>
      <w:proofErr w:type="spellEnd"/>
      <w:r w:rsidRPr="00F8786F">
        <w:rPr>
          <w:lang w:val="en-US"/>
        </w:rPr>
        <w:t>, Estonia in 1961.</w:t>
      </w:r>
      <w:r w:rsidR="0008553B">
        <w:rPr>
          <w:lang w:val="en-US"/>
        </w:rPr>
        <w:t>”</w:t>
      </w:r>
    </w:p>
    <w:p w14:paraId="0D798C7C" w14:textId="6259DD18" w:rsidR="00804166" w:rsidRDefault="0008553B" w:rsidP="00F41E84">
      <w:pPr>
        <w:pStyle w:val="BodyText"/>
        <w:rPr>
          <w:color w:val="000000" w:themeColor="text1"/>
          <w:lang w:val="en-US"/>
        </w:rPr>
      </w:pPr>
      <w:r>
        <w:rPr>
          <w:color w:val="000000" w:themeColor="text1"/>
          <w:lang w:val="en-US"/>
        </w:rPr>
        <w:t>Mr Kosogov has therefore worked within the Alfa Bank business</w:t>
      </w:r>
      <w:r w:rsidR="00804166">
        <w:rPr>
          <w:color w:val="000000" w:themeColor="text1"/>
          <w:lang w:val="en-US"/>
        </w:rPr>
        <w:t xml:space="preserve"> </w:t>
      </w:r>
      <w:r w:rsidR="007019F6">
        <w:rPr>
          <w:color w:val="000000" w:themeColor="text1"/>
          <w:lang w:val="en-US"/>
        </w:rPr>
        <w:t xml:space="preserve">and for the Founders </w:t>
      </w:r>
      <w:r w:rsidR="00804166">
        <w:rPr>
          <w:color w:val="000000" w:themeColor="text1"/>
          <w:lang w:val="en-US"/>
        </w:rPr>
        <w:t>for over 30 years</w:t>
      </w:r>
      <w:r w:rsidR="00F74B4C">
        <w:rPr>
          <w:color w:val="000000" w:themeColor="text1"/>
          <w:lang w:val="en-US"/>
        </w:rPr>
        <w:t xml:space="preserve"> – indeed for practically all of his working life</w:t>
      </w:r>
      <w:r w:rsidR="00804166">
        <w:rPr>
          <w:color w:val="000000" w:themeColor="text1"/>
          <w:lang w:val="en-US"/>
        </w:rPr>
        <w:t>.</w:t>
      </w:r>
    </w:p>
    <w:p w14:paraId="2EE529DC" w14:textId="5CE6673D" w:rsidR="00356087" w:rsidRDefault="009558C2" w:rsidP="00F41E84">
      <w:pPr>
        <w:pStyle w:val="BodyText"/>
        <w:rPr>
          <w:color w:val="000000" w:themeColor="text1"/>
          <w:lang w:val="en-US"/>
        </w:rPr>
      </w:pPr>
      <w:r>
        <w:rPr>
          <w:color w:val="000000" w:themeColor="text1"/>
          <w:lang w:val="en-US"/>
        </w:rPr>
        <w:lastRenderedPageBreak/>
        <w:t>The other is Mr Fayn</w:t>
      </w:r>
      <w:r w:rsidR="00C41CFF">
        <w:rPr>
          <w:color w:val="000000" w:themeColor="text1"/>
          <w:lang w:val="en-US"/>
        </w:rPr>
        <w:t xml:space="preserve"> (or Fain)</w:t>
      </w:r>
      <w:r>
        <w:rPr>
          <w:color w:val="000000" w:themeColor="text1"/>
          <w:lang w:val="en-US"/>
        </w:rPr>
        <w:t xml:space="preserve">. </w:t>
      </w:r>
      <w:r w:rsidR="00F74B4C">
        <w:rPr>
          <w:color w:val="000000" w:themeColor="text1"/>
          <w:lang w:val="en-US"/>
        </w:rPr>
        <w:t>Mr Fayn</w:t>
      </w:r>
      <w:r w:rsidR="00284C4E">
        <w:rPr>
          <w:color w:val="000000" w:themeColor="text1"/>
          <w:lang w:val="en-US"/>
        </w:rPr>
        <w:t xml:space="preserve"> has been on the Supervisory Board of Alfa Group for several years. </w:t>
      </w:r>
      <w:r>
        <w:rPr>
          <w:color w:val="000000" w:themeColor="text1"/>
          <w:lang w:val="en-US"/>
        </w:rPr>
        <w:t xml:space="preserve">His </w:t>
      </w:r>
      <w:r w:rsidR="00284C4E">
        <w:rPr>
          <w:color w:val="000000" w:themeColor="text1"/>
          <w:lang w:val="en-US"/>
        </w:rPr>
        <w:t xml:space="preserve">2020 </w:t>
      </w:r>
      <w:r>
        <w:rPr>
          <w:color w:val="000000" w:themeColor="text1"/>
          <w:lang w:val="en-US"/>
        </w:rPr>
        <w:t>biography states this:</w:t>
      </w:r>
    </w:p>
    <w:p w14:paraId="0720AD2C" w14:textId="19DFF1D3" w:rsidR="00A96B13" w:rsidRDefault="00A96B13" w:rsidP="00030E57">
      <w:pPr>
        <w:pStyle w:val="Quote"/>
        <w:rPr>
          <w:lang w:val="en-US"/>
        </w:rPr>
      </w:pPr>
      <w:r>
        <w:rPr>
          <w:lang w:val="en-US"/>
        </w:rPr>
        <w:t>“General Director of A1</w:t>
      </w:r>
    </w:p>
    <w:p w14:paraId="56DD561E" w14:textId="1309B3F2" w:rsidR="00A96B13" w:rsidRDefault="00A96B13" w:rsidP="00030E57">
      <w:pPr>
        <w:pStyle w:val="Quote"/>
        <w:rPr>
          <w:lang w:val="en-US"/>
        </w:rPr>
      </w:pPr>
      <w:r w:rsidRPr="00A96B13">
        <w:rPr>
          <w:lang w:val="en-US"/>
        </w:rPr>
        <w:t>Mr. Fain graduated with honors from the Moscow Institute of Chemical Engineering, Engineering Department in 1958. From 1958 until 1988, he was involved in a number of innovative engineering projects. Mr. Fain is the author of more than 70 scientific articles, manuals, books, monographs, and patents. He also holds the honorary title of active member of International Academy of Sustainable Development and holds a candidate's degree and is a professor in the field of applied mathematics. Mr. Fain is often cited by the leading Russian business periodicals as one of the most influential businessmen in Russia. He was born in Moscow, Russia in 1936.</w:t>
      </w:r>
      <w:r w:rsidR="00030E57">
        <w:rPr>
          <w:lang w:val="en-US"/>
        </w:rPr>
        <w:t>”</w:t>
      </w:r>
    </w:p>
    <w:p w14:paraId="235AC5FD" w14:textId="0DCE0F0A" w:rsidR="00754B4E" w:rsidRDefault="00DE1A65" w:rsidP="00401AE3">
      <w:pPr>
        <w:pStyle w:val="BodyText"/>
        <w:rPr>
          <w:color w:val="000000" w:themeColor="text1"/>
          <w:lang w:val="en-US"/>
        </w:rPr>
      </w:pPr>
      <w:r>
        <w:rPr>
          <w:color w:val="000000" w:themeColor="text1"/>
          <w:lang w:val="en-US"/>
        </w:rPr>
        <w:t>I</w:t>
      </w:r>
      <w:r w:rsidR="00754B4E">
        <w:rPr>
          <w:color w:val="000000" w:themeColor="text1"/>
          <w:lang w:val="en-US"/>
        </w:rPr>
        <w:t>n</w:t>
      </w:r>
      <w:r>
        <w:rPr>
          <w:color w:val="000000" w:themeColor="text1"/>
          <w:lang w:val="en-US"/>
        </w:rPr>
        <w:t xml:space="preserve"> his statement Mr Fayn indicates that he too</w:t>
      </w:r>
      <w:r w:rsidR="006F63A3">
        <w:rPr>
          <w:color w:val="000000" w:themeColor="text1"/>
          <w:lang w:val="en-US"/>
        </w:rPr>
        <w:t xml:space="preserve"> has </w:t>
      </w:r>
      <w:r w:rsidR="00754B4E">
        <w:rPr>
          <w:color w:val="000000" w:themeColor="text1"/>
          <w:lang w:val="en-US"/>
        </w:rPr>
        <w:t>had</w:t>
      </w:r>
      <w:r w:rsidR="006F63A3">
        <w:rPr>
          <w:color w:val="000000" w:themeColor="text1"/>
          <w:lang w:val="en-US"/>
        </w:rPr>
        <w:t xml:space="preserve"> a long association with the A1 group of companies </w:t>
      </w:r>
      <w:r w:rsidR="006F63A3" w:rsidRPr="00AE3566">
        <w:rPr>
          <w:i/>
          <w:iCs/>
          <w:color w:val="000000" w:themeColor="text1"/>
          <w:lang w:val="en-US"/>
        </w:rPr>
        <w:t>“being CEO of A1 LLC and predecessor companies since 1992</w:t>
      </w:r>
      <w:r w:rsidR="000A23AC" w:rsidRPr="00AE3566">
        <w:rPr>
          <w:i/>
          <w:iCs/>
          <w:color w:val="000000" w:themeColor="text1"/>
          <w:lang w:val="en-US"/>
        </w:rPr>
        <w:t xml:space="preserve"> … associated with the group of companies A1 for over 20 years</w:t>
      </w:r>
      <w:r w:rsidR="00754B4E" w:rsidRPr="00AE3566">
        <w:rPr>
          <w:i/>
          <w:iCs/>
          <w:color w:val="000000" w:themeColor="text1"/>
          <w:lang w:val="en-US"/>
        </w:rPr>
        <w:t>.</w:t>
      </w:r>
      <w:r w:rsidR="00754B4E" w:rsidRPr="00CD6F34">
        <w:rPr>
          <w:color w:val="000000" w:themeColor="text1"/>
          <w:lang w:val="en-US"/>
        </w:rPr>
        <w:t>”</w:t>
      </w:r>
    </w:p>
    <w:p w14:paraId="13FF3AC4" w14:textId="77777777" w:rsidR="00376E5A" w:rsidRDefault="00376E5A" w:rsidP="00376E5A">
      <w:pPr>
        <w:pStyle w:val="BodyText"/>
        <w:rPr>
          <w:color w:val="000000" w:themeColor="text1"/>
          <w:lang w:val="en-US"/>
        </w:rPr>
      </w:pPr>
      <w:r w:rsidRPr="003409C2">
        <w:rPr>
          <w:color w:val="000000" w:themeColor="text1"/>
          <w:lang w:val="en-US"/>
        </w:rPr>
        <w:t xml:space="preserve">The parties are agreed that </w:t>
      </w:r>
      <w:r>
        <w:rPr>
          <w:color w:val="000000" w:themeColor="text1"/>
          <w:lang w:val="en-US"/>
        </w:rPr>
        <w:t>up until March 2022,</w:t>
      </w:r>
      <w:r w:rsidRPr="003409C2">
        <w:rPr>
          <w:color w:val="000000" w:themeColor="text1"/>
          <w:lang w:val="en-US"/>
        </w:rPr>
        <w:t xml:space="preserve"> </w:t>
      </w:r>
      <w:r>
        <w:rPr>
          <w:color w:val="000000" w:themeColor="text1"/>
          <w:lang w:val="en-US"/>
        </w:rPr>
        <w:t>A1</w:t>
      </w:r>
      <w:r w:rsidRPr="003409C2">
        <w:rPr>
          <w:color w:val="000000" w:themeColor="text1"/>
          <w:lang w:val="en-US"/>
        </w:rPr>
        <w:t xml:space="preserve"> was owned by a Luxembourg company called A1 Investment Holding SA (“A1 Investment”). As </w:t>
      </w:r>
      <w:proofErr w:type="gramStart"/>
      <w:r w:rsidRPr="003409C2">
        <w:rPr>
          <w:color w:val="000000" w:themeColor="text1"/>
          <w:lang w:val="en-US"/>
        </w:rPr>
        <w:t>at</w:t>
      </w:r>
      <w:proofErr w:type="gramEnd"/>
      <w:r w:rsidRPr="003409C2">
        <w:rPr>
          <w:color w:val="000000" w:themeColor="text1"/>
          <w:lang w:val="en-US"/>
        </w:rPr>
        <w:t xml:space="preserve"> 22 February 2022, the major shareholders in A1 Investment were Mr Fridman (42.9%), Mr Khan (29.11%) and Mr Kuzmichev (22.9%), with the remaining 5% held by unknown entities </w:t>
      </w:r>
      <w:r>
        <w:rPr>
          <w:color w:val="000000" w:themeColor="text1"/>
          <w:lang w:val="en-US"/>
        </w:rPr>
        <w:t>which are</w:t>
      </w:r>
      <w:r w:rsidRPr="003409C2">
        <w:rPr>
          <w:color w:val="000000" w:themeColor="text1"/>
          <w:lang w:val="en-US"/>
        </w:rPr>
        <w:t xml:space="preserve"> irrelevant for present purposes. Their respective shareholdings meant that no single person owned or controlled A1 Investment such that no decision could be taken by that person without the cooperation and agreement of at least one other person.</w:t>
      </w:r>
    </w:p>
    <w:p w14:paraId="417E2AF9" w14:textId="77777777" w:rsidR="00376E5A" w:rsidRDefault="00376E5A" w:rsidP="00376E5A">
      <w:pPr>
        <w:pStyle w:val="BodyText"/>
        <w:rPr>
          <w:color w:val="000000" w:themeColor="text1"/>
          <w:lang w:val="en-US"/>
        </w:rPr>
      </w:pPr>
      <w:r>
        <w:rPr>
          <w:color w:val="000000" w:themeColor="text1"/>
          <w:lang w:val="en-US"/>
        </w:rPr>
        <w:t xml:space="preserve">Mr Bedzhamov's submission (which was not disputed) was that the </w:t>
      </w:r>
      <w:proofErr w:type="spellStart"/>
      <w:r>
        <w:rPr>
          <w:color w:val="000000" w:themeColor="text1"/>
          <w:lang w:val="en-US"/>
        </w:rPr>
        <w:t>organisation</w:t>
      </w:r>
      <w:proofErr w:type="spellEnd"/>
      <w:r>
        <w:rPr>
          <w:color w:val="000000" w:themeColor="text1"/>
          <w:lang w:val="en-US"/>
        </w:rPr>
        <w:t xml:space="preserve"> of the A1 LLC subgroup at this point can be represented thus:</w:t>
      </w:r>
    </w:p>
    <w:p w14:paraId="20436E06" w14:textId="77777777" w:rsidR="00376E5A" w:rsidRDefault="00376E5A" w:rsidP="00376E5A">
      <w:pPr>
        <w:pStyle w:val="BodyText"/>
        <w:numPr>
          <w:ilvl w:val="0"/>
          <w:numId w:val="0"/>
        </w:numPr>
        <w:ind w:left="567"/>
        <w:rPr>
          <w:color w:val="000000" w:themeColor="text1"/>
          <w:lang w:val="en-US"/>
        </w:rPr>
      </w:pPr>
      <w:r>
        <w:rPr>
          <w:noProof/>
        </w:rPr>
        <w:lastRenderedPageBreak/>
        <mc:AlternateContent>
          <mc:Choice Requires="wps">
            <w:drawing>
              <wp:inline distT="0" distB="0" distL="0" distR="0" wp14:anchorId="55E08E4E" wp14:editId="22C03408">
                <wp:extent cx="5276215" cy="3657600"/>
                <wp:effectExtent l="0" t="0" r="19685" b="19050"/>
                <wp:docPr id="1212386195" name="Text Box 1"/>
                <wp:cNvGraphicFramePr/>
                <a:graphic xmlns:a="http://schemas.openxmlformats.org/drawingml/2006/main">
                  <a:graphicData uri="http://schemas.microsoft.com/office/word/2010/wordprocessingShape">
                    <wps:wsp>
                      <wps:cNvSpPr txBox="1"/>
                      <wps:spPr>
                        <a:xfrm>
                          <a:off x="0" y="0"/>
                          <a:ext cx="5276215" cy="3657600"/>
                        </a:xfrm>
                        <a:prstGeom prst="rect">
                          <a:avLst/>
                        </a:prstGeom>
                        <a:solidFill>
                          <a:schemeClr val="lt1"/>
                        </a:solidFill>
                        <a:ln w="6350">
                          <a:solidFill>
                            <a:prstClr val="black"/>
                          </a:solidFill>
                        </a:ln>
                      </wps:spPr>
                      <wps:txbx>
                        <w:txbxContent>
                          <w:p w14:paraId="1F11B201" w14:textId="77777777" w:rsidR="00376E5A" w:rsidRDefault="00376E5A" w:rsidP="00376E5A">
                            <w:pPr>
                              <w:pStyle w:val="xmsonormal"/>
                              <w:autoSpaceDE w:val="0"/>
                              <w:autoSpaceDN w:val="0"/>
                              <w:ind w:left="680"/>
                              <w:rPr>
                                <w:rFonts w:ascii="Arial" w:hAnsi="Arial" w:cs="Arial"/>
                                <w:sz w:val="20"/>
                                <w:szCs w:val="20"/>
                                <w:u w:val="single"/>
                              </w:rPr>
                            </w:pPr>
                          </w:p>
                          <w:p w14:paraId="04E698F9" w14:textId="77777777" w:rsidR="00376E5A" w:rsidRPr="0082692A" w:rsidRDefault="00376E5A" w:rsidP="00376E5A">
                            <w:pPr>
                              <w:pStyle w:val="xmsonormal"/>
                              <w:autoSpaceDE w:val="0"/>
                              <w:autoSpaceDN w:val="0"/>
                              <w:ind w:left="680"/>
                              <w:rPr>
                                <w:rFonts w:ascii="Times New Roman" w:hAnsi="Times New Roman" w:cs="Times New Roman"/>
                                <w:i/>
                                <w:iCs/>
                                <w:sz w:val="20"/>
                                <w:szCs w:val="20"/>
                              </w:rPr>
                            </w:pPr>
                            <w:r w:rsidRPr="0082692A">
                              <w:rPr>
                                <w:rFonts w:ascii="Times New Roman" w:hAnsi="Times New Roman" w:cs="Times New Roman"/>
                                <w:i/>
                                <w:iCs/>
                                <w:sz w:val="20"/>
                                <w:szCs w:val="20"/>
                              </w:rPr>
                              <w:t>A1 LLC sub-group prior to the alleged buyout / as at 22 February 2022</w:t>
                            </w:r>
                          </w:p>
                          <w:p w14:paraId="1D873C4F" w14:textId="77777777" w:rsidR="00376E5A" w:rsidRPr="0082692A" w:rsidRDefault="00376E5A" w:rsidP="00376E5A">
                            <w:pPr>
                              <w:pStyle w:val="xmsonormal"/>
                              <w:autoSpaceDE w:val="0"/>
                              <w:autoSpaceDN w:val="0"/>
                              <w:ind w:left="680"/>
                              <w:rPr>
                                <w:rFonts w:ascii="Times New Roman" w:hAnsi="Times New Roman" w:cs="Times New Roman"/>
                                <w:sz w:val="20"/>
                                <w:szCs w:val="20"/>
                              </w:rPr>
                            </w:pPr>
                          </w:p>
                          <w:p w14:paraId="682170D9" w14:textId="77777777" w:rsidR="00376E5A" w:rsidRPr="0082692A" w:rsidRDefault="00376E5A" w:rsidP="00376E5A">
                            <w:pPr>
                              <w:pStyle w:val="xmsonormal"/>
                              <w:tabs>
                                <w:tab w:val="left" w:pos="1701"/>
                              </w:tabs>
                              <w:ind w:left="1440"/>
                              <w:rPr>
                                <w:rFonts w:ascii="Times New Roman" w:hAnsi="Times New Roman" w:cs="Times New Roman"/>
                                <w:sz w:val="20"/>
                                <w:szCs w:val="20"/>
                              </w:rPr>
                            </w:pPr>
                            <w:r w:rsidRPr="0082692A">
                              <w:rPr>
                                <w:rFonts w:ascii="Times New Roman" w:hAnsi="Times New Roman" w:cs="Times New Roman"/>
                                <w:sz w:val="20"/>
                                <w:szCs w:val="20"/>
                              </w:rPr>
                              <w:t xml:space="preserve">Fridman        Khan             Kuzmichev       </w:t>
                            </w:r>
                            <w:r w:rsidRPr="0082692A">
                              <w:rPr>
                                <w:rFonts w:ascii="Times New Roman" w:hAnsi="Times New Roman" w:cs="Times New Roman"/>
                                <w:sz w:val="20"/>
                                <w:szCs w:val="20"/>
                              </w:rPr>
                              <w:tab/>
                              <w:t>Others (unknown)</w:t>
                            </w:r>
                          </w:p>
                          <w:p w14:paraId="65F31FFA"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5%                 </w:t>
                            </w:r>
                          </w:p>
                          <w:p w14:paraId="3B1EB048"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p>
                          <w:p w14:paraId="235D9AAA" w14:textId="77777777" w:rsidR="00376E5A" w:rsidRPr="0082692A" w:rsidRDefault="00376E5A" w:rsidP="00376E5A">
                            <w:pPr>
                              <w:pStyle w:val="xmsonormal"/>
                              <w:tabs>
                                <w:tab w:val="left" w:pos="993"/>
                              </w:tabs>
                              <w:rPr>
                                <w:rFonts w:ascii="Times New Roman" w:hAnsi="Times New Roman" w:cs="Times New Roman"/>
                                <w:sz w:val="20"/>
                                <w:szCs w:val="20"/>
                              </w:rPr>
                            </w:pPr>
                            <w:r w:rsidRPr="0082692A">
                              <w:rPr>
                                <w:rFonts w:ascii="Times New Roman" w:hAnsi="Times New Roman" w:cs="Times New Roman"/>
                                <w:sz w:val="20"/>
                                <w:szCs w:val="20"/>
                              </w:rPr>
                              <w:t xml:space="preserve">         foundation  </w:t>
                            </w:r>
                            <w:r w:rsidRPr="0082692A">
                              <w:rPr>
                                <w:rFonts w:ascii="Times New Roman" w:hAnsi="Times New Roman" w:cs="Times New Roman"/>
                                <w:b/>
                                <w:bCs/>
                                <w:sz w:val="20"/>
                                <w:szCs w:val="20"/>
                              </w:rPr>
                              <w:t>|</w:t>
                            </w:r>
                            <w:r w:rsidRPr="0082692A">
                              <w:rPr>
                                <w:rFonts w:ascii="Times New Roman" w:hAnsi="Times New Roman" w:cs="Times New Roman"/>
                                <w:sz w:val="20"/>
                                <w:szCs w:val="20"/>
                              </w:rPr>
                              <w:t>42.9%     trust</w:t>
                            </w:r>
                            <w:r w:rsidRPr="0082692A">
                              <w:rPr>
                                <w:rFonts w:ascii="Times New Roman" w:hAnsi="Times New Roman" w:cs="Times New Roman"/>
                                <w:sz w:val="20"/>
                                <w:szCs w:val="20"/>
                              </w:rPr>
                              <w:tab/>
                            </w:r>
                            <w:r w:rsidRPr="0082692A">
                              <w:rPr>
                                <w:rFonts w:ascii="Times New Roman" w:hAnsi="Times New Roman" w:cs="Times New Roman"/>
                                <w:b/>
                                <w:bCs/>
                                <w:sz w:val="20"/>
                                <w:szCs w:val="20"/>
                              </w:rPr>
                              <w:t>|</w:t>
                            </w:r>
                            <w:r w:rsidRPr="0082692A">
                              <w:rPr>
                                <w:rFonts w:ascii="Times New Roman" w:hAnsi="Times New Roman" w:cs="Times New Roman"/>
                                <w:sz w:val="20"/>
                                <w:szCs w:val="20"/>
                              </w:rPr>
                              <w:t>29.11%    foundation?</w:t>
                            </w:r>
                            <w:r w:rsidRPr="0082692A">
                              <w:rPr>
                                <w:rFonts w:ascii="Times New Roman" w:hAnsi="Times New Roman" w:cs="Times New Roman"/>
                                <w:b/>
                                <w:bCs/>
                                <w:sz w:val="20"/>
                                <w:szCs w:val="20"/>
                              </w:rPr>
                              <w:t>|</w:t>
                            </w:r>
                            <w:r w:rsidRPr="0082692A">
                              <w:rPr>
                                <w:rFonts w:ascii="Times New Roman" w:hAnsi="Times New Roman" w:cs="Times New Roman"/>
                                <w:sz w:val="20"/>
                                <w:szCs w:val="20"/>
                              </w:rPr>
                              <w:t xml:space="preserve">22.9%   </w:t>
                            </w:r>
                            <w:r w:rsidRPr="0082692A">
                              <w:rPr>
                                <w:rFonts w:ascii="Times New Roman" w:hAnsi="Times New Roman" w:cs="Times New Roman"/>
                                <w:sz w:val="20"/>
                                <w:szCs w:val="20"/>
                              </w:rPr>
                              <w:tab/>
                              <w:t xml:space="preserve">   </w:t>
                            </w:r>
                          </w:p>
                          <w:p w14:paraId="590343CC" w14:textId="77777777" w:rsidR="00376E5A" w:rsidRPr="0082692A" w:rsidRDefault="00376E5A" w:rsidP="00376E5A">
                            <w:pPr>
                              <w:pStyle w:val="xmsonormal"/>
                              <w:tabs>
                                <w:tab w:val="left" w:pos="1560"/>
                                <w:tab w:val="left" w:pos="2835"/>
                                <w:tab w:val="left" w:pos="4111"/>
                              </w:tabs>
                              <w:rPr>
                                <w:rFonts w:ascii="Times New Roman" w:hAnsi="Times New Roman" w:cs="Times New Roman"/>
                                <w:sz w:val="20"/>
                                <w:szCs w:val="20"/>
                              </w:rPr>
                            </w:pP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6D4CD35B"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p>
                          <w:p w14:paraId="375539A1" w14:textId="77777777" w:rsidR="00376E5A" w:rsidRPr="0082692A" w:rsidRDefault="00376E5A" w:rsidP="00376E5A">
                            <w:pPr>
                              <w:pStyle w:val="xmsonormal"/>
                              <w:ind w:left="1440"/>
                              <w:rPr>
                                <w:rFonts w:ascii="Times New Roman" w:hAnsi="Times New Roman" w:cs="Times New Roman"/>
                                <w:sz w:val="20"/>
                                <w:szCs w:val="20"/>
                              </w:rPr>
                            </w:pPr>
                            <w:r w:rsidRPr="0082692A">
                              <w:rPr>
                                <w:rFonts w:ascii="Times New Roman" w:hAnsi="Times New Roman" w:cs="Times New Roman"/>
                                <w:b/>
                                <w:bCs/>
                                <w:sz w:val="20"/>
                                <w:szCs w:val="20"/>
                              </w:rPr>
                              <w:t>A1 Investment Holding SA (Luxembourg)</w:t>
                            </w:r>
                            <w:r w:rsidRPr="0082692A">
                              <w:rPr>
                                <w:rFonts w:ascii="Times New Roman" w:hAnsi="Times New Roman" w:cs="Times New Roman"/>
                                <w:sz w:val="20"/>
                                <w:szCs w:val="20"/>
                              </w:rPr>
                              <w:t xml:space="preserve">_ _ _ _ _ _ _ _ _ </w:t>
                            </w:r>
                            <w:r w:rsidRPr="0082692A">
                              <w:rPr>
                                <w:rFonts w:ascii="Times New Roman" w:hAnsi="Times New Roman" w:cs="Times New Roman"/>
                                <w:sz w:val="20"/>
                                <w:szCs w:val="20"/>
                              </w:rPr>
                              <w:softHyphen/>
                              <w:t xml:space="preserve">_ _ _ _ _ _ _  </w:t>
                            </w:r>
                          </w:p>
                          <w:p w14:paraId="5B909ACC" w14:textId="77777777" w:rsidR="00376E5A" w:rsidRPr="0082692A" w:rsidRDefault="00376E5A" w:rsidP="00376E5A">
                            <w:pPr>
                              <w:pStyle w:val="xmsolistparagraph"/>
                              <w:tabs>
                                <w:tab w:val="left" w:pos="2268"/>
                              </w:tabs>
                              <w:rPr>
                                <w:rFonts w:ascii="Times New Roman" w:hAnsi="Times New Roman" w:cs="Times New Roman"/>
                                <w:sz w:val="20"/>
                                <w:szCs w:val="20"/>
                              </w:rPr>
                            </w:pP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558F5E9F" w14:textId="77777777" w:rsidR="00376E5A" w:rsidRPr="0082692A" w:rsidRDefault="00376E5A" w:rsidP="00376E5A">
                            <w:pPr>
                              <w:pStyle w:val="xmsolistparagraph"/>
                              <w:tabs>
                                <w:tab w:val="left" w:pos="2268"/>
                              </w:tabs>
                              <w:ind w:left="1974"/>
                              <w:rPr>
                                <w:rFonts w:ascii="Times New Roman" w:hAnsi="Times New Roman" w:cs="Times New Roman"/>
                                <w:sz w:val="20"/>
                                <w:szCs w:val="20"/>
                              </w:rPr>
                            </w:pPr>
                            <w:r w:rsidRPr="0082692A">
                              <w:rPr>
                                <w:rFonts w:ascii="Times New Roman" w:hAnsi="Times New Roman" w:cs="Times New Roman"/>
                                <w:sz w:val="20"/>
                                <w:szCs w:val="20"/>
                              </w:rPr>
                              <w:tab/>
                              <w:t xml:space="preserve">       |100%</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|100%</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782DE3C8" w14:textId="77777777" w:rsidR="00376E5A" w:rsidRPr="0082692A" w:rsidRDefault="00376E5A" w:rsidP="00376E5A">
                            <w:pPr>
                              <w:pStyle w:val="xmsolistparagraph"/>
                              <w:tabs>
                                <w:tab w:val="left" w:pos="2268"/>
                              </w:tabs>
                              <w:ind w:firstLine="720"/>
                              <w:rPr>
                                <w:rFonts w:ascii="Times New Roman" w:hAnsi="Times New Roman" w:cs="Times New Roman"/>
                                <w:sz w:val="20"/>
                                <w:szCs w:val="20"/>
                              </w:rPr>
                            </w:pP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138870B0" w14:textId="77777777" w:rsidR="00376E5A" w:rsidRPr="0082692A" w:rsidRDefault="00376E5A" w:rsidP="00376E5A">
                            <w:pPr>
                              <w:pStyle w:val="xmsonormal"/>
                              <w:rPr>
                                <w:rFonts w:ascii="Times New Roman" w:hAnsi="Times New Roman" w:cs="Times New Roman"/>
                                <w:sz w:val="20"/>
                                <w:szCs w:val="20"/>
                              </w:rPr>
                            </w:pPr>
                            <w:r w:rsidRPr="0082692A">
                              <w:rPr>
                                <w:rFonts w:ascii="Times New Roman" w:hAnsi="Times New Roman" w:cs="Times New Roman"/>
                                <w:sz w:val="20"/>
                                <w:szCs w:val="20"/>
                              </w:rPr>
                              <w:t xml:space="preserve">     Andrei Von</w:t>
                            </w:r>
                            <w:r w:rsidRPr="0082692A">
                              <w:rPr>
                                <w:rFonts w:ascii="Times New Roman" w:hAnsi="Times New Roman" w:cs="Times New Roman"/>
                                <w:sz w:val="20"/>
                                <w:szCs w:val="20"/>
                              </w:rPr>
                              <w:tab/>
                              <w:t>A1 Capital Limited (Cyprus)   A1 Group Limited (Cyprus)    A1 Partner SARL (Lux)</w:t>
                            </w:r>
                          </w:p>
                          <w:p w14:paraId="7457BB51"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p>
                          <w:p w14:paraId="64BA1925" w14:textId="77777777" w:rsidR="00376E5A" w:rsidRPr="0082692A" w:rsidRDefault="00376E5A" w:rsidP="00376E5A">
                            <w:pPr>
                              <w:pStyle w:val="xmsolistparagraph"/>
                              <w:tabs>
                                <w:tab w:val="left" w:pos="2694"/>
                                <w:tab w:val="left" w:pos="5103"/>
                                <w:tab w:val="left" w:pos="5954"/>
                              </w:tabs>
                              <w:rPr>
                                <w:rFonts w:ascii="Times New Roman" w:hAnsi="Times New Roman" w:cs="Times New Roman"/>
                                <w:sz w:val="20"/>
                                <w:szCs w:val="20"/>
                              </w:rPr>
                            </w:pPr>
                            <w:r w:rsidRPr="0082692A">
                              <w:rPr>
                                <w:rFonts w:ascii="Times New Roman" w:hAnsi="Times New Roman" w:cs="Times New Roman"/>
                                <w:sz w:val="20"/>
                                <w:szCs w:val="20"/>
                              </w:rPr>
                              <w:t xml:space="preserve">|0.01%                       </w:t>
                            </w:r>
                            <w:r w:rsidRPr="0082692A">
                              <w:rPr>
                                <w:rFonts w:ascii="Times New Roman" w:hAnsi="Times New Roman" w:cs="Times New Roman"/>
                                <w:sz w:val="20"/>
                                <w:szCs w:val="20"/>
                              </w:rPr>
                              <w:tab/>
                              <w:t xml:space="preserve">|99.99% </w:t>
                            </w:r>
                            <w:r w:rsidRPr="0082692A">
                              <w:rPr>
                                <w:rFonts w:ascii="Times New Roman" w:hAnsi="Times New Roman" w:cs="Times New Roman"/>
                                <w:sz w:val="20"/>
                                <w:szCs w:val="20"/>
                              </w:rPr>
                              <w:tab/>
                              <w:t>|</w:t>
                            </w:r>
                          </w:p>
                          <w:p w14:paraId="5263910F"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p>
                          <w:p w14:paraId="50C0C683" w14:textId="77777777" w:rsidR="00376E5A" w:rsidRPr="0082692A" w:rsidRDefault="00376E5A" w:rsidP="00376E5A">
                            <w:pPr>
                              <w:pStyle w:val="xmsonormal"/>
                              <w:tabs>
                                <w:tab w:val="left" w:pos="2977"/>
                                <w:tab w:val="left" w:pos="5103"/>
                              </w:tabs>
                              <w:rPr>
                                <w:rFonts w:ascii="Times New Roman" w:hAnsi="Times New Roman" w:cs="Times New Roman"/>
                                <w:sz w:val="20"/>
                                <w:szCs w:val="20"/>
                              </w:rPr>
                            </w:pPr>
                            <w:r w:rsidRPr="0082692A">
                              <w:rPr>
                                <w:rFonts w:ascii="Times New Roman" w:hAnsi="Times New Roman" w:cs="Times New Roman"/>
                                <w:sz w:val="20"/>
                                <w:szCs w:val="20"/>
                              </w:rPr>
                              <w:t xml:space="preserve">      A1 Group Management LLC (Russia)</w:t>
                            </w:r>
                            <w:r w:rsidRPr="0082692A">
                              <w:rPr>
                                <w:rFonts w:ascii="Times New Roman" w:hAnsi="Times New Roman" w:cs="Times New Roman"/>
                                <w:sz w:val="20"/>
                                <w:szCs w:val="20"/>
                              </w:rPr>
                              <w:tab/>
                              <w:t>|100%</w:t>
                            </w:r>
                          </w:p>
                          <w:p w14:paraId="0E8C762C"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p>
                          <w:p w14:paraId="3D9E1CA6" w14:textId="77777777" w:rsidR="00376E5A" w:rsidRPr="001B3600" w:rsidRDefault="00376E5A" w:rsidP="00376E5A">
                            <w:pPr>
                              <w:pStyle w:val="xmsolistparagraph"/>
                              <w:tabs>
                                <w:tab w:val="left" w:pos="2694"/>
                                <w:tab w:val="left" w:pos="5103"/>
                              </w:tabs>
                              <w:rPr>
                                <w:rFonts w:ascii="Times New Roman" w:hAnsi="Times New Roman" w:cs="Times New Roman"/>
                                <w:sz w:val="20"/>
                                <w:szCs w:val="20"/>
                              </w:rPr>
                            </w:pPr>
                            <w:r w:rsidRPr="001B3600">
                              <w:rPr>
                                <w:rFonts w:ascii="Times New Roman" w:hAnsi="Times New Roman" w:cs="Times New Roman"/>
                                <w:sz w:val="20"/>
                                <w:szCs w:val="20"/>
                              </w:rPr>
                              <w:t xml:space="preserve">|100% </w:t>
                            </w:r>
                            <w:r w:rsidRPr="001B3600">
                              <w:rPr>
                                <w:rFonts w:ascii="Times New Roman" w:hAnsi="Times New Roman" w:cs="Times New Roman"/>
                                <w:sz w:val="20"/>
                                <w:szCs w:val="20"/>
                              </w:rPr>
                              <w:tab/>
                              <w:t>|100%</w:t>
                            </w:r>
                            <w:r w:rsidRPr="001B3600">
                              <w:rPr>
                                <w:rFonts w:ascii="Times New Roman" w:hAnsi="Times New Roman" w:cs="Times New Roman"/>
                                <w:sz w:val="20"/>
                                <w:szCs w:val="20"/>
                              </w:rPr>
                              <w:tab/>
                              <w:t>|</w:t>
                            </w:r>
                            <w:r w:rsidRPr="001B3600">
                              <w:rPr>
                                <w:rFonts w:ascii="Times New Roman" w:hAnsi="Times New Roman" w:cs="Times New Roman"/>
                                <w:sz w:val="20"/>
                                <w:szCs w:val="20"/>
                              </w:rPr>
                              <w:tab/>
                            </w:r>
                            <w:r w:rsidRPr="001B3600">
                              <w:rPr>
                                <w:rFonts w:ascii="Times New Roman" w:hAnsi="Times New Roman" w:cs="Times New Roman"/>
                                <w:sz w:val="20"/>
                                <w:szCs w:val="20"/>
                              </w:rPr>
                              <w:tab/>
                            </w:r>
                          </w:p>
                          <w:p w14:paraId="75BDDBA7" w14:textId="77777777" w:rsidR="00376E5A" w:rsidRPr="001B3600" w:rsidRDefault="00376E5A" w:rsidP="00376E5A">
                            <w:pPr>
                              <w:pStyle w:val="xmsolistparagraph"/>
                              <w:tabs>
                                <w:tab w:val="left" w:pos="2694"/>
                                <w:tab w:val="left" w:pos="5103"/>
                              </w:tabs>
                              <w:rPr>
                                <w:rFonts w:ascii="Times New Roman" w:hAnsi="Times New Roman" w:cs="Times New Roman"/>
                                <w:sz w:val="20"/>
                                <w:szCs w:val="20"/>
                              </w:rPr>
                            </w:pPr>
                            <w:r w:rsidRPr="001B3600">
                              <w:rPr>
                                <w:rFonts w:ascii="Times New Roman" w:hAnsi="Times New Roman" w:cs="Times New Roman"/>
                                <w:sz w:val="20"/>
                                <w:szCs w:val="20"/>
                              </w:rPr>
                              <w:t>|</w:t>
                            </w:r>
                            <w:r w:rsidRPr="001B3600">
                              <w:rPr>
                                <w:rFonts w:ascii="Times New Roman" w:hAnsi="Times New Roman" w:cs="Times New Roman"/>
                                <w:sz w:val="20"/>
                                <w:szCs w:val="20"/>
                              </w:rPr>
                              <w:tab/>
                              <w:t>|</w:t>
                            </w:r>
                            <w:r w:rsidRPr="001B3600">
                              <w:rPr>
                                <w:rFonts w:ascii="Times New Roman" w:hAnsi="Times New Roman" w:cs="Times New Roman"/>
                                <w:sz w:val="20"/>
                                <w:szCs w:val="20"/>
                              </w:rPr>
                              <w:tab/>
                              <w:t>|</w:t>
                            </w:r>
                          </w:p>
                          <w:p w14:paraId="0FA07D39" w14:textId="77777777" w:rsidR="00376E5A" w:rsidRPr="001B3600" w:rsidRDefault="00376E5A" w:rsidP="00376E5A">
                            <w:pPr>
                              <w:pStyle w:val="xmsonormal"/>
                              <w:rPr>
                                <w:rFonts w:ascii="Times New Roman" w:hAnsi="Times New Roman" w:cs="Times New Roman"/>
                                <w:sz w:val="20"/>
                                <w:szCs w:val="20"/>
                              </w:rPr>
                            </w:pPr>
                            <w:r w:rsidRPr="001B3600">
                              <w:rPr>
                                <w:rFonts w:ascii="Times New Roman" w:hAnsi="Times New Roman" w:cs="Times New Roman"/>
                                <w:sz w:val="20"/>
                                <w:szCs w:val="20"/>
                              </w:rPr>
                              <w:t>ALTA+ (Russia)</w:t>
                            </w:r>
                            <w:r w:rsidRPr="001B3600">
                              <w:rPr>
                                <w:rFonts w:ascii="Times New Roman" w:hAnsi="Times New Roman" w:cs="Times New Roman"/>
                                <w:sz w:val="20"/>
                                <w:szCs w:val="20"/>
                              </w:rPr>
                              <w:tab/>
                            </w:r>
                            <w:r w:rsidRPr="001B3600">
                              <w:rPr>
                                <w:rFonts w:ascii="Times New Roman" w:hAnsi="Times New Roman" w:cs="Times New Roman"/>
                                <w:sz w:val="20"/>
                                <w:szCs w:val="20"/>
                              </w:rPr>
                              <w:tab/>
                            </w:r>
                            <w:r w:rsidRPr="001B3600">
                              <w:rPr>
                                <w:rFonts w:ascii="Times New Roman" w:hAnsi="Times New Roman" w:cs="Times New Roman"/>
                                <w:b/>
                                <w:bCs/>
                                <w:sz w:val="20"/>
                                <w:szCs w:val="20"/>
                              </w:rPr>
                              <w:t xml:space="preserve"> </w:t>
                            </w:r>
                            <w:r w:rsidRPr="001B3600">
                              <w:rPr>
                                <w:rFonts w:ascii="Times New Roman" w:hAnsi="Times New Roman" w:cs="Times New Roman"/>
                                <w:sz w:val="20"/>
                                <w:szCs w:val="20"/>
                              </w:rPr>
                              <w:t>A1 LLC (Russia)</w:t>
                            </w:r>
                            <w:r w:rsidRPr="001B3600">
                              <w:rPr>
                                <w:rFonts w:ascii="Times New Roman" w:hAnsi="Times New Roman" w:cs="Times New Roman"/>
                                <w:sz w:val="20"/>
                                <w:szCs w:val="20"/>
                              </w:rPr>
                              <w:tab/>
                              <w:t>BAGT Capital Limited (Gibraltar)</w:t>
                            </w:r>
                          </w:p>
                          <w:p w14:paraId="1AF0A862" w14:textId="77777777" w:rsidR="00376E5A" w:rsidRPr="00722807" w:rsidRDefault="00376E5A" w:rsidP="00376E5A">
                            <w:pPr>
                              <w:pStyle w:val="xmsonormal"/>
                              <w:autoSpaceDE w:val="0"/>
                              <w:autoSpaceDN w:val="0"/>
                              <w:ind w:left="680"/>
                              <w:rPr>
                                <w:rFonts w:ascii="Arial" w:hAnsi="Arial" w:cs="Arial"/>
                                <w:sz w:val="18"/>
                                <w:szCs w:val="18"/>
                                <w:u w:val="single"/>
                              </w:rPr>
                            </w:pPr>
                          </w:p>
                          <w:p w14:paraId="1D7885AE" w14:textId="77777777" w:rsidR="00376E5A" w:rsidRPr="00722807" w:rsidRDefault="00376E5A" w:rsidP="00376E5A">
                            <w:pPr>
                              <w:pStyle w:val="xmsonormal"/>
                              <w:autoSpaceDE w:val="0"/>
                              <w:autoSpaceDN w:val="0"/>
                              <w:rPr>
                                <w:rFonts w:ascii="Arial" w:hAnsi="Arial" w:cs="Arial"/>
                                <w:sz w:val="18"/>
                                <w:szCs w:val="18"/>
                              </w:rPr>
                            </w:pPr>
                          </w:p>
                          <w:p w14:paraId="33AD2207" w14:textId="77777777" w:rsidR="00376E5A" w:rsidRPr="00722807" w:rsidRDefault="00376E5A" w:rsidP="00376E5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E08E4E" id="_x0000_t202" coordsize="21600,21600" o:spt="202" path="m,l,21600r21600,l21600,xe">
                <v:stroke joinstyle="miter"/>
                <v:path gradientshapeok="t" o:connecttype="rect"/>
              </v:shapetype>
              <v:shape id="Text Box 1" o:spid="_x0000_s1026" type="#_x0000_t202" style="width:415.4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3MOQIAAH0EAAAOAAAAZHJzL2Uyb0RvYy54bWysVEtv2zAMvg/YfxB0X+ykeX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" fillcolor="white [3201]" strokeweight=".5pt">
                <v:textbox>
                  <w:txbxContent>
                    <w:p w14:paraId="1F11B201" w14:textId="77777777" w:rsidR="00376E5A" w:rsidRDefault="00376E5A" w:rsidP="00376E5A">
                      <w:pPr>
                        <w:pStyle w:val="xmsonormal"/>
                        <w:autoSpaceDE w:val="0"/>
                        <w:autoSpaceDN w:val="0"/>
                        <w:ind w:left="680"/>
                        <w:rPr>
                          <w:rFonts w:ascii="Arial" w:hAnsi="Arial" w:cs="Arial"/>
                          <w:sz w:val="20"/>
                          <w:szCs w:val="20"/>
                          <w:u w:val="single"/>
                        </w:rPr>
                      </w:pPr>
                    </w:p>
                    <w:p w14:paraId="04E698F9" w14:textId="77777777" w:rsidR="00376E5A" w:rsidRPr="0082692A" w:rsidRDefault="00376E5A" w:rsidP="00376E5A">
                      <w:pPr>
                        <w:pStyle w:val="xmsonormal"/>
                        <w:autoSpaceDE w:val="0"/>
                        <w:autoSpaceDN w:val="0"/>
                        <w:ind w:left="680"/>
                        <w:rPr>
                          <w:rFonts w:ascii="Times New Roman" w:hAnsi="Times New Roman" w:cs="Times New Roman"/>
                          <w:i/>
                          <w:iCs/>
                          <w:sz w:val="20"/>
                          <w:szCs w:val="20"/>
                        </w:rPr>
                      </w:pPr>
                      <w:r w:rsidRPr="0082692A">
                        <w:rPr>
                          <w:rFonts w:ascii="Times New Roman" w:hAnsi="Times New Roman" w:cs="Times New Roman"/>
                          <w:i/>
                          <w:iCs/>
                          <w:sz w:val="20"/>
                          <w:szCs w:val="20"/>
                        </w:rPr>
                        <w:t>A1 LLC sub-group prior to the alleged buyout / as at 22 February 2022</w:t>
                      </w:r>
                    </w:p>
                    <w:p w14:paraId="1D873C4F" w14:textId="77777777" w:rsidR="00376E5A" w:rsidRPr="0082692A" w:rsidRDefault="00376E5A" w:rsidP="00376E5A">
                      <w:pPr>
                        <w:pStyle w:val="xmsonormal"/>
                        <w:autoSpaceDE w:val="0"/>
                        <w:autoSpaceDN w:val="0"/>
                        <w:ind w:left="680"/>
                        <w:rPr>
                          <w:rFonts w:ascii="Times New Roman" w:hAnsi="Times New Roman" w:cs="Times New Roman"/>
                          <w:sz w:val="20"/>
                          <w:szCs w:val="20"/>
                        </w:rPr>
                      </w:pPr>
                    </w:p>
                    <w:p w14:paraId="682170D9" w14:textId="77777777" w:rsidR="00376E5A" w:rsidRPr="0082692A" w:rsidRDefault="00376E5A" w:rsidP="00376E5A">
                      <w:pPr>
                        <w:pStyle w:val="xmsonormal"/>
                        <w:tabs>
                          <w:tab w:val="left" w:pos="1701"/>
                        </w:tabs>
                        <w:ind w:left="1440"/>
                        <w:rPr>
                          <w:rFonts w:ascii="Times New Roman" w:hAnsi="Times New Roman" w:cs="Times New Roman"/>
                          <w:sz w:val="20"/>
                          <w:szCs w:val="20"/>
                        </w:rPr>
                      </w:pPr>
                      <w:r w:rsidRPr="0082692A">
                        <w:rPr>
                          <w:rFonts w:ascii="Times New Roman" w:hAnsi="Times New Roman" w:cs="Times New Roman"/>
                          <w:sz w:val="20"/>
                          <w:szCs w:val="20"/>
                        </w:rPr>
                        <w:t xml:space="preserve">Fridman        Khan             Kuzmichev       </w:t>
                      </w:r>
                      <w:r w:rsidRPr="0082692A">
                        <w:rPr>
                          <w:rFonts w:ascii="Times New Roman" w:hAnsi="Times New Roman" w:cs="Times New Roman"/>
                          <w:sz w:val="20"/>
                          <w:szCs w:val="20"/>
                        </w:rPr>
                        <w:tab/>
                        <w:t>Others (unknown)</w:t>
                      </w:r>
                    </w:p>
                    <w:p w14:paraId="65F31FFA"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5%                 </w:t>
                      </w:r>
                    </w:p>
                    <w:p w14:paraId="3B1EB048"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p>
                    <w:p w14:paraId="235D9AAA" w14:textId="77777777" w:rsidR="00376E5A" w:rsidRPr="0082692A" w:rsidRDefault="00376E5A" w:rsidP="00376E5A">
                      <w:pPr>
                        <w:pStyle w:val="xmsonormal"/>
                        <w:tabs>
                          <w:tab w:val="left" w:pos="993"/>
                        </w:tabs>
                        <w:rPr>
                          <w:rFonts w:ascii="Times New Roman" w:hAnsi="Times New Roman" w:cs="Times New Roman"/>
                          <w:sz w:val="20"/>
                          <w:szCs w:val="20"/>
                        </w:rPr>
                      </w:pPr>
                      <w:r w:rsidRPr="0082692A">
                        <w:rPr>
                          <w:rFonts w:ascii="Times New Roman" w:hAnsi="Times New Roman" w:cs="Times New Roman"/>
                          <w:sz w:val="20"/>
                          <w:szCs w:val="20"/>
                        </w:rPr>
                        <w:t xml:space="preserve">         foundation  </w:t>
                      </w:r>
                      <w:r w:rsidRPr="0082692A">
                        <w:rPr>
                          <w:rFonts w:ascii="Times New Roman" w:hAnsi="Times New Roman" w:cs="Times New Roman"/>
                          <w:b/>
                          <w:bCs/>
                          <w:sz w:val="20"/>
                          <w:szCs w:val="20"/>
                        </w:rPr>
                        <w:t>|</w:t>
                      </w:r>
                      <w:r w:rsidRPr="0082692A">
                        <w:rPr>
                          <w:rFonts w:ascii="Times New Roman" w:hAnsi="Times New Roman" w:cs="Times New Roman"/>
                          <w:sz w:val="20"/>
                          <w:szCs w:val="20"/>
                        </w:rPr>
                        <w:t>42.9%     trust</w:t>
                      </w:r>
                      <w:r w:rsidRPr="0082692A">
                        <w:rPr>
                          <w:rFonts w:ascii="Times New Roman" w:hAnsi="Times New Roman" w:cs="Times New Roman"/>
                          <w:sz w:val="20"/>
                          <w:szCs w:val="20"/>
                        </w:rPr>
                        <w:tab/>
                      </w:r>
                      <w:r w:rsidRPr="0082692A">
                        <w:rPr>
                          <w:rFonts w:ascii="Times New Roman" w:hAnsi="Times New Roman" w:cs="Times New Roman"/>
                          <w:b/>
                          <w:bCs/>
                          <w:sz w:val="20"/>
                          <w:szCs w:val="20"/>
                        </w:rPr>
                        <w:t>|</w:t>
                      </w:r>
                      <w:r w:rsidRPr="0082692A">
                        <w:rPr>
                          <w:rFonts w:ascii="Times New Roman" w:hAnsi="Times New Roman" w:cs="Times New Roman"/>
                          <w:sz w:val="20"/>
                          <w:szCs w:val="20"/>
                        </w:rPr>
                        <w:t>29.11%    foundation?</w:t>
                      </w:r>
                      <w:r w:rsidRPr="0082692A">
                        <w:rPr>
                          <w:rFonts w:ascii="Times New Roman" w:hAnsi="Times New Roman" w:cs="Times New Roman"/>
                          <w:b/>
                          <w:bCs/>
                          <w:sz w:val="20"/>
                          <w:szCs w:val="20"/>
                        </w:rPr>
                        <w:t>|</w:t>
                      </w:r>
                      <w:r w:rsidRPr="0082692A">
                        <w:rPr>
                          <w:rFonts w:ascii="Times New Roman" w:hAnsi="Times New Roman" w:cs="Times New Roman"/>
                          <w:sz w:val="20"/>
                          <w:szCs w:val="20"/>
                        </w:rPr>
                        <w:t xml:space="preserve">22.9%   </w:t>
                      </w:r>
                      <w:r w:rsidRPr="0082692A">
                        <w:rPr>
                          <w:rFonts w:ascii="Times New Roman" w:hAnsi="Times New Roman" w:cs="Times New Roman"/>
                          <w:sz w:val="20"/>
                          <w:szCs w:val="20"/>
                        </w:rPr>
                        <w:tab/>
                        <w:t xml:space="preserve">   </w:t>
                      </w:r>
                    </w:p>
                    <w:p w14:paraId="590343CC" w14:textId="77777777" w:rsidR="00376E5A" w:rsidRPr="0082692A" w:rsidRDefault="00376E5A" w:rsidP="00376E5A">
                      <w:pPr>
                        <w:pStyle w:val="xmsonormal"/>
                        <w:tabs>
                          <w:tab w:val="left" w:pos="1560"/>
                          <w:tab w:val="left" w:pos="2835"/>
                          <w:tab w:val="left" w:pos="4111"/>
                        </w:tabs>
                        <w:rPr>
                          <w:rFonts w:ascii="Times New Roman" w:hAnsi="Times New Roman" w:cs="Times New Roman"/>
                          <w:sz w:val="20"/>
                          <w:szCs w:val="20"/>
                        </w:rPr>
                      </w:pP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6D4CD35B" w14:textId="77777777" w:rsidR="00376E5A" w:rsidRPr="0082692A" w:rsidRDefault="00376E5A" w:rsidP="00376E5A">
                      <w:pPr>
                        <w:pStyle w:val="xmsonormal"/>
                        <w:tabs>
                          <w:tab w:val="left" w:pos="2835"/>
                          <w:tab w:val="left" w:pos="4111"/>
                        </w:tabs>
                        <w:ind w:left="1440"/>
                        <w:rPr>
                          <w:rFonts w:ascii="Times New Roman" w:hAnsi="Times New Roman" w:cs="Times New Roman"/>
                          <w:sz w:val="20"/>
                          <w:szCs w:val="20"/>
                        </w:rPr>
                      </w:pPr>
                      <w:r w:rsidRPr="0082692A">
                        <w:rPr>
                          <w:rFonts w:ascii="Times New Roman" w:hAnsi="Times New Roman" w:cs="Times New Roman"/>
                          <w:sz w:val="20"/>
                          <w:szCs w:val="20"/>
                        </w:rPr>
                        <w:t xml:space="preserve">  |</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t>|</w:t>
                      </w: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p>
                    <w:p w14:paraId="375539A1" w14:textId="77777777" w:rsidR="00376E5A" w:rsidRPr="0082692A" w:rsidRDefault="00376E5A" w:rsidP="00376E5A">
                      <w:pPr>
                        <w:pStyle w:val="xmsonormal"/>
                        <w:ind w:left="1440"/>
                        <w:rPr>
                          <w:rFonts w:ascii="Times New Roman" w:hAnsi="Times New Roman" w:cs="Times New Roman"/>
                          <w:sz w:val="20"/>
                          <w:szCs w:val="20"/>
                        </w:rPr>
                      </w:pPr>
                      <w:r w:rsidRPr="0082692A">
                        <w:rPr>
                          <w:rFonts w:ascii="Times New Roman" w:hAnsi="Times New Roman" w:cs="Times New Roman"/>
                          <w:b/>
                          <w:bCs/>
                          <w:sz w:val="20"/>
                          <w:szCs w:val="20"/>
                        </w:rPr>
                        <w:t>A1 Investment Holding SA (Luxembourg)</w:t>
                      </w:r>
                      <w:r w:rsidRPr="0082692A">
                        <w:rPr>
                          <w:rFonts w:ascii="Times New Roman" w:hAnsi="Times New Roman" w:cs="Times New Roman"/>
                          <w:sz w:val="20"/>
                          <w:szCs w:val="20"/>
                        </w:rPr>
                        <w:t xml:space="preserve">_ _ _ _ _ _ _ _ _ </w:t>
                      </w:r>
                      <w:r w:rsidRPr="0082692A">
                        <w:rPr>
                          <w:rFonts w:ascii="Times New Roman" w:hAnsi="Times New Roman" w:cs="Times New Roman"/>
                          <w:sz w:val="20"/>
                          <w:szCs w:val="20"/>
                        </w:rPr>
                        <w:softHyphen/>
                        <w:t xml:space="preserve">_ _ _ _ _ _ _  </w:t>
                      </w:r>
                    </w:p>
                    <w:p w14:paraId="5B909ACC" w14:textId="77777777" w:rsidR="00376E5A" w:rsidRPr="0082692A" w:rsidRDefault="00376E5A" w:rsidP="00376E5A">
                      <w:pPr>
                        <w:pStyle w:val="xmsolistparagraph"/>
                        <w:tabs>
                          <w:tab w:val="left" w:pos="2268"/>
                        </w:tabs>
                        <w:rPr>
                          <w:rFonts w:ascii="Times New Roman" w:hAnsi="Times New Roman" w:cs="Times New Roman"/>
                          <w:sz w:val="20"/>
                          <w:szCs w:val="20"/>
                        </w:rPr>
                      </w:pP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558F5E9F" w14:textId="77777777" w:rsidR="00376E5A" w:rsidRPr="0082692A" w:rsidRDefault="00376E5A" w:rsidP="00376E5A">
                      <w:pPr>
                        <w:pStyle w:val="xmsolistparagraph"/>
                        <w:tabs>
                          <w:tab w:val="left" w:pos="2268"/>
                        </w:tabs>
                        <w:ind w:left="1974"/>
                        <w:rPr>
                          <w:rFonts w:ascii="Times New Roman" w:hAnsi="Times New Roman" w:cs="Times New Roman"/>
                          <w:sz w:val="20"/>
                          <w:szCs w:val="20"/>
                        </w:rPr>
                      </w:pPr>
                      <w:r w:rsidRPr="0082692A">
                        <w:rPr>
                          <w:rFonts w:ascii="Times New Roman" w:hAnsi="Times New Roman" w:cs="Times New Roman"/>
                          <w:sz w:val="20"/>
                          <w:szCs w:val="20"/>
                        </w:rPr>
                        <w:tab/>
                        <w:t xml:space="preserve">       |100%</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|100%</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782DE3C8" w14:textId="77777777" w:rsidR="00376E5A" w:rsidRPr="0082692A" w:rsidRDefault="00376E5A" w:rsidP="00376E5A">
                      <w:pPr>
                        <w:pStyle w:val="xmsolistparagraph"/>
                        <w:tabs>
                          <w:tab w:val="left" w:pos="2268"/>
                        </w:tabs>
                        <w:ind w:firstLine="720"/>
                        <w:rPr>
                          <w:rFonts w:ascii="Times New Roman" w:hAnsi="Times New Roman" w:cs="Times New Roman"/>
                          <w:sz w:val="20"/>
                          <w:szCs w:val="20"/>
                        </w:rPr>
                      </w:pPr>
                      <w:r w:rsidRPr="0082692A">
                        <w:rPr>
                          <w:rFonts w:ascii="Times New Roman" w:hAnsi="Times New Roman" w:cs="Times New Roman"/>
                          <w:sz w:val="20"/>
                          <w:szCs w:val="20"/>
                        </w:rPr>
                        <w:tab/>
                        <w:t xml:space="preserve">       |</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r w:rsidRPr="0082692A">
                        <w:rPr>
                          <w:rFonts w:ascii="Times New Roman" w:hAnsi="Times New Roman" w:cs="Times New Roman"/>
                          <w:sz w:val="20"/>
                          <w:szCs w:val="20"/>
                        </w:rPr>
                        <w:tab/>
                        <w:t xml:space="preserve"> |</w:t>
                      </w:r>
                    </w:p>
                    <w:p w14:paraId="138870B0" w14:textId="77777777" w:rsidR="00376E5A" w:rsidRPr="0082692A" w:rsidRDefault="00376E5A" w:rsidP="00376E5A">
                      <w:pPr>
                        <w:pStyle w:val="xmsonormal"/>
                        <w:rPr>
                          <w:rFonts w:ascii="Times New Roman" w:hAnsi="Times New Roman" w:cs="Times New Roman"/>
                          <w:sz w:val="20"/>
                          <w:szCs w:val="20"/>
                        </w:rPr>
                      </w:pPr>
                      <w:r w:rsidRPr="0082692A">
                        <w:rPr>
                          <w:rFonts w:ascii="Times New Roman" w:hAnsi="Times New Roman" w:cs="Times New Roman"/>
                          <w:sz w:val="20"/>
                          <w:szCs w:val="20"/>
                        </w:rPr>
                        <w:t xml:space="preserve">     Andrei Von</w:t>
                      </w:r>
                      <w:r w:rsidRPr="0082692A">
                        <w:rPr>
                          <w:rFonts w:ascii="Times New Roman" w:hAnsi="Times New Roman" w:cs="Times New Roman"/>
                          <w:sz w:val="20"/>
                          <w:szCs w:val="20"/>
                        </w:rPr>
                        <w:tab/>
                        <w:t>A1 Capital Limited (Cyprus)   A1 Group Limited (Cyprus)    A1 Partner SARL (Lux)</w:t>
                      </w:r>
                    </w:p>
                    <w:p w14:paraId="7457BB51"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p>
                    <w:p w14:paraId="64BA1925" w14:textId="77777777" w:rsidR="00376E5A" w:rsidRPr="0082692A" w:rsidRDefault="00376E5A" w:rsidP="00376E5A">
                      <w:pPr>
                        <w:pStyle w:val="xmsolistparagraph"/>
                        <w:tabs>
                          <w:tab w:val="left" w:pos="2694"/>
                          <w:tab w:val="left" w:pos="5103"/>
                          <w:tab w:val="left" w:pos="5954"/>
                        </w:tabs>
                        <w:rPr>
                          <w:rFonts w:ascii="Times New Roman" w:hAnsi="Times New Roman" w:cs="Times New Roman"/>
                          <w:sz w:val="20"/>
                          <w:szCs w:val="20"/>
                        </w:rPr>
                      </w:pPr>
                      <w:r w:rsidRPr="0082692A">
                        <w:rPr>
                          <w:rFonts w:ascii="Times New Roman" w:hAnsi="Times New Roman" w:cs="Times New Roman"/>
                          <w:sz w:val="20"/>
                          <w:szCs w:val="20"/>
                        </w:rPr>
                        <w:t xml:space="preserve">|0.01%                       </w:t>
                      </w:r>
                      <w:r w:rsidRPr="0082692A">
                        <w:rPr>
                          <w:rFonts w:ascii="Times New Roman" w:hAnsi="Times New Roman" w:cs="Times New Roman"/>
                          <w:sz w:val="20"/>
                          <w:szCs w:val="20"/>
                        </w:rPr>
                        <w:tab/>
                        <w:t xml:space="preserve">|99.99% </w:t>
                      </w:r>
                      <w:r w:rsidRPr="0082692A">
                        <w:rPr>
                          <w:rFonts w:ascii="Times New Roman" w:hAnsi="Times New Roman" w:cs="Times New Roman"/>
                          <w:sz w:val="20"/>
                          <w:szCs w:val="20"/>
                        </w:rPr>
                        <w:tab/>
                        <w:t>|</w:t>
                      </w:r>
                    </w:p>
                    <w:p w14:paraId="5263910F"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p>
                    <w:p w14:paraId="50C0C683" w14:textId="77777777" w:rsidR="00376E5A" w:rsidRPr="0082692A" w:rsidRDefault="00376E5A" w:rsidP="00376E5A">
                      <w:pPr>
                        <w:pStyle w:val="xmsonormal"/>
                        <w:tabs>
                          <w:tab w:val="left" w:pos="2977"/>
                          <w:tab w:val="left" w:pos="5103"/>
                        </w:tabs>
                        <w:rPr>
                          <w:rFonts w:ascii="Times New Roman" w:hAnsi="Times New Roman" w:cs="Times New Roman"/>
                          <w:sz w:val="20"/>
                          <w:szCs w:val="20"/>
                        </w:rPr>
                      </w:pPr>
                      <w:r w:rsidRPr="0082692A">
                        <w:rPr>
                          <w:rFonts w:ascii="Times New Roman" w:hAnsi="Times New Roman" w:cs="Times New Roman"/>
                          <w:sz w:val="20"/>
                          <w:szCs w:val="20"/>
                        </w:rPr>
                        <w:t xml:space="preserve">      A1 Group Management LLC (Russia)</w:t>
                      </w:r>
                      <w:r w:rsidRPr="0082692A">
                        <w:rPr>
                          <w:rFonts w:ascii="Times New Roman" w:hAnsi="Times New Roman" w:cs="Times New Roman"/>
                          <w:sz w:val="20"/>
                          <w:szCs w:val="20"/>
                        </w:rPr>
                        <w:tab/>
                        <w:t>|100%</w:t>
                      </w:r>
                    </w:p>
                    <w:p w14:paraId="0E8C762C" w14:textId="77777777" w:rsidR="00376E5A" w:rsidRPr="0082692A" w:rsidRDefault="00376E5A" w:rsidP="00376E5A">
                      <w:pPr>
                        <w:pStyle w:val="xmsolistparagraph"/>
                        <w:tabs>
                          <w:tab w:val="left" w:pos="2694"/>
                          <w:tab w:val="left" w:pos="5103"/>
                        </w:tabs>
                        <w:rPr>
                          <w:rFonts w:ascii="Times New Roman" w:hAnsi="Times New Roman" w:cs="Times New Roman"/>
                          <w:sz w:val="20"/>
                          <w:szCs w:val="20"/>
                        </w:rPr>
                      </w:pPr>
                      <w:r w:rsidRPr="0082692A">
                        <w:rPr>
                          <w:rFonts w:ascii="Times New Roman" w:hAnsi="Times New Roman" w:cs="Times New Roman"/>
                          <w:sz w:val="20"/>
                          <w:szCs w:val="20"/>
                        </w:rPr>
                        <w:t>|</w:t>
                      </w:r>
                      <w:r w:rsidRPr="0082692A">
                        <w:rPr>
                          <w:rFonts w:ascii="Times New Roman" w:hAnsi="Times New Roman" w:cs="Times New Roman"/>
                          <w:sz w:val="20"/>
                          <w:szCs w:val="20"/>
                        </w:rPr>
                        <w:tab/>
                        <w:t>|</w:t>
                      </w:r>
                      <w:r w:rsidRPr="0082692A">
                        <w:rPr>
                          <w:rFonts w:ascii="Times New Roman" w:hAnsi="Times New Roman" w:cs="Times New Roman"/>
                          <w:sz w:val="20"/>
                          <w:szCs w:val="20"/>
                        </w:rPr>
                        <w:tab/>
                        <w:t>|</w:t>
                      </w:r>
                      <w:r w:rsidRPr="0082692A">
                        <w:rPr>
                          <w:rFonts w:ascii="Times New Roman" w:hAnsi="Times New Roman" w:cs="Times New Roman"/>
                          <w:sz w:val="20"/>
                          <w:szCs w:val="20"/>
                        </w:rPr>
                        <w:tab/>
                      </w:r>
                      <w:r w:rsidRPr="0082692A">
                        <w:rPr>
                          <w:rFonts w:ascii="Times New Roman" w:hAnsi="Times New Roman" w:cs="Times New Roman"/>
                          <w:sz w:val="20"/>
                          <w:szCs w:val="20"/>
                        </w:rPr>
                        <w:tab/>
                      </w:r>
                    </w:p>
                    <w:p w14:paraId="3D9E1CA6" w14:textId="77777777" w:rsidR="00376E5A" w:rsidRPr="001B3600" w:rsidRDefault="00376E5A" w:rsidP="00376E5A">
                      <w:pPr>
                        <w:pStyle w:val="xmsolistparagraph"/>
                        <w:tabs>
                          <w:tab w:val="left" w:pos="2694"/>
                          <w:tab w:val="left" w:pos="5103"/>
                        </w:tabs>
                        <w:rPr>
                          <w:rFonts w:ascii="Times New Roman" w:hAnsi="Times New Roman" w:cs="Times New Roman"/>
                          <w:sz w:val="20"/>
                          <w:szCs w:val="20"/>
                        </w:rPr>
                      </w:pPr>
                      <w:r w:rsidRPr="001B3600">
                        <w:rPr>
                          <w:rFonts w:ascii="Times New Roman" w:hAnsi="Times New Roman" w:cs="Times New Roman"/>
                          <w:sz w:val="20"/>
                          <w:szCs w:val="20"/>
                        </w:rPr>
                        <w:t xml:space="preserve">|100% </w:t>
                      </w:r>
                      <w:r w:rsidRPr="001B3600">
                        <w:rPr>
                          <w:rFonts w:ascii="Times New Roman" w:hAnsi="Times New Roman" w:cs="Times New Roman"/>
                          <w:sz w:val="20"/>
                          <w:szCs w:val="20"/>
                        </w:rPr>
                        <w:tab/>
                        <w:t>|100%</w:t>
                      </w:r>
                      <w:r w:rsidRPr="001B3600">
                        <w:rPr>
                          <w:rFonts w:ascii="Times New Roman" w:hAnsi="Times New Roman" w:cs="Times New Roman"/>
                          <w:sz w:val="20"/>
                          <w:szCs w:val="20"/>
                        </w:rPr>
                        <w:tab/>
                        <w:t>|</w:t>
                      </w:r>
                      <w:r w:rsidRPr="001B3600">
                        <w:rPr>
                          <w:rFonts w:ascii="Times New Roman" w:hAnsi="Times New Roman" w:cs="Times New Roman"/>
                          <w:sz w:val="20"/>
                          <w:szCs w:val="20"/>
                        </w:rPr>
                        <w:tab/>
                      </w:r>
                      <w:r w:rsidRPr="001B3600">
                        <w:rPr>
                          <w:rFonts w:ascii="Times New Roman" w:hAnsi="Times New Roman" w:cs="Times New Roman"/>
                          <w:sz w:val="20"/>
                          <w:szCs w:val="20"/>
                        </w:rPr>
                        <w:tab/>
                      </w:r>
                    </w:p>
                    <w:p w14:paraId="75BDDBA7" w14:textId="77777777" w:rsidR="00376E5A" w:rsidRPr="001B3600" w:rsidRDefault="00376E5A" w:rsidP="00376E5A">
                      <w:pPr>
                        <w:pStyle w:val="xmsolistparagraph"/>
                        <w:tabs>
                          <w:tab w:val="left" w:pos="2694"/>
                          <w:tab w:val="left" w:pos="5103"/>
                        </w:tabs>
                        <w:rPr>
                          <w:rFonts w:ascii="Times New Roman" w:hAnsi="Times New Roman" w:cs="Times New Roman"/>
                          <w:sz w:val="20"/>
                          <w:szCs w:val="20"/>
                        </w:rPr>
                      </w:pPr>
                      <w:r w:rsidRPr="001B3600">
                        <w:rPr>
                          <w:rFonts w:ascii="Times New Roman" w:hAnsi="Times New Roman" w:cs="Times New Roman"/>
                          <w:sz w:val="20"/>
                          <w:szCs w:val="20"/>
                        </w:rPr>
                        <w:t>|</w:t>
                      </w:r>
                      <w:r w:rsidRPr="001B3600">
                        <w:rPr>
                          <w:rFonts w:ascii="Times New Roman" w:hAnsi="Times New Roman" w:cs="Times New Roman"/>
                          <w:sz w:val="20"/>
                          <w:szCs w:val="20"/>
                        </w:rPr>
                        <w:tab/>
                        <w:t>|</w:t>
                      </w:r>
                      <w:r w:rsidRPr="001B3600">
                        <w:rPr>
                          <w:rFonts w:ascii="Times New Roman" w:hAnsi="Times New Roman" w:cs="Times New Roman"/>
                          <w:sz w:val="20"/>
                          <w:szCs w:val="20"/>
                        </w:rPr>
                        <w:tab/>
                        <w:t>|</w:t>
                      </w:r>
                    </w:p>
                    <w:p w14:paraId="0FA07D39" w14:textId="77777777" w:rsidR="00376E5A" w:rsidRPr="001B3600" w:rsidRDefault="00376E5A" w:rsidP="00376E5A">
                      <w:pPr>
                        <w:pStyle w:val="xmsonormal"/>
                        <w:rPr>
                          <w:rFonts w:ascii="Times New Roman" w:hAnsi="Times New Roman" w:cs="Times New Roman"/>
                          <w:sz w:val="20"/>
                          <w:szCs w:val="20"/>
                        </w:rPr>
                      </w:pPr>
                      <w:r w:rsidRPr="001B3600">
                        <w:rPr>
                          <w:rFonts w:ascii="Times New Roman" w:hAnsi="Times New Roman" w:cs="Times New Roman"/>
                          <w:sz w:val="20"/>
                          <w:szCs w:val="20"/>
                        </w:rPr>
                        <w:t>ALTA+ (Russia)</w:t>
                      </w:r>
                      <w:r w:rsidRPr="001B3600">
                        <w:rPr>
                          <w:rFonts w:ascii="Times New Roman" w:hAnsi="Times New Roman" w:cs="Times New Roman"/>
                          <w:sz w:val="20"/>
                          <w:szCs w:val="20"/>
                        </w:rPr>
                        <w:tab/>
                      </w:r>
                      <w:r w:rsidRPr="001B3600">
                        <w:rPr>
                          <w:rFonts w:ascii="Times New Roman" w:hAnsi="Times New Roman" w:cs="Times New Roman"/>
                          <w:sz w:val="20"/>
                          <w:szCs w:val="20"/>
                        </w:rPr>
                        <w:tab/>
                      </w:r>
                      <w:r w:rsidRPr="001B3600">
                        <w:rPr>
                          <w:rFonts w:ascii="Times New Roman" w:hAnsi="Times New Roman" w:cs="Times New Roman"/>
                          <w:b/>
                          <w:bCs/>
                          <w:sz w:val="20"/>
                          <w:szCs w:val="20"/>
                        </w:rPr>
                        <w:t xml:space="preserve"> </w:t>
                      </w:r>
                      <w:r w:rsidRPr="001B3600">
                        <w:rPr>
                          <w:rFonts w:ascii="Times New Roman" w:hAnsi="Times New Roman" w:cs="Times New Roman"/>
                          <w:sz w:val="20"/>
                          <w:szCs w:val="20"/>
                        </w:rPr>
                        <w:t>A1 LLC (Russia)</w:t>
                      </w:r>
                      <w:r w:rsidRPr="001B3600">
                        <w:rPr>
                          <w:rFonts w:ascii="Times New Roman" w:hAnsi="Times New Roman" w:cs="Times New Roman"/>
                          <w:sz w:val="20"/>
                          <w:szCs w:val="20"/>
                        </w:rPr>
                        <w:tab/>
                        <w:t>BAGT Capital Limited (Gibraltar)</w:t>
                      </w:r>
                    </w:p>
                    <w:p w14:paraId="1AF0A862" w14:textId="77777777" w:rsidR="00376E5A" w:rsidRPr="00722807" w:rsidRDefault="00376E5A" w:rsidP="00376E5A">
                      <w:pPr>
                        <w:pStyle w:val="xmsonormal"/>
                        <w:autoSpaceDE w:val="0"/>
                        <w:autoSpaceDN w:val="0"/>
                        <w:ind w:left="680"/>
                        <w:rPr>
                          <w:rFonts w:ascii="Arial" w:hAnsi="Arial" w:cs="Arial"/>
                          <w:sz w:val="18"/>
                          <w:szCs w:val="18"/>
                          <w:u w:val="single"/>
                        </w:rPr>
                      </w:pPr>
                    </w:p>
                    <w:p w14:paraId="1D7885AE" w14:textId="77777777" w:rsidR="00376E5A" w:rsidRPr="00722807" w:rsidRDefault="00376E5A" w:rsidP="00376E5A">
                      <w:pPr>
                        <w:pStyle w:val="xmsonormal"/>
                        <w:autoSpaceDE w:val="0"/>
                        <w:autoSpaceDN w:val="0"/>
                        <w:rPr>
                          <w:rFonts w:ascii="Arial" w:hAnsi="Arial" w:cs="Arial"/>
                          <w:sz w:val="18"/>
                          <w:szCs w:val="18"/>
                        </w:rPr>
                      </w:pPr>
                    </w:p>
                    <w:p w14:paraId="33AD2207" w14:textId="77777777" w:rsidR="00376E5A" w:rsidRPr="00722807" w:rsidRDefault="00376E5A" w:rsidP="00376E5A">
                      <w:pPr>
                        <w:rPr>
                          <w:sz w:val="18"/>
                          <w:szCs w:val="18"/>
                        </w:rPr>
                      </w:pPr>
                    </w:p>
                  </w:txbxContent>
                </v:textbox>
                <w10:anchorlock/>
              </v:shape>
            </w:pict>
          </mc:Fallback>
        </mc:AlternateContent>
      </w:r>
    </w:p>
    <w:p w14:paraId="054BD57F" w14:textId="4D2BA3E6" w:rsidR="00290A7A" w:rsidRDefault="00290A7A" w:rsidP="00290A7A">
      <w:pPr>
        <w:pStyle w:val="BodyText"/>
        <w:rPr>
          <w:color w:val="000000" w:themeColor="text1"/>
        </w:rPr>
      </w:pPr>
      <w:r w:rsidRPr="004F071C">
        <w:rPr>
          <w:color w:val="000000" w:themeColor="text1"/>
        </w:rPr>
        <w:t>One member of the Alfa Group, Alfa Bank</w:t>
      </w:r>
      <w:r w:rsidR="007673D5">
        <w:rPr>
          <w:color w:val="000000" w:themeColor="text1"/>
        </w:rPr>
        <w:t xml:space="preserve"> Russia</w:t>
      </w:r>
      <w:r w:rsidRPr="004F071C">
        <w:rPr>
          <w:color w:val="000000" w:themeColor="text1"/>
        </w:rPr>
        <w:t xml:space="preserve">, is a DP. A1 and A1 Investments are not DPs and are not subject to EU </w:t>
      </w:r>
      <w:r>
        <w:rPr>
          <w:color w:val="000000" w:themeColor="text1"/>
        </w:rPr>
        <w:t xml:space="preserve">or UK </w:t>
      </w:r>
      <w:r w:rsidRPr="004F071C">
        <w:rPr>
          <w:color w:val="000000" w:themeColor="text1"/>
        </w:rPr>
        <w:t>sanctions, but they are sanctioned in the US as of 14 September 2023 “</w:t>
      </w:r>
      <w:r w:rsidRPr="004F071C">
        <w:rPr>
          <w:i/>
          <w:iCs/>
          <w:color w:val="000000" w:themeColor="text1"/>
        </w:rPr>
        <w:t>for operating or having operated in the financial services sector of the Russian Federation economy</w:t>
      </w:r>
      <w:r w:rsidRPr="004F071C">
        <w:rPr>
          <w:color w:val="000000" w:themeColor="text1"/>
        </w:rPr>
        <w:t>”. They are also described in a US Treasury press release as “</w:t>
      </w:r>
      <w:r w:rsidRPr="004F071C">
        <w:rPr>
          <w:i/>
          <w:iCs/>
          <w:color w:val="000000" w:themeColor="text1"/>
        </w:rPr>
        <w:t>investment business of Alfa Group, a Russia-based entity connected to</w:t>
      </w:r>
      <w:r w:rsidRPr="004F071C">
        <w:rPr>
          <w:color w:val="000000" w:themeColor="text1"/>
        </w:rPr>
        <w:t xml:space="preserve">” </w:t>
      </w:r>
      <w:r>
        <w:rPr>
          <w:color w:val="000000" w:themeColor="text1"/>
        </w:rPr>
        <w:t xml:space="preserve">the Founders. </w:t>
      </w:r>
    </w:p>
    <w:p w14:paraId="099A5B24" w14:textId="2B19EBF3" w:rsidR="00290A7A" w:rsidRPr="00290A7A" w:rsidRDefault="00C22611" w:rsidP="00290A7A">
      <w:pPr>
        <w:pStyle w:val="BodyText"/>
        <w:rPr>
          <w:color w:val="000000" w:themeColor="text1"/>
          <w:lang w:val="en-US"/>
        </w:rPr>
      </w:pPr>
      <w:r>
        <w:rPr>
          <w:color w:val="000000" w:themeColor="text1"/>
        </w:rPr>
        <w:t>T</w:t>
      </w:r>
      <w:r w:rsidR="00290A7A">
        <w:rPr>
          <w:color w:val="000000" w:themeColor="text1"/>
        </w:rPr>
        <w:t xml:space="preserve">he Founders </w:t>
      </w:r>
      <w:r w:rsidR="00290A7A" w:rsidRPr="004F071C">
        <w:rPr>
          <w:color w:val="000000" w:themeColor="text1"/>
        </w:rPr>
        <w:t>were</w:t>
      </w:r>
      <w:r w:rsidR="00290A7A">
        <w:rPr>
          <w:color w:val="000000" w:themeColor="text1"/>
        </w:rPr>
        <w:t xml:space="preserve"> all</w:t>
      </w:r>
      <w:r w:rsidR="00290A7A" w:rsidRPr="004F071C">
        <w:rPr>
          <w:color w:val="000000" w:themeColor="text1"/>
        </w:rPr>
        <w:t xml:space="preserve"> designated in the UK on 15 March 2022. Mr Kosogov and Mr Fayn are not designated</w:t>
      </w:r>
      <w:r w:rsidR="00290A7A">
        <w:rPr>
          <w:color w:val="000000" w:themeColor="text1"/>
        </w:rPr>
        <w:t>.</w:t>
      </w:r>
      <w:r w:rsidR="00D95D15">
        <w:rPr>
          <w:color w:val="000000" w:themeColor="text1"/>
        </w:rPr>
        <w:t xml:space="preserve"> According to at least one press report Mr Kosogov</w:t>
      </w:r>
      <w:r w:rsidR="00117162">
        <w:rPr>
          <w:color w:val="000000" w:themeColor="text1"/>
        </w:rPr>
        <w:t xml:space="preserve"> has been the recipient of transfers from Mr Khan and Mr</w:t>
      </w:r>
      <w:r w:rsidR="002E1986">
        <w:rPr>
          <w:color w:val="000000" w:themeColor="text1"/>
        </w:rPr>
        <w:t xml:space="preserve"> Kuzmichev of their interests in Alfa Bank and </w:t>
      </w:r>
      <w:proofErr w:type="spellStart"/>
      <w:r w:rsidR="002E1986">
        <w:rPr>
          <w:color w:val="000000" w:themeColor="text1"/>
        </w:rPr>
        <w:t>LetterOne</w:t>
      </w:r>
      <w:proofErr w:type="spellEnd"/>
      <w:r w:rsidR="002E1986">
        <w:rPr>
          <w:color w:val="000000" w:themeColor="text1"/>
        </w:rPr>
        <w:t>.</w:t>
      </w:r>
    </w:p>
    <w:p w14:paraId="113E4EB8" w14:textId="2BA844A8" w:rsidR="00401AE3" w:rsidRPr="00F41E84" w:rsidRDefault="00664AAC" w:rsidP="00290A7A">
      <w:pPr>
        <w:pStyle w:val="BodyText"/>
        <w:rPr>
          <w:color w:val="000000" w:themeColor="text1"/>
          <w:lang w:val="en-US"/>
        </w:rPr>
      </w:pPr>
      <w:r>
        <w:rPr>
          <w:color w:val="000000" w:themeColor="text1"/>
          <w:lang w:val="en-US"/>
        </w:rPr>
        <w:t xml:space="preserve">The next area of background is A1’s role. </w:t>
      </w:r>
      <w:r w:rsidR="00315477">
        <w:rPr>
          <w:color w:val="000000" w:themeColor="text1"/>
          <w:lang w:val="en-US"/>
        </w:rPr>
        <w:t>It</w:t>
      </w:r>
      <w:r w:rsidR="00401AE3" w:rsidRPr="00F41E84">
        <w:rPr>
          <w:color w:val="000000" w:themeColor="text1"/>
          <w:lang w:val="en-US"/>
        </w:rPr>
        <w:t xml:space="preserve"> is not a typical litigation funder. </w:t>
      </w:r>
      <w:r w:rsidR="00F70FC9">
        <w:rPr>
          <w:color w:val="000000" w:themeColor="text1"/>
          <w:lang w:val="en-US"/>
        </w:rPr>
        <w:t xml:space="preserve">It is described by the Alfa Group as “The investment </w:t>
      </w:r>
      <w:r w:rsidR="00C16563">
        <w:rPr>
          <w:color w:val="000000" w:themeColor="text1"/>
          <w:lang w:val="en-US"/>
        </w:rPr>
        <w:t xml:space="preserve">business of the Alfa Group”.  </w:t>
      </w:r>
      <w:r w:rsidR="00401AE3" w:rsidRPr="00F41E84">
        <w:rPr>
          <w:color w:val="000000" w:themeColor="text1"/>
          <w:lang w:val="en-US"/>
        </w:rPr>
        <w:t>As Falk J stated in her judgment of 5 August 2020:</w:t>
      </w:r>
    </w:p>
    <w:p w14:paraId="1E5EA8FC" w14:textId="77777777" w:rsidR="00401AE3" w:rsidRPr="00F41E84" w:rsidRDefault="00401AE3" w:rsidP="00401AE3">
      <w:pPr>
        <w:pStyle w:val="Quote"/>
        <w:rPr>
          <w:lang w:val="en-US"/>
        </w:rPr>
      </w:pPr>
      <w:r w:rsidRPr="00F41E84">
        <w:rPr>
          <w:lang w:val="en-US"/>
        </w:rPr>
        <w:t xml:space="preserve">“23. It is fair to say that A1’s role is an unusual one that appears to go well beyond that of a conventional litigation funder. It is </w:t>
      </w:r>
      <w:proofErr w:type="spellStart"/>
      <w:r w:rsidRPr="00F41E84">
        <w:rPr>
          <w:lang w:val="en-US"/>
        </w:rPr>
        <w:t>authorised</w:t>
      </w:r>
      <w:proofErr w:type="spellEnd"/>
      <w:r w:rsidRPr="00F41E84">
        <w:rPr>
          <w:lang w:val="en-US"/>
        </w:rPr>
        <w:t xml:space="preserve"> by the DIA to manage the proceedings on its behalf. Mr </w:t>
      </w:r>
      <w:proofErr w:type="spellStart"/>
      <w:r w:rsidRPr="00F41E84">
        <w:rPr>
          <w:lang w:val="en-US"/>
        </w:rPr>
        <w:t>Tchernenko</w:t>
      </w:r>
      <w:proofErr w:type="spellEnd"/>
      <w:r w:rsidRPr="00F41E84">
        <w:rPr>
          <w:lang w:val="en-US"/>
        </w:rPr>
        <w:t xml:space="preserve">, a senior staff member at A1, has what is described as day-to-day conduct of the proceedings, liaising as necessary with the DIA and being ‘under their supervision’. Effectively, therefore, A1 is acting as the agent of the DIA (and thus VPB) for the purposes of this litigation. In particular, VPB’s legal advisers take instructions from Mr </w:t>
      </w:r>
      <w:proofErr w:type="spellStart"/>
      <w:r w:rsidRPr="00F41E84">
        <w:rPr>
          <w:lang w:val="en-US"/>
        </w:rPr>
        <w:t>Tchernenko</w:t>
      </w:r>
      <w:proofErr w:type="spellEnd"/>
      <w:r w:rsidRPr="00F41E84">
        <w:rPr>
          <w:lang w:val="en-US"/>
        </w:rPr>
        <w:t xml:space="preserve"> and (at least when PCB was involved) he was said to be their primary point of client contact. I infer that, at least on a day-to-day basis, A1 are running the litigation.”</w:t>
      </w:r>
    </w:p>
    <w:p w14:paraId="21147A1E" w14:textId="61729A4D" w:rsidR="00867948" w:rsidRPr="00867948" w:rsidRDefault="002B5043" w:rsidP="00867948">
      <w:pPr>
        <w:pStyle w:val="BodyText"/>
        <w:rPr>
          <w:color w:val="000000" w:themeColor="text1"/>
          <w:lang w:val="en-US"/>
        </w:rPr>
      </w:pPr>
      <w:r>
        <w:rPr>
          <w:color w:val="000000" w:themeColor="text1"/>
          <w:lang w:val="en-US"/>
        </w:rPr>
        <w:lastRenderedPageBreak/>
        <w:t>A</w:t>
      </w:r>
      <w:r w:rsidR="00867948">
        <w:rPr>
          <w:color w:val="000000" w:themeColor="text1"/>
          <w:lang w:val="en-US"/>
        </w:rPr>
        <w:t xml:space="preserve">fter the Trustee emerged </w:t>
      </w:r>
      <w:r w:rsidR="00CD6F34">
        <w:rPr>
          <w:color w:val="000000" w:themeColor="text1"/>
          <w:lang w:val="en-US"/>
        </w:rPr>
        <w:t>t</w:t>
      </w:r>
      <w:r w:rsidR="001812FC" w:rsidRPr="001812FC">
        <w:rPr>
          <w:color w:val="000000" w:themeColor="text1"/>
          <w:lang w:val="en-US"/>
        </w:rPr>
        <w:t xml:space="preserve">he </w:t>
      </w:r>
      <w:r w:rsidR="00075952">
        <w:rPr>
          <w:color w:val="000000" w:themeColor="text1"/>
          <w:lang w:val="en-US"/>
        </w:rPr>
        <w:t>T</w:t>
      </w:r>
      <w:r w:rsidR="001812FC" w:rsidRPr="001812FC">
        <w:rPr>
          <w:color w:val="000000" w:themeColor="text1"/>
          <w:lang w:val="en-US"/>
        </w:rPr>
        <w:t xml:space="preserve">rustee’s application to be </w:t>
      </w:r>
      <w:proofErr w:type="spellStart"/>
      <w:r w:rsidR="001812FC" w:rsidRPr="001812FC">
        <w:rPr>
          <w:color w:val="000000" w:themeColor="text1"/>
          <w:lang w:val="en-US"/>
        </w:rPr>
        <w:t>recognised</w:t>
      </w:r>
      <w:proofErr w:type="spellEnd"/>
      <w:r w:rsidR="001812FC" w:rsidRPr="001812FC">
        <w:rPr>
          <w:color w:val="000000" w:themeColor="text1"/>
          <w:lang w:val="en-US"/>
        </w:rPr>
        <w:t xml:space="preserve"> was issued in Feb</w:t>
      </w:r>
      <w:r w:rsidR="001812FC">
        <w:rPr>
          <w:color w:val="000000" w:themeColor="text1"/>
          <w:lang w:val="en-US"/>
        </w:rPr>
        <w:t>ruary</w:t>
      </w:r>
      <w:r w:rsidR="001812FC" w:rsidRPr="001812FC">
        <w:rPr>
          <w:color w:val="000000" w:themeColor="text1"/>
          <w:lang w:val="en-US"/>
        </w:rPr>
        <w:t xml:space="preserve"> 2021. They appeared at their first hearing on 5 March 202</w:t>
      </w:r>
      <w:r w:rsidR="001812FC">
        <w:rPr>
          <w:color w:val="000000" w:themeColor="text1"/>
          <w:lang w:val="en-US"/>
        </w:rPr>
        <w:t xml:space="preserve">2 </w:t>
      </w:r>
      <w:r w:rsidR="00867948">
        <w:rPr>
          <w:color w:val="000000" w:themeColor="text1"/>
          <w:lang w:val="en-US"/>
        </w:rPr>
        <w:t>and became involved in the proceedings</w:t>
      </w:r>
      <w:r w:rsidR="001812FC">
        <w:rPr>
          <w:color w:val="000000" w:themeColor="text1"/>
          <w:lang w:val="en-US"/>
        </w:rPr>
        <w:t>. I</w:t>
      </w:r>
      <w:r w:rsidR="00F12B02">
        <w:rPr>
          <w:color w:val="000000" w:themeColor="text1"/>
          <w:lang w:val="en-US"/>
        </w:rPr>
        <w:t>n</w:t>
      </w:r>
      <w:r w:rsidR="00867948" w:rsidRPr="00867948">
        <w:rPr>
          <w:color w:val="000000" w:themeColor="text1"/>
          <w:lang w:val="en-US"/>
        </w:rPr>
        <w:t xml:space="preserve"> the May 2022 Judgment, Falk J held (at [70]) that:</w:t>
      </w:r>
    </w:p>
    <w:p w14:paraId="16C322D4" w14:textId="77777777" w:rsidR="00F12B02" w:rsidRDefault="00867948" w:rsidP="00002C92">
      <w:pPr>
        <w:pStyle w:val="Quote"/>
        <w:rPr>
          <w:lang w:val="en-US"/>
        </w:rPr>
      </w:pPr>
      <w:r w:rsidRPr="00867948">
        <w:rPr>
          <w:lang w:val="en-US"/>
        </w:rPr>
        <w:t xml:space="preserve">“I am driven to the conclusion that the Trustee’s intervention was funded by A1 with a view to denying access to assets that Mr Bedzhamov (and through him his legal advisers) might otherwise reasonably have expected to have available for reasonable legal and living expenses under the WFO.  I can see no other rational explanation.” </w:t>
      </w:r>
    </w:p>
    <w:p w14:paraId="3085919B" w14:textId="15BC72FA" w:rsidR="00401AE3" w:rsidRDefault="00401AE3" w:rsidP="00867948">
      <w:pPr>
        <w:pStyle w:val="BodyText"/>
        <w:rPr>
          <w:color w:val="000000" w:themeColor="text1"/>
          <w:lang w:val="en-US"/>
        </w:rPr>
      </w:pPr>
      <w:r w:rsidRPr="00F41E84">
        <w:rPr>
          <w:color w:val="000000" w:themeColor="text1"/>
          <w:lang w:val="en-US"/>
        </w:rPr>
        <w:t xml:space="preserve">Mr </w:t>
      </w:r>
      <w:proofErr w:type="spellStart"/>
      <w:r w:rsidRPr="00F41E84">
        <w:rPr>
          <w:color w:val="000000" w:themeColor="text1"/>
          <w:lang w:val="en-US"/>
        </w:rPr>
        <w:t>Tchernenko</w:t>
      </w:r>
      <w:proofErr w:type="spellEnd"/>
      <w:r w:rsidRPr="00F41E84">
        <w:rPr>
          <w:color w:val="000000" w:themeColor="text1"/>
          <w:lang w:val="en-US"/>
        </w:rPr>
        <w:t xml:space="preserve"> has continued his involvement in the litigation. Ms Bloom continues to take instructions from him. He attended the hearing before us remotely. Besides being an employee of A1, he appears to be a member of A1 Law Office, an entity which, according to the Alfa Group’s 2020 Annual Report, was established by A1 Investment.</w:t>
      </w:r>
    </w:p>
    <w:p w14:paraId="2AA13CF4" w14:textId="1DA49CCF" w:rsidR="00F974FB" w:rsidRPr="00F974FB" w:rsidRDefault="00063E13" w:rsidP="00F974FB">
      <w:pPr>
        <w:pStyle w:val="BodyText"/>
        <w:rPr>
          <w:color w:val="000000" w:themeColor="text1"/>
          <w:lang w:val="en-US"/>
        </w:rPr>
      </w:pPr>
      <w:r>
        <w:rPr>
          <w:lang w:val="en-US"/>
        </w:rPr>
        <w:t>At the heart of the present dispute lies a question about the ownership and control of A1</w:t>
      </w:r>
      <w:r w:rsidR="00BB3F5D">
        <w:rPr>
          <w:lang w:val="en-US"/>
        </w:rPr>
        <w:t>;</w:t>
      </w:r>
      <w:r w:rsidR="00FB2091">
        <w:rPr>
          <w:lang w:val="en-US"/>
        </w:rPr>
        <w:t xml:space="preserve"> that question arises</w:t>
      </w:r>
      <w:r w:rsidR="00BB3F5D">
        <w:rPr>
          <w:lang w:val="en-US"/>
        </w:rPr>
        <w:t xml:space="preserve"> because </w:t>
      </w:r>
      <w:r w:rsidR="006F0EB8">
        <w:rPr>
          <w:lang w:val="en-US"/>
        </w:rPr>
        <w:t xml:space="preserve">when </w:t>
      </w:r>
      <w:r w:rsidR="003D5228">
        <w:rPr>
          <w:lang w:val="en-US"/>
        </w:rPr>
        <w:t>t</w:t>
      </w:r>
      <w:r w:rsidR="00BB3F5D" w:rsidRPr="00BB3F5D">
        <w:rPr>
          <w:lang w:val="en-US"/>
        </w:rPr>
        <w:t>he Founders were all designated in the UK on 15 March 2022</w:t>
      </w:r>
      <w:r w:rsidR="00315477">
        <w:rPr>
          <w:lang w:val="en-US"/>
        </w:rPr>
        <w:t>,</w:t>
      </w:r>
      <w:r w:rsidR="00AF2147">
        <w:rPr>
          <w:lang w:val="en-US"/>
        </w:rPr>
        <w:t xml:space="preserve"> A1 </w:t>
      </w:r>
      <w:r w:rsidR="006F0EB8">
        <w:rPr>
          <w:lang w:val="en-US"/>
        </w:rPr>
        <w:t>wa</w:t>
      </w:r>
      <w:r w:rsidR="00AF2147">
        <w:rPr>
          <w:lang w:val="en-US"/>
        </w:rPr>
        <w:t>s explicitly referred to in that context:</w:t>
      </w:r>
    </w:p>
    <w:p w14:paraId="1770D93C" w14:textId="77777777" w:rsidR="00F974FB" w:rsidRPr="00AF2147" w:rsidRDefault="00F974FB" w:rsidP="00F974FB">
      <w:pPr>
        <w:pStyle w:val="BodyText"/>
        <w:numPr>
          <w:ilvl w:val="1"/>
          <w:numId w:val="4"/>
        </w:numPr>
        <w:rPr>
          <w:i/>
          <w:iCs/>
          <w:color w:val="000000" w:themeColor="text1"/>
          <w:lang w:val="en-US"/>
        </w:rPr>
      </w:pPr>
      <w:r w:rsidRPr="00F974FB">
        <w:rPr>
          <w:color w:val="000000" w:themeColor="text1"/>
          <w:lang w:val="en-US"/>
        </w:rPr>
        <w:t xml:space="preserve">Mr Khan’s designation referred to his role as </w:t>
      </w:r>
      <w:r w:rsidRPr="00AF2147">
        <w:rPr>
          <w:i/>
          <w:iCs/>
          <w:color w:val="000000" w:themeColor="text1"/>
          <w:lang w:val="en-US"/>
        </w:rPr>
        <w:t xml:space="preserve">“Chairman of the Supervisory Board of A1 Investment Holding S.A.” </w:t>
      </w:r>
    </w:p>
    <w:p w14:paraId="495E797B" w14:textId="6F2539AC" w:rsidR="00F974FB" w:rsidRDefault="00F974FB" w:rsidP="00F974FB">
      <w:pPr>
        <w:pStyle w:val="BodyText"/>
        <w:numPr>
          <w:ilvl w:val="1"/>
          <w:numId w:val="4"/>
        </w:numPr>
        <w:rPr>
          <w:color w:val="000000" w:themeColor="text1"/>
          <w:lang w:val="en-US"/>
        </w:rPr>
      </w:pPr>
      <w:r w:rsidRPr="00F974FB">
        <w:rPr>
          <w:color w:val="000000" w:themeColor="text1"/>
          <w:lang w:val="en-US"/>
        </w:rPr>
        <w:t xml:space="preserve">Mr </w:t>
      </w:r>
      <w:proofErr w:type="spellStart"/>
      <w:r w:rsidRPr="00F974FB">
        <w:rPr>
          <w:color w:val="000000" w:themeColor="text1"/>
          <w:lang w:val="en-US"/>
        </w:rPr>
        <w:t>Kuzmichev’s</w:t>
      </w:r>
      <w:proofErr w:type="spellEnd"/>
      <w:r w:rsidRPr="00F974FB">
        <w:rPr>
          <w:color w:val="000000" w:themeColor="text1"/>
          <w:lang w:val="en-US"/>
        </w:rPr>
        <w:t xml:space="preserve"> designation was also updated to refer to his role on </w:t>
      </w:r>
      <w:r w:rsidRPr="00AF2147">
        <w:rPr>
          <w:i/>
          <w:iCs/>
          <w:color w:val="000000" w:themeColor="text1"/>
          <w:lang w:val="en-US"/>
        </w:rPr>
        <w:t>“the Board of Directors and Board of Administration of A1 Investment Holding SA”</w:t>
      </w:r>
      <w:r w:rsidRPr="00F974FB">
        <w:rPr>
          <w:color w:val="000000" w:themeColor="text1"/>
          <w:lang w:val="en-US"/>
        </w:rPr>
        <w:t xml:space="preserve"> and he was also described as an involved person because he was associated with</w:t>
      </w:r>
      <w:r w:rsidR="00AF2147">
        <w:rPr>
          <w:color w:val="000000" w:themeColor="text1"/>
          <w:lang w:val="en-US"/>
        </w:rPr>
        <w:t xml:space="preserve"> </w:t>
      </w:r>
      <w:proofErr w:type="spellStart"/>
      <w:r w:rsidR="00AF2147">
        <w:rPr>
          <w:color w:val="000000" w:themeColor="text1"/>
          <w:lang w:val="en-US"/>
        </w:rPr>
        <w:t>Messrs</w:t>
      </w:r>
      <w:proofErr w:type="spellEnd"/>
      <w:r w:rsidRPr="00F974FB">
        <w:rPr>
          <w:color w:val="000000" w:themeColor="text1"/>
          <w:lang w:val="en-US"/>
        </w:rPr>
        <w:t xml:space="preserve"> </w:t>
      </w:r>
      <w:proofErr w:type="spellStart"/>
      <w:r w:rsidRPr="00F974FB">
        <w:rPr>
          <w:color w:val="000000" w:themeColor="text1"/>
          <w:lang w:val="en-US"/>
        </w:rPr>
        <w:t>Fridman</w:t>
      </w:r>
      <w:proofErr w:type="spellEnd"/>
      <w:r w:rsidRPr="00F974FB">
        <w:rPr>
          <w:color w:val="000000" w:themeColor="text1"/>
          <w:lang w:val="en-US"/>
        </w:rPr>
        <w:t xml:space="preserve">, Khan and Aven. </w:t>
      </w:r>
    </w:p>
    <w:p w14:paraId="28CB155B" w14:textId="1B71AADD" w:rsidR="00F974FB" w:rsidRDefault="00AF2147" w:rsidP="00F974FB">
      <w:pPr>
        <w:pStyle w:val="BodyText"/>
        <w:rPr>
          <w:lang w:val="en-US"/>
        </w:rPr>
      </w:pPr>
      <w:r>
        <w:rPr>
          <w:lang w:val="en-US"/>
        </w:rPr>
        <w:t>It is potentially relevant background that o</w:t>
      </w:r>
      <w:r w:rsidR="00F974FB">
        <w:rPr>
          <w:lang w:val="en-US"/>
        </w:rPr>
        <w:t>thers close to the Founders have also been sanctioned:</w:t>
      </w:r>
    </w:p>
    <w:p w14:paraId="7E34591F" w14:textId="53AB6B3C" w:rsidR="00F974FB" w:rsidRPr="00F974FB" w:rsidRDefault="00F974FB" w:rsidP="00F974FB">
      <w:pPr>
        <w:pStyle w:val="BodyText"/>
        <w:numPr>
          <w:ilvl w:val="1"/>
          <w:numId w:val="4"/>
        </w:numPr>
        <w:rPr>
          <w:lang w:val="en-US"/>
        </w:rPr>
      </w:pPr>
      <w:r w:rsidRPr="00F974FB">
        <w:rPr>
          <w:lang w:val="en-US"/>
        </w:rPr>
        <w:t xml:space="preserve">Mr </w:t>
      </w:r>
      <w:r>
        <w:rPr>
          <w:lang w:val="en-US"/>
        </w:rPr>
        <w:t xml:space="preserve">Peter </w:t>
      </w:r>
      <w:r w:rsidRPr="00F974FB">
        <w:rPr>
          <w:lang w:val="en-US"/>
        </w:rPr>
        <w:t>Aven</w:t>
      </w:r>
      <w:r w:rsidR="00F22EB4">
        <w:rPr>
          <w:lang w:val="en-US"/>
        </w:rPr>
        <w:t>, another member of Alfa Group’s Supervisory Board</w:t>
      </w:r>
      <w:r w:rsidRPr="00F974FB">
        <w:rPr>
          <w:lang w:val="en-US"/>
        </w:rPr>
        <w:t xml:space="preserve"> was sanctioned on </w:t>
      </w:r>
      <w:r w:rsidR="005B4DC8">
        <w:rPr>
          <w:lang w:val="en-US"/>
        </w:rPr>
        <w:t>the same date</w:t>
      </w:r>
      <w:r w:rsidRPr="00F974FB">
        <w:rPr>
          <w:lang w:val="en-US"/>
        </w:rPr>
        <w:t xml:space="preserve"> in part because of his role as director of Alfa-Bank, which was itself sanctioned.  </w:t>
      </w:r>
      <w:r w:rsidR="00320C7F">
        <w:rPr>
          <w:lang w:val="en-US"/>
        </w:rPr>
        <w:t xml:space="preserve">As at the time of writing we understand that </w:t>
      </w:r>
      <w:r w:rsidR="008778CE">
        <w:rPr>
          <w:lang w:val="en-US"/>
        </w:rPr>
        <w:t xml:space="preserve">some of </w:t>
      </w:r>
      <w:r w:rsidR="00320C7F">
        <w:rPr>
          <w:lang w:val="en-US"/>
        </w:rPr>
        <w:t>the EU sanctions against Mr Aven have been annulled</w:t>
      </w:r>
      <w:r w:rsidR="00D06C42">
        <w:rPr>
          <w:lang w:val="en-US"/>
        </w:rPr>
        <w:t xml:space="preserve"> by the CJEU</w:t>
      </w:r>
      <w:r w:rsidR="00320C7F">
        <w:rPr>
          <w:lang w:val="en-US"/>
        </w:rPr>
        <w:t xml:space="preserve">, but he </w:t>
      </w:r>
      <w:r w:rsidR="006E55EF">
        <w:rPr>
          <w:lang w:val="en-US"/>
        </w:rPr>
        <w:t>remains</w:t>
      </w:r>
      <w:r w:rsidR="00320C7F">
        <w:rPr>
          <w:lang w:val="en-US"/>
        </w:rPr>
        <w:t xml:space="preserve"> on the relevant EU Sanctions list</w:t>
      </w:r>
      <w:r w:rsidR="006E55EF">
        <w:rPr>
          <w:lang w:val="en-US"/>
        </w:rPr>
        <w:t>. He also remains sanctioned by the UK and US</w:t>
      </w:r>
      <w:r w:rsidR="00CD6F34">
        <w:rPr>
          <w:lang w:val="en-US"/>
        </w:rPr>
        <w:t>.</w:t>
      </w:r>
    </w:p>
    <w:p w14:paraId="34F6A068" w14:textId="715EB3E6" w:rsidR="00F974FB" w:rsidRPr="00C259B3" w:rsidRDefault="00F974FB" w:rsidP="00C259B3">
      <w:pPr>
        <w:pStyle w:val="BodyText"/>
        <w:numPr>
          <w:ilvl w:val="1"/>
          <w:numId w:val="4"/>
        </w:numPr>
        <w:rPr>
          <w:color w:val="000000" w:themeColor="text1"/>
          <w:lang w:val="en-US"/>
        </w:rPr>
      </w:pPr>
      <w:r w:rsidRPr="00F974FB">
        <w:rPr>
          <w:color w:val="000000" w:themeColor="text1"/>
          <w:lang w:val="en-US"/>
        </w:rPr>
        <w:t xml:space="preserve">Mr </w:t>
      </w:r>
      <w:proofErr w:type="spellStart"/>
      <w:r w:rsidRPr="00F974FB">
        <w:rPr>
          <w:color w:val="000000" w:themeColor="text1"/>
          <w:lang w:val="en-US"/>
        </w:rPr>
        <w:t>Fridman’s</w:t>
      </w:r>
      <w:proofErr w:type="spellEnd"/>
      <w:r w:rsidRPr="00F974FB">
        <w:rPr>
          <w:color w:val="000000" w:themeColor="text1"/>
          <w:lang w:val="en-US"/>
        </w:rPr>
        <w:t xml:space="preserve"> executive assistant </w:t>
      </w:r>
      <w:proofErr w:type="spellStart"/>
      <w:r w:rsidR="005B4DC8" w:rsidRPr="00F974FB">
        <w:rPr>
          <w:color w:val="000000" w:themeColor="text1"/>
          <w:lang w:val="en-US"/>
        </w:rPr>
        <w:t>Ms</w:t>
      </w:r>
      <w:proofErr w:type="spellEnd"/>
      <w:r w:rsidR="005B4DC8" w:rsidRPr="00F974FB">
        <w:rPr>
          <w:color w:val="000000" w:themeColor="text1"/>
          <w:lang w:val="en-US"/>
        </w:rPr>
        <w:t xml:space="preserve"> </w:t>
      </w:r>
      <w:proofErr w:type="spellStart"/>
      <w:r w:rsidR="005B4DC8" w:rsidRPr="00F974FB">
        <w:rPr>
          <w:color w:val="000000" w:themeColor="text1"/>
          <w:lang w:val="en-US"/>
        </w:rPr>
        <w:t>Zairova</w:t>
      </w:r>
      <w:proofErr w:type="spellEnd"/>
      <w:r w:rsidR="005B4DC8" w:rsidRPr="00F974FB">
        <w:rPr>
          <w:color w:val="000000" w:themeColor="text1"/>
          <w:lang w:val="en-US"/>
        </w:rPr>
        <w:t xml:space="preserve"> </w:t>
      </w:r>
      <w:r w:rsidRPr="00F974FB">
        <w:rPr>
          <w:color w:val="000000" w:themeColor="text1"/>
          <w:lang w:val="en-US"/>
        </w:rPr>
        <w:t>was added to the OFSI Consolidated Sanctions List</w:t>
      </w:r>
      <w:r w:rsidR="005B4DC8">
        <w:rPr>
          <w:color w:val="000000" w:themeColor="text1"/>
          <w:lang w:val="en-US"/>
        </w:rPr>
        <w:t xml:space="preserve"> in April 2022 </w:t>
      </w:r>
      <w:r w:rsidRPr="00F974FB">
        <w:rPr>
          <w:color w:val="000000" w:themeColor="text1"/>
          <w:lang w:val="en-US"/>
        </w:rPr>
        <w:t>on the basis that she had held positions as a director of two entities owned by Mr Fridman</w:t>
      </w:r>
      <w:r w:rsidR="00C259B3">
        <w:rPr>
          <w:color w:val="000000" w:themeColor="text1"/>
          <w:lang w:val="en-US"/>
        </w:rPr>
        <w:t xml:space="preserve"> and that </w:t>
      </w:r>
      <w:r w:rsidRPr="004841BB">
        <w:rPr>
          <w:i/>
          <w:iCs/>
          <w:color w:val="000000" w:themeColor="text1"/>
          <w:lang w:val="en-US"/>
        </w:rPr>
        <w:t>“On 2 March 2022 FRIDMAN ceased to be the legal owner of both entities, together with a third entity…and on the same day ZAIROVA became the legal owner of all three entities. There is no evidence that these were arms-length transactions.  As such, there are reasonable grounds to suspect that ZAIROVA is acting on behalf or at the direction of FRIDMAN.</w:t>
      </w:r>
      <w:r w:rsidRPr="00692F9A">
        <w:rPr>
          <w:color w:val="000000" w:themeColor="text1"/>
          <w:lang w:val="en-US"/>
        </w:rPr>
        <w:t xml:space="preserve">” </w:t>
      </w:r>
      <w:r w:rsidRPr="00C259B3">
        <w:rPr>
          <w:color w:val="000000" w:themeColor="text1"/>
          <w:lang w:val="en-US"/>
        </w:rPr>
        <w:t xml:space="preserve"> </w:t>
      </w:r>
      <w:r w:rsidR="006E55EF">
        <w:rPr>
          <w:color w:val="000000" w:themeColor="text1"/>
          <w:lang w:val="en-US"/>
        </w:rPr>
        <w:t xml:space="preserve">Mr Fridman like Mr Aven has had </w:t>
      </w:r>
      <w:r w:rsidR="008778CE">
        <w:rPr>
          <w:color w:val="000000" w:themeColor="text1"/>
          <w:lang w:val="en-US"/>
        </w:rPr>
        <w:t xml:space="preserve">some of </w:t>
      </w:r>
      <w:r w:rsidR="006E55EF">
        <w:rPr>
          <w:color w:val="000000" w:themeColor="text1"/>
          <w:lang w:val="en-US"/>
        </w:rPr>
        <w:t>his EU sanctions annulled and remains sanctioned by the UK and US.</w:t>
      </w:r>
      <w:r w:rsidRPr="00C259B3">
        <w:rPr>
          <w:color w:val="000000" w:themeColor="text1"/>
          <w:lang w:val="en-US"/>
        </w:rPr>
        <w:t xml:space="preserve">    </w:t>
      </w:r>
    </w:p>
    <w:p w14:paraId="6BD4F24B" w14:textId="3A409A8D" w:rsidR="003D5228" w:rsidRDefault="00F974FB" w:rsidP="00C259B3">
      <w:pPr>
        <w:pStyle w:val="BodyText"/>
        <w:numPr>
          <w:ilvl w:val="1"/>
          <w:numId w:val="4"/>
        </w:numPr>
        <w:rPr>
          <w:lang w:val="en-US"/>
        </w:rPr>
      </w:pPr>
      <w:r w:rsidRPr="00F974FB">
        <w:rPr>
          <w:color w:val="000000" w:themeColor="text1"/>
          <w:lang w:val="en-US"/>
        </w:rPr>
        <w:lastRenderedPageBreak/>
        <w:t xml:space="preserve">Mr Khan’s wife, Anzhelika Khan, was designated </w:t>
      </w:r>
      <w:r w:rsidR="00C259B3">
        <w:rPr>
          <w:color w:val="000000" w:themeColor="text1"/>
          <w:lang w:val="en-US"/>
        </w:rPr>
        <w:t>in April 2022</w:t>
      </w:r>
      <w:r w:rsidRPr="00F974FB">
        <w:rPr>
          <w:color w:val="000000" w:themeColor="text1"/>
          <w:lang w:val="en-US"/>
        </w:rPr>
        <w:t>.</w:t>
      </w:r>
      <w:r w:rsidR="00692F9A">
        <w:rPr>
          <w:color w:val="000000" w:themeColor="text1"/>
          <w:lang w:val="en-US"/>
        </w:rPr>
        <w:t xml:space="preserve"> </w:t>
      </w:r>
      <w:r w:rsidRPr="00F974FB">
        <w:rPr>
          <w:color w:val="000000" w:themeColor="text1"/>
          <w:lang w:val="en-US"/>
        </w:rPr>
        <w:t>The challenge to her designation was recently dismissed by Cockerill J: [2024] EWHC 361 (Admin).  Ms Khan was designated not only because of her association with Mr Khan but also because she obtained financial and other material benefits from him</w:t>
      </w:r>
      <w:r w:rsidR="00C259B3">
        <w:rPr>
          <w:color w:val="000000" w:themeColor="text1"/>
          <w:lang w:val="en-US"/>
        </w:rPr>
        <w:t>. The judgment records</w:t>
      </w:r>
      <w:r w:rsidR="00931863">
        <w:rPr>
          <w:color w:val="000000" w:themeColor="text1"/>
          <w:lang w:val="en-US"/>
        </w:rPr>
        <w:t xml:space="preserve"> these at </w:t>
      </w:r>
      <w:r w:rsidRPr="00F974FB">
        <w:rPr>
          <w:color w:val="000000" w:themeColor="text1"/>
          <w:lang w:val="en-US"/>
        </w:rPr>
        <w:t>[4] and [6</w:t>
      </w:r>
      <w:r w:rsidR="00931863">
        <w:rPr>
          <w:color w:val="000000" w:themeColor="text1"/>
          <w:lang w:val="en-US"/>
        </w:rPr>
        <w:t>], noting at [46] that</w:t>
      </w:r>
      <w:r w:rsidRPr="00F974FB">
        <w:rPr>
          <w:color w:val="000000" w:themeColor="text1"/>
          <w:lang w:val="en-US"/>
        </w:rPr>
        <w:t xml:space="preserve"> </w:t>
      </w:r>
      <w:r w:rsidRPr="00692F9A">
        <w:rPr>
          <w:color w:val="000000" w:themeColor="text1"/>
          <w:lang w:val="en-US"/>
        </w:rPr>
        <w:t>“</w:t>
      </w:r>
      <w:r w:rsidRPr="0070438C">
        <w:rPr>
          <w:i/>
          <w:iCs/>
          <w:color w:val="000000" w:themeColor="text1"/>
          <w:lang w:val="en-US"/>
        </w:rPr>
        <w:t>the largest and most recent gift… [in early March 2022], shortly before Mr Khan was designated and subject to an asset freeze- and with the risk of that event being the motive</w:t>
      </w:r>
      <w:r w:rsidRPr="00692F9A">
        <w:rPr>
          <w:color w:val="000000" w:themeColor="text1"/>
          <w:lang w:val="en-US"/>
        </w:rPr>
        <w:t>”</w:t>
      </w:r>
      <w:r w:rsidR="00C259B3">
        <w:rPr>
          <w:color w:val="000000" w:themeColor="text1"/>
          <w:lang w:val="en-US"/>
        </w:rPr>
        <w:t>.</w:t>
      </w:r>
    </w:p>
    <w:p w14:paraId="01488120" w14:textId="77777777" w:rsidR="003C7617" w:rsidRPr="00064037" w:rsidRDefault="003409C2" w:rsidP="004B3F35">
      <w:pPr>
        <w:pStyle w:val="BodyText"/>
        <w:rPr>
          <w:color w:val="000000" w:themeColor="text1"/>
          <w:lang w:val="en-US"/>
        </w:rPr>
      </w:pPr>
      <w:r w:rsidRPr="007F340C">
        <w:rPr>
          <w:color w:val="000000" w:themeColor="text1"/>
        </w:rPr>
        <w:t>VPB and the Trustee</w:t>
      </w:r>
      <w:r w:rsidR="00C2648A">
        <w:rPr>
          <w:color w:val="000000" w:themeColor="text1"/>
        </w:rPr>
        <w:t>, have as already noted, essentially made common cause in this application</w:t>
      </w:r>
      <w:r w:rsidR="00C649A1">
        <w:rPr>
          <w:color w:val="000000" w:themeColor="text1"/>
        </w:rPr>
        <w:t xml:space="preserve"> and we hereafter refer to their joint submissions as those of VPB</w:t>
      </w:r>
      <w:r w:rsidR="003C7617">
        <w:rPr>
          <w:color w:val="000000" w:themeColor="text1"/>
        </w:rPr>
        <w:t>.</w:t>
      </w:r>
    </w:p>
    <w:p w14:paraId="2235AB77" w14:textId="57BA0CE0" w:rsidR="002D1301" w:rsidRPr="002D1301" w:rsidRDefault="003C7617" w:rsidP="004B3F35">
      <w:pPr>
        <w:pStyle w:val="BodyText"/>
        <w:rPr>
          <w:color w:val="000000" w:themeColor="text1"/>
          <w:lang w:val="en-US"/>
        </w:rPr>
      </w:pPr>
      <w:r>
        <w:rPr>
          <w:color w:val="000000" w:themeColor="text1"/>
          <w:lang w:val="en-US"/>
        </w:rPr>
        <w:t>VPB</w:t>
      </w:r>
      <w:r w:rsidR="003409C2" w:rsidRPr="007F340C">
        <w:rPr>
          <w:color w:val="000000" w:themeColor="text1"/>
        </w:rPr>
        <w:t xml:space="preserve"> say</w:t>
      </w:r>
      <w:r>
        <w:rPr>
          <w:color w:val="000000" w:themeColor="text1"/>
        </w:rPr>
        <w:t>s</w:t>
      </w:r>
      <w:r w:rsidR="003409C2" w:rsidRPr="007F340C">
        <w:rPr>
          <w:color w:val="000000" w:themeColor="text1"/>
        </w:rPr>
        <w:t xml:space="preserve"> that</w:t>
      </w:r>
      <w:r w:rsidR="00007A04">
        <w:rPr>
          <w:color w:val="000000" w:themeColor="text1"/>
        </w:rPr>
        <w:t xml:space="preserve"> </w:t>
      </w:r>
      <w:r w:rsidR="000B35FB">
        <w:rPr>
          <w:color w:val="000000" w:themeColor="text1"/>
        </w:rPr>
        <w:t>despite</w:t>
      </w:r>
      <w:r w:rsidR="00007A04">
        <w:rPr>
          <w:color w:val="000000" w:themeColor="text1"/>
        </w:rPr>
        <w:t xml:space="preserve"> the </w:t>
      </w:r>
      <w:r w:rsidR="000B35FB">
        <w:rPr>
          <w:color w:val="000000" w:themeColor="text1"/>
        </w:rPr>
        <w:t>designations</w:t>
      </w:r>
      <w:r w:rsidR="00007A04">
        <w:rPr>
          <w:color w:val="000000" w:themeColor="text1"/>
        </w:rPr>
        <w:t xml:space="preserve"> referred to </w:t>
      </w:r>
      <w:r w:rsidR="000B35FB">
        <w:rPr>
          <w:color w:val="000000" w:themeColor="text1"/>
        </w:rPr>
        <w:t>there</w:t>
      </w:r>
      <w:r w:rsidR="00007A04">
        <w:rPr>
          <w:color w:val="000000" w:themeColor="text1"/>
        </w:rPr>
        <w:t xml:space="preserve"> </w:t>
      </w:r>
      <w:r w:rsidR="000B35FB">
        <w:rPr>
          <w:color w:val="000000" w:themeColor="text1"/>
        </w:rPr>
        <w:t>is</w:t>
      </w:r>
      <w:r w:rsidR="00007A04">
        <w:rPr>
          <w:color w:val="000000" w:themeColor="text1"/>
        </w:rPr>
        <w:t xml:space="preserve"> no sanctions issue because Messrs Khan and Kuzmichev </w:t>
      </w:r>
      <w:r w:rsidR="00041DEC">
        <w:rPr>
          <w:color w:val="000000" w:themeColor="text1"/>
        </w:rPr>
        <w:t>divested themselves of ownership and control in advance of being sanctioned</w:t>
      </w:r>
      <w:r w:rsidR="002D1301">
        <w:rPr>
          <w:color w:val="000000" w:themeColor="text1"/>
        </w:rPr>
        <w:t>:</w:t>
      </w:r>
    </w:p>
    <w:p w14:paraId="479B1217" w14:textId="77777777" w:rsidR="002D1301" w:rsidRPr="002D1301" w:rsidRDefault="002D1301" w:rsidP="002D1301">
      <w:pPr>
        <w:pStyle w:val="BodyText"/>
        <w:numPr>
          <w:ilvl w:val="1"/>
          <w:numId w:val="4"/>
        </w:numPr>
        <w:rPr>
          <w:color w:val="000000" w:themeColor="text1"/>
          <w:lang w:val="en-US"/>
        </w:rPr>
      </w:pPr>
      <w:r>
        <w:rPr>
          <w:color w:val="000000" w:themeColor="text1"/>
        </w:rPr>
        <w:t>O</w:t>
      </w:r>
      <w:r w:rsidR="003409C2" w:rsidRPr="007F340C">
        <w:rPr>
          <w:color w:val="000000" w:themeColor="text1"/>
        </w:rPr>
        <w:t xml:space="preserve">n or around 15 March 2022, before Mr Khan and Mr Kuzmichev were designated, they effected a sale of their shares in A1 Investment to Mr Kosogov. This is said to be an arms-length transaction whereby Mr Khan and Mr Kuzmichev did not retain any interest in or control of A1 Investment. </w:t>
      </w:r>
    </w:p>
    <w:p w14:paraId="3A60C578" w14:textId="2311E628" w:rsidR="00F41E84" w:rsidRPr="007F340C" w:rsidRDefault="003409C2" w:rsidP="002D1301">
      <w:pPr>
        <w:pStyle w:val="BodyText"/>
        <w:numPr>
          <w:ilvl w:val="1"/>
          <w:numId w:val="4"/>
        </w:numPr>
        <w:rPr>
          <w:color w:val="000000" w:themeColor="text1"/>
          <w:lang w:val="en-US"/>
        </w:rPr>
      </w:pPr>
      <w:r w:rsidRPr="007F340C">
        <w:rPr>
          <w:color w:val="000000" w:themeColor="text1"/>
        </w:rPr>
        <w:t>Mr Fayn purchased all of the shares in A1 from Mr Fridman, Mr Khan, Mr Kuzmichev, and Mr Kosogov on 22 March 2022 (“the MBO”).</w:t>
      </w:r>
      <w:r w:rsidR="006019DC" w:rsidRPr="007F340C">
        <w:rPr>
          <w:color w:val="000000" w:themeColor="text1"/>
        </w:rPr>
        <w:t xml:space="preserve"> That sale, for the equivalent of £714</w:t>
      </w:r>
      <w:r w:rsidR="00575DC2">
        <w:rPr>
          <w:color w:val="000000" w:themeColor="text1"/>
        </w:rPr>
        <w:t>,</w:t>
      </w:r>
      <w:r w:rsidR="007F340C" w:rsidRPr="007F340C">
        <w:rPr>
          <w:color w:val="000000" w:themeColor="text1"/>
        </w:rPr>
        <w:t xml:space="preserve"> is hotly contentious.</w:t>
      </w:r>
    </w:p>
    <w:p w14:paraId="2A92CBE5" w14:textId="77777777" w:rsidR="009E2586" w:rsidRDefault="00F41E84" w:rsidP="00F41E84">
      <w:pPr>
        <w:pStyle w:val="BodyText"/>
        <w:rPr>
          <w:color w:val="000000" w:themeColor="text1"/>
          <w:lang w:val="en-US"/>
        </w:rPr>
      </w:pPr>
      <w:r w:rsidRPr="00F41E84">
        <w:rPr>
          <w:color w:val="000000" w:themeColor="text1"/>
          <w:lang w:val="en-US"/>
        </w:rPr>
        <w:t xml:space="preserve">Another entity in the Alfa Group is BAGT Capital Limited (“BAGT”), a BVI company. It is not disputed that BAGT is part of the Alfa Group nor that it provided some funding in the form of loans to A1. </w:t>
      </w:r>
    </w:p>
    <w:p w14:paraId="3B3AA5CE" w14:textId="393FD09F" w:rsidR="00DF574C" w:rsidRDefault="00F41E84" w:rsidP="00692F9A">
      <w:pPr>
        <w:pStyle w:val="BodyText"/>
        <w:numPr>
          <w:ilvl w:val="1"/>
          <w:numId w:val="4"/>
        </w:numPr>
        <w:rPr>
          <w:color w:val="000000" w:themeColor="text1"/>
          <w:lang w:val="en-US"/>
        </w:rPr>
      </w:pPr>
      <w:r w:rsidRPr="00F41E84">
        <w:rPr>
          <w:color w:val="000000" w:themeColor="text1"/>
          <w:lang w:val="en-US"/>
        </w:rPr>
        <w:t xml:space="preserve">VPB is said to owe A1 US$20 million, but according to </w:t>
      </w:r>
      <w:proofErr w:type="spellStart"/>
      <w:r w:rsidRPr="00F41E84">
        <w:rPr>
          <w:color w:val="000000" w:themeColor="text1"/>
          <w:lang w:val="en-US"/>
        </w:rPr>
        <w:t>Ms</w:t>
      </w:r>
      <w:proofErr w:type="spellEnd"/>
      <w:r w:rsidRPr="00F41E84">
        <w:rPr>
          <w:color w:val="000000" w:themeColor="text1"/>
          <w:lang w:val="en-US"/>
        </w:rPr>
        <w:t xml:space="preserve"> Bloom for VPB, she was advised by Mr </w:t>
      </w:r>
      <w:proofErr w:type="spellStart"/>
      <w:r w:rsidRPr="00F41E84">
        <w:rPr>
          <w:color w:val="000000" w:themeColor="text1"/>
          <w:lang w:val="en-US"/>
        </w:rPr>
        <w:t>Tchernenko</w:t>
      </w:r>
      <w:proofErr w:type="spellEnd"/>
      <w:r w:rsidRPr="00F41E84">
        <w:rPr>
          <w:color w:val="000000" w:themeColor="text1"/>
          <w:lang w:val="en-US"/>
        </w:rPr>
        <w:t xml:space="preserve"> that “BAGT spent circa US$20 m in fees. It is entitled to recover that money from A1 LLC only if and when A1 LLC makes a recovery in the VPB claim”. A1 therefore owes a large debt to BAGT. </w:t>
      </w:r>
    </w:p>
    <w:p w14:paraId="53F7A780" w14:textId="5B75F1C8" w:rsidR="00DF574C" w:rsidRPr="00F41E84" w:rsidRDefault="00DF574C" w:rsidP="009E2586">
      <w:pPr>
        <w:pStyle w:val="BodyText"/>
        <w:numPr>
          <w:ilvl w:val="1"/>
          <w:numId w:val="4"/>
        </w:numPr>
        <w:rPr>
          <w:color w:val="000000" w:themeColor="text1"/>
          <w:lang w:val="en-US"/>
        </w:rPr>
      </w:pPr>
      <w:r>
        <w:rPr>
          <w:color w:val="000000" w:themeColor="text1"/>
          <w:lang w:val="en-US"/>
        </w:rPr>
        <w:t xml:space="preserve">As </w:t>
      </w:r>
      <w:proofErr w:type="gramStart"/>
      <w:r>
        <w:rPr>
          <w:color w:val="000000" w:themeColor="text1"/>
          <w:lang w:val="en-US"/>
        </w:rPr>
        <w:t>at</w:t>
      </w:r>
      <w:proofErr w:type="gramEnd"/>
      <w:r>
        <w:rPr>
          <w:color w:val="000000" w:themeColor="text1"/>
          <w:lang w:val="en-US"/>
        </w:rPr>
        <w:t xml:space="preserve"> 14 October 2020 A1 </w:t>
      </w:r>
      <w:r w:rsidR="0030634B">
        <w:rPr>
          <w:color w:val="000000" w:themeColor="text1"/>
          <w:lang w:val="en-US"/>
        </w:rPr>
        <w:t xml:space="preserve">had </w:t>
      </w:r>
      <w:r w:rsidRPr="0030634B">
        <w:rPr>
          <w:color w:val="000000" w:themeColor="text1"/>
          <w:lang w:val="en-US"/>
        </w:rPr>
        <w:t xml:space="preserve">made payments </w:t>
      </w:r>
      <w:proofErr w:type="spellStart"/>
      <w:r w:rsidRPr="0030634B">
        <w:rPr>
          <w:color w:val="000000" w:themeColor="text1"/>
          <w:lang w:val="en-US"/>
        </w:rPr>
        <w:t>totalling</w:t>
      </w:r>
      <w:proofErr w:type="spellEnd"/>
      <w:r w:rsidRPr="0030634B">
        <w:rPr>
          <w:color w:val="000000" w:themeColor="text1"/>
          <w:lang w:val="en-US"/>
        </w:rPr>
        <w:t xml:space="preserve"> £4,275,000 into court by way of security for costs</w:t>
      </w:r>
      <w:r>
        <w:rPr>
          <w:color w:val="000000" w:themeColor="text1"/>
          <w:lang w:val="en-US"/>
        </w:rPr>
        <w:t>, in addition to the £1m fortification for the Search Order.</w:t>
      </w:r>
      <w:r w:rsidR="00C3386A">
        <w:rPr>
          <w:color w:val="000000" w:themeColor="text1"/>
          <w:lang w:val="en-US"/>
        </w:rPr>
        <w:t xml:space="preserve"> There </w:t>
      </w:r>
      <w:r w:rsidR="0030634B">
        <w:rPr>
          <w:color w:val="000000" w:themeColor="text1"/>
          <w:lang w:val="en-US"/>
        </w:rPr>
        <w:t>was in the hearing before us</w:t>
      </w:r>
      <w:r w:rsidR="00C3386A">
        <w:rPr>
          <w:color w:val="000000" w:themeColor="text1"/>
          <w:lang w:val="en-US"/>
        </w:rPr>
        <w:t xml:space="preserve"> some suggestion that at least some of this sum was financed by BAGT</w:t>
      </w:r>
      <w:r w:rsidR="00EE270C">
        <w:rPr>
          <w:color w:val="000000" w:themeColor="text1"/>
          <w:lang w:val="en-US"/>
        </w:rPr>
        <w:t>.</w:t>
      </w:r>
    </w:p>
    <w:p w14:paraId="5FB57C65" w14:textId="1912FF75" w:rsidR="003C437D" w:rsidRPr="00290A7A" w:rsidRDefault="00F41E84" w:rsidP="00290A7A">
      <w:pPr>
        <w:pStyle w:val="BodyText"/>
        <w:rPr>
          <w:color w:val="000000" w:themeColor="text1"/>
          <w:lang w:val="en-US"/>
        </w:rPr>
      </w:pPr>
      <w:r w:rsidRPr="00F41E84">
        <w:rPr>
          <w:color w:val="000000" w:themeColor="text1"/>
          <w:lang w:val="en-US"/>
        </w:rPr>
        <w:t xml:space="preserve">The parties disagree as to the continued relevance of BAGT to the question of the ownership and control of A1. </w:t>
      </w:r>
      <w:r w:rsidR="00F3664D">
        <w:rPr>
          <w:color w:val="000000" w:themeColor="text1"/>
          <w:lang w:val="en-US"/>
        </w:rPr>
        <w:t>VPB</w:t>
      </w:r>
      <w:r w:rsidRPr="00F41E84">
        <w:rPr>
          <w:color w:val="000000" w:themeColor="text1"/>
          <w:lang w:val="en-US"/>
        </w:rPr>
        <w:t xml:space="preserve"> contend</w:t>
      </w:r>
      <w:r w:rsidR="003C7617">
        <w:rPr>
          <w:color w:val="000000" w:themeColor="text1"/>
          <w:lang w:val="en-US"/>
        </w:rPr>
        <w:t>s</w:t>
      </w:r>
      <w:r w:rsidRPr="00F41E84">
        <w:rPr>
          <w:color w:val="000000" w:themeColor="text1"/>
          <w:lang w:val="en-US"/>
        </w:rPr>
        <w:t xml:space="preserve"> that BAGT’s involvement ceased before March 2022. Mr Fenwick does not contest that, but he argues that the debt owed to BAGT is significant for the purposes of determining A1’s relationship with the Alfa Group today.</w:t>
      </w:r>
    </w:p>
    <w:p w14:paraId="372FB40A" w14:textId="59287AB6" w:rsidR="00272A96" w:rsidRPr="006B51C8" w:rsidRDefault="006378D0" w:rsidP="006B51C8">
      <w:pPr>
        <w:pStyle w:val="BodyText"/>
        <w:rPr>
          <w:color w:val="000000" w:themeColor="text1"/>
        </w:rPr>
      </w:pPr>
      <w:r>
        <w:t xml:space="preserve">Sanctions </w:t>
      </w:r>
      <w:r w:rsidR="00E42A16">
        <w:t xml:space="preserve">had been a live issue between the parties since about 2021 </w:t>
      </w:r>
      <w:r w:rsidR="00B90785">
        <w:t xml:space="preserve">and came </w:t>
      </w:r>
      <w:r w:rsidR="00E42A16">
        <w:t>increasing</w:t>
      </w:r>
      <w:r w:rsidR="00B90785">
        <w:t>ly</w:t>
      </w:r>
      <w:r w:rsidR="00E42A16">
        <w:t xml:space="preserve"> in</w:t>
      </w:r>
      <w:r w:rsidR="00B90785">
        <w:t>to</w:t>
      </w:r>
      <w:r w:rsidR="00E42A16">
        <w:t xml:space="preserve"> </w:t>
      </w:r>
      <w:r w:rsidR="000B7299">
        <w:t xml:space="preserve">focus after March 2022. Following the </w:t>
      </w:r>
      <w:r w:rsidR="00D20140">
        <w:t>j</w:t>
      </w:r>
      <w:r w:rsidR="007F1C1D">
        <w:t>udgment of Miles J (sitting with Master Kaye) dated 16 June 2023</w:t>
      </w:r>
      <w:r w:rsidR="00BA12F8">
        <w:t xml:space="preserve"> </w:t>
      </w:r>
      <w:r w:rsidR="007F1C1D">
        <w:t xml:space="preserve">[2023] EWHC 348 (Ch) </w:t>
      </w:r>
      <w:r w:rsidR="00037593">
        <w:t>a</w:t>
      </w:r>
      <w:r w:rsidR="00272A96">
        <w:t xml:space="preserve">n order </w:t>
      </w:r>
      <w:r w:rsidR="00F6131E">
        <w:t xml:space="preserve">sealed </w:t>
      </w:r>
      <w:r w:rsidR="00BC1600">
        <w:t>on 19 July 2023</w:t>
      </w:r>
      <w:r w:rsidR="00671BFD">
        <w:t xml:space="preserve"> </w:t>
      </w:r>
      <w:r w:rsidR="00BC1600">
        <w:t>put in place</w:t>
      </w:r>
      <w:r w:rsidR="00272A96">
        <w:t xml:space="preserve"> a timetable for the determination of the sanctions issue as part of dealing with the issues in relation to the sale of the </w:t>
      </w:r>
      <w:r w:rsidR="00272A96">
        <w:lastRenderedPageBreak/>
        <w:t>Property</w:t>
      </w:r>
      <w:r w:rsidR="006460C7">
        <w:t xml:space="preserve"> including the use </w:t>
      </w:r>
      <w:r w:rsidR="00DE6AC1">
        <w:t xml:space="preserve">and distribution </w:t>
      </w:r>
      <w:r w:rsidR="006460C7">
        <w:t>of the sale proceeds</w:t>
      </w:r>
      <w:r w:rsidR="00272A96">
        <w:t>.</w:t>
      </w:r>
      <w:r w:rsidR="00951586" w:rsidRPr="00951586">
        <w:t xml:space="preserve"> </w:t>
      </w:r>
      <w:r w:rsidR="006A1F91">
        <w:t>Any</w:t>
      </w:r>
      <w:r w:rsidR="00951586" w:rsidRPr="00951586">
        <w:t xml:space="preserve"> application was to be filed by 21 days from the Trigger Date defined</w:t>
      </w:r>
      <w:r w:rsidR="00EF5FC7">
        <w:t xml:space="preserve"> in that Order</w:t>
      </w:r>
      <w:r w:rsidR="00951586" w:rsidRPr="00951586">
        <w:t xml:space="preserve"> as being </w:t>
      </w:r>
      <w:r w:rsidR="00951586" w:rsidRPr="003617AE">
        <w:rPr>
          <w:i/>
          <w:iCs/>
        </w:rPr>
        <w:t>“either the date on which</w:t>
      </w:r>
      <w:r w:rsidR="008A137E" w:rsidRPr="003617AE">
        <w:rPr>
          <w:i/>
          <w:iCs/>
        </w:rPr>
        <w:t xml:space="preserve"> the contractual documentation is agreed between the parties or any dispute as to the sale documentation is resolved by the Court.”</w:t>
      </w:r>
      <w:r w:rsidR="008A137E" w:rsidRPr="008A137E">
        <w:t xml:space="preserve">  Neither event has happened</w:t>
      </w:r>
      <w:r w:rsidR="00D95EC8">
        <w:t xml:space="preserve"> to date, though an agreement </w:t>
      </w:r>
      <w:r w:rsidR="00EF5FC7">
        <w:t xml:space="preserve">was </w:t>
      </w:r>
      <w:r w:rsidR="00D95EC8">
        <w:t>said to be in its final stages of formalisation.</w:t>
      </w:r>
    </w:p>
    <w:p w14:paraId="7D70AC73" w14:textId="3C380D1A" w:rsidR="006E0A83" w:rsidRDefault="006E0A83" w:rsidP="006E0A83">
      <w:pPr>
        <w:pStyle w:val="Heading1"/>
        <w:spacing w:before="480"/>
        <w:rPr>
          <w:lang w:val="en-US"/>
        </w:rPr>
      </w:pPr>
      <w:r>
        <w:rPr>
          <w:lang w:val="en-US"/>
        </w:rPr>
        <w:t xml:space="preserve">The </w:t>
      </w:r>
      <w:r w:rsidR="000771BE">
        <w:rPr>
          <w:lang w:val="en-US"/>
        </w:rPr>
        <w:t>Legal Background</w:t>
      </w:r>
    </w:p>
    <w:p w14:paraId="6515CF38" w14:textId="77777777" w:rsidR="00F42067" w:rsidRDefault="00F42067" w:rsidP="006E0A83">
      <w:pPr>
        <w:pStyle w:val="BodyText"/>
        <w:rPr>
          <w:color w:val="000000" w:themeColor="text1"/>
        </w:rPr>
      </w:pPr>
      <w:r w:rsidRPr="00F42067">
        <w:rPr>
          <w:color w:val="000000" w:themeColor="text1"/>
        </w:rPr>
        <w:t xml:space="preserve">The background to the UK sanctions regime is addressed in the judgments of Cockerill J in </w:t>
      </w:r>
      <w:r w:rsidRPr="00097281">
        <w:rPr>
          <w:i/>
          <w:iCs/>
          <w:color w:val="000000" w:themeColor="text1"/>
        </w:rPr>
        <w:t>PJSC National Bank Trust v Mints</w:t>
      </w:r>
      <w:r w:rsidRPr="00F42067">
        <w:rPr>
          <w:color w:val="000000" w:themeColor="text1"/>
        </w:rPr>
        <w:t xml:space="preserve"> [2023] EWHC 118 (Comm) (“Mints”), the Court of Appeal in the same case [2023] EWCA </w:t>
      </w:r>
      <w:proofErr w:type="spellStart"/>
      <w:r w:rsidRPr="00F42067">
        <w:rPr>
          <w:color w:val="000000" w:themeColor="text1"/>
        </w:rPr>
        <w:t>Civ</w:t>
      </w:r>
      <w:proofErr w:type="spellEnd"/>
      <w:r w:rsidRPr="00F42067">
        <w:rPr>
          <w:color w:val="000000" w:themeColor="text1"/>
        </w:rPr>
        <w:t xml:space="preserve"> 1132 and Garnham J in </w:t>
      </w:r>
      <w:proofErr w:type="spellStart"/>
      <w:r w:rsidRPr="00097281">
        <w:rPr>
          <w:i/>
          <w:iCs/>
          <w:color w:val="000000" w:themeColor="text1"/>
        </w:rPr>
        <w:t>Shvidler</w:t>
      </w:r>
      <w:proofErr w:type="spellEnd"/>
      <w:r w:rsidRPr="00097281">
        <w:rPr>
          <w:i/>
          <w:iCs/>
          <w:color w:val="000000" w:themeColor="text1"/>
        </w:rPr>
        <w:t xml:space="preserve"> v Secretary of State for Foreign, Commonwealth, and Development Affairs</w:t>
      </w:r>
      <w:r w:rsidRPr="00F42067">
        <w:rPr>
          <w:color w:val="000000" w:themeColor="text1"/>
        </w:rPr>
        <w:t xml:space="preserve"> [2023] EWHC 2121 (Admin). </w:t>
      </w:r>
    </w:p>
    <w:p w14:paraId="6694B402" w14:textId="6A056234" w:rsidR="006E0A83" w:rsidRPr="008A3FD2" w:rsidRDefault="00F42067" w:rsidP="006E0A83">
      <w:pPr>
        <w:pStyle w:val="BodyText"/>
        <w:rPr>
          <w:color w:val="000000" w:themeColor="text1"/>
        </w:rPr>
      </w:pPr>
      <w:r>
        <w:rPr>
          <w:color w:val="000000" w:themeColor="text1"/>
        </w:rPr>
        <w:t xml:space="preserve">The key </w:t>
      </w:r>
      <w:r w:rsidR="00D30A0D">
        <w:rPr>
          <w:color w:val="000000" w:themeColor="text1"/>
        </w:rPr>
        <w:t>instrument</w:t>
      </w:r>
      <w:r>
        <w:rPr>
          <w:color w:val="000000" w:themeColor="text1"/>
        </w:rPr>
        <w:t xml:space="preserve"> for present purposes is the </w:t>
      </w:r>
      <w:r w:rsidR="0050105B">
        <w:rPr>
          <w:color w:val="000000" w:themeColor="text1"/>
        </w:rPr>
        <w:t xml:space="preserve">Russia </w:t>
      </w:r>
      <w:r w:rsidR="005655F9">
        <w:rPr>
          <w:color w:val="000000" w:themeColor="text1"/>
        </w:rPr>
        <w:t>(</w:t>
      </w:r>
      <w:r w:rsidR="0050105B">
        <w:rPr>
          <w:color w:val="000000" w:themeColor="text1"/>
        </w:rPr>
        <w:t>Sanctions</w:t>
      </w:r>
      <w:r w:rsidR="005655F9">
        <w:rPr>
          <w:color w:val="000000" w:themeColor="text1"/>
        </w:rPr>
        <w:t>)</w:t>
      </w:r>
      <w:r w:rsidR="0050105B">
        <w:rPr>
          <w:color w:val="000000" w:themeColor="text1"/>
        </w:rPr>
        <w:t xml:space="preserve"> (EU Exit) Regulations 2019 (“the </w:t>
      </w:r>
      <w:r>
        <w:rPr>
          <w:color w:val="000000" w:themeColor="text1"/>
        </w:rPr>
        <w:t>2019 Re</w:t>
      </w:r>
      <w:r w:rsidR="00097281">
        <w:rPr>
          <w:color w:val="000000" w:themeColor="text1"/>
        </w:rPr>
        <w:t>g</w:t>
      </w:r>
      <w:r>
        <w:rPr>
          <w:color w:val="000000" w:themeColor="text1"/>
        </w:rPr>
        <w:t>ulations</w:t>
      </w:r>
      <w:r w:rsidR="0038064F">
        <w:rPr>
          <w:color w:val="000000" w:themeColor="text1"/>
        </w:rPr>
        <w:t>”)</w:t>
      </w:r>
      <w:r w:rsidR="00D30A0D">
        <w:rPr>
          <w:color w:val="000000" w:themeColor="text1"/>
        </w:rPr>
        <w:t xml:space="preserve">. </w:t>
      </w:r>
      <w:r w:rsidR="006E0A83" w:rsidRPr="008A3FD2">
        <w:rPr>
          <w:color w:val="000000" w:themeColor="text1"/>
        </w:rPr>
        <w:t>Regulation 5 grants the Secretary of State the power to designate persons for the stated purposes.</w:t>
      </w:r>
    </w:p>
    <w:p w14:paraId="71CA90DB" w14:textId="77777777" w:rsidR="006E0A83" w:rsidRDefault="006E0A83" w:rsidP="006E0A83">
      <w:pPr>
        <w:pStyle w:val="BodyText"/>
        <w:rPr>
          <w:color w:val="000000" w:themeColor="text1"/>
        </w:rPr>
      </w:pPr>
      <w:r w:rsidRPr="008A3FD2">
        <w:rPr>
          <w:color w:val="000000" w:themeColor="text1"/>
        </w:rPr>
        <w:t>Regulation 6 (“Designation criteria”) provides as relevant</w:t>
      </w:r>
      <w:r>
        <w:rPr>
          <w:color w:val="000000" w:themeColor="text1"/>
        </w:rPr>
        <w:t>:</w:t>
      </w:r>
    </w:p>
    <w:p w14:paraId="0324237D" w14:textId="77777777" w:rsidR="006E0A83" w:rsidRPr="00CB4F27" w:rsidRDefault="006E0A83" w:rsidP="006E0A83">
      <w:pPr>
        <w:pStyle w:val="Quote"/>
      </w:pPr>
      <w:r w:rsidRPr="00CB4F27">
        <w:t>“(1) The Secretary of State may not designate a person under regulation 5 (power to designate persons) unless the Secretary of State—</w:t>
      </w:r>
    </w:p>
    <w:p w14:paraId="1C7224B1" w14:textId="77777777" w:rsidR="006E0A83" w:rsidRPr="00CB4F27" w:rsidRDefault="006E0A83" w:rsidP="006E0A83">
      <w:pPr>
        <w:pStyle w:val="Quote"/>
      </w:pPr>
      <w:r w:rsidRPr="00CB4F27">
        <w:t>has reasonable grounds to suspect that that person is an involved person, and…</w:t>
      </w:r>
    </w:p>
    <w:p w14:paraId="61F64935" w14:textId="77777777" w:rsidR="006E0A83" w:rsidRPr="00CB4F27" w:rsidRDefault="006E0A83" w:rsidP="006E0A83">
      <w:pPr>
        <w:pStyle w:val="Quote"/>
      </w:pPr>
      <w:r w:rsidRPr="00CB4F27">
        <w:t>(2) In this regulation, an “involved person” means a person who—</w:t>
      </w:r>
    </w:p>
    <w:p w14:paraId="40635BDB" w14:textId="77777777" w:rsidR="006E0A83" w:rsidRPr="00CB4F27" w:rsidRDefault="006E0A83" w:rsidP="006E0A83">
      <w:pPr>
        <w:pStyle w:val="Quote"/>
      </w:pPr>
      <w:r w:rsidRPr="00CB4F27">
        <w:t>is owned or controlled directly or indirectly (within the meaning of regulation 7) by a person who is or has been so involved…”</w:t>
      </w:r>
    </w:p>
    <w:p w14:paraId="3EC7C616" w14:textId="77777777" w:rsidR="006E0A83" w:rsidRPr="00BB1AFB" w:rsidRDefault="006E0A83" w:rsidP="006E0A83">
      <w:pPr>
        <w:pStyle w:val="BodyText"/>
        <w:rPr>
          <w:color w:val="000000" w:themeColor="text1"/>
        </w:rPr>
      </w:pPr>
      <w:r w:rsidRPr="00BB1AFB">
        <w:rPr>
          <w:color w:val="000000" w:themeColor="text1"/>
        </w:rPr>
        <w:t>Regulation 7 defines the concept of “</w:t>
      </w:r>
      <w:r w:rsidRPr="00064037">
        <w:rPr>
          <w:i/>
          <w:iCs/>
          <w:color w:val="000000" w:themeColor="text1"/>
        </w:rPr>
        <w:t>owned or controlled directly or indirectly</w:t>
      </w:r>
      <w:r w:rsidRPr="00BB1AFB">
        <w:rPr>
          <w:color w:val="000000" w:themeColor="text1"/>
        </w:rPr>
        <w:t>”:</w:t>
      </w:r>
    </w:p>
    <w:p w14:paraId="1107188E" w14:textId="77777777" w:rsidR="006E0A83" w:rsidRPr="006629F5" w:rsidRDefault="006E0A83" w:rsidP="006E0A83">
      <w:pPr>
        <w:pStyle w:val="Quote"/>
      </w:pPr>
      <w:r w:rsidRPr="006629F5">
        <w:t>“(1) A person who is not an individual (“C”) is “owned or controlled directly or indirectly” by another person (“P”) if either of the following two conditions is met (or both are met).</w:t>
      </w:r>
    </w:p>
    <w:p w14:paraId="5845BBE7" w14:textId="77777777" w:rsidR="006E0A83" w:rsidRPr="006629F5" w:rsidRDefault="006E0A83" w:rsidP="006E0A83">
      <w:pPr>
        <w:pStyle w:val="Quote"/>
      </w:pPr>
      <w:r w:rsidRPr="006629F5">
        <w:t>(2) The first condition is that P—</w:t>
      </w:r>
    </w:p>
    <w:p w14:paraId="06466F3A" w14:textId="77777777" w:rsidR="006E0A83" w:rsidRPr="006629F5" w:rsidRDefault="006E0A83" w:rsidP="006E0A83">
      <w:pPr>
        <w:pStyle w:val="Quote"/>
      </w:pPr>
      <w:r w:rsidRPr="006629F5">
        <w:t>(a) holds directly or indirectly more than 50% of the shares in C,</w:t>
      </w:r>
    </w:p>
    <w:p w14:paraId="5725C389" w14:textId="77777777" w:rsidR="006E0A83" w:rsidRPr="006629F5" w:rsidRDefault="006E0A83" w:rsidP="006E0A83">
      <w:pPr>
        <w:pStyle w:val="Quote"/>
      </w:pPr>
      <w:r w:rsidRPr="006629F5">
        <w:t>(b) holds directly or indirectly more than 50% of the voting rights in C, or</w:t>
      </w:r>
    </w:p>
    <w:p w14:paraId="5ECB32D6" w14:textId="77777777" w:rsidR="006E0A83" w:rsidRPr="006629F5" w:rsidRDefault="006E0A83" w:rsidP="006E0A83">
      <w:pPr>
        <w:pStyle w:val="Quote"/>
      </w:pPr>
      <w:r w:rsidRPr="006629F5">
        <w:t>(c) holds the right directly or indirectly to appoint or remove a majority of the board of directors of C.</w:t>
      </w:r>
    </w:p>
    <w:p w14:paraId="346A344E" w14:textId="77777777" w:rsidR="006E0A83" w:rsidRPr="006629F5" w:rsidRDefault="006E0A83" w:rsidP="006E0A83">
      <w:pPr>
        <w:pStyle w:val="Quote"/>
      </w:pPr>
      <w:r w:rsidRPr="006629F5">
        <w:lastRenderedPageBreak/>
        <w:t>(3) Schedule 1 contains provision applying for the purpose of interpreting paragraph (2).</w:t>
      </w:r>
    </w:p>
    <w:p w14:paraId="696551C6" w14:textId="77777777" w:rsidR="006E0A83" w:rsidRPr="008A3FD2" w:rsidRDefault="006E0A83" w:rsidP="006E0A83">
      <w:pPr>
        <w:pStyle w:val="Quote"/>
        <w:rPr>
          <w:snapToGrid w:val="0"/>
        </w:rPr>
      </w:pPr>
      <w:r w:rsidRPr="006629F5">
        <w:t>(4) The second condition is that it is reasonable, having regard to all the circumstances, to expect that P would (if P chose to) be able, in most cases or in significant respects, by whatever means and whether directly or indirectly, to achieve the result that affairs of C are conducted in accordance with P's wishes.”</w:t>
      </w:r>
    </w:p>
    <w:p w14:paraId="6EFF1708" w14:textId="77777777" w:rsidR="006E0A83" w:rsidRPr="00ED52F1" w:rsidRDefault="006E0A83" w:rsidP="006E0A83">
      <w:pPr>
        <w:pStyle w:val="BodyText"/>
        <w:rPr>
          <w:color w:val="000000" w:themeColor="text1"/>
        </w:rPr>
      </w:pPr>
      <w:r w:rsidRPr="00ED52F1">
        <w:rPr>
          <w:color w:val="000000" w:themeColor="text1"/>
        </w:rPr>
        <w:t>Regulation 7(2) is to be interpreted in line with Schedule 1. Paragraph 3 of Schedule 1 (“Joint arrangements”) provides:</w:t>
      </w:r>
    </w:p>
    <w:p w14:paraId="4B2382A5" w14:textId="77777777" w:rsidR="006E0A83" w:rsidRPr="002C1487" w:rsidRDefault="006E0A83" w:rsidP="006E0A83">
      <w:pPr>
        <w:pStyle w:val="Quote"/>
        <w:rPr>
          <w:lang w:val="en-US"/>
        </w:rPr>
      </w:pPr>
      <w:r w:rsidRPr="002C1487">
        <w:rPr>
          <w:lang w:val="en-US"/>
        </w:rPr>
        <w:t>“(1) If shares or rights held by a person and shares or rights held by another person are the subject of a joint arrangement between those persons, each of them is treated as holding the combined shares or rights of both of them.</w:t>
      </w:r>
    </w:p>
    <w:p w14:paraId="2C57CDC8" w14:textId="77777777" w:rsidR="006E0A83" w:rsidRPr="002C1487" w:rsidRDefault="006E0A83" w:rsidP="006E0A83">
      <w:pPr>
        <w:pStyle w:val="Quote"/>
        <w:rPr>
          <w:lang w:val="en-US"/>
        </w:rPr>
      </w:pPr>
      <w:r w:rsidRPr="002C1487">
        <w:rPr>
          <w:lang w:val="en-US"/>
        </w:rPr>
        <w:t>(2) A “joint arrangement” is an arrangement between the holders of shares or rights that they will exercise all or substantially all the rights conferred by their respective shares or rights jointly in a way that is pre-determined by the arrangement</w:t>
      </w:r>
      <w:r>
        <w:rPr>
          <w:lang w:val="en-US"/>
        </w:rPr>
        <w:t>”</w:t>
      </w:r>
      <w:r w:rsidRPr="002C1487">
        <w:rPr>
          <w:lang w:val="en-US"/>
        </w:rPr>
        <w:t>.</w:t>
      </w:r>
    </w:p>
    <w:p w14:paraId="3F7E4354" w14:textId="693CCAEB" w:rsidR="006E0A83" w:rsidRDefault="006E0A83" w:rsidP="006E0A83">
      <w:pPr>
        <w:pStyle w:val="BodyText"/>
        <w:rPr>
          <w:color w:val="000000" w:themeColor="text1"/>
        </w:rPr>
      </w:pPr>
      <w:r w:rsidRPr="00475971">
        <w:rPr>
          <w:color w:val="000000" w:themeColor="text1"/>
        </w:rPr>
        <w:t>The correct interpretation of</w:t>
      </w:r>
      <w:r w:rsidR="00D30A0D">
        <w:rPr>
          <w:color w:val="000000" w:themeColor="text1"/>
        </w:rPr>
        <w:t xml:space="preserve"> R</w:t>
      </w:r>
      <w:r w:rsidRPr="00475971">
        <w:rPr>
          <w:color w:val="000000" w:themeColor="text1"/>
        </w:rPr>
        <w:t xml:space="preserve">egulation 11 (“Asset-freeze in relation to designated persons”) </w:t>
      </w:r>
      <w:r w:rsidR="0038064F">
        <w:rPr>
          <w:color w:val="000000" w:themeColor="text1"/>
        </w:rPr>
        <w:t>is</w:t>
      </w:r>
      <w:r w:rsidRPr="00475971">
        <w:rPr>
          <w:color w:val="000000" w:themeColor="text1"/>
        </w:rPr>
        <w:t xml:space="preserve"> the</w:t>
      </w:r>
      <w:r w:rsidR="0038064F">
        <w:rPr>
          <w:color w:val="000000" w:themeColor="text1"/>
        </w:rPr>
        <w:t xml:space="preserve"> main</w:t>
      </w:r>
      <w:r w:rsidRPr="00475971">
        <w:rPr>
          <w:color w:val="000000" w:themeColor="text1"/>
        </w:rPr>
        <w:t xml:space="preserve"> focus of the argument</w:t>
      </w:r>
      <w:r w:rsidR="00C555D4">
        <w:rPr>
          <w:color w:val="000000" w:themeColor="text1"/>
        </w:rPr>
        <w:t xml:space="preserve">. The foundation of the argument is that </w:t>
      </w:r>
      <w:r w:rsidRPr="00475971">
        <w:rPr>
          <w:color w:val="000000" w:themeColor="text1"/>
        </w:rPr>
        <w:t xml:space="preserve">if A1 was owned or controlled by a DP, dealing with funds paid by the Trustee and/or VPB would engage </w:t>
      </w:r>
      <w:r w:rsidR="00D30A0D">
        <w:rPr>
          <w:color w:val="000000" w:themeColor="text1"/>
        </w:rPr>
        <w:t>R</w:t>
      </w:r>
      <w:r w:rsidRPr="00475971">
        <w:rPr>
          <w:color w:val="000000" w:themeColor="text1"/>
        </w:rPr>
        <w:t>egulation 11</w:t>
      </w:r>
      <w:r w:rsidR="00D30A0D">
        <w:rPr>
          <w:color w:val="000000" w:themeColor="text1"/>
        </w:rPr>
        <w:t xml:space="preserve"> which provides</w:t>
      </w:r>
      <w:r w:rsidRPr="00475971">
        <w:rPr>
          <w:color w:val="000000" w:themeColor="text1"/>
        </w:rPr>
        <w:t>:</w:t>
      </w:r>
    </w:p>
    <w:p w14:paraId="48808082" w14:textId="5D4C1942" w:rsidR="006E0A83" w:rsidRPr="00E01923" w:rsidRDefault="006E0A83" w:rsidP="00C555D4">
      <w:pPr>
        <w:pStyle w:val="Quote"/>
      </w:pPr>
      <w:r w:rsidRPr="00E01923">
        <w:t>“(1) A person (“P”) must not deal with funds or economic resources owned, held or controlled by a designated person if P knows, or has reasonable cause to suspect, that P is dealing with such funds or economic resources.…</w:t>
      </w:r>
    </w:p>
    <w:p w14:paraId="04CEC6FC" w14:textId="77777777" w:rsidR="006E0A83" w:rsidRPr="00475971" w:rsidRDefault="006E0A83" w:rsidP="006E0A83">
      <w:pPr>
        <w:pStyle w:val="Quote"/>
        <w:rPr>
          <w:snapToGrid w:val="0"/>
        </w:rPr>
      </w:pPr>
      <w:r w:rsidRPr="00E01923">
        <w:t>(3) A person who contravenes the prohibition in paragraph (1) commits an offence.”</w:t>
      </w:r>
    </w:p>
    <w:p w14:paraId="29D78C72" w14:textId="7DE706B6" w:rsidR="00A76C33" w:rsidRDefault="006E0A83" w:rsidP="006E0A83">
      <w:pPr>
        <w:pStyle w:val="BodyText"/>
        <w:rPr>
          <w:color w:val="000000" w:themeColor="text1"/>
          <w:lang w:val="en-US"/>
        </w:rPr>
      </w:pPr>
      <w:r w:rsidRPr="008A2403">
        <w:rPr>
          <w:color w:val="000000" w:themeColor="text1"/>
          <w:lang w:val="en-US"/>
        </w:rPr>
        <w:t>Regulations 12 to 15 (which are materially identical</w:t>
      </w:r>
      <w:r w:rsidR="00A270BD">
        <w:rPr>
          <w:color w:val="000000" w:themeColor="text1"/>
          <w:lang w:val="en-US"/>
        </w:rPr>
        <w:t xml:space="preserve"> to each other for present purposes</w:t>
      </w:r>
      <w:r w:rsidRPr="008A2403">
        <w:rPr>
          <w:color w:val="000000" w:themeColor="text1"/>
          <w:lang w:val="en-US"/>
        </w:rPr>
        <w:t>) may</w:t>
      </w:r>
      <w:r w:rsidR="00A76C33">
        <w:rPr>
          <w:color w:val="000000" w:themeColor="text1"/>
          <w:lang w:val="en-US"/>
        </w:rPr>
        <w:t xml:space="preserve"> likewise</w:t>
      </w:r>
      <w:r w:rsidRPr="008A2403">
        <w:rPr>
          <w:color w:val="000000" w:themeColor="text1"/>
          <w:lang w:val="en-US"/>
        </w:rPr>
        <w:t xml:space="preserve"> be engaged if Mr Bedzhamov pays money to the Trustee and/or VPB</w:t>
      </w:r>
      <w:r w:rsidR="00A76C33">
        <w:rPr>
          <w:color w:val="000000" w:themeColor="text1"/>
          <w:lang w:val="en-US"/>
        </w:rPr>
        <w:t xml:space="preserve"> – as is a distinct possibility in the circumstances outlined above</w:t>
      </w:r>
      <w:r w:rsidRPr="008A2403">
        <w:rPr>
          <w:color w:val="000000" w:themeColor="text1"/>
          <w:lang w:val="en-US"/>
        </w:rPr>
        <w:t xml:space="preserve">. </w:t>
      </w:r>
    </w:p>
    <w:p w14:paraId="0BB4572A" w14:textId="4390ECC1" w:rsidR="006E0A83" w:rsidRPr="008A2403" w:rsidRDefault="006E0A83" w:rsidP="006E0A83">
      <w:pPr>
        <w:pStyle w:val="BodyText"/>
        <w:rPr>
          <w:color w:val="000000" w:themeColor="text1"/>
          <w:lang w:val="en-US"/>
        </w:rPr>
      </w:pPr>
      <w:r w:rsidRPr="008A2403">
        <w:rPr>
          <w:color w:val="000000" w:themeColor="text1"/>
          <w:lang w:val="en-US"/>
        </w:rPr>
        <w:t>Regulation 12 (“Making funds available to designated person”) provides:</w:t>
      </w:r>
    </w:p>
    <w:p w14:paraId="01A4C6D1" w14:textId="018246EE" w:rsidR="006E0A83" w:rsidRPr="00B45ED6" w:rsidRDefault="006E0A83" w:rsidP="00512863">
      <w:pPr>
        <w:pStyle w:val="Quote"/>
        <w:rPr>
          <w:lang w:val="en-US"/>
        </w:rPr>
      </w:pPr>
      <w:r w:rsidRPr="00B45ED6">
        <w:rPr>
          <w:lang w:val="en-US"/>
        </w:rPr>
        <w:t>“(1) A person (“P”) must not make funds available directly or indirectly to a designated person if P knows, or has reasonable cause to suspect, that P is making the funds so available.…</w:t>
      </w:r>
    </w:p>
    <w:p w14:paraId="296BEF35" w14:textId="77777777" w:rsidR="006E0A83" w:rsidRPr="00B45ED6" w:rsidRDefault="006E0A83" w:rsidP="006E0A83">
      <w:pPr>
        <w:pStyle w:val="Quote"/>
        <w:rPr>
          <w:lang w:val="en-US"/>
        </w:rPr>
      </w:pPr>
      <w:r w:rsidRPr="00B45ED6">
        <w:rPr>
          <w:lang w:val="en-US"/>
        </w:rPr>
        <w:t>(3) A person who contravenes the prohibition in paragraph (1) commits an offence.</w:t>
      </w:r>
    </w:p>
    <w:p w14:paraId="2CC48F56" w14:textId="77777777" w:rsidR="006E0A83" w:rsidRDefault="006E0A83" w:rsidP="006E0A83">
      <w:pPr>
        <w:pStyle w:val="Quote"/>
        <w:rPr>
          <w:lang w:val="en-US"/>
        </w:rPr>
      </w:pPr>
      <w:r w:rsidRPr="00B45ED6">
        <w:rPr>
          <w:lang w:val="en-US"/>
        </w:rPr>
        <w:t xml:space="preserve">(4) The reference in paragraph (1) to making funds available indirectly to a designated person includes, in particular, a reference to making them available to a person who is owned </w:t>
      </w:r>
      <w:r w:rsidRPr="00B45ED6">
        <w:rPr>
          <w:lang w:val="en-US"/>
        </w:rPr>
        <w:lastRenderedPageBreak/>
        <w:t>or controlled directly or indirectly (within the meaning of regulation 7) by the designated person.”</w:t>
      </w:r>
    </w:p>
    <w:p w14:paraId="42FFC4EE" w14:textId="77777777" w:rsidR="007F7F47" w:rsidRDefault="007F7F47" w:rsidP="006E0A83">
      <w:pPr>
        <w:pStyle w:val="BodyText"/>
        <w:rPr>
          <w:color w:val="000000" w:themeColor="text1"/>
          <w:lang w:val="en-US"/>
        </w:rPr>
      </w:pPr>
      <w:r>
        <w:rPr>
          <w:color w:val="000000" w:themeColor="text1"/>
          <w:lang w:val="en-US"/>
        </w:rPr>
        <w:t>Other parts of the Regulations to which reference was made in argument were Regulations 25, 64 and 70.</w:t>
      </w:r>
    </w:p>
    <w:p w14:paraId="0BBB955F" w14:textId="221CB95C" w:rsidR="006E0A83" w:rsidRPr="00F32179" w:rsidRDefault="006E0A83" w:rsidP="006E0A83">
      <w:pPr>
        <w:pStyle w:val="BodyText"/>
        <w:rPr>
          <w:color w:val="000000" w:themeColor="text1"/>
          <w:lang w:val="en-US"/>
        </w:rPr>
      </w:pPr>
      <w:r w:rsidRPr="00F32179">
        <w:rPr>
          <w:color w:val="000000" w:themeColor="text1"/>
          <w:lang w:val="en-US"/>
        </w:rPr>
        <w:t>Regulation 25 (“Making available or acquiring restricted goods and restricted technology”) was relied upon for its contrasting drafting:</w:t>
      </w:r>
    </w:p>
    <w:p w14:paraId="365E2568" w14:textId="77777777" w:rsidR="006E0A83" w:rsidRPr="00E70E00" w:rsidRDefault="006E0A83" w:rsidP="006E0A83">
      <w:pPr>
        <w:pStyle w:val="Quote"/>
        <w:rPr>
          <w:lang w:val="en-US"/>
        </w:rPr>
      </w:pPr>
      <w:r w:rsidRPr="00E70E00">
        <w:rPr>
          <w:lang w:val="en-US"/>
        </w:rPr>
        <w:t>“(1) A person must not—</w:t>
      </w:r>
    </w:p>
    <w:p w14:paraId="54CDD857" w14:textId="77777777" w:rsidR="006E0A83" w:rsidRPr="00E70E00" w:rsidRDefault="006E0A83" w:rsidP="006E0A83">
      <w:pPr>
        <w:pStyle w:val="Quote"/>
        <w:rPr>
          <w:lang w:val="en-US"/>
        </w:rPr>
      </w:pPr>
      <w:r w:rsidRPr="00E70E00">
        <w:rPr>
          <w:lang w:val="en-US"/>
        </w:rPr>
        <w:t xml:space="preserve">directly or indirectly make [restricted goods] or [restricted technology] available to a person connected with </w:t>
      </w:r>
      <w:proofErr w:type="gramStart"/>
      <w:r w:rsidRPr="00E70E00">
        <w:rPr>
          <w:lang w:val="en-US"/>
        </w:rPr>
        <w:t>Russia;</w:t>
      </w:r>
      <w:proofErr w:type="gramEnd"/>
    </w:p>
    <w:p w14:paraId="028D07BC" w14:textId="2E2292F3" w:rsidR="006E0A83" w:rsidRPr="00E70E00" w:rsidRDefault="006E0A83" w:rsidP="00512863">
      <w:pPr>
        <w:pStyle w:val="Quote"/>
        <w:rPr>
          <w:lang w:val="en-US"/>
        </w:rPr>
      </w:pPr>
      <w:r w:rsidRPr="00E70E00">
        <w:rPr>
          <w:lang w:val="en-US"/>
        </w:rPr>
        <w:t xml:space="preserve">directly or indirectly make [restricted goods] or [restricted technology] available for use in </w:t>
      </w:r>
      <w:proofErr w:type="gramStart"/>
      <w:r w:rsidRPr="00E70E00">
        <w:rPr>
          <w:lang w:val="en-US"/>
        </w:rPr>
        <w:t>Russia;…</w:t>
      </w:r>
      <w:proofErr w:type="gramEnd"/>
    </w:p>
    <w:p w14:paraId="776E6D51" w14:textId="77777777" w:rsidR="006E0A83" w:rsidRPr="00E70E00" w:rsidRDefault="006E0A83" w:rsidP="006E0A83">
      <w:pPr>
        <w:pStyle w:val="Quote"/>
        <w:rPr>
          <w:lang w:val="en-US"/>
        </w:rPr>
      </w:pPr>
      <w:r w:rsidRPr="00E70E00">
        <w:rPr>
          <w:lang w:val="en-US"/>
        </w:rPr>
        <w:t>(3) A person who contravenes a prohibition in paragraph (1) commits an offence, but—</w:t>
      </w:r>
    </w:p>
    <w:p w14:paraId="6264BB34" w14:textId="77777777" w:rsidR="006E0A83" w:rsidRPr="00E70E00" w:rsidRDefault="006E0A83" w:rsidP="006E0A83">
      <w:pPr>
        <w:pStyle w:val="Quote"/>
        <w:rPr>
          <w:lang w:val="en-US"/>
        </w:rPr>
      </w:pPr>
      <w:r w:rsidRPr="00E70E00">
        <w:rPr>
          <w:lang w:val="en-US"/>
        </w:rPr>
        <w:t xml:space="preserve">(a) it is a defence for a person charged with an offence of contravening paragraph (1)(a) or (c) (“P”) to show that P did not know and had no reasonable cause to suspect that the person was connected with </w:t>
      </w:r>
      <w:proofErr w:type="gramStart"/>
      <w:r w:rsidRPr="00E70E00">
        <w:rPr>
          <w:lang w:val="en-US"/>
        </w:rPr>
        <w:t>Russia;</w:t>
      </w:r>
      <w:proofErr w:type="gramEnd"/>
    </w:p>
    <w:p w14:paraId="4D6EB7B2" w14:textId="77777777" w:rsidR="006E0A83" w:rsidRPr="00E70E00" w:rsidRDefault="006E0A83" w:rsidP="006E0A83">
      <w:pPr>
        <w:pStyle w:val="Quote"/>
        <w:rPr>
          <w:lang w:val="en-US"/>
        </w:rPr>
      </w:pPr>
      <w:r w:rsidRPr="00E70E00">
        <w:rPr>
          <w:lang w:val="en-US"/>
        </w:rPr>
        <w:t>(b) it is a defence for a person charged with the offence of contravening paragraph (1)(b) to show that the person did not know and had no reasonable cause to suspect that the goods or technology were for use in Russia; …”</w:t>
      </w:r>
    </w:p>
    <w:p w14:paraId="2B8A0088" w14:textId="77777777" w:rsidR="006E0A83" w:rsidRPr="00055B7F" w:rsidRDefault="006E0A83" w:rsidP="006E0A83">
      <w:pPr>
        <w:pStyle w:val="BodyText"/>
        <w:rPr>
          <w:color w:val="000000" w:themeColor="text1"/>
          <w:lang w:val="en-US"/>
        </w:rPr>
      </w:pPr>
      <w:r w:rsidRPr="00055B7F">
        <w:rPr>
          <w:color w:val="000000" w:themeColor="text1"/>
          <w:lang w:val="en-US"/>
        </w:rPr>
        <w:t xml:space="preserve">Regulation 64 (“Treasury </w:t>
      </w:r>
      <w:proofErr w:type="spellStart"/>
      <w:r w:rsidRPr="00055B7F">
        <w:rPr>
          <w:color w:val="000000" w:themeColor="text1"/>
          <w:lang w:val="en-US"/>
        </w:rPr>
        <w:t>licences</w:t>
      </w:r>
      <w:proofErr w:type="spellEnd"/>
      <w:r w:rsidRPr="00055B7F">
        <w:rPr>
          <w:color w:val="000000" w:themeColor="text1"/>
          <w:lang w:val="en-US"/>
        </w:rPr>
        <w:t>”) states:</w:t>
      </w:r>
    </w:p>
    <w:p w14:paraId="68432537" w14:textId="77777777" w:rsidR="006E0A83" w:rsidRPr="00D46D5D" w:rsidRDefault="006E0A83" w:rsidP="006E0A83">
      <w:pPr>
        <w:pStyle w:val="Quote"/>
        <w:rPr>
          <w:lang w:val="en-US"/>
        </w:rPr>
      </w:pPr>
      <w:r w:rsidRPr="00D46D5D">
        <w:rPr>
          <w:lang w:val="en-US"/>
        </w:rPr>
        <w:t xml:space="preserve">“(1) The prohibitions in regulations 11 to 15 (asset-freeze etc.) … do not apply to anything done under the authority of a </w:t>
      </w:r>
      <w:proofErr w:type="spellStart"/>
      <w:r w:rsidRPr="00D46D5D">
        <w:rPr>
          <w:lang w:val="en-US"/>
        </w:rPr>
        <w:t>licence</w:t>
      </w:r>
      <w:proofErr w:type="spellEnd"/>
      <w:r w:rsidRPr="00D46D5D">
        <w:rPr>
          <w:lang w:val="en-US"/>
        </w:rPr>
        <w:t xml:space="preserve"> issued by the Treasury under this paragraph…</w:t>
      </w:r>
    </w:p>
    <w:p w14:paraId="72F79794" w14:textId="77777777" w:rsidR="006E0A83" w:rsidRPr="00D46D5D" w:rsidRDefault="006E0A83" w:rsidP="006E0A83">
      <w:pPr>
        <w:pStyle w:val="Quote"/>
        <w:rPr>
          <w:lang w:val="en-US"/>
        </w:rPr>
      </w:pPr>
      <w:r w:rsidRPr="00D46D5D">
        <w:rPr>
          <w:lang w:val="en-US"/>
        </w:rPr>
        <w:t xml:space="preserve">(2) The Treasury may issue a </w:t>
      </w:r>
      <w:proofErr w:type="spellStart"/>
      <w:r w:rsidRPr="00D46D5D">
        <w:rPr>
          <w:lang w:val="en-US"/>
        </w:rPr>
        <w:t>licence</w:t>
      </w:r>
      <w:proofErr w:type="spellEnd"/>
      <w:r w:rsidRPr="00D46D5D">
        <w:rPr>
          <w:lang w:val="en-US"/>
        </w:rPr>
        <w:t xml:space="preserve"> which </w:t>
      </w:r>
      <w:proofErr w:type="spellStart"/>
      <w:r w:rsidRPr="00D46D5D">
        <w:rPr>
          <w:lang w:val="en-US"/>
        </w:rPr>
        <w:t>authorises</w:t>
      </w:r>
      <w:proofErr w:type="spellEnd"/>
      <w:r w:rsidRPr="00D46D5D">
        <w:rPr>
          <w:lang w:val="en-US"/>
        </w:rPr>
        <w:t xml:space="preserve"> acts by a particular person only—</w:t>
      </w:r>
    </w:p>
    <w:p w14:paraId="1F7EF87C" w14:textId="77777777" w:rsidR="006E0A83" w:rsidRPr="00D46D5D" w:rsidRDefault="006E0A83" w:rsidP="006E0A83">
      <w:pPr>
        <w:pStyle w:val="Quote"/>
        <w:rPr>
          <w:lang w:val="en-US"/>
        </w:rPr>
      </w:pPr>
      <w:r w:rsidRPr="00D46D5D">
        <w:rPr>
          <w:lang w:val="en-US"/>
        </w:rPr>
        <w:t xml:space="preserve">in the case of acts which would otherwise be prohibited by regulations 11 to 15, where the Treasury consider that it is appropriate to issue the </w:t>
      </w:r>
      <w:proofErr w:type="spellStart"/>
      <w:r w:rsidRPr="00D46D5D">
        <w:rPr>
          <w:lang w:val="en-US"/>
        </w:rPr>
        <w:t>licence</w:t>
      </w:r>
      <w:proofErr w:type="spellEnd"/>
      <w:r w:rsidRPr="00D46D5D">
        <w:rPr>
          <w:lang w:val="en-US"/>
        </w:rPr>
        <w:t xml:space="preserve"> for a purpose set out in Part 1 of Schedule 5, F14...”</w:t>
      </w:r>
    </w:p>
    <w:p w14:paraId="650F804A" w14:textId="77777777" w:rsidR="006E0A83" w:rsidRPr="00BF1D39" w:rsidRDefault="006E0A83" w:rsidP="006E0A83">
      <w:pPr>
        <w:pStyle w:val="BodyText"/>
        <w:rPr>
          <w:color w:val="000000" w:themeColor="text1"/>
          <w:lang w:val="en-US"/>
        </w:rPr>
      </w:pPr>
      <w:r w:rsidRPr="00BF1D39">
        <w:rPr>
          <w:color w:val="000000" w:themeColor="text1"/>
          <w:lang w:val="en-US"/>
        </w:rPr>
        <w:t xml:space="preserve">Schedule 5 (“Treasury </w:t>
      </w:r>
      <w:proofErr w:type="spellStart"/>
      <w:r w:rsidRPr="00BF1D39">
        <w:rPr>
          <w:color w:val="000000" w:themeColor="text1"/>
          <w:lang w:val="en-US"/>
        </w:rPr>
        <w:t>licences</w:t>
      </w:r>
      <w:proofErr w:type="spellEnd"/>
      <w:r w:rsidRPr="00BF1D39">
        <w:rPr>
          <w:color w:val="000000" w:themeColor="text1"/>
          <w:lang w:val="en-US"/>
        </w:rPr>
        <w:t>: purposes”) Part 1 (“Asset-freeze etc.”) includes:</w:t>
      </w:r>
    </w:p>
    <w:p w14:paraId="1EB98F85" w14:textId="77777777" w:rsidR="006E0A83" w:rsidRPr="00B2680D" w:rsidRDefault="006E0A83" w:rsidP="006E0A83">
      <w:pPr>
        <w:pStyle w:val="Quote"/>
        <w:rPr>
          <w:lang w:val="en-US"/>
        </w:rPr>
      </w:pPr>
      <w:r w:rsidRPr="00B2680D">
        <w:rPr>
          <w:lang w:val="en-US"/>
        </w:rPr>
        <w:t>“Legal services</w:t>
      </w:r>
    </w:p>
    <w:p w14:paraId="4FC3A5BA" w14:textId="77777777" w:rsidR="006E0A83" w:rsidRPr="00B2680D" w:rsidRDefault="006E0A83" w:rsidP="006E0A83">
      <w:pPr>
        <w:pStyle w:val="Quote"/>
        <w:rPr>
          <w:lang w:val="en-US"/>
        </w:rPr>
      </w:pPr>
      <w:r w:rsidRPr="00B2680D">
        <w:rPr>
          <w:lang w:val="en-US"/>
        </w:rPr>
        <w:t>(3) To enable the payment of—</w:t>
      </w:r>
    </w:p>
    <w:p w14:paraId="1FB9A431" w14:textId="77777777" w:rsidR="006E0A83" w:rsidRPr="00B2680D" w:rsidRDefault="006E0A83" w:rsidP="006E0A83">
      <w:pPr>
        <w:pStyle w:val="Quote"/>
        <w:rPr>
          <w:lang w:val="en-US"/>
        </w:rPr>
      </w:pPr>
      <w:r w:rsidRPr="00B2680D">
        <w:rPr>
          <w:lang w:val="en-US"/>
        </w:rPr>
        <w:t>(a) reasonable professional fees for the provision of legal services, or</w:t>
      </w:r>
    </w:p>
    <w:p w14:paraId="2FDCBA8D" w14:textId="77777777" w:rsidR="006E0A83" w:rsidRDefault="006E0A83" w:rsidP="006E0A83">
      <w:pPr>
        <w:pStyle w:val="Quote"/>
        <w:rPr>
          <w:lang w:val="en-US"/>
        </w:rPr>
      </w:pPr>
      <w:r w:rsidRPr="00B2680D">
        <w:rPr>
          <w:lang w:val="en-US"/>
        </w:rPr>
        <w:t>(b) reasonable expenses associated with the provision of legal services.”</w:t>
      </w:r>
    </w:p>
    <w:p w14:paraId="41ED8964" w14:textId="77777777" w:rsidR="006E0A83" w:rsidRPr="00B865BE" w:rsidRDefault="006E0A83" w:rsidP="006E0A83">
      <w:pPr>
        <w:pStyle w:val="BodyText"/>
        <w:rPr>
          <w:color w:val="000000" w:themeColor="text1"/>
          <w:lang w:val="en-US"/>
        </w:rPr>
      </w:pPr>
      <w:r w:rsidRPr="00B865BE">
        <w:rPr>
          <w:color w:val="000000" w:themeColor="text1"/>
          <w:lang w:val="en-US"/>
        </w:rPr>
        <w:lastRenderedPageBreak/>
        <w:t>Regulation 70 (“Finance: reporting obligations”) sets out the circumstances under which a report must be made to the Treasury:</w:t>
      </w:r>
    </w:p>
    <w:p w14:paraId="50BC96D2" w14:textId="77777777" w:rsidR="006E0A83" w:rsidRPr="00B12556" w:rsidRDefault="006E0A83" w:rsidP="006E0A83">
      <w:pPr>
        <w:pStyle w:val="Quote"/>
        <w:rPr>
          <w:lang w:val="en-US"/>
        </w:rPr>
      </w:pPr>
      <w:r w:rsidRPr="00B12556">
        <w:rPr>
          <w:lang w:val="en-US"/>
        </w:rPr>
        <w:t>“(1) A relevant firm must inform the Treasury as soon as practicable if—</w:t>
      </w:r>
    </w:p>
    <w:p w14:paraId="6DF2D9CB" w14:textId="77777777" w:rsidR="006E0A83" w:rsidRPr="00B12556" w:rsidRDefault="006E0A83" w:rsidP="006E0A83">
      <w:pPr>
        <w:pStyle w:val="Quote"/>
        <w:rPr>
          <w:lang w:val="en-US"/>
        </w:rPr>
      </w:pPr>
      <w:r w:rsidRPr="00B12556">
        <w:rPr>
          <w:lang w:val="en-US"/>
        </w:rPr>
        <w:t>(a) it knows, or has reasonable cause to suspect, that a person—</w:t>
      </w:r>
    </w:p>
    <w:p w14:paraId="189A22FB" w14:textId="77777777" w:rsidR="006E0A83" w:rsidRPr="00B12556" w:rsidRDefault="006E0A83" w:rsidP="006E0A83">
      <w:pPr>
        <w:pStyle w:val="Quote"/>
        <w:rPr>
          <w:lang w:val="en-US"/>
        </w:rPr>
      </w:pPr>
      <w:r w:rsidRPr="00B12556">
        <w:rPr>
          <w:lang w:val="en-US"/>
        </w:rPr>
        <w:t>(</w:t>
      </w:r>
      <w:proofErr w:type="spellStart"/>
      <w:r w:rsidRPr="00B12556">
        <w:rPr>
          <w:lang w:val="en-US"/>
        </w:rPr>
        <w:t>i</w:t>
      </w:r>
      <w:proofErr w:type="spellEnd"/>
      <w:r w:rsidRPr="00B12556">
        <w:rPr>
          <w:lang w:val="en-US"/>
        </w:rPr>
        <w:t>) is a designated person, or</w:t>
      </w:r>
    </w:p>
    <w:p w14:paraId="6C3CAFC1" w14:textId="77777777" w:rsidR="006E0A83" w:rsidRPr="00B12556" w:rsidRDefault="006E0A83" w:rsidP="006E0A83">
      <w:pPr>
        <w:pStyle w:val="Quote"/>
        <w:rPr>
          <w:lang w:val="en-US"/>
        </w:rPr>
      </w:pPr>
      <w:r w:rsidRPr="00B12556">
        <w:rPr>
          <w:lang w:val="en-US"/>
        </w:rPr>
        <w:t>(ii) has committed an offence under any provision of Part 3 (Finance) …, and</w:t>
      </w:r>
    </w:p>
    <w:p w14:paraId="6F2F5E45" w14:textId="77777777" w:rsidR="006E0A83" w:rsidRPr="00B12556" w:rsidRDefault="006E0A83" w:rsidP="006E0A83">
      <w:pPr>
        <w:pStyle w:val="Quote"/>
        <w:rPr>
          <w:lang w:val="en-US"/>
        </w:rPr>
      </w:pPr>
      <w:r w:rsidRPr="00B12556">
        <w:rPr>
          <w:lang w:val="en-US"/>
        </w:rPr>
        <w:t>the information or other matter on which the knowledge or cause for suspicion is based came to it in the course of carrying on its business.</w:t>
      </w:r>
    </w:p>
    <w:p w14:paraId="07407149" w14:textId="77777777" w:rsidR="006E0A83" w:rsidRPr="00B12556" w:rsidRDefault="006E0A83" w:rsidP="006E0A83">
      <w:pPr>
        <w:pStyle w:val="Quote"/>
        <w:rPr>
          <w:lang w:val="en-US"/>
        </w:rPr>
      </w:pPr>
      <w:r w:rsidRPr="00B12556">
        <w:rPr>
          <w:lang w:val="en-US"/>
        </w:rPr>
        <w:t>(1ZA) A relevant firm must also inform the Treasury as soon as practicable if—</w:t>
      </w:r>
    </w:p>
    <w:p w14:paraId="4E46A681" w14:textId="77777777" w:rsidR="006E0A83" w:rsidRPr="00B12556" w:rsidRDefault="006E0A83" w:rsidP="006E0A83">
      <w:pPr>
        <w:pStyle w:val="Quote"/>
        <w:rPr>
          <w:lang w:val="en-US"/>
        </w:rPr>
      </w:pPr>
      <w:r w:rsidRPr="00B12556">
        <w:rPr>
          <w:lang w:val="en-US"/>
        </w:rPr>
        <w:t>(a) it knows, or has reasonable cause to suspect, that it holds funds or economic resources for a prohibited person; and</w:t>
      </w:r>
    </w:p>
    <w:p w14:paraId="076E8A6B" w14:textId="77777777" w:rsidR="006E0A83" w:rsidRPr="00B12556" w:rsidRDefault="006E0A83" w:rsidP="006E0A83">
      <w:pPr>
        <w:pStyle w:val="Quote"/>
        <w:rPr>
          <w:lang w:val="en-US"/>
        </w:rPr>
      </w:pPr>
      <w:r w:rsidRPr="00B12556">
        <w:rPr>
          <w:lang w:val="en-US"/>
        </w:rPr>
        <w:t>(b) the information or other matter on which the knowledge or cause for suspicion is based came to it in the course of carrying on its business.</w:t>
      </w:r>
    </w:p>
    <w:p w14:paraId="0203A772" w14:textId="40CFD74C" w:rsidR="00FA6517" w:rsidRDefault="006E0A83" w:rsidP="006E0A83">
      <w:pPr>
        <w:pStyle w:val="Quote"/>
        <w:rPr>
          <w:lang w:val="en-US"/>
        </w:rPr>
      </w:pPr>
      <w:r w:rsidRPr="00B12556">
        <w:rPr>
          <w:lang w:val="en-US"/>
        </w:rPr>
        <w:t>(1ZB) Where the relevant firm knows, or has reasonable cause to suspect, that it holds funds or economic resources for a prohibited person, it must by no later than 31st October in each calendar year, provide a report to the Treasury as to the nature and amount or quantity of those funds or economic resources held by that firm as of</w:t>
      </w:r>
      <w:r>
        <w:rPr>
          <w:lang w:val="en-US"/>
        </w:rPr>
        <w:t xml:space="preserve"> </w:t>
      </w:r>
      <w:r w:rsidRPr="006E0A83">
        <w:rPr>
          <w:lang w:val="en-US"/>
        </w:rPr>
        <w:t>30th September in that calendar year.”</w:t>
      </w:r>
    </w:p>
    <w:p w14:paraId="51E31222" w14:textId="08DEEF2B" w:rsidR="007E2879" w:rsidRPr="007E2879" w:rsidRDefault="007E2879" w:rsidP="007E2879">
      <w:pPr>
        <w:pStyle w:val="BodyText"/>
        <w:rPr>
          <w:color w:val="000000" w:themeColor="text1"/>
          <w:lang w:val="en-US"/>
        </w:rPr>
      </w:pPr>
      <w:r w:rsidRPr="007E2879">
        <w:rPr>
          <w:color w:val="000000" w:themeColor="text1"/>
          <w:lang w:val="en-US"/>
        </w:rPr>
        <w:t xml:space="preserve">OFSI </w:t>
      </w:r>
      <w:r>
        <w:rPr>
          <w:color w:val="000000" w:themeColor="text1"/>
          <w:lang w:val="en-US"/>
        </w:rPr>
        <w:t xml:space="preserve">has issued </w:t>
      </w:r>
      <w:r w:rsidRPr="007E2879">
        <w:rPr>
          <w:color w:val="000000" w:themeColor="text1"/>
          <w:lang w:val="en-US"/>
        </w:rPr>
        <w:t xml:space="preserve">General Guidance on Financial Sanctions (updated on </w:t>
      </w:r>
      <w:r>
        <w:rPr>
          <w:color w:val="000000" w:themeColor="text1"/>
          <w:lang w:val="en-US"/>
        </w:rPr>
        <w:t>13 February 20</w:t>
      </w:r>
      <w:r w:rsidRPr="007E2879">
        <w:rPr>
          <w:color w:val="000000" w:themeColor="text1"/>
          <w:lang w:val="en-US"/>
        </w:rPr>
        <w:t>24) (the “OFSI Guidance”)</w:t>
      </w:r>
      <w:r w:rsidR="0020447A">
        <w:rPr>
          <w:color w:val="000000" w:themeColor="text1"/>
          <w:lang w:val="en-US"/>
        </w:rPr>
        <w:t>, on which reliance was placed in particular by Mr Bedzhamov</w:t>
      </w:r>
      <w:r>
        <w:rPr>
          <w:color w:val="000000" w:themeColor="text1"/>
          <w:lang w:val="en-US"/>
        </w:rPr>
        <w:t xml:space="preserve">. </w:t>
      </w:r>
      <w:r w:rsidR="0020447A">
        <w:rPr>
          <w:color w:val="000000" w:themeColor="text1"/>
          <w:lang w:val="en-US"/>
        </w:rPr>
        <w:t>The Guidance</w:t>
      </w:r>
      <w:r w:rsidR="00097281">
        <w:rPr>
          <w:color w:val="000000" w:themeColor="text1"/>
          <w:lang w:val="en-US"/>
        </w:rPr>
        <w:t xml:space="preserve"> </w:t>
      </w:r>
      <w:r w:rsidRPr="007E2879">
        <w:rPr>
          <w:color w:val="000000" w:themeColor="text1"/>
          <w:lang w:val="en-US"/>
        </w:rPr>
        <w:t>states at 3.1.2 under the heading “</w:t>
      </w:r>
      <w:r w:rsidRPr="00064037">
        <w:rPr>
          <w:i/>
          <w:iCs/>
          <w:color w:val="000000" w:themeColor="text1"/>
          <w:lang w:val="en-US"/>
        </w:rPr>
        <w:t>What you must do</w:t>
      </w:r>
      <w:r w:rsidRPr="007E2879">
        <w:rPr>
          <w:color w:val="000000" w:themeColor="text1"/>
          <w:lang w:val="en-US"/>
        </w:rPr>
        <w:t>”:</w:t>
      </w:r>
    </w:p>
    <w:p w14:paraId="0F3B8470" w14:textId="271F4755" w:rsidR="007E2879" w:rsidRPr="007E2879" w:rsidRDefault="007E2879" w:rsidP="00097281">
      <w:pPr>
        <w:pStyle w:val="Quote"/>
        <w:rPr>
          <w:lang w:val="en-US"/>
        </w:rPr>
      </w:pPr>
      <w:r w:rsidRPr="007E2879">
        <w:rPr>
          <w:lang w:val="en-US"/>
        </w:rPr>
        <w:t xml:space="preserve">“If you know or have </w:t>
      </w:r>
      <w:r w:rsidR="00692F9A">
        <w:rPr>
          <w:lang w:val="en-US"/>
        </w:rPr>
        <w:t>“</w:t>
      </w:r>
      <w:r w:rsidRPr="007E2879">
        <w:rPr>
          <w:lang w:val="en-US"/>
        </w:rPr>
        <w:t>reasonable cause to suspect</w:t>
      </w:r>
      <w:r w:rsidR="00692F9A">
        <w:rPr>
          <w:lang w:val="en-US"/>
        </w:rPr>
        <w:t>”</w:t>
      </w:r>
      <w:r w:rsidRPr="007E2879">
        <w:rPr>
          <w:lang w:val="en-US"/>
        </w:rPr>
        <w:t xml:space="preserve"> that you are in possession or control of, or are otherwise dealing with, the funds or economic resources of a designated person you must:</w:t>
      </w:r>
    </w:p>
    <w:p w14:paraId="6813B6BE" w14:textId="77777777" w:rsidR="00097281" w:rsidRDefault="007E2879" w:rsidP="00097281">
      <w:pPr>
        <w:pStyle w:val="Quote"/>
        <w:numPr>
          <w:ilvl w:val="0"/>
          <w:numId w:val="18"/>
        </w:numPr>
        <w:rPr>
          <w:lang w:val="en-US"/>
        </w:rPr>
      </w:pPr>
      <w:r w:rsidRPr="007E2879">
        <w:rPr>
          <w:lang w:val="en-US"/>
        </w:rPr>
        <w:t xml:space="preserve">Freeze </w:t>
      </w:r>
      <w:proofErr w:type="gramStart"/>
      <w:r w:rsidRPr="007E2879">
        <w:rPr>
          <w:lang w:val="en-US"/>
        </w:rPr>
        <w:t>them</w:t>
      </w:r>
      <w:proofErr w:type="gramEnd"/>
    </w:p>
    <w:p w14:paraId="1056B857" w14:textId="77777777" w:rsidR="00097281" w:rsidRDefault="007E2879" w:rsidP="00097281">
      <w:pPr>
        <w:pStyle w:val="Quote"/>
        <w:numPr>
          <w:ilvl w:val="0"/>
          <w:numId w:val="18"/>
        </w:numPr>
        <w:rPr>
          <w:lang w:val="en-US"/>
        </w:rPr>
      </w:pPr>
      <w:r w:rsidRPr="00097281">
        <w:rPr>
          <w:lang w:val="en-US"/>
        </w:rPr>
        <w:t xml:space="preserve">Not deal with them or make them available to, or for the benefit of, the designated person, unless there is an exception in the legislation that you can rely </w:t>
      </w:r>
      <w:proofErr w:type="gramStart"/>
      <w:r w:rsidRPr="00097281">
        <w:rPr>
          <w:lang w:val="en-US"/>
        </w:rPr>
        <w:t>on</w:t>
      </w:r>
      <w:proofErr w:type="gramEnd"/>
      <w:r w:rsidRPr="00097281">
        <w:rPr>
          <w:lang w:val="en-US"/>
        </w:rPr>
        <w:t xml:space="preserve"> or you have a </w:t>
      </w:r>
      <w:proofErr w:type="spellStart"/>
      <w:r w:rsidRPr="00097281">
        <w:rPr>
          <w:lang w:val="en-US"/>
        </w:rPr>
        <w:t>licence</w:t>
      </w:r>
      <w:proofErr w:type="spellEnd"/>
      <w:r w:rsidRPr="00097281">
        <w:rPr>
          <w:lang w:val="en-US"/>
        </w:rPr>
        <w:t xml:space="preserve"> from OFSI </w:t>
      </w:r>
    </w:p>
    <w:p w14:paraId="2E8A66F0" w14:textId="0A483CF2" w:rsidR="007E2879" w:rsidRPr="00097281" w:rsidRDefault="007E2879" w:rsidP="00097281">
      <w:pPr>
        <w:pStyle w:val="Quote"/>
        <w:numPr>
          <w:ilvl w:val="0"/>
          <w:numId w:val="18"/>
        </w:numPr>
        <w:rPr>
          <w:lang w:val="en-US"/>
        </w:rPr>
      </w:pPr>
      <w:r w:rsidRPr="00097281">
        <w:rPr>
          <w:lang w:val="en-US"/>
        </w:rPr>
        <w:t>Report them to OFSI (see Chapter 5 of this guidance)</w:t>
      </w:r>
    </w:p>
    <w:p w14:paraId="0E9BD42A" w14:textId="77777777" w:rsidR="007E2879" w:rsidRPr="007E2879" w:rsidRDefault="007E2879" w:rsidP="00097281">
      <w:pPr>
        <w:pStyle w:val="Quote"/>
        <w:rPr>
          <w:lang w:val="en-US"/>
        </w:rPr>
      </w:pPr>
      <w:r w:rsidRPr="007E2879">
        <w:rPr>
          <w:lang w:val="en-US"/>
        </w:rPr>
        <w:lastRenderedPageBreak/>
        <w:t>Reasonable cause to suspect refers to an objective test that asks whether there were factual circumstances from which an honest and reasonable person should have inferred knowledge or formed the suspicion.”</w:t>
      </w:r>
    </w:p>
    <w:p w14:paraId="0B2713F8" w14:textId="76005A5F" w:rsidR="007E2879" w:rsidRPr="007E2879" w:rsidRDefault="007E2879" w:rsidP="007E2879">
      <w:pPr>
        <w:pStyle w:val="BodyText"/>
        <w:rPr>
          <w:color w:val="000000" w:themeColor="text1"/>
          <w:lang w:val="en-US"/>
        </w:rPr>
      </w:pPr>
      <w:r w:rsidRPr="007E2879">
        <w:rPr>
          <w:color w:val="000000" w:themeColor="text1"/>
          <w:lang w:val="en-US"/>
        </w:rPr>
        <w:t>Ownership and Control is addressed at 4.1. As to minority interests, the OFSI Guidance states at 4.1.2 that:</w:t>
      </w:r>
    </w:p>
    <w:p w14:paraId="7535DA39" w14:textId="77777777" w:rsidR="007E2879" w:rsidRPr="007E2879" w:rsidRDefault="007E2879" w:rsidP="00097281">
      <w:pPr>
        <w:pStyle w:val="Quote"/>
        <w:rPr>
          <w:lang w:val="en-US"/>
        </w:rPr>
      </w:pPr>
      <w:r w:rsidRPr="007E2879">
        <w:rPr>
          <w:lang w:val="en-US"/>
        </w:rPr>
        <w:t>“If a designated person has a minority interest in another entity, this does not necessarily mean that financial sanctions also apply to them as the ownership and control criteria may not have been met. It will be necessary to consider whether a designated person is in control - for example, because the affairs of the entity are conducted in accordance with the designated person’s wishes. If they are, then the ownership and control criteria will be met.”</w:t>
      </w:r>
    </w:p>
    <w:p w14:paraId="2E01A156" w14:textId="77777777" w:rsidR="007E2879" w:rsidRPr="007E2879" w:rsidRDefault="007E2879" w:rsidP="007E2879">
      <w:pPr>
        <w:pStyle w:val="BodyText"/>
        <w:rPr>
          <w:color w:val="000000" w:themeColor="text1"/>
          <w:lang w:val="en-US"/>
        </w:rPr>
      </w:pPr>
      <w:r w:rsidRPr="007E2879">
        <w:rPr>
          <w:color w:val="000000" w:themeColor="text1"/>
          <w:lang w:val="en-US"/>
        </w:rPr>
        <w:t>As to Joint Interests, the OFSI Guidance states at 4.1.3 that:</w:t>
      </w:r>
    </w:p>
    <w:p w14:paraId="0F9737FD" w14:textId="77777777" w:rsidR="007E2879" w:rsidRPr="007E2879" w:rsidRDefault="007E2879" w:rsidP="00097281">
      <w:pPr>
        <w:pStyle w:val="Quote"/>
        <w:rPr>
          <w:lang w:val="en-US"/>
        </w:rPr>
      </w:pPr>
      <w:r w:rsidRPr="007E2879">
        <w:rPr>
          <w:lang w:val="en-US"/>
        </w:rPr>
        <w:t xml:space="preserve">“If two or more persons hold shares or rights jointly, each of them will be treated as owning those shares or rights.  This also applies to joint arrangements where all holders of shares or rights exercise their rights jointly.  In this case, all parties subject to the joint arrangement are considered as owning those shares or rights.” </w:t>
      </w:r>
    </w:p>
    <w:p w14:paraId="374B8CEC" w14:textId="77777777" w:rsidR="007E2879" w:rsidRPr="007E2879" w:rsidRDefault="007E2879" w:rsidP="007E2879">
      <w:pPr>
        <w:pStyle w:val="BodyText"/>
        <w:rPr>
          <w:color w:val="000000" w:themeColor="text1"/>
          <w:lang w:val="en-US"/>
        </w:rPr>
      </w:pPr>
      <w:r w:rsidRPr="007E2879">
        <w:rPr>
          <w:color w:val="000000" w:themeColor="text1"/>
          <w:lang w:val="en-US"/>
        </w:rPr>
        <w:t>As to Aggregation, the OFSI Guidance states at 4.1.4 that:</w:t>
      </w:r>
    </w:p>
    <w:p w14:paraId="686A136C" w14:textId="77777777" w:rsidR="007E2879" w:rsidRPr="007E2879" w:rsidRDefault="007E2879" w:rsidP="00097281">
      <w:pPr>
        <w:pStyle w:val="Quote"/>
        <w:rPr>
          <w:lang w:val="en-US"/>
        </w:rPr>
      </w:pPr>
      <w:r w:rsidRPr="007E2879">
        <w:rPr>
          <w:lang w:val="en-US"/>
        </w:rPr>
        <w:t xml:space="preserve">“When making an assessment on ownership and control, OFSI would not simply aggregate different designated persons’ holdings in a company, unless, for example, the shares or rights are subject to a joint arrangement between the designated </w:t>
      </w:r>
      <w:proofErr w:type="gramStart"/>
      <w:r w:rsidRPr="007E2879">
        <w:rPr>
          <w:lang w:val="en-US"/>
        </w:rPr>
        <w:t>parties</w:t>
      </w:r>
      <w:proofErr w:type="gramEnd"/>
      <w:r w:rsidRPr="007E2879">
        <w:rPr>
          <w:lang w:val="en-US"/>
        </w:rPr>
        <w:t xml:space="preserve"> or one party controls the rights of another. Consequently, if each of the designated person’s holdings falls below the 50% threshold in respect of share ownership and there is no evidence of a joint arrangement or that the shares are held jointly, the company would not be directly or indirectly owned by a designated person. </w:t>
      </w:r>
    </w:p>
    <w:p w14:paraId="48780055" w14:textId="77777777" w:rsidR="007E2879" w:rsidRPr="007E2879" w:rsidRDefault="007E2879" w:rsidP="00097281">
      <w:pPr>
        <w:pStyle w:val="Quote"/>
        <w:rPr>
          <w:lang w:val="en-US"/>
        </w:rPr>
      </w:pPr>
      <w:r w:rsidRPr="007E2879">
        <w:rPr>
          <w:lang w:val="en-US"/>
        </w:rPr>
        <w:t xml:space="preserve">It should be noted that ownership and control also </w:t>
      </w:r>
      <w:proofErr w:type="gramStart"/>
      <w:r w:rsidRPr="007E2879">
        <w:rPr>
          <w:lang w:val="en-US"/>
        </w:rPr>
        <w:t>relates</w:t>
      </w:r>
      <w:proofErr w:type="gramEnd"/>
      <w:r w:rsidRPr="007E2879">
        <w:rPr>
          <w:lang w:val="en-US"/>
        </w:rPr>
        <w:t xml:space="preserve"> to holding more than 50% of voting rights, the right to appoint or remove a majority of the board of directors and it being reasonable to expect that a designated person would be able in significant respects to ensure that the affairs of a company are conducted in accordance with their wishes. If any of these apply, the company could be controlled by a designated person.”</w:t>
      </w:r>
    </w:p>
    <w:p w14:paraId="3EB19E83" w14:textId="2E9FEBF6" w:rsidR="007E2879" w:rsidRPr="007E2879" w:rsidRDefault="0007659C" w:rsidP="007E2879">
      <w:pPr>
        <w:pStyle w:val="BodyText"/>
        <w:rPr>
          <w:color w:val="000000" w:themeColor="text1"/>
          <w:lang w:val="en-US"/>
        </w:rPr>
      </w:pPr>
      <w:r>
        <w:rPr>
          <w:color w:val="000000" w:themeColor="text1"/>
          <w:lang w:val="en-US"/>
        </w:rPr>
        <w:t>Paragraph</w:t>
      </w:r>
      <w:r w:rsidRPr="007E2879">
        <w:rPr>
          <w:color w:val="000000" w:themeColor="text1"/>
          <w:lang w:val="en-US"/>
        </w:rPr>
        <w:t xml:space="preserve"> 5.1.1 of the OFSI Guidance </w:t>
      </w:r>
      <w:r>
        <w:rPr>
          <w:color w:val="000000" w:themeColor="text1"/>
          <w:lang w:val="en-US"/>
        </w:rPr>
        <w:t xml:space="preserve">states that </w:t>
      </w:r>
      <w:r w:rsidR="007E2879" w:rsidRPr="007E2879">
        <w:rPr>
          <w:color w:val="000000" w:themeColor="text1"/>
          <w:lang w:val="en-US"/>
        </w:rPr>
        <w:t xml:space="preserve">Relevant firms (as defined in the Regulations) must inform OFSI as soon as practicable </w:t>
      </w:r>
      <w:r w:rsidR="007E2879" w:rsidRPr="00064037">
        <w:rPr>
          <w:color w:val="000000" w:themeColor="text1"/>
          <w:lang w:val="en-US"/>
        </w:rPr>
        <w:t>“</w:t>
      </w:r>
      <w:r w:rsidR="007E2879" w:rsidRPr="0007659C">
        <w:rPr>
          <w:i/>
          <w:iCs/>
          <w:color w:val="000000" w:themeColor="text1"/>
          <w:lang w:val="en-US"/>
        </w:rPr>
        <w:t>if they know or reasonably suspect a person is a designated person</w:t>
      </w:r>
      <w:r w:rsidR="007E2879" w:rsidRPr="00064037">
        <w:rPr>
          <w:color w:val="000000" w:themeColor="text1"/>
          <w:lang w:val="en-US"/>
        </w:rPr>
        <w:t>”</w:t>
      </w:r>
      <w:r w:rsidR="007E2879" w:rsidRPr="00692F9A">
        <w:rPr>
          <w:color w:val="000000" w:themeColor="text1"/>
          <w:lang w:val="en-US"/>
        </w:rPr>
        <w:t>.</w:t>
      </w:r>
    </w:p>
    <w:p w14:paraId="5C5E22AE" w14:textId="77777777" w:rsidR="00D42441" w:rsidRDefault="00D42441" w:rsidP="00D42441">
      <w:pPr>
        <w:pStyle w:val="Heading1"/>
        <w:spacing w:before="480"/>
        <w:rPr>
          <w:lang w:val="en-US"/>
        </w:rPr>
      </w:pPr>
      <w:r>
        <w:rPr>
          <w:lang w:val="en-US"/>
        </w:rPr>
        <w:lastRenderedPageBreak/>
        <w:t>The Issues</w:t>
      </w:r>
    </w:p>
    <w:p w14:paraId="2C4A0098" w14:textId="4799B8EA" w:rsidR="00E84363" w:rsidRPr="00E84363" w:rsidRDefault="00E84363" w:rsidP="00E84363">
      <w:pPr>
        <w:pStyle w:val="BodyText"/>
        <w:rPr>
          <w:color w:val="000000" w:themeColor="text1"/>
          <w:lang w:val="en-US"/>
        </w:rPr>
      </w:pPr>
      <w:r w:rsidRPr="00E84363">
        <w:rPr>
          <w:color w:val="000000" w:themeColor="text1"/>
          <w:lang w:val="en-US"/>
        </w:rPr>
        <w:t xml:space="preserve">There are </w:t>
      </w:r>
      <w:r w:rsidR="009D1A1C">
        <w:rPr>
          <w:color w:val="000000" w:themeColor="text1"/>
          <w:lang w:val="en-US"/>
        </w:rPr>
        <w:t>two</w:t>
      </w:r>
      <w:r w:rsidRPr="00E84363">
        <w:rPr>
          <w:color w:val="000000" w:themeColor="text1"/>
          <w:lang w:val="en-US"/>
        </w:rPr>
        <w:t xml:space="preserve"> main issues.</w:t>
      </w:r>
    </w:p>
    <w:p w14:paraId="2E05A0AF" w14:textId="77777777" w:rsidR="00E84363" w:rsidRPr="00E84363" w:rsidRDefault="00E84363" w:rsidP="00E84363">
      <w:pPr>
        <w:pStyle w:val="BodyText"/>
        <w:numPr>
          <w:ilvl w:val="1"/>
          <w:numId w:val="4"/>
        </w:numPr>
        <w:rPr>
          <w:color w:val="000000" w:themeColor="text1"/>
          <w:lang w:val="en-US"/>
        </w:rPr>
      </w:pPr>
      <w:r w:rsidRPr="004841BB">
        <w:rPr>
          <w:b/>
          <w:bCs/>
          <w:color w:val="000000" w:themeColor="text1"/>
          <w:lang w:val="en-US"/>
        </w:rPr>
        <w:t>The issue of construction</w:t>
      </w:r>
      <w:r w:rsidRPr="00E84363">
        <w:rPr>
          <w:color w:val="000000" w:themeColor="text1"/>
          <w:lang w:val="en-US"/>
        </w:rPr>
        <w:t>. Does the Regulation engage if there is reasonable ground to suspect that an entity is owned or controlled by a sanctioned person or entity? Or is that question not relevant until or unless it is proved that there was as a matter of fact such ownership and/or control?</w:t>
      </w:r>
    </w:p>
    <w:p w14:paraId="28F22EC5" w14:textId="3826B430" w:rsidR="00E84363" w:rsidRPr="00E84363" w:rsidRDefault="004841BB" w:rsidP="00E84363">
      <w:pPr>
        <w:pStyle w:val="BodyText"/>
        <w:numPr>
          <w:ilvl w:val="1"/>
          <w:numId w:val="4"/>
        </w:numPr>
        <w:rPr>
          <w:color w:val="000000" w:themeColor="text1"/>
          <w:lang w:val="en-US"/>
        </w:rPr>
      </w:pPr>
      <w:r w:rsidRPr="004841BB">
        <w:rPr>
          <w:b/>
          <w:bCs/>
          <w:color w:val="000000" w:themeColor="text1"/>
          <w:lang w:val="en-US"/>
        </w:rPr>
        <w:t>The issue of fact</w:t>
      </w:r>
      <w:r>
        <w:rPr>
          <w:color w:val="000000" w:themeColor="text1"/>
          <w:lang w:val="en-US"/>
        </w:rPr>
        <w:t xml:space="preserve">: </w:t>
      </w:r>
      <w:r w:rsidR="00E84363" w:rsidRPr="00E84363">
        <w:rPr>
          <w:color w:val="000000" w:themeColor="text1"/>
          <w:lang w:val="en-US"/>
        </w:rPr>
        <w:t xml:space="preserve">If </w:t>
      </w:r>
      <w:r w:rsidR="00FA0E77">
        <w:rPr>
          <w:color w:val="000000" w:themeColor="text1"/>
          <w:lang w:val="en-US"/>
        </w:rPr>
        <w:t>the former</w:t>
      </w:r>
      <w:r w:rsidR="00E84363" w:rsidRPr="00E84363">
        <w:rPr>
          <w:color w:val="000000" w:themeColor="text1"/>
          <w:lang w:val="en-US"/>
        </w:rPr>
        <w:t xml:space="preserve"> is the correct construction, is there, on the facts here</w:t>
      </w:r>
      <w:r w:rsidR="00FA0E77">
        <w:rPr>
          <w:color w:val="000000" w:themeColor="text1"/>
          <w:lang w:val="en-US"/>
        </w:rPr>
        <w:t>,</w:t>
      </w:r>
      <w:r w:rsidR="00E84363" w:rsidRPr="00E84363">
        <w:rPr>
          <w:color w:val="000000" w:themeColor="text1"/>
          <w:lang w:val="en-US"/>
        </w:rPr>
        <w:t xml:space="preserve"> reasonable grounds to believe that A1 remains controlled by the sanctioned former owners?</w:t>
      </w:r>
    </w:p>
    <w:p w14:paraId="6DF90332" w14:textId="39BEEEB3" w:rsidR="00E84363" w:rsidRDefault="009D1A1C" w:rsidP="009D1A1C">
      <w:pPr>
        <w:pStyle w:val="BodyText"/>
        <w:rPr>
          <w:lang w:val="en-US"/>
        </w:rPr>
      </w:pPr>
      <w:r>
        <w:rPr>
          <w:lang w:val="en-US"/>
        </w:rPr>
        <w:t>There is then a contingent further issue which arises if</w:t>
      </w:r>
      <w:r w:rsidR="008C2287">
        <w:rPr>
          <w:lang w:val="en-US"/>
        </w:rPr>
        <w:t xml:space="preserve"> the latter construction is correct: </w:t>
      </w:r>
      <w:r w:rsidR="00E84363" w:rsidRPr="00E84363">
        <w:rPr>
          <w:lang w:val="en-US"/>
        </w:rPr>
        <w:t>is the regulation nonetheless engaged because the Court can and should conclude that A1 remains controlled by the sanctioned former owners?</w:t>
      </w:r>
    </w:p>
    <w:p w14:paraId="3611202B" w14:textId="5ED887C0" w:rsidR="005B3A33" w:rsidRDefault="005B3A33" w:rsidP="005B3A33">
      <w:pPr>
        <w:pStyle w:val="BodyText"/>
        <w:rPr>
          <w:lang w:val="en-US"/>
        </w:rPr>
      </w:pPr>
      <w:r>
        <w:rPr>
          <w:lang w:val="en-US"/>
        </w:rPr>
        <w:t>The extent to which it is appropriate or necessary to decide all of these issues will be considered further below</w:t>
      </w:r>
      <w:r w:rsidR="001F53B4">
        <w:rPr>
          <w:lang w:val="en-US"/>
        </w:rPr>
        <w:t>.</w:t>
      </w:r>
    </w:p>
    <w:p w14:paraId="5FF11510" w14:textId="1A33155D" w:rsidR="006E0A83" w:rsidRDefault="006E0A83" w:rsidP="006E0A83">
      <w:pPr>
        <w:pStyle w:val="Heading1"/>
        <w:spacing w:before="480"/>
        <w:rPr>
          <w:lang w:val="en-US"/>
        </w:rPr>
      </w:pPr>
      <w:r>
        <w:rPr>
          <w:lang w:val="en-US"/>
        </w:rPr>
        <w:t xml:space="preserve">The </w:t>
      </w:r>
      <w:r w:rsidR="00A9105E">
        <w:rPr>
          <w:lang w:val="en-US"/>
        </w:rPr>
        <w:t>L</w:t>
      </w:r>
      <w:r>
        <w:rPr>
          <w:lang w:val="en-US"/>
        </w:rPr>
        <w:t>aw</w:t>
      </w:r>
    </w:p>
    <w:p w14:paraId="3EC1E5E6" w14:textId="77777777" w:rsidR="006E0A83" w:rsidRPr="00A16105" w:rsidRDefault="006E0A83" w:rsidP="006E0A83">
      <w:pPr>
        <w:pStyle w:val="BodyText"/>
        <w:rPr>
          <w:color w:val="000000" w:themeColor="text1"/>
          <w:lang w:val="en-US"/>
        </w:rPr>
      </w:pPr>
      <w:r w:rsidRPr="00A16105">
        <w:rPr>
          <w:color w:val="000000" w:themeColor="text1"/>
          <w:lang w:val="en-US"/>
        </w:rPr>
        <w:t xml:space="preserve">The first issue obviously requires an exercise of statutory construction. Those principles (which apply to delegated legislation as well as to primary legislation) have been set out in my judgment in </w:t>
      </w:r>
      <w:r w:rsidRPr="00A16105">
        <w:rPr>
          <w:i/>
          <w:iCs/>
          <w:color w:val="000000" w:themeColor="text1"/>
          <w:lang w:val="en-US"/>
        </w:rPr>
        <w:t>Mints</w:t>
      </w:r>
      <w:r w:rsidRPr="00A16105">
        <w:rPr>
          <w:color w:val="000000" w:themeColor="text1"/>
          <w:lang w:val="en-US"/>
        </w:rPr>
        <w:t xml:space="preserve"> [2023] EWHC 118 (Comm) [64], approved by the Court of Appeal at [2023] EWCA Civ 1132 [185].</w:t>
      </w:r>
    </w:p>
    <w:p w14:paraId="2F9D6F4A" w14:textId="77777777" w:rsidR="006E0A83" w:rsidRPr="00A16105" w:rsidRDefault="006E0A83" w:rsidP="006E0A83">
      <w:pPr>
        <w:pStyle w:val="BodyText"/>
        <w:rPr>
          <w:color w:val="000000" w:themeColor="text1"/>
          <w:lang w:val="en-US"/>
        </w:rPr>
      </w:pPr>
      <w:r w:rsidRPr="00A16105">
        <w:rPr>
          <w:color w:val="000000" w:themeColor="text1"/>
          <w:lang w:val="en-US"/>
        </w:rPr>
        <w:t>The other points on which reliance were placed by the parties were not contentious. They were:</w:t>
      </w:r>
    </w:p>
    <w:p w14:paraId="45C32F57" w14:textId="36D36EA3" w:rsidR="006E0A83" w:rsidRPr="00F818AF" w:rsidRDefault="006E0A83" w:rsidP="006E0A83">
      <w:pPr>
        <w:pStyle w:val="BodyText"/>
        <w:numPr>
          <w:ilvl w:val="1"/>
          <w:numId w:val="4"/>
        </w:numPr>
        <w:rPr>
          <w:color w:val="000000" w:themeColor="text1"/>
          <w:lang w:val="en-US"/>
        </w:rPr>
      </w:pPr>
      <w:r w:rsidRPr="00F818AF">
        <w:rPr>
          <w:color w:val="000000" w:themeColor="text1"/>
          <w:lang w:val="en-US"/>
        </w:rPr>
        <w:t xml:space="preserve">When looking at legislative intent in the legislative context, “context” means the entire statutory scheme within which the particular provision is contained. See, </w:t>
      </w:r>
      <w:proofErr w:type="gramStart"/>
      <w:r w:rsidRPr="00F818AF">
        <w:rPr>
          <w:color w:val="000000" w:themeColor="text1"/>
          <w:lang w:val="en-US"/>
        </w:rPr>
        <w:t>e.g.</w:t>
      </w:r>
      <w:proofErr w:type="gramEnd"/>
      <w:r w:rsidRPr="00F818AF">
        <w:rPr>
          <w:color w:val="000000" w:themeColor="text1"/>
          <w:lang w:val="en-US"/>
        </w:rPr>
        <w:t xml:space="preserve"> </w:t>
      </w:r>
      <w:r w:rsidRPr="00F818AF">
        <w:rPr>
          <w:i/>
          <w:iCs/>
          <w:color w:val="000000" w:themeColor="text1"/>
          <w:lang w:val="en-US"/>
        </w:rPr>
        <w:t xml:space="preserve">Rossendale BC v </w:t>
      </w:r>
      <w:proofErr w:type="spellStart"/>
      <w:r w:rsidRPr="00F818AF">
        <w:rPr>
          <w:i/>
          <w:iCs/>
          <w:color w:val="000000" w:themeColor="text1"/>
          <w:lang w:val="en-US"/>
        </w:rPr>
        <w:t>Hurstwood</w:t>
      </w:r>
      <w:proofErr w:type="spellEnd"/>
      <w:r w:rsidRPr="00F818AF">
        <w:rPr>
          <w:i/>
          <w:iCs/>
          <w:color w:val="000000" w:themeColor="text1"/>
          <w:lang w:val="en-US"/>
        </w:rPr>
        <w:t xml:space="preserve"> Properties (A) Ltd</w:t>
      </w:r>
      <w:r w:rsidRPr="00F818AF">
        <w:rPr>
          <w:color w:val="000000" w:themeColor="text1"/>
          <w:lang w:val="en-US"/>
        </w:rPr>
        <w:t xml:space="preserve"> [2022] AC 690, 704F-G [16] (Lord Briggs and Lord Leggatt warning against “tunnel vision” in statutory interpretation)</w:t>
      </w:r>
      <w:r>
        <w:rPr>
          <w:color w:val="000000" w:themeColor="text1"/>
          <w:lang w:val="en-US"/>
        </w:rPr>
        <w:t>;</w:t>
      </w:r>
    </w:p>
    <w:p w14:paraId="6BFC050E" w14:textId="77777777" w:rsidR="006E0A83" w:rsidRPr="00F818AF" w:rsidRDefault="006E0A83" w:rsidP="006E0A83">
      <w:pPr>
        <w:pStyle w:val="BodyText"/>
        <w:numPr>
          <w:ilvl w:val="1"/>
          <w:numId w:val="4"/>
        </w:numPr>
        <w:rPr>
          <w:color w:val="000000" w:themeColor="text1"/>
          <w:lang w:val="en-US"/>
        </w:rPr>
      </w:pPr>
      <w:r w:rsidRPr="00F818AF">
        <w:rPr>
          <w:color w:val="000000" w:themeColor="text1"/>
          <w:lang w:val="en-US"/>
        </w:rPr>
        <w:t>The Court should “</w:t>
      </w:r>
      <w:r w:rsidRPr="00F818AF">
        <w:rPr>
          <w:i/>
          <w:iCs/>
          <w:color w:val="000000" w:themeColor="text1"/>
          <w:lang w:val="en-US"/>
        </w:rPr>
        <w:t>seek to avoid a construction of a statutory provision that produces an absurd result, since this is unlikely to have been intended</w:t>
      </w:r>
      <w:r w:rsidRPr="00F818AF">
        <w:rPr>
          <w:color w:val="000000" w:themeColor="text1"/>
          <w:lang w:val="en-US"/>
        </w:rPr>
        <w:t xml:space="preserve">” by the legislator. </w:t>
      </w:r>
      <w:r w:rsidRPr="00F818AF">
        <w:rPr>
          <w:i/>
          <w:iCs/>
          <w:color w:val="000000" w:themeColor="text1"/>
          <w:lang w:val="en-US"/>
        </w:rPr>
        <w:t>Secretary of State for Work and Pensions v Johnson</w:t>
      </w:r>
      <w:r w:rsidRPr="00F818AF">
        <w:rPr>
          <w:color w:val="000000" w:themeColor="text1"/>
          <w:lang w:val="en-US"/>
        </w:rPr>
        <w:t xml:space="preserve"> [2020] EWCA Civ 778 at [48]; </w:t>
      </w:r>
      <w:r w:rsidRPr="00F818AF">
        <w:rPr>
          <w:i/>
          <w:iCs/>
          <w:color w:val="000000" w:themeColor="text1"/>
          <w:lang w:val="en-US"/>
        </w:rPr>
        <w:t>R v McCool</w:t>
      </w:r>
      <w:r w:rsidRPr="00F818AF">
        <w:rPr>
          <w:color w:val="000000" w:themeColor="text1"/>
          <w:lang w:val="en-US"/>
        </w:rPr>
        <w:t xml:space="preserve"> [2018] UKSC 23, [2018] 1 WLR 2431 at [24]-[25] (per Lord Kerr</w:t>
      </w:r>
      <w:proofErr w:type="gramStart"/>
      <w:r w:rsidRPr="00F818AF">
        <w:rPr>
          <w:color w:val="000000" w:themeColor="text1"/>
          <w:lang w:val="en-US"/>
        </w:rPr>
        <w:t>)</w:t>
      </w:r>
      <w:r>
        <w:rPr>
          <w:color w:val="000000" w:themeColor="text1"/>
          <w:lang w:val="en-US"/>
        </w:rPr>
        <w:t>;</w:t>
      </w:r>
      <w:proofErr w:type="gramEnd"/>
    </w:p>
    <w:p w14:paraId="37E8CD00" w14:textId="00F87136" w:rsidR="004E3FE7" w:rsidRDefault="006E0A83" w:rsidP="004C50DD">
      <w:pPr>
        <w:pStyle w:val="BodyText"/>
        <w:numPr>
          <w:ilvl w:val="1"/>
          <w:numId w:val="4"/>
        </w:numPr>
        <w:rPr>
          <w:color w:val="000000" w:themeColor="text1"/>
          <w:lang w:val="en-US"/>
        </w:rPr>
      </w:pPr>
      <w:r w:rsidRPr="004E3FE7">
        <w:rPr>
          <w:color w:val="000000" w:themeColor="text1"/>
          <w:lang w:val="en-US"/>
        </w:rPr>
        <w:t>“Absurdity” includes “</w:t>
      </w:r>
      <w:r w:rsidRPr="004E3FE7">
        <w:rPr>
          <w:i/>
          <w:iCs/>
          <w:color w:val="000000" w:themeColor="text1"/>
          <w:lang w:val="en-US"/>
        </w:rPr>
        <w:t>virtually any result which is impossible, unworkable or impracticable, inconvenient, anomalous or illogical, futile or pointless, artificial, or productive of a disproportionate counter-mischief</w:t>
      </w:r>
      <w:r w:rsidRPr="004E3FE7">
        <w:rPr>
          <w:color w:val="000000" w:themeColor="text1"/>
          <w:lang w:val="en-US"/>
        </w:rPr>
        <w:t xml:space="preserve">”. Bennion, §13-1. </w:t>
      </w:r>
      <w:proofErr w:type="gramStart"/>
      <w:r w:rsidRPr="004E3FE7">
        <w:rPr>
          <w:color w:val="000000" w:themeColor="text1"/>
          <w:lang w:val="en-US"/>
        </w:rPr>
        <w:t>However</w:t>
      </w:r>
      <w:proofErr w:type="gramEnd"/>
      <w:r w:rsidRPr="004E3FE7">
        <w:rPr>
          <w:color w:val="000000" w:themeColor="text1"/>
          <w:lang w:val="en-US"/>
        </w:rPr>
        <w:t xml:space="preserve"> it is a high test. On the authorities </w:t>
      </w:r>
      <w:r w:rsidR="002E6718" w:rsidRPr="004E3FE7">
        <w:rPr>
          <w:color w:val="000000" w:themeColor="text1"/>
          <w:lang w:val="en-US"/>
        </w:rPr>
        <w:t>(in particular</w:t>
      </w:r>
      <w:r w:rsidR="0066512C" w:rsidRPr="004E3FE7">
        <w:rPr>
          <w:color w:val="000000" w:themeColor="text1"/>
          <w:lang w:val="en-US"/>
        </w:rPr>
        <w:t xml:space="preserve"> </w:t>
      </w:r>
      <w:r w:rsidR="0066512C" w:rsidRPr="00D20140">
        <w:rPr>
          <w:i/>
          <w:iCs/>
          <w:color w:val="000000" w:themeColor="text1"/>
          <w:lang w:val="en-US"/>
        </w:rPr>
        <w:t>SSWP v Johnson and R</w:t>
      </w:r>
      <w:r w:rsidR="004E3FE7" w:rsidRPr="00D20140">
        <w:rPr>
          <w:i/>
          <w:iCs/>
          <w:color w:val="000000" w:themeColor="text1"/>
          <w:lang w:val="en-US"/>
        </w:rPr>
        <w:t xml:space="preserve"> </w:t>
      </w:r>
      <w:r w:rsidR="0066512C" w:rsidRPr="00D20140">
        <w:rPr>
          <w:i/>
          <w:iCs/>
          <w:color w:val="000000" w:themeColor="text1"/>
          <w:lang w:val="en-US"/>
        </w:rPr>
        <w:t>v McCool</w:t>
      </w:r>
      <w:r w:rsidR="0066512C" w:rsidRPr="004E3FE7">
        <w:rPr>
          <w:color w:val="000000" w:themeColor="text1"/>
          <w:lang w:val="en-US"/>
        </w:rPr>
        <w:t xml:space="preserve">) </w:t>
      </w:r>
      <w:r w:rsidRPr="004E3FE7">
        <w:rPr>
          <w:color w:val="000000" w:themeColor="text1"/>
          <w:lang w:val="en-US"/>
        </w:rPr>
        <w:t xml:space="preserve">it appears </w:t>
      </w:r>
      <w:proofErr w:type="gramStart"/>
      <w:r w:rsidRPr="004E3FE7">
        <w:rPr>
          <w:color w:val="000000" w:themeColor="text1"/>
          <w:lang w:val="en-US"/>
        </w:rPr>
        <w:t>that</w:t>
      </w:r>
      <w:r w:rsidR="00F74209">
        <w:rPr>
          <w:color w:val="000000" w:themeColor="text1"/>
          <w:lang w:val="en-US"/>
        </w:rPr>
        <w:t>,</w:t>
      </w:r>
      <w:r w:rsidRPr="004E3FE7">
        <w:rPr>
          <w:color w:val="000000" w:themeColor="text1"/>
          <w:lang w:val="en-US"/>
        </w:rPr>
        <w:t xml:space="preserve">  </w:t>
      </w:r>
      <w:r w:rsidR="004E3FE7" w:rsidRPr="004E3FE7">
        <w:rPr>
          <w:color w:val="000000" w:themeColor="text1"/>
          <w:lang w:val="en-US"/>
        </w:rPr>
        <w:t>to</w:t>
      </w:r>
      <w:proofErr w:type="gramEnd"/>
      <w:r w:rsidR="004E3FE7" w:rsidRPr="004E3FE7">
        <w:rPr>
          <w:color w:val="000000" w:themeColor="text1"/>
          <w:lang w:val="en-US"/>
        </w:rPr>
        <w:t xml:space="preserve"> be absurd</w:t>
      </w:r>
      <w:r w:rsidR="00F74209">
        <w:rPr>
          <w:color w:val="000000" w:themeColor="text1"/>
          <w:lang w:val="en-US"/>
        </w:rPr>
        <w:t>,</w:t>
      </w:r>
      <w:r w:rsidR="004E3FE7" w:rsidRPr="004E3FE7">
        <w:rPr>
          <w:color w:val="000000" w:themeColor="text1"/>
          <w:lang w:val="en-US"/>
        </w:rPr>
        <w:t xml:space="preserve"> a construction </w:t>
      </w:r>
      <w:r w:rsidRPr="004E3FE7">
        <w:rPr>
          <w:color w:val="000000" w:themeColor="text1"/>
          <w:lang w:val="en-US"/>
        </w:rPr>
        <w:t>has to wholly undermine the statutory scheme;</w:t>
      </w:r>
    </w:p>
    <w:p w14:paraId="3C4BDF23" w14:textId="0697EE31" w:rsidR="006E0A83" w:rsidRPr="004E3FE7" w:rsidRDefault="006E0A83" w:rsidP="004C50DD">
      <w:pPr>
        <w:pStyle w:val="BodyText"/>
        <w:numPr>
          <w:ilvl w:val="1"/>
          <w:numId w:val="4"/>
        </w:numPr>
        <w:rPr>
          <w:color w:val="000000" w:themeColor="text1"/>
          <w:lang w:val="en-US"/>
        </w:rPr>
      </w:pPr>
      <w:r w:rsidRPr="004E3FE7">
        <w:rPr>
          <w:color w:val="000000" w:themeColor="text1"/>
          <w:lang w:val="en-US"/>
        </w:rPr>
        <w:t xml:space="preserve">Statutory provisions are presumed not to be otiose or redundant. Bennion, </w:t>
      </w:r>
      <w:r w:rsidR="000A4D5E">
        <w:rPr>
          <w:color w:val="000000" w:themeColor="text1"/>
          <w:lang w:val="en-US"/>
        </w:rPr>
        <w:t xml:space="preserve">paragraph </w:t>
      </w:r>
      <w:proofErr w:type="gramStart"/>
      <w:r w:rsidRPr="004E3FE7">
        <w:rPr>
          <w:color w:val="000000" w:themeColor="text1"/>
          <w:lang w:val="en-US"/>
        </w:rPr>
        <w:t>1.53;</w:t>
      </w:r>
      <w:proofErr w:type="gramEnd"/>
    </w:p>
    <w:p w14:paraId="45BC133D" w14:textId="77777777" w:rsidR="006E0A83" w:rsidRPr="00F818AF" w:rsidRDefault="006E0A83" w:rsidP="006E0A83">
      <w:pPr>
        <w:pStyle w:val="BodyText"/>
        <w:numPr>
          <w:ilvl w:val="1"/>
          <w:numId w:val="4"/>
        </w:numPr>
        <w:rPr>
          <w:color w:val="000000" w:themeColor="text1"/>
          <w:lang w:val="en-US"/>
        </w:rPr>
      </w:pPr>
      <w:r w:rsidRPr="00F818AF">
        <w:rPr>
          <w:color w:val="000000" w:themeColor="text1"/>
          <w:lang w:val="en-US"/>
        </w:rPr>
        <w:lastRenderedPageBreak/>
        <w:t>Where Parliament or delegated legislation has used broad terms, these will generally be construed broadly. General words are to be understood generally. Bennion §</w:t>
      </w:r>
      <w:proofErr w:type="gramStart"/>
      <w:r w:rsidRPr="00F818AF">
        <w:rPr>
          <w:color w:val="000000" w:themeColor="text1"/>
          <w:lang w:val="en-US"/>
        </w:rPr>
        <w:t>356</w:t>
      </w:r>
      <w:r>
        <w:rPr>
          <w:color w:val="000000" w:themeColor="text1"/>
          <w:lang w:val="en-US"/>
        </w:rPr>
        <w:t>;</w:t>
      </w:r>
      <w:proofErr w:type="gramEnd"/>
    </w:p>
    <w:p w14:paraId="5B3AD69D" w14:textId="77777777" w:rsidR="006E0A83" w:rsidRPr="00F818AF" w:rsidRDefault="006E0A83" w:rsidP="006E0A83">
      <w:pPr>
        <w:pStyle w:val="BodyText"/>
        <w:numPr>
          <w:ilvl w:val="1"/>
          <w:numId w:val="4"/>
        </w:numPr>
        <w:rPr>
          <w:color w:val="000000" w:themeColor="text1"/>
          <w:lang w:val="en-US"/>
        </w:rPr>
      </w:pPr>
      <w:r w:rsidRPr="00F818AF">
        <w:rPr>
          <w:color w:val="000000" w:themeColor="text1"/>
          <w:lang w:val="en-US"/>
        </w:rPr>
        <w:t xml:space="preserve">The Crown is not bound by a statutory provision except by express words or necessary implication. </w:t>
      </w:r>
      <w:r w:rsidRPr="00714C22">
        <w:rPr>
          <w:i/>
          <w:iCs/>
          <w:color w:val="000000" w:themeColor="text1"/>
          <w:lang w:val="en-US"/>
        </w:rPr>
        <w:t>R (Black) v Secretary of State for Justice</w:t>
      </w:r>
      <w:r w:rsidRPr="00F818AF">
        <w:rPr>
          <w:color w:val="000000" w:themeColor="text1"/>
          <w:lang w:val="en-US"/>
        </w:rPr>
        <w:t xml:space="preserve"> [2018] AC 215, [36] (Baroness Hale, PSC</w:t>
      </w:r>
      <w:proofErr w:type="gramStart"/>
      <w:r w:rsidRPr="00F818AF">
        <w:rPr>
          <w:color w:val="000000" w:themeColor="text1"/>
          <w:lang w:val="en-US"/>
        </w:rPr>
        <w:t>)</w:t>
      </w:r>
      <w:r>
        <w:rPr>
          <w:color w:val="000000" w:themeColor="text1"/>
          <w:lang w:val="en-US"/>
        </w:rPr>
        <w:t>;</w:t>
      </w:r>
      <w:proofErr w:type="gramEnd"/>
    </w:p>
    <w:p w14:paraId="7B481B80" w14:textId="2C38A587" w:rsidR="006E0A83" w:rsidRPr="00F818AF" w:rsidRDefault="006E0A83" w:rsidP="00E812DD">
      <w:pPr>
        <w:pStyle w:val="BodyText"/>
        <w:numPr>
          <w:ilvl w:val="1"/>
          <w:numId w:val="4"/>
        </w:numPr>
        <w:rPr>
          <w:color w:val="000000" w:themeColor="text1"/>
          <w:lang w:val="en-US"/>
        </w:rPr>
      </w:pPr>
      <w:r w:rsidRPr="00F818AF">
        <w:rPr>
          <w:color w:val="000000" w:themeColor="text1"/>
          <w:lang w:val="en-US"/>
        </w:rPr>
        <w:t xml:space="preserve">The English approach to statutory construction places more weight on language, in contrast to the European approach which places greater emphasis on purpose. </w:t>
      </w:r>
      <w:r w:rsidRPr="00714C22">
        <w:rPr>
          <w:i/>
          <w:iCs/>
          <w:color w:val="000000" w:themeColor="text1"/>
          <w:lang w:val="en-US"/>
        </w:rPr>
        <w:t>Ministry of Defence and Support for Armed Forces of the Islamic Republic of Iran v International Military Services Limited</w:t>
      </w:r>
      <w:r w:rsidRPr="00F818AF">
        <w:rPr>
          <w:color w:val="000000" w:themeColor="text1"/>
          <w:lang w:val="en-US"/>
        </w:rPr>
        <w:t xml:space="preserve"> [2019] EWHC 1994, [2019] 1 WLR 6409 at [37]; </w:t>
      </w:r>
      <w:r w:rsidRPr="00E812DD">
        <w:rPr>
          <w:i/>
          <w:iCs/>
          <w:color w:val="000000" w:themeColor="text1"/>
          <w:lang w:val="en-US"/>
        </w:rPr>
        <w:t>R (Certain Underwriters of Lloyd’s London)</w:t>
      </w:r>
      <w:r w:rsidR="00036709">
        <w:rPr>
          <w:color w:val="000000" w:themeColor="text1"/>
          <w:lang w:val="en-US"/>
        </w:rPr>
        <w:t xml:space="preserve"> [2021] 1 WLR 387 </w:t>
      </w:r>
      <w:r w:rsidRPr="00F818AF">
        <w:rPr>
          <w:color w:val="000000" w:themeColor="text1"/>
          <w:lang w:val="en-US"/>
        </w:rPr>
        <w:t xml:space="preserve">at [34]. </w:t>
      </w:r>
    </w:p>
    <w:p w14:paraId="1853EEDF" w14:textId="7FD3D8D3" w:rsidR="006E0A83" w:rsidRDefault="006E0A83" w:rsidP="006E0A83">
      <w:pPr>
        <w:pStyle w:val="BodyText"/>
        <w:rPr>
          <w:color w:val="000000" w:themeColor="text1"/>
          <w:lang w:val="en-US"/>
        </w:rPr>
      </w:pPr>
      <w:r>
        <w:rPr>
          <w:color w:val="000000" w:themeColor="text1"/>
          <w:lang w:val="en-US"/>
        </w:rPr>
        <w:t>There is also some</w:t>
      </w:r>
      <w:r w:rsidR="001A1C6E">
        <w:rPr>
          <w:color w:val="000000" w:themeColor="text1"/>
          <w:lang w:val="en-US"/>
        </w:rPr>
        <w:t xml:space="preserve"> </w:t>
      </w:r>
      <w:r w:rsidR="00AC435A">
        <w:rPr>
          <w:color w:val="000000" w:themeColor="text1"/>
          <w:lang w:val="en-US"/>
        </w:rPr>
        <w:t>uncontentious</w:t>
      </w:r>
      <w:r>
        <w:rPr>
          <w:color w:val="000000" w:themeColor="text1"/>
          <w:lang w:val="en-US"/>
        </w:rPr>
        <w:t xml:space="preserve"> relevant law on the subject of the test of “reasonable cause to suspect”:</w:t>
      </w:r>
    </w:p>
    <w:p w14:paraId="66FF8DBE" w14:textId="77777777" w:rsidR="006E0A83" w:rsidRPr="00C0711E" w:rsidRDefault="006E0A83" w:rsidP="006E0A83">
      <w:pPr>
        <w:pStyle w:val="BodyText"/>
        <w:numPr>
          <w:ilvl w:val="1"/>
          <w:numId w:val="4"/>
        </w:numPr>
        <w:rPr>
          <w:color w:val="000000" w:themeColor="text1"/>
          <w:lang w:val="en-US"/>
        </w:rPr>
      </w:pPr>
      <w:r w:rsidRPr="00C0711E">
        <w:rPr>
          <w:color w:val="000000" w:themeColor="text1"/>
          <w:lang w:val="en-US"/>
        </w:rPr>
        <w:t xml:space="preserve">The test imports an objective element requiring an evidential foundation. </w:t>
      </w:r>
      <w:r w:rsidRPr="00C0711E">
        <w:rPr>
          <w:i/>
          <w:iCs/>
          <w:color w:val="000000" w:themeColor="text1"/>
          <w:lang w:val="en-US"/>
        </w:rPr>
        <w:t>R v Lane and Letts</w:t>
      </w:r>
      <w:r w:rsidRPr="00C0711E">
        <w:rPr>
          <w:color w:val="000000" w:themeColor="text1"/>
          <w:lang w:val="en-US"/>
        </w:rPr>
        <w:t xml:space="preserve"> [2018] UKSC 36 at [22] and [24], identifying the objective nature of the standard in the context of the terrorist financing offence in s.17 of the Terrorism Act </w:t>
      </w:r>
      <w:proofErr w:type="gramStart"/>
      <w:r w:rsidRPr="00C0711E">
        <w:rPr>
          <w:color w:val="000000" w:themeColor="text1"/>
          <w:lang w:val="en-US"/>
        </w:rPr>
        <w:t>2000</w:t>
      </w:r>
      <w:r>
        <w:rPr>
          <w:color w:val="000000" w:themeColor="text1"/>
          <w:lang w:val="en-US"/>
        </w:rPr>
        <w:t>;</w:t>
      </w:r>
      <w:proofErr w:type="gramEnd"/>
    </w:p>
    <w:p w14:paraId="74ED9CB8" w14:textId="350E782E" w:rsidR="006E0A83" w:rsidRPr="00C0711E" w:rsidRDefault="006E0A83" w:rsidP="006E0A83">
      <w:pPr>
        <w:pStyle w:val="BodyText"/>
        <w:numPr>
          <w:ilvl w:val="1"/>
          <w:numId w:val="4"/>
        </w:numPr>
        <w:rPr>
          <w:color w:val="000000" w:themeColor="text1"/>
          <w:lang w:val="en-US"/>
        </w:rPr>
      </w:pPr>
      <w:r w:rsidRPr="00C0711E">
        <w:rPr>
          <w:color w:val="000000" w:themeColor="text1"/>
          <w:lang w:val="en-US"/>
        </w:rPr>
        <w:t xml:space="preserve">It must be fact-based and genuinely reasonable. </w:t>
      </w:r>
      <w:r w:rsidRPr="00C0711E">
        <w:rPr>
          <w:i/>
          <w:iCs/>
          <w:color w:val="000000" w:themeColor="text1"/>
          <w:lang w:val="en-US"/>
        </w:rPr>
        <w:t>R (Ahmed) v HM Treasury</w:t>
      </w:r>
      <w:r w:rsidRPr="00C0711E">
        <w:rPr>
          <w:color w:val="000000" w:themeColor="text1"/>
          <w:lang w:val="en-US"/>
        </w:rPr>
        <w:t xml:space="preserve"> [2009] 3 WLR 25, [135] (Sedley LJ</w:t>
      </w:r>
      <w:proofErr w:type="gramStart"/>
      <w:r w:rsidRPr="00C0711E">
        <w:rPr>
          <w:color w:val="000000" w:themeColor="text1"/>
          <w:lang w:val="en-US"/>
        </w:rPr>
        <w:t>)</w:t>
      </w:r>
      <w:r>
        <w:rPr>
          <w:color w:val="000000" w:themeColor="text1"/>
          <w:lang w:val="en-US"/>
        </w:rPr>
        <w:t>;</w:t>
      </w:r>
      <w:proofErr w:type="gramEnd"/>
    </w:p>
    <w:p w14:paraId="5AA231DB" w14:textId="5F16A3BC" w:rsidR="006E0A83" w:rsidRPr="00C0711E" w:rsidRDefault="006E0A83" w:rsidP="006E0A83">
      <w:pPr>
        <w:pStyle w:val="BodyText"/>
        <w:numPr>
          <w:ilvl w:val="1"/>
          <w:numId w:val="4"/>
        </w:numPr>
        <w:rPr>
          <w:color w:val="000000" w:themeColor="text1"/>
          <w:lang w:val="en-US"/>
        </w:rPr>
      </w:pPr>
      <w:r w:rsidRPr="00C0711E">
        <w:rPr>
          <w:color w:val="000000" w:themeColor="text1"/>
          <w:lang w:val="en-US"/>
        </w:rPr>
        <w:t>It requires that on the available information, a reasonable person would, not might or could, suspect that in e.g., a Regulation 11 case, a person whose funds or economic resources are dealt with is a designated person within the meaning of the Regulations</w:t>
      </w:r>
      <w:r w:rsidRPr="00C0711E">
        <w:rPr>
          <w:i/>
          <w:iCs/>
          <w:color w:val="000000" w:themeColor="text1"/>
          <w:lang w:val="en-US"/>
        </w:rPr>
        <w:t>.  R v Lane and Letts</w:t>
      </w:r>
      <w:r w:rsidRPr="00C0711E">
        <w:rPr>
          <w:color w:val="000000" w:themeColor="text1"/>
          <w:lang w:val="en-US"/>
        </w:rPr>
        <w:t xml:space="preserve"> [24]; </w:t>
      </w:r>
      <w:r w:rsidRPr="00C0711E">
        <w:rPr>
          <w:i/>
          <w:iCs/>
          <w:color w:val="000000" w:themeColor="text1"/>
          <w:lang w:val="en-US"/>
        </w:rPr>
        <w:t>R (Ahmed) v HM Treasury</w:t>
      </w:r>
      <w:r w:rsidRPr="00C0711E">
        <w:rPr>
          <w:color w:val="000000" w:themeColor="text1"/>
          <w:lang w:val="en-US"/>
        </w:rPr>
        <w:t xml:space="preserve"> [136] </w:t>
      </w:r>
      <w:r w:rsidR="009A33D2">
        <w:rPr>
          <w:color w:val="000000" w:themeColor="text1"/>
          <w:lang w:val="en-US"/>
        </w:rPr>
        <w:t xml:space="preserve">where </w:t>
      </w:r>
      <w:r w:rsidRPr="00C0711E">
        <w:rPr>
          <w:color w:val="000000" w:themeColor="text1"/>
          <w:lang w:val="en-US"/>
        </w:rPr>
        <w:t>Sedley LJ described the ‘may be’ test as “</w:t>
      </w:r>
      <w:r w:rsidRPr="00C0711E">
        <w:rPr>
          <w:i/>
          <w:iCs/>
          <w:color w:val="000000" w:themeColor="text1"/>
          <w:lang w:val="en-US"/>
        </w:rPr>
        <w:t>on any rational view, a bridge too far</w:t>
      </w:r>
      <w:proofErr w:type="gramStart"/>
      <w:r w:rsidRPr="00C0711E">
        <w:rPr>
          <w:color w:val="000000" w:themeColor="text1"/>
          <w:lang w:val="en-US"/>
        </w:rPr>
        <w:t>”</w:t>
      </w:r>
      <w:r>
        <w:rPr>
          <w:color w:val="000000" w:themeColor="text1"/>
          <w:lang w:val="en-US"/>
        </w:rPr>
        <w:t>;</w:t>
      </w:r>
      <w:proofErr w:type="gramEnd"/>
      <w:r w:rsidRPr="00C0711E">
        <w:rPr>
          <w:color w:val="000000" w:themeColor="text1"/>
          <w:lang w:val="en-US"/>
        </w:rPr>
        <w:t xml:space="preserve">  </w:t>
      </w:r>
    </w:p>
    <w:p w14:paraId="1B5F97DF" w14:textId="77777777" w:rsidR="006E0A83" w:rsidRPr="00C0711E" w:rsidRDefault="006E0A83" w:rsidP="006E0A83">
      <w:pPr>
        <w:pStyle w:val="BodyText"/>
        <w:numPr>
          <w:ilvl w:val="1"/>
          <w:numId w:val="4"/>
        </w:numPr>
        <w:rPr>
          <w:color w:val="000000" w:themeColor="text1"/>
          <w:lang w:val="en-US"/>
        </w:rPr>
      </w:pPr>
      <w:r w:rsidRPr="00C0711E">
        <w:rPr>
          <w:color w:val="000000" w:themeColor="text1"/>
          <w:lang w:val="en-US"/>
        </w:rPr>
        <w:t xml:space="preserve">The question whether there are reasonable grounds to suspect must be considered in the round, in a fair-minded review which takes into account all relevant information including undermining material and initial suspicions may be dispelled by information or evidence which undermines what might otherwise be reasonable grounds. </w:t>
      </w:r>
      <w:r w:rsidRPr="00C0711E">
        <w:rPr>
          <w:i/>
          <w:iCs/>
          <w:color w:val="000000" w:themeColor="text1"/>
          <w:lang w:val="en-US"/>
        </w:rPr>
        <w:t xml:space="preserve">National Crime Agency v Baker &amp; </w:t>
      </w:r>
      <w:proofErr w:type="spellStart"/>
      <w:r w:rsidRPr="00C0711E">
        <w:rPr>
          <w:i/>
          <w:iCs/>
          <w:color w:val="000000" w:themeColor="text1"/>
          <w:lang w:val="en-US"/>
        </w:rPr>
        <w:t>Ors</w:t>
      </w:r>
      <w:proofErr w:type="spellEnd"/>
      <w:r w:rsidRPr="00C0711E">
        <w:rPr>
          <w:color w:val="000000" w:themeColor="text1"/>
          <w:lang w:val="en-US"/>
        </w:rPr>
        <w:t xml:space="preserve"> [2020] EWHC 822 (Admin) (Lang J</w:t>
      </w:r>
      <w:proofErr w:type="gramStart"/>
      <w:r w:rsidRPr="00C0711E">
        <w:rPr>
          <w:color w:val="000000" w:themeColor="text1"/>
          <w:lang w:val="en-US"/>
        </w:rPr>
        <w:t>)</w:t>
      </w:r>
      <w:r>
        <w:rPr>
          <w:color w:val="000000" w:themeColor="text1"/>
          <w:lang w:val="en-US"/>
        </w:rPr>
        <w:t>;</w:t>
      </w:r>
      <w:proofErr w:type="gramEnd"/>
      <w:r w:rsidRPr="00C0711E">
        <w:rPr>
          <w:color w:val="000000" w:themeColor="text1"/>
          <w:lang w:val="en-US"/>
        </w:rPr>
        <w:t xml:space="preserve"> </w:t>
      </w:r>
    </w:p>
    <w:p w14:paraId="3D51FC69" w14:textId="0BCC3B76" w:rsidR="006E0A83" w:rsidRPr="00C0711E" w:rsidRDefault="006E0A83" w:rsidP="006E0A83">
      <w:pPr>
        <w:pStyle w:val="BodyText"/>
        <w:numPr>
          <w:ilvl w:val="1"/>
          <w:numId w:val="4"/>
        </w:numPr>
        <w:rPr>
          <w:color w:val="000000" w:themeColor="text1"/>
          <w:lang w:val="en-US"/>
        </w:rPr>
      </w:pPr>
      <w:r w:rsidRPr="00C0711E">
        <w:rPr>
          <w:color w:val="000000" w:themeColor="text1"/>
          <w:lang w:val="en-US"/>
        </w:rPr>
        <w:t xml:space="preserve">It is necessary to guard against making unreliable assumptions and to exercise caution in treating complexity of corporate structures as grounds for suspicion. </w:t>
      </w:r>
      <w:r w:rsidRPr="00C0711E">
        <w:rPr>
          <w:i/>
          <w:iCs/>
          <w:color w:val="000000" w:themeColor="text1"/>
          <w:lang w:val="en-US"/>
        </w:rPr>
        <w:t>NCA v Baker</w:t>
      </w:r>
      <w:r w:rsidRPr="00C0711E">
        <w:rPr>
          <w:color w:val="000000" w:themeColor="text1"/>
          <w:lang w:val="en-US"/>
        </w:rPr>
        <w:t xml:space="preserve"> [95]-[100</w:t>
      </w:r>
      <w:proofErr w:type="gramStart"/>
      <w:r w:rsidRPr="00C0711E">
        <w:rPr>
          <w:color w:val="000000" w:themeColor="text1"/>
          <w:lang w:val="en-US"/>
        </w:rPr>
        <w:t>]</w:t>
      </w:r>
      <w:r>
        <w:rPr>
          <w:color w:val="000000" w:themeColor="text1"/>
          <w:lang w:val="en-US"/>
        </w:rPr>
        <w:t>;</w:t>
      </w:r>
      <w:proofErr w:type="gramEnd"/>
    </w:p>
    <w:p w14:paraId="0D4D1D0B" w14:textId="38404544" w:rsidR="006E0A83" w:rsidRDefault="006E0A83" w:rsidP="006E0A83">
      <w:pPr>
        <w:pStyle w:val="BodyText"/>
        <w:numPr>
          <w:ilvl w:val="1"/>
          <w:numId w:val="4"/>
        </w:numPr>
        <w:rPr>
          <w:color w:val="000000" w:themeColor="text1"/>
          <w:lang w:val="en-US"/>
        </w:rPr>
      </w:pPr>
      <w:r w:rsidRPr="00C0711E">
        <w:rPr>
          <w:color w:val="000000" w:themeColor="text1"/>
          <w:lang w:val="en-US"/>
        </w:rPr>
        <w:t xml:space="preserve">The accuracy and credibility of the sources of evidence relied upon should be evaluated and verified, although such evidence is not limited to that which would be admissible in court. </w:t>
      </w:r>
      <w:r w:rsidR="009A33D2" w:rsidRPr="009A33D2">
        <w:rPr>
          <w:i/>
          <w:iCs/>
          <w:color w:val="000000" w:themeColor="text1"/>
          <w:lang w:val="en-US"/>
        </w:rPr>
        <w:t>LLC Synesis v Secretary of State for Foreign, Commonwealth and Development Affairs</w:t>
      </w:r>
      <w:r w:rsidR="009A33D2" w:rsidRPr="009A33D2">
        <w:rPr>
          <w:color w:val="000000" w:themeColor="text1"/>
          <w:lang w:val="en-US"/>
        </w:rPr>
        <w:t xml:space="preserve"> [2023] EWHC 541 (Admin) (Jay J)</w:t>
      </w:r>
      <w:r w:rsidR="009A33D2">
        <w:rPr>
          <w:color w:val="000000" w:themeColor="text1"/>
          <w:lang w:val="en-US"/>
        </w:rPr>
        <w:t xml:space="preserve"> </w:t>
      </w:r>
      <w:r w:rsidRPr="00C0711E">
        <w:rPr>
          <w:color w:val="000000" w:themeColor="text1"/>
          <w:lang w:val="en-US"/>
        </w:rPr>
        <w:t>at [73] “</w:t>
      </w:r>
      <w:r w:rsidRPr="00C0711E">
        <w:rPr>
          <w:i/>
          <w:iCs/>
          <w:color w:val="000000" w:themeColor="text1"/>
          <w:lang w:val="en-US"/>
        </w:rPr>
        <w:t>the Court will normally expect that at least some recognition has been given to its inherent quality</w:t>
      </w:r>
      <w:proofErr w:type="gramStart"/>
      <w:r w:rsidRPr="00C0711E">
        <w:rPr>
          <w:color w:val="000000" w:themeColor="text1"/>
          <w:lang w:val="en-US"/>
        </w:rPr>
        <w:t>”</w:t>
      </w:r>
      <w:r>
        <w:rPr>
          <w:color w:val="000000" w:themeColor="text1"/>
          <w:lang w:val="en-US"/>
        </w:rPr>
        <w:t>;</w:t>
      </w:r>
      <w:proofErr w:type="gramEnd"/>
      <w:r w:rsidRPr="00C0711E">
        <w:rPr>
          <w:color w:val="000000" w:themeColor="text1"/>
          <w:lang w:val="en-US"/>
        </w:rPr>
        <w:t xml:space="preserve"> </w:t>
      </w:r>
    </w:p>
    <w:p w14:paraId="7CC74D82" w14:textId="04F56440" w:rsidR="00CB6EDF" w:rsidRPr="00C0711E" w:rsidRDefault="00CB6EDF" w:rsidP="006E0A83">
      <w:pPr>
        <w:pStyle w:val="BodyText"/>
        <w:numPr>
          <w:ilvl w:val="1"/>
          <w:numId w:val="4"/>
        </w:numPr>
        <w:rPr>
          <w:color w:val="000000" w:themeColor="text1"/>
          <w:lang w:val="en-US"/>
        </w:rPr>
      </w:pPr>
      <w:r w:rsidRPr="00195E7B">
        <w:rPr>
          <w:i/>
          <w:iCs/>
          <w:color w:val="000000" w:themeColor="text1"/>
          <w:lang w:val="en-US"/>
        </w:rPr>
        <w:lastRenderedPageBreak/>
        <w:t>R (Rawlinson &amp; Hunter Trustees) v Central Criminal Court; R (</w:t>
      </w:r>
      <w:proofErr w:type="spellStart"/>
      <w:r w:rsidRPr="00195E7B">
        <w:rPr>
          <w:i/>
          <w:iCs/>
          <w:color w:val="000000" w:themeColor="text1"/>
          <w:lang w:val="en-US"/>
        </w:rPr>
        <w:t>Tchenguiz</w:t>
      </w:r>
      <w:proofErr w:type="spellEnd"/>
      <w:r w:rsidRPr="00195E7B">
        <w:rPr>
          <w:i/>
          <w:iCs/>
          <w:color w:val="000000" w:themeColor="text1"/>
          <w:lang w:val="en-US"/>
        </w:rPr>
        <w:t xml:space="preserve"> &amp; Or) v Director of the Serious Fraud Office</w:t>
      </w:r>
      <w:r w:rsidRPr="00195E7B">
        <w:rPr>
          <w:color w:val="000000" w:themeColor="text1"/>
          <w:lang w:val="en-US"/>
        </w:rPr>
        <w:t xml:space="preserve"> [2013] 1 WLR 1634, [89]: whether a statutory test of reasonable suspicion is met must be carefully considered and the applicant’s presentation subject to rigorous and critical analysis.</w:t>
      </w:r>
    </w:p>
    <w:p w14:paraId="1257FAF4" w14:textId="55116E67" w:rsidR="006E0A83" w:rsidRPr="00041701" w:rsidRDefault="006E0A83" w:rsidP="00041701">
      <w:pPr>
        <w:pStyle w:val="BodyText"/>
        <w:numPr>
          <w:ilvl w:val="1"/>
          <w:numId w:val="4"/>
        </w:numPr>
        <w:rPr>
          <w:color w:val="000000" w:themeColor="text1"/>
          <w:lang w:val="en-US"/>
        </w:rPr>
      </w:pPr>
      <w:r w:rsidRPr="00C0711E">
        <w:rPr>
          <w:color w:val="000000" w:themeColor="text1"/>
          <w:lang w:val="en-US"/>
        </w:rPr>
        <w:t xml:space="preserve">Speculation as to continued control by a DP over a non-designated entity does not establish a triable case of such continuing control. </w:t>
      </w:r>
      <w:proofErr w:type="spellStart"/>
      <w:r w:rsidRPr="009A33D2">
        <w:rPr>
          <w:i/>
          <w:iCs/>
          <w:color w:val="000000" w:themeColor="text1"/>
          <w:lang w:val="en-US"/>
        </w:rPr>
        <w:t>Litasco</w:t>
      </w:r>
      <w:proofErr w:type="spellEnd"/>
      <w:r w:rsidR="00540379">
        <w:rPr>
          <w:i/>
          <w:iCs/>
          <w:color w:val="000000" w:themeColor="text1"/>
          <w:lang w:val="en-US"/>
        </w:rPr>
        <w:t xml:space="preserve"> SA v Der Mond Oil and Gas </w:t>
      </w:r>
      <w:r w:rsidR="00540379" w:rsidRPr="00BB6CED">
        <w:rPr>
          <w:color w:val="000000" w:themeColor="text1"/>
          <w:lang w:val="en-US"/>
        </w:rPr>
        <w:t>[2023] EWHC 2866 (</w:t>
      </w:r>
      <w:r w:rsidR="00BB6CED" w:rsidRPr="00BB6CED">
        <w:rPr>
          <w:color w:val="000000" w:themeColor="text1"/>
          <w:lang w:val="en-US"/>
        </w:rPr>
        <w:t>Comm)</w:t>
      </w:r>
      <w:r w:rsidRPr="00C0711E">
        <w:rPr>
          <w:color w:val="000000" w:themeColor="text1"/>
          <w:lang w:val="en-US"/>
        </w:rPr>
        <w:t xml:space="preserve"> [63]-[64]</w:t>
      </w:r>
      <w:r w:rsidR="00041701">
        <w:rPr>
          <w:color w:val="000000" w:themeColor="text1"/>
          <w:lang w:val="en-US"/>
        </w:rPr>
        <w:t>.</w:t>
      </w:r>
      <w:r w:rsidRPr="00041701">
        <w:rPr>
          <w:color w:val="000000" w:themeColor="text1"/>
          <w:lang w:val="en-US"/>
        </w:rPr>
        <w:t xml:space="preserve"> </w:t>
      </w:r>
    </w:p>
    <w:p w14:paraId="04FC87E2" w14:textId="5F69A3C8" w:rsidR="00E84363" w:rsidRPr="00E84363" w:rsidRDefault="00402DEF" w:rsidP="006E0A83">
      <w:pPr>
        <w:pStyle w:val="Heading1"/>
        <w:spacing w:before="480"/>
        <w:rPr>
          <w:lang w:val="en-US"/>
        </w:rPr>
      </w:pPr>
      <w:r>
        <w:rPr>
          <w:lang w:val="en-US"/>
        </w:rPr>
        <w:t xml:space="preserve">Issue 1: </w:t>
      </w:r>
      <w:r w:rsidR="00E84363" w:rsidRPr="00E84363">
        <w:rPr>
          <w:lang w:val="en-US"/>
        </w:rPr>
        <w:t xml:space="preserve">The Issue of </w:t>
      </w:r>
      <w:r w:rsidR="00A9105E">
        <w:rPr>
          <w:lang w:val="en-US"/>
        </w:rPr>
        <w:t>C</w:t>
      </w:r>
      <w:r w:rsidR="00E84363" w:rsidRPr="00E84363">
        <w:rPr>
          <w:lang w:val="en-US"/>
        </w:rPr>
        <w:t>onstruction</w:t>
      </w:r>
    </w:p>
    <w:p w14:paraId="0C3172F6" w14:textId="6038AC78" w:rsidR="005710E7" w:rsidRPr="005710E7" w:rsidRDefault="00E84363" w:rsidP="005710E7">
      <w:pPr>
        <w:pStyle w:val="BodyText"/>
        <w:rPr>
          <w:lang w:val="en-US"/>
        </w:rPr>
      </w:pPr>
      <w:r w:rsidRPr="005710E7">
        <w:rPr>
          <w:lang w:val="en-US"/>
        </w:rPr>
        <w:t xml:space="preserve">It was contended for </w:t>
      </w:r>
      <w:r w:rsidR="00055466">
        <w:rPr>
          <w:lang w:val="en-US"/>
        </w:rPr>
        <w:t>Mr Bedzhamov</w:t>
      </w:r>
      <w:r w:rsidRPr="005710E7">
        <w:rPr>
          <w:lang w:val="en-US"/>
        </w:rPr>
        <w:t xml:space="preserve"> that </w:t>
      </w:r>
      <w:r w:rsidR="00CA6FF4" w:rsidRPr="005710E7">
        <w:rPr>
          <w:lang w:val="en-US"/>
        </w:rPr>
        <w:t>Regulations 11, 12 and 14 clearly prohibit a person (“P”) from: (a) dealing with funds or economic resources, owned, held or controlled by a DP if P knows, or has reasonable cause to suspect, that P is dealing with such funds or economic resources; (b) making funds or economic resources available directly or indirectly to a DP, if P knows, or has reasonable cause to suspect that P is making such funds or economic resources available</w:t>
      </w:r>
      <w:r w:rsidR="002B505B" w:rsidRPr="005710E7">
        <w:rPr>
          <w:lang w:val="en-US"/>
        </w:rPr>
        <w:t>. It was contended that</w:t>
      </w:r>
      <w:r w:rsidR="005710E7" w:rsidRPr="005710E7">
        <w:rPr>
          <w:lang w:val="en-US"/>
        </w:rPr>
        <w:t xml:space="preserve"> </w:t>
      </w:r>
      <w:r w:rsidR="002E459C" w:rsidRPr="005710E7">
        <w:rPr>
          <w:lang w:val="en-US"/>
        </w:rPr>
        <w:t>the legislative text is clear</w:t>
      </w:r>
      <w:r w:rsidR="00321A97">
        <w:rPr>
          <w:lang w:val="en-US"/>
        </w:rPr>
        <w:t xml:space="preserve">, that </w:t>
      </w:r>
      <w:r w:rsidR="004D46F7">
        <w:rPr>
          <w:lang w:val="en-US"/>
        </w:rPr>
        <w:t>the reasonable cause approach is supported by the primary purpose of the regulations (to freeze assets)</w:t>
      </w:r>
      <w:r w:rsidR="005710E7">
        <w:rPr>
          <w:lang w:val="en-US"/>
        </w:rPr>
        <w:t xml:space="preserve"> and that this</w:t>
      </w:r>
      <w:r w:rsidR="005710E7" w:rsidRPr="005710E7">
        <w:rPr>
          <w:color w:val="000000" w:themeColor="text1"/>
          <w:lang w:val="en-US"/>
        </w:rPr>
        <w:t xml:space="preserve"> interpretation of the Regulations is supported by: </w:t>
      </w:r>
    </w:p>
    <w:p w14:paraId="7326D4D6" w14:textId="531F36DD" w:rsidR="002E459C" w:rsidRPr="00222FA7" w:rsidRDefault="005F216D" w:rsidP="005710E7">
      <w:pPr>
        <w:pStyle w:val="BodyText"/>
        <w:numPr>
          <w:ilvl w:val="1"/>
          <w:numId w:val="4"/>
        </w:numPr>
        <w:rPr>
          <w:lang w:val="en-US"/>
        </w:rPr>
      </w:pPr>
      <w:r>
        <w:rPr>
          <w:color w:val="000000" w:themeColor="text1"/>
          <w:lang w:val="en-US"/>
        </w:rPr>
        <w:t>T</w:t>
      </w:r>
      <w:r w:rsidR="005710E7" w:rsidRPr="005710E7">
        <w:rPr>
          <w:color w:val="000000" w:themeColor="text1"/>
          <w:lang w:val="en-US"/>
        </w:rPr>
        <w:t xml:space="preserve">he OFSI Guidance at </w:t>
      </w:r>
      <w:proofErr w:type="gramStart"/>
      <w:r w:rsidR="005710E7" w:rsidRPr="005710E7">
        <w:rPr>
          <w:color w:val="000000" w:themeColor="text1"/>
          <w:lang w:val="en-US"/>
        </w:rPr>
        <w:t>3.1.2</w:t>
      </w:r>
      <w:r w:rsidR="00222FA7">
        <w:rPr>
          <w:color w:val="000000" w:themeColor="text1"/>
          <w:lang w:val="en-US"/>
        </w:rPr>
        <w:t>;</w:t>
      </w:r>
      <w:proofErr w:type="gramEnd"/>
    </w:p>
    <w:p w14:paraId="4B695CE1" w14:textId="77777777" w:rsidR="00222FA7" w:rsidRPr="00222FA7" w:rsidRDefault="00222FA7" w:rsidP="00222FA7">
      <w:pPr>
        <w:pStyle w:val="BodyText"/>
        <w:numPr>
          <w:ilvl w:val="1"/>
          <w:numId w:val="4"/>
        </w:numPr>
        <w:rPr>
          <w:lang w:val="en-US"/>
        </w:rPr>
      </w:pPr>
      <w:r w:rsidRPr="00222FA7">
        <w:rPr>
          <w:lang w:val="en-US"/>
        </w:rPr>
        <w:t>The White Paper on the United Kingdom’s future legal framework for imposing and implementing sanctions (April 2017) (at p.24):</w:t>
      </w:r>
    </w:p>
    <w:p w14:paraId="241CF783" w14:textId="77777777" w:rsidR="00222FA7" w:rsidRPr="00222FA7" w:rsidRDefault="00222FA7" w:rsidP="00402DEF">
      <w:pPr>
        <w:pStyle w:val="Quote"/>
        <w:rPr>
          <w:lang w:val="en-US"/>
        </w:rPr>
      </w:pPr>
      <w:r w:rsidRPr="00222FA7">
        <w:rPr>
          <w:lang w:val="en-US"/>
        </w:rPr>
        <w:t xml:space="preserve">“Businesses have a responsibility to freeze accounts and other financial products if they know or have reasonable cause to suspect that they are in possession or control of funds or economic resources of a sanctioned person.”   </w:t>
      </w:r>
    </w:p>
    <w:p w14:paraId="065012EB" w14:textId="77777777" w:rsidR="00222FA7" w:rsidRPr="00222FA7" w:rsidRDefault="00222FA7" w:rsidP="00222FA7">
      <w:pPr>
        <w:pStyle w:val="BodyText"/>
        <w:numPr>
          <w:ilvl w:val="1"/>
          <w:numId w:val="4"/>
        </w:numPr>
        <w:rPr>
          <w:lang w:val="en-US"/>
        </w:rPr>
      </w:pPr>
      <w:r w:rsidRPr="00222FA7">
        <w:rPr>
          <w:lang w:val="en-US"/>
        </w:rPr>
        <w:t>OFSI’s Guidance on Enforcement and Monetary Policies:</w:t>
      </w:r>
    </w:p>
    <w:p w14:paraId="48F268EF" w14:textId="77777777" w:rsidR="00222FA7" w:rsidRPr="00222FA7" w:rsidRDefault="00222FA7" w:rsidP="00402DEF">
      <w:pPr>
        <w:pStyle w:val="Quote"/>
        <w:rPr>
          <w:lang w:val="en-US"/>
        </w:rPr>
      </w:pPr>
      <w:r w:rsidRPr="00222FA7">
        <w:rPr>
          <w:lang w:val="en-US"/>
        </w:rPr>
        <w:t xml:space="preserve">“In the regulations the prohibitions will specify that a prohibition is breached where the person knew or had reasonable cause to suspect that they were in breach of the relevant prohibition.”        </w:t>
      </w:r>
    </w:p>
    <w:p w14:paraId="656181E4" w14:textId="58E616D8" w:rsidR="00222FA7" w:rsidRPr="005710E7" w:rsidRDefault="00222FA7" w:rsidP="00222FA7">
      <w:pPr>
        <w:pStyle w:val="BodyText"/>
        <w:numPr>
          <w:ilvl w:val="1"/>
          <w:numId w:val="4"/>
        </w:numPr>
        <w:rPr>
          <w:lang w:val="en-US"/>
        </w:rPr>
      </w:pPr>
      <w:r>
        <w:rPr>
          <w:lang w:val="en-US"/>
        </w:rPr>
        <w:t>Other</w:t>
      </w:r>
      <w:r w:rsidRPr="00222FA7">
        <w:rPr>
          <w:lang w:val="en-US"/>
        </w:rPr>
        <w:t xml:space="preserve"> materials including the FCA guidance dated 28.03.22 and the Law Society Guidance dated 12.12.23, itself referring to the OFSI Guidance</w:t>
      </w:r>
      <w:r>
        <w:rPr>
          <w:lang w:val="en-US"/>
        </w:rPr>
        <w:t>.</w:t>
      </w:r>
    </w:p>
    <w:p w14:paraId="36C70505" w14:textId="0D999510" w:rsidR="00E63536" w:rsidRPr="00200A59" w:rsidRDefault="00E63536" w:rsidP="007C6768">
      <w:pPr>
        <w:pStyle w:val="BodyText"/>
        <w:rPr>
          <w:lang w:val="en-US"/>
        </w:rPr>
      </w:pPr>
      <w:r w:rsidRPr="00200A59">
        <w:rPr>
          <w:lang w:val="en-US"/>
        </w:rPr>
        <w:t xml:space="preserve">The net result in </w:t>
      </w:r>
      <w:r w:rsidR="00055466">
        <w:rPr>
          <w:lang w:val="en-US"/>
        </w:rPr>
        <w:t>Mr Bedzhamov</w:t>
      </w:r>
      <w:r w:rsidRPr="00200A59">
        <w:rPr>
          <w:lang w:val="en-US"/>
        </w:rPr>
        <w:t>’s submission was that</w:t>
      </w:r>
      <w:r w:rsidR="00A1644B" w:rsidRPr="00200A59">
        <w:rPr>
          <w:lang w:val="en-US"/>
        </w:rPr>
        <w:t xml:space="preserve"> any person who has </w:t>
      </w:r>
      <w:r w:rsidR="00A1644B" w:rsidRPr="007A55F3">
        <w:rPr>
          <w:i/>
          <w:iCs/>
          <w:lang w:val="en-US"/>
        </w:rPr>
        <w:t>prima facie</w:t>
      </w:r>
      <w:r w:rsidR="00A1644B" w:rsidRPr="00200A59">
        <w:rPr>
          <w:lang w:val="en-US"/>
        </w:rPr>
        <w:t xml:space="preserve"> reasonable cause to suspect must freeze the assets or</w:t>
      </w:r>
      <w:r w:rsidR="00241D13" w:rsidRPr="00200A59">
        <w:rPr>
          <w:lang w:val="en-US"/>
        </w:rPr>
        <w:t xml:space="preserve"> commit the offence unless it is possible to dispel the</w:t>
      </w:r>
      <w:r w:rsidR="000A6D4E" w:rsidRPr="00200A59">
        <w:rPr>
          <w:lang w:val="en-US"/>
        </w:rPr>
        <w:t xml:space="preserve"> suspicion. If it is not possible to dispel the suspicion </w:t>
      </w:r>
      <w:r w:rsidR="00200A59" w:rsidRPr="00402DEF">
        <w:rPr>
          <w:i/>
          <w:iCs/>
          <w:lang w:val="en-US"/>
        </w:rPr>
        <w:t>“</w:t>
      </w:r>
      <w:r w:rsidR="00200A59" w:rsidRPr="00402DEF">
        <w:rPr>
          <w:i/>
          <w:iCs/>
          <w:color w:val="000000" w:themeColor="text1"/>
          <w:lang w:val="en-US"/>
        </w:rPr>
        <w:t>you must put some kind of temporary freeze on until you either get satisfactory evidence or the matter goes before a court or arbitrator.”</w:t>
      </w:r>
      <w:r w:rsidR="00F162EA">
        <w:rPr>
          <w:color w:val="000000" w:themeColor="text1"/>
          <w:lang w:val="en-US"/>
        </w:rPr>
        <w:t xml:space="preserve"> It was said that to conclude otherwise would be </w:t>
      </w:r>
      <w:r w:rsidR="00CC046D">
        <w:rPr>
          <w:color w:val="000000" w:themeColor="text1"/>
          <w:lang w:val="en-US"/>
        </w:rPr>
        <w:t>to create a trap</w:t>
      </w:r>
      <w:r w:rsidR="00AA1AD7">
        <w:rPr>
          <w:color w:val="000000" w:themeColor="text1"/>
          <w:lang w:val="en-US"/>
        </w:rPr>
        <w:t xml:space="preserve"> because a person who has reasonable cause to suspect </w:t>
      </w:r>
      <w:r w:rsidR="000806E4">
        <w:rPr>
          <w:color w:val="000000" w:themeColor="text1"/>
          <w:lang w:val="en-US"/>
        </w:rPr>
        <w:t xml:space="preserve">A is controlled by a DP </w:t>
      </w:r>
      <w:r w:rsidR="00AA1AD7">
        <w:rPr>
          <w:color w:val="000000" w:themeColor="text1"/>
          <w:lang w:val="en-US"/>
        </w:rPr>
        <w:t xml:space="preserve">would not have a basis to refuse to deal with </w:t>
      </w:r>
      <w:r w:rsidR="000806E4">
        <w:rPr>
          <w:color w:val="000000" w:themeColor="text1"/>
          <w:lang w:val="en-US"/>
        </w:rPr>
        <w:t>A</w:t>
      </w:r>
      <w:r w:rsidR="00AA1AD7">
        <w:rPr>
          <w:color w:val="000000" w:themeColor="text1"/>
          <w:lang w:val="en-US"/>
        </w:rPr>
        <w:t>; but could later be found</w:t>
      </w:r>
      <w:r w:rsidR="00F36D25">
        <w:rPr>
          <w:color w:val="000000" w:themeColor="text1"/>
          <w:lang w:val="en-US"/>
        </w:rPr>
        <w:t xml:space="preserve"> to have committed a criminal offence if it were concluded that </w:t>
      </w:r>
      <w:r w:rsidR="000806E4">
        <w:rPr>
          <w:color w:val="000000" w:themeColor="text1"/>
          <w:lang w:val="en-US"/>
        </w:rPr>
        <w:t>A was in fact owned or controlled by a DP.</w:t>
      </w:r>
    </w:p>
    <w:p w14:paraId="780EA53A" w14:textId="0F593432" w:rsidR="00E84363" w:rsidRPr="00CA6FF4" w:rsidRDefault="00E84363" w:rsidP="00081F72">
      <w:pPr>
        <w:pStyle w:val="BodyText"/>
        <w:rPr>
          <w:color w:val="000000" w:themeColor="text1"/>
          <w:lang w:val="en-US"/>
        </w:rPr>
      </w:pPr>
      <w:r w:rsidRPr="00CA6FF4">
        <w:rPr>
          <w:color w:val="000000" w:themeColor="text1"/>
          <w:lang w:val="en-US"/>
        </w:rPr>
        <w:lastRenderedPageBreak/>
        <w:t xml:space="preserve">Although the argument was </w:t>
      </w:r>
      <w:proofErr w:type="spellStart"/>
      <w:r w:rsidR="007A55F3" w:rsidRPr="00CA6FF4">
        <w:rPr>
          <w:color w:val="000000" w:themeColor="text1"/>
          <w:lang w:val="en-US"/>
        </w:rPr>
        <w:t>skilfully</w:t>
      </w:r>
      <w:proofErr w:type="spellEnd"/>
      <w:r w:rsidRPr="00CA6FF4">
        <w:rPr>
          <w:color w:val="000000" w:themeColor="text1"/>
          <w:lang w:val="en-US"/>
        </w:rPr>
        <w:t xml:space="preserve"> put, </w:t>
      </w:r>
      <w:r w:rsidR="00402DEF">
        <w:rPr>
          <w:color w:val="000000" w:themeColor="text1"/>
          <w:lang w:val="en-US"/>
        </w:rPr>
        <w:t>we</w:t>
      </w:r>
      <w:r w:rsidRPr="00CA6FF4">
        <w:rPr>
          <w:color w:val="000000" w:themeColor="text1"/>
          <w:lang w:val="en-US"/>
        </w:rPr>
        <w:t xml:space="preserve"> have no hesitation in concluding that it is wrong. The starting point, as made clear in the authorities cited above</w:t>
      </w:r>
      <w:r w:rsidR="00402DEF">
        <w:rPr>
          <w:color w:val="000000" w:themeColor="text1"/>
          <w:lang w:val="en-US"/>
        </w:rPr>
        <w:t>,</w:t>
      </w:r>
      <w:r w:rsidRPr="00CA6FF4">
        <w:rPr>
          <w:color w:val="000000" w:themeColor="text1"/>
          <w:lang w:val="en-US"/>
        </w:rPr>
        <w:t xml:space="preserve"> is the words. Regulation 11 says this:</w:t>
      </w:r>
    </w:p>
    <w:p w14:paraId="64E59BD4" w14:textId="47E88414" w:rsidR="00E84363" w:rsidRPr="00E84363" w:rsidRDefault="00692F9A" w:rsidP="006E0A83">
      <w:pPr>
        <w:pStyle w:val="Quote"/>
        <w:rPr>
          <w:lang w:val="en-US"/>
        </w:rPr>
      </w:pPr>
      <w:r>
        <w:rPr>
          <w:lang w:val="en-US"/>
        </w:rPr>
        <w:t>“</w:t>
      </w:r>
      <w:r w:rsidR="00E84363" w:rsidRPr="00E84363">
        <w:rPr>
          <w:lang w:val="en-US"/>
        </w:rPr>
        <w:t>(1) A person (</w:t>
      </w:r>
      <w:r>
        <w:rPr>
          <w:lang w:val="en-US"/>
        </w:rPr>
        <w:t>“</w:t>
      </w:r>
      <w:r w:rsidR="00E84363" w:rsidRPr="00E84363">
        <w:rPr>
          <w:lang w:val="en-US"/>
        </w:rPr>
        <w:t>P</w:t>
      </w:r>
      <w:r>
        <w:rPr>
          <w:lang w:val="en-US"/>
        </w:rPr>
        <w:t>”</w:t>
      </w:r>
      <w:r w:rsidR="00E84363" w:rsidRPr="00E84363">
        <w:rPr>
          <w:lang w:val="en-US"/>
        </w:rPr>
        <w:t>) must not deal with funds or economic resources owned, held or controlled by a designated person if P knows, or has reasonable cause to suspect, that P is dealing with such funds or economic resources.</w:t>
      </w:r>
    </w:p>
    <w:p w14:paraId="5797F44C" w14:textId="77777777" w:rsidR="00E84363" w:rsidRPr="00E84363" w:rsidRDefault="00E84363" w:rsidP="006E0A83">
      <w:pPr>
        <w:pStyle w:val="Quote"/>
        <w:rPr>
          <w:lang w:val="en-US"/>
        </w:rPr>
      </w:pPr>
      <w:r w:rsidRPr="00E84363">
        <w:rPr>
          <w:lang w:val="en-US"/>
        </w:rPr>
        <w:t>(2)  …</w:t>
      </w:r>
    </w:p>
    <w:p w14:paraId="7B83F11B" w14:textId="3E1FC709" w:rsidR="00E84363" w:rsidRPr="00E84363" w:rsidRDefault="00E84363" w:rsidP="006E0A83">
      <w:pPr>
        <w:pStyle w:val="Quote"/>
        <w:rPr>
          <w:lang w:val="en-US"/>
        </w:rPr>
      </w:pPr>
      <w:r w:rsidRPr="00E84363">
        <w:rPr>
          <w:lang w:val="en-US"/>
        </w:rPr>
        <w:t>(3)  A person who contravenes the prohibition in paragraph (1) commits an offence.</w:t>
      </w:r>
      <w:r w:rsidR="00692F9A">
        <w:rPr>
          <w:lang w:val="en-US"/>
        </w:rPr>
        <w:t>”</w:t>
      </w:r>
    </w:p>
    <w:p w14:paraId="0FC58F6C" w14:textId="411704EE" w:rsidR="00E84363" w:rsidRPr="00E84363" w:rsidRDefault="00E84363" w:rsidP="00E84363">
      <w:pPr>
        <w:pStyle w:val="BodyText"/>
        <w:rPr>
          <w:color w:val="000000" w:themeColor="text1"/>
          <w:lang w:val="en-US"/>
        </w:rPr>
      </w:pPr>
      <w:r w:rsidRPr="00E84363">
        <w:rPr>
          <w:color w:val="000000" w:themeColor="text1"/>
          <w:lang w:val="en-US"/>
        </w:rPr>
        <w:t xml:space="preserve">The natural reading of that is in line with </w:t>
      </w:r>
      <w:r w:rsidR="00146C97">
        <w:rPr>
          <w:color w:val="000000" w:themeColor="text1"/>
          <w:lang w:val="en-US"/>
        </w:rPr>
        <w:t>the arguments advanced for VPB/the Trustee</w:t>
      </w:r>
      <w:r w:rsidRPr="00E84363">
        <w:rPr>
          <w:color w:val="000000" w:themeColor="text1"/>
          <w:lang w:val="en-US"/>
        </w:rPr>
        <w:t>.</w:t>
      </w:r>
      <w:r w:rsidR="00D557BE">
        <w:rPr>
          <w:color w:val="000000" w:themeColor="text1"/>
          <w:lang w:val="en-US"/>
        </w:rPr>
        <w:t xml:space="preserve"> The key passage is the beginning of the regulation: </w:t>
      </w:r>
      <w:r w:rsidR="00D557BE" w:rsidRPr="00064037">
        <w:rPr>
          <w:color w:val="000000" w:themeColor="text1"/>
          <w:lang w:val="en-US"/>
        </w:rPr>
        <w:t>“</w:t>
      </w:r>
      <w:r w:rsidR="00D557BE" w:rsidRPr="003617AE">
        <w:rPr>
          <w:i/>
          <w:iCs/>
          <w:color w:val="000000" w:themeColor="text1"/>
          <w:lang w:val="en-US"/>
        </w:rPr>
        <w:t>A person (</w:t>
      </w:r>
      <w:r w:rsidR="00692F9A">
        <w:rPr>
          <w:i/>
          <w:iCs/>
          <w:color w:val="000000" w:themeColor="text1"/>
          <w:lang w:val="en-US"/>
        </w:rPr>
        <w:t>“</w:t>
      </w:r>
      <w:r w:rsidR="00D557BE" w:rsidRPr="003617AE">
        <w:rPr>
          <w:i/>
          <w:iCs/>
          <w:color w:val="000000" w:themeColor="text1"/>
          <w:lang w:val="en-US"/>
        </w:rPr>
        <w:t>P</w:t>
      </w:r>
      <w:r w:rsidR="00692F9A">
        <w:rPr>
          <w:i/>
          <w:iCs/>
          <w:color w:val="000000" w:themeColor="text1"/>
          <w:lang w:val="en-US"/>
        </w:rPr>
        <w:t>”</w:t>
      </w:r>
      <w:r w:rsidR="00D557BE" w:rsidRPr="003617AE">
        <w:rPr>
          <w:i/>
          <w:iCs/>
          <w:color w:val="000000" w:themeColor="text1"/>
          <w:lang w:val="en-US"/>
        </w:rPr>
        <w:t xml:space="preserve">) must not deal with </w:t>
      </w:r>
      <w:r w:rsidR="00D557BE" w:rsidRPr="003617AE">
        <w:rPr>
          <w:b/>
          <w:bCs/>
          <w:i/>
          <w:iCs/>
          <w:color w:val="000000" w:themeColor="text1"/>
          <w:lang w:val="en-US"/>
        </w:rPr>
        <w:t>funds or economic resources owned, held or controlled by a designated person</w:t>
      </w:r>
      <w:r w:rsidR="00D557BE" w:rsidRPr="003617AE">
        <w:rPr>
          <w:i/>
          <w:iCs/>
          <w:color w:val="000000" w:themeColor="text1"/>
          <w:lang w:val="en-US"/>
        </w:rPr>
        <w:t>”</w:t>
      </w:r>
      <w:r w:rsidR="00CB3B38">
        <w:rPr>
          <w:i/>
          <w:iCs/>
          <w:color w:val="000000" w:themeColor="text1"/>
          <w:lang w:val="en-US"/>
        </w:rPr>
        <w:t>.</w:t>
      </w:r>
    </w:p>
    <w:p w14:paraId="291BEA64" w14:textId="43CC79DA" w:rsidR="00E84363" w:rsidRPr="00E84363" w:rsidRDefault="00E84363" w:rsidP="00E84363">
      <w:pPr>
        <w:pStyle w:val="BodyText"/>
        <w:rPr>
          <w:color w:val="000000" w:themeColor="text1"/>
          <w:lang w:val="en-US"/>
        </w:rPr>
      </w:pPr>
      <w:r w:rsidRPr="00E84363">
        <w:rPr>
          <w:color w:val="000000" w:themeColor="text1"/>
          <w:lang w:val="en-US"/>
        </w:rPr>
        <w:t xml:space="preserve">The construction urged by </w:t>
      </w:r>
      <w:r w:rsidR="00055466">
        <w:rPr>
          <w:color w:val="000000" w:themeColor="text1"/>
          <w:lang w:val="en-US"/>
        </w:rPr>
        <w:t>Mr Bedzhamov</w:t>
      </w:r>
      <w:r w:rsidRPr="00E84363">
        <w:rPr>
          <w:color w:val="000000" w:themeColor="text1"/>
          <w:lang w:val="en-US"/>
        </w:rPr>
        <w:t xml:space="preserve"> is some distance from that wording. </w:t>
      </w:r>
      <w:proofErr w:type="gramStart"/>
      <w:r w:rsidRPr="00E84363">
        <w:rPr>
          <w:color w:val="000000" w:themeColor="text1"/>
          <w:lang w:val="en-US"/>
        </w:rPr>
        <w:t>Indeed</w:t>
      </w:r>
      <w:proofErr w:type="gramEnd"/>
      <w:r w:rsidRPr="00E84363">
        <w:rPr>
          <w:color w:val="000000" w:themeColor="text1"/>
          <w:lang w:val="en-US"/>
        </w:rPr>
        <w:t xml:space="preserve"> it was pointed out by VPB that if </w:t>
      </w:r>
      <w:r w:rsidR="00055466">
        <w:rPr>
          <w:color w:val="000000" w:themeColor="text1"/>
          <w:lang w:val="en-US"/>
        </w:rPr>
        <w:t>Mr Bedzhamov</w:t>
      </w:r>
      <w:r w:rsidRPr="00E84363">
        <w:rPr>
          <w:color w:val="000000" w:themeColor="text1"/>
          <w:lang w:val="en-US"/>
        </w:rPr>
        <w:t xml:space="preserve"> was correct, it would require the statutory provisions to be read as follows, using Regulation 11 as an example (</w:t>
      </w:r>
      <w:r w:rsidR="00692F9A">
        <w:rPr>
          <w:color w:val="000000" w:themeColor="text1"/>
          <w:lang w:val="en-US"/>
        </w:rPr>
        <w:t>“</w:t>
      </w:r>
      <w:r w:rsidRPr="00E84363">
        <w:rPr>
          <w:color w:val="000000" w:themeColor="text1"/>
          <w:lang w:val="en-US"/>
        </w:rPr>
        <w:t>read in</w:t>
      </w:r>
      <w:r w:rsidR="00692F9A">
        <w:rPr>
          <w:color w:val="000000" w:themeColor="text1"/>
          <w:lang w:val="en-US"/>
        </w:rPr>
        <w:t>”</w:t>
      </w:r>
      <w:r w:rsidRPr="00E84363">
        <w:rPr>
          <w:color w:val="000000" w:themeColor="text1"/>
          <w:lang w:val="en-US"/>
        </w:rPr>
        <w:t xml:space="preserve"> text underlined):</w:t>
      </w:r>
    </w:p>
    <w:p w14:paraId="2EFBD519" w14:textId="3317D4C8" w:rsidR="00E84363" w:rsidRPr="00E84363" w:rsidRDefault="00692F9A" w:rsidP="006E0A83">
      <w:pPr>
        <w:pStyle w:val="Quote"/>
        <w:rPr>
          <w:lang w:val="en-US"/>
        </w:rPr>
      </w:pPr>
      <w:r>
        <w:rPr>
          <w:lang w:val="en-US"/>
        </w:rPr>
        <w:t>“</w:t>
      </w:r>
      <w:r w:rsidR="00E84363" w:rsidRPr="00E84363">
        <w:rPr>
          <w:lang w:val="en-US"/>
        </w:rPr>
        <w:t>(1) A person (</w:t>
      </w:r>
      <w:r>
        <w:rPr>
          <w:lang w:val="en-US"/>
        </w:rPr>
        <w:t>“</w:t>
      </w:r>
      <w:r w:rsidR="00E84363" w:rsidRPr="00E84363">
        <w:rPr>
          <w:lang w:val="en-US"/>
        </w:rPr>
        <w:t>P</w:t>
      </w:r>
      <w:r>
        <w:rPr>
          <w:lang w:val="en-US"/>
        </w:rPr>
        <w:t>”</w:t>
      </w:r>
      <w:r w:rsidR="00E84363" w:rsidRPr="00E84363">
        <w:rPr>
          <w:lang w:val="en-US"/>
        </w:rPr>
        <w:t xml:space="preserve">) must not deal with funds or economic resources </w:t>
      </w:r>
      <w:r w:rsidR="00E84363" w:rsidRPr="001B0512">
        <w:rPr>
          <w:strike/>
          <w:lang w:val="en-US"/>
        </w:rPr>
        <w:t>owned, held or controlled by a designated person if</w:t>
      </w:r>
      <w:r w:rsidR="00E84363" w:rsidRPr="00E84363">
        <w:rPr>
          <w:lang w:val="en-US"/>
        </w:rPr>
        <w:t xml:space="preserve"> P knows, or has reasonable cause to suspect, that P is dealing with </w:t>
      </w:r>
      <w:r w:rsidR="00E84363" w:rsidRPr="001B0512">
        <w:rPr>
          <w:strike/>
          <w:lang w:val="en-US"/>
        </w:rPr>
        <w:t>such</w:t>
      </w:r>
      <w:r w:rsidR="00E84363" w:rsidRPr="00E84363">
        <w:rPr>
          <w:lang w:val="en-US"/>
        </w:rPr>
        <w:t xml:space="preserve"> funds or economic resources </w:t>
      </w:r>
      <w:r w:rsidR="00E84363" w:rsidRPr="006E0A83">
        <w:rPr>
          <w:u w:val="single"/>
          <w:lang w:val="en-US"/>
        </w:rPr>
        <w:t>owned, held or controlled by a designated person</w:t>
      </w:r>
      <w:r w:rsidR="00E84363" w:rsidRPr="00E84363">
        <w:rPr>
          <w:lang w:val="en-US"/>
        </w:rPr>
        <w:t>.</w:t>
      </w:r>
    </w:p>
    <w:p w14:paraId="0E2AE099" w14:textId="77777777" w:rsidR="00E84363" w:rsidRPr="00E84363" w:rsidRDefault="00E84363" w:rsidP="006E0A83">
      <w:pPr>
        <w:pStyle w:val="Quote"/>
        <w:rPr>
          <w:lang w:val="en-US"/>
        </w:rPr>
      </w:pPr>
      <w:r w:rsidRPr="00E84363">
        <w:rPr>
          <w:lang w:val="en-US"/>
        </w:rPr>
        <w:t>(2)  …</w:t>
      </w:r>
    </w:p>
    <w:p w14:paraId="1DF7101F" w14:textId="344AD05A" w:rsidR="00E84363" w:rsidRPr="00E84363" w:rsidRDefault="006E0A83" w:rsidP="006E0A83">
      <w:pPr>
        <w:pStyle w:val="Quote"/>
        <w:rPr>
          <w:lang w:val="en-US"/>
        </w:rPr>
      </w:pPr>
      <w:r>
        <w:rPr>
          <w:lang w:val="en-US"/>
        </w:rPr>
        <w:t>(</w:t>
      </w:r>
      <w:r w:rsidR="00E84363" w:rsidRPr="00E84363">
        <w:rPr>
          <w:lang w:val="en-US"/>
        </w:rPr>
        <w:t>3)  A person who contravenes the prohibition in paragraph (1) commits an offence.</w:t>
      </w:r>
      <w:r w:rsidR="00692F9A">
        <w:rPr>
          <w:lang w:val="en-US"/>
        </w:rPr>
        <w:t>”</w:t>
      </w:r>
    </w:p>
    <w:p w14:paraId="2A323421" w14:textId="33410A10" w:rsidR="00E84363" w:rsidRPr="00E84363" w:rsidRDefault="00055466" w:rsidP="00E84363">
      <w:pPr>
        <w:pStyle w:val="BodyText"/>
        <w:rPr>
          <w:color w:val="000000" w:themeColor="text1"/>
          <w:lang w:val="en-US"/>
        </w:rPr>
      </w:pPr>
      <w:r>
        <w:rPr>
          <w:color w:val="000000" w:themeColor="text1"/>
          <w:lang w:val="en-US"/>
        </w:rPr>
        <w:t>Mr Bedzhamov</w:t>
      </w:r>
      <w:r w:rsidR="00E84363" w:rsidRPr="00E84363">
        <w:rPr>
          <w:color w:val="000000" w:themeColor="text1"/>
          <w:lang w:val="en-US"/>
        </w:rPr>
        <w:t xml:space="preserve"> did not contend that this version did not accurately reflect his construction.</w:t>
      </w:r>
    </w:p>
    <w:p w14:paraId="630698AC" w14:textId="77777777" w:rsidR="00E84363" w:rsidRPr="00E84363" w:rsidRDefault="00E84363" w:rsidP="00E84363">
      <w:pPr>
        <w:pStyle w:val="BodyText"/>
        <w:rPr>
          <w:color w:val="000000" w:themeColor="text1"/>
          <w:lang w:val="en-US"/>
        </w:rPr>
      </w:pPr>
      <w:r w:rsidRPr="00E84363">
        <w:rPr>
          <w:color w:val="000000" w:themeColor="text1"/>
          <w:lang w:val="en-US"/>
        </w:rPr>
        <w:t>Putting the two versions so close together makes the point: this is a significant difference. It is unimaginable that experienced legislative drafters would have put forward the first version if what they were seeking to put in place was the latter.</w:t>
      </w:r>
    </w:p>
    <w:p w14:paraId="0F1BF1A7" w14:textId="77777777" w:rsidR="00E84363" w:rsidRPr="00E84363" w:rsidRDefault="00E84363" w:rsidP="00E84363">
      <w:pPr>
        <w:pStyle w:val="BodyText"/>
        <w:rPr>
          <w:color w:val="000000" w:themeColor="text1"/>
          <w:lang w:val="en-US"/>
        </w:rPr>
      </w:pPr>
      <w:r w:rsidRPr="00E84363">
        <w:rPr>
          <w:color w:val="000000" w:themeColor="text1"/>
          <w:lang w:val="en-US"/>
        </w:rPr>
        <w:t>So much for the first iteration of the construction exercise. But the matter only becomes clearer as one progresses.</w:t>
      </w:r>
    </w:p>
    <w:p w14:paraId="14AEF9DA" w14:textId="537D6307" w:rsidR="002F6377" w:rsidRDefault="00E84363" w:rsidP="00E84363">
      <w:pPr>
        <w:pStyle w:val="BodyText"/>
        <w:rPr>
          <w:color w:val="000000" w:themeColor="text1"/>
          <w:lang w:val="en-US"/>
        </w:rPr>
      </w:pPr>
      <w:r w:rsidRPr="00E84363">
        <w:rPr>
          <w:color w:val="000000" w:themeColor="text1"/>
          <w:lang w:val="en-US"/>
        </w:rPr>
        <w:t xml:space="preserve">Perhaps the most telling point was that if </w:t>
      </w:r>
      <w:r w:rsidR="00055466">
        <w:rPr>
          <w:color w:val="000000" w:themeColor="text1"/>
          <w:lang w:val="en-US"/>
        </w:rPr>
        <w:t>Mr Bedzhamov</w:t>
      </w:r>
      <w:r w:rsidRPr="00E84363">
        <w:rPr>
          <w:color w:val="000000" w:themeColor="text1"/>
          <w:lang w:val="en-US"/>
        </w:rPr>
        <w:t xml:space="preserve"> were right</w:t>
      </w:r>
      <w:r w:rsidR="00F74209">
        <w:rPr>
          <w:color w:val="000000" w:themeColor="text1"/>
          <w:lang w:val="en-US"/>
        </w:rPr>
        <w:t>,</w:t>
      </w:r>
      <w:r w:rsidRPr="00E84363">
        <w:rPr>
          <w:color w:val="000000" w:themeColor="text1"/>
          <w:lang w:val="en-US"/>
        </w:rPr>
        <w:t xml:space="preserve"> Regulations 11-15 would prohibit dealing with funds or economic resources held by a person in respect of whom there are reasonable grounds to suspect is, but who in fact is not, a DP (or owned or controlled by a DP within the meaning of </w:t>
      </w:r>
      <w:r w:rsidR="001B18C3">
        <w:rPr>
          <w:color w:val="000000" w:themeColor="text1"/>
          <w:lang w:val="en-US"/>
        </w:rPr>
        <w:t>R</w:t>
      </w:r>
      <w:r w:rsidRPr="00E84363">
        <w:rPr>
          <w:color w:val="000000" w:themeColor="text1"/>
          <w:lang w:val="en-US"/>
        </w:rPr>
        <w:t>egulation  7)</w:t>
      </w:r>
      <w:r w:rsidR="002F6377">
        <w:rPr>
          <w:color w:val="000000" w:themeColor="text1"/>
          <w:lang w:val="en-US"/>
        </w:rPr>
        <w:t>;</w:t>
      </w:r>
      <w:r w:rsidRPr="00E84363">
        <w:rPr>
          <w:color w:val="000000" w:themeColor="text1"/>
          <w:lang w:val="en-US"/>
        </w:rPr>
        <w:t xml:space="preserve"> and that a person who did so would</w:t>
      </w:r>
      <w:r w:rsidR="001B18C3">
        <w:rPr>
          <w:color w:val="000000" w:themeColor="text1"/>
          <w:lang w:val="en-US"/>
        </w:rPr>
        <w:t>,</w:t>
      </w:r>
      <w:r w:rsidRPr="00E84363">
        <w:rPr>
          <w:color w:val="000000" w:themeColor="text1"/>
          <w:lang w:val="en-US"/>
        </w:rPr>
        <w:t xml:space="preserve"> </w:t>
      </w:r>
      <w:r w:rsidR="002F6377">
        <w:rPr>
          <w:color w:val="000000" w:themeColor="text1"/>
          <w:lang w:val="en-US"/>
        </w:rPr>
        <w:t>under Regulation 19</w:t>
      </w:r>
      <w:r w:rsidR="001B18C3">
        <w:rPr>
          <w:color w:val="000000" w:themeColor="text1"/>
          <w:lang w:val="en-US"/>
        </w:rPr>
        <w:t>,</w:t>
      </w:r>
      <w:r w:rsidR="002F6377">
        <w:rPr>
          <w:color w:val="000000" w:themeColor="text1"/>
          <w:lang w:val="en-US"/>
        </w:rPr>
        <w:t xml:space="preserve"> </w:t>
      </w:r>
      <w:r w:rsidRPr="00E84363">
        <w:rPr>
          <w:color w:val="000000" w:themeColor="text1"/>
          <w:lang w:val="en-US"/>
        </w:rPr>
        <w:t xml:space="preserve">be liable for conviction on indictment – a conviction punishable with up to seven years’ imprisonment. </w:t>
      </w:r>
    </w:p>
    <w:p w14:paraId="2ED5EC2E" w14:textId="0B3A1127" w:rsidR="00327089" w:rsidRDefault="00E84363" w:rsidP="00E84363">
      <w:pPr>
        <w:pStyle w:val="BodyText"/>
        <w:rPr>
          <w:color w:val="000000" w:themeColor="text1"/>
          <w:lang w:val="en-US"/>
        </w:rPr>
      </w:pPr>
      <w:r w:rsidRPr="00E84363">
        <w:rPr>
          <w:color w:val="000000" w:themeColor="text1"/>
          <w:lang w:val="en-US"/>
        </w:rPr>
        <w:lastRenderedPageBreak/>
        <w:t xml:space="preserve">As VPB rightly says, this would represent a </w:t>
      </w:r>
      <w:r w:rsidR="002F6377" w:rsidRPr="00DF5594">
        <w:rPr>
          <w:i/>
          <w:iCs/>
          <w:color w:val="000000" w:themeColor="text1"/>
          <w:lang w:val="en-US"/>
        </w:rPr>
        <w:t>“</w:t>
      </w:r>
      <w:r w:rsidRPr="00DF5594">
        <w:rPr>
          <w:i/>
          <w:iCs/>
          <w:color w:val="000000" w:themeColor="text1"/>
          <w:lang w:val="en-US"/>
        </w:rPr>
        <w:t>monumental extension of criminal liability</w:t>
      </w:r>
      <w:r w:rsidR="002F6377" w:rsidRPr="00DF5594">
        <w:rPr>
          <w:i/>
          <w:iCs/>
          <w:color w:val="000000" w:themeColor="text1"/>
          <w:lang w:val="en-US"/>
        </w:rPr>
        <w:t>”</w:t>
      </w:r>
      <w:r w:rsidRPr="00E84363">
        <w:rPr>
          <w:color w:val="000000" w:themeColor="text1"/>
          <w:lang w:val="en-US"/>
        </w:rPr>
        <w:t xml:space="preserve"> and would self</w:t>
      </w:r>
      <w:r w:rsidR="005B5E63">
        <w:rPr>
          <w:color w:val="000000" w:themeColor="text1"/>
          <w:lang w:val="en-US"/>
        </w:rPr>
        <w:t>-</w:t>
      </w:r>
      <w:r w:rsidRPr="00E84363">
        <w:rPr>
          <w:color w:val="000000" w:themeColor="text1"/>
          <w:lang w:val="en-US"/>
        </w:rPr>
        <w:t xml:space="preserve">evidently offend against the principle of strict interpretation of penal legislation. It was pointed out that there is no offence known to English law of thwarting a purported intention of legislation. </w:t>
      </w:r>
      <w:r w:rsidR="00327089">
        <w:rPr>
          <w:color w:val="000000" w:themeColor="text1"/>
          <w:lang w:val="en-US"/>
        </w:rPr>
        <w:t xml:space="preserve">As </w:t>
      </w:r>
      <w:r w:rsidR="00DF5594">
        <w:rPr>
          <w:color w:val="000000" w:themeColor="text1"/>
          <w:lang w:val="en-US"/>
        </w:rPr>
        <w:t>L</w:t>
      </w:r>
      <w:r w:rsidR="00327089">
        <w:rPr>
          <w:color w:val="000000" w:themeColor="text1"/>
          <w:lang w:val="en-US"/>
        </w:rPr>
        <w:t xml:space="preserve">ord Diplock put it in </w:t>
      </w:r>
      <w:r w:rsidRPr="005B5E63">
        <w:rPr>
          <w:i/>
          <w:iCs/>
          <w:color w:val="000000" w:themeColor="text1"/>
          <w:lang w:val="en-US"/>
        </w:rPr>
        <w:t>R v Bhagwan</w:t>
      </w:r>
      <w:r w:rsidRPr="00E84363">
        <w:rPr>
          <w:color w:val="000000" w:themeColor="text1"/>
          <w:lang w:val="en-US"/>
        </w:rPr>
        <w:t xml:space="preserve"> [1972] AC 60, 80H-81A and p82H</w:t>
      </w:r>
      <w:r w:rsidR="00692F9A">
        <w:rPr>
          <w:color w:val="000000" w:themeColor="text1"/>
          <w:lang w:val="en-US"/>
        </w:rPr>
        <w:t>:</w:t>
      </w:r>
      <w:r w:rsidRPr="00E84363">
        <w:rPr>
          <w:color w:val="000000" w:themeColor="text1"/>
          <w:lang w:val="en-US"/>
        </w:rPr>
        <w:t xml:space="preserve"> </w:t>
      </w:r>
    </w:p>
    <w:p w14:paraId="28B16507" w14:textId="01376191" w:rsidR="00327089" w:rsidRPr="006118C9" w:rsidRDefault="00327089" w:rsidP="005B5E63">
      <w:pPr>
        <w:pStyle w:val="Quote"/>
        <w:rPr>
          <w:lang w:val="en-US"/>
        </w:rPr>
      </w:pPr>
      <w:r w:rsidRPr="006118C9">
        <w:rPr>
          <w:lang w:val="en-US"/>
        </w:rPr>
        <w:t>“My Lords, I know of no authority which would justify your Lordships in holding it to be a criminal offence for any person, whether or not acting in concert with others, to do acts which are neither prohibited by Act of Parliament nor at common law, and do not involve dishonesty or fraud</w:t>
      </w:r>
      <w:r w:rsidR="006118C9" w:rsidRPr="006118C9">
        <w:t xml:space="preserve"> </w:t>
      </w:r>
      <w:r w:rsidR="006118C9" w:rsidRPr="006118C9">
        <w:rPr>
          <w:lang w:val="en-US"/>
        </w:rPr>
        <w:t>or deception, merely because the object which Parliament hoped to achieve by the Act may be thereby thwarted.</w:t>
      </w:r>
      <w:r w:rsidR="00423D66">
        <w:rPr>
          <w:lang w:val="en-US"/>
        </w:rPr>
        <w:t>”</w:t>
      </w:r>
    </w:p>
    <w:p w14:paraId="5F4B7C16" w14:textId="19A911C5" w:rsidR="00E84363" w:rsidRPr="004E600C" w:rsidRDefault="00E84363" w:rsidP="000962C0">
      <w:pPr>
        <w:pStyle w:val="BodyText"/>
        <w:rPr>
          <w:color w:val="000000" w:themeColor="text1"/>
          <w:lang w:val="en-US"/>
        </w:rPr>
      </w:pPr>
      <w:r w:rsidRPr="004E600C">
        <w:rPr>
          <w:color w:val="000000" w:themeColor="text1"/>
          <w:lang w:val="en-US"/>
        </w:rPr>
        <w:t xml:space="preserve">It was also submitted </w:t>
      </w:r>
      <w:r w:rsidR="004E600C" w:rsidRPr="004E600C">
        <w:rPr>
          <w:color w:val="000000" w:themeColor="text1"/>
          <w:lang w:val="en-US"/>
        </w:rPr>
        <w:t>that</w:t>
      </w:r>
      <w:r w:rsidRPr="004E600C">
        <w:rPr>
          <w:color w:val="000000" w:themeColor="text1"/>
          <w:lang w:val="en-US"/>
        </w:rPr>
        <w:t xml:space="preserve"> were </w:t>
      </w:r>
      <w:r w:rsidR="00055466">
        <w:rPr>
          <w:color w:val="000000" w:themeColor="text1"/>
          <w:lang w:val="en-US"/>
        </w:rPr>
        <w:t>Mr Bedzhamov</w:t>
      </w:r>
      <w:r w:rsidRPr="004E600C">
        <w:rPr>
          <w:color w:val="000000" w:themeColor="text1"/>
          <w:lang w:val="en-US"/>
        </w:rPr>
        <w:t>'s construction to be favoured</w:t>
      </w:r>
      <w:r w:rsidR="00F74209">
        <w:rPr>
          <w:color w:val="000000" w:themeColor="text1"/>
          <w:lang w:val="en-US"/>
        </w:rPr>
        <w:t>,</w:t>
      </w:r>
      <w:r w:rsidRPr="004E600C">
        <w:rPr>
          <w:color w:val="000000" w:themeColor="text1"/>
          <w:lang w:val="en-US"/>
        </w:rPr>
        <w:t xml:space="preserve"> this would be to overstep constitutional boundaries and make new law</w:t>
      </w:r>
      <w:r w:rsidR="004E600C" w:rsidRPr="004E600C">
        <w:rPr>
          <w:color w:val="000000" w:themeColor="text1"/>
          <w:lang w:val="en-US"/>
        </w:rPr>
        <w:t xml:space="preserve">. </w:t>
      </w:r>
      <w:r w:rsidRPr="004E600C">
        <w:rPr>
          <w:color w:val="000000" w:themeColor="text1"/>
          <w:lang w:val="en-US"/>
        </w:rPr>
        <w:t xml:space="preserve">This point was dealt with at length by </w:t>
      </w:r>
      <w:proofErr w:type="gramStart"/>
      <w:r w:rsidRPr="004E600C">
        <w:rPr>
          <w:color w:val="000000" w:themeColor="text1"/>
          <w:lang w:val="en-US"/>
        </w:rPr>
        <w:t>VPB</w:t>
      </w:r>
      <w:proofErr w:type="gramEnd"/>
      <w:r w:rsidRPr="004E600C">
        <w:rPr>
          <w:color w:val="000000" w:themeColor="text1"/>
          <w:lang w:val="en-US"/>
        </w:rPr>
        <w:t xml:space="preserve"> but </w:t>
      </w:r>
      <w:r w:rsidR="00357829">
        <w:rPr>
          <w:color w:val="000000" w:themeColor="text1"/>
          <w:lang w:val="en-US"/>
        </w:rPr>
        <w:t xml:space="preserve">it </w:t>
      </w:r>
      <w:r w:rsidRPr="004E600C">
        <w:rPr>
          <w:color w:val="000000" w:themeColor="text1"/>
          <w:lang w:val="en-US"/>
        </w:rPr>
        <w:t xml:space="preserve">was not </w:t>
      </w:r>
      <w:r w:rsidR="00597605">
        <w:rPr>
          <w:color w:val="000000" w:themeColor="text1"/>
          <w:lang w:val="en-US"/>
        </w:rPr>
        <w:t>squarely</w:t>
      </w:r>
      <w:r w:rsidRPr="004E600C">
        <w:rPr>
          <w:color w:val="000000" w:themeColor="text1"/>
          <w:lang w:val="en-US"/>
        </w:rPr>
        <w:t xml:space="preserve"> </w:t>
      </w:r>
      <w:r w:rsidR="00597605">
        <w:rPr>
          <w:color w:val="000000" w:themeColor="text1"/>
          <w:lang w:val="en-US"/>
        </w:rPr>
        <w:t>engaged with</w:t>
      </w:r>
      <w:r w:rsidRPr="004E600C">
        <w:rPr>
          <w:color w:val="000000" w:themeColor="text1"/>
          <w:lang w:val="en-US"/>
        </w:rPr>
        <w:t xml:space="preserve"> by </w:t>
      </w:r>
      <w:r w:rsidR="00055466">
        <w:rPr>
          <w:color w:val="000000" w:themeColor="text1"/>
          <w:lang w:val="en-US"/>
        </w:rPr>
        <w:t>Mr Bedzhamov</w:t>
      </w:r>
      <w:r w:rsidRPr="004E600C">
        <w:rPr>
          <w:color w:val="000000" w:themeColor="text1"/>
          <w:lang w:val="en-US"/>
        </w:rPr>
        <w:t>. Two responses, neither of them persuasive</w:t>
      </w:r>
      <w:r w:rsidR="00C01A7A">
        <w:rPr>
          <w:color w:val="000000" w:themeColor="text1"/>
          <w:lang w:val="en-US"/>
        </w:rPr>
        <w:t>,</w:t>
      </w:r>
      <w:r w:rsidRPr="004E600C">
        <w:rPr>
          <w:color w:val="000000" w:themeColor="text1"/>
          <w:lang w:val="en-US"/>
        </w:rPr>
        <w:t xml:space="preserve"> were advanced.</w:t>
      </w:r>
    </w:p>
    <w:p w14:paraId="3A5E7ECF" w14:textId="77777777" w:rsidR="00C44FF2" w:rsidRDefault="00E84363" w:rsidP="00E84363">
      <w:pPr>
        <w:pStyle w:val="BodyText"/>
        <w:rPr>
          <w:color w:val="000000" w:themeColor="text1"/>
          <w:lang w:val="en-US"/>
        </w:rPr>
      </w:pPr>
      <w:r w:rsidRPr="00E84363">
        <w:rPr>
          <w:color w:val="000000" w:themeColor="text1"/>
          <w:lang w:val="en-US"/>
        </w:rPr>
        <w:t xml:space="preserve">The first was to say that the requirement in Regulation 11 that the funds or economic resources be owned, held or controlled by a DP is, instead, a defence to the criminal offence rather than part of the prohibition and an element of the offence. This contention is not supported by the statutory wording. </w:t>
      </w:r>
    </w:p>
    <w:p w14:paraId="1B0E4955" w14:textId="1EB2ECD9" w:rsidR="008873AC" w:rsidRDefault="00275265" w:rsidP="00E84363">
      <w:pPr>
        <w:pStyle w:val="BodyText"/>
        <w:rPr>
          <w:color w:val="000000" w:themeColor="text1"/>
          <w:lang w:val="en-US"/>
        </w:rPr>
      </w:pPr>
      <w:r>
        <w:rPr>
          <w:color w:val="000000" w:themeColor="text1"/>
          <w:lang w:val="en-US"/>
        </w:rPr>
        <w:t>There is also a burden of proo</w:t>
      </w:r>
      <w:r w:rsidR="006C0731">
        <w:rPr>
          <w:color w:val="000000" w:themeColor="text1"/>
          <w:lang w:val="en-US"/>
        </w:rPr>
        <w:t xml:space="preserve">f issue which engages fundamentally with the nature of criminal </w:t>
      </w:r>
      <w:proofErr w:type="gramStart"/>
      <w:r w:rsidR="006C0731">
        <w:rPr>
          <w:color w:val="000000" w:themeColor="text1"/>
          <w:lang w:val="en-US"/>
        </w:rPr>
        <w:t>liability</w:t>
      </w:r>
      <w:proofErr w:type="gramEnd"/>
      <w:r w:rsidR="006C0731">
        <w:rPr>
          <w:color w:val="000000" w:themeColor="text1"/>
          <w:lang w:val="en-US"/>
        </w:rPr>
        <w:t xml:space="preserve"> and which is perhaps not instinctive to </w:t>
      </w:r>
      <w:r w:rsidR="00671BF0">
        <w:rPr>
          <w:color w:val="000000" w:themeColor="text1"/>
          <w:lang w:val="en-US"/>
        </w:rPr>
        <w:t>those</w:t>
      </w:r>
      <w:r w:rsidR="00B36459">
        <w:rPr>
          <w:color w:val="000000" w:themeColor="text1"/>
          <w:lang w:val="en-US"/>
        </w:rPr>
        <w:t xml:space="preserve"> who primarily inhabit civil proceedings. In criminal proceedings</w:t>
      </w:r>
      <w:r w:rsidR="0055208E">
        <w:rPr>
          <w:color w:val="000000" w:themeColor="text1"/>
          <w:lang w:val="en-US"/>
        </w:rPr>
        <w:t xml:space="preserve"> the burden of proof generally lies on the prosecution; but where defences are concerned it shifts to the defendant</w:t>
      </w:r>
      <w:r w:rsidR="00982191">
        <w:rPr>
          <w:color w:val="000000" w:themeColor="text1"/>
          <w:lang w:val="en-US"/>
        </w:rPr>
        <w:t xml:space="preserve">. </w:t>
      </w:r>
      <w:r w:rsidR="0025000C">
        <w:rPr>
          <w:color w:val="000000" w:themeColor="text1"/>
          <w:lang w:val="en-US"/>
        </w:rPr>
        <w:t>Therefore</w:t>
      </w:r>
      <w:r w:rsidR="00E84363" w:rsidRPr="00E84363">
        <w:rPr>
          <w:color w:val="000000" w:themeColor="text1"/>
          <w:lang w:val="en-US"/>
        </w:rPr>
        <w:t xml:space="preserve">, defences in criminal legislation are clearly framed as such </w:t>
      </w:r>
      <w:r w:rsidR="004F5C43">
        <w:rPr>
          <w:color w:val="000000" w:themeColor="text1"/>
          <w:lang w:val="en-US"/>
        </w:rPr>
        <w:t>so that</w:t>
      </w:r>
      <w:r w:rsidR="00E84363" w:rsidRPr="00E84363">
        <w:rPr>
          <w:color w:val="000000" w:themeColor="text1"/>
          <w:lang w:val="en-US"/>
        </w:rPr>
        <w:t xml:space="preserve"> where a requirement (as to fact or a mental element) is a defence</w:t>
      </w:r>
      <w:r w:rsidR="00F74209">
        <w:rPr>
          <w:color w:val="000000" w:themeColor="text1"/>
          <w:lang w:val="en-US"/>
        </w:rPr>
        <w:t>,</w:t>
      </w:r>
      <w:r w:rsidR="00E84363" w:rsidRPr="00E84363">
        <w:rPr>
          <w:color w:val="000000" w:themeColor="text1"/>
          <w:lang w:val="en-US"/>
        </w:rPr>
        <w:t xml:space="preserve"> </w:t>
      </w:r>
      <w:r w:rsidR="00F87AC1">
        <w:rPr>
          <w:color w:val="000000" w:themeColor="text1"/>
          <w:lang w:val="en-US"/>
        </w:rPr>
        <w:t>it is clear to the defendant what they have to prove</w:t>
      </w:r>
      <w:r w:rsidR="00E84363" w:rsidRPr="00E84363">
        <w:rPr>
          <w:color w:val="000000" w:themeColor="text1"/>
          <w:lang w:val="en-US"/>
        </w:rPr>
        <w:t xml:space="preserve">. </w:t>
      </w:r>
      <w:r w:rsidR="00E06D07">
        <w:rPr>
          <w:color w:val="000000" w:themeColor="text1"/>
          <w:lang w:val="en-US"/>
        </w:rPr>
        <w:t>Ms Barnes KC referred us to a number of examples. One of these was</w:t>
      </w:r>
      <w:r w:rsidR="00E84363" w:rsidRPr="00E84363">
        <w:rPr>
          <w:color w:val="000000" w:themeColor="text1"/>
          <w:lang w:val="en-US"/>
        </w:rPr>
        <w:t xml:space="preserve"> article 7 of the Terrorism (United Nations Measures) Order 2006, one of the statutory instruments at issue in </w:t>
      </w:r>
      <w:r w:rsidR="00E84363" w:rsidRPr="003617AE">
        <w:rPr>
          <w:i/>
          <w:iCs/>
          <w:color w:val="000000" w:themeColor="text1"/>
          <w:lang w:val="en-US"/>
        </w:rPr>
        <w:t>Ahmed v HM Treasury</w:t>
      </w:r>
      <w:r w:rsidR="00E84363" w:rsidRPr="00E84363">
        <w:rPr>
          <w:color w:val="000000" w:themeColor="text1"/>
          <w:lang w:val="en-US"/>
        </w:rPr>
        <w:t xml:space="preserve"> [2010] 2 AC 534</w:t>
      </w:r>
      <w:r w:rsidR="008873AC">
        <w:rPr>
          <w:color w:val="000000" w:themeColor="text1"/>
          <w:lang w:val="en-US"/>
        </w:rPr>
        <w:t>:</w:t>
      </w:r>
    </w:p>
    <w:p w14:paraId="51BBEF87" w14:textId="77777777" w:rsidR="008873AC" w:rsidRDefault="008873AC" w:rsidP="005B5E63">
      <w:pPr>
        <w:pStyle w:val="Quote"/>
        <w:rPr>
          <w:lang w:val="en-US"/>
        </w:rPr>
      </w:pPr>
      <w:r>
        <w:rPr>
          <w:lang w:val="en-US"/>
        </w:rPr>
        <w:t>“</w:t>
      </w:r>
      <w:r w:rsidRPr="008873AC">
        <w:rPr>
          <w:lang w:val="en-US"/>
        </w:rPr>
        <w:t>Freezing funds and economic resources of designated persons</w:t>
      </w:r>
    </w:p>
    <w:p w14:paraId="34B7082E" w14:textId="391130CB" w:rsidR="008873AC" w:rsidRDefault="008873AC" w:rsidP="005B5E63">
      <w:pPr>
        <w:pStyle w:val="Quote"/>
        <w:rPr>
          <w:lang w:val="en-US"/>
        </w:rPr>
      </w:pPr>
      <w:r w:rsidRPr="008873AC">
        <w:rPr>
          <w:lang w:val="en-US"/>
        </w:rPr>
        <w:t>7(1) A person (including the designated person) must not deal with</w:t>
      </w:r>
      <w:r>
        <w:rPr>
          <w:lang w:val="en-US"/>
        </w:rPr>
        <w:t xml:space="preserve"> </w:t>
      </w:r>
      <w:r w:rsidRPr="008873AC">
        <w:rPr>
          <w:lang w:val="en-US"/>
        </w:rPr>
        <w:t>funds or economic resources belonging to, owned or held by a person</w:t>
      </w:r>
      <w:r>
        <w:rPr>
          <w:lang w:val="en-US"/>
        </w:rPr>
        <w:t xml:space="preserve"> </w:t>
      </w:r>
      <w:r w:rsidRPr="008873AC">
        <w:rPr>
          <w:lang w:val="en-US"/>
        </w:rPr>
        <w:t>referred to in paragraph (2) unless he does so under the authority of a</w:t>
      </w:r>
      <w:r>
        <w:rPr>
          <w:lang w:val="en-US"/>
        </w:rPr>
        <w:t xml:space="preserve"> </w:t>
      </w:r>
      <w:proofErr w:type="spellStart"/>
      <w:r w:rsidRPr="008873AC">
        <w:rPr>
          <w:lang w:val="en-US"/>
        </w:rPr>
        <w:t>licence</w:t>
      </w:r>
      <w:proofErr w:type="spellEnd"/>
      <w:r w:rsidRPr="008873AC">
        <w:rPr>
          <w:lang w:val="en-US"/>
        </w:rPr>
        <w:t xml:space="preserve"> granted under article 11</w:t>
      </w:r>
      <w:r>
        <w:rPr>
          <w:lang w:val="en-US"/>
        </w:rPr>
        <w:t xml:space="preserve"> …</w:t>
      </w:r>
    </w:p>
    <w:p w14:paraId="3164B711" w14:textId="01F96DF6" w:rsidR="008873AC" w:rsidRDefault="00F438F7" w:rsidP="005B5E63">
      <w:pPr>
        <w:pStyle w:val="Quote"/>
        <w:rPr>
          <w:lang w:val="en-US"/>
        </w:rPr>
      </w:pPr>
      <w:r>
        <w:rPr>
          <w:lang w:val="en-US"/>
        </w:rPr>
        <w:t>(</w:t>
      </w:r>
      <w:r w:rsidRPr="00F438F7">
        <w:rPr>
          <w:lang w:val="en-US"/>
        </w:rPr>
        <w:t>4) In proceedings for an o</w:t>
      </w:r>
      <w:r>
        <w:rPr>
          <w:lang w:val="en-US"/>
        </w:rPr>
        <w:t>ff</w:t>
      </w:r>
      <w:r w:rsidRPr="00F438F7">
        <w:rPr>
          <w:lang w:val="en-US"/>
        </w:rPr>
        <w:t>ence under this article, it is a defence for a</w:t>
      </w:r>
      <w:r>
        <w:rPr>
          <w:lang w:val="en-US"/>
        </w:rPr>
        <w:t xml:space="preserve"> </w:t>
      </w:r>
      <w:r w:rsidRPr="00F438F7">
        <w:rPr>
          <w:lang w:val="en-US"/>
        </w:rPr>
        <w:t>person to show that he did not know and had no reasonable cause to</w:t>
      </w:r>
      <w:r>
        <w:rPr>
          <w:lang w:val="en-US"/>
        </w:rPr>
        <w:t xml:space="preserve"> </w:t>
      </w:r>
      <w:r w:rsidRPr="00F438F7">
        <w:rPr>
          <w:lang w:val="en-US"/>
        </w:rPr>
        <w:t>suspect that he was dealing with funds or economic resources belonging</w:t>
      </w:r>
      <w:r>
        <w:rPr>
          <w:lang w:val="en-US"/>
        </w:rPr>
        <w:t xml:space="preserve"> </w:t>
      </w:r>
      <w:r w:rsidRPr="00F438F7">
        <w:rPr>
          <w:lang w:val="en-US"/>
        </w:rPr>
        <w:t>to, owned or held by a person referred to in paragraph (2).</w:t>
      </w:r>
      <w:r>
        <w:rPr>
          <w:lang w:val="en-US"/>
        </w:rPr>
        <w:t>”</w:t>
      </w:r>
    </w:p>
    <w:p w14:paraId="01441E78" w14:textId="77777777" w:rsidR="00E56370" w:rsidRDefault="00E56370" w:rsidP="00E56370">
      <w:pPr>
        <w:pStyle w:val="BodyText"/>
        <w:numPr>
          <w:ilvl w:val="0"/>
          <w:numId w:val="0"/>
        </w:numPr>
        <w:ind w:left="567"/>
        <w:rPr>
          <w:color w:val="000000" w:themeColor="text1"/>
          <w:lang w:val="en-US"/>
        </w:rPr>
      </w:pPr>
      <w:r>
        <w:rPr>
          <w:color w:val="000000" w:themeColor="text1"/>
          <w:lang w:val="en-US"/>
        </w:rPr>
        <w:t>There one can see the offence and defence clearly and separately delineated.</w:t>
      </w:r>
    </w:p>
    <w:p w14:paraId="6DE431C1" w14:textId="5625CE8E" w:rsidR="00E84363" w:rsidRPr="00E84363" w:rsidRDefault="00055466" w:rsidP="00E84363">
      <w:pPr>
        <w:pStyle w:val="BodyText"/>
        <w:rPr>
          <w:color w:val="000000" w:themeColor="text1"/>
          <w:lang w:val="en-US"/>
        </w:rPr>
      </w:pPr>
      <w:r>
        <w:rPr>
          <w:color w:val="000000" w:themeColor="text1"/>
          <w:lang w:val="en-US"/>
        </w:rPr>
        <w:t>Mr Bedzhamov</w:t>
      </w:r>
      <w:r w:rsidR="00E84363" w:rsidRPr="00E84363">
        <w:rPr>
          <w:color w:val="000000" w:themeColor="text1"/>
          <w:lang w:val="en-US"/>
        </w:rPr>
        <w:t xml:space="preserve">’s contention that the </w:t>
      </w:r>
      <w:r w:rsidR="00692F9A">
        <w:rPr>
          <w:color w:val="000000" w:themeColor="text1"/>
          <w:lang w:val="en-US"/>
        </w:rPr>
        <w:t>“</w:t>
      </w:r>
      <w:r w:rsidR="00E84363" w:rsidRPr="00E84363">
        <w:rPr>
          <w:color w:val="000000" w:themeColor="text1"/>
          <w:lang w:val="en-US"/>
        </w:rPr>
        <w:t>reasonable cause to suspect</w:t>
      </w:r>
      <w:r w:rsidR="00692F9A">
        <w:rPr>
          <w:color w:val="000000" w:themeColor="text1"/>
          <w:lang w:val="en-US"/>
        </w:rPr>
        <w:t>”</w:t>
      </w:r>
      <w:r w:rsidR="00E84363" w:rsidRPr="00E84363">
        <w:rPr>
          <w:color w:val="000000" w:themeColor="text1"/>
          <w:lang w:val="en-US"/>
        </w:rPr>
        <w:t xml:space="preserve"> operates as a defence to the criminal offence therefore also offends the principle of strict </w:t>
      </w:r>
      <w:r w:rsidR="00E84363" w:rsidRPr="00E84363">
        <w:rPr>
          <w:color w:val="000000" w:themeColor="text1"/>
          <w:lang w:val="en-US"/>
        </w:rPr>
        <w:lastRenderedPageBreak/>
        <w:t>interpretation of penal legislation because it would shift the burden of proof onto the individual</w:t>
      </w:r>
      <w:r w:rsidR="002C6272">
        <w:rPr>
          <w:color w:val="000000" w:themeColor="text1"/>
          <w:lang w:val="en-US"/>
        </w:rPr>
        <w:t>,</w:t>
      </w:r>
      <w:r w:rsidR="00E84363" w:rsidRPr="00E84363">
        <w:rPr>
          <w:color w:val="000000" w:themeColor="text1"/>
          <w:lang w:val="en-US"/>
        </w:rPr>
        <w:t xml:space="preserve"> thereby reading down the criminal law protections which the legislator provided to that individual.</w:t>
      </w:r>
    </w:p>
    <w:p w14:paraId="6655AA2E" w14:textId="1AF826DC" w:rsidR="00E84363" w:rsidRPr="00E84363" w:rsidRDefault="00055466" w:rsidP="00E84363">
      <w:pPr>
        <w:pStyle w:val="BodyText"/>
        <w:rPr>
          <w:color w:val="000000" w:themeColor="text1"/>
          <w:lang w:val="en-US"/>
        </w:rPr>
      </w:pPr>
      <w:r>
        <w:rPr>
          <w:color w:val="000000" w:themeColor="text1"/>
          <w:lang w:val="en-US"/>
        </w:rPr>
        <w:t>Mr Bedzhamov</w:t>
      </w:r>
      <w:r w:rsidR="00E84363" w:rsidRPr="00E84363">
        <w:rPr>
          <w:color w:val="000000" w:themeColor="text1"/>
          <w:lang w:val="en-US"/>
        </w:rPr>
        <w:t xml:space="preserve">'s second response was to argue that this was not a problem because a breach of this prohibition falls </w:t>
      </w:r>
      <w:proofErr w:type="spellStart"/>
      <w:r w:rsidR="00E84363" w:rsidRPr="00E84363">
        <w:rPr>
          <w:color w:val="000000" w:themeColor="text1"/>
          <w:lang w:val="en-US"/>
        </w:rPr>
        <w:t>outwith</w:t>
      </w:r>
      <w:proofErr w:type="spellEnd"/>
      <w:r w:rsidR="00E84363" w:rsidRPr="00E84363">
        <w:rPr>
          <w:color w:val="000000" w:themeColor="text1"/>
          <w:lang w:val="en-US"/>
        </w:rPr>
        <w:t xml:space="preserve"> the enforcement regime of the Regulations. That </w:t>
      </w:r>
      <w:r w:rsidR="00DD4A76">
        <w:rPr>
          <w:color w:val="000000" w:themeColor="text1"/>
          <w:lang w:val="en-US"/>
        </w:rPr>
        <w:t xml:space="preserve">is an unattractive approach for all sorts of reasons. Amongst them is the fact that this </w:t>
      </w:r>
      <w:r w:rsidR="00E84363" w:rsidRPr="00E84363">
        <w:rPr>
          <w:color w:val="000000" w:themeColor="text1"/>
          <w:lang w:val="en-US"/>
        </w:rPr>
        <w:t xml:space="preserve">does not of course evade the problem with the prohibition against doubtful </w:t>
      </w:r>
      <w:proofErr w:type="spellStart"/>
      <w:r w:rsidR="00E84363" w:rsidRPr="00E84363">
        <w:rPr>
          <w:color w:val="000000" w:themeColor="text1"/>
          <w:lang w:val="en-US"/>
        </w:rPr>
        <w:t>penalisation</w:t>
      </w:r>
      <w:proofErr w:type="spellEnd"/>
      <w:r w:rsidR="00E84363" w:rsidRPr="00E84363">
        <w:rPr>
          <w:color w:val="000000" w:themeColor="text1"/>
          <w:lang w:val="en-US"/>
        </w:rPr>
        <w:t>. But also</w:t>
      </w:r>
      <w:r w:rsidR="00692F9A">
        <w:rPr>
          <w:color w:val="000000" w:themeColor="text1"/>
          <w:lang w:val="en-US"/>
        </w:rPr>
        <w:t>,</w:t>
      </w:r>
      <w:r w:rsidR="00E84363" w:rsidRPr="00E84363">
        <w:rPr>
          <w:color w:val="000000" w:themeColor="text1"/>
          <w:lang w:val="en-US"/>
        </w:rPr>
        <w:t xml:space="preserve"> if </w:t>
      </w:r>
      <w:r w:rsidR="00965782">
        <w:rPr>
          <w:color w:val="000000" w:themeColor="text1"/>
          <w:lang w:val="en-US"/>
        </w:rPr>
        <w:t xml:space="preserve">this were </w:t>
      </w:r>
      <w:r w:rsidR="00E84363" w:rsidRPr="00E84363">
        <w:rPr>
          <w:color w:val="000000" w:themeColor="text1"/>
          <w:lang w:val="en-US"/>
        </w:rPr>
        <w:t>correct, this would (</w:t>
      </w:r>
      <w:proofErr w:type="spellStart"/>
      <w:r w:rsidR="00E84363" w:rsidRPr="00E84363">
        <w:rPr>
          <w:color w:val="000000" w:themeColor="text1"/>
          <w:lang w:val="en-US"/>
        </w:rPr>
        <w:t>i</w:t>
      </w:r>
      <w:proofErr w:type="spellEnd"/>
      <w:r w:rsidR="00E84363" w:rsidRPr="00E84363">
        <w:rPr>
          <w:color w:val="000000" w:themeColor="text1"/>
          <w:lang w:val="en-US"/>
        </w:rPr>
        <w:t xml:space="preserve">) establish a set of prohibitions within Regulations 11-15 shorn of any enforcement mechanism; (ii) require different readings of same words within the prohibitions dependent upon situation; </w:t>
      </w:r>
      <w:r w:rsidR="00F74209">
        <w:rPr>
          <w:color w:val="000000" w:themeColor="text1"/>
          <w:lang w:val="en-US"/>
        </w:rPr>
        <w:t xml:space="preserve">(iii) </w:t>
      </w:r>
      <w:r w:rsidR="00E84363" w:rsidRPr="00E84363">
        <w:rPr>
          <w:color w:val="000000" w:themeColor="text1"/>
          <w:lang w:val="en-US"/>
        </w:rPr>
        <w:t xml:space="preserve">be inconsistent with the previous EU and UK implementing regulations; and (iv) </w:t>
      </w:r>
      <w:r w:rsidR="00965782">
        <w:rPr>
          <w:color w:val="000000" w:themeColor="text1"/>
          <w:lang w:val="en-US"/>
        </w:rPr>
        <w:t>be</w:t>
      </w:r>
      <w:r w:rsidR="00E84363" w:rsidRPr="00E84363">
        <w:rPr>
          <w:color w:val="000000" w:themeColor="text1"/>
          <w:lang w:val="en-US"/>
        </w:rPr>
        <w:t xml:space="preserve"> rooted only on a particular reading of non-statutory OFSI guidance.</w:t>
      </w:r>
    </w:p>
    <w:p w14:paraId="7A1DAA39" w14:textId="0371F375" w:rsidR="004D56F5" w:rsidRDefault="00E84363" w:rsidP="00E84363">
      <w:pPr>
        <w:pStyle w:val="BodyText"/>
        <w:rPr>
          <w:color w:val="000000" w:themeColor="text1"/>
          <w:lang w:val="en-US"/>
        </w:rPr>
      </w:pPr>
      <w:r w:rsidRPr="00E84363">
        <w:rPr>
          <w:color w:val="000000" w:themeColor="text1"/>
          <w:lang w:val="en-US"/>
        </w:rPr>
        <w:t xml:space="preserve">The point is rendered in </w:t>
      </w:r>
      <w:r w:rsidR="00965782">
        <w:rPr>
          <w:color w:val="000000" w:themeColor="text1"/>
          <w:lang w:val="en-US"/>
        </w:rPr>
        <w:t>our</w:t>
      </w:r>
      <w:r w:rsidRPr="00E84363">
        <w:rPr>
          <w:color w:val="000000" w:themeColor="text1"/>
          <w:lang w:val="en-US"/>
        </w:rPr>
        <w:t xml:space="preserve"> judgment absolutely conclusive against </w:t>
      </w:r>
      <w:r w:rsidR="00055466">
        <w:rPr>
          <w:color w:val="000000" w:themeColor="text1"/>
          <w:lang w:val="en-US"/>
        </w:rPr>
        <w:t>Mr Bedzhamov</w:t>
      </w:r>
      <w:r w:rsidRPr="00E84363">
        <w:rPr>
          <w:color w:val="000000" w:themeColor="text1"/>
          <w:lang w:val="en-US"/>
        </w:rPr>
        <w:t xml:space="preserve"> when one considers the history of the relevant measures. This lies in the </w:t>
      </w:r>
      <w:r w:rsidR="00380BAD">
        <w:rPr>
          <w:color w:val="000000" w:themeColor="text1"/>
          <w:lang w:val="en-US"/>
        </w:rPr>
        <w:t xml:space="preserve">2014 </w:t>
      </w:r>
      <w:r w:rsidRPr="00E84363">
        <w:rPr>
          <w:color w:val="000000" w:themeColor="text1"/>
          <w:lang w:val="en-US"/>
        </w:rPr>
        <w:t xml:space="preserve">EU Regulations from which, as was noted by the Court of Appeal in </w:t>
      </w:r>
      <w:r w:rsidRPr="00380BAD">
        <w:rPr>
          <w:i/>
          <w:iCs/>
          <w:color w:val="000000" w:themeColor="text1"/>
          <w:lang w:val="en-US"/>
        </w:rPr>
        <w:t>Mints</w:t>
      </w:r>
      <w:r w:rsidR="00965782">
        <w:rPr>
          <w:color w:val="000000" w:themeColor="text1"/>
          <w:lang w:val="en-US"/>
        </w:rPr>
        <w:t>,</w:t>
      </w:r>
      <w:r w:rsidRPr="00E84363">
        <w:rPr>
          <w:color w:val="000000" w:themeColor="text1"/>
          <w:lang w:val="en-US"/>
        </w:rPr>
        <w:t xml:space="preserve"> the </w:t>
      </w:r>
      <w:r w:rsidR="00380BAD">
        <w:rPr>
          <w:color w:val="000000" w:themeColor="text1"/>
          <w:lang w:val="en-US"/>
        </w:rPr>
        <w:t xml:space="preserve">2019 </w:t>
      </w:r>
      <w:r w:rsidRPr="00E84363">
        <w:rPr>
          <w:color w:val="000000" w:themeColor="text1"/>
          <w:lang w:val="en-US"/>
        </w:rPr>
        <w:t>Regulation</w:t>
      </w:r>
      <w:r w:rsidR="00380BAD">
        <w:rPr>
          <w:color w:val="000000" w:themeColor="text1"/>
          <w:lang w:val="en-US"/>
        </w:rPr>
        <w:t>s</w:t>
      </w:r>
      <w:r w:rsidRPr="00E84363">
        <w:rPr>
          <w:color w:val="000000" w:themeColor="text1"/>
          <w:lang w:val="en-US"/>
        </w:rPr>
        <w:t xml:space="preserve"> derive. And, as the Court recorded</w:t>
      </w:r>
      <w:r w:rsidR="005803F1">
        <w:rPr>
          <w:color w:val="000000" w:themeColor="text1"/>
          <w:lang w:val="en-US"/>
        </w:rPr>
        <w:t xml:space="preserve"> at </w:t>
      </w:r>
      <w:r w:rsidR="005803F1" w:rsidRPr="00E84363">
        <w:rPr>
          <w:color w:val="000000" w:themeColor="text1"/>
          <w:lang w:val="en-US"/>
        </w:rPr>
        <w:t>[189]</w:t>
      </w:r>
      <w:r w:rsidRPr="00E84363">
        <w:rPr>
          <w:color w:val="000000" w:themeColor="text1"/>
          <w:lang w:val="en-US"/>
        </w:rPr>
        <w:t xml:space="preserve">: </w:t>
      </w:r>
    </w:p>
    <w:p w14:paraId="7F6E844B" w14:textId="45958920" w:rsidR="00E84363" w:rsidRPr="00E84363" w:rsidRDefault="00692F9A" w:rsidP="004D56F5">
      <w:pPr>
        <w:pStyle w:val="Quote"/>
        <w:rPr>
          <w:lang w:val="en-US"/>
        </w:rPr>
      </w:pPr>
      <w:r>
        <w:rPr>
          <w:lang w:val="en-US"/>
        </w:rPr>
        <w:t>“</w:t>
      </w:r>
      <w:r w:rsidR="00E84363" w:rsidRPr="00380BAD">
        <w:rPr>
          <w:lang w:val="en-US"/>
        </w:rPr>
        <w:t>The intention of Parliament and the Government was to continue the EU regime without substantive change and “differences are to be explained as putting the same thing differently</w:t>
      </w:r>
      <w:r w:rsidR="00965782" w:rsidRPr="00380BAD">
        <w:rPr>
          <w:lang w:val="en-US"/>
        </w:rPr>
        <w:t>”</w:t>
      </w:r>
      <w:r w:rsidR="00380BAD">
        <w:rPr>
          <w:lang w:val="en-US"/>
        </w:rPr>
        <w:t>.</w:t>
      </w:r>
      <w:r w:rsidR="00E84363" w:rsidRPr="00E84363">
        <w:rPr>
          <w:lang w:val="en-US"/>
        </w:rPr>
        <w:t xml:space="preserve"> </w:t>
      </w:r>
    </w:p>
    <w:p w14:paraId="1A1EBC4F" w14:textId="4CBE9DFB" w:rsidR="00290ABC" w:rsidRPr="00290ABC" w:rsidRDefault="00E84363" w:rsidP="00717A4B">
      <w:pPr>
        <w:pStyle w:val="BodyText"/>
        <w:rPr>
          <w:lang w:val="en-US"/>
        </w:rPr>
      </w:pPr>
      <w:r w:rsidRPr="00290ABC">
        <w:rPr>
          <w:lang w:val="en-US"/>
        </w:rPr>
        <w:t xml:space="preserve">Article 2 of the 2014 EU Regulation required Member States to freeze </w:t>
      </w:r>
      <w:r w:rsidRPr="00064037">
        <w:rPr>
          <w:lang w:val="en-US"/>
        </w:rPr>
        <w:t>“</w:t>
      </w:r>
      <w:r w:rsidRPr="00380BAD">
        <w:rPr>
          <w:i/>
          <w:iCs/>
          <w:lang w:val="en-US"/>
        </w:rPr>
        <w:t>[a]</w:t>
      </w:r>
      <w:proofErr w:type="spellStart"/>
      <w:r w:rsidRPr="00380BAD">
        <w:rPr>
          <w:i/>
          <w:iCs/>
          <w:lang w:val="en-US"/>
        </w:rPr>
        <w:t>ll</w:t>
      </w:r>
      <w:proofErr w:type="spellEnd"/>
      <w:r w:rsidRPr="00380BAD">
        <w:rPr>
          <w:i/>
          <w:iCs/>
          <w:lang w:val="en-US"/>
        </w:rPr>
        <w:t xml:space="preserve"> funds and economic resources belonging to, owned, held or controlled by [DPs]”</w:t>
      </w:r>
      <w:r w:rsidRPr="00290ABC">
        <w:rPr>
          <w:lang w:val="en-US"/>
        </w:rPr>
        <w:t xml:space="preserve"> and ensure </w:t>
      </w:r>
      <w:r w:rsidRPr="00380BAD">
        <w:rPr>
          <w:i/>
          <w:iCs/>
          <w:lang w:val="en-US"/>
        </w:rPr>
        <w:t>“[n]o funds or economic resources shall be made available, directly or indirectly, to or for the benefit of [DPs]</w:t>
      </w:r>
      <w:r w:rsidRPr="00064037">
        <w:rPr>
          <w:lang w:val="en-US"/>
        </w:rPr>
        <w:t>”</w:t>
      </w:r>
      <w:r w:rsidRPr="00290ABC">
        <w:rPr>
          <w:lang w:val="en-US"/>
        </w:rPr>
        <w:t xml:space="preserve">. </w:t>
      </w:r>
      <w:proofErr w:type="gramStart"/>
      <w:r w:rsidR="00FC4482" w:rsidRPr="00290ABC">
        <w:rPr>
          <w:lang w:val="en-US"/>
        </w:rPr>
        <w:t>Thus</w:t>
      </w:r>
      <w:proofErr w:type="gramEnd"/>
      <w:r w:rsidR="00FC4482" w:rsidRPr="00290ABC">
        <w:rPr>
          <w:lang w:val="en-US"/>
        </w:rPr>
        <w:t xml:space="preserve"> it is perfectly clear that in the EU Regulations from which the Regulations derive, the test as to ownership and control was (and is)</w:t>
      </w:r>
      <w:r w:rsidRPr="00290ABC">
        <w:rPr>
          <w:lang w:val="en-US"/>
        </w:rPr>
        <w:t xml:space="preserve"> a purely factual test</w:t>
      </w:r>
      <w:r w:rsidR="00380BAD">
        <w:rPr>
          <w:lang w:val="en-US"/>
        </w:rPr>
        <w:t>.</w:t>
      </w:r>
      <w:r w:rsidRPr="00290ABC">
        <w:rPr>
          <w:lang w:val="en-US"/>
        </w:rPr>
        <w:t xml:space="preserve"> It did not prohibit the dealing with </w:t>
      </w:r>
      <w:r w:rsidR="001D7A62" w:rsidRPr="00290ABC">
        <w:rPr>
          <w:lang w:val="en-US"/>
        </w:rPr>
        <w:t>(</w:t>
      </w:r>
      <w:r w:rsidRPr="00290ABC">
        <w:rPr>
          <w:lang w:val="en-US"/>
        </w:rPr>
        <w:t xml:space="preserve">or provision </w:t>
      </w:r>
      <w:proofErr w:type="spellStart"/>
      <w:r w:rsidRPr="00290ABC">
        <w:rPr>
          <w:lang w:val="en-US"/>
        </w:rPr>
        <w:t>etc</w:t>
      </w:r>
      <w:proofErr w:type="spellEnd"/>
      <w:r w:rsidRPr="00290ABC">
        <w:rPr>
          <w:lang w:val="en-US"/>
        </w:rPr>
        <w:t xml:space="preserve"> </w:t>
      </w:r>
      <w:proofErr w:type="gramStart"/>
      <w:r w:rsidRPr="00290ABC">
        <w:rPr>
          <w:lang w:val="en-US"/>
        </w:rPr>
        <w:t xml:space="preserve">of </w:t>
      </w:r>
      <w:r w:rsidR="001D7A62" w:rsidRPr="00290ABC">
        <w:rPr>
          <w:lang w:val="en-US"/>
        </w:rPr>
        <w:t>)</w:t>
      </w:r>
      <w:proofErr w:type="gramEnd"/>
      <w:r w:rsidR="001D7A62" w:rsidRPr="00290ABC">
        <w:rPr>
          <w:lang w:val="en-US"/>
        </w:rPr>
        <w:t xml:space="preserve"> </w:t>
      </w:r>
      <w:r w:rsidRPr="00290ABC">
        <w:rPr>
          <w:lang w:val="en-US"/>
        </w:rPr>
        <w:t xml:space="preserve">funds or economic resources to persons in respect of which there was only </w:t>
      </w:r>
      <w:r w:rsidRPr="00290ABC">
        <w:rPr>
          <w:b/>
          <w:bCs/>
          <w:lang w:val="en-US"/>
        </w:rPr>
        <w:t>reasonable cause to suspect</w:t>
      </w:r>
      <w:r w:rsidRPr="00290ABC">
        <w:rPr>
          <w:lang w:val="en-US"/>
        </w:rPr>
        <w:t xml:space="preserve"> they were DPs</w:t>
      </w:r>
      <w:r w:rsidR="001D7A62" w:rsidRPr="00290ABC">
        <w:rPr>
          <w:lang w:val="en-US"/>
        </w:rPr>
        <w:t>. T</w:t>
      </w:r>
      <w:r w:rsidRPr="00290ABC">
        <w:rPr>
          <w:lang w:val="en-US"/>
        </w:rPr>
        <w:t>he mental element of knowledge or reasonable cause to suspect was introduced separately (in Article 10(2)) as a requirement before a person could be liable for a breach of the asset freezing measures in Article 2</w:t>
      </w:r>
      <w:r w:rsidR="00290ABC" w:rsidRPr="00290ABC">
        <w:rPr>
          <w:lang w:val="en-US"/>
        </w:rPr>
        <w:t xml:space="preserve">: </w:t>
      </w:r>
      <w:r w:rsidR="00290ABC" w:rsidRPr="00064037">
        <w:rPr>
          <w:lang w:val="en-US"/>
        </w:rPr>
        <w:t>“</w:t>
      </w:r>
      <w:r w:rsidR="00290ABC" w:rsidRPr="00B16382">
        <w:rPr>
          <w:i/>
          <w:iCs/>
          <w:color w:val="000000" w:themeColor="text1"/>
          <w:lang w:val="en-US"/>
        </w:rPr>
        <w:t>Actions by natural or legal persons, entities or bodies shall not give rise to any liability of any kind on their part if they did not know, and had no reasonable cause to suspect, that their actions would infringe the measures set out in this Regulation</w:t>
      </w:r>
      <w:r w:rsidR="00290ABC" w:rsidRPr="00064037">
        <w:rPr>
          <w:color w:val="000000" w:themeColor="text1"/>
          <w:lang w:val="en-US"/>
        </w:rPr>
        <w:t>”</w:t>
      </w:r>
      <w:r w:rsidR="00D55805">
        <w:rPr>
          <w:color w:val="000000" w:themeColor="text1"/>
          <w:lang w:val="en-US"/>
        </w:rPr>
        <w:t>. It is worth pausing here to note that this provision makes clear that no liability arises</w:t>
      </w:r>
      <w:r w:rsidR="00AB6725">
        <w:rPr>
          <w:color w:val="000000" w:themeColor="text1"/>
          <w:lang w:val="en-US"/>
        </w:rPr>
        <w:t xml:space="preserve"> unless (</w:t>
      </w:r>
      <w:proofErr w:type="spellStart"/>
      <w:r w:rsidR="00AB6725">
        <w:rPr>
          <w:color w:val="000000" w:themeColor="text1"/>
          <w:lang w:val="en-US"/>
        </w:rPr>
        <w:t>i</w:t>
      </w:r>
      <w:proofErr w:type="spellEnd"/>
      <w:r w:rsidR="00AB6725">
        <w:rPr>
          <w:color w:val="000000" w:themeColor="text1"/>
          <w:lang w:val="en-US"/>
        </w:rPr>
        <w:t>) ownership in fact and (ii) knowledge or reasonable cause to suspect. This is the antithesis of liability</w:t>
      </w:r>
      <w:r w:rsidR="005E394B">
        <w:rPr>
          <w:color w:val="000000" w:themeColor="text1"/>
          <w:lang w:val="en-US"/>
        </w:rPr>
        <w:t xml:space="preserve"> diluted by either defence or non-enforcement.</w:t>
      </w:r>
    </w:p>
    <w:p w14:paraId="4DD62C6D" w14:textId="07E3BBDD" w:rsidR="00E84363" w:rsidRPr="00E84363" w:rsidRDefault="00E84363" w:rsidP="00E84363">
      <w:pPr>
        <w:pStyle w:val="BodyText"/>
        <w:rPr>
          <w:color w:val="000000" w:themeColor="text1"/>
          <w:lang w:val="en-US"/>
        </w:rPr>
      </w:pPr>
      <w:r w:rsidRPr="00E84363">
        <w:rPr>
          <w:color w:val="000000" w:themeColor="text1"/>
          <w:lang w:val="en-US"/>
        </w:rPr>
        <w:t xml:space="preserve">This </w:t>
      </w:r>
      <w:r w:rsidR="005E394B">
        <w:rPr>
          <w:color w:val="000000" w:themeColor="text1"/>
          <w:lang w:val="en-US"/>
        </w:rPr>
        <w:t xml:space="preserve">wording therefore </w:t>
      </w:r>
      <w:r w:rsidRPr="00E84363">
        <w:rPr>
          <w:color w:val="000000" w:themeColor="text1"/>
          <w:lang w:val="en-US"/>
        </w:rPr>
        <w:t xml:space="preserve">makes clear that the </w:t>
      </w:r>
      <w:r w:rsidR="00B16382">
        <w:rPr>
          <w:color w:val="000000" w:themeColor="text1"/>
          <w:lang w:val="en-US"/>
        </w:rPr>
        <w:t xml:space="preserve">2014 </w:t>
      </w:r>
      <w:r w:rsidR="00290ABC">
        <w:rPr>
          <w:color w:val="000000" w:themeColor="text1"/>
          <w:lang w:val="en-US"/>
        </w:rPr>
        <w:t xml:space="preserve">EU </w:t>
      </w:r>
      <w:r w:rsidRPr="00E84363">
        <w:rPr>
          <w:color w:val="000000" w:themeColor="text1"/>
          <w:lang w:val="en-US"/>
        </w:rPr>
        <w:t xml:space="preserve">Regulation bites on funds in fact controlled </w:t>
      </w:r>
      <w:proofErr w:type="spellStart"/>
      <w:r w:rsidRPr="00E84363">
        <w:rPr>
          <w:color w:val="000000" w:themeColor="text1"/>
          <w:lang w:val="en-US"/>
        </w:rPr>
        <w:t>etc</w:t>
      </w:r>
      <w:proofErr w:type="spellEnd"/>
      <w:r w:rsidR="00F74209">
        <w:rPr>
          <w:color w:val="000000" w:themeColor="text1"/>
          <w:lang w:val="en-US"/>
        </w:rPr>
        <w:t xml:space="preserve"> by DPs</w:t>
      </w:r>
      <w:r w:rsidRPr="00E84363">
        <w:rPr>
          <w:color w:val="000000" w:themeColor="text1"/>
          <w:lang w:val="en-US"/>
        </w:rPr>
        <w:t xml:space="preserve">. Regulations 3 and 4 of the </w:t>
      </w:r>
      <w:r w:rsidR="009C1E69">
        <w:rPr>
          <w:color w:val="000000" w:themeColor="text1"/>
          <w:lang w:val="en-US"/>
        </w:rPr>
        <w:t>2014</w:t>
      </w:r>
      <w:r w:rsidRPr="00E84363">
        <w:rPr>
          <w:color w:val="000000" w:themeColor="text1"/>
          <w:lang w:val="en-US"/>
        </w:rPr>
        <w:t xml:space="preserve"> </w:t>
      </w:r>
      <w:r w:rsidR="003F277F">
        <w:rPr>
          <w:color w:val="000000" w:themeColor="text1"/>
          <w:lang w:val="en-US"/>
        </w:rPr>
        <w:t>UK</w:t>
      </w:r>
      <w:r w:rsidR="00B16382">
        <w:rPr>
          <w:color w:val="000000" w:themeColor="text1"/>
          <w:lang w:val="en-US"/>
        </w:rPr>
        <w:t xml:space="preserve"> </w:t>
      </w:r>
      <w:r w:rsidRPr="00E84363">
        <w:rPr>
          <w:color w:val="000000" w:themeColor="text1"/>
          <w:lang w:val="en-US"/>
        </w:rPr>
        <w:t>Regulation</w:t>
      </w:r>
      <w:r w:rsidR="00331EC0">
        <w:rPr>
          <w:color w:val="000000" w:themeColor="text1"/>
          <w:lang w:val="en-US"/>
        </w:rPr>
        <w:t xml:space="preserve"> (the Ukraine (European Union Financial Sanctions) (No 2) Regulations)</w:t>
      </w:r>
      <w:r w:rsidRPr="00E84363">
        <w:rPr>
          <w:color w:val="000000" w:themeColor="text1"/>
          <w:lang w:val="en-US"/>
        </w:rPr>
        <w:t xml:space="preserve"> implemented these prohibitions with the required mental element</w:t>
      </w:r>
      <w:r w:rsidR="0010620B">
        <w:rPr>
          <w:color w:val="000000" w:themeColor="text1"/>
          <w:lang w:val="en-US"/>
        </w:rPr>
        <w:t xml:space="preserve"> rolled up into the one Regulation. Those regulations</w:t>
      </w:r>
      <w:r w:rsidRPr="00E84363">
        <w:rPr>
          <w:color w:val="000000" w:themeColor="text1"/>
          <w:lang w:val="en-US"/>
        </w:rPr>
        <w:t xml:space="preserve"> are</w:t>
      </w:r>
      <w:r w:rsidR="005B5E63">
        <w:rPr>
          <w:color w:val="000000" w:themeColor="text1"/>
          <w:lang w:val="en-US"/>
        </w:rPr>
        <w:t xml:space="preserve"> </w:t>
      </w:r>
      <w:r w:rsidR="0010620B">
        <w:rPr>
          <w:color w:val="000000" w:themeColor="text1"/>
          <w:lang w:val="en-US"/>
        </w:rPr>
        <w:t xml:space="preserve">then </w:t>
      </w:r>
      <w:r w:rsidRPr="00E84363">
        <w:rPr>
          <w:color w:val="000000" w:themeColor="text1"/>
          <w:lang w:val="en-US"/>
        </w:rPr>
        <w:t>in substantially the same terms as Regulations 11 and 12</w:t>
      </w:r>
      <w:r w:rsidR="006937C4">
        <w:rPr>
          <w:color w:val="000000" w:themeColor="text1"/>
          <w:lang w:val="en-US"/>
        </w:rPr>
        <w:t xml:space="preserve"> of the 2019 Regulations</w:t>
      </w:r>
      <w:r w:rsidRPr="00E84363">
        <w:rPr>
          <w:color w:val="000000" w:themeColor="text1"/>
          <w:lang w:val="en-US"/>
        </w:rPr>
        <w:t xml:space="preserve">. </w:t>
      </w:r>
      <w:r w:rsidR="007854BF">
        <w:rPr>
          <w:color w:val="000000" w:themeColor="text1"/>
          <w:lang w:val="en-US"/>
        </w:rPr>
        <w:t>The</w:t>
      </w:r>
      <w:r w:rsidR="00F265F6">
        <w:rPr>
          <w:color w:val="000000" w:themeColor="text1"/>
          <w:lang w:val="en-US"/>
        </w:rPr>
        <w:t xml:space="preserve"> continuum of statutory approach is illustrated in the table attached to this judgment as Appendix 1</w:t>
      </w:r>
      <w:r w:rsidR="00646E60">
        <w:rPr>
          <w:color w:val="000000" w:themeColor="text1"/>
          <w:lang w:val="en-US"/>
        </w:rPr>
        <w:t>.</w:t>
      </w:r>
    </w:p>
    <w:p w14:paraId="01F860F6" w14:textId="4A26CFD5" w:rsidR="009C1E69" w:rsidRDefault="00E84363" w:rsidP="00E84363">
      <w:pPr>
        <w:pStyle w:val="BodyText"/>
        <w:rPr>
          <w:color w:val="000000" w:themeColor="text1"/>
          <w:lang w:val="en-US"/>
        </w:rPr>
      </w:pPr>
      <w:r w:rsidRPr="00E84363">
        <w:rPr>
          <w:color w:val="000000" w:themeColor="text1"/>
          <w:lang w:val="en-US"/>
        </w:rPr>
        <w:lastRenderedPageBreak/>
        <w:t xml:space="preserve">The second part of the EU regime which </w:t>
      </w:r>
      <w:r w:rsidR="00177492">
        <w:rPr>
          <w:color w:val="000000" w:themeColor="text1"/>
          <w:lang w:val="en-US"/>
        </w:rPr>
        <w:t>i</w:t>
      </w:r>
      <w:r w:rsidRPr="00E84363">
        <w:rPr>
          <w:color w:val="000000" w:themeColor="text1"/>
          <w:lang w:val="en-US"/>
        </w:rPr>
        <w:t xml:space="preserve">s relevant is Article 15(1) of the 2014 EU Regulation which required Member States to establish an enforcement regime of </w:t>
      </w:r>
      <w:r w:rsidRPr="00064037">
        <w:rPr>
          <w:color w:val="000000" w:themeColor="text1"/>
          <w:lang w:val="en-US"/>
        </w:rPr>
        <w:t>“</w:t>
      </w:r>
      <w:r w:rsidRPr="005B5E63">
        <w:rPr>
          <w:i/>
          <w:iCs/>
          <w:color w:val="000000" w:themeColor="text1"/>
          <w:lang w:val="en-US"/>
        </w:rPr>
        <w:t>penalties applicable to infringements of the provisions of this Regulation …[which] must be effective, proportionate and dissuasive.</w:t>
      </w:r>
      <w:r w:rsidRPr="00064037">
        <w:rPr>
          <w:color w:val="000000" w:themeColor="text1"/>
          <w:lang w:val="en-US"/>
        </w:rPr>
        <w:t>”</w:t>
      </w:r>
      <w:r w:rsidRPr="00E84363">
        <w:rPr>
          <w:color w:val="000000" w:themeColor="text1"/>
          <w:lang w:val="en-US"/>
        </w:rPr>
        <w:t xml:space="preserve"> This was an obligation to ensure that all breaches of the prohibitions were enforceable through a penalty scheme</w:t>
      </w:r>
      <w:r w:rsidR="009C1E69">
        <w:rPr>
          <w:color w:val="000000" w:themeColor="text1"/>
          <w:lang w:val="en-US"/>
        </w:rPr>
        <w:t>. T</w:t>
      </w:r>
      <w:r w:rsidRPr="00E84363">
        <w:rPr>
          <w:color w:val="000000" w:themeColor="text1"/>
          <w:lang w:val="en-US"/>
        </w:rPr>
        <w:t xml:space="preserve">hat is what the UK implemented through </w:t>
      </w:r>
      <w:r w:rsidR="009C1E69">
        <w:rPr>
          <w:color w:val="000000" w:themeColor="text1"/>
          <w:lang w:val="en-US"/>
        </w:rPr>
        <w:t>R</w:t>
      </w:r>
      <w:r w:rsidRPr="00E84363">
        <w:rPr>
          <w:color w:val="000000" w:themeColor="text1"/>
          <w:lang w:val="en-US"/>
        </w:rPr>
        <w:t>egulations 10 (</w:t>
      </w:r>
      <w:r w:rsidR="009C1E69">
        <w:rPr>
          <w:color w:val="000000" w:themeColor="text1"/>
          <w:lang w:val="en-US"/>
        </w:rPr>
        <w:t xml:space="preserve">the </w:t>
      </w:r>
      <w:r w:rsidRPr="00E84363">
        <w:rPr>
          <w:color w:val="000000" w:themeColor="text1"/>
          <w:lang w:val="en-US"/>
        </w:rPr>
        <w:t>offence creating provision) and 12 (penalties) of the 2014</w:t>
      </w:r>
      <w:r w:rsidR="007A28A8">
        <w:rPr>
          <w:color w:val="000000" w:themeColor="text1"/>
          <w:lang w:val="en-US"/>
        </w:rPr>
        <w:t xml:space="preserve"> UK</w:t>
      </w:r>
      <w:r w:rsidRPr="00E84363">
        <w:rPr>
          <w:color w:val="000000" w:themeColor="text1"/>
          <w:lang w:val="en-US"/>
        </w:rPr>
        <w:t xml:space="preserve"> Regulations. </w:t>
      </w:r>
    </w:p>
    <w:p w14:paraId="2C73431E" w14:textId="18D6C75F" w:rsidR="00E84363" w:rsidRDefault="00E84363" w:rsidP="00E84363">
      <w:pPr>
        <w:pStyle w:val="BodyText"/>
        <w:rPr>
          <w:color w:val="000000" w:themeColor="text1"/>
          <w:lang w:val="en-US"/>
        </w:rPr>
      </w:pPr>
      <w:r w:rsidRPr="00E84363">
        <w:rPr>
          <w:color w:val="000000" w:themeColor="text1"/>
          <w:lang w:val="en-US"/>
        </w:rPr>
        <w:t xml:space="preserve">The </w:t>
      </w:r>
      <w:r w:rsidR="007A28A8">
        <w:rPr>
          <w:color w:val="000000" w:themeColor="text1"/>
          <w:lang w:val="en-US"/>
        </w:rPr>
        <w:t xml:space="preserve">2019 </w:t>
      </w:r>
      <w:r w:rsidRPr="00E84363">
        <w:rPr>
          <w:color w:val="000000" w:themeColor="text1"/>
          <w:lang w:val="en-US"/>
        </w:rPr>
        <w:t>Regulations implement this same scheme, albeit with the offence creating provisions in each of the relevant regulations which establish the relevant prohibition (Regs 11-15) and only the circumvention offence contained within a separat</w:t>
      </w:r>
      <w:r w:rsidR="00CA61C9">
        <w:rPr>
          <w:color w:val="000000" w:themeColor="text1"/>
          <w:lang w:val="en-US"/>
        </w:rPr>
        <w:t>e</w:t>
      </w:r>
      <w:r w:rsidRPr="00E84363">
        <w:rPr>
          <w:color w:val="000000" w:themeColor="text1"/>
          <w:lang w:val="en-US"/>
        </w:rPr>
        <w:t xml:space="preserve"> regulation (Reg 19)</w:t>
      </w:r>
      <w:r w:rsidR="00CA61C9">
        <w:rPr>
          <w:color w:val="000000" w:themeColor="text1"/>
          <w:lang w:val="en-US"/>
        </w:rPr>
        <w:t>. R</w:t>
      </w:r>
      <w:r w:rsidRPr="00E84363">
        <w:rPr>
          <w:color w:val="000000" w:themeColor="text1"/>
          <w:lang w:val="en-US"/>
        </w:rPr>
        <w:t>egulation 80 provid</w:t>
      </w:r>
      <w:r w:rsidR="00CA61C9">
        <w:rPr>
          <w:color w:val="000000" w:themeColor="text1"/>
          <w:lang w:val="en-US"/>
        </w:rPr>
        <w:t>es</w:t>
      </w:r>
      <w:r w:rsidRPr="00E84363">
        <w:rPr>
          <w:color w:val="000000" w:themeColor="text1"/>
          <w:lang w:val="en-US"/>
        </w:rPr>
        <w:t xml:space="preserve"> the same maximum penalty following conviction on indictment (7 years imprisonment). </w:t>
      </w:r>
      <w:r w:rsidR="00055466">
        <w:rPr>
          <w:color w:val="000000" w:themeColor="text1"/>
          <w:lang w:val="en-US"/>
        </w:rPr>
        <w:t>Mr Bedzhamov</w:t>
      </w:r>
      <w:r w:rsidRPr="00E84363">
        <w:rPr>
          <w:color w:val="000000" w:themeColor="text1"/>
          <w:lang w:val="en-US"/>
        </w:rPr>
        <w:t>’s suggestion that the Regulations now also contain a new prohibition to which a penalty does not attach is inconsistent with this EU and pre-Brexit background and the Parliamentary intent to continue the EU regime without substantive change.</w:t>
      </w:r>
    </w:p>
    <w:p w14:paraId="33B04598" w14:textId="5F07B47F" w:rsidR="002335FE" w:rsidRPr="00885709" w:rsidRDefault="002335FE" w:rsidP="001211FC">
      <w:pPr>
        <w:pStyle w:val="BodyText"/>
        <w:rPr>
          <w:lang w:val="en-US"/>
        </w:rPr>
      </w:pPr>
      <w:r w:rsidRPr="001B0636">
        <w:rPr>
          <w:lang w:val="en-US"/>
        </w:rPr>
        <w:t>With such a clear route demonstrated</w:t>
      </w:r>
      <w:r w:rsidR="00060AE8">
        <w:rPr>
          <w:lang w:val="en-US"/>
        </w:rPr>
        <w:t>,</w:t>
      </w:r>
      <w:r w:rsidRPr="001B0636">
        <w:rPr>
          <w:lang w:val="en-US"/>
        </w:rPr>
        <w:t xml:space="preserve"> the argument as to the impact of the Guidance is doomed to fail</w:t>
      </w:r>
      <w:r w:rsidR="008630B0" w:rsidRPr="001B0636">
        <w:rPr>
          <w:lang w:val="en-US"/>
        </w:rPr>
        <w:t>. Guidance can be significant in interpreting legislation – but whether it is or not depends upon the Guidance.</w:t>
      </w:r>
      <w:r w:rsidR="0061320A" w:rsidRPr="001B0636">
        <w:rPr>
          <w:lang w:val="en-US"/>
        </w:rPr>
        <w:t xml:space="preserve"> In </w:t>
      </w:r>
      <w:r w:rsidR="0061320A" w:rsidRPr="001B0636">
        <w:rPr>
          <w:i/>
          <w:iCs/>
          <w:lang w:val="en-US"/>
        </w:rPr>
        <w:t>Mints</w:t>
      </w:r>
      <w:r w:rsidR="0061320A" w:rsidRPr="001B0636">
        <w:rPr>
          <w:lang w:val="en-US"/>
        </w:rPr>
        <w:t xml:space="preserve"> [2023] EWHC 118 (Comm) [171] part of this court rejected reliance on the same OFSI guidance as being not </w:t>
      </w:r>
      <w:r w:rsidR="0061320A" w:rsidRPr="001B0636">
        <w:rPr>
          <w:i/>
          <w:iCs/>
          <w:lang w:val="en-US"/>
        </w:rPr>
        <w:t>“the kind of reasoned Guidance”</w:t>
      </w:r>
      <w:r w:rsidR="0061320A" w:rsidRPr="001B0636">
        <w:rPr>
          <w:lang w:val="en-US"/>
        </w:rPr>
        <w:t xml:space="preserve"> which may provide </w:t>
      </w:r>
      <w:r w:rsidR="0061320A" w:rsidRPr="001B0636">
        <w:rPr>
          <w:i/>
          <w:iCs/>
          <w:lang w:val="en-US"/>
        </w:rPr>
        <w:t>“comfort or any pause for thought”</w:t>
      </w:r>
      <w:r w:rsidR="0061320A" w:rsidRPr="001B0636">
        <w:rPr>
          <w:lang w:val="en-US"/>
        </w:rPr>
        <w:t xml:space="preserve">. The reasons why were helpfully unpicked for us in argument: it is not the kind of Guidance which actually analyses the provisions, it is </w:t>
      </w:r>
      <w:proofErr w:type="gramStart"/>
      <w:r w:rsidR="0061320A" w:rsidRPr="001B0636">
        <w:rPr>
          <w:lang w:val="en-US"/>
        </w:rPr>
        <w:t>ex post facto</w:t>
      </w:r>
      <w:proofErr w:type="gramEnd"/>
      <w:r w:rsidR="00AC10E8" w:rsidRPr="001B0636">
        <w:rPr>
          <w:lang w:val="en-US"/>
        </w:rPr>
        <w:t xml:space="preserve"> and it appears </w:t>
      </w:r>
      <w:r w:rsidR="00BE0137" w:rsidRPr="001B0636">
        <w:rPr>
          <w:lang w:val="en-US"/>
        </w:rPr>
        <w:t xml:space="preserve">(on examination of its genesis) </w:t>
      </w:r>
      <w:r w:rsidR="00AC10E8" w:rsidRPr="001B0636">
        <w:rPr>
          <w:lang w:val="en-US"/>
        </w:rPr>
        <w:t>to have been based on a draft of the provisions which was different to the form of prohibitions ultimately enacted</w:t>
      </w:r>
      <w:r w:rsidR="00483CD6" w:rsidRPr="001B0636">
        <w:rPr>
          <w:lang w:val="en-US"/>
        </w:rPr>
        <w:t xml:space="preserve">. The point is similar to that made by Lord Sales in </w:t>
      </w:r>
      <w:r w:rsidR="001B0636" w:rsidRPr="00885709">
        <w:rPr>
          <w:i/>
          <w:iCs/>
          <w:color w:val="000000" w:themeColor="text1"/>
          <w:lang w:val="en-US"/>
        </w:rPr>
        <w:t xml:space="preserve">PACCAR Inc &amp; </w:t>
      </w:r>
      <w:proofErr w:type="spellStart"/>
      <w:r w:rsidR="001B0636" w:rsidRPr="00885709">
        <w:rPr>
          <w:i/>
          <w:iCs/>
          <w:color w:val="000000" w:themeColor="text1"/>
          <w:lang w:val="en-US"/>
        </w:rPr>
        <w:t>Ors</w:t>
      </w:r>
      <w:proofErr w:type="spellEnd"/>
      <w:r w:rsidR="001B0636" w:rsidRPr="00885709">
        <w:rPr>
          <w:i/>
          <w:iCs/>
          <w:color w:val="000000" w:themeColor="text1"/>
          <w:lang w:val="en-US"/>
        </w:rPr>
        <w:t xml:space="preserve">.) v Competition Appeal Tribunal &amp; </w:t>
      </w:r>
      <w:proofErr w:type="spellStart"/>
      <w:r w:rsidR="001B0636" w:rsidRPr="00885709">
        <w:rPr>
          <w:i/>
          <w:iCs/>
          <w:color w:val="000000" w:themeColor="text1"/>
          <w:lang w:val="en-US"/>
        </w:rPr>
        <w:t>Ors</w:t>
      </w:r>
      <w:proofErr w:type="spellEnd"/>
      <w:r w:rsidR="001B0636" w:rsidRPr="001B0636">
        <w:rPr>
          <w:color w:val="000000" w:themeColor="text1"/>
          <w:lang w:val="en-US"/>
        </w:rPr>
        <w:t xml:space="preserve"> [2023] UKSC 28</w:t>
      </w:r>
      <w:r w:rsidR="00885709">
        <w:rPr>
          <w:color w:val="000000" w:themeColor="text1"/>
          <w:lang w:val="en-US"/>
        </w:rPr>
        <w:t xml:space="preserve"> at [94]:</w:t>
      </w:r>
    </w:p>
    <w:p w14:paraId="3E598EC4" w14:textId="3C02C6D2" w:rsidR="00885709" w:rsidRPr="001B0636" w:rsidRDefault="00967D88" w:rsidP="00967D88">
      <w:pPr>
        <w:pStyle w:val="Quote"/>
        <w:rPr>
          <w:lang w:val="en-US"/>
        </w:rPr>
      </w:pPr>
      <w:r>
        <w:rPr>
          <w:lang w:val="en-US"/>
        </w:rPr>
        <w:t>“</w:t>
      </w:r>
      <w:r w:rsidR="00CA14C1">
        <w:rPr>
          <w:lang w:val="en-US"/>
        </w:rPr>
        <w:t>I</w:t>
      </w:r>
      <w:r w:rsidRPr="00967D88">
        <w:rPr>
          <w:lang w:val="en-US"/>
        </w:rPr>
        <w:t>n my judgment this principle does not apply where the</w:t>
      </w:r>
      <w:r w:rsidR="00EA6C1D">
        <w:rPr>
          <w:lang w:val="en-US"/>
        </w:rPr>
        <w:t xml:space="preserve"> </w:t>
      </w:r>
      <w:r w:rsidRPr="00967D88">
        <w:rPr>
          <w:lang w:val="en-US"/>
        </w:rPr>
        <w:t>later legislation sought to be relied on is subordinate legislation made by the</w:t>
      </w:r>
      <w:r>
        <w:rPr>
          <w:lang w:val="en-US"/>
        </w:rPr>
        <w:t xml:space="preserve"> </w:t>
      </w:r>
      <w:r w:rsidRPr="00967D88">
        <w:rPr>
          <w:lang w:val="en-US"/>
        </w:rPr>
        <w:t xml:space="preserve">executive rather than an Act of Parliament. </w:t>
      </w:r>
      <w:proofErr w:type="gramStart"/>
      <w:r w:rsidRPr="00967D88">
        <w:rPr>
          <w:lang w:val="en-US"/>
        </w:rPr>
        <w:t>Therefore</w:t>
      </w:r>
      <w:proofErr w:type="gramEnd"/>
      <w:r w:rsidRPr="00967D88">
        <w:rPr>
          <w:lang w:val="en-US"/>
        </w:rPr>
        <w:t xml:space="preserve"> it does not </w:t>
      </w:r>
      <w:proofErr w:type="spellStart"/>
      <w:r>
        <w:rPr>
          <w:lang w:val="en-US"/>
        </w:rPr>
        <w:t>authori</w:t>
      </w:r>
      <w:r w:rsidR="00ED102A">
        <w:rPr>
          <w:lang w:val="en-US"/>
        </w:rPr>
        <w:t>s</w:t>
      </w:r>
      <w:r>
        <w:rPr>
          <w:lang w:val="en-US"/>
        </w:rPr>
        <w:t>e</w:t>
      </w:r>
      <w:proofErr w:type="spellEnd"/>
      <w:r>
        <w:rPr>
          <w:lang w:val="en-US"/>
        </w:rPr>
        <w:t xml:space="preserve"> </w:t>
      </w:r>
      <w:r w:rsidRPr="00967D88">
        <w:rPr>
          <w:lang w:val="en-US"/>
        </w:rPr>
        <w:t>use of the DBA Regulations 2013</w:t>
      </w:r>
      <w:r w:rsidR="003C3B20">
        <w:rPr>
          <w:lang w:val="en-US"/>
        </w:rPr>
        <w:t xml:space="preserve"> </w:t>
      </w:r>
      <w:r w:rsidRPr="00967D88">
        <w:rPr>
          <w:lang w:val="en-US"/>
        </w:rPr>
        <w:t>as an aid to interpretation of the 2006</w:t>
      </w:r>
      <w:r>
        <w:rPr>
          <w:lang w:val="en-US"/>
        </w:rPr>
        <w:t xml:space="preserve"> </w:t>
      </w:r>
      <w:r w:rsidRPr="00967D88">
        <w:rPr>
          <w:lang w:val="en-US"/>
        </w:rPr>
        <w:t>Act.</w:t>
      </w:r>
      <w:r>
        <w:rPr>
          <w:lang w:val="en-US"/>
        </w:rPr>
        <w:t xml:space="preserve"> </w:t>
      </w:r>
      <w:r w:rsidRPr="00967D88">
        <w:rPr>
          <w:lang w:val="en-US"/>
        </w:rPr>
        <w:t xml:space="preserve">If the position </w:t>
      </w:r>
      <w:proofErr w:type="gramStart"/>
      <w:r w:rsidRPr="00967D88">
        <w:rPr>
          <w:lang w:val="en-US"/>
        </w:rPr>
        <w:t>were</w:t>
      </w:r>
      <w:proofErr w:type="gramEnd"/>
      <w:r w:rsidRPr="00967D88">
        <w:rPr>
          <w:lang w:val="en-US"/>
        </w:rPr>
        <w:t xml:space="preserve"> otherwise, it would undermine the emphasis given in the</w:t>
      </w:r>
      <w:r>
        <w:rPr>
          <w:lang w:val="en-US"/>
        </w:rPr>
        <w:t xml:space="preserve"> </w:t>
      </w:r>
      <w:r w:rsidRPr="00967D88">
        <w:rPr>
          <w:lang w:val="en-US"/>
        </w:rPr>
        <w:t>authorities to the importance of subordinate legislation being broadly</w:t>
      </w:r>
      <w:r>
        <w:rPr>
          <w:lang w:val="en-US"/>
        </w:rPr>
        <w:t xml:space="preserve"> </w:t>
      </w:r>
      <w:r w:rsidRPr="00967D88">
        <w:rPr>
          <w:lang w:val="en-US"/>
        </w:rPr>
        <w:t>contemporaneous with the primary legislation which falls to be interpreted:</w:t>
      </w:r>
      <w:r>
        <w:rPr>
          <w:lang w:val="en-US"/>
        </w:rPr>
        <w:t xml:space="preserve"> </w:t>
      </w:r>
      <w:r w:rsidRPr="00967D88">
        <w:rPr>
          <w:lang w:val="en-US"/>
        </w:rPr>
        <w:t>paras 44—47 above. It would also confer an unjusti</w:t>
      </w:r>
      <w:r w:rsidR="00EA6C1D">
        <w:rPr>
          <w:lang w:val="en-US"/>
        </w:rPr>
        <w:t>fi</w:t>
      </w:r>
      <w:r w:rsidRPr="00967D88">
        <w:rPr>
          <w:lang w:val="en-US"/>
        </w:rPr>
        <w:t>ed power on the</w:t>
      </w:r>
      <w:r>
        <w:rPr>
          <w:lang w:val="en-US"/>
        </w:rPr>
        <w:t xml:space="preserve"> </w:t>
      </w:r>
      <w:r w:rsidRPr="00967D88">
        <w:rPr>
          <w:lang w:val="en-US"/>
        </w:rPr>
        <w:t>executive to take action later on which might modify the meaning which is</w:t>
      </w:r>
      <w:r>
        <w:rPr>
          <w:lang w:val="en-US"/>
        </w:rPr>
        <w:t xml:space="preserve"> </w:t>
      </w:r>
      <w:r w:rsidRPr="00967D88">
        <w:rPr>
          <w:lang w:val="en-US"/>
        </w:rPr>
        <w:t>given to words used in earlier primary legislation</w:t>
      </w:r>
      <w:r>
        <w:rPr>
          <w:lang w:val="en-US"/>
        </w:rPr>
        <w:t>.”</w:t>
      </w:r>
    </w:p>
    <w:p w14:paraId="6E2AAC47" w14:textId="0EBE81A5" w:rsidR="00EE498D" w:rsidRPr="00E84363" w:rsidRDefault="00EE498D" w:rsidP="00E84363">
      <w:pPr>
        <w:pStyle w:val="BodyText"/>
        <w:rPr>
          <w:color w:val="000000" w:themeColor="text1"/>
          <w:lang w:val="en-US"/>
        </w:rPr>
      </w:pPr>
      <w:r>
        <w:rPr>
          <w:color w:val="000000" w:themeColor="text1"/>
          <w:lang w:val="en-US"/>
        </w:rPr>
        <w:t>Nor can the argument by reference to Regulation 70 make any difference. As Ms Barnes submitted, it is erroneous to elide Regulation 70, which has a different purpose, with the earlier regulations.</w:t>
      </w:r>
    </w:p>
    <w:p w14:paraId="5CE2907E" w14:textId="3D24A2C3" w:rsidR="00E84363" w:rsidRPr="00E84363" w:rsidRDefault="00E84363" w:rsidP="00E84363">
      <w:pPr>
        <w:pStyle w:val="BodyText"/>
        <w:rPr>
          <w:color w:val="000000" w:themeColor="text1"/>
          <w:lang w:val="en-US"/>
        </w:rPr>
      </w:pPr>
      <w:r w:rsidRPr="00E84363">
        <w:rPr>
          <w:color w:val="000000" w:themeColor="text1"/>
          <w:lang w:val="en-US"/>
        </w:rPr>
        <w:t xml:space="preserve">It follows that </w:t>
      </w:r>
      <w:r w:rsidR="001C483B">
        <w:rPr>
          <w:color w:val="000000" w:themeColor="text1"/>
          <w:lang w:val="en-US"/>
        </w:rPr>
        <w:t>we</w:t>
      </w:r>
      <w:r w:rsidRPr="00E84363">
        <w:rPr>
          <w:color w:val="000000" w:themeColor="text1"/>
          <w:lang w:val="en-US"/>
        </w:rPr>
        <w:t xml:space="preserve"> conclude that the correct construction is </w:t>
      </w:r>
      <w:r w:rsidR="001C483B">
        <w:rPr>
          <w:color w:val="000000" w:themeColor="text1"/>
          <w:lang w:val="en-US"/>
        </w:rPr>
        <w:t xml:space="preserve">clearly </w:t>
      </w:r>
      <w:r w:rsidRPr="00E84363">
        <w:rPr>
          <w:color w:val="000000" w:themeColor="text1"/>
          <w:lang w:val="en-US"/>
        </w:rPr>
        <w:t>that contended for by VPB</w:t>
      </w:r>
      <w:r w:rsidR="001C483B">
        <w:rPr>
          <w:color w:val="000000" w:themeColor="text1"/>
          <w:lang w:val="en-US"/>
        </w:rPr>
        <w:t>. There is therefore no</w:t>
      </w:r>
      <w:r w:rsidRPr="00E84363">
        <w:rPr>
          <w:color w:val="000000" w:themeColor="text1"/>
          <w:lang w:val="en-US"/>
        </w:rPr>
        <w:t xml:space="preserve"> need to address the other iteration of the argument advanced for VPB by reference to the </w:t>
      </w:r>
      <w:r w:rsidRPr="00064037">
        <w:rPr>
          <w:i/>
          <w:iCs/>
          <w:color w:val="000000" w:themeColor="text1"/>
          <w:lang w:val="en-US"/>
        </w:rPr>
        <w:t>actus reus</w:t>
      </w:r>
      <w:r w:rsidRPr="00E84363">
        <w:rPr>
          <w:color w:val="000000" w:themeColor="text1"/>
          <w:lang w:val="en-US"/>
        </w:rPr>
        <w:t xml:space="preserve"> and </w:t>
      </w:r>
      <w:proofErr w:type="spellStart"/>
      <w:r w:rsidRPr="00064037">
        <w:rPr>
          <w:i/>
          <w:iCs/>
          <w:color w:val="000000" w:themeColor="text1"/>
          <w:lang w:val="en-US"/>
        </w:rPr>
        <w:t>mens</w:t>
      </w:r>
      <w:proofErr w:type="spellEnd"/>
      <w:r w:rsidRPr="00064037">
        <w:rPr>
          <w:i/>
          <w:iCs/>
          <w:color w:val="000000" w:themeColor="text1"/>
          <w:lang w:val="en-US"/>
        </w:rPr>
        <w:t xml:space="preserve"> rea</w:t>
      </w:r>
      <w:r w:rsidRPr="00E84363">
        <w:rPr>
          <w:color w:val="000000" w:themeColor="text1"/>
          <w:lang w:val="en-US"/>
        </w:rPr>
        <w:t xml:space="preserve"> of the </w:t>
      </w:r>
      <w:r w:rsidRPr="00E84363">
        <w:rPr>
          <w:color w:val="000000" w:themeColor="text1"/>
          <w:lang w:val="en-US"/>
        </w:rPr>
        <w:lastRenderedPageBreak/>
        <w:t>off</w:t>
      </w:r>
      <w:r w:rsidR="001C483B">
        <w:rPr>
          <w:color w:val="000000" w:themeColor="text1"/>
          <w:lang w:val="en-US"/>
        </w:rPr>
        <w:t>en</w:t>
      </w:r>
      <w:r w:rsidRPr="00E84363">
        <w:rPr>
          <w:color w:val="000000" w:themeColor="text1"/>
          <w:lang w:val="en-US"/>
        </w:rPr>
        <w:t>ce. That argument aligned with, but did not seem to add significantly to</w:t>
      </w:r>
      <w:r w:rsidR="001C483B">
        <w:rPr>
          <w:color w:val="000000" w:themeColor="text1"/>
          <w:lang w:val="en-US"/>
        </w:rPr>
        <w:t>,</w:t>
      </w:r>
      <w:r w:rsidRPr="00E84363">
        <w:rPr>
          <w:color w:val="000000" w:themeColor="text1"/>
          <w:lang w:val="en-US"/>
        </w:rPr>
        <w:t xml:space="preserve"> the argument.</w:t>
      </w:r>
    </w:p>
    <w:p w14:paraId="7ACE0D42" w14:textId="3039B6BF" w:rsidR="00E84363" w:rsidRPr="00E84363" w:rsidRDefault="005B5E63" w:rsidP="006E0A83">
      <w:pPr>
        <w:pStyle w:val="Heading1"/>
        <w:spacing w:before="480"/>
        <w:rPr>
          <w:lang w:val="en-US"/>
        </w:rPr>
      </w:pPr>
      <w:r>
        <w:rPr>
          <w:lang w:val="en-US"/>
        </w:rPr>
        <w:t>I</w:t>
      </w:r>
      <w:r w:rsidR="008E631B">
        <w:rPr>
          <w:lang w:val="en-US"/>
        </w:rPr>
        <w:t>ss</w:t>
      </w:r>
      <w:r>
        <w:rPr>
          <w:lang w:val="en-US"/>
        </w:rPr>
        <w:t xml:space="preserve">ue 2: </w:t>
      </w:r>
      <w:r w:rsidR="00E84363" w:rsidRPr="00E84363">
        <w:rPr>
          <w:lang w:val="en-US"/>
        </w:rPr>
        <w:t xml:space="preserve">Reasonable </w:t>
      </w:r>
      <w:r w:rsidR="0007626E">
        <w:rPr>
          <w:lang w:val="en-US"/>
        </w:rPr>
        <w:t>Cause</w:t>
      </w:r>
      <w:r w:rsidR="00E84363" w:rsidRPr="00E84363">
        <w:rPr>
          <w:lang w:val="en-US"/>
        </w:rPr>
        <w:t xml:space="preserve"> to </w:t>
      </w:r>
      <w:r w:rsidR="00A9105E">
        <w:rPr>
          <w:lang w:val="en-US"/>
        </w:rPr>
        <w:t>S</w:t>
      </w:r>
      <w:r w:rsidR="00E84363" w:rsidRPr="00E84363">
        <w:rPr>
          <w:lang w:val="en-US"/>
        </w:rPr>
        <w:t>uspect</w:t>
      </w:r>
      <w:r w:rsidR="00A9105E">
        <w:rPr>
          <w:lang w:val="en-US"/>
        </w:rPr>
        <w:t>?</w:t>
      </w:r>
    </w:p>
    <w:p w14:paraId="25C99992" w14:textId="0751F9B5" w:rsidR="00706B83" w:rsidRDefault="00E84363" w:rsidP="00E84363">
      <w:pPr>
        <w:pStyle w:val="BodyText"/>
        <w:rPr>
          <w:color w:val="000000" w:themeColor="text1"/>
          <w:lang w:val="en-US"/>
        </w:rPr>
      </w:pPr>
      <w:r w:rsidRPr="00E84363">
        <w:rPr>
          <w:color w:val="000000" w:themeColor="text1"/>
          <w:lang w:val="en-US"/>
        </w:rPr>
        <w:t xml:space="preserve">In one sense </w:t>
      </w:r>
      <w:r w:rsidR="0031470E" w:rsidRPr="00E84363">
        <w:rPr>
          <w:color w:val="000000" w:themeColor="text1"/>
          <w:lang w:val="en-US"/>
        </w:rPr>
        <w:t>therefore</w:t>
      </w:r>
      <w:r w:rsidRPr="00E84363">
        <w:rPr>
          <w:color w:val="000000" w:themeColor="text1"/>
          <w:lang w:val="en-US"/>
        </w:rPr>
        <w:t xml:space="preserve"> the </w:t>
      </w:r>
      <w:r w:rsidR="00CA14C1">
        <w:rPr>
          <w:color w:val="000000" w:themeColor="text1"/>
          <w:lang w:val="en-US"/>
        </w:rPr>
        <w:t>“</w:t>
      </w:r>
      <w:r w:rsidRPr="00E84363">
        <w:rPr>
          <w:color w:val="000000" w:themeColor="text1"/>
          <w:lang w:val="en-US"/>
        </w:rPr>
        <w:t>reasonable grounds to suspect</w:t>
      </w:r>
      <w:r w:rsidR="00CA14C1">
        <w:rPr>
          <w:color w:val="000000" w:themeColor="text1"/>
          <w:lang w:val="en-US"/>
        </w:rPr>
        <w:t>”</w:t>
      </w:r>
      <w:r w:rsidRPr="00E84363">
        <w:rPr>
          <w:color w:val="000000" w:themeColor="text1"/>
          <w:lang w:val="en-US"/>
        </w:rPr>
        <w:t xml:space="preserve"> argument becomes irrelevant</w:t>
      </w:r>
      <w:r w:rsidR="00D32137">
        <w:rPr>
          <w:color w:val="000000" w:themeColor="text1"/>
          <w:lang w:val="en-US"/>
        </w:rPr>
        <w:t>;</w:t>
      </w:r>
      <w:r w:rsidR="002A7763">
        <w:rPr>
          <w:color w:val="000000" w:themeColor="text1"/>
          <w:lang w:val="en-US"/>
        </w:rPr>
        <w:t xml:space="preserve"> and </w:t>
      </w:r>
      <w:proofErr w:type="gramStart"/>
      <w:r w:rsidR="002A7763">
        <w:rPr>
          <w:color w:val="000000" w:themeColor="text1"/>
          <w:lang w:val="en-US"/>
        </w:rPr>
        <w:t>indeed</w:t>
      </w:r>
      <w:proofErr w:type="gramEnd"/>
      <w:r w:rsidR="002A7763">
        <w:rPr>
          <w:color w:val="000000" w:themeColor="text1"/>
          <w:lang w:val="en-US"/>
        </w:rPr>
        <w:t xml:space="preserve"> it was VPB’s submission that we should only deal with this point if we reached the conclusion that there was no reasonable cause to suspect</w:t>
      </w:r>
      <w:r w:rsidRPr="00E84363">
        <w:rPr>
          <w:color w:val="000000" w:themeColor="text1"/>
          <w:lang w:val="en-US"/>
        </w:rPr>
        <w:t>.</w:t>
      </w:r>
      <w:r w:rsidR="002C688C">
        <w:rPr>
          <w:color w:val="000000" w:themeColor="text1"/>
          <w:lang w:val="en-US"/>
        </w:rPr>
        <w:t xml:space="preserve"> </w:t>
      </w:r>
    </w:p>
    <w:p w14:paraId="42153102" w14:textId="6EE54F6C" w:rsidR="00706B83" w:rsidRDefault="00706B83" w:rsidP="00706B83">
      <w:pPr>
        <w:pStyle w:val="BodyText"/>
        <w:rPr>
          <w:color w:val="000000" w:themeColor="text1"/>
          <w:lang w:val="en-US"/>
        </w:rPr>
      </w:pPr>
      <w:r>
        <w:rPr>
          <w:color w:val="000000" w:themeColor="text1"/>
          <w:lang w:val="en-US"/>
        </w:rPr>
        <w:t xml:space="preserve">For </w:t>
      </w:r>
      <w:r w:rsidR="00F3664D">
        <w:rPr>
          <w:color w:val="000000" w:themeColor="text1"/>
          <w:lang w:val="en-US"/>
        </w:rPr>
        <w:t>VPB</w:t>
      </w:r>
      <w:r>
        <w:rPr>
          <w:color w:val="000000" w:themeColor="text1"/>
          <w:lang w:val="en-US"/>
        </w:rPr>
        <w:t xml:space="preserve"> the submission was made that while it would be of utility to the parties to know whether there was </w:t>
      </w:r>
      <w:r w:rsidRPr="00604F2D">
        <w:rPr>
          <w:color w:val="000000" w:themeColor="text1"/>
          <w:u w:val="single"/>
          <w:lang w:val="en-US"/>
        </w:rPr>
        <w:t>not</w:t>
      </w:r>
      <w:r>
        <w:rPr>
          <w:color w:val="000000" w:themeColor="text1"/>
          <w:lang w:val="en-US"/>
        </w:rPr>
        <w:t xml:space="preserve"> reasonable cause to suspect ownership and control, it was not helpful at this stage to decide the point. That is because </w:t>
      </w:r>
      <w:r w:rsidR="00736379">
        <w:rPr>
          <w:color w:val="000000" w:themeColor="text1"/>
          <w:lang w:val="en-US"/>
        </w:rPr>
        <w:t xml:space="preserve">even if the </w:t>
      </w:r>
      <w:r w:rsidR="003D658B">
        <w:rPr>
          <w:color w:val="000000" w:themeColor="text1"/>
          <w:lang w:val="en-US"/>
        </w:rPr>
        <w:t>question of ownership were determined or the construction point went the other way, it</w:t>
      </w:r>
      <w:r>
        <w:rPr>
          <w:color w:val="000000" w:themeColor="text1"/>
          <w:lang w:val="en-US"/>
        </w:rPr>
        <w:t xml:space="preserve"> is a question which in practical terms would only have utility judged at the time when any payment came to be made</w:t>
      </w:r>
      <w:r w:rsidR="0065080D">
        <w:rPr>
          <w:color w:val="000000" w:themeColor="text1"/>
          <w:lang w:val="en-US"/>
        </w:rPr>
        <w:t xml:space="preserve"> – for example in the context of distribution issues</w:t>
      </w:r>
      <w:r w:rsidR="00EC5BDC">
        <w:rPr>
          <w:color w:val="000000" w:themeColor="text1"/>
          <w:lang w:val="en-US"/>
        </w:rPr>
        <w:t xml:space="preserve"> or in relation to costs</w:t>
      </w:r>
      <w:r>
        <w:rPr>
          <w:color w:val="000000" w:themeColor="text1"/>
          <w:lang w:val="en-US"/>
        </w:rPr>
        <w:t>. It is the situation then which would determine whether the regulations would be engaged and would bite upon the parties.</w:t>
      </w:r>
    </w:p>
    <w:p w14:paraId="6066315F" w14:textId="4C2BDDE3" w:rsidR="00AC0523" w:rsidRDefault="00EC5BDC" w:rsidP="00E84363">
      <w:pPr>
        <w:pStyle w:val="BodyText"/>
        <w:rPr>
          <w:color w:val="000000" w:themeColor="text1"/>
          <w:lang w:val="en-US"/>
        </w:rPr>
      </w:pPr>
      <w:r w:rsidRPr="00EC5BDC">
        <w:rPr>
          <w:color w:val="000000" w:themeColor="text1"/>
          <w:lang w:val="en-US"/>
        </w:rPr>
        <w:t xml:space="preserve">We are of course </w:t>
      </w:r>
      <w:r>
        <w:rPr>
          <w:color w:val="000000" w:themeColor="text1"/>
          <w:lang w:val="en-US"/>
        </w:rPr>
        <w:t xml:space="preserve">very </w:t>
      </w:r>
      <w:r w:rsidRPr="00EC5BDC">
        <w:rPr>
          <w:color w:val="000000" w:themeColor="text1"/>
          <w:lang w:val="en-US"/>
        </w:rPr>
        <w:t>alive to the question of the purpose of the present aspect of the decision in isolation and at this point</w:t>
      </w:r>
      <w:r>
        <w:rPr>
          <w:color w:val="000000" w:themeColor="text1"/>
          <w:lang w:val="en-US"/>
        </w:rPr>
        <w:t>.</w:t>
      </w:r>
      <w:r w:rsidRPr="00EC5BDC">
        <w:rPr>
          <w:color w:val="000000" w:themeColor="text1"/>
          <w:lang w:val="en-US"/>
        </w:rPr>
        <w:t xml:space="preserve"> </w:t>
      </w:r>
      <w:r w:rsidR="00E84363" w:rsidRPr="00E84363">
        <w:rPr>
          <w:color w:val="000000" w:themeColor="text1"/>
          <w:lang w:val="en-US"/>
        </w:rPr>
        <w:t>However</w:t>
      </w:r>
      <w:r w:rsidR="00CA14C1">
        <w:rPr>
          <w:color w:val="000000" w:themeColor="text1"/>
          <w:lang w:val="en-US"/>
        </w:rPr>
        <w:t>,</w:t>
      </w:r>
      <w:r w:rsidR="00E84363" w:rsidRPr="00E84363">
        <w:rPr>
          <w:color w:val="000000" w:themeColor="text1"/>
          <w:lang w:val="en-US"/>
        </w:rPr>
        <w:t xml:space="preserve"> </w:t>
      </w:r>
      <w:r w:rsidR="00FD1973">
        <w:rPr>
          <w:color w:val="000000" w:themeColor="text1"/>
          <w:lang w:val="en-US"/>
        </w:rPr>
        <w:t xml:space="preserve">that approach – the </w:t>
      </w:r>
      <w:proofErr w:type="gramStart"/>
      <w:r w:rsidR="00FD1973">
        <w:rPr>
          <w:color w:val="000000" w:themeColor="text1"/>
          <w:lang w:val="en-US"/>
        </w:rPr>
        <w:t>half way</w:t>
      </w:r>
      <w:proofErr w:type="gramEnd"/>
      <w:r w:rsidR="00FD1973">
        <w:rPr>
          <w:color w:val="000000" w:themeColor="text1"/>
          <w:lang w:val="en-US"/>
        </w:rPr>
        <w:t xml:space="preserve"> house of dealing with the negative conclusion only is unwor</w:t>
      </w:r>
      <w:r w:rsidR="00AC0523">
        <w:rPr>
          <w:color w:val="000000" w:themeColor="text1"/>
          <w:lang w:val="en-US"/>
        </w:rPr>
        <w:t xml:space="preserve">kable. In essence if we adopted that </w:t>
      </w:r>
      <w:proofErr w:type="gramStart"/>
      <w:r w:rsidR="00AC0523">
        <w:rPr>
          <w:color w:val="000000" w:themeColor="text1"/>
          <w:lang w:val="en-US"/>
        </w:rPr>
        <w:t>approach</w:t>
      </w:r>
      <w:proofErr w:type="gramEnd"/>
      <w:r w:rsidR="00AC0523">
        <w:rPr>
          <w:color w:val="000000" w:themeColor="text1"/>
          <w:lang w:val="en-US"/>
        </w:rPr>
        <w:t xml:space="preserve"> we would be dealing with the point explicitly if we reached a negative conclusion, and tacitly (by failing to deal with it) if we reached a positive conclusion</w:t>
      </w:r>
      <w:r w:rsidR="00AA527B">
        <w:rPr>
          <w:color w:val="000000" w:themeColor="text1"/>
          <w:lang w:val="en-US"/>
        </w:rPr>
        <w:t>. The correct approach must be either to stop at the issue of construction, or to decide the point – in either direction.</w:t>
      </w:r>
      <w:r w:rsidR="00923969">
        <w:rPr>
          <w:color w:val="000000" w:themeColor="text1"/>
          <w:lang w:val="en-US"/>
        </w:rPr>
        <w:t xml:space="preserve"> Even if a positive conclusion cannot be </w:t>
      </w:r>
      <w:proofErr w:type="gramStart"/>
      <w:r w:rsidR="00923969">
        <w:rPr>
          <w:color w:val="000000" w:themeColor="text1"/>
          <w:lang w:val="en-US"/>
        </w:rPr>
        <w:t>dispositive</w:t>
      </w:r>
      <w:proofErr w:type="gramEnd"/>
      <w:r w:rsidR="00923969">
        <w:rPr>
          <w:color w:val="000000" w:themeColor="text1"/>
          <w:lang w:val="en-US"/>
        </w:rPr>
        <w:t xml:space="preserve"> it can provide guidance and may provide a further court with the means of abbreviating </w:t>
      </w:r>
      <w:r w:rsidR="00CD2079">
        <w:rPr>
          <w:color w:val="000000" w:themeColor="text1"/>
          <w:lang w:val="en-US"/>
        </w:rPr>
        <w:t xml:space="preserve">(and hence expediting) </w:t>
      </w:r>
      <w:r w:rsidR="00923969">
        <w:rPr>
          <w:color w:val="000000" w:themeColor="text1"/>
          <w:lang w:val="en-US"/>
        </w:rPr>
        <w:t>its decision</w:t>
      </w:r>
      <w:r w:rsidR="00CD2079">
        <w:rPr>
          <w:color w:val="000000" w:themeColor="text1"/>
          <w:lang w:val="en-US"/>
        </w:rPr>
        <w:t>.</w:t>
      </w:r>
    </w:p>
    <w:p w14:paraId="4DDF94DC" w14:textId="01D1D8F7" w:rsidR="00E84363" w:rsidRPr="00E84363" w:rsidRDefault="00CD2079" w:rsidP="00E84363">
      <w:pPr>
        <w:pStyle w:val="BodyText"/>
        <w:rPr>
          <w:color w:val="000000" w:themeColor="text1"/>
          <w:lang w:val="en-US"/>
        </w:rPr>
      </w:pPr>
      <w:r>
        <w:rPr>
          <w:color w:val="000000" w:themeColor="text1"/>
          <w:lang w:val="en-US"/>
        </w:rPr>
        <w:t>T</w:t>
      </w:r>
      <w:r w:rsidR="00E84363" w:rsidRPr="00E84363">
        <w:rPr>
          <w:color w:val="000000" w:themeColor="text1"/>
          <w:lang w:val="en-US"/>
        </w:rPr>
        <w:t xml:space="preserve">here are two </w:t>
      </w:r>
      <w:r>
        <w:rPr>
          <w:color w:val="000000" w:themeColor="text1"/>
          <w:lang w:val="en-US"/>
        </w:rPr>
        <w:t xml:space="preserve">other </w:t>
      </w:r>
      <w:r w:rsidR="00E84363" w:rsidRPr="00E84363">
        <w:rPr>
          <w:color w:val="000000" w:themeColor="text1"/>
          <w:lang w:val="en-US"/>
        </w:rPr>
        <w:t xml:space="preserve">reasons for dealing with the point. The first is that in circumstances where </w:t>
      </w:r>
      <w:r w:rsidR="00055466">
        <w:rPr>
          <w:color w:val="000000" w:themeColor="text1"/>
          <w:lang w:val="en-US"/>
        </w:rPr>
        <w:t>Mr Bedzhamov</w:t>
      </w:r>
      <w:r w:rsidR="00E84363" w:rsidRPr="00E84363">
        <w:rPr>
          <w:color w:val="000000" w:themeColor="text1"/>
          <w:lang w:val="en-US"/>
        </w:rPr>
        <w:t xml:space="preserve"> did not accept that the application must fail if </w:t>
      </w:r>
      <w:r w:rsidR="005B5E63">
        <w:rPr>
          <w:color w:val="000000" w:themeColor="text1"/>
          <w:lang w:val="en-US"/>
        </w:rPr>
        <w:t>we</w:t>
      </w:r>
      <w:r w:rsidR="00E84363" w:rsidRPr="00E84363">
        <w:rPr>
          <w:color w:val="000000" w:themeColor="text1"/>
          <w:lang w:val="en-US"/>
        </w:rPr>
        <w:t xml:space="preserve"> reached this conclusion, but instead doubled down and invited the conclusion that the factual test of ownership or control was met, it is appropriate to consider the reasonable grounds test, essentially as a </w:t>
      </w:r>
      <w:proofErr w:type="gramStart"/>
      <w:r w:rsidR="00E84363" w:rsidRPr="00E84363">
        <w:rPr>
          <w:color w:val="000000" w:themeColor="text1"/>
          <w:lang w:val="en-US"/>
        </w:rPr>
        <w:t>stepping stone</w:t>
      </w:r>
      <w:proofErr w:type="gramEnd"/>
      <w:r w:rsidR="00E84363" w:rsidRPr="00E84363">
        <w:rPr>
          <w:color w:val="000000" w:themeColor="text1"/>
          <w:lang w:val="en-US"/>
        </w:rPr>
        <w:t xml:space="preserve"> to the factual conclusion sought. The second is of course the possibility of a contrary view being taken on the prior point on appeal – remote though </w:t>
      </w:r>
      <w:r w:rsidR="00291DF9">
        <w:rPr>
          <w:color w:val="000000" w:themeColor="text1"/>
          <w:lang w:val="en-US"/>
        </w:rPr>
        <w:t xml:space="preserve">we may consider </w:t>
      </w:r>
      <w:r w:rsidR="00E84363" w:rsidRPr="00E84363">
        <w:rPr>
          <w:color w:val="000000" w:themeColor="text1"/>
          <w:lang w:val="en-US"/>
        </w:rPr>
        <w:t xml:space="preserve">that contingency </w:t>
      </w:r>
      <w:r w:rsidR="00291DF9">
        <w:rPr>
          <w:color w:val="000000" w:themeColor="text1"/>
          <w:lang w:val="en-US"/>
        </w:rPr>
        <w:t>to</w:t>
      </w:r>
      <w:r w:rsidR="00E84363" w:rsidRPr="00E84363">
        <w:rPr>
          <w:color w:val="000000" w:themeColor="text1"/>
          <w:lang w:val="en-US"/>
        </w:rPr>
        <w:t xml:space="preserve"> be.</w:t>
      </w:r>
    </w:p>
    <w:p w14:paraId="155EADBE" w14:textId="7EE72C59" w:rsidR="00E84363" w:rsidRPr="00E84363" w:rsidRDefault="00464BAA" w:rsidP="00E84363">
      <w:pPr>
        <w:pStyle w:val="BodyText"/>
        <w:rPr>
          <w:color w:val="000000" w:themeColor="text1"/>
          <w:lang w:val="en-US"/>
        </w:rPr>
      </w:pPr>
      <w:r>
        <w:rPr>
          <w:color w:val="000000" w:themeColor="text1"/>
          <w:lang w:val="en-US"/>
        </w:rPr>
        <w:t>The argument on reasonable grounds to suspect was advanced by reference to a number of threads of the evidence</w:t>
      </w:r>
      <w:r w:rsidR="00291DF9">
        <w:rPr>
          <w:color w:val="000000" w:themeColor="text1"/>
          <w:lang w:val="en-US"/>
        </w:rPr>
        <w:t>. It was said that</w:t>
      </w:r>
      <w:r w:rsidR="00E84363" w:rsidRPr="00E84363">
        <w:rPr>
          <w:color w:val="000000" w:themeColor="text1"/>
          <w:lang w:val="en-US"/>
        </w:rPr>
        <w:t>:</w:t>
      </w:r>
    </w:p>
    <w:p w14:paraId="315D3025" w14:textId="3FC9C96F" w:rsidR="007148A2" w:rsidRDefault="007148A2" w:rsidP="00401AE3">
      <w:pPr>
        <w:pStyle w:val="ListParagraph"/>
        <w:numPr>
          <w:ilvl w:val="1"/>
          <w:numId w:val="4"/>
        </w:numPr>
        <w:jc w:val="both"/>
        <w:rPr>
          <w:snapToGrid w:val="0"/>
          <w:color w:val="000000" w:themeColor="text1"/>
          <w:lang w:val="en-US"/>
        </w:rPr>
      </w:pPr>
      <w:r w:rsidRPr="007148A2">
        <w:rPr>
          <w:snapToGrid w:val="0"/>
          <w:color w:val="000000" w:themeColor="text1"/>
          <w:lang w:val="en-US"/>
        </w:rPr>
        <w:t xml:space="preserve">There is reasonable cause to suspect that there was a joint arrangement between </w:t>
      </w:r>
      <w:proofErr w:type="spellStart"/>
      <w:r w:rsidR="001C5C24">
        <w:rPr>
          <w:snapToGrid w:val="0"/>
          <w:color w:val="000000" w:themeColor="text1"/>
          <w:lang w:val="en-US"/>
        </w:rPr>
        <w:t>Messrs</w:t>
      </w:r>
      <w:proofErr w:type="spellEnd"/>
      <w:r w:rsidR="001C5C24">
        <w:rPr>
          <w:snapToGrid w:val="0"/>
          <w:color w:val="000000" w:themeColor="text1"/>
          <w:lang w:val="en-US"/>
        </w:rPr>
        <w:t xml:space="preserve"> </w:t>
      </w:r>
      <w:proofErr w:type="spellStart"/>
      <w:r w:rsidRPr="007148A2">
        <w:rPr>
          <w:snapToGrid w:val="0"/>
          <w:color w:val="000000" w:themeColor="text1"/>
          <w:lang w:val="en-US"/>
        </w:rPr>
        <w:t>Fridman</w:t>
      </w:r>
      <w:proofErr w:type="spellEnd"/>
      <w:r w:rsidRPr="007148A2">
        <w:rPr>
          <w:snapToGrid w:val="0"/>
          <w:color w:val="000000" w:themeColor="text1"/>
          <w:lang w:val="en-US"/>
        </w:rPr>
        <w:t>, Khan and Kuzmichev before or</w:t>
      </w:r>
      <w:r w:rsidR="00401AE3">
        <w:rPr>
          <w:snapToGrid w:val="0"/>
          <w:color w:val="000000" w:themeColor="text1"/>
          <w:lang w:val="en-US"/>
        </w:rPr>
        <w:t xml:space="preserve"> </w:t>
      </w:r>
      <w:r w:rsidRPr="007148A2">
        <w:rPr>
          <w:snapToGrid w:val="0"/>
          <w:color w:val="000000" w:themeColor="text1"/>
          <w:lang w:val="en-US"/>
        </w:rPr>
        <w:t xml:space="preserve">at the time of the Alleged Buy Out, such that their share ownership of A1 </w:t>
      </w:r>
      <w:r w:rsidR="00401AE3">
        <w:rPr>
          <w:snapToGrid w:val="0"/>
          <w:color w:val="000000" w:themeColor="text1"/>
          <w:lang w:val="en-US"/>
        </w:rPr>
        <w:t>Investment</w:t>
      </w:r>
      <w:r w:rsidRPr="007148A2">
        <w:rPr>
          <w:snapToGrid w:val="0"/>
          <w:color w:val="000000" w:themeColor="text1"/>
          <w:lang w:val="en-US"/>
        </w:rPr>
        <w:t xml:space="preserve"> should be aggregated, and each of them is to be treated as holding the combined shares of all three.  There is therefore reasonable cause to suspect that </w:t>
      </w:r>
      <w:r w:rsidR="00401AE3">
        <w:rPr>
          <w:snapToGrid w:val="0"/>
          <w:color w:val="000000" w:themeColor="text1"/>
          <w:lang w:val="en-US"/>
        </w:rPr>
        <w:t>A1 Investment</w:t>
      </w:r>
      <w:r w:rsidRPr="007148A2">
        <w:rPr>
          <w:snapToGrid w:val="0"/>
          <w:color w:val="000000" w:themeColor="text1"/>
          <w:lang w:val="en-US"/>
        </w:rPr>
        <w:t xml:space="preserve"> and A1 were owned or controlled by a DP or DPs at the time of the Alleged Buy </w:t>
      </w:r>
      <w:proofErr w:type="gramStart"/>
      <w:r w:rsidRPr="007148A2">
        <w:rPr>
          <w:snapToGrid w:val="0"/>
          <w:color w:val="000000" w:themeColor="text1"/>
          <w:lang w:val="en-US"/>
        </w:rPr>
        <w:t>Out</w:t>
      </w:r>
      <w:r w:rsidR="00631FD1">
        <w:rPr>
          <w:snapToGrid w:val="0"/>
          <w:color w:val="000000" w:themeColor="text1"/>
          <w:lang w:val="en-US"/>
        </w:rPr>
        <w:t>;</w:t>
      </w:r>
      <w:proofErr w:type="gramEnd"/>
    </w:p>
    <w:p w14:paraId="53EE8372" w14:textId="77777777" w:rsidR="00631FD1" w:rsidRPr="007148A2" w:rsidRDefault="00631FD1" w:rsidP="00631FD1">
      <w:pPr>
        <w:pStyle w:val="ListParagraph"/>
        <w:ind w:left="927"/>
        <w:jc w:val="both"/>
        <w:rPr>
          <w:snapToGrid w:val="0"/>
          <w:color w:val="000000" w:themeColor="text1"/>
          <w:lang w:val="en-US"/>
        </w:rPr>
      </w:pPr>
    </w:p>
    <w:p w14:paraId="39755C69" w14:textId="77777777" w:rsidR="000A5A48" w:rsidRDefault="008A12F2" w:rsidP="00422FD0">
      <w:pPr>
        <w:pStyle w:val="BodyText"/>
        <w:numPr>
          <w:ilvl w:val="1"/>
          <w:numId w:val="4"/>
        </w:numPr>
        <w:rPr>
          <w:color w:val="000000" w:themeColor="text1"/>
          <w:lang w:val="en-US"/>
        </w:rPr>
      </w:pPr>
      <w:r w:rsidRPr="008A12F2">
        <w:rPr>
          <w:color w:val="000000" w:themeColor="text1"/>
          <w:lang w:val="en-US"/>
        </w:rPr>
        <w:lastRenderedPageBreak/>
        <w:t xml:space="preserve">The factual circumstances of the Alleged Buy Out (including the purported change in ownership of </w:t>
      </w:r>
      <w:r w:rsidR="00401AE3">
        <w:rPr>
          <w:color w:val="000000" w:themeColor="text1"/>
          <w:lang w:val="en-US"/>
        </w:rPr>
        <w:t>A1 Investment</w:t>
      </w:r>
      <w:r w:rsidRPr="008A12F2">
        <w:rPr>
          <w:color w:val="000000" w:themeColor="text1"/>
          <w:lang w:val="en-US"/>
        </w:rPr>
        <w:t xml:space="preserve"> around the same time on undisclosed terms) strongly suggest that the Alleged Buy Out was not a genuine and arms</w:t>
      </w:r>
      <w:r w:rsidR="000A5A48">
        <w:rPr>
          <w:color w:val="000000" w:themeColor="text1"/>
          <w:lang w:val="en-US"/>
        </w:rPr>
        <w:t>’</w:t>
      </w:r>
      <w:r w:rsidRPr="008A12F2">
        <w:rPr>
          <w:color w:val="000000" w:themeColor="text1"/>
          <w:lang w:val="en-US"/>
        </w:rPr>
        <w:t xml:space="preserve"> length transaction but instead a sham</w:t>
      </w:r>
      <w:r w:rsidR="000A5A48">
        <w:rPr>
          <w:color w:val="000000" w:themeColor="text1"/>
          <w:lang w:val="en-US"/>
        </w:rPr>
        <w:t>,</w:t>
      </w:r>
      <w:r w:rsidRPr="008A12F2">
        <w:rPr>
          <w:color w:val="000000" w:themeColor="text1"/>
          <w:lang w:val="en-US"/>
        </w:rPr>
        <w:t xml:space="preserve"> designed to circumvent the impact of sanctions, such that A1 remains sanctioned</w:t>
      </w:r>
      <w:r w:rsidR="002B28C1">
        <w:rPr>
          <w:color w:val="000000" w:themeColor="text1"/>
          <w:lang w:val="en-US"/>
        </w:rPr>
        <w:t xml:space="preserve">. </w:t>
      </w:r>
    </w:p>
    <w:p w14:paraId="552A76FE" w14:textId="738E6995" w:rsidR="00E84363" w:rsidRDefault="002B28C1" w:rsidP="00422FD0">
      <w:pPr>
        <w:pStyle w:val="BodyText"/>
        <w:numPr>
          <w:ilvl w:val="1"/>
          <w:numId w:val="4"/>
        </w:numPr>
        <w:rPr>
          <w:color w:val="000000" w:themeColor="text1"/>
          <w:lang w:val="en-US"/>
        </w:rPr>
      </w:pPr>
      <w:r>
        <w:rPr>
          <w:color w:val="000000" w:themeColor="text1"/>
          <w:lang w:val="en-US"/>
        </w:rPr>
        <w:t>This itself covers several strands</w:t>
      </w:r>
      <w:r w:rsidR="00D83C4B">
        <w:rPr>
          <w:color w:val="000000" w:themeColor="text1"/>
          <w:lang w:val="en-US"/>
        </w:rPr>
        <w:t>:</w:t>
      </w:r>
    </w:p>
    <w:p w14:paraId="3A6A7B3C" w14:textId="6666F58B" w:rsidR="007C4F61" w:rsidRDefault="007C4F61" w:rsidP="007C4F61">
      <w:pPr>
        <w:pStyle w:val="BodyText"/>
        <w:numPr>
          <w:ilvl w:val="2"/>
          <w:numId w:val="4"/>
        </w:numPr>
        <w:rPr>
          <w:color w:val="000000" w:themeColor="text1"/>
          <w:lang w:val="en-US"/>
        </w:rPr>
      </w:pPr>
      <w:r>
        <w:rPr>
          <w:color w:val="000000" w:themeColor="text1"/>
          <w:lang w:val="en-US"/>
        </w:rPr>
        <w:t>The alleged change in ownership of A1 Investment</w:t>
      </w:r>
      <w:r w:rsidR="000A5A48">
        <w:rPr>
          <w:color w:val="000000" w:themeColor="text1"/>
          <w:lang w:val="en-US"/>
        </w:rPr>
        <w:t>:</w:t>
      </w:r>
      <w:r>
        <w:rPr>
          <w:color w:val="000000" w:themeColor="text1"/>
          <w:lang w:val="en-US"/>
        </w:rPr>
        <w:t xml:space="preserve"> </w:t>
      </w:r>
      <w:r w:rsidRPr="00C00716">
        <w:rPr>
          <w:color w:val="000000" w:themeColor="text1"/>
          <w:lang w:val="en-US"/>
        </w:rPr>
        <w:t xml:space="preserve">in particular the alleged transfer of Mr Khan and Mr </w:t>
      </w:r>
      <w:proofErr w:type="spellStart"/>
      <w:r w:rsidRPr="00C00716">
        <w:rPr>
          <w:color w:val="000000" w:themeColor="text1"/>
          <w:lang w:val="en-US"/>
        </w:rPr>
        <w:t>Kuzmichev’s</w:t>
      </w:r>
      <w:proofErr w:type="spellEnd"/>
      <w:r w:rsidRPr="00C00716">
        <w:rPr>
          <w:color w:val="000000" w:themeColor="text1"/>
          <w:lang w:val="en-US"/>
        </w:rPr>
        <w:t xml:space="preserve"> shares to Mr Kosogov on an unspecified date before </w:t>
      </w:r>
      <w:r>
        <w:rPr>
          <w:color w:val="000000" w:themeColor="text1"/>
          <w:lang w:val="en-US"/>
        </w:rPr>
        <w:t>31 March 2022</w:t>
      </w:r>
      <w:r w:rsidRPr="00C00716">
        <w:rPr>
          <w:color w:val="000000" w:themeColor="text1"/>
          <w:lang w:val="en-US"/>
        </w:rPr>
        <w:t xml:space="preserve"> on undisclosed </w:t>
      </w:r>
      <w:proofErr w:type="gramStart"/>
      <w:r w:rsidRPr="00C00716">
        <w:rPr>
          <w:color w:val="000000" w:themeColor="text1"/>
          <w:lang w:val="en-US"/>
        </w:rPr>
        <w:t>terms</w:t>
      </w:r>
      <w:r>
        <w:rPr>
          <w:color w:val="000000" w:themeColor="text1"/>
          <w:lang w:val="en-US"/>
        </w:rPr>
        <w:t>;</w:t>
      </w:r>
      <w:proofErr w:type="gramEnd"/>
    </w:p>
    <w:p w14:paraId="1F8BDC23" w14:textId="07F6776D" w:rsidR="008A12F2" w:rsidRPr="00E84363" w:rsidRDefault="008A12F2" w:rsidP="008A12F2">
      <w:pPr>
        <w:pStyle w:val="BodyText"/>
        <w:numPr>
          <w:ilvl w:val="2"/>
          <w:numId w:val="4"/>
        </w:numPr>
        <w:rPr>
          <w:color w:val="000000" w:themeColor="text1"/>
          <w:lang w:val="en-US"/>
        </w:rPr>
      </w:pPr>
      <w:r>
        <w:rPr>
          <w:color w:val="000000" w:themeColor="text1"/>
          <w:lang w:val="en-US"/>
        </w:rPr>
        <w:t xml:space="preserve">Timing of the disposal, </w:t>
      </w:r>
      <w:r w:rsidR="00D83C4B">
        <w:rPr>
          <w:color w:val="000000" w:themeColor="text1"/>
          <w:lang w:val="en-US"/>
        </w:rPr>
        <w:t>including questions about whether</w:t>
      </w:r>
      <w:r>
        <w:rPr>
          <w:color w:val="000000" w:themeColor="text1"/>
          <w:lang w:val="en-US"/>
        </w:rPr>
        <w:t xml:space="preserve"> the di</w:t>
      </w:r>
      <w:r w:rsidRPr="00E84363">
        <w:rPr>
          <w:color w:val="000000" w:themeColor="text1"/>
          <w:lang w:val="en-US"/>
        </w:rPr>
        <w:t xml:space="preserve">sposal to </w:t>
      </w:r>
      <w:r>
        <w:rPr>
          <w:color w:val="000000" w:themeColor="text1"/>
          <w:lang w:val="en-US"/>
        </w:rPr>
        <w:t xml:space="preserve">Mr </w:t>
      </w:r>
      <w:r w:rsidRPr="00E84363">
        <w:rPr>
          <w:color w:val="000000" w:themeColor="text1"/>
          <w:lang w:val="en-US"/>
        </w:rPr>
        <w:t xml:space="preserve">Fayn </w:t>
      </w:r>
      <w:r w:rsidR="00D83C4B">
        <w:rPr>
          <w:color w:val="000000" w:themeColor="text1"/>
          <w:lang w:val="en-US"/>
        </w:rPr>
        <w:t xml:space="preserve">took place </w:t>
      </w:r>
      <w:r w:rsidRPr="00E84363">
        <w:rPr>
          <w:color w:val="000000" w:themeColor="text1"/>
          <w:lang w:val="en-US"/>
        </w:rPr>
        <w:t xml:space="preserve">before </w:t>
      </w:r>
      <w:r w:rsidR="00ED102A">
        <w:rPr>
          <w:color w:val="000000" w:themeColor="text1"/>
          <w:lang w:val="en-US"/>
        </w:rPr>
        <w:t xml:space="preserve">the </w:t>
      </w:r>
      <w:r w:rsidRPr="00E84363">
        <w:rPr>
          <w:color w:val="000000" w:themeColor="text1"/>
          <w:lang w:val="en-US"/>
        </w:rPr>
        <w:t xml:space="preserve">transfer of shares to </w:t>
      </w:r>
      <w:r w:rsidR="005F0FCD">
        <w:rPr>
          <w:color w:val="000000" w:themeColor="text1"/>
          <w:lang w:val="en-US"/>
        </w:rPr>
        <w:t xml:space="preserve">Mr </w:t>
      </w:r>
      <w:proofErr w:type="gramStart"/>
      <w:r w:rsidRPr="00E84363">
        <w:rPr>
          <w:color w:val="000000" w:themeColor="text1"/>
          <w:lang w:val="en-US"/>
        </w:rPr>
        <w:t>Kosogov</w:t>
      </w:r>
      <w:r w:rsidR="00631FD1">
        <w:rPr>
          <w:color w:val="000000" w:themeColor="text1"/>
          <w:lang w:val="en-US"/>
        </w:rPr>
        <w:t>;</w:t>
      </w:r>
      <w:proofErr w:type="gramEnd"/>
    </w:p>
    <w:p w14:paraId="50FE8896" w14:textId="3118EA80" w:rsidR="002B28C1" w:rsidRDefault="008A12F2" w:rsidP="002B28C1">
      <w:pPr>
        <w:pStyle w:val="BodyText"/>
        <w:numPr>
          <w:ilvl w:val="2"/>
          <w:numId w:val="4"/>
        </w:numPr>
        <w:rPr>
          <w:color w:val="000000" w:themeColor="text1"/>
          <w:lang w:val="en-US"/>
        </w:rPr>
      </w:pPr>
      <w:r>
        <w:rPr>
          <w:color w:val="000000" w:themeColor="text1"/>
          <w:lang w:val="en-US"/>
        </w:rPr>
        <w:t>The purchase price</w:t>
      </w:r>
      <w:r w:rsidR="00D83C4B">
        <w:rPr>
          <w:color w:val="000000" w:themeColor="text1"/>
          <w:lang w:val="en-US"/>
        </w:rPr>
        <w:t>,</w:t>
      </w:r>
      <w:r>
        <w:rPr>
          <w:color w:val="000000" w:themeColor="text1"/>
          <w:lang w:val="en-US"/>
        </w:rPr>
        <w:t xml:space="preserve"> which is said not to reflect A1's </w:t>
      </w:r>
      <w:r w:rsidR="00D83C4B">
        <w:rPr>
          <w:color w:val="000000" w:themeColor="text1"/>
          <w:lang w:val="en-US"/>
        </w:rPr>
        <w:t xml:space="preserve">real </w:t>
      </w:r>
      <w:r>
        <w:rPr>
          <w:color w:val="000000" w:themeColor="text1"/>
          <w:lang w:val="en-US"/>
        </w:rPr>
        <w:t xml:space="preserve">financial </w:t>
      </w:r>
      <w:proofErr w:type="gramStart"/>
      <w:r>
        <w:rPr>
          <w:color w:val="000000" w:themeColor="text1"/>
          <w:lang w:val="en-US"/>
        </w:rPr>
        <w:t>position</w:t>
      </w:r>
      <w:r w:rsidR="00631FD1">
        <w:rPr>
          <w:color w:val="000000" w:themeColor="text1"/>
          <w:lang w:val="en-US"/>
        </w:rPr>
        <w:t>;</w:t>
      </w:r>
      <w:proofErr w:type="gramEnd"/>
    </w:p>
    <w:p w14:paraId="45390DD1" w14:textId="59A892BF" w:rsidR="00C00716" w:rsidRPr="00E84363" w:rsidRDefault="003E0E14" w:rsidP="002B28C1">
      <w:pPr>
        <w:pStyle w:val="BodyText"/>
        <w:numPr>
          <w:ilvl w:val="2"/>
          <w:numId w:val="4"/>
        </w:numPr>
        <w:rPr>
          <w:color w:val="000000" w:themeColor="text1"/>
          <w:lang w:val="en-US"/>
        </w:rPr>
      </w:pPr>
      <w:r>
        <w:rPr>
          <w:color w:val="000000" w:themeColor="text1"/>
          <w:lang w:val="en-US"/>
        </w:rPr>
        <w:t>What are said to be</w:t>
      </w:r>
      <w:r w:rsidR="007C4F61">
        <w:rPr>
          <w:color w:val="000000" w:themeColor="text1"/>
          <w:lang w:val="en-US"/>
        </w:rPr>
        <w:t xml:space="preserve"> concerted declarations as to the effect of these transactions</w:t>
      </w:r>
      <w:r>
        <w:rPr>
          <w:color w:val="000000" w:themeColor="text1"/>
          <w:lang w:val="en-US"/>
        </w:rPr>
        <w:t>.</w:t>
      </w:r>
    </w:p>
    <w:p w14:paraId="4BBE1DD9" w14:textId="625BDE4B" w:rsidR="00E84363" w:rsidRPr="00E84363" w:rsidRDefault="003E0E14" w:rsidP="00422FD0">
      <w:pPr>
        <w:pStyle w:val="BodyText"/>
        <w:numPr>
          <w:ilvl w:val="1"/>
          <w:numId w:val="4"/>
        </w:numPr>
        <w:rPr>
          <w:color w:val="000000" w:themeColor="text1"/>
          <w:lang w:val="en-US"/>
        </w:rPr>
      </w:pPr>
      <w:r>
        <w:rPr>
          <w:color w:val="000000" w:themeColor="text1"/>
          <w:lang w:val="en-US"/>
        </w:rPr>
        <w:t>Finally</w:t>
      </w:r>
      <w:r w:rsidR="00631FD1">
        <w:rPr>
          <w:color w:val="000000" w:themeColor="text1"/>
          <w:lang w:val="en-US"/>
        </w:rPr>
        <w:t>,</w:t>
      </w:r>
      <w:r>
        <w:rPr>
          <w:color w:val="000000" w:themeColor="text1"/>
          <w:lang w:val="en-US"/>
        </w:rPr>
        <w:t xml:space="preserve"> it was said that the history of the application and the case more broadly disclosed a lack of </w:t>
      </w:r>
      <w:proofErr w:type="spellStart"/>
      <w:r w:rsidR="00B00D59">
        <w:rPr>
          <w:color w:val="000000" w:themeColor="text1"/>
          <w:lang w:val="en-US"/>
        </w:rPr>
        <w:t>candour</w:t>
      </w:r>
      <w:proofErr w:type="spellEnd"/>
      <w:r w:rsidR="00B00D59">
        <w:rPr>
          <w:color w:val="000000" w:themeColor="text1"/>
          <w:lang w:val="en-US"/>
        </w:rPr>
        <w:t>.</w:t>
      </w:r>
    </w:p>
    <w:p w14:paraId="18E3A72D" w14:textId="1F261A32" w:rsidR="00A3221F" w:rsidRDefault="00C27458" w:rsidP="00F41E84">
      <w:pPr>
        <w:pStyle w:val="BodyText"/>
        <w:rPr>
          <w:color w:val="000000" w:themeColor="text1"/>
          <w:lang w:val="en-US"/>
        </w:rPr>
      </w:pPr>
      <w:r>
        <w:rPr>
          <w:color w:val="000000" w:themeColor="text1"/>
          <w:lang w:val="en-US"/>
        </w:rPr>
        <w:t>We will deal with these points in turn.</w:t>
      </w:r>
    </w:p>
    <w:p w14:paraId="12C918A4" w14:textId="51071C4D" w:rsidR="00780A88" w:rsidRDefault="00E740B2" w:rsidP="00E740B2">
      <w:pPr>
        <w:pStyle w:val="Heading2"/>
        <w:rPr>
          <w:lang w:val="en-US"/>
        </w:rPr>
      </w:pPr>
      <w:r>
        <w:rPr>
          <w:lang w:val="en-US"/>
        </w:rPr>
        <w:t>Joint arrangement</w:t>
      </w:r>
      <w:r w:rsidR="006A7E3F">
        <w:rPr>
          <w:lang w:val="en-US"/>
        </w:rPr>
        <w:t xml:space="preserve"> (before March 2022)</w:t>
      </w:r>
    </w:p>
    <w:p w14:paraId="140D5C67" w14:textId="5105E224" w:rsidR="00A478D2" w:rsidRPr="00A478D2" w:rsidRDefault="001C5C24" w:rsidP="005E6181">
      <w:pPr>
        <w:pStyle w:val="BodyText"/>
        <w:rPr>
          <w:color w:val="000000" w:themeColor="text1"/>
          <w:lang w:val="en-US"/>
        </w:rPr>
      </w:pPr>
      <w:r>
        <w:rPr>
          <w:lang w:val="en-US"/>
        </w:rPr>
        <w:t xml:space="preserve">This is </w:t>
      </w:r>
      <w:r w:rsidR="00A5415D">
        <w:rPr>
          <w:lang w:val="en-US"/>
        </w:rPr>
        <w:t xml:space="preserve">a key </w:t>
      </w:r>
      <w:r>
        <w:rPr>
          <w:lang w:val="en-US"/>
        </w:rPr>
        <w:t xml:space="preserve">starting point to the argument. </w:t>
      </w:r>
      <w:r w:rsidR="005E6181">
        <w:rPr>
          <w:lang w:val="en-US"/>
        </w:rPr>
        <w:t>The question here is really one about aggregation. None of the Founders controlled A1 individually. The question is whether, at least before the middle of March 202</w:t>
      </w:r>
      <w:r w:rsidR="0012645A">
        <w:rPr>
          <w:lang w:val="en-US"/>
        </w:rPr>
        <w:t>2</w:t>
      </w:r>
      <w:r w:rsidR="005E6181">
        <w:rPr>
          <w:lang w:val="en-US"/>
        </w:rPr>
        <w:t xml:space="preserve">, </w:t>
      </w:r>
      <w:r w:rsidR="00A478D2">
        <w:rPr>
          <w:lang w:val="en-US"/>
        </w:rPr>
        <w:t>they should each be treated as jointly owning or controlling it.</w:t>
      </w:r>
      <w:r w:rsidR="00BF05C2">
        <w:rPr>
          <w:lang w:val="en-US"/>
        </w:rPr>
        <w:t xml:space="preserve"> There is then a question about whether, later in the day and after the sale/transfer there are still such indications</w:t>
      </w:r>
      <w:r w:rsidR="00DB5FDA">
        <w:rPr>
          <w:lang w:val="en-US"/>
        </w:rPr>
        <w:t xml:space="preserve"> such that</w:t>
      </w:r>
      <w:r w:rsidR="00493C98">
        <w:rPr>
          <w:lang w:val="en-US"/>
        </w:rPr>
        <w:t xml:space="preserve"> </w:t>
      </w:r>
      <w:r w:rsidR="0012645A">
        <w:rPr>
          <w:lang w:val="en-US"/>
        </w:rPr>
        <w:t>we</w:t>
      </w:r>
      <w:r w:rsidR="00493C98">
        <w:rPr>
          <w:lang w:val="en-US"/>
        </w:rPr>
        <w:t xml:space="preserve"> should conclude that Regulation 7(2) or 7(4) is engaged</w:t>
      </w:r>
      <w:r w:rsidR="00AE0622">
        <w:rPr>
          <w:lang w:val="en-US"/>
        </w:rPr>
        <w:t>.</w:t>
      </w:r>
    </w:p>
    <w:p w14:paraId="51C98068" w14:textId="77777777" w:rsidR="0012645A" w:rsidRPr="0012645A" w:rsidRDefault="00D7691F" w:rsidP="005E6181">
      <w:pPr>
        <w:pStyle w:val="BodyText"/>
        <w:rPr>
          <w:color w:val="000000" w:themeColor="text1"/>
          <w:lang w:val="en-US"/>
        </w:rPr>
      </w:pPr>
      <w:r>
        <w:rPr>
          <w:lang w:val="en-US"/>
        </w:rPr>
        <w:t>The OFSI Guidance</w:t>
      </w:r>
      <w:r w:rsidR="005C37A0">
        <w:rPr>
          <w:lang w:val="en-US"/>
        </w:rPr>
        <w:t xml:space="preserve"> says this about aggregation: </w:t>
      </w:r>
    </w:p>
    <w:p w14:paraId="442013AA" w14:textId="56E283EC" w:rsidR="005C37A0" w:rsidRPr="005C37A0" w:rsidRDefault="0012645A" w:rsidP="0012645A">
      <w:pPr>
        <w:pStyle w:val="Quote"/>
        <w:rPr>
          <w:lang w:val="en-US"/>
        </w:rPr>
      </w:pPr>
      <w:r>
        <w:rPr>
          <w:lang w:val="en-US"/>
        </w:rPr>
        <w:t>“</w:t>
      </w:r>
      <w:r w:rsidR="00D7691F" w:rsidRPr="00D7691F">
        <w:rPr>
          <w:lang w:val="en-US"/>
        </w:rPr>
        <w:t xml:space="preserve">When making an assessment on ownership and control, OFSI would not simply aggregate different designated persons’ holding in a company, unless, for example, the shares or rights are subject to a joint arrangement between the designated </w:t>
      </w:r>
      <w:proofErr w:type="gramStart"/>
      <w:r w:rsidR="00D7691F" w:rsidRPr="00D7691F">
        <w:rPr>
          <w:lang w:val="en-US"/>
        </w:rPr>
        <w:t>parties</w:t>
      </w:r>
      <w:proofErr w:type="gramEnd"/>
      <w:r w:rsidR="00D7691F" w:rsidRPr="00D7691F">
        <w:rPr>
          <w:lang w:val="en-US"/>
        </w:rPr>
        <w:t xml:space="preserve"> or one party controls the rights of another.</w:t>
      </w:r>
      <w:r w:rsidR="005E6181">
        <w:rPr>
          <w:lang w:val="en-US"/>
        </w:rPr>
        <w:t>..</w:t>
      </w:r>
      <w:r w:rsidR="005E6181" w:rsidRPr="005E6181">
        <w:t xml:space="preserve"> </w:t>
      </w:r>
      <w:r w:rsidR="005E6181" w:rsidRPr="005E6181">
        <w:rPr>
          <w:lang w:val="en-US"/>
        </w:rPr>
        <w:t>Consequently, if each of the designated person’s</w:t>
      </w:r>
      <w:r w:rsidR="002E7A98">
        <w:rPr>
          <w:lang w:val="en-US"/>
        </w:rPr>
        <w:t xml:space="preserve"> </w:t>
      </w:r>
      <w:r w:rsidR="005E6181" w:rsidRPr="005E6181">
        <w:rPr>
          <w:lang w:val="en-US"/>
        </w:rPr>
        <w:t>holdings falls below the 50% threshold in respect of</w:t>
      </w:r>
      <w:r w:rsidR="002E7A98">
        <w:rPr>
          <w:lang w:val="en-US"/>
        </w:rPr>
        <w:t xml:space="preserve"> </w:t>
      </w:r>
      <w:r w:rsidR="005E6181" w:rsidRPr="005E6181">
        <w:rPr>
          <w:lang w:val="en-US"/>
        </w:rPr>
        <w:t>share ownership and there is no evidence of a joint arrangement or the shares are held jointly, the company would not be directly or indirectly owned by a designated person</w:t>
      </w:r>
      <w:r w:rsidR="00D7691F" w:rsidRPr="00D7691F">
        <w:rPr>
          <w:lang w:val="en-US"/>
        </w:rPr>
        <w:t>”</w:t>
      </w:r>
      <w:r w:rsidR="00631FD1">
        <w:rPr>
          <w:lang w:val="en-US"/>
        </w:rPr>
        <w:t>.</w:t>
      </w:r>
    </w:p>
    <w:p w14:paraId="5DE79F9B" w14:textId="1D93341E" w:rsidR="001D5DF4" w:rsidRPr="005A5CEF" w:rsidRDefault="009A3B7C" w:rsidP="00B572FF">
      <w:pPr>
        <w:pStyle w:val="BodyText"/>
        <w:rPr>
          <w:color w:val="000000" w:themeColor="text1"/>
          <w:lang w:val="en-US"/>
        </w:rPr>
      </w:pPr>
      <w:r w:rsidRPr="005A5CEF">
        <w:rPr>
          <w:lang w:val="en-US"/>
        </w:rPr>
        <w:t>In terms of illustrating the kind of situation where a joint arrangement might be found</w:t>
      </w:r>
      <w:r w:rsidR="00ED102A">
        <w:rPr>
          <w:lang w:val="en-US"/>
        </w:rPr>
        <w:t>,</w:t>
      </w:r>
      <w:r w:rsidRPr="005A5CEF">
        <w:rPr>
          <w:lang w:val="en-US"/>
        </w:rPr>
        <w:t xml:space="preserve"> reliance was placed by </w:t>
      </w:r>
      <w:r w:rsidR="00055466" w:rsidRPr="005A5CEF">
        <w:rPr>
          <w:lang w:val="en-US"/>
        </w:rPr>
        <w:t>Mr Bedzhamov</w:t>
      </w:r>
      <w:r w:rsidRPr="005A5CEF">
        <w:rPr>
          <w:lang w:val="en-US"/>
        </w:rPr>
        <w:t xml:space="preserve"> on the approach in </w:t>
      </w:r>
      <w:proofErr w:type="spellStart"/>
      <w:r w:rsidR="002E7A98" w:rsidRPr="005A5CEF">
        <w:rPr>
          <w:i/>
          <w:iCs/>
          <w:lang w:val="en-US"/>
        </w:rPr>
        <w:t>Shvidler</w:t>
      </w:r>
      <w:proofErr w:type="spellEnd"/>
      <w:r w:rsidR="002E7A98" w:rsidRPr="005A5CEF">
        <w:rPr>
          <w:i/>
          <w:iCs/>
          <w:lang w:val="en-US"/>
        </w:rPr>
        <w:t xml:space="preserve"> v FCDA</w:t>
      </w:r>
      <w:r w:rsidR="002E7A98" w:rsidRPr="005A5CEF">
        <w:rPr>
          <w:lang w:val="en-US"/>
        </w:rPr>
        <w:t xml:space="preserve"> [2023] EWHC 2121 (Admin)</w:t>
      </w:r>
      <w:r w:rsidR="007567D1">
        <w:rPr>
          <w:lang w:val="en-US"/>
        </w:rPr>
        <w:t xml:space="preserve"> which invoked the concept of “acting in concert”</w:t>
      </w:r>
      <w:r w:rsidR="002E7A98" w:rsidRPr="005A5CEF">
        <w:rPr>
          <w:lang w:val="en-US"/>
        </w:rPr>
        <w:t>.</w:t>
      </w:r>
      <w:r w:rsidR="005A5CEF" w:rsidRPr="005A5CEF">
        <w:rPr>
          <w:lang w:val="en-US"/>
        </w:rPr>
        <w:t xml:space="preserve"> </w:t>
      </w:r>
      <w:r w:rsidR="003C2077" w:rsidRPr="005A5CEF">
        <w:rPr>
          <w:lang w:val="en-US"/>
        </w:rPr>
        <w:t xml:space="preserve">The meaning of a “joint arrangement” for ownership and control </w:t>
      </w:r>
      <w:r w:rsidR="003C2077" w:rsidRPr="005A5CEF">
        <w:rPr>
          <w:lang w:val="en-US"/>
        </w:rPr>
        <w:lastRenderedPageBreak/>
        <w:t xml:space="preserve">purposes was considered by Garnham J in  </w:t>
      </w:r>
      <w:r w:rsidR="002E7A98" w:rsidRPr="005A5CEF">
        <w:rPr>
          <w:lang w:val="en-US"/>
        </w:rPr>
        <w:t xml:space="preserve">that case, which concerned </w:t>
      </w:r>
      <w:r w:rsidR="003C2077" w:rsidRPr="005A5CEF">
        <w:rPr>
          <w:lang w:val="en-US"/>
        </w:rPr>
        <w:t xml:space="preserve">a judicial review of the Foreign Secretary’s decision to designate Mr </w:t>
      </w:r>
      <w:proofErr w:type="spellStart"/>
      <w:r w:rsidR="003C2077" w:rsidRPr="005A5CEF">
        <w:rPr>
          <w:lang w:val="en-US"/>
        </w:rPr>
        <w:t>Shvidler</w:t>
      </w:r>
      <w:proofErr w:type="spellEnd"/>
      <w:r w:rsidR="003C2077" w:rsidRPr="005A5CEF">
        <w:rPr>
          <w:lang w:val="en-US"/>
        </w:rPr>
        <w:t xml:space="preserve"> on the basis that he was a business partner and close associate of </w:t>
      </w:r>
      <w:r w:rsidR="005A5CEF">
        <w:rPr>
          <w:lang w:val="en-US"/>
        </w:rPr>
        <w:t xml:space="preserve">Mr </w:t>
      </w:r>
      <w:r w:rsidR="003C2077" w:rsidRPr="005A5CEF">
        <w:rPr>
          <w:lang w:val="en-US"/>
        </w:rPr>
        <w:t>Roman Abramovich, and there were reasonable grounds to suspect that he had received significant financial benefits from him and he had been a nominee director of a company (</w:t>
      </w:r>
      <w:proofErr w:type="spellStart"/>
      <w:r w:rsidR="003C2077" w:rsidRPr="005A5CEF">
        <w:rPr>
          <w:lang w:val="en-US"/>
        </w:rPr>
        <w:t>Evraz</w:t>
      </w:r>
      <w:proofErr w:type="spellEnd"/>
      <w:r w:rsidR="003C2077" w:rsidRPr="005A5CEF">
        <w:rPr>
          <w:lang w:val="en-US"/>
        </w:rPr>
        <w:t xml:space="preserve">) in relation to which Mr Abramovich could be treated as more than 50% of the shares or voting rights of the company. </w:t>
      </w:r>
      <w:r w:rsidR="001D5DF4" w:rsidRPr="005A5CEF">
        <w:rPr>
          <w:color w:val="000000" w:themeColor="text1"/>
          <w:lang w:val="en-US"/>
        </w:rPr>
        <w:t xml:space="preserve">Garnham J accepted (at [103]) that: </w:t>
      </w:r>
    </w:p>
    <w:p w14:paraId="0ED3A675" w14:textId="2F87EF92" w:rsidR="003C2077" w:rsidRPr="003C2077" w:rsidRDefault="001D5DF4" w:rsidP="005A5CEF">
      <w:pPr>
        <w:pStyle w:val="Quote"/>
        <w:rPr>
          <w:lang w:val="en-US"/>
        </w:rPr>
      </w:pPr>
      <w:r w:rsidRPr="001D5DF4">
        <w:rPr>
          <w:lang w:val="en-US"/>
        </w:rPr>
        <w:t>“</w:t>
      </w:r>
      <w:r w:rsidR="00631FD1">
        <w:rPr>
          <w:lang w:val="en-US"/>
        </w:rPr>
        <w:t>G</w:t>
      </w:r>
      <w:r w:rsidRPr="001D5DF4">
        <w:rPr>
          <w:lang w:val="en-US"/>
        </w:rPr>
        <w:t xml:space="preserve">iven that </w:t>
      </w:r>
      <w:proofErr w:type="spellStart"/>
      <w:r w:rsidRPr="001D5DF4">
        <w:rPr>
          <w:lang w:val="en-US"/>
        </w:rPr>
        <w:t>Messrs</w:t>
      </w:r>
      <w:proofErr w:type="spellEnd"/>
      <w:r w:rsidRPr="001D5DF4">
        <w:rPr>
          <w:lang w:val="en-US"/>
        </w:rPr>
        <w:t xml:space="preserve"> Abramovich, Abramov and Frolov are treated by </w:t>
      </w:r>
      <w:proofErr w:type="spellStart"/>
      <w:r w:rsidRPr="001D5DF4">
        <w:rPr>
          <w:lang w:val="en-US"/>
        </w:rPr>
        <w:t>Evraz</w:t>
      </w:r>
      <w:proofErr w:type="spellEnd"/>
      <w:r w:rsidRPr="001D5DF4">
        <w:rPr>
          <w:lang w:val="en-US"/>
        </w:rPr>
        <w:t xml:space="preserve"> as “acting in concert”, there are reasonable grounds to suspect that there exists a “joint arrangement” between them within the meaning of paragraph 3.  Accordingly, each of them is to be treated as holding the combined shares of all three, and Mr Abramovich can be treated as owning, directly or indirectly, more than 50% of the shares and voting rights in </w:t>
      </w:r>
      <w:proofErr w:type="spellStart"/>
      <w:r w:rsidRPr="001D5DF4">
        <w:rPr>
          <w:lang w:val="en-US"/>
        </w:rPr>
        <w:t>Evraz</w:t>
      </w:r>
      <w:proofErr w:type="spellEnd"/>
      <w:r w:rsidRPr="001D5DF4">
        <w:rPr>
          <w:lang w:val="en-US"/>
        </w:rPr>
        <w:t xml:space="preserve">.” </w:t>
      </w:r>
      <w:r w:rsidR="003C2077" w:rsidRPr="003C2077">
        <w:rPr>
          <w:lang w:val="en-US"/>
        </w:rPr>
        <w:t xml:space="preserve"> </w:t>
      </w:r>
    </w:p>
    <w:p w14:paraId="040F8622" w14:textId="33D3546F" w:rsidR="009A3B7C" w:rsidRDefault="00D72B3F" w:rsidP="00F46F43">
      <w:pPr>
        <w:pStyle w:val="BodyText"/>
        <w:rPr>
          <w:color w:val="000000" w:themeColor="text1"/>
          <w:lang w:val="en-US"/>
        </w:rPr>
      </w:pPr>
      <w:r>
        <w:rPr>
          <w:color w:val="000000" w:themeColor="text1"/>
          <w:lang w:val="en-US"/>
        </w:rPr>
        <w:t>Given the equivalency of the terms in that judgment it is material to consider the definition of “acting in concert”</w:t>
      </w:r>
      <w:r w:rsidR="00BF7C48">
        <w:rPr>
          <w:color w:val="000000" w:themeColor="text1"/>
          <w:lang w:val="en-US"/>
        </w:rPr>
        <w:t xml:space="preserve">. </w:t>
      </w:r>
      <w:r w:rsidR="009A3B7C" w:rsidRPr="009A3B7C">
        <w:rPr>
          <w:color w:val="000000" w:themeColor="text1"/>
          <w:lang w:val="en-US"/>
        </w:rPr>
        <w:t xml:space="preserve">The FCA Handbook notes that there is no definition of </w:t>
      </w:r>
      <w:r w:rsidR="007567D1">
        <w:rPr>
          <w:color w:val="000000" w:themeColor="text1"/>
          <w:lang w:val="en-US"/>
        </w:rPr>
        <w:t>“</w:t>
      </w:r>
      <w:r w:rsidR="009A3B7C" w:rsidRPr="009A3B7C">
        <w:rPr>
          <w:color w:val="000000" w:themeColor="text1"/>
          <w:lang w:val="en-US"/>
        </w:rPr>
        <w:t>acting in concert</w:t>
      </w:r>
      <w:r w:rsidR="007567D1">
        <w:rPr>
          <w:color w:val="000000" w:themeColor="text1"/>
          <w:lang w:val="en-US"/>
        </w:rPr>
        <w:t>”</w:t>
      </w:r>
      <w:r w:rsidR="009A3B7C" w:rsidRPr="009A3B7C">
        <w:rPr>
          <w:color w:val="000000" w:themeColor="text1"/>
          <w:lang w:val="en-US"/>
        </w:rPr>
        <w:t xml:space="preserve"> in the Financial Services and Markets Act 2000 but suggests that persons will be acting in concert when each of them decides to exercise his rights linked to the shares in accordance with an explicit or implicit agreement between them. The UK Takeover Panel defines “acting in concert” as </w:t>
      </w:r>
      <w:r w:rsidR="009A3B7C" w:rsidRPr="00631FD1">
        <w:rPr>
          <w:color w:val="000000" w:themeColor="text1"/>
          <w:lang w:val="en-US"/>
        </w:rPr>
        <w:t>“</w:t>
      </w:r>
      <w:r w:rsidR="009A3B7C" w:rsidRPr="006F7B29">
        <w:rPr>
          <w:i/>
          <w:iCs/>
          <w:color w:val="000000" w:themeColor="text1"/>
          <w:lang w:val="en-US"/>
        </w:rPr>
        <w:t>persons who, pursuant to an agreement or understanding (whether formal or informal) co-operate to obtain or consolidate control… of a company or to frustrate the successful outcome of an offer for a company</w:t>
      </w:r>
      <w:r w:rsidR="009A3B7C" w:rsidRPr="00631FD1">
        <w:rPr>
          <w:color w:val="000000" w:themeColor="text1"/>
          <w:lang w:val="en-US"/>
        </w:rPr>
        <w:t>”</w:t>
      </w:r>
      <w:r w:rsidR="009A3B7C" w:rsidRPr="009A3B7C">
        <w:rPr>
          <w:color w:val="000000" w:themeColor="text1"/>
          <w:lang w:val="en-US"/>
        </w:rPr>
        <w:t xml:space="preserve">. </w:t>
      </w:r>
    </w:p>
    <w:p w14:paraId="418C0688" w14:textId="71A68F04" w:rsidR="00F46F43" w:rsidRDefault="00BF7C48" w:rsidP="00F46F43">
      <w:pPr>
        <w:pStyle w:val="BodyText"/>
        <w:rPr>
          <w:color w:val="000000" w:themeColor="text1"/>
          <w:lang w:val="en-US"/>
        </w:rPr>
      </w:pPr>
      <w:r>
        <w:rPr>
          <w:color w:val="000000" w:themeColor="text1"/>
          <w:lang w:val="en-US"/>
        </w:rPr>
        <w:t>Looking then at the facts of this case, p</w:t>
      </w:r>
      <w:r w:rsidR="00AB71B4">
        <w:rPr>
          <w:color w:val="000000" w:themeColor="text1"/>
          <w:lang w:val="en-US"/>
        </w:rPr>
        <w:t>rior to</w:t>
      </w:r>
      <w:r w:rsidR="008E5F91">
        <w:rPr>
          <w:color w:val="000000" w:themeColor="text1"/>
          <w:lang w:val="en-US"/>
        </w:rPr>
        <w:t xml:space="preserve"> mid March</w:t>
      </w:r>
      <w:r w:rsidR="00AB71B4" w:rsidRPr="00AB71B4">
        <w:rPr>
          <w:color w:val="000000" w:themeColor="text1"/>
          <w:lang w:val="en-US"/>
        </w:rPr>
        <w:t xml:space="preserve">, it is not in dispute that </w:t>
      </w:r>
      <w:proofErr w:type="spellStart"/>
      <w:r w:rsidR="008E5F91">
        <w:rPr>
          <w:color w:val="000000" w:themeColor="text1"/>
          <w:lang w:val="en-US"/>
        </w:rPr>
        <w:t>Messrs</w:t>
      </w:r>
      <w:proofErr w:type="spellEnd"/>
      <w:r w:rsidR="008E5F91">
        <w:rPr>
          <w:color w:val="000000" w:themeColor="text1"/>
          <w:lang w:val="en-US"/>
        </w:rPr>
        <w:t xml:space="preserve"> </w:t>
      </w:r>
      <w:proofErr w:type="spellStart"/>
      <w:r w:rsidR="00AB71B4" w:rsidRPr="00AB71B4">
        <w:rPr>
          <w:color w:val="000000" w:themeColor="text1"/>
          <w:lang w:val="en-US"/>
        </w:rPr>
        <w:t>Fridman</w:t>
      </w:r>
      <w:proofErr w:type="spellEnd"/>
      <w:r w:rsidR="00AB71B4" w:rsidRPr="00AB71B4">
        <w:rPr>
          <w:color w:val="000000" w:themeColor="text1"/>
          <w:lang w:val="en-US"/>
        </w:rPr>
        <w:t xml:space="preserve">, Khan and Kuzmichev together held 95% of the shares in </w:t>
      </w:r>
      <w:r w:rsidR="00401AE3">
        <w:rPr>
          <w:color w:val="000000" w:themeColor="text1"/>
          <w:lang w:val="en-US"/>
        </w:rPr>
        <w:t>A1 Investment</w:t>
      </w:r>
      <w:r w:rsidR="00AB71B4" w:rsidRPr="00AB71B4">
        <w:rPr>
          <w:color w:val="000000" w:themeColor="text1"/>
          <w:lang w:val="en-US"/>
        </w:rPr>
        <w:t>, which indirectly owned A1.  The other 5% shareholding has not been revealed</w:t>
      </w:r>
      <w:r w:rsidR="00854D69">
        <w:rPr>
          <w:color w:val="000000" w:themeColor="text1"/>
          <w:lang w:val="en-US"/>
        </w:rPr>
        <w:t xml:space="preserve">. That might not itself justify a conclusion that there was a joint </w:t>
      </w:r>
      <w:r w:rsidR="00EF54ED">
        <w:rPr>
          <w:color w:val="000000" w:themeColor="text1"/>
          <w:lang w:val="en-US"/>
        </w:rPr>
        <w:t>arrangement</w:t>
      </w:r>
      <w:r w:rsidR="00854D69">
        <w:rPr>
          <w:color w:val="000000" w:themeColor="text1"/>
          <w:lang w:val="en-US"/>
        </w:rPr>
        <w:t xml:space="preserve"> in place. However</w:t>
      </w:r>
      <w:r w:rsidR="00631FD1">
        <w:rPr>
          <w:color w:val="000000" w:themeColor="text1"/>
          <w:lang w:val="en-US"/>
        </w:rPr>
        <w:t>,</w:t>
      </w:r>
      <w:r w:rsidR="00854D69">
        <w:rPr>
          <w:color w:val="000000" w:themeColor="text1"/>
          <w:lang w:val="en-US"/>
        </w:rPr>
        <w:t xml:space="preserve"> that </w:t>
      </w:r>
      <w:r w:rsidR="00EF54ED">
        <w:rPr>
          <w:color w:val="000000" w:themeColor="text1"/>
          <w:lang w:val="en-US"/>
        </w:rPr>
        <w:t>evidence</w:t>
      </w:r>
      <w:r w:rsidR="00854D69">
        <w:rPr>
          <w:color w:val="000000" w:themeColor="text1"/>
          <w:lang w:val="en-US"/>
        </w:rPr>
        <w:t xml:space="preserve"> does not stand alone. </w:t>
      </w:r>
      <w:r w:rsidR="00BE1759">
        <w:rPr>
          <w:color w:val="000000" w:themeColor="text1"/>
          <w:lang w:val="en-US"/>
        </w:rPr>
        <w:t>On the contrary the back story</w:t>
      </w:r>
      <w:r w:rsidR="004F638C">
        <w:rPr>
          <w:color w:val="000000" w:themeColor="text1"/>
          <w:lang w:val="en-US"/>
        </w:rPr>
        <w:t xml:space="preserve"> </w:t>
      </w:r>
      <w:r>
        <w:rPr>
          <w:color w:val="000000" w:themeColor="text1"/>
          <w:lang w:val="en-US"/>
        </w:rPr>
        <w:t xml:space="preserve">of the company and the association of the individuals </w:t>
      </w:r>
      <w:r w:rsidR="004F638C">
        <w:rPr>
          <w:color w:val="000000" w:themeColor="text1"/>
          <w:lang w:val="en-US"/>
        </w:rPr>
        <w:t>provides strong further reinforcement to the suggestion. I</w:t>
      </w:r>
      <w:r w:rsidR="00EF54ED">
        <w:rPr>
          <w:color w:val="000000" w:themeColor="text1"/>
          <w:lang w:val="en-US"/>
        </w:rPr>
        <w:t>n</w:t>
      </w:r>
      <w:r w:rsidR="004F638C">
        <w:rPr>
          <w:color w:val="000000" w:themeColor="text1"/>
          <w:lang w:val="en-US"/>
        </w:rPr>
        <w:t xml:space="preserve"> particular </w:t>
      </w:r>
      <w:r w:rsidR="00202CC7">
        <w:rPr>
          <w:color w:val="000000" w:themeColor="text1"/>
          <w:lang w:val="en-US"/>
        </w:rPr>
        <w:t xml:space="preserve">there is </w:t>
      </w:r>
      <w:r w:rsidR="004F638C">
        <w:rPr>
          <w:color w:val="000000" w:themeColor="text1"/>
          <w:lang w:val="en-US"/>
        </w:rPr>
        <w:t>the fact that A1 was founded together by these same three persons, and that they have ever since worked toget</w:t>
      </w:r>
      <w:r w:rsidR="00EF54ED">
        <w:rPr>
          <w:color w:val="000000" w:themeColor="text1"/>
          <w:lang w:val="en-US"/>
        </w:rPr>
        <w:t xml:space="preserve">her. That perception seems to have driven the </w:t>
      </w:r>
      <w:proofErr w:type="spellStart"/>
      <w:r w:rsidR="00EF54ED">
        <w:rPr>
          <w:color w:val="000000" w:themeColor="text1"/>
          <w:lang w:val="en-US"/>
        </w:rPr>
        <w:t>co-ordinated</w:t>
      </w:r>
      <w:proofErr w:type="spellEnd"/>
      <w:r w:rsidR="00EF54ED">
        <w:rPr>
          <w:color w:val="000000" w:themeColor="text1"/>
          <w:lang w:val="en-US"/>
        </w:rPr>
        <w:t xml:space="preserve"> approach to designating the Founders</w:t>
      </w:r>
      <w:r w:rsidR="00640AAA">
        <w:rPr>
          <w:color w:val="000000" w:themeColor="text1"/>
          <w:lang w:val="en-US"/>
        </w:rPr>
        <w:t>.</w:t>
      </w:r>
      <w:r w:rsidR="00F22691">
        <w:rPr>
          <w:color w:val="000000" w:themeColor="text1"/>
          <w:lang w:val="en-US"/>
        </w:rPr>
        <w:t xml:space="preserve"> In </w:t>
      </w:r>
      <w:proofErr w:type="gramStart"/>
      <w:r w:rsidR="00F22691">
        <w:rPr>
          <w:color w:val="000000" w:themeColor="text1"/>
          <w:lang w:val="en-US"/>
        </w:rPr>
        <w:t>addition</w:t>
      </w:r>
      <w:proofErr w:type="gramEnd"/>
      <w:r w:rsidR="00F22691">
        <w:rPr>
          <w:color w:val="000000" w:themeColor="text1"/>
          <w:lang w:val="en-US"/>
        </w:rPr>
        <w:t xml:space="preserve"> some</w:t>
      </w:r>
      <w:r w:rsidR="00EF72FF">
        <w:rPr>
          <w:color w:val="000000" w:themeColor="text1"/>
          <w:lang w:val="en-US"/>
        </w:rPr>
        <w:t xml:space="preserve"> reflection back from the more detailed evidence on shareholdings post March indicates that the shareholdings</w:t>
      </w:r>
      <w:r w:rsidR="00E74772">
        <w:rPr>
          <w:color w:val="000000" w:themeColor="text1"/>
          <w:lang w:val="en-US"/>
        </w:rPr>
        <w:t xml:space="preserve"> of the Founders were disposed so that Mr Fridman had 4</w:t>
      </w:r>
      <w:r w:rsidR="00515702">
        <w:rPr>
          <w:color w:val="000000" w:themeColor="text1"/>
          <w:lang w:val="en-US"/>
        </w:rPr>
        <w:t>2.9</w:t>
      </w:r>
      <w:r w:rsidR="00E74772">
        <w:rPr>
          <w:color w:val="000000" w:themeColor="text1"/>
          <w:lang w:val="en-US"/>
        </w:rPr>
        <w:t>% (i</w:t>
      </w:r>
      <w:r w:rsidR="00DA2BF0">
        <w:rPr>
          <w:color w:val="000000" w:themeColor="text1"/>
          <w:lang w:val="en-US"/>
        </w:rPr>
        <w:t>.</w:t>
      </w:r>
      <w:r w:rsidR="00E74772">
        <w:rPr>
          <w:color w:val="000000" w:themeColor="text1"/>
          <w:lang w:val="en-US"/>
        </w:rPr>
        <w:t>e</w:t>
      </w:r>
      <w:r w:rsidR="00DA2BF0">
        <w:rPr>
          <w:color w:val="000000" w:themeColor="text1"/>
          <w:lang w:val="en-US"/>
        </w:rPr>
        <w:t>.</w:t>
      </w:r>
      <w:r w:rsidR="00E74772">
        <w:rPr>
          <w:color w:val="000000" w:themeColor="text1"/>
          <w:lang w:val="en-US"/>
        </w:rPr>
        <w:t xml:space="preserve"> the largest shareholding, but not a majority)</w:t>
      </w:r>
      <w:r w:rsidR="00B43D1B">
        <w:rPr>
          <w:color w:val="000000" w:themeColor="text1"/>
          <w:lang w:val="en-US"/>
        </w:rPr>
        <w:t xml:space="preserve">, while </w:t>
      </w:r>
      <w:proofErr w:type="spellStart"/>
      <w:r w:rsidR="00B43D1B">
        <w:rPr>
          <w:color w:val="000000" w:themeColor="text1"/>
          <w:lang w:val="en-US"/>
        </w:rPr>
        <w:t>Messrs</w:t>
      </w:r>
      <w:proofErr w:type="spellEnd"/>
      <w:r w:rsidR="00B43D1B">
        <w:rPr>
          <w:color w:val="000000" w:themeColor="text1"/>
          <w:lang w:val="en-US"/>
        </w:rPr>
        <w:t xml:space="preserve"> Khan and </w:t>
      </w:r>
      <w:proofErr w:type="spellStart"/>
      <w:r w:rsidR="00B43D1B">
        <w:rPr>
          <w:color w:val="000000" w:themeColor="text1"/>
          <w:lang w:val="en-US"/>
        </w:rPr>
        <w:t>K</w:t>
      </w:r>
      <w:r w:rsidR="00515702">
        <w:rPr>
          <w:color w:val="000000" w:themeColor="text1"/>
          <w:lang w:val="en-US"/>
        </w:rPr>
        <w:t>u</w:t>
      </w:r>
      <w:r w:rsidR="00B43D1B">
        <w:rPr>
          <w:color w:val="000000" w:themeColor="text1"/>
          <w:lang w:val="en-US"/>
        </w:rPr>
        <w:t>zmichev</w:t>
      </w:r>
      <w:proofErr w:type="spellEnd"/>
      <w:r w:rsidR="00B43D1B">
        <w:rPr>
          <w:color w:val="000000" w:themeColor="text1"/>
          <w:lang w:val="en-US"/>
        </w:rPr>
        <w:t xml:space="preserve"> between them controlled 5</w:t>
      </w:r>
      <w:r w:rsidR="00846E09">
        <w:rPr>
          <w:color w:val="000000" w:themeColor="text1"/>
          <w:lang w:val="en-US"/>
        </w:rPr>
        <w:t>2.</w:t>
      </w:r>
      <w:r w:rsidR="00A44208">
        <w:rPr>
          <w:color w:val="000000" w:themeColor="text1"/>
          <w:lang w:val="en-US"/>
        </w:rPr>
        <w:t>0</w:t>
      </w:r>
      <w:r w:rsidR="00846E09">
        <w:rPr>
          <w:color w:val="000000" w:themeColor="text1"/>
          <w:lang w:val="en-US"/>
        </w:rPr>
        <w:t>1</w:t>
      </w:r>
      <w:r w:rsidR="00B43D1B">
        <w:rPr>
          <w:color w:val="000000" w:themeColor="text1"/>
          <w:lang w:val="en-US"/>
        </w:rPr>
        <w:t>%</w:t>
      </w:r>
      <w:r w:rsidR="00846E09">
        <w:rPr>
          <w:color w:val="000000" w:themeColor="text1"/>
          <w:lang w:val="en-US"/>
        </w:rPr>
        <w:t xml:space="preserve"> (the total of Mr Khan’s 29.1% and Mr </w:t>
      </w:r>
      <w:proofErr w:type="spellStart"/>
      <w:r w:rsidR="00846E09">
        <w:rPr>
          <w:color w:val="000000" w:themeColor="text1"/>
          <w:lang w:val="en-US"/>
        </w:rPr>
        <w:t>Kuzmichev’s</w:t>
      </w:r>
      <w:proofErr w:type="spellEnd"/>
      <w:r w:rsidR="00846E09">
        <w:rPr>
          <w:color w:val="000000" w:themeColor="text1"/>
          <w:lang w:val="en-US"/>
        </w:rPr>
        <w:t xml:space="preserve"> 22.9%)</w:t>
      </w:r>
      <w:r w:rsidR="00A44208">
        <w:rPr>
          <w:color w:val="000000" w:themeColor="text1"/>
          <w:lang w:val="en-US"/>
        </w:rPr>
        <w:t>. Thus</w:t>
      </w:r>
      <w:r w:rsidR="00DA2BF0">
        <w:rPr>
          <w:color w:val="000000" w:themeColor="text1"/>
          <w:lang w:val="en-US"/>
        </w:rPr>
        <w:t>,</w:t>
      </w:r>
      <w:r w:rsidR="00422C73">
        <w:rPr>
          <w:color w:val="000000" w:themeColor="text1"/>
          <w:lang w:val="en-US"/>
        </w:rPr>
        <w:t xml:space="preserve"> </w:t>
      </w:r>
      <w:r w:rsidR="003851FB">
        <w:rPr>
          <w:color w:val="000000" w:themeColor="text1"/>
          <w:lang w:val="en-US"/>
        </w:rPr>
        <w:t>together any two of them had a go</w:t>
      </w:r>
      <w:r w:rsidR="00321A50">
        <w:rPr>
          <w:color w:val="000000" w:themeColor="text1"/>
          <w:lang w:val="en-US"/>
        </w:rPr>
        <w:t>o</w:t>
      </w:r>
      <w:r w:rsidR="003851FB">
        <w:rPr>
          <w:color w:val="000000" w:themeColor="text1"/>
          <w:lang w:val="en-US"/>
        </w:rPr>
        <w:t>d functioning majority vote; and together their control was effectively</w:t>
      </w:r>
      <w:r w:rsidR="00321A50">
        <w:rPr>
          <w:color w:val="000000" w:themeColor="text1"/>
          <w:lang w:val="en-US"/>
        </w:rPr>
        <w:t xml:space="preserve"> complete. That situation where none could control individually and any two could control is amply resonant of a joint arrangement.</w:t>
      </w:r>
      <w:r w:rsidR="00D66AF8">
        <w:rPr>
          <w:color w:val="000000" w:themeColor="text1"/>
          <w:lang w:val="en-US"/>
        </w:rPr>
        <w:t xml:space="preserve"> In addition</w:t>
      </w:r>
      <w:r w:rsidR="00DA2BF0">
        <w:rPr>
          <w:color w:val="000000" w:themeColor="text1"/>
          <w:lang w:val="en-US"/>
        </w:rPr>
        <w:t>,</w:t>
      </w:r>
      <w:r w:rsidR="00640AAA">
        <w:rPr>
          <w:color w:val="000000" w:themeColor="text1"/>
          <w:lang w:val="en-US"/>
        </w:rPr>
        <w:t xml:space="preserve"> later events resonate with this picture.</w:t>
      </w:r>
    </w:p>
    <w:p w14:paraId="35B28261" w14:textId="4C549CFB" w:rsidR="009A3B7C" w:rsidRDefault="00640AAA" w:rsidP="00F46F43">
      <w:pPr>
        <w:pStyle w:val="BodyText"/>
        <w:rPr>
          <w:color w:val="000000" w:themeColor="text1"/>
          <w:lang w:val="en-US"/>
        </w:rPr>
      </w:pPr>
      <w:r>
        <w:rPr>
          <w:color w:val="000000" w:themeColor="text1"/>
          <w:lang w:val="en-US"/>
        </w:rPr>
        <w:t>We do therefore conclude that there</w:t>
      </w:r>
      <w:r w:rsidR="005C18AC" w:rsidRPr="005C18AC">
        <w:rPr>
          <w:color w:val="000000" w:themeColor="text1"/>
          <w:lang w:val="en-US"/>
        </w:rPr>
        <w:t xml:space="preserve"> is reasonable cause to suspect that there was a joint arrangement between </w:t>
      </w:r>
      <w:r w:rsidR="005C18AC">
        <w:rPr>
          <w:color w:val="000000" w:themeColor="text1"/>
          <w:lang w:val="en-US"/>
        </w:rPr>
        <w:t xml:space="preserve">the Founders up until the time of </w:t>
      </w:r>
      <w:r w:rsidR="0024792F">
        <w:rPr>
          <w:color w:val="000000" w:themeColor="text1"/>
          <w:lang w:val="en-US"/>
        </w:rPr>
        <w:t>the disposal of the Founders</w:t>
      </w:r>
      <w:r w:rsidR="00D66AF8">
        <w:rPr>
          <w:color w:val="000000" w:themeColor="text1"/>
          <w:lang w:val="en-US"/>
        </w:rPr>
        <w:t>’</w:t>
      </w:r>
      <w:r w:rsidR="0024792F">
        <w:rPr>
          <w:color w:val="000000" w:themeColor="text1"/>
          <w:lang w:val="en-US"/>
        </w:rPr>
        <w:t xml:space="preserve"> interests in or</w:t>
      </w:r>
      <w:r w:rsidR="0097690D">
        <w:rPr>
          <w:color w:val="000000" w:themeColor="text1"/>
          <w:lang w:val="en-US"/>
        </w:rPr>
        <w:t xml:space="preserve"> </w:t>
      </w:r>
      <w:r w:rsidR="0024792F">
        <w:rPr>
          <w:color w:val="000000" w:themeColor="text1"/>
          <w:lang w:val="en-US"/>
        </w:rPr>
        <w:t>control over A1 LLC.</w:t>
      </w:r>
    </w:p>
    <w:p w14:paraId="545BD7A1" w14:textId="65E37049" w:rsidR="00F46F43" w:rsidRPr="00F46F43" w:rsidRDefault="00F46F43" w:rsidP="00F46F43">
      <w:pPr>
        <w:pStyle w:val="Heading2"/>
        <w:rPr>
          <w:lang w:val="en-US"/>
        </w:rPr>
      </w:pPr>
      <w:r>
        <w:rPr>
          <w:lang w:val="en-US"/>
        </w:rPr>
        <w:lastRenderedPageBreak/>
        <w:t>Arms’ length disposal?</w:t>
      </w:r>
    </w:p>
    <w:p w14:paraId="4EE9A4DC" w14:textId="77777777" w:rsidR="00AF1857" w:rsidRDefault="00AF1857" w:rsidP="00AF1857">
      <w:pPr>
        <w:pStyle w:val="Heading3"/>
        <w:rPr>
          <w:lang w:val="en-US"/>
        </w:rPr>
      </w:pPr>
      <w:r>
        <w:rPr>
          <w:lang w:val="en-US"/>
        </w:rPr>
        <w:t>Circumstances of the disposal</w:t>
      </w:r>
    </w:p>
    <w:p w14:paraId="36167BB7" w14:textId="088567CD" w:rsidR="00FE3F14" w:rsidRDefault="005829A2" w:rsidP="00AF1857">
      <w:pPr>
        <w:pStyle w:val="BodyText"/>
        <w:rPr>
          <w:color w:val="000000" w:themeColor="text1"/>
        </w:rPr>
      </w:pPr>
      <w:r>
        <w:rPr>
          <w:color w:val="000000" w:themeColor="text1"/>
        </w:rPr>
        <w:t>The disposal</w:t>
      </w:r>
      <w:r w:rsidR="00FE3F14">
        <w:rPr>
          <w:color w:val="000000" w:themeColor="text1"/>
        </w:rPr>
        <w:t xml:space="preserve"> of A1 may be said to have two parts. One is the disposal of the shareholding in A1 </w:t>
      </w:r>
      <w:r w:rsidR="00D66AF8">
        <w:rPr>
          <w:color w:val="000000" w:themeColor="text1"/>
        </w:rPr>
        <w:t>Investment</w:t>
      </w:r>
      <w:r w:rsidR="00FE3F14">
        <w:rPr>
          <w:color w:val="000000" w:themeColor="text1"/>
        </w:rPr>
        <w:t>. The other is the sale of A1 LLC.</w:t>
      </w:r>
    </w:p>
    <w:p w14:paraId="27721618" w14:textId="139A87DB" w:rsidR="00F27E2C" w:rsidRDefault="00F3664D" w:rsidP="00AF1857">
      <w:pPr>
        <w:pStyle w:val="BodyText"/>
        <w:rPr>
          <w:color w:val="000000" w:themeColor="text1"/>
        </w:rPr>
      </w:pPr>
      <w:r>
        <w:rPr>
          <w:color w:val="000000" w:themeColor="text1"/>
        </w:rPr>
        <w:t>VPB</w:t>
      </w:r>
      <w:r w:rsidR="00AF1857" w:rsidRPr="004F071C">
        <w:rPr>
          <w:color w:val="000000" w:themeColor="text1"/>
        </w:rPr>
        <w:t xml:space="preserve"> say</w:t>
      </w:r>
      <w:r w:rsidR="00A35F83">
        <w:rPr>
          <w:color w:val="000000" w:themeColor="text1"/>
        </w:rPr>
        <w:t>s</w:t>
      </w:r>
      <w:r w:rsidR="00AF1857" w:rsidRPr="004F071C">
        <w:rPr>
          <w:color w:val="000000" w:themeColor="text1"/>
        </w:rPr>
        <w:t xml:space="preserve"> that on or around 15 March 2022, before Mr Khan and Mr Kuzmichev were designated, they </w:t>
      </w:r>
      <w:r w:rsidR="00595C42">
        <w:rPr>
          <w:color w:val="000000" w:themeColor="text1"/>
        </w:rPr>
        <w:t xml:space="preserve">resigned from the Board of A1 </w:t>
      </w:r>
      <w:r w:rsidR="008320DF">
        <w:rPr>
          <w:color w:val="000000" w:themeColor="text1"/>
        </w:rPr>
        <w:t>Investment</w:t>
      </w:r>
      <w:r w:rsidR="00B75330">
        <w:rPr>
          <w:color w:val="000000" w:themeColor="text1"/>
        </w:rPr>
        <w:t xml:space="preserve"> and </w:t>
      </w:r>
      <w:r w:rsidR="00AF1857" w:rsidRPr="004F071C">
        <w:rPr>
          <w:color w:val="000000" w:themeColor="text1"/>
        </w:rPr>
        <w:t>effected a sale of their shares in A1 Investment to Mr Kosogov. This is said to be an arms</w:t>
      </w:r>
      <w:r w:rsidR="00D7180A">
        <w:rPr>
          <w:color w:val="000000" w:themeColor="text1"/>
        </w:rPr>
        <w:t xml:space="preserve">’ </w:t>
      </w:r>
      <w:r w:rsidR="00AF1857" w:rsidRPr="004F071C">
        <w:rPr>
          <w:color w:val="000000" w:themeColor="text1"/>
        </w:rPr>
        <w:t xml:space="preserve">length transaction whereby Mr Khan and Mr Kuzmichev did not retain any interest in or control of A1 Investment. </w:t>
      </w:r>
      <w:r w:rsidR="00D7180A">
        <w:rPr>
          <w:color w:val="000000" w:themeColor="text1"/>
        </w:rPr>
        <w:t>This point is significant because if</w:t>
      </w:r>
      <w:r w:rsidR="00D66AF8">
        <w:rPr>
          <w:color w:val="000000" w:themeColor="text1"/>
        </w:rPr>
        <w:t xml:space="preserve"> </w:t>
      </w:r>
      <w:r w:rsidR="00F31AF3">
        <w:rPr>
          <w:color w:val="000000" w:themeColor="text1"/>
        </w:rPr>
        <w:t>(</w:t>
      </w:r>
      <w:proofErr w:type="spellStart"/>
      <w:r w:rsidR="00F31AF3">
        <w:rPr>
          <w:color w:val="000000" w:themeColor="text1"/>
        </w:rPr>
        <w:t>i</w:t>
      </w:r>
      <w:proofErr w:type="spellEnd"/>
      <w:r w:rsidR="00F31AF3">
        <w:rPr>
          <w:color w:val="000000" w:themeColor="text1"/>
        </w:rPr>
        <w:t xml:space="preserve">) the share transfer was not before 15 March or (ii) the share transfer was before 15 March but </w:t>
      </w:r>
      <w:r w:rsidR="00D66AF8">
        <w:rPr>
          <w:color w:val="000000" w:themeColor="text1"/>
        </w:rPr>
        <w:t>that was not an arms</w:t>
      </w:r>
      <w:r w:rsidR="00D7180A">
        <w:rPr>
          <w:color w:val="000000" w:themeColor="text1"/>
        </w:rPr>
        <w:t xml:space="preserve">’ </w:t>
      </w:r>
      <w:r w:rsidR="00D66AF8">
        <w:rPr>
          <w:color w:val="000000" w:themeColor="text1"/>
        </w:rPr>
        <w:t>length disposal,</w:t>
      </w:r>
      <w:r w:rsidR="00697925">
        <w:rPr>
          <w:color w:val="000000" w:themeColor="text1"/>
        </w:rPr>
        <w:t xml:space="preserve"> A1 would have remained controlled by DP</w:t>
      </w:r>
      <w:r w:rsidR="00420364">
        <w:rPr>
          <w:color w:val="000000" w:themeColor="text1"/>
        </w:rPr>
        <w:t>s</w:t>
      </w:r>
      <w:r w:rsidR="00697925">
        <w:rPr>
          <w:color w:val="000000" w:themeColor="text1"/>
        </w:rPr>
        <w:t xml:space="preserve"> after 15 March, and</w:t>
      </w:r>
      <w:r w:rsidR="00764C22">
        <w:rPr>
          <w:color w:val="000000" w:themeColor="text1"/>
        </w:rPr>
        <w:t xml:space="preserve"> any purported disposal would be in breach of the </w:t>
      </w:r>
      <w:proofErr w:type="gramStart"/>
      <w:r w:rsidR="00764C22">
        <w:rPr>
          <w:color w:val="000000" w:themeColor="text1"/>
        </w:rPr>
        <w:t>sanctions</w:t>
      </w:r>
      <w:proofErr w:type="gramEnd"/>
      <w:r w:rsidR="00764C22">
        <w:rPr>
          <w:color w:val="000000" w:themeColor="text1"/>
        </w:rPr>
        <w:t xml:space="preserve"> regime.</w:t>
      </w:r>
    </w:p>
    <w:p w14:paraId="302875F0" w14:textId="2D1589F8" w:rsidR="0064104A" w:rsidRDefault="0064104A" w:rsidP="0064104A">
      <w:pPr>
        <w:pStyle w:val="BodyText"/>
        <w:rPr>
          <w:color w:val="000000" w:themeColor="text1"/>
        </w:rPr>
      </w:pPr>
      <w:r w:rsidRPr="00A1122E">
        <w:rPr>
          <w:color w:val="000000" w:themeColor="text1"/>
        </w:rPr>
        <w:t>Ms Bloom</w:t>
      </w:r>
      <w:r w:rsidR="00D7180A">
        <w:rPr>
          <w:color w:val="000000" w:themeColor="text1"/>
        </w:rPr>
        <w:t xml:space="preserve"> for the Respondents</w:t>
      </w:r>
      <w:r w:rsidRPr="00A1122E">
        <w:rPr>
          <w:color w:val="000000" w:themeColor="text1"/>
        </w:rPr>
        <w:t xml:space="preserve"> states that: (a) as </w:t>
      </w:r>
      <w:proofErr w:type="gramStart"/>
      <w:r w:rsidRPr="00A1122E">
        <w:rPr>
          <w:color w:val="000000" w:themeColor="text1"/>
        </w:rPr>
        <w:t>at</w:t>
      </w:r>
      <w:proofErr w:type="gramEnd"/>
      <w:r w:rsidRPr="00A1122E">
        <w:rPr>
          <w:color w:val="000000" w:themeColor="text1"/>
        </w:rPr>
        <w:t xml:space="preserve"> </w:t>
      </w:r>
      <w:r>
        <w:rPr>
          <w:color w:val="000000" w:themeColor="text1"/>
        </w:rPr>
        <w:t>22 February 2022</w:t>
      </w:r>
      <w:r w:rsidRPr="00A1122E">
        <w:rPr>
          <w:color w:val="000000" w:themeColor="text1"/>
        </w:rPr>
        <w:t xml:space="preserve">, the shares were 95% owned by </w:t>
      </w:r>
      <w:r>
        <w:rPr>
          <w:color w:val="000000" w:themeColor="text1"/>
        </w:rPr>
        <w:t>the Founders</w:t>
      </w:r>
      <w:r w:rsidRPr="00A1122E">
        <w:rPr>
          <w:color w:val="000000" w:themeColor="text1"/>
        </w:rPr>
        <w:t xml:space="preserve">; and (b) as at </w:t>
      </w:r>
      <w:r>
        <w:rPr>
          <w:color w:val="000000" w:themeColor="text1"/>
        </w:rPr>
        <w:t>31 March 2022</w:t>
      </w:r>
      <w:r w:rsidRPr="00A1122E">
        <w:rPr>
          <w:color w:val="000000" w:themeColor="text1"/>
        </w:rPr>
        <w:t>, the shares were owned 42.9% by Mr Fridman and 52.1% by Mr Kosogov. The Respondents’ evidence does not</w:t>
      </w:r>
      <w:r w:rsidR="00D7180A">
        <w:rPr>
          <w:color w:val="000000" w:themeColor="text1"/>
        </w:rPr>
        <w:t xml:space="preserve"> however</w:t>
      </w:r>
      <w:r w:rsidRPr="00A1122E">
        <w:rPr>
          <w:color w:val="000000" w:themeColor="text1"/>
        </w:rPr>
        <w:t xml:space="preserve"> reveal when the shares were transferred (in the period between 22 February and 31 March) and therefore: (a) who owned the shares when </w:t>
      </w:r>
      <w:r>
        <w:rPr>
          <w:color w:val="000000" w:themeColor="text1"/>
        </w:rPr>
        <w:t>the Founders were</w:t>
      </w:r>
      <w:r w:rsidRPr="00A1122E">
        <w:rPr>
          <w:color w:val="000000" w:themeColor="text1"/>
        </w:rPr>
        <w:t xml:space="preserve"> designated on </w:t>
      </w:r>
      <w:r>
        <w:rPr>
          <w:color w:val="000000" w:themeColor="text1"/>
        </w:rPr>
        <w:t>15 March</w:t>
      </w:r>
      <w:r w:rsidRPr="00A1122E">
        <w:rPr>
          <w:color w:val="000000" w:themeColor="text1"/>
        </w:rPr>
        <w:t xml:space="preserve">; </w:t>
      </w:r>
      <w:r>
        <w:rPr>
          <w:color w:val="000000" w:themeColor="text1"/>
        </w:rPr>
        <w:t>or</w:t>
      </w:r>
      <w:r w:rsidRPr="00A1122E">
        <w:rPr>
          <w:color w:val="000000" w:themeColor="text1"/>
        </w:rPr>
        <w:t xml:space="preserve"> (b) who owned the shares when </w:t>
      </w:r>
      <w:r>
        <w:rPr>
          <w:color w:val="000000" w:themeColor="text1"/>
        </w:rPr>
        <w:t>sale of A1 occurred on 22 March 2022</w:t>
      </w:r>
      <w:r w:rsidRPr="00A1122E">
        <w:rPr>
          <w:color w:val="000000" w:themeColor="text1"/>
        </w:rPr>
        <w:t xml:space="preserve">. </w:t>
      </w:r>
    </w:p>
    <w:p w14:paraId="7ED762DB" w14:textId="57016538" w:rsidR="00764C22" w:rsidRDefault="00B75330" w:rsidP="00B75330">
      <w:pPr>
        <w:pStyle w:val="BodyText"/>
        <w:rPr>
          <w:color w:val="000000" w:themeColor="text1"/>
        </w:rPr>
      </w:pPr>
      <w:r>
        <w:rPr>
          <w:color w:val="000000" w:themeColor="text1"/>
        </w:rPr>
        <w:t>A precise account of when and how the resignations took place remains obscure. The evidence of Ms Bloom</w:t>
      </w:r>
      <w:r w:rsidR="00113D8F">
        <w:rPr>
          <w:color w:val="000000" w:themeColor="text1"/>
        </w:rPr>
        <w:t xml:space="preserve"> points to </w:t>
      </w:r>
      <w:r w:rsidR="00C12864">
        <w:rPr>
          <w:color w:val="000000" w:themeColor="text1"/>
        </w:rPr>
        <w:t xml:space="preserve">extracts dated 10 March and 18 March from </w:t>
      </w:r>
      <w:r w:rsidR="00593342" w:rsidRPr="00593342">
        <w:rPr>
          <w:color w:val="000000" w:themeColor="text1"/>
        </w:rPr>
        <w:t>the Luxembourg Registre de Commerce et des Société</w:t>
      </w:r>
      <w:r w:rsidR="00587D0D">
        <w:rPr>
          <w:color w:val="000000" w:themeColor="text1"/>
        </w:rPr>
        <w:t xml:space="preserve"> They disclose that Mr Kuzmichev </w:t>
      </w:r>
      <w:r w:rsidR="009333C7">
        <w:rPr>
          <w:color w:val="000000" w:themeColor="text1"/>
        </w:rPr>
        <w:t>and Mr Khan were</w:t>
      </w:r>
      <w:r w:rsidR="00587D0D">
        <w:rPr>
          <w:color w:val="000000" w:themeColor="text1"/>
        </w:rPr>
        <w:t xml:space="preserve"> on the board </w:t>
      </w:r>
      <w:proofErr w:type="gramStart"/>
      <w:r w:rsidR="00587D0D">
        <w:rPr>
          <w:color w:val="000000" w:themeColor="text1"/>
        </w:rPr>
        <w:t>at</w:t>
      </w:r>
      <w:proofErr w:type="gramEnd"/>
      <w:r w:rsidR="00587D0D">
        <w:rPr>
          <w:color w:val="000000" w:themeColor="text1"/>
        </w:rPr>
        <w:t xml:space="preserve"> 10 March</w:t>
      </w:r>
      <w:r w:rsidR="004D6C6F">
        <w:rPr>
          <w:color w:val="000000" w:themeColor="text1"/>
        </w:rPr>
        <w:t>. Ms Bloom</w:t>
      </w:r>
      <w:r>
        <w:rPr>
          <w:color w:val="000000" w:themeColor="text1"/>
        </w:rPr>
        <w:t xml:space="preserve"> says </w:t>
      </w:r>
      <w:r w:rsidRPr="004F5627">
        <w:rPr>
          <w:color w:val="000000" w:themeColor="text1"/>
        </w:rPr>
        <w:t xml:space="preserve">that: </w:t>
      </w:r>
    </w:p>
    <w:p w14:paraId="4A309CAF" w14:textId="2A3643E5" w:rsidR="00B75330" w:rsidRDefault="00B75330" w:rsidP="00764C22">
      <w:pPr>
        <w:pStyle w:val="Quote"/>
      </w:pPr>
      <w:r w:rsidRPr="004F5627">
        <w:t>“The 10 March 2022 extract does not identify Mr Fridman as having a role on the supervisory board of A1 Investment Holding SA and Mr Khan’s name no longer appears on the 18 March 2022 extract.  The only reasonable inference to be drawn from these documents is that the resignations had been tendered prior to these dates.”</w:t>
      </w:r>
    </w:p>
    <w:p w14:paraId="49E777C4" w14:textId="5CA9217F" w:rsidR="003859BB" w:rsidRDefault="00AF1857" w:rsidP="00AF1857">
      <w:pPr>
        <w:pStyle w:val="BodyText"/>
        <w:rPr>
          <w:color w:val="000000" w:themeColor="text1"/>
        </w:rPr>
      </w:pPr>
      <w:r w:rsidRPr="004F071C">
        <w:rPr>
          <w:color w:val="000000" w:themeColor="text1"/>
        </w:rPr>
        <w:t>As</w:t>
      </w:r>
      <w:r w:rsidR="008320DF">
        <w:rPr>
          <w:color w:val="000000" w:themeColor="text1"/>
        </w:rPr>
        <w:t xml:space="preserve"> to shareholding there is evidence that</w:t>
      </w:r>
      <w:r w:rsidRPr="004F071C">
        <w:rPr>
          <w:color w:val="000000" w:themeColor="text1"/>
        </w:rPr>
        <w:t xml:space="preserve"> </w:t>
      </w:r>
      <w:proofErr w:type="gramStart"/>
      <w:r w:rsidRPr="004F071C">
        <w:rPr>
          <w:color w:val="000000" w:themeColor="text1"/>
        </w:rPr>
        <w:t>at</w:t>
      </w:r>
      <w:proofErr w:type="gramEnd"/>
      <w:r w:rsidRPr="004F071C">
        <w:rPr>
          <w:color w:val="000000" w:themeColor="text1"/>
        </w:rPr>
        <w:t xml:space="preserve"> 31 March 2022, the major shareholders of A1 Investment were Mr Fridman (42.9%) and Mr Kosogov (52.1%). These </w:t>
      </w:r>
      <w:r w:rsidR="00E85505">
        <w:rPr>
          <w:color w:val="000000" w:themeColor="text1"/>
        </w:rPr>
        <w:t xml:space="preserve">holdings </w:t>
      </w:r>
      <w:r w:rsidRPr="004F071C">
        <w:rPr>
          <w:color w:val="000000" w:themeColor="text1"/>
        </w:rPr>
        <w:t>are through another Luxembourg company called CTF Holdings SA (“CTF”). This is</w:t>
      </w:r>
      <w:r w:rsidR="00E304BB">
        <w:rPr>
          <w:color w:val="000000" w:themeColor="text1"/>
        </w:rPr>
        <w:t xml:space="preserve"> at least apparently</w:t>
      </w:r>
      <w:r w:rsidRPr="004F071C">
        <w:rPr>
          <w:color w:val="000000" w:themeColor="text1"/>
        </w:rPr>
        <w:t xml:space="preserve"> confirmed by a Luxembourg share register dated 28 March 2022</w:t>
      </w:r>
      <w:r w:rsidR="00751295">
        <w:rPr>
          <w:color w:val="000000" w:themeColor="text1"/>
        </w:rPr>
        <w:t>, t</w:t>
      </w:r>
      <w:r w:rsidR="007A4171">
        <w:rPr>
          <w:color w:val="000000" w:themeColor="text1"/>
        </w:rPr>
        <w:t>hough it leaves a question as to the date of the disposal and whether it predated 15 March</w:t>
      </w:r>
      <w:r w:rsidRPr="004F071C">
        <w:rPr>
          <w:color w:val="000000" w:themeColor="text1"/>
        </w:rPr>
        <w:t xml:space="preserve">. Mr Randolph </w:t>
      </w:r>
      <w:r w:rsidR="00E85505">
        <w:rPr>
          <w:color w:val="000000" w:themeColor="text1"/>
        </w:rPr>
        <w:t xml:space="preserve">KC </w:t>
      </w:r>
      <w:r w:rsidRPr="004F071C">
        <w:rPr>
          <w:color w:val="000000" w:themeColor="text1"/>
        </w:rPr>
        <w:t xml:space="preserve">stated that no equivalent document showing the position on 15 March 2022 is available because there is an inherent administrative delay in updating the Luxembourg share registry. </w:t>
      </w:r>
      <w:r w:rsidR="00F31AF3">
        <w:rPr>
          <w:color w:val="000000" w:themeColor="text1"/>
        </w:rPr>
        <w:t>There is no evidence confirming this.</w:t>
      </w:r>
    </w:p>
    <w:p w14:paraId="1A9C5603" w14:textId="778F9865" w:rsidR="00AF1857" w:rsidRDefault="00AF1857" w:rsidP="00AF1857">
      <w:pPr>
        <w:pStyle w:val="BodyText"/>
        <w:rPr>
          <w:color w:val="000000" w:themeColor="text1"/>
        </w:rPr>
      </w:pPr>
      <w:r w:rsidRPr="004F071C">
        <w:rPr>
          <w:color w:val="000000" w:themeColor="text1"/>
        </w:rPr>
        <w:t>Th</w:t>
      </w:r>
      <w:r w:rsidR="006051A2">
        <w:rPr>
          <w:color w:val="000000" w:themeColor="text1"/>
        </w:rPr>
        <w:t>at was the state of play on the evidence formally adduced. There was the</w:t>
      </w:r>
      <w:r w:rsidR="00B44ACA">
        <w:rPr>
          <w:color w:val="000000" w:themeColor="text1"/>
        </w:rPr>
        <w:t xml:space="preserve">n reliance placed on </w:t>
      </w:r>
      <w:r w:rsidRPr="004F071C">
        <w:rPr>
          <w:color w:val="000000" w:themeColor="text1"/>
        </w:rPr>
        <w:t>some documents attached to a letter from Keystone Law sent on 2 March 2024</w:t>
      </w:r>
      <w:r w:rsidR="00642C9F">
        <w:rPr>
          <w:color w:val="000000" w:themeColor="text1"/>
        </w:rPr>
        <w:t xml:space="preserve"> (</w:t>
      </w:r>
      <w:proofErr w:type="gramStart"/>
      <w:r w:rsidR="00642C9F">
        <w:rPr>
          <w:color w:val="000000" w:themeColor="text1"/>
        </w:rPr>
        <w:t>i</w:t>
      </w:r>
      <w:r w:rsidR="00DE7C0C">
        <w:rPr>
          <w:color w:val="000000" w:themeColor="text1"/>
        </w:rPr>
        <w:t>.</w:t>
      </w:r>
      <w:r w:rsidR="00642C9F">
        <w:rPr>
          <w:color w:val="000000" w:themeColor="text1"/>
        </w:rPr>
        <w:t>e</w:t>
      </w:r>
      <w:r w:rsidR="00DE7C0C">
        <w:rPr>
          <w:color w:val="000000" w:themeColor="text1"/>
        </w:rPr>
        <w:t>.</w:t>
      </w:r>
      <w:proofErr w:type="gramEnd"/>
      <w:r w:rsidR="00642C9F">
        <w:rPr>
          <w:color w:val="000000" w:themeColor="text1"/>
        </w:rPr>
        <w:t xml:space="preserve"> 2 days before the start of the hearing). </w:t>
      </w:r>
      <w:r w:rsidRPr="004F071C">
        <w:rPr>
          <w:color w:val="000000" w:themeColor="text1"/>
        </w:rPr>
        <w:t>Th</w:t>
      </w:r>
      <w:r w:rsidR="00642C9F">
        <w:rPr>
          <w:color w:val="000000" w:themeColor="text1"/>
        </w:rPr>
        <w:t>ose documents</w:t>
      </w:r>
      <w:r w:rsidRPr="004F071C">
        <w:rPr>
          <w:color w:val="000000" w:themeColor="text1"/>
        </w:rPr>
        <w:t xml:space="preserve"> </w:t>
      </w:r>
      <w:r w:rsidR="008D5E72">
        <w:rPr>
          <w:color w:val="000000" w:themeColor="text1"/>
        </w:rPr>
        <w:t>(said to be extracts from the Luxembourg share registry)</w:t>
      </w:r>
      <w:r w:rsidR="00B9019F">
        <w:rPr>
          <w:color w:val="000000" w:themeColor="text1"/>
        </w:rPr>
        <w:t xml:space="preserve"> </w:t>
      </w:r>
      <w:r w:rsidRPr="004F071C">
        <w:rPr>
          <w:color w:val="000000" w:themeColor="text1"/>
        </w:rPr>
        <w:t xml:space="preserve">appear on their face to </w:t>
      </w:r>
      <w:r w:rsidRPr="004F071C">
        <w:rPr>
          <w:color w:val="000000" w:themeColor="text1"/>
        </w:rPr>
        <w:lastRenderedPageBreak/>
        <w:t xml:space="preserve">show a sale of shares in CTF from </w:t>
      </w:r>
      <w:proofErr w:type="spellStart"/>
      <w:r w:rsidRPr="004F071C">
        <w:rPr>
          <w:color w:val="000000" w:themeColor="text1"/>
        </w:rPr>
        <w:t>Winstonhill</w:t>
      </w:r>
      <w:proofErr w:type="spellEnd"/>
      <w:r w:rsidRPr="004F071C">
        <w:rPr>
          <w:color w:val="000000" w:themeColor="text1"/>
        </w:rPr>
        <w:t xml:space="preserve"> Limited and Matson Holding Corporation (whose ultimate beneficial owners are Mr Khan and Mr </w:t>
      </w:r>
      <w:proofErr w:type="spellStart"/>
      <w:r w:rsidRPr="004F071C">
        <w:rPr>
          <w:color w:val="000000" w:themeColor="text1"/>
        </w:rPr>
        <w:t>Kuzmichev</w:t>
      </w:r>
      <w:proofErr w:type="spellEnd"/>
      <w:r w:rsidRPr="004F071C">
        <w:rPr>
          <w:color w:val="000000" w:themeColor="text1"/>
        </w:rPr>
        <w:t xml:space="preserve"> respectively) to </w:t>
      </w:r>
      <w:proofErr w:type="spellStart"/>
      <w:r w:rsidRPr="004F071C">
        <w:rPr>
          <w:color w:val="000000" w:themeColor="text1"/>
        </w:rPr>
        <w:t>Slavisilla</w:t>
      </w:r>
      <w:proofErr w:type="spellEnd"/>
      <w:r w:rsidRPr="004F071C">
        <w:rPr>
          <w:color w:val="000000" w:themeColor="text1"/>
        </w:rPr>
        <w:t xml:space="preserve"> Holdings Limited occurring on 15 March 2022. The effect </w:t>
      </w:r>
      <w:r w:rsidR="00921BCB">
        <w:rPr>
          <w:color w:val="000000" w:themeColor="text1"/>
        </w:rPr>
        <w:t>of that transaction would be</w:t>
      </w:r>
      <w:r w:rsidRPr="004F071C">
        <w:rPr>
          <w:color w:val="000000" w:themeColor="text1"/>
        </w:rPr>
        <w:t xml:space="preserve"> that the shareholders in CTF </w:t>
      </w:r>
      <w:r w:rsidR="00921BCB">
        <w:rPr>
          <w:color w:val="000000" w:themeColor="text1"/>
        </w:rPr>
        <w:t>were</w:t>
      </w:r>
      <w:r w:rsidRPr="004F071C">
        <w:rPr>
          <w:color w:val="000000" w:themeColor="text1"/>
        </w:rPr>
        <w:t xml:space="preserve"> Haberfield Limited and </w:t>
      </w:r>
      <w:proofErr w:type="spellStart"/>
      <w:r w:rsidRPr="004F071C">
        <w:rPr>
          <w:color w:val="000000" w:themeColor="text1"/>
        </w:rPr>
        <w:t>Slavisilla</w:t>
      </w:r>
      <w:proofErr w:type="spellEnd"/>
      <w:r w:rsidRPr="004F071C">
        <w:rPr>
          <w:color w:val="000000" w:themeColor="text1"/>
        </w:rPr>
        <w:t xml:space="preserve"> Holdings Limited, whose ultimate beneficial owners are, according to the letter, Mr Fridman and Mr Kosogov respectively. However, given the late production of these documents, the lack of </w:t>
      </w:r>
      <w:r w:rsidR="00C0382B">
        <w:rPr>
          <w:color w:val="000000" w:themeColor="text1"/>
        </w:rPr>
        <w:t xml:space="preserve">proper verification or </w:t>
      </w:r>
      <w:r w:rsidRPr="004F071C">
        <w:rPr>
          <w:color w:val="000000" w:themeColor="text1"/>
        </w:rPr>
        <w:t>explanation thereof, and the lack of evidence that they were prepared contemporaneously, little if any weight can be placed on them.</w:t>
      </w:r>
    </w:p>
    <w:p w14:paraId="053CCD19" w14:textId="09958361" w:rsidR="008B41C5" w:rsidRPr="004F071C" w:rsidRDefault="008B41C5" w:rsidP="00AF1857">
      <w:pPr>
        <w:pStyle w:val="BodyText"/>
        <w:rPr>
          <w:color w:val="000000" w:themeColor="text1"/>
        </w:rPr>
      </w:pPr>
      <w:r>
        <w:rPr>
          <w:color w:val="000000" w:themeColor="text1"/>
        </w:rPr>
        <w:t>The conclusion we reach on the share transfer is that there is no clear or reliable evidence of the transfer of shares to Mr K</w:t>
      </w:r>
      <w:r w:rsidR="00C2648A">
        <w:rPr>
          <w:color w:val="000000" w:themeColor="text1"/>
        </w:rPr>
        <w:t>o</w:t>
      </w:r>
      <w:r>
        <w:rPr>
          <w:color w:val="000000" w:themeColor="text1"/>
        </w:rPr>
        <w:t>sogov having taken place before the designation of the Founders</w:t>
      </w:r>
      <w:r w:rsidR="00907314">
        <w:rPr>
          <w:color w:val="000000" w:themeColor="text1"/>
        </w:rPr>
        <w:t>.</w:t>
      </w:r>
    </w:p>
    <w:p w14:paraId="675101CA" w14:textId="7D35549E" w:rsidR="00F753A8" w:rsidRPr="00F753A8" w:rsidRDefault="00AF1857" w:rsidP="00F27E2C">
      <w:pPr>
        <w:pStyle w:val="BodyText"/>
        <w:rPr>
          <w:color w:val="000000" w:themeColor="text1"/>
        </w:rPr>
      </w:pPr>
      <w:r w:rsidRPr="004F071C">
        <w:t xml:space="preserve">As for </w:t>
      </w:r>
      <w:r w:rsidR="00907314">
        <w:t xml:space="preserve">the sale of </w:t>
      </w:r>
      <w:r w:rsidRPr="004F071C">
        <w:t xml:space="preserve">A1, </w:t>
      </w:r>
      <w:r w:rsidR="00907314">
        <w:t xml:space="preserve">the case put is that </w:t>
      </w:r>
      <w:r w:rsidRPr="004F071C">
        <w:t xml:space="preserve">Mr Fayn purchased all of the shares in A1 from Mr Fridman, Mr Khan, Mr Kuzmichev, and Mr Kosogov on 22 March 2022 (“the MBO”). </w:t>
      </w:r>
    </w:p>
    <w:p w14:paraId="7B7122D6" w14:textId="2A5A9009" w:rsidR="00CC6480" w:rsidRDefault="00634969" w:rsidP="00C94F3A">
      <w:pPr>
        <w:pStyle w:val="BodyText"/>
        <w:rPr>
          <w:color w:val="000000" w:themeColor="text1"/>
        </w:rPr>
      </w:pPr>
      <w:r>
        <w:t>As noted earlier there are some grounds for scepticism</w:t>
      </w:r>
      <w:r w:rsidR="005C219E">
        <w:t xml:space="preserve"> </w:t>
      </w:r>
      <w:r w:rsidR="004B5386">
        <w:t>– though bearing in mind the authorities</w:t>
      </w:r>
      <w:r w:rsidR="00D7587A">
        <w:t xml:space="preserve"> some way short of the level required</w:t>
      </w:r>
      <w:r w:rsidR="00A96B7F">
        <w:t xml:space="preserve"> – in the backstory of </w:t>
      </w:r>
      <w:r w:rsidR="00F753A8">
        <w:t>Mr Fayn</w:t>
      </w:r>
      <w:r w:rsidR="00A96B7F">
        <w:t xml:space="preserve">’s involvement. </w:t>
      </w:r>
      <w:r w:rsidR="00C94F3A">
        <w:rPr>
          <w:color w:val="000000" w:themeColor="text1"/>
        </w:rPr>
        <w:t>It</w:t>
      </w:r>
      <w:r w:rsidR="00C94F3A" w:rsidRPr="00F27E2C">
        <w:rPr>
          <w:color w:val="000000" w:themeColor="text1"/>
        </w:rPr>
        <w:t xml:space="preserve"> has emerged </w:t>
      </w:r>
      <w:r w:rsidR="00C94F3A">
        <w:rPr>
          <w:color w:val="000000" w:themeColor="text1"/>
        </w:rPr>
        <w:t xml:space="preserve">during the course of evidence for the hearing </w:t>
      </w:r>
      <w:r w:rsidR="00C94F3A" w:rsidRPr="00F27E2C">
        <w:rPr>
          <w:color w:val="000000" w:themeColor="text1"/>
        </w:rPr>
        <w:t xml:space="preserve">that Mr Fayn was a 0.01% shareholder in A1 from around 2017-2020, was previously a 0.01% shareholder in Alfa-Eco LLC (A1’s predecessor) and has also held a 0.01% shareholding in OOO Investment Company A1. </w:t>
      </w:r>
      <w:r w:rsidR="00CC6480">
        <w:rPr>
          <w:color w:val="000000" w:themeColor="text1"/>
        </w:rPr>
        <w:t>It was submitted with</w:t>
      </w:r>
      <w:r w:rsidR="00365692">
        <w:rPr>
          <w:color w:val="000000" w:themeColor="text1"/>
        </w:rPr>
        <w:t>,</w:t>
      </w:r>
      <w:r w:rsidR="00CC6480">
        <w:rPr>
          <w:color w:val="000000" w:themeColor="text1"/>
        </w:rPr>
        <w:t xml:space="preserve"> we consider, some force that these previous shareholdings suggest that </w:t>
      </w:r>
      <w:r w:rsidR="00CC6480" w:rsidRPr="00F27E2C">
        <w:rPr>
          <w:color w:val="000000" w:themeColor="text1"/>
        </w:rPr>
        <w:t>Mr Fayn has previously acted as a nominee shareholder for entities in the Alfa Group</w:t>
      </w:r>
      <w:r w:rsidR="00CC6480">
        <w:rPr>
          <w:color w:val="000000" w:themeColor="text1"/>
        </w:rPr>
        <w:t>.</w:t>
      </w:r>
    </w:p>
    <w:p w14:paraId="4986AE06" w14:textId="6F547AF0" w:rsidR="00472E99" w:rsidRDefault="00CC6480" w:rsidP="00C94F3A">
      <w:pPr>
        <w:pStyle w:val="BodyText"/>
        <w:rPr>
          <w:color w:val="000000" w:themeColor="text1"/>
        </w:rPr>
      </w:pPr>
      <w:r>
        <w:t>I</w:t>
      </w:r>
      <w:r w:rsidR="00365692">
        <w:t>s</w:t>
      </w:r>
      <w:r>
        <w:t xml:space="preserve"> there then material which goes to cast doubt on the picture –</w:t>
      </w:r>
      <w:r>
        <w:rPr>
          <w:color w:val="000000" w:themeColor="text1"/>
        </w:rPr>
        <w:t xml:space="preserve"> for example to portray Mr Fayn as</w:t>
      </w:r>
      <w:r w:rsidR="00472E99">
        <w:rPr>
          <w:color w:val="000000" w:themeColor="text1"/>
        </w:rPr>
        <w:t xml:space="preserve"> a business operator who would wish to own and operate A1 himself</w:t>
      </w:r>
      <w:r w:rsidR="00365692">
        <w:rPr>
          <w:color w:val="000000" w:themeColor="text1"/>
        </w:rPr>
        <w:t>?</w:t>
      </w:r>
    </w:p>
    <w:p w14:paraId="2B99A161" w14:textId="4D99E9D0" w:rsidR="00472E99" w:rsidRPr="00E06ECF" w:rsidRDefault="00472E99" w:rsidP="00472E99">
      <w:pPr>
        <w:pStyle w:val="BodyText"/>
        <w:rPr>
          <w:color w:val="000000" w:themeColor="text1"/>
        </w:rPr>
      </w:pPr>
      <w:r>
        <w:t>That is the picture which Mr Fayn seeks to paint.</w:t>
      </w:r>
      <w:r w:rsidRPr="00472E99">
        <w:rPr>
          <w:color w:val="000000" w:themeColor="text1"/>
        </w:rPr>
        <w:t xml:space="preserve"> </w:t>
      </w:r>
      <w:r>
        <w:rPr>
          <w:color w:val="000000" w:themeColor="text1"/>
        </w:rPr>
        <w:t>In his statement</w:t>
      </w:r>
      <w:r w:rsidRPr="00E06ECF">
        <w:rPr>
          <w:color w:val="000000" w:themeColor="text1"/>
        </w:rPr>
        <w:t xml:space="preserve"> Mr Fayn explained the Alleged Buy Out as follows:  </w:t>
      </w:r>
    </w:p>
    <w:p w14:paraId="3FD0D01E" w14:textId="77777777" w:rsidR="00472E99" w:rsidRPr="00E06ECF" w:rsidRDefault="00472E99" w:rsidP="00472E99">
      <w:pPr>
        <w:pStyle w:val="BodyText"/>
        <w:numPr>
          <w:ilvl w:val="1"/>
          <w:numId w:val="4"/>
        </w:numPr>
        <w:rPr>
          <w:color w:val="000000" w:themeColor="text1"/>
        </w:rPr>
      </w:pPr>
      <w:r w:rsidRPr="00E06ECF">
        <w:rPr>
          <w:color w:val="000000" w:themeColor="text1"/>
        </w:rPr>
        <w:t>[6]: “</w:t>
      </w:r>
      <w:r w:rsidRPr="00064037">
        <w:rPr>
          <w:i/>
          <w:iCs/>
          <w:color w:val="000000" w:themeColor="text1"/>
        </w:rPr>
        <w:t xml:space="preserve">Due to </w:t>
      </w:r>
      <w:bookmarkStart w:id="1" w:name="_Hlk163211700"/>
      <w:r w:rsidRPr="00064037">
        <w:rPr>
          <w:i/>
          <w:iCs/>
          <w:color w:val="000000" w:themeColor="text1"/>
        </w:rPr>
        <w:t xml:space="preserve">complicated geopolitical situation </w:t>
      </w:r>
      <w:bookmarkEnd w:id="1"/>
      <w:r w:rsidRPr="00064037">
        <w:rPr>
          <w:i/>
          <w:iCs/>
          <w:color w:val="000000" w:themeColor="text1"/>
        </w:rPr>
        <w:t>it became obvious that A1 LLC would no longer be able to operate normally and that there was a risk of default on its obligations to fund the litigation against Georgy Bedzhamov… and that this default would cause damage to my personal reputation.  I therefore negotiated a purchase of all of the shares in A1 LLC.  The transaction completed in March 2022 and was financed from my personal funds</w:t>
      </w:r>
      <w:r w:rsidRPr="00E06ECF">
        <w:rPr>
          <w:color w:val="000000" w:themeColor="text1"/>
        </w:rPr>
        <w:t>.”</w:t>
      </w:r>
    </w:p>
    <w:p w14:paraId="48CCEC7C" w14:textId="77777777" w:rsidR="00472E99" w:rsidRPr="00E06ECF" w:rsidRDefault="00472E99" w:rsidP="00472E99">
      <w:pPr>
        <w:pStyle w:val="BodyText"/>
        <w:numPr>
          <w:ilvl w:val="1"/>
          <w:numId w:val="4"/>
        </w:numPr>
        <w:rPr>
          <w:color w:val="000000" w:themeColor="text1"/>
        </w:rPr>
      </w:pPr>
      <w:r w:rsidRPr="00E06ECF">
        <w:rPr>
          <w:color w:val="000000" w:themeColor="text1"/>
        </w:rPr>
        <w:t>[7]: “</w:t>
      </w:r>
      <w:r w:rsidRPr="00064037">
        <w:rPr>
          <w:i/>
          <w:iCs/>
          <w:color w:val="000000" w:themeColor="text1"/>
        </w:rPr>
        <w:t>The company was purchased at the market price, taking into account the current financial position of the company, political and economic risks.</w:t>
      </w:r>
      <w:r w:rsidRPr="00E06ECF">
        <w:rPr>
          <w:color w:val="000000" w:themeColor="text1"/>
        </w:rPr>
        <w:t>”</w:t>
      </w:r>
    </w:p>
    <w:p w14:paraId="789925DD" w14:textId="77777777" w:rsidR="00472E99" w:rsidRPr="00E06ECF" w:rsidRDefault="00472E99" w:rsidP="00472E99">
      <w:pPr>
        <w:pStyle w:val="BodyText"/>
        <w:numPr>
          <w:ilvl w:val="1"/>
          <w:numId w:val="4"/>
        </w:numPr>
        <w:rPr>
          <w:color w:val="000000" w:themeColor="text1"/>
        </w:rPr>
      </w:pPr>
      <w:r w:rsidRPr="00E06ECF">
        <w:rPr>
          <w:color w:val="000000" w:themeColor="text1"/>
        </w:rPr>
        <w:t>[9]: “</w:t>
      </w:r>
      <w:r w:rsidRPr="00064037">
        <w:rPr>
          <w:i/>
          <w:iCs/>
          <w:color w:val="000000" w:themeColor="text1"/>
        </w:rPr>
        <w:t>I hereby confirm that I own and control A1 LLC in full.  There is no agreement with any third parties as to how I will operate or manage A1 LLC…</w:t>
      </w:r>
      <w:r w:rsidRPr="00E06ECF">
        <w:rPr>
          <w:color w:val="000000" w:themeColor="text1"/>
        </w:rPr>
        <w:t>”</w:t>
      </w:r>
    </w:p>
    <w:p w14:paraId="264E80CE" w14:textId="77777777" w:rsidR="00472E99" w:rsidRPr="00E06ECF" w:rsidRDefault="00472E99" w:rsidP="00472E99">
      <w:pPr>
        <w:pStyle w:val="BodyText"/>
        <w:numPr>
          <w:ilvl w:val="1"/>
          <w:numId w:val="4"/>
        </w:numPr>
        <w:rPr>
          <w:color w:val="000000" w:themeColor="text1"/>
        </w:rPr>
      </w:pPr>
      <w:r w:rsidRPr="00E06ECF">
        <w:rPr>
          <w:color w:val="000000" w:themeColor="text1"/>
        </w:rPr>
        <w:t>[10]: “</w:t>
      </w:r>
      <w:r w:rsidRPr="00064037">
        <w:rPr>
          <w:i/>
          <w:iCs/>
          <w:color w:val="000000" w:themeColor="text1"/>
        </w:rPr>
        <w:t xml:space="preserve">I confirm that I am absolutely independent of any third persons, including but not limited to, German Khan, Anzhelika Khan, Petr Aven, </w:t>
      </w:r>
      <w:r w:rsidRPr="00064037">
        <w:rPr>
          <w:i/>
          <w:iCs/>
          <w:color w:val="000000" w:themeColor="text1"/>
        </w:rPr>
        <w:lastRenderedPageBreak/>
        <w:t>Mikhail Fridman and Alexey Kuzmichev and that none of them can affect my affairs or the affairs of A1 LLC so as to make them to be conducted in the interest of such other persons and in compliance with their wishes.</w:t>
      </w:r>
      <w:r w:rsidRPr="00E06ECF">
        <w:rPr>
          <w:color w:val="000000" w:themeColor="text1"/>
        </w:rPr>
        <w:t xml:space="preserve">”   </w:t>
      </w:r>
    </w:p>
    <w:p w14:paraId="68273229" w14:textId="086FC041" w:rsidR="00BA578C" w:rsidRDefault="00AB2E88" w:rsidP="00BA578C">
      <w:pPr>
        <w:pStyle w:val="BodyText"/>
        <w:rPr>
          <w:color w:val="000000" w:themeColor="text1"/>
        </w:rPr>
      </w:pPr>
      <w:r w:rsidRPr="00980C8B">
        <w:rPr>
          <w:color w:val="000000" w:themeColor="text1"/>
        </w:rPr>
        <w:t>There are however problems with this account. The starting point is that it is apparently common ground that the change was triggered by the designations (or the “complicated geopolitical situation”)</w:t>
      </w:r>
      <w:r w:rsidR="009A46AB" w:rsidRPr="00980C8B">
        <w:rPr>
          <w:color w:val="000000" w:themeColor="text1"/>
        </w:rPr>
        <w:t xml:space="preserve">. </w:t>
      </w:r>
      <w:r w:rsidR="00BA578C">
        <w:rPr>
          <w:color w:val="000000" w:themeColor="text1"/>
        </w:rPr>
        <w:t>The</w:t>
      </w:r>
      <w:r w:rsidR="00BA578C" w:rsidRPr="004F071C">
        <w:rPr>
          <w:color w:val="000000" w:themeColor="text1"/>
        </w:rPr>
        <w:t xml:space="preserve"> sale of A1 is acknowledged by Mr Fayn to be motivated at least in part by the “</w:t>
      </w:r>
      <w:r w:rsidR="00BA578C" w:rsidRPr="004F071C">
        <w:rPr>
          <w:i/>
          <w:iCs/>
          <w:color w:val="000000" w:themeColor="text1"/>
        </w:rPr>
        <w:t>complicated geopolitical situation” and “political and economic risks</w:t>
      </w:r>
      <w:r w:rsidR="00BA578C" w:rsidRPr="004F071C">
        <w:rPr>
          <w:color w:val="000000" w:themeColor="text1"/>
        </w:rPr>
        <w:t>”</w:t>
      </w:r>
      <w:r w:rsidR="00BA578C">
        <w:rPr>
          <w:color w:val="000000" w:themeColor="text1"/>
        </w:rPr>
        <w:t>. That appears (and was not denied) to be a reference</w:t>
      </w:r>
      <w:r w:rsidR="00BA578C" w:rsidRPr="004F071C">
        <w:rPr>
          <w:color w:val="000000" w:themeColor="text1"/>
        </w:rPr>
        <w:t xml:space="preserve"> to the possible detrimental effect on A1 of being connected to DPs, especially “</w:t>
      </w:r>
      <w:r w:rsidR="00BA578C" w:rsidRPr="004F071C">
        <w:rPr>
          <w:i/>
          <w:iCs/>
          <w:color w:val="000000" w:themeColor="text1"/>
        </w:rPr>
        <w:t>on its obligations to fund the litigation against Georgy Bedzhamov</w:t>
      </w:r>
      <w:r w:rsidR="00BA578C" w:rsidRPr="004F071C">
        <w:rPr>
          <w:color w:val="000000" w:themeColor="text1"/>
        </w:rPr>
        <w:t>”.</w:t>
      </w:r>
    </w:p>
    <w:p w14:paraId="58C16F13" w14:textId="67ABB954" w:rsidR="00C94F3A" w:rsidRPr="00980C8B" w:rsidRDefault="009A46AB" w:rsidP="00ED048D">
      <w:pPr>
        <w:pStyle w:val="BodyText"/>
        <w:rPr>
          <w:color w:val="000000" w:themeColor="text1"/>
        </w:rPr>
      </w:pPr>
      <w:r w:rsidRPr="00980C8B">
        <w:rPr>
          <w:color w:val="000000" w:themeColor="text1"/>
        </w:rPr>
        <w:t>That</w:t>
      </w:r>
      <w:r w:rsidR="004540ED">
        <w:rPr>
          <w:color w:val="000000" w:themeColor="text1"/>
        </w:rPr>
        <w:t xml:space="preserve"> situation</w:t>
      </w:r>
      <w:r w:rsidRPr="00980C8B">
        <w:rPr>
          <w:color w:val="000000" w:themeColor="text1"/>
        </w:rPr>
        <w:t xml:space="preserve"> could trigger a genuine sale; but it also offers a reason for a cosmetic disposal.</w:t>
      </w:r>
      <w:r w:rsidR="003902B0" w:rsidRPr="00980C8B">
        <w:rPr>
          <w:color w:val="000000" w:themeColor="text1"/>
        </w:rPr>
        <w:t xml:space="preserve"> Then there is the lack of rationale for the </w:t>
      </w:r>
      <w:r w:rsidR="00842551" w:rsidRPr="00980C8B">
        <w:rPr>
          <w:color w:val="000000" w:themeColor="text1"/>
        </w:rPr>
        <w:t>purchase by Mr Fayn, or account by him of his ability to actively run the business</w:t>
      </w:r>
      <w:r w:rsidR="00326667" w:rsidRPr="00980C8B">
        <w:rPr>
          <w:color w:val="000000" w:themeColor="text1"/>
        </w:rPr>
        <w:t xml:space="preserve">. Mr Fayn is about eighty years old. </w:t>
      </w:r>
      <w:r w:rsidR="00C94F3A" w:rsidRPr="00980C8B">
        <w:rPr>
          <w:color w:val="000000" w:themeColor="text1"/>
        </w:rPr>
        <w:t xml:space="preserve">He has never apparently previously taken a major position in any of the companies. </w:t>
      </w:r>
      <w:r w:rsidR="00326667" w:rsidRPr="00980C8B">
        <w:rPr>
          <w:color w:val="000000" w:themeColor="text1"/>
        </w:rPr>
        <w:t>There therefore</w:t>
      </w:r>
      <w:r w:rsidR="00980C8B" w:rsidRPr="00980C8B">
        <w:rPr>
          <w:color w:val="000000" w:themeColor="text1"/>
        </w:rPr>
        <w:t xml:space="preserve"> </w:t>
      </w:r>
      <w:r w:rsidR="00326667" w:rsidRPr="00980C8B">
        <w:rPr>
          <w:color w:val="000000" w:themeColor="text1"/>
        </w:rPr>
        <w:t>are certainly peculiarities about the sale to Mr Fayn, even before the financial situation is considered. There is nothing in Mr Fayn's apparent history, based on the materials to which we were directed</w:t>
      </w:r>
      <w:r w:rsidR="00595464">
        <w:rPr>
          <w:color w:val="000000" w:themeColor="text1"/>
        </w:rPr>
        <w:t>,</w:t>
      </w:r>
      <w:r w:rsidR="00326667" w:rsidRPr="00980C8B">
        <w:rPr>
          <w:color w:val="000000" w:themeColor="text1"/>
        </w:rPr>
        <w:t xml:space="preserve"> which would indicate that he was a likely purchaser and controller of A1.</w:t>
      </w:r>
      <w:r w:rsidR="00980C8B" w:rsidRPr="00980C8B">
        <w:rPr>
          <w:color w:val="000000" w:themeColor="text1"/>
        </w:rPr>
        <w:t xml:space="preserve"> That and his apparent previous roles as a nominee shareholder </w:t>
      </w:r>
      <w:r w:rsidR="00C94F3A" w:rsidRPr="00980C8B">
        <w:rPr>
          <w:color w:val="000000" w:themeColor="text1"/>
        </w:rPr>
        <w:t xml:space="preserve">give some cause to believe that the sale to him was not arms length. </w:t>
      </w:r>
    </w:p>
    <w:p w14:paraId="5DBE7949" w14:textId="24EC3055" w:rsidR="00E24644" w:rsidRPr="00E06ECF" w:rsidRDefault="007E2BD0" w:rsidP="00E24644">
      <w:pPr>
        <w:pStyle w:val="BodyText"/>
        <w:rPr>
          <w:color w:val="000000" w:themeColor="text1"/>
        </w:rPr>
      </w:pPr>
      <w:r>
        <w:rPr>
          <w:color w:val="000000" w:themeColor="text1"/>
        </w:rPr>
        <w:t xml:space="preserve">There are two other timing issues which </w:t>
      </w:r>
      <w:r w:rsidR="00DC01D4">
        <w:rPr>
          <w:color w:val="000000" w:themeColor="text1"/>
        </w:rPr>
        <w:t>are said to</w:t>
      </w:r>
      <w:r>
        <w:rPr>
          <w:color w:val="000000" w:themeColor="text1"/>
        </w:rPr>
        <w:t xml:space="preserve"> add some further doubt into the mix. The first is the timeline on the explanation of the sale</w:t>
      </w:r>
      <w:r w:rsidR="00D01BDB">
        <w:rPr>
          <w:color w:val="000000" w:themeColor="text1"/>
        </w:rPr>
        <w:t xml:space="preserve">. </w:t>
      </w:r>
      <w:r w:rsidR="00E24644" w:rsidRPr="00E06ECF">
        <w:rPr>
          <w:color w:val="000000" w:themeColor="text1"/>
        </w:rPr>
        <w:t xml:space="preserve">Ms Bloom’s evidence is that she was first notified of the Alleged Buy Out on the day it took place, </w:t>
      </w:r>
      <w:proofErr w:type="gramStart"/>
      <w:r w:rsidR="00E24644" w:rsidRPr="00E06ECF">
        <w:rPr>
          <w:color w:val="000000" w:themeColor="text1"/>
        </w:rPr>
        <w:t>i.e.</w:t>
      </w:r>
      <w:proofErr w:type="gramEnd"/>
      <w:r w:rsidR="00E24644" w:rsidRPr="00E06ECF">
        <w:rPr>
          <w:color w:val="000000" w:themeColor="text1"/>
        </w:rPr>
        <w:t xml:space="preserve"> on </w:t>
      </w:r>
      <w:r w:rsidR="00D01BDB">
        <w:rPr>
          <w:color w:val="000000" w:themeColor="text1"/>
        </w:rPr>
        <w:t>22 March</w:t>
      </w:r>
      <w:r w:rsidR="00E24644" w:rsidRPr="00E06ECF">
        <w:rPr>
          <w:color w:val="000000" w:themeColor="text1"/>
        </w:rPr>
        <w:t xml:space="preserve">.  </w:t>
      </w:r>
      <w:r w:rsidR="00055466">
        <w:rPr>
          <w:color w:val="000000" w:themeColor="text1"/>
        </w:rPr>
        <w:t>Mr Bedzhamov</w:t>
      </w:r>
      <w:r w:rsidR="00E24644">
        <w:rPr>
          <w:color w:val="000000" w:themeColor="text1"/>
        </w:rPr>
        <w:t xml:space="preserve"> (via his solicitors)</w:t>
      </w:r>
      <w:r w:rsidR="00E24644" w:rsidRPr="00E06ECF">
        <w:rPr>
          <w:color w:val="000000" w:themeColor="text1"/>
        </w:rPr>
        <w:t xml:space="preserve"> was informed of the Alleged Buy Out on </w:t>
      </w:r>
      <w:r w:rsidR="00D01BDB">
        <w:rPr>
          <w:color w:val="000000" w:themeColor="text1"/>
        </w:rPr>
        <w:t>26 April 2022</w:t>
      </w:r>
      <w:r w:rsidR="00E24644" w:rsidRPr="00E06ECF">
        <w:rPr>
          <w:color w:val="000000" w:themeColor="text1"/>
        </w:rPr>
        <w:t xml:space="preserve"> in the following terms: </w:t>
      </w:r>
    </w:p>
    <w:p w14:paraId="6F3FD349" w14:textId="77777777" w:rsidR="00E24644" w:rsidRPr="00E06ECF" w:rsidRDefault="00E24644" w:rsidP="004540ED">
      <w:pPr>
        <w:pStyle w:val="Quote"/>
      </w:pPr>
      <w:r w:rsidRPr="00E06ECF">
        <w:t>“The structure of A1 Investment Holding SA is however no longer relevant since we are instructed that the entire legal and beneficial ownership of A1 LLC is now owned by Mr Fayne, a non-sanctioned individual.”.</w:t>
      </w:r>
    </w:p>
    <w:p w14:paraId="7F46DCFE" w14:textId="65640E2C" w:rsidR="008F3032" w:rsidRPr="00E06ECF" w:rsidRDefault="00D01BDB" w:rsidP="008F3032">
      <w:pPr>
        <w:pStyle w:val="BodyText"/>
        <w:rPr>
          <w:color w:val="000000" w:themeColor="text1"/>
        </w:rPr>
      </w:pPr>
      <w:r>
        <w:rPr>
          <w:color w:val="000000" w:themeColor="text1"/>
        </w:rPr>
        <w:t>But i</w:t>
      </w:r>
      <w:r w:rsidR="008F3032" w:rsidRPr="00E06ECF">
        <w:rPr>
          <w:color w:val="000000" w:themeColor="text1"/>
        </w:rPr>
        <w:t xml:space="preserve">t was not until </w:t>
      </w:r>
      <w:r>
        <w:rPr>
          <w:color w:val="000000" w:themeColor="text1"/>
        </w:rPr>
        <w:t>23 December 2022</w:t>
      </w:r>
      <w:r w:rsidR="008F3032" w:rsidRPr="00E06ECF">
        <w:rPr>
          <w:color w:val="000000" w:themeColor="text1"/>
        </w:rPr>
        <w:t xml:space="preserve"> that it was revealed to </w:t>
      </w:r>
      <w:r w:rsidR="00055466">
        <w:rPr>
          <w:color w:val="000000" w:themeColor="text1"/>
        </w:rPr>
        <w:t>Mr Bedzhamov</w:t>
      </w:r>
      <w:r w:rsidR="008F3032" w:rsidRPr="00E06ECF">
        <w:rPr>
          <w:color w:val="000000" w:themeColor="text1"/>
        </w:rPr>
        <w:t xml:space="preserve"> and the Court that Mr Fayn paid a mere £714 for the entire share capital of A1. </w:t>
      </w:r>
      <w:r w:rsidR="007A2CF5">
        <w:rPr>
          <w:color w:val="000000" w:themeColor="text1"/>
        </w:rPr>
        <w:t>This lack of openness does align more readily with</w:t>
      </w:r>
      <w:r w:rsidR="00357465">
        <w:rPr>
          <w:color w:val="000000" w:themeColor="text1"/>
        </w:rPr>
        <w:t xml:space="preserve"> a non arms</w:t>
      </w:r>
      <w:r w:rsidR="00595464">
        <w:rPr>
          <w:color w:val="000000" w:themeColor="text1"/>
        </w:rPr>
        <w:t>’</w:t>
      </w:r>
      <w:r w:rsidR="00357465">
        <w:rPr>
          <w:color w:val="000000" w:themeColor="text1"/>
        </w:rPr>
        <w:t xml:space="preserve"> length disposal than with one which is entirely above board and commercial.</w:t>
      </w:r>
      <w:r w:rsidR="00F50D5E">
        <w:rPr>
          <w:color w:val="000000" w:themeColor="text1"/>
        </w:rPr>
        <w:t xml:space="preserve"> However</w:t>
      </w:r>
      <w:r w:rsidR="0011069E">
        <w:rPr>
          <w:color w:val="000000" w:themeColor="text1"/>
        </w:rPr>
        <w:t>,</w:t>
      </w:r>
      <w:r w:rsidR="00170550">
        <w:rPr>
          <w:color w:val="000000" w:themeColor="text1"/>
        </w:rPr>
        <w:t xml:space="preserve"> we do not think that it can properly be said to add much reliable basis for suspicion</w:t>
      </w:r>
      <w:r w:rsidR="004A70AB">
        <w:rPr>
          <w:color w:val="000000" w:themeColor="text1"/>
        </w:rPr>
        <w:t>.</w:t>
      </w:r>
    </w:p>
    <w:p w14:paraId="62CE66D8" w14:textId="7080AD49" w:rsidR="00B03EB0" w:rsidRDefault="00510E59" w:rsidP="00F41E84">
      <w:pPr>
        <w:pStyle w:val="BodyText"/>
        <w:rPr>
          <w:color w:val="000000" w:themeColor="text1"/>
          <w:lang w:val="en-US"/>
        </w:rPr>
      </w:pPr>
      <w:r>
        <w:rPr>
          <w:color w:val="000000" w:themeColor="text1"/>
          <w:lang w:val="en-US"/>
        </w:rPr>
        <w:t xml:space="preserve">There is </w:t>
      </w:r>
      <w:r w:rsidR="004A2B93">
        <w:rPr>
          <w:color w:val="000000" w:themeColor="text1"/>
          <w:lang w:val="en-US"/>
        </w:rPr>
        <w:t>then the question of the timing of the sale itself</w:t>
      </w:r>
      <w:r>
        <w:rPr>
          <w:color w:val="000000" w:themeColor="text1"/>
          <w:lang w:val="en-US"/>
        </w:rPr>
        <w:t xml:space="preserve">. As Mr Fenwick </w:t>
      </w:r>
      <w:r w:rsidR="004A2B93">
        <w:rPr>
          <w:color w:val="000000" w:themeColor="text1"/>
          <w:lang w:val="en-US"/>
        </w:rPr>
        <w:t xml:space="preserve">KC </w:t>
      </w:r>
      <w:r>
        <w:rPr>
          <w:color w:val="000000" w:themeColor="text1"/>
          <w:lang w:val="en-US"/>
        </w:rPr>
        <w:t>pointed out</w:t>
      </w:r>
      <w:r w:rsidR="004A2B93">
        <w:rPr>
          <w:color w:val="000000" w:themeColor="text1"/>
          <w:lang w:val="en-US"/>
        </w:rPr>
        <w:t>,</w:t>
      </w:r>
      <w:r w:rsidR="00A92D3F">
        <w:rPr>
          <w:color w:val="000000" w:themeColor="text1"/>
          <w:lang w:val="en-US"/>
        </w:rPr>
        <w:t xml:space="preserve"> assuming the disposals were made on the dates asserted</w:t>
      </w:r>
      <w:r w:rsidR="004A2B93">
        <w:rPr>
          <w:color w:val="000000" w:themeColor="text1"/>
          <w:lang w:val="en-US"/>
        </w:rPr>
        <w:t xml:space="preserve">, </w:t>
      </w:r>
      <w:r w:rsidR="00A92D3F">
        <w:rPr>
          <w:color w:val="000000" w:themeColor="text1"/>
          <w:lang w:val="en-US"/>
        </w:rPr>
        <w:t xml:space="preserve">there would not be a problem as to </w:t>
      </w:r>
      <w:r w:rsidR="006424AD">
        <w:rPr>
          <w:color w:val="000000" w:themeColor="text1"/>
          <w:lang w:val="en-US"/>
        </w:rPr>
        <w:t xml:space="preserve">direct </w:t>
      </w:r>
      <w:r w:rsidR="00A92D3F">
        <w:rPr>
          <w:color w:val="000000" w:themeColor="text1"/>
          <w:lang w:val="en-US"/>
        </w:rPr>
        <w:t xml:space="preserve">ownership after </w:t>
      </w:r>
      <w:r w:rsidR="006424AD">
        <w:rPr>
          <w:color w:val="000000" w:themeColor="text1"/>
          <w:lang w:val="en-US"/>
        </w:rPr>
        <w:t>designation, and there is no breach of sanctions/circumvention because the sanctions are not yet in place. However</w:t>
      </w:r>
      <w:r w:rsidR="001012CB">
        <w:rPr>
          <w:color w:val="000000" w:themeColor="text1"/>
          <w:lang w:val="en-US"/>
        </w:rPr>
        <w:t xml:space="preserve"> </w:t>
      </w:r>
      <w:r w:rsidR="00B03EB0">
        <w:rPr>
          <w:color w:val="000000" w:themeColor="text1"/>
          <w:lang w:val="en-US"/>
        </w:rPr>
        <w:t xml:space="preserve">he says that </w:t>
      </w:r>
      <w:r w:rsidR="001012CB">
        <w:rPr>
          <w:color w:val="000000" w:themeColor="text1"/>
          <w:lang w:val="en-US"/>
        </w:rPr>
        <w:t xml:space="preserve">when one </w:t>
      </w:r>
      <w:r w:rsidR="0011069E">
        <w:rPr>
          <w:color w:val="000000" w:themeColor="text1"/>
          <w:lang w:val="en-US"/>
        </w:rPr>
        <w:t>“</w:t>
      </w:r>
      <w:r w:rsidR="001012CB">
        <w:rPr>
          <w:color w:val="000000" w:themeColor="text1"/>
          <w:lang w:val="en-US"/>
        </w:rPr>
        <w:t>pans out</w:t>
      </w:r>
      <w:r w:rsidR="0011069E">
        <w:rPr>
          <w:color w:val="000000" w:themeColor="text1"/>
          <w:lang w:val="en-US"/>
        </w:rPr>
        <w:t>”</w:t>
      </w:r>
      <w:r w:rsidR="001012CB">
        <w:rPr>
          <w:color w:val="000000" w:themeColor="text1"/>
          <w:lang w:val="en-US"/>
        </w:rPr>
        <w:t xml:space="preserve"> from the </w:t>
      </w:r>
      <w:r w:rsidR="003A1F5C">
        <w:rPr>
          <w:color w:val="000000" w:themeColor="text1"/>
          <w:lang w:val="en-US"/>
        </w:rPr>
        <w:t>individual transaction and looks at</w:t>
      </w:r>
      <w:r w:rsidR="00FA07F8">
        <w:rPr>
          <w:color w:val="000000" w:themeColor="text1"/>
          <w:lang w:val="en-US"/>
        </w:rPr>
        <w:t xml:space="preserve"> (</w:t>
      </w:r>
      <w:proofErr w:type="spellStart"/>
      <w:r w:rsidR="00FA07F8">
        <w:rPr>
          <w:color w:val="000000" w:themeColor="text1"/>
          <w:lang w:val="en-US"/>
        </w:rPr>
        <w:t>i</w:t>
      </w:r>
      <w:proofErr w:type="spellEnd"/>
      <w:r w:rsidR="00FA07F8">
        <w:rPr>
          <w:color w:val="000000" w:themeColor="text1"/>
          <w:lang w:val="en-US"/>
        </w:rPr>
        <w:t>)</w:t>
      </w:r>
      <w:r w:rsidR="003A1F5C">
        <w:rPr>
          <w:color w:val="000000" w:themeColor="text1"/>
          <w:lang w:val="en-US"/>
        </w:rPr>
        <w:t xml:space="preserve"> the evidence </w:t>
      </w:r>
      <w:r w:rsidR="007E2BD0">
        <w:rPr>
          <w:color w:val="000000" w:themeColor="text1"/>
          <w:lang w:val="en-US"/>
        </w:rPr>
        <w:t>which</w:t>
      </w:r>
      <w:r w:rsidR="003A1F5C">
        <w:rPr>
          <w:color w:val="000000" w:themeColor="text1"/>
          <w:lang w:val="en-US"/>
        </w:rPr>
        <w:t xml:space="preserve"> there is of a wider range of disposals</w:t>
      </w:r>
      <w:r w:rsidR="004E6CCC">
        <w:rPr>
          <w:color w:val="000000" w:themeColor="text1"/>
          <w:lang w:val="en-US"/>
        </w:rPr>
        <w:t xml:space="preserve"> covering this company</w:t>
      </w:r>
      <w:r w:rsidR="00A4089E">
        <w:rPr>
          <w:color w:val="000000" w:themeColor="text1"/>
          <w:lang w:val="en-US"/>
        </w:rPr>
        <w:t xml:space="preserve"> and its associated companies (see above</w:t>
      </w:r>
      <w:r w:rsidR="003378DD">
        <w:rPr>
          <w:color w:val="000000" w:themeColor="text1"/>
          <w:lang w:val="en-US"/>
        </w:rPr>
        <w:t xml:space="preserve"> in the factual background section</w:t>
      </w:r>
      <w:r w:rsidR="00A4089E">
        <w:rPr>
          <w:color w:val="000000" w:themeColor="text1"/>
          <w:lang w:val="en-US"/>
        </w:rPr>
        <w:t xml:space="preserve">) (ii) </w:t>
      </w:r>
      <w:r w:rsidR="005D5375">
        <w:rPr>
          <w:color w:val="000000" w:themeColor="text1"/>
          <w:lang w:val="en-US"/>
        </w:rPr>
        <w:t xml:space="preserve">press </w:t>
      </w:r>
      <w:r w:rsidR="00A4089E">
        <w:rPr>
          <w:color w:val="000000" w:themeColor="text1"/>
          <w:lang w:val="en-US"/>
        </w:rPr>
        <w:t>reports concerning</w:t>
      </w:r>
      <w:r w:rsidR="0062302F">
        <w:rPr>
          <w:color w:val="000000" w:themeColor="text1"/>
          <w:lang w:val="en-US"/>
        </w:rPr>
        <w:t xml:space="preserve"> near simultaneous</w:t>
      </w:r>
      <w:r w:rsidR="00A4089E">
        <w:rPr>
          <w:color w:val="000000" w:themeColor="text1"/>
          <w:lang w:val="en-US"/>
        </w:rPr>
        <w:t xml:space="preserve"> disposals of shareholdings in</w:t>
      </w:r>
      <w:r w:rsidR="004E6CCC">
        <w:rPr>
          <w:color w:val="000000" w:themeColor="text1"/>
          <w:lang w:val="en-US"/>
        </w:rPr>
        <w:t xml:space="preserve"> Alfa Bank and another company</w:t>
      </w:r>
      <w:r w:rsidR="0062302F">
        <w:rPr>
          <w:color w:val="000000" w:themeColor="text1"/>
          <w:lang w:val="en-US"/>
        </w:rPr>
        <w:t xml:space="preserve"> (iii)</w:t>
      </w:r>
      <w:r w:rsidR="005D5375">
        <w:rPr>
          <w:color w:val="000000" w:themeColor="text1"/>
          <w:lang w:val="en-US"/>
        </w:rPr>
        <w:t xml:space="preserve"> </w:t>
      </w:r>
      <w:r w:rsidR="00C70647">
        <w:rPr>
          <w:color w:val="000000" w:themeColor="text1"/>
          <w:lang w:val="en-US"/>
        </w:rPr>
        <w:t xml:space="preserve">all of the </w:t>
      </w:r>
      <w:r w:rsidR="007E2BD0">
        <w:rPr>
          <w:color w:val="000000" w:themeColor="text1"/>
          <w:lang w:val="en-US"/>
        </w:rPr>
        <w:t>shares</w:t>
      </w:r>
      <w:r w:rsidR="00C70647">
        <w:rPr>
          <w:color w:val="000000" w:themeColor="text1"/>
          <w:lang w:val="en-US"/>
        </w:rPr>
        <w:t xml:space="preserve"> </w:t>
      </w:r>
      <w:r w:rsidR="005D5375">
        <w:rPr>
          <w:color w:val="000000" w:themeColor="text1"/>
          <w:lang w:val="en-US"/>
        </w:rPr>
        <w:t xml:space="preserve">in the various holding companies </w:t>
      </w:r>
      <w:r w:rsidR="00C70647">
        <w:rPr>
          <w:color w:val="000000" w:themeColor="text1"/>
          <w:lang w:val="en-US"/>
        </w:rPr>
        <w:t>being transferred to Mr Kosogov</w:t>
      </w:r>
      <w:r w:rsidR="00B03EB0">
        <w:rPr>
          <w:color w:val="000000" w:themeColor="text1"/>
          <w:lang w:val="en-US"/>
        </w:rPr>
        <w:t>,</w:t>
      </w:r>
      <w:r w:rsidR="00C70647">
        <w:rPr>
          <w:color w:val="000000" w:themeColor="text1"/>
          <w:lang w:val="en-US"/>
        </w:rPr>
        <w:t xml:space="preserve"> </w:t>
      </w:r>
      <w:r w:rsidR="00677457">
        <w:rPr>
          <w:color w:val="000000" w:themeColor="text1"/>
          <w:lang w:val="en-US"/>
        </w:rPr>
        <w:t>it becomes arguably artificial to look at this disposal in isolation</w:t>
      </w:r>
      <w:r w:rsidR="0062302F">
        <w:rPr>
          <w:color w:val="000000" w:themeColor="text1"/>
          <w:lang w:val="en-US"/>
        </w:rPr>
        <w:t xml:space="preserve">. </w:t>
      </w:r>
    </w:p>
    <w:p w14:paraId="20D92926" w14:textId="25A5C049" w:rsidR="00E740B2" w:rsidRPr="00F41E84" w:rsidRDefault="00D95D25" w:rsidP="00F41E84">
      <w:pPr>
        <w:pStyle w:val="BodyText"/>
        <w:rPr>
          <w:color w:val="000000" w:themeColor="text1"/>
          <w:lang w:val="en-US"/>
        </w:rPr>
      </w:pPr>
      <w:r>
        <w:rPr>
          <w:color w:val="000000" w:themeColor="text1"/>
          <w:lang w:val="en-US"/>
        </w:rPr>
        <w:lastRenderedPageBreak/>
        <w:t xml:space="preserve">As to this we are not minded </w:t>
      </w:r>
      <w:proofErr w:type="gramStart"/>
      <w:r>
        <w:rPr>
          <w:color w:val="000000" w:themeColor="text1"/>
          <w:lang w:val="en-US"/>
        </w:rPr>
        <w:t>to put</w:t>
      </w:r>
      <w:proofErr w:type="gramEnd"/>
      <w:r>
        <w:rPr>
          <w:color w:val="000000" w:themeColor="text1"/>
          <w:lang w:val="en-US"/>
        </w:rPr>
        <w:t xml:space="preserve"> any weight on this point. We appreciate the suspicions raised </w:t>
      </w:r>
      <w:r w:rsidR="00C115B3">
        <w:rPr>
          <w:color w:val="000000" w:themeColor="text1"/>
          <w:lang w:val="en-US"/>
        </w:rPr>
        <w:t xml:space="preserve">in the </w:t>
      </w:r>
      <w:r w:rsidR="00A51BD5">
        <w:rPr>
          <w:color w:val="000000" w:themeColor="text1"/>
          <w:lang w:val="en-US"/>
        </w:rPr>
        <w:t>minds</w:t>
      </w:r>
      <w:r w:rsidR="00C115B3">
        <w:rPr>
          <w:color w:val="000000" w:themeColor="text1"/>
          <w:lang w:val="en-US"/>
        </w:rPr>
        <w:t xml:space="preserve"> of Mr Bedzhamov and those acting for him by the press reports</w:t>
      </w:r>
      <w:r w:rsidR="00473D01">
        <w:rPr>
          <w:color w:val="000000" w:themeColor="text1"/>
          <w:lang w:val="en-US"/>
        </w:rPr>
        <w:t xml:space="preserve">, but we have to bear in mind the distinction noted in the authorities between </w:t>
      </w:r>
      <w:proofErr w:type="gramStart"/>
      <w:r w:rsidR="00473D01">
        <w:rPr>
          <w:color w:val="000000" w:themeColor="text1"/>
          <w:lang w:val="en-US"/>
        </w:rPr>
        <w:t>fact based</w:t>
      </w:r>
      <w:proofErr w:type="gramEnd"/>
      <w:r w:rsidR="00473D01">
        <w:rPr>
          <w:color w:val="000000" w:themeColor="text1"/>
          <w:lang w:val="en-US"/>
        </w:rPr>
        <w:t xml:space="preserve"> suspicion</w:t>
      </w:r>
      <w:r w:rsidR="000277C0">
        <w:rPr>
          <w:color w:val="000000" w:themeColor="text1"/>
          <w:lang w:val="en-US"/>
        </w:rPr>
        <w:t xml:space="preserve"> which does (not might) follow from particular evidence and reflexive assumption</w:t>
      </w:r>
      <w:r w:rsidR="00DC01D4">
        <w:rPr>
          <w:color w:val="000000" w:themeColor="text1"/>
          <w:lang w:val="en-US"/>
        </w:rPr>
        <w:t xml:space="preserve"> based on unverifiable and untestable sources.</w:t>
      </w:r>
    </w:p>
    <w:p w14:paraId="533A19CB" w14:textId="7099F182" w:rsidR="003939DF" w:rsidRDefault="00582E45" w:rsidP="00F46F43">
      <w:pPr>
        <w:pStyle w:val="Heading3"/>
        <w:rPr>
          <w:lang w:val="en-US"/>
        </w:rPr>
      </w:pPr>
      <w:r>
        <w:rPr>
          <w:lang w:val="en-US"/>
        </w:rPr>
        <w:t>A1’s Financial Position</w:t>
      </w:r>
    </w:p>
    <w:p w14:paraId="0B7622F3" w14:textId="0A8F3166" w:rsidR="004000CB" w:rsidRDefault="00F979CC" w:rsidP="007D4734">
      <w:pPr>
        <w:pStyle w:val="BodyText"/>
        <w:rPr>
          <w:color w:val="000000" w:themeColor="text1"/>
          <w:lang w:val="en-US"/>
        </w:rPr>
      </w:pPr>
      <w:r>
        <w:rPr>
          <w:color w:val="000000" w:themeColor="text1"/>
        </w:rPr>
        <w:t>This is relevant to the question</w:t>
      </w:r>
      <w:r w:rsidR="00AF31CD">
        <w:rPr>
          <w:color w:val="000000" w:themeColor="text1"/>
        </w:rPr>
        <w:t xml:space="preserve"> of the reality/commerciality of the sale. If the price paid was not </w:t>
      </w:r>
      <w:r w:rsidR="001A5FC1">
        <w:rPr>
          <w:color w:val="000000" w:themeColor="text1"/>
        </w:rPr>
        <w:t xml:space="preserve">a market price that </w:t>
      </w:r>
      <w:r w:rsidR="004A70AB">
        <w:rPr>
          <w:color w:val="000000" w:themeColor="text1"/>
        </w:rPr>
        <w:t xml:space="preserve">would </w:t>
      </w:r>
      <w:r w:rsidR="001A5FC1">
        <w:rPr>
          <w:color w:val="000000" w:themeColor="text1"/>
        </w:rPr>
        <w:t xml:space="preserve">provide material which </w:t>
      </w:r>
      <w:r w:rsidR="004A70AB">
        <w:rPr>
          <w:color w:val="000000" w:themeColor="text1"/>
        </w:rPr>
        <w:t xml:space="preserve">would (not might) </w:t>
      </w:r>
      <w:r w:rsidR="001A5FC1">
        <w:rPr>
          <w:color w:val="000000" w:themeColor="text1"/>
        </w:rPr>
        <w:t>tend to suggest that the control of A1 remains with the Founders</w:t>
      </w:r>
      <w:r w:rsidR="007D4734" w:rsidRPr="007D4734">
        <w:rPr>
          <w:color w:val="000000" w:themeColor="text1"/>
          <w:lang w:val="en-US"/>
        </w:rPr>
        <w:t xml:space="preserve">. </w:t>
      </w:r>
    </w:p>
    <w:p w14:paraId="4E277FCF" w14:textId="53A35AA9" w:rsidR="004000CB" w:rsidRPr="004F071C" w:rsidRDefault="004000CB" w:rsidP="004000CB">
      <w:pPr>
        <w:pStyle w:val="BodyText"/>
        <w:rPr>
          <w:color w:val="000000" w:themeColor="text1"/>
        </w:rPr>
      </w:pPr>
      <w:r>
        <w:rPr>
          <w:color w:val="000000" w:themeColor="text1"/>
        </w:rPr>
        <w:t xml:space="preserve">The sale </w:t>
      </w:r>
      <w:r w:rsidRPr="004F071C">
        <w:rPr>
          <w:color w:val="000000" w:themeColor="text1"/>
        </w:rPr>
        <w:t>is said to be an arms</w:t>
      </w:r>
      <w:r w:rsidR="00C452A5">
        <w:rPr>
          <w:color w:val="000000" w:themeColor="text1"/>
        </w:rPr>
        <w:t xml:space="preserve">’ </w:t>
      </w:r>
      <w:r w:rsidRPr="004F071C">
        <w:rPr>
          <w:color w:val="000000" w:themeColor="text1"/>
        </w:rPr>
        <w:t xml:space="preserve">length transaction at market price, though that price was the equivalent of £714. The low price is said to be due to A1’s financial difficulties: according to A1’s balance sheet as </w:t>
      </w:r>
      <w:proofErr w:type="gramStart"/>
      <w:r w:rsidRPr="004F071C">
        <w:rPr>
          <w:color w:val="000000" w:themeColor="text1"/>
        </w:rPr>
        <w:t>at</w:t>
      </w:r>
      <w:proofErr w:type="gramEnd"/>
      <w:r w:rsidRPr="004F071C">
        <w:rPr>
          <w:color w:val="000000" w:themeColor="text1"/>
        </w:rPr>
        <w:t xml:space="preserve"> 31 December 2021, it had a negative balance of around £4.3 million</w:t>
      </w:r>
      <w:r w:rsidR="003234FC">
        <w:rPr>
          <w:color w:val="000000" w:themeColor="text1"/>
        </w:rPr>
        <w:t>.</w:t>
      </w:r>
    </w:p>
    <w:p w14:paraId="7276D04A" w14:textId="23D05C6A" w:rsidR="007D4734" w:rsidRPr="007D4734" w:rsidRDefault="007D4734" w:rsidP="007D4734">
      <w:pPr>
        <w:pStyle w:val="BodyText"/>
        <w:rPr>
          <w:color w:val="000000" w:themeColor="text1"/>
          <w:lang w:val="en-US"/>
        </w:rPr>
      </w:pPr>
      <w:r w:rsidRPr="007D4734">
        <w:rPr>
          <w:color w:val="000000" w:themeColor="text1"/>
          <w:lang w:val="en-US"/>
        </w:rPr>
        <w:t xml:space="preserve">We have been shown A1’s balance sheet for 2021, which </w:t>
      </w:r>
      <w:r w:rsidR="00CD28DA">
        <w:rPr>
          <w:color w:val="000000" w:themeColor="text1"/>
          <w:lang w:val="en-US"/>
        </w:rPr>
        <w:t xml:space="preserve">on its face </w:t>
      </w:r>
      <w:r w:rsidRPr="007D4734">
        <w:rPr>
          <w:color w:val="000000" w:themeColor="text1"/>
          <w:lang w:val="en-US"/>
        </w:rPr>
        <w:t>indicates a net deficit. Mr Fenwick agrees that the balance sheet shows a deficit but contends that it does not reflect the true position. There are two notable issues taken with the balance sheet.</w:t>
      </w:r>
    </w:p>
    <w:p w14:paraId="2BB2FD32" w14:textId="6F4F993A" w:rsidR="008649E4" w:rsidRDefault="007D4734" w:rsidP="007D4734">
      <w:pPr>
        <w:pStyle w:val="BodyText"/>
        <w:rPr>
          <w:color w:val="000000" w:themeColor="text1"/>
          <w:lang w:val="en-US"/>
        </w:rPr>
      </w:pPr>
      <w:r w:rsidRPr="007D4734">
        <w:rPr>
          <w:color w:val="000000" w:themeColor="text1"/>
          <w:lang w:val="en-US"/>
        </w:rPr>
        <w:t xml:space="preserve">The first is that </w:t>
      </w:r>
      <w:r w:rsidR="00D2454F">
        <w:rPr>
          <w:color w:val="000000" w:themeColor="text1"/>
          <w:lang w:val="en-US"/>
        </w:rPr>
        <w:t xml:space="preserve">it can be fairly clearly seen that </w:t>
      </w:r>
      <w:r w:rsidRPr="007D4734">
        <w:rPr>
          <w:color w:val="000000" w:themeColor="text1"/>
          <w:lang w:val="en-US"/>
        </w:rPr>
        <w:t>some of what would</w:t>
      </w:r>
      <w:r w:rsidR="00626776">
        <w:rPr>
          <w:color w:val="000000" w:themeColor="text1"/>
          <w:lang w:val="en-US"/>
        </w:rPr>
        <w:t>,</w:t>
      </w:r>
      <w:r w:rsidRPr="007D4734">
        <w:rPr>
          <w:color w:val="000000" w:themeColor="text1"/>
          <w:lang w:val="en-US"/>
        </w:rPr>
        <w:t xml:space="preserve"> </w:t>
      </w:r>
      <w:r w:rsidR="00707B6B">
        <w:rPr>
          <w:color w:val="000000" w:themeColor="text1"/>
          <w:lang w:val="en-US"/>
        </w:rPr>
        <w:t>as a matter of English accountancy practice</w:t>
      </w:r>
      <w:r w:rsidR="00626776">
        <w:rPr>
          <w:color w:val="000000" w:themeColor="text1"/>
          <w:lang w:val="en-US"/>
        </w:rPr>
        <w:t>,</w:t>
      </w:r>
      <w:r w:rsidRPr="007D4734">
        <w:rPr>
          <w:color w:val="000000" w:themeColor="text1"/>
          <w:lang w:val="en-US"/>
        </w:rPr>
        <w:t xml:space="preserve"> undoubtedly be considered part of A1’s assets do not appear on the balance sheet. In particular</w:t>
      </w:r>
      <w:r w:rsidR="008649E4">
        <w:rPr>
          <w:color w:val="000000" w:themeColor="text1"/>
          <w:lang w:val="en-US"/>
        </w:rPr>
        <w:t>:</w:t>
      </w:r>
    </w:p>
    <w:p w14:paraId="7BE8C5A6" w14:textId="77777777" w:rsidR="00D80340" w:rsidRDefault="008649E4" w:rsidP="008649E4">
      <w:pPr>
        <w:pStyle w:val="BodyText"/>
        <w:numPr>
          <w:ilvl w:val="1"/>
          <w:numId w:val="4"/>
        </w:numPr>
        <w:rPr>
          <w:color w:val="000000" w:themeColor="text1"/>
          <w:lang w:val="en-US"/>
        </w:rPr>
      </w:pPr>
      <w:r>
        <w:rPr>
          <w:color w:val="000000" w:themeColor="text1"/>
          <w:lang w:val="en-US"/>
        </w:rPr>
        <w:t>T</w:t>
      </w:r>
      <w:r w:rsidR="007D4734" w:rsidRPr="007D4734">
        <w:rPr>
          <w:color w:val="000000" w:themeColor="text1"/>
          <w:lang w:val="en-US"/>
        </w:rPr>
        <w:t>he debt owed to A1 arising from money advanced to VPB for the purposes of this litigation is absent</w:t>
      </w:r>
      <w:r w:rsidR="00D80340">
        <w:rPr>
          <w:color w:val="000000" w:themeColor="text1"/>
          <w:lang w:val="en-US"/>
        </w:rPr>
        <w:t>. That is</w:t>
      </w:r>
      <w:r w:rsidR="007D4734" w:rsidRPr="007D4734">
        <w:rPr>
          <w:color w:val="000000" w:themeColor="text1"/>
          <w:lang w:val="en-US"/>
        </w:rPr>
        <w:t xml:space="preserve"> the US$20 million mentioned </w:t>
      </w:r>
      <w:proofErr w:type="gramStart"/>
      <w:r w:rsidR="007D4734" w:rsidRPr="007D4734">
        <w:rPr>
          <w:color w:val="000000" w:themeColor="text1"/>
          <w:lang w:val="en-US"/>
        </w:rPr>
        <w:t>above</w:t>
      </w:r>
      <w:r w:rsidR="00D80340">
        <w:rPr>
          <w:color w:val="000000" w:themeColor="text1"/>
          <w:lang w:val="en-US"/>
        </w:rPr>
        <w:t>;</w:t>
      </w:r>
      <w:proofErr w:type="gramEnd"/>
    </w:p>
    <w:p w14:paraId="5D07745A" w14:textId="62A6A98B" w:rsidR="00C25C14" w:rsidRDefault="00D80340" w:rsidP="008649E4">
      <w:pPr>
        <w:pStyle w:val="BodyText"/>
        <w:numPr>
          <w:ilvl w:val="1"/>
          <w:numId w:val="4"/>
        </w:numPr>
        <w:rPr>
          <w:color w:val="000000" w:themeColor="text1"/>
          <w:lang w:val="en-US"/>
        </w:rPr>
      </w:pPr>
      <w:r>
        <w:rPr>
          <w:color w:val="000000" w:themeColor="text1"/>
          <w:lang w:val="en-US"/>
        </w:rPr>
        <w:t>The about</w:t>
      </w:r>
      <w:r w:rsidR="007D4734" w:rsidRPr="007D4734">
        <w:rPr>
          <w:color w:val="000000" w:themeColor="text1"/>
          <w:lang w:val="en-US"/>
        </w:rPr>
        <w:t xml:space="preserve"> £4 million which has been paid into court as security for costs and £1 million held by Keystone Law, VPB’s solicitors, as fortification for the worldwide freezing order and search order of 27 March </w:t>
      </w:r>
      <w:proofErr w:type="gramStart"/>
      <w:r w:rsidR="007D4734" w:rsidRPr="007D4734">
        <w:rPr>
          <w:color w:val="000000" w:themeColor="text1"/>
          <w:lang w:val="en-US"/>
        </w:rPr>
        <w:t>2019</w:t>
      </w:r>
      <w:r w:rsidR="00C25C14">
        <w:rPr>
          <w:color w:val="000000" w:themeColor="text1"/>
          <w:lang w:val="en-US"/>
        </w:rPr>
        <w:t>;</w:t>
      </w:r>
      <w:proofErr w:type="gramEnd"/>
    </w:p>
    <w:p w14:paraId="1823FA1A" w14:textId="03478E59" w:rsidR="00FD0F01" w:rsidRDefault="00C25C14" w:rsidP="008649E4">
      <w:pPr>
        <w:pStyle w:val="BodyText"/>
        <w:numPr>
          <w:ilvl w:val="1"/>
          <w:numId w:val="4"/>
        </w:numPr>
        <w:rPr>
          <w:color w:val="000000" w:themeColor="text1"/>
          <w:lang w:val="en-US"/>
        </w:rPr>
      </w:pPr>
      <w:r>
        <w:rPr>
          <w:color w:val="000000" w:themeColor="text1"/>
          <w:lang w:val="en-US"/>
        </w:rPr>
        <w:t>No value has been given to the claim</w:t>
      </w:r>
      <w:r w:rsidR="00073DFC">
        <w:rPr>
          <w:color w:val="000000" w:themeColor="text1"/>
          <w:lang w:val="en-US"/>
        </w:rPr>
        <w:t>s</w:t>
      </w:r>
      <w:r>
        <w:rPr>
          <w:color w:val="000000" w:themeColor="text1"/>
          <w:lang w:val="en-US"/>
        </w:rPr>
        <w:t xml:space="preserve"> in these proceedings</w:t>
      </w:r>
      <w:r w:rsidR="007D4734" w:rsidRPr="007D4734">
        <w:rPr>
          <w:color w:val="000000" w:themeColor="text1"/>
          <w:lang w:val="en-US"/>
        </w:rPr>
        <w:t xml:space="preserve">. </w:t>
      </w:r>
    </w:p>
    <w:p w14:paraId="32E9EFCA" w14:textId="0F61DB2B" w:rsidR="009A6E65" w:rsidRDefault="00D2454F" w:rsidP="00FD0F01">
      <w:pPr>
        <w:pStyle w:val="BodyText"/>
        <w:rPr>
          <w:lang w:val="en-US"/>
        </w:rPr>
      </w:pPr>
      <w:r>
        <w:rPr>
          <w:lang w:val="en-US"/>
        </w:rPr>
        <w:t xml:space="preserve">Is there a good reason for this? </w:t>
      </w:r>
      <w:r w:rsidR="003A5718">
        <w:rPr>
          <w:lang w:val="en-US"/>
        </w:rPr>
        <w:t>There is no evidence of foreign accountancy practice which</w:t>
      </w:r>
      <w:r w:rsidR="009A6E65">
        <w:rPr>
          <w:lang w:val="en-US"/>
        </w:rPr>
        <w:t xml:space="preserve"> would justify a different approach</w:t>
      </w:r>
      <w:r w:rsidR="00441BC7">
        <w:rPr>
          <w:lang w:val="en-US"/>
        </w:rPr>
        <w:t xml:space="preserve"> (though Mr Randolph attempted to suggest that as regards the claim it had no value until it succe</w:t>
      </w:r>
      <w:r w:rsidR="006127D1">
        <w:rPr>
          <w:lang w:val="en-US"/>
        </w:rPr>
        <w:t>e</w:t>
      </w:r>
      <w:r w:rsidR="00441BC7">
        <w:rPr>
          <w:lang w:val="en-US"/>
        </w:rPr>
        <w:t>ded)</w:t>
      </w:r>
      <w:r w:rsidR="009A6E65">
        <w:rPr>
          <w:lang w:val="en-US"/>
        </w:rPr>
        <w:t xml:space="preserve"> and therefore we must deal with this on the basis of what this Court would regard as conventional practice.</w:t>
      </w:r>
    </w:p>
    <w:p w14:paraId="5321AC67" w14:textId="4F81F44D" w:rsidR="007D4734" w:rsidRPr="007D4734" w:rsidRDefault="006127D1" w:rsidP="00FD0F01">
      <w:pPr>
        <w:pStyle w:val="BodyText"/>
        <w:rPr>
          <w:lang w:val="en-US"/>
        </w:rPr>
      </w:pPr>
      <w:r>
        <w:rPr>
          <w:lang w:val="en-US"/>
        </w:rPr>
        <w:t>As far as the debts are concerned, u</w:t>
      </w:r>
      <w:r w:rsidR="007D4734" w:rsidRPr="007D4734">
        <w:rPr>
          <w:lang w:val="en-US"/>
        </w:rPr>
        <w:t>nless A1 considers that VPB has no prospects of recovery</w:t>
      </w:r>
      <w:r w:rsidR="00FD0F01">
        <w:rPr>
          <w:lang w:val="en-US"/>
        </w:rPr>
        <w:t xml:space="preserve"> in respect of these funds</w:t>
      </w:r>
      <w:r w:rsidR="007D4734" w:rsidRPr="007D4734">
        <w:rPr>
          <w:lang w:val="en-US"/>
        </w:rPr>
        <w:t xml:space="preserve"> and the debt is written off, that is an odd omission. </w:t>
      </w:r>
      <w:r w:rsidR="00621C09">
        <w:rPr>
          <w:lang w:val="en-US"/>
        </w:rPr>
        <w:t>Similarly</w:t>
      </w:r>
      <w:r w:rsidR="003234FC">
        <w:rPr>
          <w:lang w:val="en-US"/>
        </w:rPr>
        <w:t>,</w:t>
      </w:r>
      <w:r w:rsidR="00621C09">
        <w:rPr>
          <w:lang w:val="en-US"/>
        </w:rPr>
        <w:t xml:space="preserve"> it is conventional as a matter of English accountancy practice to assign a value to a claim</w:t>
      </w:r>
      <w:r w:rsidR="002C0C88">
        <w:rPr>
          <w:lang w:val="en-US"/>
        </w:rPr>
        <w:t xml:space="preserve"> which is considered to have any prospects of success, as a chose in action. </w:t>
      </w:r>
      <w:r w:rsidR="00B27C75">
        <w:rPr>
          <w:lang w:val="en-US"/>
        </w:rPr>
        <w:t xml:space="preserve">If that is the case it would follow </w:t>
      </w:r>
      <w:r w:rsidR="007D4734" w:rsidRPr="007D4734">
        <w:rPr>
          <w:lang w:val="en-US"/>
        </w:rPr>
        <w:t xml:space="preserve">that, as Mr Bedzhamov contends, A1’s true financial position is </w:t>
      </w:r>
      <w:r w:rsidR="00797292">
        <w:rPr>
          <w:lang w:val="en-US"/>
        </w:rPr>
        <w:t xml:space="preserve">significantly </w:t>
      </w:r>
      <w:r w:rsidR="007D4734" w:rsidRPr="007D4734">
        <w:rPr>
          <w:lang w:val="en-US"/>
        </w:rPr>
        <w:t>healthier than that disclosed by its balance sheets. If this is right, it of course has an impact on the true market value of A1 and in turn colours the circumstances of the sale to Mr Fayn.</w:t>
      </w:r>
    </w:p>
    <w:p w14:paraId="4DDFDFA2" w14:textId="51924D3D" w:rsidR="007D4734" w:rsidRPr="007D4734" w:rsidRDefault="007D4734" w:rsidP="007D4734">
      <w:pPr>
        <w:pStyle w:val="BodyText"/>
        <w:rPr>
          <w:color w:val="000000" w:themeColor="text1"/>
          <w:lang w:val="en-US"/>
        </w:rPr>
      </w:pPr>
      <w:r w:rsidRPr="007D4734">
        <w:rPr>
          <w:color w:val="000000" w:themeColor="text1"/>
          <w:lang w:val="en-US"/>
        </w:rPr>
        <w:lastRenderedPageBreak/>
        <w:t xml:space="preserve">The other </w:t>
      </w:r>
      <w:r w:rsidR="00B12A0B">
        <w:rPr>
          <w:color w:val="000000" w:themeColor="text1"/>
          <w:lang w:val="en-US"/>
        </w:rPr>
        <w:t xml:space="preserve">issue </w:t>
      </w:r>
      <w:r w:rsidRPr="007D4734">
        <w:rPr>
          <w:color w:val="000000" w:themeColor="text1"/>
          <w:lang w:val="en-US"/>
        </w:rPr>
        <w:t xml:space="preserve">relates to the nature of A1’s debts. Under “Non-current liabilities”, the balance sheet shows a sum in the row “Borrowed funds” equivalent to approximately £10.35 million. </w:t>
      </w:r>
      <w:r w:rsidR="00DD32BD">
        <w:rPr>
          <w:color w:val="000000" w:themeColor="text1"/>
          <w:lang w:val="en-US"/>
        </w:rPr>
        <w:t>Conventionally a borrowing figure would correlate to a figure elsewhere covering interest on borrowings.</w:t>
      </w:r>
      <w:r w:rsidR="00CB7E70">
        <w:rPr>
          <w:color w:val="000000" w:themeColor="text1"/>
          <w:lang w:val="en-US"/>
        </w:rPr>
        <w:t xml:space="preserve"> Yet i</w:t>
      </w:r>
      <w:r w:rsidRPr="007D4734">
        <w:rPr>
          <w:color w:val="000000" w:themeColor="text1"/>
          <w:lang w:val="en-US"/>
        </w:rPr>
        <w:t>n the cash flow statement, the line “Interest on debt obligations” shows a nil figure</w:t>
      </w:r>
      <w:r w:rsidR="000B66ED">
        <w:rPr>
          <w:color w:val="000000" w:themeColor="text1"/>
          <w:lang w:val="en-US"/>
        </w:rPr>
        <w:t>. T</w:t>
      </w:r>
      <w:r w:rsidR="00F06C5E">
        <w:rPr>
          <w:color w:val="000000" w:themeColor="text1"/>
          <w:lang w:val="en-US"/>
        </w:rPr>
        <w:t>hat raises questions. If borrowings are not leading to interest payments</w:t>
      </w:r>
      <w:r w:rsidR="005B1370">
        <w:rPr>
          <w:color w:val="000000" w:themeColor="text1"/>
          <w:lang w:val="en-US"/>
        </w:rPr>
        <w:t xml:space="preserve"> that would tend to suggest </w:t>
      </w:r>
      <w:r w:rsidR="006D4A0E" w:rsidRPr="006D4A0E">
        <w:rPr>
          <w:color w:val="000000" w:themeColor="text1"/>
          <w:lang w:val="en-US"/>
        </w:rPr>
        <w:t>zero interest loans or other non-standard commercial arrangements</w:t>
      </w:r>
      <w:r w:rsidR="00CE6CE1">
        <w:rPr>
          <w:color w:val="000000" w:themeColor="text1"/>
          <w:lang w:val="en-US"/>
        </w:rPr>
        <w:t>.</w:t>
      </w:r>
      <w:r w:rsidRPr="007D4734">
        <w:rPr>
          <w:color w:val="000000" w:themeColor="text1"/>
          <w:lang w:val="en-US"/>
        </w:rPr>
        <w:t xml:space="preserve"> </w:t>
      </w:r>
      <w:r w:rsidR="006D4ECF">
        <w:rPr>
          <w:color w:val="000000" w:themeColor="text1"/>
          <w:lang w:val="en-US"/>
        </w:rPr>
        <w:t xml:space="preserve">For the </w:t>
      </w:r>
      <w:r w:rsidR="0019460C">
        <w:rPr>
          <w:color w:val="000000" w:themeColor="text1"/>
          <w:lang w:val="en-US"/>
        </w:rPr>
        <w:t>Respondents</w:t>
      </w:r>
      <w:r w:rsidR="006D4ECF">
        <w:rPr>
          <w:color w:val="000000" w:themeColor="text1"/>
          <w:lang w:val="en-US"/>
        </w:rPr>
        <w:t xml:space="preserve"> </w:t>
      </w:r>
      <w:r w:rsidRPr="007D4734">
        <w:rPr>
          <w:color w:val="000000" w:themeColor="text1"/>
          <w:lang w:val="en-US"/>
        </w:rPr>
        <w:t xml:space="preserve">Ms Bloom, relaying information from Mr </w:t>
      </w:r>
      <w:proofErr w:type="spellStart"/>
      <w:r w:rsidRPr="007D4734">
        <w:rPr>
          <w:color w:val="000000" w:themeColor="text1"/>
          <w:lang w:val="en-US"/>
        </w:rPr>
        <w:t>Tchernenko</w:t>
      </w:r>
      <w:proofErr w:type="spellEnd"/>
      <w:r w:rsidRPr="007D4734">
        <w:rPr>
          <w:color w:val="000000" w:themeColor="text1"/>
          <w:lang w:val="en-US"/>
        </w:rPr>
        <w:t xml:space="preserve">, points to the row under “Short-term liabilities” named “Borrowed funds” as the interest owed on borrowed funds, which was 90,351,000 </w:t>
      </w:r>
      <w:proofErr w:type="spellStart"/>
      <w:r w:rsidRPr="007D4734">
        <w:rPr>
          <w:color w:val="000000" w:themeColor="text1"/>
          <w:lang w:val="en-US"/>
        </w:rPr>
        <w:t>roubles</w:t>
      </w:r>
      <w:proofErr w:type="spellEnd"/>
      <w:r w:rsidRPr="007D4734">
        <w:rPr>
          <w:color w:val="000000" w:themeColor="text1"/>
          <w:lang w:val="en-US"/>
        </w:rPr>
        <w:t>. Mr Fenwick’s rejoinder was that if that is indeed the interest accruing on borrowed funds, it has not been paid to the lender</w:t>
      </w:r>
      <w:r w:rsidR="00B81836">
        <w:rPr>
          <w:color w:val="000000" w:themeColor="text1"/>
          <w:lang w:val="en-US"/>
        </w:rPr>
        <w:t xml:space="preserve"> as it does not appear in the relevant lines of the cash flow </w:t>
      </w:r>
      <w:r w:rsidR="005C4CB0">
        <w:rPr>
          <w:color w:val="000000" w:themeColor="text1"/>
          <w:lang w:val="en-US"/>
        </w:rPr>
        <w:t>statement</w:t>
      </w:r>
      <w:r w:rsidRPr="007D4734">
        <w:rPr>
          <w:color w:val="000000" w:themeColor="text1"/>
          <w:lang w:val="en-US"/>
        </w:rPr>
        <w:t>, which is again indicative of “non-standard finance”.</w:t>
      </w:r>
    </w:p>
    <w:p w14:paraId="0C0DB7D6" w14:textId="6F96A53B" w:rsidR="00995E4E" w:rsidRDefault="00617126" w:rsidP="007D4734">
      <w:pPr>
        <w:pStyle w:val="BodyText"/>
        <w:rPr>
          <w:color w:val="000000" w:themeColor="text1"/>
          <w:lang w:val="en-US"/>
        </w:rPr>
      </w:pPr>
      <w:r>
        <w:rPr>
          <w:color w:val="000000" w:themeColor="text1"/>
          <w:lang w:val="en-US"/>
        </w:rPr>
        <w:t>To meet this point</w:t>
      </w:r>
      <w:r w:rsidR="007D4734" w:rsidRPr="007D4734">
        <w:rPr>
          <w:color w:val="000000" w:themeColor="text1"/>
          <w:lang w:val="en-US"/>
        </w:rPr>
        <w:t xml:space="preserve">, Mr Randolph took us to the next page of the balance sheet which contains a row named “Interest payable”. </w:t>
      </w:r>
      <w:r w:rsidR="005C4CB0">
        <w:rPr>
          <w:color w:val="000000" w:themeColor="text1"/>
          <w:lang w:val="en-US"/>
        </w:rPr>
        <w:t>But</w:t>
      </w:r>
      <w:r w:rsidR="009A5518">
        <w:rPr>
          <w:color w:val="000000" w:themeColor="text1"/>
          <w:lang w:val="en-US"/>
        </w:rPr>
        <w:t>,</w:t>
      </w:r>
      <w:r w:rsidR="005C4CB0">
        <w:rPr>
          <w:color w:val="000000" w:themeColor="text1"/>
          <w:lang w:val="en-US"/>
        </w:rPr>
        <w:t xml:space="preserve"> as is perhaps apparent from this account</w:t>
      </w:r>
      <w:r w:rsidR="009A5518">
        <w:rPr>
          <w:color w:val="000000" w:themeColor="text1"/>
          <w:lang w:val="en-US"/>
        </w:rPr>
        <w:t>,</w:t>
      </w:r>
      <w:r w:rsidR="005C4CB0">
        <w:rPr>
          <w:color w:val="000000" w:themeColor="text1"/>
          <w:lang w:val="en-US"/>
        </w:rPr>
        <w:t xml:space="preserve"> in evidential terms that was hardly helpful. </w:t>
      </w:r>
      <w:r w:rsidR="007D4734" w:rsidRPr="007D4734">
        <w:rPr>
          <w:color w:val="000000" w:themeColor="text1"/>
          <w:lang w:val="en-US"/>
        </w:rPr>
        <w:t xml:space="preserve">It is unclear what the figure of 27,928,000 </w:t>
      </w:r>
      <w:proofErr w:type="spellStart"/>
      <w:r w:rsidR="007D4734" w:rsidRPr="007D4734">
        <w:rPr>
          <w:color w:val="000000" w:themeColor="text1"/>
          <w:lang w:val="en-US"/>
        </w:rPr>
        <w:t>roubles</w:t>
      </w:r>
      <w:proofErr w:type="spellEnd"/>
      <w:r w:rsidR="007D4734" w:rsidRPr="007D4734">
        <w:rPr>
          <w:color w:val="000000" w:themeColor="text1"/>
          <w:lang w:val="en-US"/>
        </w:rPr>
        <w:t xml:space="preserve"> in that row indicates. It was not referred to in Ms Bloom’s witness statement and the figure does not match that said to be interest owed on borrowed funds. When asked whether the evidence was incomplete or incorrect, Mr Randolph replied that “</w:t>
      </w:r>
      <w:r w:rsidR="007D4734" w:rsidRPr="00617126">
        <w:rPr>
          <w:i/>
          <w:iCs/>
          <w:color w:val="000000" w:themeColor="text1"/>
          <w:lang w:val="en-US"/>
        </w:rPr>
        <w:t>Ms Bloom is entirely correct</w:t>
      </w:r>
      <w:r w:rsidR="007D4734" w:rsidRPr="007D4734">
        <w:rPr>
          <w:color w:val="000000" w:themeColor="text1"/>
          <w:lang w:val="en-US"/>
        </w:rPr>
        <w:t xml:space="preserve">” that the </w:t>
      </w:r>
      <w:proofErr w:type="gramStart"/>
      <w:r w:rsidR="007D4734" w:rsidRPr="007D4734">
        <w:rPr>
          <w:color w:val="000000" w:themeColor="text1"/>
          <w:lang w:val="en-US"/>
        </w:rPr>
        <w:t xml:space="preserve">90,351,000 </w:t>
      </w:r>
      <w:proofErr w:type="spellStart"/>
      <w:r w:rsidR="007D4734" w:rsidRPr="007D4734">
        <w:rPr>
          <w:color w:val="000000" w:themeColor="text1"/>
          <w:lang w:val="en-US"/>
        </w:rPr>
        <w:t>rouble</w:t>
      </w:r>
      <w:proofErr w:type="spellEnd"/>
      <w:proofErr w:type="gramEnd"/>
      <w:r w:rsidR="007D4734" w:rsidRPr="007D4734">
        <w:rPr>
          <w:color w:val="000000" w:themeColor="text1"/>
          <w:lang w:val="en-US"/>
        </w:rPr>
        <w:t xml:space="preserve"> figure reflects the interest owed, but the 27,928,000 </w:t>
      </w:r>
      <w:proofErr w:type="spellStart"/>
      <w:r w:rsidR="007D4734" w:rsidRPr="007D4734">
        <w:rPr>
          <w:color w:val="000000" w:themeColor="text1"/>
          <w:lang w:val="en-US"/>
        </w:rPr>
        <w:t>rouble</w:t>
      </w:r>
      <w:proofErr w:type="spellEnd"/>
      <w:r w:rsidR="007D4734" w:rsidRPr="007D4734">
        <w:rPr>
          <w:color w:val="000000" w:themeColor="text1"/>
          <w:lang w:val="en-US"/>
        </w:rPr>
        <w:t xml:space="preserve"> figure is the interest “actually paid or payable”. </w:t>
      </w:r>
    </w:p>
    <w:p w14:paraId="20931921" w14:textId="0195B3EF" w:rsidR="007D4734" w:rsidRPr="007D4734" w:rsidRDefault="007D4734" w:rsidP="007D4734">
      <w:pPr>
        <w:pStyle w:val="BodyText"/>
        <w:rPr>
          <w:color w:val="000000" w:themeColor="text1"/>
          <w:lang w:val="en-US"/>
        </w:rPr>
      </w:pPr>
      <w:r w:rsidRPr="007D4734">
        <w:rPr>
          <w:color w:val="000000" w:themeColor="text1"/>
          <w:lang w:val="en-US"/>
        </w:rPr>
        <w:t xml:space="preserve">As we noted in the hearing, however, </w:t>
      </w:r>
      <w:r w:rsidR="00292DC7">
        <w:rPr>
          <w:color w:val="000000" w:themeColor="text1"/>
          <w:lang w:val="en-US"/>
        </w:rPr>
        <w:t xml:space="preserve">that is not the point reflected in the evidence. </w:t>
      </w:r>
      <w:r w:rsidRPr="007D4734">
        <w:rPr>
          <w:color w:val="000000" w:themeColor="text1"/>
          <w:lang w:val="en-US"/>
        </w:rPr>
        <w:t xml:space="preserve">VPB were on notice that Mr Bedzhamov was taking issue with this aspect of the balance sheet since at least 26 January 2024. Despite that, there is no evidence before us as to the meaning of the “Interest payable” figure. Furthermore, Mr Fenwick is right to say that even assuming “Interest payable” to mean what it says, that is distinct from interest actually paid, which may be indicated by the nil figure under “Interest on debt obligations”. This interpretation of the numbers also roughly accords with the increase in interest accrued under “Short-term liabilities” by 27,929,000 </w:t>
      </w:r>
      <w:proofErr w:type="spellStart"/>
      <w:r w:rsidRPr="007D4734">
        <w:rPr>
          <w:color w:val="000000" w:themeColor="text1"/>
          <w:lang w:val="en-US"/>
        </w:rPr>
        <w:t>roubles</w:t>
      </w:r>
      <w:proofErr w:type="spellEnd"/>
      <w:r w:rsidRPr="007D4734">
        <w:rPr>
          <w:color w:val="000000" w:themeColor="text1"/>
          <w:lang w:val="en-US"/>
        </w:rPr>
        <w:t xml:space="preserve"> from 2020 to 2021, </w:t>
      </w:r>
      <w:proofErr w:type="gramStart"/>
      <w:r w:rsidRPr="007D4734">
        <w:rPr>
          <w:color w:val="000000" w:themeColor="text1"/>
          <w:lang w:val="en-US"/>
        </w:rPr>
        <w:t>i.e.</w:t>
      </w:r>
      <w:proofErr w:type="gramEnd"/>
      <w:r w:rsidRPr="007D4734">
        <w:rPr>
          <w:color w:val="000000" w:themeColor="text1"/>
          <w:lang w:val="en-US"/>
        </w:rPr>
        <w:t xml:space="preserve"> the liability to pay interest increased by the full amount, which </w:t>
      </w:r>
      <w:r w:rsidR="002C21DA">
        <w:rPr>
          <w:color w:val="000000" w:themeColor="text1"/>
          <w:lang w:val="en-US"/>
        </w:rPr>
        <w:t>suggests</w:t>
      </w:r>
      <w:r w:rsidRPr="007D4734">
        <w:rPr>
          <w:color w:val="000000" w:themeColor="text1"/>
          <w:lang w:val="en-US"/>
        </w:rPr>
        <w:t xml:space="preserve"> that no interest was in fact paid out. It does not aid VPB’s case if the interest simply accrues on A1’s balance sheet without A1 actually paying any money to its lenders. In these circumstances, we </w:t>
      </w:r>
      <w:r w:rsidR="0080102D">
        <w:rPr>
          <w:color w:val="000000" w:themeColor="text1"/>
          <w:lang w:val="en-US"/>
        </w:rPr>
        <w:t xml:space="preserve">feel unable to </w:t>
      </w:r>
      <w:r w:rsidRPr="007D4734">
        <w:rPr>
          <w:color w:val="000000" w:themeColor="text1"/>
          <w:lang w:val="en-US"/>
        </w:rPr>
        <w:t>place weight on Mr Randolph’s explanation.</w:t>
      </w:r>
    </w:p>
    <w:p w14:paraId="40854AD8" w14:textId="2EC32B04" w:rsidR="003D358D" w:rsidRPr="00FC036A" w:rsidRDefault="00E161C4" w:rsidP="00FC036A">
      <w:pPr>
        <w:pStyle w:val="BodyText"/>
        <w:rPr>
          <w:color w:val="000000" w:themeColor="text1"/>
        </w:rPr>
      </w:pPr>
      <w:r>
        <w:rPr>
          <w:color w:val="000000" w:themeColor="text1"/>
        </w:rPr>
        <w:t>There are other issues with the financial documents. For example</w:t>
      </w:r>
      <w:r w:rsidR="003D358D" w:rsidRPr="00FC036A">
        <w:rPr>
          <w:color w:val="000000" w:themeColor="text1"/>
        </w:rPr>
        <w:t xml:space="preserve">, A1 Management Company LLC appears to have received £2.7 million by way of </w:t>
      </w:r>
      <w:r w:rsidR="003D358D" w:rsidRPr="00C128AE">
        <w:rPr>
          <w:i/>
          <w:iCs/>
          <w:color w:val="000000" w:themeColor="text1"/>
        </w:rPr>
        <w:t>“dividends, interest on debt financial investments and similar income from equity participation in other organisations”</w:t>
      </w:r>
      <w:r w:rsidR="003D358D" w:rsidRPr="00FC036A">
        <w:rPr>
          <w:color w:val="000000" w:themeColor="text1"/>
        </w:rPr>
        <w:t xml:space="preserve">, </w:t>
      </w:r>
      <w:proofErr w:type="gramStart"/>
      <w:r w:rsidR="003D358D" w:rsidRPr="00FC036A">
        <w:rPr>
          <w:color w:val="000000" w:themeColor="text1"/>
        </w:rPr>
        <w:t>e.g.</w:t>
      </w:r>
      <w:proofErr w:type="gramEnd"/>
      <w:r w:rsidR="003D358D" w:rsidRPr="00FC036A">
        <w:rPr>
          <w:color w:val="000000" w:themeColor="text1"/>
        </w:rPr>
        <w:t xml:space="preserve"> from its subsidiaries, in 2021.  </w:t>
      </w:r>
      <w:r w:rsidR="00C128AE">
        <w:rPr>
          <w:color w:val="000000" w:themeColor="text1"/>
        </w:rPr>
        <w:t>The evidence before us suggests</w:t>
      </w:r>
      <w:r w:rsidR="003D358D" w:rsidRPr="00FC036A">
        <w:rPr>
          <w:color w:val="000000" w:themeColor="text1"/>
        </w:rPr>
        <w:t xml:space="preserve"> that the only subsidiary that was capable from making such a payment was A1, but it is not possible to discern how these payments were made from the A1 Balance Sheet.  Ms Bloom says she is advised by Mr </w:t>
      </w:r>
      <w:proofErr w:type="spellStart"/>
      <w:r w:rsidR="003D358D" w:rsidRPr="00FC036A">
        <w:rPr>
          <w:color w:val="000000" w:themeColor="text1"/>
        </w:rPr>
        <w:t>Tchernenko</w:t>
      </w:r>
      <w:proofErr w:type="spellEnd"/>
      <w:r w:rsidR="003D358D" w:rsidRPr="00FC036A">
        <w:rPr>
          <w:color w:val="000000" w:themeColor="text1"/>
        </w:rPr>
        <w:t xml:space="preserve"> that this analysis is wrong, and this is supported by a report from “</w:t>
      </w:r>
      <w:proofErr w:type="spellStart"/>
      <w:r w:rsidR="003D358D" w:rsidRPr="00FC036A">
        <w:rPr>
          <w:color w:val="000000" w:themeColor="text1"/>
        </w:rPr>
        <w:t>Finexpertiza</w:t>
      </w:r>
      <w:proofErr w:type="spellEnd"/>
      <w:r w:rsidR="003D358D" w:rsidRPr="00FC036A">
        <w:rPr>
          <w:color w:val="000000" w:themeColor="text1"/>
        </w:rPr>
        <w:t xml:space="preserve">”, who she is instructed are A1’s auditors. However, this report simply serves to confirm the discrepancy between the accounts of A1 (which was unable to pay dividends as a loss-making entity) and the accounts of its parent </w:t>
      </w:r>
      <w:r w:rsidR="003D358D" w:rsidRPr="00FC036A">
        <w:rPr>
          <w:color w:val="000000" w:themeColor="text1"/>
        </w:rPr>
        <w:lastRenderedPageBreak/>
        <w:t xml:space="preserve">company A1 Group Management LLC (which reported receiving a dividend that could only have come from A1). </w:t>
      </w:r>
    </w:p>
    <w:p w14:paraId="2220CE2E" w14:textId="2617131F" w:rsidR="00C15E34" w:rsidRPr="00C15E34" w:rsidRDefault="00C15E34" w:rsidP="00195E7B">
      <w:pPr>
        <w:pStyle w:val="BodyText"/>
        <w:rPr>
          <w:color w:val="000000" w:themeColor="text1"/>
          <w:lang w:val="en-US"/>
        </w:rPr>
      </w:pPr>
      <w:r>
        <w:rPr>
          <w:color w:val="000000" w:themeColor="text1"/>
        </w:rPr>
        <w:t xml:space="preserve">The other document to which we should refer is </w:t>
      </w:r>
      <w:r w:rsidRPr="004F071C">
        <w:rPr>
          <w:color w:val="000000" w:themeColor="text1"/>
        </w:rPr>
        <w:t>a very short letter from Baker Tilly Legal Rus JSC dated 10 October 2022</w:t>
      </w:r>
      <w:r w:rsidR="00370B5D">
        <w:rPr>
          <w:color w:val="000000" w:themeColor="text1"/>
        </w:rPr>
        <w:t xml:space="preserve"> which is said to verify the valuation of A1 for sale</w:t>
      </w:r>
      <w:r w:rsidRPr="004F071C">
        <w:rPr>
          <w:color w:val="000000" w:themeColor="text1"/>
        </w:rPr>
        <w:t xml:space="preserve">. In full, the letter </w:t>
      </w:r>
      <w:r w:rsidR="005B6AC0">
        <w:rPr>
          <w:color w:val="000000" w:themeColor="text1"/>
        </w:rPr>
        <w:t xml:space="preserve">(addressed to Mr </w:t>
      </w:r>
      <w:r w:rsidR="00DC1034">
        <w:rPr>
          <w:color w:val="000000" w:themeColor="text1"/>
        </w:rPr>
        <w:t>Fayn</w:t>
      </w:r>
      <w:r w:rsidR="005B6AC0">
        <w:rPr>
          <w:color w:val="000000" w:themeColor="text1"/>
        </w:rPr>
        <w:t>)</w:t>
      </w:r>
      <w:r w:rsidR="00A60D75">
        <w:rPr>
          <w:color w:val="000000" w:themeColor="text1"/>
        </w:rPr>
        <w:t xml:space="preserve"> </w:t>
      </w:r>
      <w:r w:rsidRPr="004F071C">
        <w:rPr>
          <w:color w:val="000000" w:themeColor="text1"/>
        </w:rPr>
        <w:t>states: “</w:t>
      </w:r>
      <w:r w:rsidRPr="004F071C">
        <w:rPr>
          <w:i/>
          <w:iCs/>
          <w:color w:val="000000" w:themeColor="text1"/>
        </w:rPr>
        <w:t xml:space="preserve">In response to your inquiry dated 05 October 2022 (hereafter, Inquiry), we inform you that having performed our in-depth valuation analysis we can conclude, that the price paid for the sale of 100% stake in Al LLC indicated in the Inquiry is above its market value of 1.00 </w:t>
      </w:r>
      <w:proofErr w:type="spellStart"/>
      <w:r w:rsidRPr="004F071C">
        <w:rPr>
          <w:i/>
          <w:iCs/>
          <w:color w:val="000000" w:themeColor="text1"/>
        </w:rPr>
        <w:t>ruble</w:t>
      </w:r>
      <w:proofErr w:type="spellEnd"/>
      <w:r w:rsidRPr="004F071C">
        <w:rPr>
          <w:i/>
          <w:iCs/>
          <w:color w:val="000000" w:themeColor="text1"/>
        </w:rPr>
        <w:t>.</w:t>
      </w:r>
      <w:r w:rsidRPr="004F071C">
        <w:rPr>
          <w:color w:val="000000" w:themeColor="text1"/>
        </w:rPr>
        <w:t>” No information is provided as to how that valuation was arrived at</w:t>
      </w:r>
      <w:r w:rsidR="00A60D75">
        <w:rPr>
          <w:color w:val="000000" w:themeColor="text1"/>
        </w:rPr>
        <w:t xml:space="preserve"> or of what the “in depth valuation analysis” comprised</w:t>
      </w:r>
      <w:r w:rsidR="00021EDD">
        <w:rPr>
          <w:color w:val="000000" w:themeColor="text1"/>
        </w:rPr>
        <w:t xml:space="preserve"> – although on the face of it</w:t>
      </w:r>
      <w:r w:rsidR="003617AE">
        <w:rPr>
          <w:color w:val="000000" w:themeColor="text1"/>
        </w:rPr>
        <w:t>,</w:t>
      </w:r>
      <w:r w:rsidR="00021EDD">
        <w:rPr>
          <w:color w:val="000000" w:themeColor="text1"/>
        </w:rPr>
        <w:t xml:space="preserve"> it appears to have been conducted in somewhat under five days – part of which was the weekend</w:t>
      </w:r>
      <w:r w:rsidRPr="004F071C">
        <w:rPr>
          <w:color w:val="000000" w:themeColor="text1"/>
        </w:rPr>
        <w:t xml:space="preserve">. </w:t>
      </w:r>
      <w:r w:rsidR="00DC1034">
        <w:rPr>
          <w:color w:val="000000" w:themeColor="text1"/>
        </w:rPr>
        <w:t>In those circumstances we are also unable to place any real weight on this document.</w:t>
      </w:r>
    </w:p>
    <w:p w14:paraId="0E7EC906" w14:textId="5E6E252D" w:rsidR="00195E7B" w:rsidRPr="008966F3" w:rsidRDefault="008841E6" w:rsidP="00195E7B">
      <w:pPr>
        <w:pStyle w:val="BodyText"/>
        <w:rPr>
          <w:color w:val="000000" w:themeColor="text1"/>
          <w:lang w:val="en-US"/>
        </w:rPr>
      </w:pPr>
      <w:r>
        <w:rPr>
          <w:color w:val="000000" w:themeColor="text1"/>
        </w:rPr>
        <w:t>It follows from the above that we do conclude that the evidence on the financial position of A1</w:t>
      </w:r>
      <w:r w:rsidR="0050553B">
        <w:rPr>
          <w:color w:val="000000" w:themeColor="text1"/>
        </w:rPr>
        <w:t xml:space="preserve"> </w:t>
      </w:r>
      <w:r w:rsidR="008F6DFA">
        <w:rPr>
          <w:color w:val="000000" w:themeColor="text1"/>
        </w:rPr>
        <w:t>is such as to provide some basis for</w:t>
      </w:r>
      <w:r w:rsidR="00C55E41">
        <w:rPr>
          <w:color w:val="000000" w:themeColor="text1"/>
        </w:rPr>
        <w:t xml:space="preserve"> concluding that the sale was not an arms</w:t>
      </w:r>
      <w:r w:rsidR="00FE5BC7">
        <w:rPr>
          <w:color w:val="000000" w:themeColor="text1"/>
        </w:rPr>
        <w:t>’</w:t>
      </w:r>
      <w:r w:rsidR="00C55E41">
        <w:rPr>
          <w:color w:val="000000" w:themeColor="text1"/>
        </w:rPr>
        <w:t xml:space="preserve"> length commercial sale.</w:t>
      </w:r>
      <w:r w:rsidR="0050553B">
        <w:rPr>
          <w:color w:val="000000" w:themeColor="text1"/>
        </w:rPr>
        <w:t xml:space="preserve"> </w:t>
      </w:r>
    </w:p>
    <w:p w14:paraId="22CFBAB8" w14:textId="2F8A07F5" w:rsidR="008966F3" w:rsidRPr="008966F3" w:rsidRDefault="008966F3" w:rsidP="008966F3">
      <w:pPr>
        <w:pStyle w:val="Heading3"/>
        <w:rPr>
          <w:lang w:val="en-US"/>
        </w:rPr>
      </w:pPr>
      <w:r>
        <w:t>The Declarations</w:t>
      </w:r>
    </w:p>
    <w:p w14:paraId="11341919" w14:textId="00222D9A" w:rsidR="003D6998" w:rsidRDefault="008966F3" w:rsidP="003922A2">
      <w:pPr>
        <w:pStyle w:val="BodyText"/>
        <w:rPr>
          <w:color w:val="000000" w:themeColor="text1"/>
          <w:lang w:val="en-US"/>
        </w:rPr>
      </w:pPr>
      <w:r>
        <w:rPr>
          <w:lang w:val="en-US"/>
        </w:rPr>
        <w:t xml:space="preserve">It is suggested by </w:t>
      </w:r>
      <w:r w:rsidR="00055466">
        <w:rPr>
          <w:lang w:val="en-US"/>
        </w:rPr>
        <w:t>Mr Bedzhamov</w:t>
      </w:r>
      <w:r>
        <w:rPr>
          <w:lang w:val="en-US"/>
        </w:rPr>
        <w:t xml:space="preserve"> that </w:t>
      </w:r>
      <w:r w:rsidR="003922A2">
        <w:rPr>
          <w:lang w:val="en-US"/>
        </w:rPr>
        <w:t>the grounds for suspicion</w:t>
      </w:r>
      <w:r w:rsidR="00C55E41">
        <w:rPr>
          <w:lang w:val="en-US"/>
        </w:rPr>
        <w:t xml:space="preserve"> thus far accumulated</w:t>
      </w:r>
      <w:r w:rsidR="003922A2">
        <w:rPr>
          <w:lang w:val="en-US"/>
        </w:rPr>
        <w:t xml:space="preserve"> are </w:t>
      </w:r>
      <w:r w:rsidR="00C55E41">
        <w:rPr>
          <w:lang w:val="en-US"/>
        </w:rPr>
        <w:t>further</w:t>
      </w:r>
      <w:r w:rsidR="003922A2">
        <w:rPr>
          <w:lang w:val="en-US"/>
        </w:rPr>
        <w:t xml:space="preserve"> amplified by the position on the declarations which have been given. Specifically, </w:t>
      </w:r>
      <w:r w:rsidR="003922A2" w:rsidRPr="003922A2">
        <w:rPr>
          <w:color w:val="000000" w:themeColor="text1"/>
          <w:lang w:val="en-US"/>
        </w:rPr>
        <w:t>Ms Bloom exhibits largely identical declarations by Mr Fridman, Mr Khan, Mr Kuzmichev, and Mr Kosogov made in June or July 2022 stating</w:t>
      </w:r>
      <w:r w:rsidR="003D6998">
        <w:rPr>
          <w:color w:val="000000" w:themeColor="text1"/>
          <w:lang w:val="en-US"/>
        </w:rPr>
        <w:t>:</w:t>
      </w:r>
    </w:p>
    <w:p w14:paraId="303D2EFB" w14:textId="74AA0D06" w:rsidR="003D6998" w:rsidRPr="003D6998" w:rsidRDefault="003D6998" w:rsidP="003D6998">
      <w:pPr>
        <w:pStyle w:val="Quote"/>
        <w:rPr>
          <w:lang w:val="en-US"/>
        </w:rPr>
      </w:pPr>
      <w:r w:rsidRPr="003D6998">
        <w:rPr>
          <w:lang w:val="en-US"/>
        </w:rPr>
        <w:t>“I [name of seller] am writing to set out various matters relating to my previous beneficial ownership of shares in A1 LLC… and the consequences of their sale to Mr Alexandr</w:t>
      </w:r>
      <w:r w:rsidR="00D33765">
        <w:rPr>
          <w:lang w:val="en-US"/>
        </w:rPr>
        <w:t>e</w:t>
      </w:r>
      <w:r w:rsidRPr="003D6998">
        <w:rPr>
          <w:lang w:val="en-US"/>
        </w:rPr>
        <w:t xml:space="preserve"> Fayn on 22 March as follows:</w:t>
      </w:r>
    </w:p>
    <w:p w14:paraId="364016B2" w14:textId="77777777" w:rsidR="003D6998" w:rsidRPr="003D6998" w:rsidRDefault="003D6998" w:rsidP="003D6998">
      <w:pPr>
        <w:pStyle w:val="Quote"/>
        <w:rPr>
          <w:lang w:val="en-US"/>
        </w:rPr>
      </w:pPr>
      <w:r w:rsidRPr="003D6998">
        <w:rPr>
          <w:lang w:val="en-US"/>
        </w:rPr>
        <w:t>1.</w:t>
      </w:r>
      <w:r w:rsidRPr="003D6998">
        <w:rPr>
          <w:lang w:val="en-US"/>
        </w:rPr>
        <w:tab/>
        <w:t>I do not retain any shares in A1 LLC.</w:t>
      </w:r>
    </w:p>
    <w:p w14:paraId="53B37764" w14:textId="77777777" w:rsidR="003D6998" w:rsidRPr="003D6998" w:rsidRDefault="003D6998" w:rsidP="003D6998">
      <w:pPr>
        <w:pStyle w:val="Quote"/>
        <w:rPr>
          <w:lang w:val="en-US"/>
        </w:rPr>
      </w:pPr>
      <w:r w:rsidRPr="003D6998">
        <w:rPr>
          <w:lang w:val="en-US"/>
        </w:rPr>
        <w:t>2.</w:t>
      </w:r>
      <w:r w:rsidRPr="003D6998">
        <w:rPr>
          <w:lang w:val="en-US"/>
        </w:rPr>
        <w:tab/>
        <w:t>I do not have any legal beneficial interest in A1 LLC.</w:t>
      </w:r>
    </w:p>
    <w:p w14:paraId="26F8112B" w14:textId="77777777" w:rsidR="003D6998" w:rsidRPr="003D6998" w:rsidRDefault="003D6998" w:rsidP="003D6998">
      <w:pPr>
        <w:pStyle w:val="Quote"/>
        <w:rPr>
          <w:lang w:val="en-US"/>
        </w:rPr>
      </w:pPr>
      <w:r w:rsidRPr="003D6998">
        <w:rPr>
          <w:lang w:val="en-US"/>
        </w:rPr>
        <w:t>3.</w:t>
      </w:r>
      <w:r w:rsidRPr="003D6998">
        <w:rPr>
          <w:lang w:val="en-US"/>
        </w:rPr>
        <w:tab/>
        <w:t>I do not exercise any control, directly or indirectly, over Mr Alexandre Fayn or A1 LLC.</w:t>
      </w:r>
    </w:p>
    <w:p w14:paraId="15B7704C" w14:textId="77777777" w:rsidR="003D6998" w:rsidRPr="003D6998" w:rsidRDefault="003D6998" w:rsidP="003D6998">
      <w:pPr>
        <w:pStyle w:val="Quote"/>
        <w:rPr>
          <w:lang w:val="en-US"/>
        </w:rPr>
      </w:pPr>
      <w:r w:rsidRPr="003D6998">
        <w:rPr>
          <w:lang w:val="en-US"/>
        </w:rPr>
        <w:t>4.</w:t>
      </w:r>
      <w:r w:rsidRPr="003D6998">
        <w:rPr>
          <w:lang w:val="en-US"/>
        </w:rPr>
        <w:tab/>
        <w:t>I do not have any commercial dealings with A1 LLC.</w:t>
      </w:r>
    </w:p>
    <w:p w14:paraId="2C9864BC" w14:textId="0C2C2A41" w:rsidR="003D6998" w:rsidRDefault="003D6998" w:rsidP="003D6998">
      <w:pPr>
        <w:pStyle w:val="Quote"/>
        <w:rPr>
          <w:lang w:val="en-US"/>
        </w:rPr>
      </w:pPr>
      <w:r w:rsidRPr="003D6998">
        <w:rPr>
          <w:lang w:val="en-US"/>
        </w:rPr>
        <w:t>5.</w:t>
      </w:r>
      <w:r w:rsidRPr="003D6998">
        <w:rPr>
          <w:lang w:val="en-US"/>
        </w:rPr>
        <w:tab/>
        <w:t>I am not entitled to any money from A1 LLC or Mr Alexander Fayn by reference to my shareholding or subsequent disposal of those shares.”</w:t>
      </w:r>
    </w:p>
    <w:p w14:paraId="53811F01" w14:textId="155DAC59" w:rsidR="003922A2" w:rsidRPr="003922A2" w:rsidRDefault="003922A2" w:rsidP="003922A2">
      <w:pPr>
        <w:pStyle w:val="BodyText"/>
        <w:rPr>
          <w:color w:val="000000" w:themeColor="text1"/>
          <w:lang w:val="en-US"/>
        </w:rPr>
      </w:pPr>
      <w:r w:rsidRPr="003922A2">
        <w:rPr>
          <w:color w:val="000000" w:themeColor="text1"/>
          <w:lang w:val="en-US"/>
        </w:rPr>
        <w:t xml:space="preserve">Later, a second set of declarations by Mr Fridman, Mr Khan, and Mr Kosogov with different wording but to the same effect were exhibited. These were made between 28 February 2023 and 1 March 2023. </w:t>
      </w:r>
    </w:p>
    <w:p w14:paraId="69F30F17" w14:textId="77777777" w:rsidR="00FE5BC7" w:rsidRDefault="00055466" w:rsidP="009F5213">
      <w:pPr>
        <w:pStyle w:val="BodyText"/>
        <w:rPr>
          <w:color w:val="000000" w:themeColor="text1"/>
          <w:lang w:val="en-US"/>
        </w:rPr>
      </w:pPr>
      <w:r>
        <w:rPr>
          <w:color w:val="000000" w:themeColor="text1"/>
          <w:lang w:val="en-US"/>
        </w:rPr>
        <w:t>Mr Bedzhamov</w:t>
      </w:r>
      <w:r w:rsidR="009F5213">
        <w:rPr>
          <w:color w:val="000000" w:themeColor="text1"/>
          <w:lang w:val="en-US"/>
        </w:rPr>
        <w:t xml:space="preserve"> contends that t</w:t>
      </w:r>
      <w:r w:rsidR="009F5213" w:rsidRPr="009F5213">
        <w:rPr>
          <w:color w:val="000000" w:themeColor="text1"/>
          <w:lang w:val="en-US"/>
        </w:rPr>
        <w:t xml:space="preserve">he declarations and their terms suggest an agreement and understanding between </w:t>
      </w:r>
      <w:r w:rsidR="009F5213">
        <w:rPr>
          <w:color w:val="000000" w:themeColor="text1"/>
          <w:lang w:val="en-US"/>
        </w:rPr>
        <w:t>the Founders</w:t>
      </w:r>
      <w:r w:rsidR="009F5213" w:rsidRPr="009F5213">
        <w:rPr>
          <w:color w:val="000000" w:themeColor="text1"/>
          <w:lang w:val="en-US"/>
        </w:rPr>
        <w:t xml:space="preserve"> </w:t>
      </w:r>
      <w:r w:rsidR="009235FC">
        <w:rPr>
          <w:color w:val="000000" w:themeColor="text1"/>
          <w:lang w:val="en-US"/>
        </w:rPr>
        <w:t xml:space="preserve">which reinforces the evidence </w:t>
      </w:r>
      <w:r w:rsidR="009F5213" w:rsidRPr="009F5213">
        <w:rPr>
          <w:color w:val="000000" w:themeColor="text1"/>
          <w:lang w:val="en-US"/>
        </w:rPr>
        <w:t xml:space="preserve">that they would </w:t>
      </w:r>
      <w:r w:rsidR="00711CE8">
        <w:rPr>
          <w:color w:val="000000" w:themeColor="text1"/>
          <w:lang w:val="en-US"/>
        </w:rPr>
        <w:t xml:space="preserve">appear to </w:t>
      </w:r>
      <w:r w:rsidR="009F5213" w:rsidRPr="009F5213">
        <w:rPr>
          <w:color w:val="000000" w:themeColor="text1"/>
          <w:lang w:val="en-US"/>
        </w:rPr>
        <w:t xml:space="preserve">dispose of their shares in A1 Holding to avoid that entity being majority owned by DPs. </w:t>
      </w:r>
    </w:p>
    <w:p w14:paraId="0EE840DE" w14:textId="2BC003EB" w:rsidR="00B53F18" w:rsidRDefault="00711CE8" w:rsidP="009F5213">
      <w:pPr>
        <w:pStyle w:val="BodyText"/>
        <w:rPr>
          <w:color w:val="000000" w:themeColor="text1"/>
          <w:lang w:val="en-US"/>
        </w:rPr>
      </w:pPr>
      <w:r>
        <w:rPr>
          <w:color w:val="000000" w:themeColor="text1"/>
          <w:lang w:val="en-US"/>
        </w:rPr>
        <w:lastRenderedPageBreak/>
        <w:t>Again</w:t>
      </w:r>
      <w:r w:rsidR="00DB28D6">
        <w:rPr>
          <w:color w:val="000000" w:themeColor="text1"/>
          <w:lang w:val="en-US"/>
        </w:rPr>
        <w:t>,</w:t>
      </w:r>
      <w:r>
        <w:rPr>
          <w:color w:val="000000" w:themeColor="text1"/>
          <w:lang w:val="en-US"/>
        </w:rPr>
        <w:t xml:space="preserve"> we understand the reason why this point is being run</w:t>
      </w:r>
      <w:r w:rsidR="00C4051F">
        <w:rPr>
          <w:color w:val="000000" w:themeColor="text1"/>
          <w:lang w:val="en-US"/>
        </w:rPr>
        <w:t>. However</w:t>
      </w:r>
      <w:r w:rsidR="00DB28D6">
        <w:rPr>
          <w:color w:val="000000" w:themeColor="text1"/>
          <w:lang w:val="en-US"/>
        </w:rPr>
        <w:t>,</w:t>
      </w:r>
      <w:r w:rsidR="00C4051F">
        <w:rPr>
          <w:color w:val="000000" w:themeColor="text1"/>
          <w:lang w:val="en-US"/>
        </w:rPr>
        <w:t xml:space="preserve"> the declarations should in our judgment fairly be evaluated again</w:t>
      </w:r>
      <w:r w:rsidR="00FE5BC7">
        <w:rPr>
          <w:color w:val="000000" w:themeColor="text1"/>
          <w:lang w:val="en-US"/>
        </w:rPr>
        <w:t>s</w:t>
      </w:r>
      <w:r w:rsidR="00C4051F">
        <w:rPr>
          <w:color w:val="000000" w:themeColor="text1"/>
          <w:lang w:val="en-US"/>
        </w:rPr>
        <w:t>t not just the facts of the disposals but also against the facts of the dispute. I</w:t>
      </w:r>
      <w:r w:rsidR="00F764F3">
        <w:rPr>
          <w:color w:val="000000" w:themeColor="text1"/>
          <w:lang w:val="en-US"/>
        </w:rPr>
        <w:t>n</w:t>
      </w:r>
      <w:r w:rsidR="00C4051F">
        <w:rPr>
          <w:color w:val="000000" w:themeColor="text1"/>
          <w:lang w:val="en-US"/>
        </w:rPr>
        <w:t xml:space="preserve"> those circumstances – in particula</w:t>
      </w:r>
      <w:r w:rsidR="00F764F3">
        <w:rPr>
          <w:color w:val="000000" w:themeColor="text1"/>
          <w:lang w:val="en-US"/>
        </w:rPr>
        <w:t>r where the question of sanctions had already been raised in the litigation a degree of co-ordination in responding to the case</w:t>
      </w:r>
      <w:r w:rsidR="00BF4878">
        <w:rPr>
          <w:color w:val="000000" w:themeColor="text1"/>
          <w:lang w:val="en-US"/>
        </w:rPr>
        <w:t xml:space="preserve"> is understandable and means that the evidence cannot be said to be such as would as opposed to could give rise to suspicion.</w:t>
      </w:r>
    </w:p>
    <w:p w14:paraId="3C878EC2" w14:textId="1A81ED12" w:rsidR="00B53F18" w:rsidRDefault="00B53F18" w:rsidP="00364C04">
      <w:pPr>
        <w:pStyle w:val="Heading3"/>
        <w:rPr>
          <w:lang w:val="en-US"/>
        </w:rPr>
      </w:pPr>
      <w:r>
        <w:rPr>
          <w:lang w:val="en-US"/>
        </w:rPr>
        <w:t>Failure to respond to enquiries</w:t>
      </w:r>
      <w:r w:rsidR="00364C04">
        <w:rPr>
          <w:lang w:val="en-US"/>
        </w:rPr>
        <w:t xml:space="preserve">/Lack of </w:t>
      </w:r>
      <w:proofErr w:type="spellStart"/>
      <w:proofErr w:type="gramStart"/>
      <w:r w:rsidR="00364C04">
        <w:rPr>
          <w:lang w:val="en-US"/>
        </w:rPr>
        <w:t>candour</w:t>
      </w:r>
      <w:proofErr w:type="spellEnd"/>
      <w:proofErr w:type="gramEnd"/>
    </w:p>
    <w:p w14:paraId="5A8A781F" w14:textId="4AF7EFE5" w:rsidR="009F5213" w:rsidRDefault="00055466" w:rsidP="00692543">
      <w:pPr>
        <w:pStyle w:val="BodyText"/>
        <w:rPr>
          <w:color w:val="000000" w:themeColor="text1"/>
          <w:lang w:val="en-US"/>
        </w:rPr>
      </w:pPr>
      <w:r w:rsidRPr="00EC790C">
        <w:rPr>
          <w:color w:val="000000" w:themeColor="text1"/>
          <w:lang w:val="en-US"/>
        </w:rPr>
        <w:t>Mr Bedzhamov</w:t>
      </w:r>
      <w:r w:rsidR="00B53F18" w:rsidRPr="00EC790C">
        <w:rPr>
          <w:color w:val="000000" w:themeColor="text1"/>
          <w:lang w:val="en-US"/>
        </w:rPr>
        <w:t xml:space="preserve"> also argues that</w:t>
      </w:r>
      <w:r w:rsidR="009F5213" w:rsidRPr="00EC790C">
        <w:rPr>
          <w:color w:val="000000" w:themeColor="text1"/>
          <w:lang w:val="en-US"/>
        </w:rPr>
        <w:t xml:space="preserve"> </w:t>
      </w:r>
      <w:r w:rsidR="00EC790C" w:rsidRPr="00EC790C">
        <w:rPr>
          <w:color w:val="000000" w:themeColor="text1"/>
          <w:lang w:val="en-US"/>
        </w:rPr>
        <w:t xml:space="preserve">there has been a general lack of </w:t>
      </w:r>
      <w:proofErr w:type="spellStart"/>
      <w:r w:rsidR="00EC790C" w:rsidRPr="00EC790C">
        <w:rPr>
          <w:color w:val="000000" w:themeColor="text1"/>
          <w:lang w:val="en-US"/>
        </w:rPr>
        <w:t>candour</w:t>
      </w:r>
      <w:proofErr w:type="spellEnd"/>
      <w:r w:rsidR="00EC790C" w:rsidRPr="00EC790C">
        <w:rPr>
          <w:color w:val="000000" w:themeColor="text1"/>
          <w:lang w:val="en-US"/>
        </w:rPr>
        <w:t xml:space="preserve"> and reluctance to provide information and that this including </w:t>
      </w:r>
      <w:r w:rsidR="009F5213" w:rsidRPr="00EC790C">
        <w:rPr>
          <w:color w:val="000000" w:themeColor="text1"/>
          <w:lang w:val="en-US"/>
        </w:rPr>
        <w:t>the refusal to provide basic information such as the date of the transfer and the sale price strongly supports the reasonable cause to suspect that this was not a bona fide share transfer</w:t>
      </w:r>
      <w:r w:rsidR="00DB5FFB" w:rsidRPr="00EC790C">
        <w:rPr>
          <w:color w:val="000000" w:themeColor="text1"/>
          <w:lang w:val="en-US"/>
        </w:rPr>
        <w:t>.</w:t>
      </w:r>
      <w:r w:rsidR="009F5213" w:rsidRPr="00EC790C">
        <w:rPr>
          <w:color w:val="000000" w:themeColor="text1"/>
          <w:lang w:val="en-US"/>
        </w:rPr>
        <w:t xml:space="preserve"> </w:t>
      </w:r>
    </w:p>
    <w:p w14:paraId="35CFBDA5" w14:textId="1055F30D" w:rsidR="00EC790C" w:rsidRPr="00EC790C" w:rsidRDefault="00EC790C" w:rsidP="00692543">
      <w:pPr>
        <w:pStyle w:val="BodyText"/>
        <w:rPr>
          <w:color w:val="000000" w:themeColor="text1"/>
          <w:lang w:val="en-US"/>
        </w:rPr>
      </w:pPr>
      <w:r>
        <w:rPr>
          <w:color w:val="000000" w:themeColor="text1"/>
          <w:lang w:val="en-US"/>
        </w:rPr>
        <w:t xml:space="preserve">As already </w:t>
      </w:r>
      <w:proofErr w:type="gramStart"/>
      <w:r>
        <w:rPr>
          <w:color w:val="000000" w:themeColor="text1"/>
          <w:lang w:val="en-US"/>
        </w:rPr>
        <w:t>noted</w:t>
      </w:r>
      <w:proofErr w:type="gramEnd"/>
      <w:r w:rsidR="00086437">
        <w:rPr>
          <w:color w:val="000000" w:themeColor="text1"/>
          <w:lang w:val="en-US"/>
        </w:rPr>
        <w:t xml:space="preserve"> we do consider that the approach to information provision aligns better with a non bona fide transfer; but we do not consider that it should properly be regarded as supportive evidence. We therefore do not take this into account in reaching our conclusion.</w:t>
      </w:r>
    </w:p>
    <w:p w14:paraId="3288FC59" w14:textId="41A2724F" w:rsidR="009370A0" w:rsidRDefault="009370A0" w:rsidP="009370A0">
      <w:pPr>
        <w:pStyle w:val="Heading2"/>
        <w:rPr>
          <w:lang w:val="en-US"/>
        </w:rPr>
      </w:pPr>
      <w:r>
        <w:rPr>
          <w:lang w:val="en-US"/>
        </w:rPr>
        <w:t>Conclusion</w:t>
      </w:r>
    </w:p>
    <w:p w14:paraId="7FA56D08" w14:textId="0D210BF3" w:rsidR="00375BCC" w:rsidRDefault="00DB5FFB" w:rsidP="009F5213">
      <w:pPr>
        <w:pStyle w:val="BodyText"/>
        <w:rPr>
          <w:color w:val="000000" w:themeColor="text1"/>
          <w:lang w:val="en-US"/>
        </w:rPr>
      </w:pPr>
      <w:r>
        <w:rPr>
          <w:color w:val="000000" w:themeColor="text1"/>
          <w:lang w:val="en-US"/>
        </w:rPr>
        <w:t xml:space="preserve">Taking </w:t>
      </w:r>
      <w:r w:rsidR="00254158">
        <w:rPr>
          <w:color w:val="000000" w:themeColor="text1"/>
          <w:lang w:val="en-US"/>
        </w:rPr>
        <w:t xml:space="preserve">together </w:t>
      </w:r>
      <w:r>
        <w:rPr>
          <w:color w:val="000000" w:themeColor="text1"/>
          <w:lang w:val="en-US"/>
        </w:rPr>
        <w:t xml:space="preserve">all the matters </w:t>
      </w:r>
      <w:proofErr w:type="gramStart"/>
      <w:r w:rsidR="00086437">
        <w:rPr>
          <w:color w:val="000000" w:themeColor="text1"/>
          <w:lang w:val="en-US"/>
        </w:rPr>
        <w:t>which</w:t>
      </w:r>
      <w:proofErr w:type="gramEnd"/>
      <w:r w:rsidR="00086437">
        <w:rPr>
          <w:color w:val="000000" w:themeColor="text1"/>
          <w:lang w:val="en-US"/>
        </w:rPr>
        <w:t xml:space="preserve"> we do consider amount properly to evidence</w:t>
      </w:r>
      <w:r w:rsidR="00254158">
        <w:rPr>
          <w:color w:val="000000" w:themeColor="text1"/>
          <w:lang w:val="en-US"/>
        </w:rPr>
        <w:t xml:space="preserve"> </w:t>
      </w:r>
      <w:r w:rsidR="001C2ACE">
        <w:rPr>
          <w:color w:val="000000" w:themeColor="text1"/>
          <w:lang w:val="en-US"/>
        </w:rPr>
        <w:t xml:space="preserve">we are (by some margin) persuaded that were the test </w:t>
      </w:r>
      <w:r w:rsidR="00DB28D6">
        <w:rPr>
          <w:color w:val="000000" w:themeColor="text1"/>
          <w:lang w:val="en-US"/>
        </w:rPr>
        <w:t>“</w:t>
      </w:r>
      <w:r w:rsidR="001C2ACE">
        <w:rPr>
          <w:color w:val="000000" w:themeColor="text1"/>
          <w:lang w:val="en-US"/>
        </w:rPr>
        <w:t>reasonable cause</w:t>
      </w:r>
      <w:r w:rsidR="003505E4">
        <w:rPr>
          <w:color w:val="000000" w:themeColor="text1"/>
          <w:lang w:val="en-US"/>
        </w:rPr>
        <w:t xml:space="preserve"> to suspect</w:t>
      </w:r>
      <w:r w:rsidR="00DB28D6">
        <w:rPr>
          <w:color w:val="000000" w:themeColor="text1"/>
          <w:lang w:val="en-US"/>
        </w:rPr>
        <w:t>”</w:t>
      </w:r>
      <w:r w:rsidR="00702673">
        <w:rPr>
          <w:color w:val="000000" w:themeColor="text1"/>
          <w:lang w:val="en-US"/>
        </w:rPr>
        <w:t xml:space="preserve"> it would be met on the facts of this case. This is not a </w:t>
      </w:r>
      <w:r w:rsidR="00E8177B">
        <w:rPr>
          <w:color w:val="000000" w:themeColor="text1"/>
          <w:lang w:val="en-US"/>
        </w:rPr>
        <w:t>situation</w:t>
      </w:r>
      <w:r w:rsidR="00702673">
        <w:rPr>
          <w:color w:val="000000" w:themeColor="text1"/>
          <w:lang w:val="en-US"/>
        </w:rPr>
        <w:t xml:space="preserve"> where there is one query or area where</w:t>
      </w:r>
      <w:r w:rsidR="00E8177B">
        <w:rPr>
          <w:color w:val="000000" w:themeColor="text1"/>
          <w:lang w:val="en-US"/>
        </w:rPr>
        <w:t xml:space="preserve"> suspicions arise. It is a case where there are </w:t>
      </w:r>
      <w:r w:rsidR="00B37380">
        <w:rPr>
          <w:color w:val="000000" w:themeColor="text1"/>
          <w:lang w:val="en-US"/>
        </w:rPr>
        <w:t>multiple</w:t>
      </w:r>
      <w:r w:rsidR="00E8177B">
        <w:rPr>
          <w:color w:val="000000" w:themeColor="text1"/>
          <w:lang w:val="en-US"/>
        </w:rPr>
        <w:t xml:space="preserve"> </w:t>
      </w:r>
      <w:r w:rsidR="00B37380">
        <w:rPr>
          <w:color w:val="000000" w:themeColor="text1"/>
          <w:lang w:val="en-US"/>
        </w:rPr>
        <w:t>overlapping</w:t>
      </w:r>
      <w:r w:rsidR="00E8177B">
        <w:rPr>
          <w:color w:val="000000" w:themeColor="text1"/>
          <w:lang w:val="en-US"/>
        </w:rPr>
        <w:t xml:space="preserve"> indications</w:t>
      </w:r>
      <w:r w:rsidR="00B37380">
        <w:rPr>
          <w:color w:val="000000" w:themeColor="text1"/>
          <w:lang w:val="en-US"/>
        </w:rPr>
        <w:t xml:space="preserve"> which suggest that the transfer and sale were not arms length transactions. </w:t>
      </w:r>
    </w:p>
    <w:p w14:paraId="12A246D1" w14:textId="77777777" w:rsidR="001D18FC" w:rsidRDefault="00375BCC" w:rsidP="009F5213">
      <w:pPr>
        <w:pStyle w:val="BodyText"/>
        <w:rPr>
          <w:color w:val="000000" w:themeColor="text1"/>
          <w:lang w:val="en-US"/>
        </w:rPr>
      </w:pPr>
      <w:r>
        <w:rPr>
          <w:color w:val="000000" w:themeColor="text1"/>
          <w:lang w:val="en-US"/>
        </w:rPr>
        <w:t>The starting point of course is the finding which</w:t>
      </w:r>
      <w:r w:rsidR="001C18B5">
        <w:rPr>
          <w:color w:val="000000" w:themeColor="text1"/>
          <w:lang w:val="en-US"/>
        </w:rPr>
        <w:t xml:space="preserve"> is made above as to the original joint arrangement. But </w:t>
      </w:r>
      <w:r w:rsidR="001D18FC">
        <w:rPr>
          <w:color w:val="000000" w:themeColor="text1"/>
          <w:lang w:val="en-US"/>
        </w:rPr>
        <w:t>that is not evidence of itself, merely background.</w:t>
      </w:r>
    </w:p>
    <w:p w14:paraId="02517166" w14:textId="302EE07A" w:rsidR="00B42318" w:rsidRDefault="001D18FC" w:rsidP="009F5213">
      <w:pPr>
        <w:pStyle w:val="BodyText"/>
        <w:rPr>
          <w:color w:val="000000" w:themeColor="text1"/>
          <w:lang w:val="en-US"/>
        </w:rPr>
      </w:pPr>
      <w:r>
        <w:rPr>
          <w:color w:val="000000" w:themeColor="text1"/>
          <w:lang w:val="en-US"/>
        </w:rPr>
        <w:t>P</w:t>
      </w:r>
      <w:r w:rsidR="009750A8">
        <w:rPr>
          <w:color w:val="000000" w:themeColor="text1"/>
          <w:lang w:val="en-US"/>
        </w:rPr>
        <w:t>rimar</w:t>
      </w:r>
      <w:r w:rsidR="00D922D9">
        <w:rPr>
          <w:color w:val="000000" w:themeColor="text1"/>
          <w:lang w:val="en-US"/>
        </w:rPr>
        <w:t>y amongst the</w:t>
      </w:r>
      <w:r w:rsidR="001C18B5">
        <w:rPr>
          <w:color w:val="000000" w:themeColor="text1"/>
          <w:lang w:val="en-US"/>
        </w:rPr>
        <w:t xml:space="preserve"> points which indicate that there is reasonable cause to </w:t>
      </w:r>
      <w:r>
        <w:rPr>
          <w:color w:val="000000" w:themeColor="text1"/>
          <w:lang w:val="en-US"/>
        </w:rPr>
        <w:t>suspect</w:t>
      </w:r>
      <w:r w:rsidR="001C18B5">
        <w:rPr>
          <w:color w:val="000000" w:themeColor="text1"/>
          <w:lang w:val="en-US"/>
        </w:rPr>
        <w:t xml:space="preserve"> that that joint </w:t>
      </w:r>
      <w:r>
        <w:rPr>
          <w:color w:val="000000" w:themeColor="text1"/>
          <w:lang w:val="en-US"/>
        </w:rPr>
        <w:t>arrangement</w:t>
      </w:r>
      <w:r w:rsidR="001C18B5">
        <w:rPr>
          <w:color w:val="000000" w:themeColor="text1"/>
          <w:lang w:val="en-US"/>
        </w:rPr>
        <w:t xml:space="preserve"> is still in place </w:t>
      </w:r>
      <w:r w:rsidR="00D922D9">
        <w:rPr>
          <w:color w:val="000000" w:themeColor="text1"/>
          <w:lang w:val="en-US"/>
        </w:rPr>
        <w:t xml:space="preserve">is the unsatisfactory nature of the evidence about the sale price. The figure given for the sale price is </w:t>
      </w:r>
      <w:r w:rsidR="00375BCC">
        <w:rPr>
          <w:color w:val="000000" w:themeColor="text1"/>
          <w:lang w:val="en-US"/>
        </w:rPr>
        <w:t>surprising</w:t>
      </w:r>
      <w:r w:rsidR="00D922D9">
        <w:rPr>
          <w:color w:val="000000" w:themeColor="text1"/>
          <w:lang w:val="en-US"/>
        </w:rPr>
        <w:t xml:space="preserve"> on its face. The</w:t>
      </w:r>
      <w:r w:rsidR="00655319">
        <w:rPr>
          <w:color w:val="000000" w:themeColor="text1"/>
          <w:lang w:val="en-US"/>
        </w:rPr>
        <w:t xml:space="preserve"> financial documentation </w:t>
      </w:r>
      <w:r w:rsidR="00D264AC">
        <w:rPr>
          <w:color w:val="000000" w:themeColor="text1"/>
          <w:lang w:val="en-US"/>
        </w:rPr>
        <w:t>add</w:t>
      </w:r>
      <w:r w:rsidR="0018260E">
        <w:rPr>
          <w:color w:val="000000" w:themeColor="text1"/>
          <w:lang w:val="en-US"/>
        </w:rPr>
        <w:t>u</w:t>
      </w:r>
      <w:r w:rsidR="00D264AC">
        <w:rPr>
          <w:color w:val="000000" w:themeColor="text1"/>
          <w:lang w:val="en-US"/>
        </w:rPr>
        <w:t xml:space="preserve">ced (in a lengthy and full exchange of evidence) </w:t>
      </w:r>
      <w:r w:rsidR="00655319">
        <w:rPr>
          <w:color w:val="000000" w:themeColor="text1"/>
          <w:lang w:val="en-US"/>
        </w:rPr>
        <w:t>fails to provide a</w:t>
      </w:r>
      <w:r w:rsidR="004A35F9">
        <w:rPr>
          <w:color w:val="000000" w:themeColor="text1"/>
          <w:lang w:val="en-US"/>
        </w:rPr>
        <w:t xml:space="preserve"> coherent or</w:t>
      </w:r>
      <w:r w:rsidR="00655319">
        <w:rPr>
          <w:color w:val="000000" w:themeColor="text1"/>
          <w:lang w:val="en-US"/>
        </w:rPr>
        <w:t xml:space="preserve"> robust justification for that figure. On the contrary there are what seem like obvious omissions, and </w:t>
      </w:r>
      <w:r w:rsidR="00D1363C">
        <w:rPr>
          <w:color w:val="000000" w:themeColor="text1"/>
          <w:lang w:val="en-US"/>
        </w:rPr>
        <w:t xml:space="preserve">the </w:t>
      </w:r>
      <w:r w:rsidR="00655319">
        <w:rPr>
          <w:color w:val="000000" w:themeColor="text1"/>
          <w:lang w:val="en-US"/>
        </w:rPr>
        <w:t xml:space="preserve">explanations given </w:t>
      </w:r>
      <w:r w:rsidR="004A35F9">
        <w:rPr>
          <w:color w:val="000000" w:themeColor="text1"/>
          <w:lang w:val="en-US"/>
        </w:rPr>
        <w:t xml:space="preserve">are inadequate and </w:t>
      </w:r>
      <w:r w:rsidR="00655319">
        <w:rPr>
          <w:color w:val="000000" w:themeColor="text1"/>
          <w:lang w:val="en-US"/>
        </w:rPr>
        <w:t>do not tie in with the</w:t>
      </w:r>
      <w:r w:rsidR="000E1FD7">
        <w:rPr>
          <w:color w:val="000000" w:themeColor="text1"/>
          <w:lang w:val="en-US"/>
        </w:rPr>
        <w:t xml:space="preserve"> rest of the document. The</w:t>
      </w:r>
      <w:r w:rsidR="004A35F9">
        <w:rPr>
          <w:color w:val="000000" w:themeColor="text1"/>
          <w:lang w:val="en-US"/>
        </w:rPr>
        <w:t xml:space="preserve"> so called</w:t>
      </w:r>
      <w:r w:rsidR="000E1FD7">
        <w:rPr>
          <w:color w:val="000000" w:themeColor="text1"/>
          <w:lang w:val="en-US"/>
        </w:rPr>
        <w:t xml:space="preserve"> </w:t>
      </w:r>
      <w:r w:rsidR="00BB77E9">
        <w:rPr>
          <w:color w:val="000000" w:themeColor="text1"/>
          <w:lang w:val="en-US"/>
        </w:rPr>
        <w:t>“</w:t>
      </w:r>
      <w:r w:rsidR="00832B69">
        <w:rPr>
          <w:color w:val="000000" w:themeColor="text1"/>
          <w:lang w:val="en-US"/>
        </w:rPr>
        <w:t>verification</w:t>
      </w:r>
      <w:r w:rsidR="00BB77E9">
        <w:rPr>
          <w:color w:val="000000" w:themeColor="text1"/>
          <w:lang w:val="en-US"/>
        </w:rPr>
        <w:t>”</w:t>
      </w:r>
      <w:r w:rsidR="000E1FD7">
        <w:rPr>
          <w:color w:val="000000" w:themeColor="text1"/>
          <w:lang w:val="en-US"/>
        </w:rPr>
        <w:t xml:space="preserve"> of the value</w:t>
      </w:r>
      <w:r w:rsidR="00832B69">
        <w:rPr>
          <w:color w:val="000000" w:themeColor="text1"/>
          <w:lang w:val="en-US"/>
        </w:rPr>
        <w:t xml:space="preserve"> is broad brush in the extreme and not at all what </w:t>
      </w:r>
      <w:r w:rsidR="004A35F9">
        <w:rPr>
          <w:color w:val="000000" w:themeColor="text1"/>
          <w:lang w:val="en-US"/>
        </w:rPr>
        <w:t>might</w:t>
      </w:r>
      <w:r w:rsidR="00832B69">
        <w:rPr>
          <w:color w:val="000000" w:themeColor="text1"/>
          <w:lang w:val="en-US"/>
        </w:rPr>
        <w:t xml:space="preserve"> be expected by way of professional valuation.</w:t>
      </w:r>
    </w:p>
    <w:p w14:paraId="5581D26C" w14:textId="2E060627" w:rsidR="00D32FF5" w:rsidRDefault="00D32FF5" w:rsidP="009F5213">
      <w:pPr>
        <w:pStyle w:val="BodyText"/>
        <w:rPr>
          <w:color w:val="000000" w:themeColor="text1"/>
          <w:lang w:val="en-US"/>
        </w:rPr>
      </w:pPr>
      <w:r>
        <w:rPr>
          <w:color w:val="000000" w:themeColor="text1"/>
          <w:lang w:val="en-US"/>
        </w:rPr>
        <w:t>Then there are the bas</w:t>
      </w:r>
      <w:r w:rsidR="004A35F9">
        <w:rPr>
          <w:color w:val="000000" w:themeColor="text1"/>
          <w:lang w:val="en-US"/>
        </w:rPr>
        <w:t>e</w:t>
      </w:r>
      <w:r>
        <w:rPr>
          <w:color w:val="000000" w:themeColor="text1"/>
          <w:lang w:val="en-US"/>
        </w:rPr>
        <w:t>s for reasonable cause lying within the structure and timing of the disposal</w:t>
      </w:r>
      <w:r w:rsidR="007E5BBF">
        <w:rPr>
          <w:color w:val="000000" w:themeColor="text1"/>
          <w:lang w:val="en-US"/>
        </w:rPr>
        <w:t>. There is very slight evidence of the share disposal or its timing</w:t>
      </w:r>
      <w:r w:rsidR="005649F9">
        <w:rPr>
          <w:color w:val="000000" w:themeColor="text1"/>
          <w:lang w:val="en-US"/>
        </w:rPr>
        <w:t xml:space="preserve">. That disposal is not to a </w:t>
      </w:r>
      <w:r w:rsidR="001E25ED">
        <w:rPr>
          <w:color w:val="000000" w:themeColor="text1"/>
          <w:lang w:val="en-US"/>
        </w:rPr>
        <w:t xml:space="preserve">neutral third party but to a </w:t>
      </w:r>
      <w:proofErr w:type="gramStart"/>
      <w:r w:rsidR="001E25ED">
        <w:rPr>
          <w:color w:val="000000" w:themeColor="text1"/>
          <w:lang w:val="en-US"/>
        </w:rPr>
        <w:t>long term</w:t>
      </w:r>
      <w:proofErr w:type="gramEnd"/>
      <w:r w:rsidR="001E25ED">
        <w:rPr>
          <w:color w:val="000000" w:themeColor="text1"/>
          <w:lang w:val="en-US"/>
        </w:rPr>
        <w:t xml:space="preserve"> employee of the Founders. The sale too is to a </w:t>
      </w:r>
      <w:proofErr w:type="gramStart"/>
      <w:r w:rsidR="001E25ED">
        <w:rPr>
          <w:color w:val="000000" w:themeColor="text1"/>
          <w:lang w:val="en-US"/>
        </w:rPr>
        <w:t>long term</w:t>
      </w:r>
      <w:proofErr w:type="gramEnd"/>
      <w:r w:rsidR="001E25ED">
        <w:rPr>
          <w:color w:val="000000" w:themeColor="text1"/>
          <w:lang w:val="en-US"/>
        </w:rPr>
        <w:t xml:space="preserve"> employee, with</w:t>
      </w:r>
      <w:r w:rsidR="008E0CB8">
        <w:rPr>
          <w:color w:val="000000" w:themeColor="text1"/>
          <w:lang w:val="en-US"/>
        </w:rPr>
        <w:t xml:space="preserve"> some evidence of his previously acting as a nominee shareholder</w:t>
      </w:r>
      <w:r w:rsidR="00C94538">
        <w:rPr>
          <w:color w:val="000000" w:themeColor="text1"/>
          <w:lang w:val="en-US"/>
        </w:rPr>
        <w:t>.</w:t>
      </w:r>
    </w:p>
    <w:p w14:paraId="381E16BA" w14:textId="5A865EDC" w:rsidR="009370A0" w:rsidRDefault="00C94538" w:rsidP="009F5213">
      <w:pPr>
        <w:pStyle w:val="BodyText"/>
        <w:rPr>
          <w:color w:val="000000" w:themeColor="text1"/>
          <w:lang w:val="en-US"/>
        </w:rPr>
      </w:pPr>
      <w:r>
        <w:rPr>
          <w:color w:val="000000" w:themeColor="text1"/>
          <w:lang w:val="en-US"/>
        </w:rPr>
        <w:t>Accordingly</w:t>
      </w:r>
      <w:r w:rsidR="00BB77E9">
        <w:rPr>
          <w:color w:val="000000" w:themeColor="text1"/>
          <w:lang w:val="en-US"/>
        </w:rPr>
        <w:t>,</w:t>
      </w:r>
      <w:r>
        <w:rPr>
          <w:color w:val="000000" w:themeColor="text1"/>
          <w:lang w:val="en-US"/>
        </w:rPr>
        <w:t xml:space="preserve"> were it necessary to do so we would conclude that there is reasonable cause to suspect that</w:t>
      </w:r>
      <w:r w:rsidR="008B1AE6">
        <w:rPr>
          <w:color w:val="000000" w:themeColor="text1"/>
          <w:lang w:val="en-US"/>
        </w:rPr>
        <w:t xml:space="preserve">, despite the share transfer </w:t>
      </w:r>
      <w:r w:rsidR="00123634">
        <w:rPr>
          <w:color w:val="000000" w:themeColor="text1"/>
          <w:lang w:val="en-US"/>
        </w:rPr>
        <w:t xml:space="preserve">in A1 Investment </w:t>
      </w:r>
      <w:r w:rsidR="008B1AE6">
        <w:rPr>
          <w:color w:val="000000" w:themeColor="text1"/>
          <w:lang w:val="en-US"/>
        </w:rPr>
        <w:t xml:space="preserve">and </w:t>
      </w:r>
      <w:r w:rsidR="008B1AE6">
        <w:rPr>
          <w:color w:val="000000" w:themeColor="text1"/>
          <w:lang w:val="en-US"/>
        </w:rPr>
        <w:lastRenderedPageBreak/>
        <w:t>sale</w:t>
      </w:r>
      <w:r w:rsidR="00DB5FFB" w:rsidRPr="009F5213">
        <w:rPr>
          <w:color w:val="000000" w:themeColor="text1"/>
          <w:lang w:val="en-US"/>
        </w:rPr>
        <w:t xml:space="preserve"> </w:t>
      </w:r>
      <w:r w:rsidR="00123634">
        <w:rPr>
          <w:color w:val="000000" w:themeColor="text1"/>
          <w:lang w:val="en-US"/>
        </w:rPr>
        <w:t xml:space="preserve">of A1 to Mr Fayn </w:t>
      </w:r>
      <w:r w:rsidR="008B1AE6" w:rsidRPr="008B1AE6">
        <w:rPr>
          <w:color w:val="000000" w:themeColor="text1"/>
          <w:lang w:val="en-US"/>
        </w:rPr>
        <w:t>there is reasonable cause to suspect that A1 is owned or controlled by a designated person or designated persons within the meaning of Regulations 5-6 of the Russia (Sanctions) (EU Exit) Regulations 2019</w:t>
      </w:r>
      <w:r w:rsidR="00A3279E">
        <w:rPr>
          <w:color w:val="000000" w:themeColor="text1"/>
          <w:lang w:val="en-US"/>
        </w:rPr>
        <w:t>.</w:t>
      </w:r>
    </w:p>
    <w:p w14:paraId="7A9CDAB6" w14:textId="2CE6D494" w:rsidR="00FA2FC5" w:rsidRDefault="00EB75D2" w:rsidP="00FA2FC5">
      <w:pPr>
        <w:pStyle w:val="Heading1"/>
        <w:spacing w:before="480"/>
        <w:rPr>
          <w:lang w:val="en-US"/>
        </w:rPr>
      </w:pPr>
      <w:r>
        <w:rPr>
          <w:lang w:val="en-US"/>
        </w:rPr>
        <w:t xml:space="preserve">Contingent </w:t>
      </w:r>
      <w:r w:rsidR="00777473">
        <w:rPr>
          <w:lang w:val="en-US"/>
        </w:rPr>
        <w:t xml:space="preserve">Issue: </w:t>
      </w:r>
      <w:r w:rsidR="00FA2FC5">
        <w:rPr>
          <w:lang w:val="en-US"/>
        </w:rPr>
        <w:t>Ownership and Control</w:t>
      </w:r>
      <w:r w:rsidR="00777473">
        <w:rPr>
          <w:lang w:val="en-US"/>
        </w:rPr>
        <w:t xml:space="preserve"> in fact</w:t>
      </w:r>
    </w:p>
    <w:p w14:paraId="671887C0" w14:textId="2B8383A8" w:rsidR="00E669CB" w:rsidRDefault="00E669CB" w:rsidP="008D1BB0">
      <w:pPr>
        <w:pStyle w:val="BodyText"/>
        <w:rPr>
          <w:lang w:val="en-US"/>
        </w:rPr>
      </w:pPr>
      <w:r>
        <w:rPr>
          <w:lang w:val="en-US"/>
        </w:rPr>
        <w:t xml:space="preserve">This was not an issue originally in play. </w:t>
      </w:r>
      <w:r w:rsidR="00655540" w:rsidRPr="008D1BB0">
        <w:rPr>
          <w:lang w:val="en-US"/>
        </w:rPr>
        <w:t xml:space="preserve">The </w:t>
      </w:r>
      <w:r>
        <w:rPr>
          <w:lang w:val="en-US"/>
        </w:rPr>
        <w:t>relief</w:t>
      </w:r>
      <w:r w:rsidR="008B1AE6">
        <w:rPr>
          <w:lang w:val="en-US"/>
        </w:rPr>
        <w:t xml:space="preserve"> sought</w:t>
      </w:r>
      <w:r w:rsidR="00655540" w:rsidRPr="008D1BB0">
        <w:rPr>
          <w:lang w:val="en-US"/>
        </w:rPr>
        <w:t xml:space="preserve"> as put in the application made by </w:t>
      </w:r>
      <w:r w:rsidR="00055466">
        <w:rPr>
          <w:lang w:val="en-US"/>
        </w:rPr>
        <w:t>Mr Bedzhamov</w:t>
      </w:r>
      <w:r w:rsidR="00655540" w:rsidRPr="008D1BB0">
        <w:rPr>
          <w:lang w:val="en-US"/>
        </w:rPr>
        <w:t xml:space="preserve"> was as follows:</w:t>
      </w:r>
      <w:r w:rsidR="008D1BB0" w:rsidRPr="008D1BB0">
        <w:rPr>
          <w:lang w:val="en-US"/>
        </w:rPr>
        <w:t xml:space="preserve"> </w:t>
      </w:r>
    </w:p>
    <w:p w14:paraId="292251B0" w14:textId="205221F9" w:rsidR="004B42B5" w:rsidRDefault="00BB77E9" w:rsidP="00E669CB">
      <w:pPr>
        <w:pStyle w:val="Quote"/>
        <w:rPr>
          <w:lang w:val="en-US"/>
        </w:rPr>
      </w:pPr>
      <w:r>
        <w:rPr>
          <w:lang w:val="en-US"/>
        </w:rPr>
        <w:t>“</w:t>
      </w:r>
      <w:r w:rsidR="004B42B5" w:rsidRPr="008D1BB0">
        <w:rPr>
          <w:lang w:val="en-US"/>
        </w:rPr>
        <w:t xml:space="preserve">A declaration as to whether, in light of the evidence before the Court, </w:t>
      </w:r>
      <w:bookmarkStart w:id="2" w:name="_Hlk163215419"/>
      <w:r w:rsidR="004B42B5" w:rsidRPr="008D1BB0">
        <w:rPr>
          <w:lang w:val="en-US"/>
        </w:rPr>
        <w:t>there is reasonable cause to suspect that A1 is owned or controlled by a designated person or designated persons within the meaning of Regulations 5-6 of the Russia (Sanctions) (EU Exit) Regulations 2019</w:t>
      </w:r>
      <w:bookmarkEnd w:id="2"/>
      <w:r>
        <w:rPr>
          <w:lang w:val="en-US"/>
        </w:rPr>
        <w:t>”</w:t>
      </w:r>
      <w:r w:rsidR="008D1BB0">
        <w:rPr>
          <w:lang w:val="en-US"/>
        </w:rPr>
        <w:t>.</w:t>
      </w:r>
    </w:p>
    <w:p w14:paraId="380F404F" w14:textId="77777777" w:rsidR="00C52613" w:rsidRDefault="008D1BB0" w:rsidP="008D1BB0">
      <w:pPr>
        <w:pStyle w:val="BodyText"/>
        <w:rPr>
          <w:lang w:val="en-US"/>
        </w:rPr>
      </w:pPr>
      <w:r>
        <w:rPr>
          <w:lang w:val="en-US"/>
        </w:rPr>
        <w:t>This was echoed in the skeleton served which</w:t>
      </w:r>
      <w:r w:rsidR="00C52613">
        <w:rPr>
          <w:lang w:val="en-US"/>
        </w:rPr>
        <w:t>:</w:t>
      </w:r>
    </w:p>
    <w:p w14:paraId="1EDFE4D4" w14:textId="0AC920F3" w:rsidR="008D1BB0" w:rsidRDefault="00C52613" w:rsidP="00C52613">
      <w:pPr>
        <w:pStyle w:val="BodyText"/>
        <w:numPr>
          <w:ilvl w:val="1"/>
          <w:numId w:val="4"/>
        </w:numPr>
        <w:rPr>
          <w:lang w:val="en-US"/>
        </w:rPr>
      </w:pPr>
      <w:r>
        <w:rPr>
          <w:lang w:val="en-US"/>
        </w:rPr>
        <w:t>A</w:t>
      </w:r>
      <w:r w:rsidR="008D1BB0">
        <w:rPr>
          <w:lang w:val="en-US"/>
        </w:rPr>
        <w:t xml:space="preserve">t paragraph 1 </w:t>
      </w:r>
      <w:r w:rsidR="00313B49">
        <w:rPr>
          <w:lang w:val="en-US"/>
        </w:rPr>
        <w:t xml:space="preserve">stated </w:t>
      </w:r>
      <w:r>
        <w:rPr>
          <w:lang w:val="en-US"/>
        </w:rPr>
        <w:t>that</w:t>
      </w:r>
      <w:r w:rsidR="00313B49">
        <w:rPr>
          <w:lang w:val="en-US"/>
        </w:rPr>
        <w:t xml:space="preserve"> </w:t>
      </w:r>
      <w:r w:rsidR="00055466">
        <w:rPr>
          <w:lang w:val="en-US"/>
        </w:rPr>
        <w:t>Mr Bedzhamov</w:t>
      </w:r>
      <w:r w:rsidR="00313B49">
        <w:rPr>
          <w:lang w:val="en-US"/>
        </w:rPr>
        <w:t xml:space="preserve"> </w:t>
      </w:r>
      <w:r w:rsidR="00BB77E9">
        <w:rPr>
          <w:lang w:val="en-US"/>
        </w:rPr>
        <w:t>“</w:t>
      </w:r>
      <w:r w:rsidR="0050688D" w:rsidRPr="00064037">
        <w:rPr>
          <w:i/>
          <w:iCs/>
          <w:lang w:val="en-US"/>
        </w:rPr>
        <w:t>seeks a declaration as to whether there is reasonable cause to suspect that A1 LLC (“A1”), the declared funder of these proceedings, is owned or controlled by a designated person (“DP”) or designated persons (“DPs”)</w:t>
      </w:r>
      <w:proofErr w:type="gramStart"/>
      <w:r w:rsidR="00BB77E9">
        <w:rPr>
          <w:lang w:val="en-US"/>
        </w:rPr>
        <w:t>”</w:t>
      </w:r>
      <w:r>
        <w:rPr>
          <w:lang w:val="en-US"/>
        </w:rPr>
        <w:t>;</w:t>
      </w:r>
      <w:proofErr w:type="gramEnd"/>
    </w:p>
    <w:p w14:paraId="087C4DEA" w14:textId="191EBAB4" w:rsidR="00C52613" w:rsidRPr="008D1BB0" w:rsidRDefault="00C52613" w:rsidP="00C52613">
      <w:pPr>
        <w:pStyle w:val="BodyText"/>
        <w:numPr>
          <w:ilvl w:val="1"/>
          <w:numId w:val="4"/>
        </w:numPr>
        <w:rPr>
          <w:lang w:val="en-US"/>
        </w:rPr>
      </w:pPr>
      <w:r>
        <w:rPr>
          <w:lang w:val="en-US"/>
        </w:rPr>
        <w:t>At paragraph 61</w:t>
      </w:r>
      <w:r w:rsidR="00A21CB0">
        <w:rPr>
          <w:lang w:val="en-US"/>
        </w:rPr>
        <w:t xml:space="preserve"> posed the issues as being that of construction, followed by </w:t>
      </w:r>
      <w:r w:rsidR="00BB77E9">
        <w:rPr>
          <w:lang w:val="en-US"/>
        </w:rPr>
        <w:t>“</w:t>
      </w:r>
      <w:r w:rsidR="00CF6B6D" w:rsidRPr="00064037">
        <w:rPr>
          <w:i/>
          <w:iCs/>
          <w:lang w:val="en-US"/>
        </w:rPr>
        <w:t>Whether there is reasonable cause to suspect on the facts</w:t>
      </w:r>
      <w:r w:rsidR="009E7D3A" w:rsidRPr="00064037">
        <w:rPr>
          <w:i/>
          <w:iCs/>
          <w:lang w:val="en-US"/>
        </w:rPr>
        <w:t xml:space="preserve"> ....</w:t>
      </w:r>
      <w:r w:rsidR="009E7D3A" w:rsidRPr="00064037">
        <w:rPr>
          <w:i/>
          <w:iCs/>
          <w:lang w:val="en-US"/>
        </w:rPr>
        <w:tab/>
        <w:t>What are the consequences if there is reasonable cause to suspect?</w:t>
      </w:r>
      <w:r w:rsidR="00BB77E9">
        <w:rPr>
          <w:lang w:val="en-US"/>
        </w:rPr>
        <w:t>”</w:t>
      </w:r>
    </w:p>
    <w:p w14:paraId="313315EC" w14:textId="2E760B75" w:rsidR="008966F3" w:rsidRDefault="009E7D3A" w:rsidP="00195E7B">
      <w:pPr>
        <w:pStyle w:val="BodyText"/>
        <w:rPr>
          <w:color w:val="000000" w:themeColor="text1"/>
          <w:lang w:val="en-US"/>
        </w:rPr>
      </w:pPr>
      <w:r>
        <w:rPr>
          <w:color w:val="000000" w:themeColor="text1"/>
          <w:lang w:val="en-US"/>
        </w:rPr>
        <w:t>In oral submissi</w:t>
      </w:r>
      <w:r w:rsidR="007A4A32">
        <w:rPr>
          <w:color w:val="000000" w:themeColor="text1"/>
          <w:lang w:val="en-US"/>
        </w:rPr>
        <w:t>o</w:t>
      </w:r>
      <w:r>
        <w:rPr>
          <w:color w:val="000000" w:themeColor="text1"/>
          <w:lang w:val="en-US"/>
        </w:rPr>
        <w:t xml:space="preserve">ns however the ground shifted significantly with Mr Fenwick inviting us, if we </w:t>
      </w:r>
      <w:r w:rsidR="00DD3182">
        <w:rPr>
          <w:color w:val="000000" w:themeColor="text1"/>
          <w:lang w:val="en-US"/>
        </w:rPr>
        <w:t>decided against him on construction</w:t>
      </w:r>
      <w:r w:rsidR="00B00D59">
        <w:rPr>
          <w:color w:val="000000" w:themeColor="text1"/>
          <w:lang w:val="en-US"/>
        </w:rPr>
        <w:t xml:space="preserve"> (as we have done)</w:t>
      </w:r>
      <w:r w:rsidR="00EB75D2">
        <w:rPr>
          <w:color w:val="000000" w:themeColor="text1"/>
          <w:lang w:val="en-US"/>
        </w:rPr>
        <w:t>,</w:t>
      </w:r>
      <w:r w:rsidR="00DD3182">
        <w:rPr>
          <w:color w:val="000000" w:themeColor="text1"/>
          <w:lang w:val="en-US"/>
        </w:rPr>
        <w:t xml:space="preserve"> to go further than the question of reasonable cause: </w:t>
      </w:r>
    </w:p>
    <w:p w14:paraId="3910A12C" w14:textId="0D9F7926" w:rsidR="00937460" w:rsidRPr="00195E7B" w:rsidRDefault="00BB77E9" w:rsidP="00123634">
      <w:pPr>
        <w:pStyle w:val="Quote"/>
        <w:rPr>
          <w:lang w:val="en-US"/>
        </w:rPr>
      </w:pPr>
      <w:r>
        <w:rPr>
          <w:lang w:val="en-US"/>
        </w:rPr>
        <w:t>“</w:t>
      </w:r>
      <w:r w:rsidR="00937460" w:rsidRPr="00937460">
        <w:rPr>
          <w:lang w:val="en-US"/>
        </w:rPr>
        <w:t>Now that the evidence which both parties were entitled to put in, including an expectation of expert evidence which never came to pass, an expectation of evidence about those funded by −−those who are creditors of VPB, the court may now be in a position</w:t>
      </w:r>
      <w:r w:rsidR="00937460">
        <w:rPr>
          <w:lang w:val="en-US"/>
        </w:rPr>
        <w:t xml:space="preserve"> </w:t>
      </w:r>
      <w:r w:rsidR="00937460" w:rsidRPr="00937460">
        <w:rPr>
          <w:lang w:val="en-US"/>
        </w:rPr>
        <w:t>where it actually has to decide on the evidence before it whether, on the balance of probabilities, on that evidence, there is ownership or control.</w:t>
      </w:r>
      <w:r>
        <w:rPr>
          <w:lang w:val="en-US"/>
        </w:rPr>
        <w:t>”</w:t>
      </w:r>
    </w:p>
    <w:p w14:paraId="6F476761" w14:textId="2408ABCF" w:rsidR="00E70E00" w:rsidRDefault="004E6FB8" w:rsidP="00E01923">
      <w:pPr>
        <w:pStyle w:val="BodyText"/>
        <w:rPr>
          <w:color w:val="000000" w:themeColor="text1"/>
          <w:lang w:val="en-US"/>
        </w:rPr>
      </w:pPr>
      <w:r>
        <w:rPr>
          <w:color w:val="000000" w:themeColor="text1"/>
          <w:lang w:val="en-US"/>
        </w:rPr>
        <w:t xml:space="preserve">We are not minded </w:t>
      </w:r>
      <w:proofErr w:type="gramStart"/>
      <w:r>
        <w:rPr>
          <w:color w:val="000000" w:themeColor="text1"/>
          <w:lang w:val="en-US"/>
        </w:rPr>
        <w:t>to accede</w:t>
      </w:r>
      <w:proofErr w:type="gramEnd"/>
      <w:r>
        <w:rPr>
          <w:color w:val="000000" w:themeColor="text1"/>
          <w:lang w:val="en-US"/>
        </w:rPr>
        <w:t xml:space="preserve"> to this submission, essentially for two reasons. The first is that this was not one of the issues which was advanced in the application</w:t>
      </w:r>
      <w:r w:rsidR="00665A02">
        <w:rPr>
          <w:color w:val="000000" w:themeColor="text1"/>
          <w:lang w:val="en-US"/>
        </w:rPr>
        <w:t>, and while the issue as to construction was late to emerge</w:t>
      </w:r>
      <w:r w:rsidR="00DE19ED">
        <w:rPr>
          <w:color w:val="000000" w:themeColor="text1"/>
          <w:lang w:val="en-US"/>
        </w:rPr>
        <w:t xml:space="preserve"> such that this next issue only came into focus correspondingly late</w:t>
      </w:r>
      <w:r w:rsidR="00665A02">
        <w:rPr>
          <w:color w:val="000000" w:themeColor="text1"/>
          <w:lang w:val="en-US"/>
        </w:rPr>
        <w:t>,</w:t>
      </w:r>
      <w:r w:rsidR="00DE19ED">
        <w:rPr>
          <w:color w:val="000000" w:themeColor="text1"/>
          <w:lang w:val="en-US"/>
        </w:rPr>
        <w:t xml:space="preserve"> we consider that a point of such moment should not be dealt with effectively “on the hoof”</w:t>
      </w:r>
      <w:r w:rsidR="00186D0B">
        <w:rPr>
          <w:color w:val="000000" w:themeColor="text1"/>
          <w:lang w:val="en-US"/>
        </w:rPr>
        <w:t>.</w:t>
      </w:r>
    </w:p>
    <w:p w14:paraId="27A58E0E" w14:textId="66519C72" w:rsidR="00475971" w:rsidRDefault="00004005" w:rsidP="00E01923">
      <w:pPr>
        <w:pStyle w:val="BodyText"/>
        <w:rPr>
          <w:color w:val="000000" w:themeColor="text1"/>
          <w:lang w:val="en-US"/>
        </w:rPr>
      </w:pPr>
      <w:r>
        <w:rPr>
          <w:color w:val="000000" w:themeColor="text1"/>
          <w:lang w:val="en-US"/>
        </w:rPr>
        <w:t>Secondly, this is the more so since, as both side</w:t>
      </w:r>
      <w:r w:rsidR="003C4EDB">
        <w:rPr>
          <w:color w:val="000000" w:themeColor="text1"/>
          <w:lang w:val="en-US"/>
        </w:rPr>
        <w:t>s</w:t>
      </w:r>
      <w:r>
        <w:rPr>
          <w:color w:val="000000" w:themeColor="text1"/>
          <w:lang w:val="en-US"/>
        </w:rPr>
        <w:t xml:space="preserve"> acknowledged, any positive determination on this is to some extent a thing writ in water</w:t>
      </w:r>
      <w:r w:rsidR="00D52558">
        <w:rPr>
          <w:color w:val="000000" w:themeColor="text1"/>
          <w:lang w:val="en-US"/>
        </w:rPr>
        <w:t>. The point at which the question of control matters is the point at which a payment has to be made. That point may come shortly, but it has not yet arrived.</w:t>
      </w:r>
      <w:r w:rsidR="00A64C3D">
        <w:rPr>
          <w:color w:val="000000" w:themeColor="text1"/>
          <w:lang w:val="en-US"/>
        </w:rPr>
        <w:t xml:space="preserve"> </w:t>
      </w:r>
    </w:p>
    <w:p w14:paraId="47E531A1" w14:textId="58A9F359" w:rsidR="00AB0FCF" w:rsidRDefault="00EB75D2" w:rsidP="00186D0B">
      <w:pPr>
        <w:pStyle w:val="BodyText"/>
        <w:rPr>
          <w:lang w:val="en-US"/>
        </w:rPr>
      </w:pPr>
      <w:r w:rsidRPr="00EB6C50">
        <w:rPr>
          <w:lang w:val="en-US"/>
        </w:rPr>
        <w:t>It follows that, for the reasons we have given, the application is dismissed.</w:t>
      </w:r>
      <w:r w:rsidR="00C13671">
        <w:rPr>
          <w:lang w:val="en-US"/>
        </w:rPr>
        <w:t xml:space="preserve"> We have considered and rejected a submission made for Mr Bedzhamov</w:t>
      </w:r>
      <w:r w:rsidR="00A52919">
        <w:rPr>
          <w:lang w:val="en-US"/>
        </w:rPr>
        <w:t xml:space="preserve"> along with </w:t>
      </w:r>
      <w:r w:rsidR="00A52919">
        <w:rPr>
          <w:lang w:val="en-US"/>
        </w:rPr>
        <w:lastRenderedPageBreak/>
        <w:t>draft corrections</w:t>
      </w:r>
      <w:r w:rsidR="00C13671">
        <w:rPr>
          <w:lang w:val="en-US"/>
        </w:rPr>
        <w:t xml:space="preserve"> that despite our conclusion on the first issue a declaration as to reasonable cause should be made as sought in the application.</w:t>
      </w:r>
      <w:r w:rsidR="00A52919">
        <w:rPr>
          <w:lang w:val="en-US"/>
        </w:rPr>
        <w:t xml:space="preserve"> The declaration asked for is not in the light of the primary conclusion, the one sought in the application. Further it lacks utility, given the fact that it relates to an issue which on our primary conclusion does not arise. Granting declaratory relief would therefore not be appropriate. We also note that this was not an appropriate time to raise the issue, given that the possible outcomes and conclusions had been ventilated at the hearing and the conclusion was clear from the judgment. </w:t>
      </w:r>
    </w:p>
    <w:p w14:paraId="1B735A72" w14:textId="77777777" w:rsidR="00EB6C50" w:rsidRDefault="00EB6C50" w:rsidP="00EB6C50">
      <w:pPr>
        <w:pStyle w:val="BodyText"/>
        <w:numPr>
          <w:ilvl w:val="0"/>
          <w:numId w:val="0"/>
        </w:numPr>
        <w:spacing w:after="160" w:line="259" w:lineRule="auto"/>
        <w:ind w:left="567"/>
        <w:rPr>
          <w:color w:val="000000" w:themeColor="text1"/>
          <w:lang w:val="en-US"/>
        </w:rPr>
      </w:pPr>
    </w:p>
    <w:p w14:paraId="3BA72C79" w14:textId="77777777" w:rsidR="00A52919" w:rsidRDefault="00A52919">
      <w:pPr>
        <w:spacing w:after="160" w:line="259" w:lineRule="auto"/>
        <w:rPr>
          <w:b/>
          <w:caps/>
          <w:snapToGrid w:val="0"/>
          <w:kern w:val="28"/>
          <w:u w:val="single"/>
          <w:lang w:val="en-US"/>
        </w:rPr>
      </w:pPr>
      <w:r>
        <w:rPr>
          <w:lang w:val="en-US"/>
        </w:rPr>
        <w:br w:type="page"/>
      </w:r>
    </w:p>
    <w:p w14:paraId="2C2C2E89" w14:textId="0AE98530" w:rsidR="00AB0FCF" w:rsidRDefault="00C637B1" w:rsidP="00C637B1">
      <w:pPr>
        <w:pStyle w:val="Heading1"/>
        <w:spacing w:before="480"/>
        <w:jc w:val="center"/>
        <w:rPr>
          <w:b w:val="0"/>
          <w:bCs/>
          <w:u w:val="none"/>
          <w:lang w:val="en-US"/>
        </w:rPr>
      </w:pPr>
      <w:r>
        <w:rPr>
          <w:lang w:val="en-US"/>
        </w:rPr>
        <w:lastRenderedPageBreak/>
        <w:t>Appendix</w:t>
      </w:r>
      <w:r w:rsidR="00D33765">
        <w:rPr>
          <w:lang w:val="en-US"/>
        </w:rPr>
        <w:t xml:space="preserve"> </w:t>
      </w:r>
      <w:r w:rsidR="00DC273B">
        <w:rPr>
          <w:lang w:val="en-US"/>
        </w:rPr>
        <w:t>1</w:t>
      </w:r>
    </w:p>
    <w:p w14:paraId="4115A6AB" w14:textId="79B2EC9F" w:rsidR="000232AA" w:rsidRPr="000232AA" w:rsidRDefault="000232AA" w:rsidP="001B0512">
      <w:pPr>
        <w:jc w:val="center"/>
        <w:rPr>
          <w:lang w:val="en-US"/>
        </w:rPr>
      </w:pPr>
      <w:r>
        <w:rPr>
          <w:lang w:val="en-US"/>
        </w:rPr>
        <w:t xml:space="preserve">Emphasis </w:t>
      </w:r>
      <w:proofErr w:type="gramStart"/>
      <w:r>
        <w:rPr>
          <w:lang w:val="en-US"/>
        </w:rPr>
        <w:t>added</w:t>
      </w:r>
      <w:proofErr w:type="gramEnd"/>
    </w:p>
    <w:tbl>
      <w:tblPr>
        <w:tblStyle w:val="TableGrid"/>
        <w:tblpPr w:leftFromText="181" w:rightFromText="181" w:horzAnchor="margin" w:tblpX="-714" w:tblpYSpec="top"/>
        <w:tblW w:w="10207" w:type="dxa"/>
        <w:tblLook w:val="04A0" w:firstRow="1" w:lastRow="0" w:firstColumn="1" w:lastColumn="0" w:noHBand="0" w:noVBand="1"/>
      </w:tblPr>
      <w:tblGrid>
        <w:gridCol w:w="3397"/>
        <w:gridCol w:w="3544"/>
        <w:gridCol w:w="3266"/>
      </w:tblGrid>
      <w:tr w:rsidR="00AB0FCF" w:rsidRPr="00C13671" w14:paraId="19C3FD53" w14:textId="77777777" w:rsidTr="00660F92">
        <w:trPr>
          <w:tblHeader/>
        </w:trPr>
        <w:tc>
          <w:tcPr>
            <w:tcW w:w="3397" w:type="dxa"/>
          </w:tcPr>
          <w:p w14:paraId="271E4DCB" w14:textId="77777777" w:rsidR="00AB0FCF" w:rsidRPr="009F1CC8" w:rsidRDefault="00AB0FCF" w:rsidP="00F81692">
            <w:pPr>
              <w:widowControl w:val="0"/>
              <w:spacing w:after="160"/>
              <w:jc w:val="center"/>
              <w:rPr>
                <w:b/>
                <w:bCs/>
                <w:u w:val="single"/>
              </w:rPr>
            </w:pPr>
            <w:r w:rsidRPr="009F1CC8">
              <w:rPr>
                <w:b/>
                <w:bCs/>
                <w:u w:val="single"/>
              </w:rPr>
              <w:lastRenderedPageBreak/>
              <w:t>EU 2014 Regulation</w:t>
            </w:r>
          </w:p>
          <w:p w14:paraId="168DDC39" w14:textId="09FA5B53" w:rsidR="009F1CC8" w:rsidRPr="00660F92" w:rsidRDefault="009F1CC8" w:rsidP="00F81692">
            <w:pPr>
              <w:widowControl w:val="0"/>
              <w:spacing w:after="160"/>
              <w:jc w:val="center"/>
              <w:rPr>
                <w:b/>
                <w:bCs/>
              </w:rPr>
            </w:pPr>
            <w:r w:rsidRPr="009F1CC8">
              <w:rPr>
                <w:b/>
                <w:bCs/>
              </w:rPr>
              <w:t>(EU Council Regulation 269/2014)</w:t>
            </w:r>
          </w:p>
        </w:tc>
        <w:tc>
          <w:tcPr>
            <w:tcW w:w="3544" w:type="dxa"/>
          </w:tcPr>
          <w:p w14:paraId="5B46289C" w14:textId="77777777" w:rsidR="00AB0FCF" w:rsidRPr="009F1CC8" w:rsidRDefault="00AB0FCF" w:rsidP="00F81692">
            <w:pPr>
              <w:widowControl w:val="0"/>
              <w:spacing w:after="160"/>
              <w:jc w:val="center"/>
              <w:rPr>
                <w:b/>
                <w:bCs/>
                <w:u w:val="single"/>
              </w:rPr>
            </w:pPr>
            <w:r w:rsidRPr="009F1CC8">
              <w:rPr>
                <w:b/>
                <w:bCs/>
                <w:u w:val="single"/>
              </w:rPr>
              <w:t>2014 Regulations</w:t>
            </w:r>
          </w:p>
          <w:p w14:paraId="2D90C177" w14:textId="77777777" w:rsidR="00AB0FCF" w:rsidRPr="00660F92" w:rsidRDefault="00AB0FCF" w:rsidP="00F81692">
            <w:pPr>
              <w:widowControl w:val="0"/>
              <w:spacing w:after="160"/>
              <w:jc w:val="center"/>
              <w:rPr>
                <w:b/>
                <w:bCs/>
              </w:rPr>
            </w:pPr>
            <w:r w:rsidRPr="00660F92">
              <w:rPr>
                <w:b/>
                <w:bCs/>
              </w:rPr>
              <w:t>(Ukraine (European Union Financial Sanctions) (No. 2) Regulations 2014)</w:t>
            </w:r>
          </w:p>
        </w:tc>
        <w:tc>
          <w:tcPr>
            <w:tcW w:w="3266" w:type="dxa"/>
          </w:tcPr>
          <w:p w14:paraId="255AAF13" w14:textId="77777777" w:rsidR="00AB0FCF" w:rsidRPr="009F1CC8" w:rsidRDefault="00AB0FCF" w:rsidP="00F81692">
            <w:pPr>
              <w:widowControl w:val="0"/>
              <w:spacing w:after="160"/>
              <w:jc w:val="center"/>
              <w:rPr>
                <w:b/>
                <w:bCs/>
                <w:u w:val="single"/>
                <w:lang w:val="fr-FR"/>
              </w:rPr>
            </w:pPr>
            <w:r w:rsidRPr="009F1CC8">
              <w:rPr>
                <w:b/>
                <w:bCs/>
                <w:u w:val="single"/>
                <w:lang w:val="fr-FR"/>
              </w:rPr>
              <w:t>Regulations</w:t>
            </w:r>
          </w:p>
          <w:p w14:paraId="22FB3243" w14:textId="2F462BCB" w:rsidR="00AB0FCF" w:rsidRPr="00660F92" w:rsidRDefault="00AB0FCF" w:rsidP="00F81692">
            <w:pPr>
              <w:widowControl w:val="0"/>
              <w:spacing w:after="160"/>
              <w:jc w:val="center"/>
              <w:rPr>
                <w:b/>
                <w:bCs/>
                <w:lang w:val="fr-FR"/>
              </w:rPr>
            </w:pPr>
            <w:r w:rsidRPr="00660F92">
              <w:rPr>
                <w:b/>
                <w:bCs/>
                <w:lang w:val="fr-FR"/>
              </w:rPr>
              <w:t>(Russia (Sanctions) (EU Exit) Regulations 2019</w:t>
            </w:r>
            <w:r w:rsidR="00D33765">
              <w:rPr>
                <w:b/>
                <w:bCs/>
                <w:lang w:val="fr-FR"/>
              </w:rPr>
              <w:t>)</w:t>
            </w:r>
          </w:p>
        </w:tc>
      </w:tr>
      <w:tr w:rsidR="00AB0FCF" w:rsidRPr="00C7525A" w14:paraId="41DDCB12" w14:textId="77777777" w:rsidTr="00660F92">
        <w:trPr>
          <w:tblHeader/>
        </w:trPr>
        <w:tc>
          <w:tcPr>
            <w:tcW w:w="3397" w:type="dxa"/>
          </w:tcPr>
          <w:p w14:paraId="0EDA097C"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i w:val="0"/>
                <w:iCs w:val="0"/>
                <w:color w:val="3D3D3D"/>
                <w:szCs w:val="24"/>
              </w:rPr>
            </w:pPr>
            <w:r w:rsidRPr="00C7525A">
              <w:rPr>
                <w:rFonts w:cs="Times New Roman"/>
                <w:color w:val="3D3D3D"/>
                <w:szCs w:val="24"/>
              </w:rPr>
              <w:t xml:space="preserve">Article 2: Freezing of funds and economic </w:t>
            </w:r>
            <w:proofErr w:type="gramStart"/>
            <w:r w:rsidRPr="00C7525A">
              <w:rPr>
                <w:rFonts w:cs="Times New Roman"/>
                <w:color w:val="3D3D3D"/>
                <w:szCs w:val="24"/>
              </w:rPr>
              <w:t>resources</w:t>
            </w:r>
            <w:proofErr w:type="gramEnd"/>
          </w:p>
          <w:p w14:paraId="5DAA9397" w14:textId="77777777" w:rsidR="00AB0FCF" w:rsidRPr="00C7525A" w:rsidRDefault="00AB0FCF" w:rsidP="00660F92">
            <w:r w:rsidRPr="00C7525A">
              <w:t xml:space="preserve">1. All </w:t>
            </w:r>
            <w:r w:rsidRPr="00C7525A">
              <w:rPr>
                <w:b/>
                <w:bCs/>
              </w:rPr>
              <w:t>funds and economic resources belonging to, owned, held or controlled by</w:t>
            </w:r>
            <w:r w:rsidRPr="00C7525A">
              <w:t xml:space="preserve"> </w:t>
            </w:r>
            <w:r w:rsidRPr="00C7525A">
              <w:rPr>
                <w:b/>
                <w:bCs/>
              </w:rPr>
              <w:t>any natural persons or natural or legal persons, entities or bodies associated with them as listed in Annex I shall be frozen.</w:t>
            </w:r>
          </w:p>
          <w:p w14:paraId="73ECF4E0" w14:textId="77777777" w:rsidR="00AB0FCF" w:rsidRPr="00C7525A" w:rsidRDefault="00AB0FCF" w:rsidP="00660F92">
            <w:r w:rsidRPr="00C7525A">
              <w:rPr>
                <w:b/>
                <w:bCs/>
              </w:rPr>
              <w:t>2. No funds or economic resources shall be made available, directly or indirectly, to or for the benefit of natural persons or natural or legal persons, entities or bodies associated with them listed in Annex I.</w:t>
            </w:r>
          </w:p>
          <w:p w14:paraId="77338178" w14:textId="77777777" w:rsidR="00F81692" w:rsidRDefault="00F81692" w:rsidP="00660F92">
            <w:pPr>
              <w:rPr>
                <w:i/>
                <w:iCs/>
              </w:rPr>
            </w:pPr>
          </w:p>
          <w:p w14:paraId="6A8FC4F6" w14:textId="77777777" w:rsidR="00F81692" w:rsidRDefault="00F81692" w:rsidP="00660F92">
            <w:pPr>
              <w:rPr>
                <w:i/>
                <w:iCs/>
              </w:rPr>
            </w:pPr>
          </w:p>
          <w:p w14:paraId="647B1A3A" w14:textId="0DFAD37B" w:rsidR="00AB0FCF" w:rsidRPr="00C7525A" w:rsidRDefault="00AB0FCF" w:rsidP="00660F92">
            <w:pPr>
              <w:rPr>
                <w:i/>
                <w:iCs/>
              </w:rPr>
            </w:pPr>
            <w:r w:rsidRPr="00C7525A">
              <w:rPr>
                <w:i/>
                <w:iCs/>
              </w:rPr>
              <w:t>Article 10:</w:t>
            </w:r>
          </w:p>
          <w:p w14:paraId="61AA0FCA" w14:textId="77777777" w:rsidR="00AB0FCF" w:rsidRPr="00C7525A" w:rsidRDefault="00AB0FCF" w:rsidP="00660F92">
            <w:r w:rsidRPr="00C7525A">
              <w:t xml:space="preserve">1. </w:t>
            </w:r>
            <w:r>
              <w:t>...</w:t>
            </w:r>
            <w:r w:rsidRPr="00C7525A">
              <w:t xml:space="preserve"> </w:t>
            </w:r>
          </w:p>
          <w:p w14:paraId="542CA7BA" w14:textId="77777777" w:rsidR="00AB0FCF" w:rsidRPr="00C7525A" w:rsidRDefault="00AB0FCF" w:rsidP="00660F92"/>
          <w:p w14:paraId="502B6143" w14:textId="77777777" w:rsidR="00AB0FCF" w:rsidRPr="00C7525A" w:rsidRDefault="00AB0FCF" w:rsidP="00660F92">
            <w:r w:rsidRPr="00C7525A">
              <w:t xml:space="preserve">2. </w:t>
            </w:r>
            <w:r w:rsidRPr="00C7525A">
              <w:rPr>
                <w:b/>
                <w:bCs/>
              </w:rPr>
              <w:t>Actions by natural or legal persons, entities or bodies shall not give rise to any liability of any kind on their part if they did not know, and had no reasonable cause to suspect, that their actions would infringe the measures set out in this Regulation.</w:t>
            </w:r>
          </w:p>
        </w:tc>
        <w:tc>
          <w:tcPr>
            <w:tcW w:w="3544" w:type="dxa"/>
          </w:tcPr>
          <w:p w14:paraId="2B3F2740"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3.— Freezing of funds and economic resources</w:t>
            </w:r>
          </w:p>
          <w:p w14:paraId="30D188E9" w14:textId="77777777" w:rsidR="00AB0FCF" w:rsidRPr="00C7525A" w:rsidRDefault="00AB0FCF" w:rsidP="00660F92">
            <w:pPr>
              <w:widowControl w:val="0"/>
            </w:pPr>
          </w:p>
          <w:p w14:paraId="717E1122" w14:textId="77777777" w:rsidR="00AB0FCF" w:rsidRPr="00C7525A" w:rsidRDefault="00AB0FCF" w:rsidP="00660F92">
            <w:pPr>
              <w:widowControl w:val="0"/>
              <w:shd w:val="clear" w:color="auto" w:fill="FFFFFF"/>
              <w:textAlignment w:val="baseline"/>
              <w:rPr>
                <w:color w:val="3D3D3D"/>
              </w:rPr>
            </w:pPr>
            <w:r w:rsidRPr="00C7525A">
              <w:rPr>
                <w:b/>
                <w:bCs/>
                <w:color w:val="3D3D3D"/>
              </w:rPr>
              <w:t>(1) A person (“P”) must not deal with funds or economic resources belonging to, or owned, held or controlled by, a designated person if P knows, or has reasonable cause to suspect, that P is dealing with such funds or economic resources.</w:t>
            </w:r>
          </w:p>
          <w:p w14:paraId="0C6431ED"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p>
          <w:p w14:paraId="7ADC0C36"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p>
          <w:p w14:paraId="66CD7FE2"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p>
          <w:p w14:paraId="74AFDC23"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p>
          <w:p w14:paraId="199D1F28"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4.— Making funds available to a designated person</w:t>
            </w:r>
          </w:p>
          <w:p w14:paraId="3BC0FF7F" w14:textId="77777777" w:rsidR="00AB0FCF" w:rsidRPr="00C7525A" w:rsidRDefault="00AB0FCF" w:rsidP="00660F92">
            <w:pPr>
              <w:widowControl w:val="0"/>
            </w:pPr>
          </w:p>
          <w:p w14:paraId="76168D4A" w14:textId="77777777" w:rsidR="00AB0FCF" w:rsidRPr="00C7525A" w:rsidRDefault="00AB0FCF" w:rsidP="00660F92">
            <w:pPr>
              <w:widowControl w:val="0"/>
              <w:shd w:val="clear" w:color="auto" w:fill="FFFFFF"/>
              <w:textAlignment w:val="baseline"/>
              <w:rPr>
                <w:b/>
                <w:bCs/>
                <w:color w:val="3D3D3D"/>
              </w:rPr>
            </w:pPr>
            <w:r w:rsidRPr="00C7525A">
              <w:rPr>
                <w:b/>
                <w:bCs/>
                <w:color w:val="3D3D3D"/>
              </w:rPr>
              <w:t>(1)  A person (“P”) must not make funds available, directly or indirectly, to a designated person if P knows, or has reasonable cause to suspect, that P is making the funds so available.</w:t>
            </w:r>
          </w:p>
          <w:p w14:paraId="5A374E23" w14:textId="77777777" w:rsidR="00AB0FCF" w:rsidRPr="00C7525A" w:rsidRDefault="00AB0FCF" w:rsidP="00660F92">
            <w:pPr>
              <w:widowControl w:val="0"/>
              <w:shd w:val="clear" w:color="auto" w:fill="FFFFFF"/>
              <w:textAlignment w:val="baseline"/>
            </w:pPr>
          </w:p>
        </w:tc>
        <w:tc>
          <w:tcPr>
            <w:tcW w:w="3266" w:type="dxa"/>
          </w:tcPr>
          <w:p w14:paraId="16BD711B"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11.— Asset-freeze in relation to designated persons</w:t>
            </w:r>
          </w:p>
          <w:p w14:paraId="7CA8CADB" w14:textId="77777777" w:rsidR="00AB0FCF" w:rsidRPr="00C7525A" w:rsidRDefault="00AB0FCF" w:rsidP="00660F92">
            <w:pPr>
              <w:widowControl w:val="0"/>
            </w:pPr>
          </w:p>
          <w:p w14:paraId="727B40A5" w14:textId="77777777" w:rsidR="00AB0FCF" w:rsidRPr="00C7525A" w:rsidRDefault="00AB0FCF" w:rsidP="00660F92">
            <w:pPr>
              <w:widowControl w:val="0"/>
              <w:shd w:val="clear" w:color="auto" w:fill="FFFFFF"/>
              <w:textAlignment w:val="baseline"/>
              <w:rPr>
                <w:b/>
                <w:bCs/>
                <w:color w:val="3D3D3D"/>
              </w:rPr>
            </w:pPr>
            <w:r w:rsidRPr="00C7525A">
              <w:rPr>
                <w:b/>
                <w:bCs/>
                <w:color w:val="3D3D3D"/>
              </w:rPr>
              <w:t>(1)  A person ("P") must not deal with funds or economic resources owned, held or controlled by a designated person if P knows, or has reasonable cause to suspect, that P is dealing with such funds or economic resources.</w:t>
            </w:r>
          </w:p>
          <w:p w14:paraId="7D6BFB57" w14:textId="611DF373" w:rsidR="00AB0FCF" w:rsidRPr="00C7525A" w:rsidRDefault="00AB0FCF" w:rsidP="00660F92">
            <w:pPr>
              <w:widowControl w:val="0"/>
              <w:shd w:val="clear" w:color="auto" w:fill="FFFFFF"/>
              <w:textAlignment w:val="baseline"/>
              <w:rPr>
                <w:color w:val="3D3D3D"/>
              </w:rPr>
            </w:pPr>
            <w:r w:rsidRPr="00C7525A">
              <w:rPr>
                <w:color w:val="3D3D3D"/>
              </w:rPr>
              <w:t>(2)  Paragraph (1) is subject to </w:t>
            </w:r>
            <w:r w:rsidRPr="00A52919">
              <w:rPr>
                <w:bdr w:val="none" w:sz="0" w:space="0" w:color="auto" w:frame="1"/>
              </w:rPr>
              <w:t>Part 7</w:t>
            </w:r>
            <w:r w:rsidRPr="00C7525A">
              <w:rPr>
                <w:color w:val="3D3D3D"/>
              </w:rPr>
              <w:t> (Exceptions and licences).</w:t>
            </w:r>
          </w:p>
          <w:p w14:paraId="32962D1F" w14:textId="77777777" w:rsidR="00AB0FCF" w:rsidRPr="00C7525A" w:rsidRDefault="00AB0FCF" w:rsidP="00660F92">
            <w:pPr>
              <w:widowControl w:val="0"/>
              <w:shd w:val="clear" w:color="auto" w:fill="FFFFFF"/>
              <w:textAlignment w:val="baseline"/>
              <w:rPr>
                <w:b/>
                <w:bCs/>
                <w:color w:val="3D3D3D"/>
              </w:rPr>
            </w:pPr>
            <w:r w:rsidRPr="00C7525A">
              <w:rPr>
                <w:b/>
                <w:bCs/>
                <w:color w:val="3D3D3D"/>
              </w:rPr>
              <w:t>(3)  A person who contravenes the prohibition in paragraph (1) commits an offence.</w:t>
            </w:r>
          </w:p>
          <w:p w14:paraId="464DC31F" w14:textId="77777777" w:rsidR="00AB0FCF" w:rsidRPr="00C7525A" w:rsidRDefault="00AB0FCF" w:rsidP="00660F92">
            <w:pPr>
              <w:widowControl w:val="0"/>
              <w:shd w:val="clear" w:color="auto" w:fill="FFFFFF"/>
              <w:textAlignment w:val="baseline"/>
              <w:rPr>
                <w:color w:val="3D3D3D"/>
              </w:rPr>
            </w:pPr>
          </w:p>
          <w:p w14:paraId="30435354"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12.— Making funds available to designated person</w:t>
            </w:r>
          </w:p>
          <w:p w14:paraId="21E099E8" w14:textId="77777777" w:rsidR="00AB0FCF" w:rsidRPr="00C7525A" w:rsidRDefault="00AB0FCF" w:rsidP="00660F92">
            <w:pPr>
              <w:widowControl w:val="0"/>
            </w:pPr>
          </w:p>
          <w:p w14:paraId="407D0B55" w14:textId="77777777" w:rsidR="00AB0FCF" w:rsidRPr="00C7525A" w:rsidRDefault="00AB0FCF" w:rsidP="00660F92">
            <w:pPr>
              <w:widowControl w:val="0"/>
              <w:shd w:val="clear" w:color="auto" w:fill="FFFFFF"/>
              <w:textAlignment w:val="baseline"/>
              <w:rPr>
                <w:b/>
                <w:bCs/>
                <w:color w:val="3D3D3D"/>
              </w:rPr>
            </w:pPr>
            <w:r w:rsidRPr="00C7525A">
              <w:rPr>
                <w:b/>
                <w:bCs/>
                <w:color w:val="3D3D3D"/>
              </w:rPr>
              <w:t>(1)  A person ("P") must not make funds available directly or indirectly to a designated person if P knows, or has reasonable cause to suspect, that P is making the funds so available.</w:t>
            </w:r>
          </w:p>
          <w:p w14:paraId="1828A29C" w14:textId="6474CB15" w:rsidR="00AB0FCF" w:rsidRPr="00C7525A" w:rsidRDefault="00AB0FCF" w:rsidP="00660F92">
            <w:pPr>
              <w:widowControl w:val="0"/>
              <w:shd w:val="clear" w:color="auto" w:fill="FFFFFF"/>
              <w:textAlignment w:val="baseline"/>
              <w:rPr>
                <w:color w:val="3D3D3D"/>
              </w:rPr>
            </w:pPr>
            <w:r w:rsidRPr="00C7525A">
              <w:rPr>
                <w:color w:val="3D3D3D"/>
              </w:rPr>
              <w:t>(2)  Paragraph (1) is subject to </w:t>
            </w:r>
            <w:r w:rsidRPr="00A52919">
              <w:rPr>
                <w:bdr w:val="none" w:sz="0" w:space="0" w:color="auto" w:frame="1"/>
              </w:rPr>
              <w:t>Part 7</w:t>
            </w:r>
            <w:r w:rsidRPr="00C7525A">
              <w:rPr>
                <w:color w:val="3D3D3D"/>
              </w:rPr>
              <w:t> (Exceptions and licences).</w:t>
            </w:r>
          </w:p>
          <w:p w14:paraId="69F2EF45" w14:textId="77777777" w:rsidR="00AB0FCF" w:rsidRPr="00C7525A" w:rsidRDefault="00AB0FCF" w:rsidP="00660F92">
            <w:pPr>
              <w:widowControl w:val="0"/>
              <w:shd w:val="clear" w:color="auto" w:fill="FFFFFF"/>
              <w:textAlignment w:val="baseline"/>
              <w:rPr>
                <w:b/>
                <w:bCs/>
                <w:color w:val="3D3D3D"/>
              </w:rPr>
            </w:pPr>
            <w:r w:rsidRPr="00C7525A">
              <w:rPr>
                <w:b/>
                <w:bCs/>
                <w:color w:val="3D3D3D"/>
              </w:rPr>
              <w:t>(3)  A person who contravenes the prohibition in paragraph (1) commits an offence.</w:t>
            </w:r>
          </w:p>
          <w:p w14:paraId="27D2178A" w14:textId="77777777" w:rsidR="00AB0FCF" w:rsidRPr="00C7525A" w:rsidRDefault="00AB0FCF" w:rsidP="00660F92">
            <w:pPr>
              <w:widowControl w:val="0"/>
              <w:spacing w:after="160"/>
              <w:jc w:val="both"/>
            </w:pPr>
          </w:p>
        </w:tc>
      </w:tr>
      <w:tr w:rsidR="00AB0FCF" w:rsidRPr="00C7525A" w14:paraId="2161C6CC" w14:textId="77777777" w:rsidTr="00660F92">
        <w:trPr>
          <w:tblHeader/>
        </w:trPr>
        <w:tc>
          <w:tcPr>
            <w:tcW w:w="3397" w:type="dxa"/>
          </w:tcPr>
          <w:p w14:paraId="74C44562"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Article 15</w:t>
            </w:r>
          </w:p>
          <w:p w14:paraId="28A6A442" w14:textId="77777777" w:rsidR="00AB0FCF" w:rsidRPr="00C7525A" w:rsidRDefault="00AB0FCF" w:rsidP="00660F92">
            <w:r w:rsidRPr="00C7525A">
              <w:t xml:space="preserve">1. Member States shall lay down the rules on penalties applicable to infringements of the </w:t>
            </w:r>
            <w:r w:rsidRPr="00C7525A">
              <w:lastRenderedPageBreak/>
              <w:t>provisions of this Regulation and shall take all measures necessary to ensure that they are implemented. The penalties provided for must be effective, proportionate and dissuasive.</w:t>
            </w:r>
          </w:p>
        </w:tc>
        <w:tc>
          <w:tcPr>
            <w:tcW w:w="3544" w:type="dxa"/>
          </w:tcPr>
          <w:p w14:paraId="1BF841EF"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lastRenderedPageBreak/>
              <w:t>10.— Contravention and circumvention of prohibitions</w:t>
            </w:r>
          </w:p>
          <w:p w14:paraId="1E062C04" w14:textId="5B68D941" w:rsidR="00AB0FCF" w:rsidRPr="00C7525A" w:rsidRDefault="00AB0FCF" w:rsidP="00660F92">
            <w:pPr>
              <w:widowControl w:val="0"/>
              <w:shd w:val="clear" w:color="auto" w:fill="FFFFFF"/>
              <w:textAlignment w:val="baseline"/>
              <w:rPr>
                <w:b/>
                <w:bCs/>
                <w:color w:val="3D3D3D"/>
              </w:rPr>
            </w:pPr>
            <w:r w:rsidRPr="00C7525A">
              <w:rPr>
                <w:b/>
                <w:bCs/>
                <w:color w:val="3D3D3D"/>
              </w:rPr>
              <w:t xml:space="preserve">(1)  A person who contravenes any of the prohibitions </w:t>
            </w:r>
            <w:r w:rsidRPr="00C7525A">
              <w:rPr>
                <w:b/>
                <w:bCs/>
                <w:color w:val="3D3D3D"/>
              </w:rPr>
              <w:lastRenderedPageBreak/>
              <w:t>in </w:t>
            </w:r>
            <w:r w:rsidRPr="00A52919">
              <w:rPr>
                <w:b/>
                <w:bCs/>
                <w:bdr w:val="none" w:sz="0" w:space="0" w:color="auto" w:frame="1"/>
              </w:rPr>
              <w:t>regulations 3 to 7</w:t>
            </w:r>
            <w:r w:rsidRPr="00C7525A">
              <w:rPr>
                <w:b/>
                <w:bCs/>
                <w:color w:val="3D3D3D"/>
              </w:rPr>
              <w:t> commits an offence.</w:t>
            </w:r>
          </w:p>
          <w:p w14:paraId="6DD36626" w14:textId="77777777" w:rsidR="00AB0FCF" w:rsidRPr="00C7525A" w:rsidRDefault="00AB0FCF" w:rsidP="00660F92">
            <w:pPr>
              <w:widowControl w:val="0"/>
              <w:shd w:val="clear" w:color="auto" w:fill="FFFFFF"/>
              <w:textAlignment w:val="baseline"/>
              <w:rPr>
                <w:color w:val="3D3D3D"/>
              </w:rPr>
            </w:pPr>
            <w:r w:rsidRPr="00C7525A">
              <w:rPr>
                <w:color w:val="3D3D3D"/>
              </w:rPr>
              <w:t>(2)  A person commits an offence who intentionally participates in activities knowing that the object or effect of them is (whether directly or indirectly)—</w:t>
            </w:r>
          </w:p>
          <w:p w14:paraId="6202B1B2" w14:textId="43DCFD0D" w:rsidR="00AB0FCF" w:rsidRPr="00C7525A" w:rsidRDefault="00AB0FCF" w:rsidP="00660F92">
            <w:pPr>
              <w:widowControl w:val="0"/>
              <w:shd w:val="clear" w:color="auto" w:fill="FFFFFF"/>
              <w:textAlignment w:val="baseline"/>
              <w:rPr>
                <w:color w:val="3D3D3D"/>
              </w:rPr>
            </w:pPr>
            <w:r w:rsidRPr="00C7525A">
              <w:rPr>
                <w:color w:val="3D3D3D"/>
              </w:rPr>
              <w:t>(a)  to circumvent any of the prohibitions in </w:t>
            </w:r>
            <w:r w:rsidRPr="00A52919">
              <w:rPr>
                <w:bdr w:val="none" w:sz="0" w:space="0" w:color="auto" w:frame="1"/>
              </w:rPr>
              <w:t>regulations 3 to 7</w:t>
            </w:r>
            <w:r w:rsidRPr="00C7525A">
              <w:rPr>
                <w:color w:val="3D3D3D"/>
              </w:rPr>
              <w:t>; or</w:t>
            </w:r>
          </w:p>
          <w:p w14:paraId="1C67D71A" w14:textId="77777777" w:rsidR="00AB0FCF" w:rsidRPr="00C7525A" w:rsidRDefault="00AB0FCF" w:rsidP="00660F92">
            <w:pPr>
              <w:widowControl w:val="0"/>
              <w:shd w:val="clear" w:color="auto" w:fill="FFFFFF"/>
              <w:textAlignment w:val="baseline"/>
              <w:rPr>
                <w:color w:val="3D3D3D"/>
              </w:rPr>
            </w:pPr>
            <w:r w:rsidRPr="00C7525A">
              <w:rPr>
                <w:color w:val="3D3D3D"/>
              </w:rPr>
              <w:t>(b)  to enable or facilitate the contravention of any such prohibition.</w:t>
            </w:r>
          </w:p>
          <w:p w14:paraId="56B3C754" w14:textId="77777777" w:rsidR="00AB0FCF" w:rsidRPr="00C7525A" w:rsidRDefault="00AB0FCF" w:rsidP="00660F92">
            <w:pPr>
              <w:widowControl w:val="0"/>
              <w:spacing w:after="160"/>
              <w:jc w:val="both"/>
            </w:pPr>
          </w:p>
        </w:tc>
        <w:tc>
          <w:tcPr>
            <w:tcW w:w="3266" w:type="dxa"/>
          </w:tcPr>
          <w:p w14:paraId="49F2B4E9"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lastRenderedPageBreak/>
              <w:t>19.— Circumventing etc. prohibitions</w:t>
            </w:r>
          </w:p>
          <w:p w14:paraId="7F132ED9" w14:textId="77777777" w:rsidR="00AB0FCF" w:rsidRPr="00C7525A" w:rsidRDefault="00AB0FCF" w:rsidP="00660F92">
            <w:pPr>
              <w:widowControl w:val="0"/>
              <w:shd w:val="clear" w:color="auto" w:fill="FFFFFF"/>
              <w:textAlignment w:val="baseline"/>
              <w:rPr>
                <w:color w:val="3D3D3D"/>
              </w:rPr>
            </w:pPr>
            <w:r w:rsidRPr="00C7525A">
              <w:rPr>
                <w:color w:val="3D3D3D"/>
              </w:rPr>
              <w:t xml:space="preserve">(1)  A person must not intentionally participate in </w:t>
            </w:r>
            <w:r w:rsidRPr="00C7525A">
              <w:rPr>
                <w:color w:val="3D3D3D"/>
              </w:rPr>
              <w:lastRenderedPageBreak/>
              <w:t>activities knowing that the object or effect of them is (whether directly or indirectly)—</w:t>
            </w:r>
          </w:p>
          <w:p w14:paraId="1DF943BA" w14:textId="55131B9A" w:rsidR="00AB0FCF" w:rsidRPr="00C7525A" w:rsidRDefault="00AB0FCF" w:rsidP="00660F92">
            <w:pPr>
              <w:widowControl w:val="0"/>
              <w:shd w:val="clear" w:color="auto" w:fill="FFFFFF"/>
              <w:textAlignment w:val="baseline"/>
              <w:rPr>
                <w:color w:val="3D3D3D"/>
              </w:rPr>
            </w:pPr>
            <w:r w:rsidRPr="00C7525A">
              <w:rPr>
                <w:color w:val="3D3D3D"/>
              </w:rPr>
              <w:t>(a)  to circumvent any of the prohibitions in </w:t>
            </w:r>
            <w:r w:rsidRPr="00A52919">
              <w:rPr>
                <w:bdr w:val="none" w:sz="0" w:space="0" w:color="auto" w:frame="1"/>
              </w:rPr>
              <w:t>regulations 11 to 18c</w:t>
            </w:r>
            <w:r w:rsidRPr="00C7525A">
              <w:rPr>
                <w:color w:val="3D3D3D"/>
              </w:rPr>
              <w:t>, or</w:t>
            </w:r>
          </w:p>
          <w:p w14:paraId="7EA80B03" w14:textId="77777777" w:rsidR="00AB0FCF" w:rsidRPr="00C7525A" w:rsidRDefault="00AB0FCF" w:rsidP="00660F92">
            <w:pPr>
              <w:widowControl w:val="0"/>
              <w:shd w:val="clear" w:color="auto" w:fill="FFFFFF"/>
              <w:textAlignment w:val="baseline"/>
              <w:rPr>
                <w:color w:val="3D3D3D"/>
              </w:rPr>
            </w:pPr>
            <w:r w:rsidRPr="00C7525A">
              <w:rPr>
                <w:color w:val="3D3D3D"/>
              </w:rPr>
              <w:t>(b)  to enable or facilitate the contravention of any such prohibition.</w:t>
            </w:r>
          </w:p>
          <w:p w14:paraId="0FBB6722" w14:textId="77777777" w:rsidR="00AB0FCF" w:rsidRPr="00C7525A" w:rsidRDefault="00AB0FCF" w:rsidP="00660F92">
            <w:pPr>
              <w:widowControl w:val="0"/>
              <w:shd w:val="clear" w:color="auto" w:fill="FFFFFF"/>
              <w:textAlignment w:val="baseline"/>
              <w:rPr>
                <w:color w:val="3D3D3D"/>
              </w:rPr>
            </w:pPr>
            <w:r w:rsidRPr="00C7525A">
              <w:rPr>
                <w:color w:val="3D3D3D"/>
              </w:rPr>
              <w:t>(2)  A person who contravenes the prohibition in paragraph (1) commits an offence.</w:t>
            </w:r>
          </w:p>
          <w:p w14:paraId="23702C57" w14:textId="77777777" w:rsidR="00AB0FCF" w:rsidRPr="00C7525A" w:rsidRDefault="00AB0FCF" w:rsidP="00660F92">
            <w:pPr>
              <w:widowControl w:val="0"/>
              <w:spacing w:after="160"/>
              <w:jc w:val="both"/>
            </w:pPr>
          </w:p>
        </w:tc>
      </w:tr>
      <w:tr w:rsidR="00AB0FCF" w:rsidRPr="00C7525A" w14:paraId="68C2B372" w14:textId="77777777" w:rsidTr="00660F92">
        <w:trPr>
          <w:tblHeader/>
        </w:trPr>
        <w:tc>
          <w:tcPr>
            <w:tcW w:w="3397" w:type="dxa"/>
          </w:tcPr>
          <w:p w14:paraId="3F1434A2"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p>
        </w:tc>
        <w:tc>
          <w:tcPr>
            <w:tcW w:w="3544" w:type="dxa"/>
          </w:tcPr>
          <w:p w14:paraId="0534115B"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12.— Penalties</w:t>
            </w:r>
          </w:p>
          <w:p w14:paraId="398A961E" w14:textId="799E783E" w:rsidR="00AB0FCF" w:rsidRPr="00C7525A" w:rsidRDefault="00AB0FCF" w:rsidP="00660F92">
            <w:pPr>
              <w:widowControl w:val="0"/>
              <w:shd w:val="clear" w:color="auto" w:fill="FFFFFF"/>
              <w:textAlignment w:val="baseline"/>
              <w:rPr>
                <w:color w:val="3D3D3D"/>
              </w:rPr>
            </w:pPr>
            <w:r w:rsidRPr="00C7525A">
              <w:rPr>
                <w:color w:val="3D3D3D"/>
              </w:rPr>
              <w:t>(1)  A person guilty of an offence under </w:t>
            </w:r>
            <w:r w:rsidRPr="00A52919">
              <w:rPr>
                <w:bdr w:val="none" w:sz="0" w:space="0" w:color="auto" w:frame="1"/>
              </w:rPr>
              <w:t>regulation 9 or 10</w:t>
            </w:r>
            <w:r w:rsidRPr="00C7525A">
              <w:rPr>
                <w:color w:val="3D3D3D"/>
              </w:rPr>
              <w:t> is liable—</w:t>
            </w:r>
          </w:p>
          <w:p w14:paraId="14ADD05F" w14:textId="77777777" w:rsidR="00AB0FCF" w:rsidRPr="00C7525A" w:rsidRDefault="00AB0FCF" w:rsidP="00660F92">
            <w:pPr>
              <w:widowControl w:val="0"/>
              <w:shd w:val="clear" w:color="auto" w:fill="FFFFFF"/>
              <w:textAlignment w:val="baseline"/>
              <w:rPr>
                <w:color w:val="3D3D3D"/>
              </w:rPr>
            </w:pPr>
            <w:r w:rsidRPr="00C7525A">
              <w:rPr>
                <w:color w:val="3D3D3D"/>
              </w:rPr>
              <w:t>(a)   on conviction on indictment, to imprisonment for a term not exceeding</w:t>
            </w:r>
            <w:r w:rsidRPr="00C7525A">
              <w:rPr>
                <w:rStyle w:val="cofootnotenode"/>
                <w:bdr w:val="none" w:sz="0" w:space="0" w:color="auto" w:frame="1"/>
              </w:rPr>
              <w:t xml:space="preserve"> </w:t>
            </w:r>
            <w:r w:rsidRPr="00C7525A">
              <w:rPr>
                <w:color w:val="3D3D3D"/>
              </w:rPr>
              <w:t xml:space="preserve">seven years or to a fine or to </w:t>
            </w:r>
            <w:proofErr w:type="gramStart"/>
            <w:r w:rsidRPr="00C7525A">
              <w:rPr>
                <w:color w:val="3D3D3D"/>
              </w:rPr>
              <w:t>both;</w:t>
            </w:r>
            <w:proofErr w:type="gramEnd"/>
          </w:p>
          <w:p w14:paraId="6B1F8D53" w14:textId="77777777" w:rsidR="00AB0FCF" w:rsidRPr="00C7525A" w:rsidRDefault="00AB0FCF" w:rsidP="00660F92">
            <w:pPr>
              <w:widowControl w:val="0"/>
              <w:spacing w:after="160"/>
              <w:jc w:val="both"/>
            </w:pPr>
          </w:p>
        </w:tc>
        <w:tc>
          <w:tcPr>
            <w:tcW w:w="3266" w:type="dxa"/>
          </w:tcPr>
          <w:p w14:paraId="347D8790" w14:textId="77777777" w:rsidR="00AB0FCF" w:rsidRPr="00C7525A" w:rsidRDefault="00AB0FCF" w:rsidP="00660F92">
            <w:pPr>
              <w:pStyle w:val="Heading4"/>
              <w:keepNext w:val="0"/>
              <w:keepLines w:val="0"/>
              <w:shd w:val="clear" w:color="auto" w:fill="FFFFFF"/>
              <w:spacing w:line="320" w:lineRule="atLeast"/>
              <w:textAlignment w:val="baseline"/>
              <w:rPr>
                <w:rFonts w:cs="Times New Roman"/>
                <w:color w:val="3D3D3D"/>
                <w:szCs w:val="24"/>
              </w:rPr>
            </w:pPr>
            <w:r w:rsidRPr="00C7525A">
              <w:rPr>
                <w:rFonts w:cs="Times New Roman"/>
                <w:color w:val="3D3D3D"/>
                <w:szCs w:val="24"/>
              </w:rPr>
              <w:t>80.— Penalties for offences</w:t>
            </w:r>
          </w:p>
          <w:p w14:paraId="4EC6740E" w14:textId="23D98561" w:rsidR="00AB0FCF" w:rsidRPr="00C7525A" w:rsidRDefault="00AB0FCF" w:rsidP="00660F92">
            <w:pPr>
              <w:widowControl w:val="0"/>
              <w:shd w:val="clear" w:color="auto" w:fill="FFFFFF"/>
              <w:textAlignment w:val="baseline"/>
              <w:rPr>
                <w:color w:val="3D3D3D"/>
                <w:shd w:val="clear" w:color="auto" w:fill="FFFFFF"/>
              </w:rPr>
            </w:pPr>
            <w:r w:rsidRPr="00C7525A">
              <w:rPr>
                <w:color w:val="3D3D3D"/>
              </w:rPr>
              <w:t>(1)  A person who commits an offence under any provision of </w:t>
            </w:r>
            <w:r w:rsidRPr="00A52919">
              <w:rPr>
                <w:bdr w:val="none" w:sz="0" w:space="0" w:color="auto" w:frame="1"/>
              </w:rPr>
              <w:t>Part 3</w:t>
            </w:r>
            <w:r w:rsidRPr="00C7525A">
              <w:rPr>
                <w:color w:val="3D3D3D"/>
              </w:rPr>
              <w:t xml:space="preserve"> (Finance), … </w:t>
            </w:r>
            <w:r w:rsidRPr="00C7525A">
              <w:rPr>
                <w:color w:val="3D3D3D"/>
                <w:shd w:val="clear" w:color="auto" w:fill="FFFFFF"/>
              </w:rPr>
              <w:t xml:space="preserve">is liable – </w:t>
            </w:r>
          </w:p>
          <w:p w14:paraId="2E5F27A3" w14:textId="77777777" w:rsidR="00AB0FCF" w:rsidRPr="00C7525A" w:rsidRDefault="00AB0FCF" w:rsidP="00660F92">
            <w:pPr>
              <w:widowControl w:val="0"/>
              <w:shd w:val="clear" w:color="auto" w:fill="FFFFFF"/>
              <w:textAlignment w:val="baseline"/>
              <w:rPr>
                <w:color w:val="3D3D3D"/>
                <w:shd w:val="clear" w:color="auto" w:fill="FFFFFF"/>
              </w:rPr>
            </w:pPr>
            <w:r w:rsidRPr="00C7525A">
              <w:rPr>
                <w:color w:val="3D3D3D"/>
                <w:shd w:val="clear" w:color="auto" w:fill="FFFFFF"/>
              </w:rPr>
              <w:t>…</w:t>
            </w:r>
          </w:p>
          <w:p w14:paraId="138056EF" w14:textId="77777777" w:rsidR="00AB0FCF" w:rsidRPr="00C7525A" w:rsidRDefault="00AB0FCF" w:rsidP="00660F92">
            <w:pPr>
              <w:widowControl w:val="0"/>
              <w:shd w:val="clear" w:color="auto" w:fill="FFFFFF"/>
              <w:textAlignment w:val="baseline"/>
              <w:rPr>
                <w:color w:val="3D3D3D"/>
              </w:rPr>
            </w:pPr>
            <w:r w:rsidRPr="00C7525A">
              <w:rPr>
                <w:color w:val="3D3D3D"/>
                <w:shd w:val="clear" w:color="auto" w:fill="FFFFFF"/>
              </w:rPr>
              <w:t>(d)  on conviction on indictment, to imprisonment for a term not exceeding 7 years or a fine (or both).</w:t>
            </w:r>
          </w:p>
          <w:p w14:paraId="3D93C393" w14:textId="77777777" w:rsidR="00AB0FCF" w:rsidRPr="00C7525A" w:rsidRDefault="00AB0FCF" w:rsidP="00660F92">
            <w:pPr>
              <w:widowControl w:val="0"/>
              <w:spacing w:after="160"/>
              <w:jc w:val="both"/>
            </w:pPr>
          </w:p>
        </w:tc>
      </w:tr>
    </w:tbl>
    <w:p w14:paraId="106AFC7A" w14:textId="77777777" w:rsidR="00AB0FCF" w:rsidRPr="00C7525A" w:rsidRDefault="00AB0FCF" w:rsidP="00AB0FCF">
      <w:pPr>
        <w:widowControl w:val="0"/>
        <w:spacing w:line="360" w:lineRule="auto"/>
        <w:rPr>
          <w:b/>
          <w:bCs/>
        </w:rPr>
      </w:pPr>
    </w:p>
    <w:p w14:paraId="7364828C" w14:textId="77777777" w:rsidR="00AB0FCF" w:rsidRPr="00C7525A" w:rsidRDefault="00AB0FCF" w:rsidP="00AB0FCF"/>
    <w:p w14:paraId="0443078B" w14:textId="77777777" w:rsidR="00AB0FCF" w:rsidRDefault="00AB0FCF" w:rsidP="004A4283">
      <w:pPr>
        <w:pStyle w:val="BodyText"/>
        <w:numPr>
          <w:ilvl w:val="0"/>
          <w:numId w:val="0"/>
        </w:numPr>
        <w:ind w:left="567"/>
        <w:rPr>
          <w:color w:val="000000" w:themeColor="text1"/>
          <w:lang w:val="en-US"/>
        </w:rPr>
      </w:pPr>
    </w:p>
    <w:sectPr w:rsidR="00AB0FCF">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0AD9" w14:textId="77777777" w:rsidR="00136A79" w:rsidRDefault="00136A79">
      <w:r>
        <w:separator/>
      </w:r>
    </w:p>
  </w:endnote>
  <w:endnote w:type="continuationSeparator" w:id="0">
    <w:p w14:paraId="52EA36BC" w14:textId="77777777" w:rsidR="00136A79" w:rsidRDefault="00136A79">
      <w:r>
        <w:continuationSeparator/>
      </w:r>
    </w:p>
  </w:endnote>
  <w:endnote w:type="continuationNotice" w:id="1">
    <w:p w14:paraId="5C831130" w14:textId="77777777" w:rsidR="00136A79" w:rsidRDefault="00136A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C71" w14:textId="77777777" w:rsidR="00311E4B" w:rsidRDefault="00311E4B">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327770"/>
      <w:docPartObj>
        <w:docPartGallery w:val="Page Numbers (Bottom of Page)"/>
        <w:docPartUnique/>
      </w:docPartObj>
    </w:sdtPr>
    <w:sdtEndPr>
      <w:rPr>
        <w:noProof/>
      </w:rPr>
    </w:sdtEndPr>
    <w:sdtContent>
      <w:p w14:paraId="267477F7" w14:textId="584F16BD" w:rsidR="00311E4B" w:rsidRDefault="00311E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5DC77" w14:textId="77777777" w:rsidR="00311E4B" w:rsidRDefault="00311E4B">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BD1C" w14:textId="77777777" w:rsidR="00136A79" w:rsidRDefault="00136A79">
      <w:r>
        <w:separator/>
      </w:r>
    </w:p>
  </w:footnote>
  <w:footnote w:type="continuationSeparator" w:id="0">
    <w:p w14:paraId="05BF4E5C" w14:textId="77777777" w:rsidR="00136A79" w:rsidRDefault="00136A79">
      <w:r>
        <w:continuationSeparator/>
      </w:r>
    </w:p>
  </w:footnote>
  <w:footnote w:type="continuationNotice" w:id="1">
    <w:p w14:paraId="5162D15C" w14:textId="77777777" w:rsidR="00136A79" w:rsidRDefault="00136A79"/>
  </w:footnote>
  <w:footnote w:id="2">
    <w:p w14:paraId="6B2B57D5" w14:textId="5D189403" w:rsidR="00B86E6F" w:rsidRDefault="00B86E6F" w:rsidP="00305733">
      <w:pPr>
        <w:pStyle w:val="FootnoteText"/>
        <w:ind w:left="0" w:firstLine="0"/>
        <w:rPr>
          <w:rFonts w:asciiTheme="minorHAnsi" w:hAnsiTheme="minorHAnsi" w:cstheme="minorBidi"/>
          <w:lang w:eastAsia="en-US"/>
        </w:rPr>
      </w:pPr>
      <w:r>
        <w:rPr>
          <w:rStyle w:val="FootnoteReference"/>
        </w:rPr>
        <w:footnoteRef/>
      </w:r>
      <w:r>
        <w:t xml:space="preserve"> See for example: </w:t>
      </w:r>
      <w:r w:rsidR="00DD2037">
        <w:t xml:space="preserve">Judgment of Falk J dated 5 August 2020 </w:t>
      </w:r>
      <w:r w:rsidR="00DD2037" w:rsidRPr="00DD2037">
        <w:t>[2020] EWHC 2114 (Ch)</w:t>
      </w:r>
      <w:r w:rsidR="00DD2037">
        <w:t xml:space="preserve">, </w:t>
      </w:r>
      <w:r>
        <w:t>Judgment of Snowden J dated 13 August 2021</w:t>
      </w:r>
      <w:r w:rsidR="000302A6">
        <w:t xml:space="preserve"> [2021]</w:t>
      </w:r>
      <w:r w:rsidR="00B101AE">
        <w:t xml:space="preserve"> EWHC 2281 (Ch)</w:t>
      </w:r>
      <w:r>
        <w:t xml:space="preserve">, Judgment of Falk J dated 20 May 2022, </w:t>
      </w:r>
      <w:r w:rsidR="00B40865">
        <w:t>[2022] EWHC</w:t>
      </w:r>
      <w:r w:rsidR="00D70FCD">
        <w:t xml:space="preserve"> 1166 (Ch), </w:t>
      </w:r>
      <w:r>
        <w:t xml:space="preserve">Judgment of Falk LJ (sitting with Master Kaye) dated 14 February </w:t>
      </w:r>
      <w:r w:rsidR="00B40865">
        <w:t>20</w:t>
      </w:r>
      <w:r>
        <w:t>23  [2023] EWHC 348 (Ch) Judgment of Miles J (sitting with Master Kaye) dated 16 June 2023</w:t>
      </w:r>
      <w:r w:rsidR="00D70FCD">
        <w:t xml:space="preserve"> [2023] EWHC 1459 (Ch)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39" w:type="dxa"/>
      <w:tblInd w:w="108" w:type="dxa"/>
      <w:tblLayout w:type="fixed"/>
      <w:tblLook w:val="0000" w:firstRow="0" w:lastRow="0" w:firstColumn="0" w:lastColumn="0" w:noHBand="0" w:noVBand="0"/>
    </w:tblPr>
    <w:tblGrid>
      <w:gridCol w:w="4680"/>
      <w:gridCol w:w="3859"/>
    </w:tblGrid>
    <w:tr w:rsidR="00311E4B" w:rsidRPr="001E4993" w14:paraId="0495DC75" w14:textId="77777777" w:rsidTr="007D014C">
      <w:tc>
        <w:tcPr>
          <w:tcW w:w="4680" w:type="dxa"/>
        </w:tcPr>
        <w:p w14:paraId="7CA9CA63" w14:textId="77777777" w:rsidR="007A0032" w:rsidRDefault="007A0032">
          <w:pPr>
            <w:pStyle w:val="Header"/>
            <w:rPr>
              <w:b/>
              <w:sz w:val="16"/>
              <w:u w:val="single"/>
            </w:rPr>
          </w:pPr>
          <w:r>
            <w:rPr>
              <w:b/>
              <w:sz w:val="16"/>
              <w:u w:val="single"/>
            </w:rPr>
            <w:t>APPROVED JUDGMENT</w:t>
          </w:r>
        </w:p>
        <w:p w14:paraId="0495DC73" w14:textId="4286EEEA" w:rsidR="00311E4B" w:rsidRDefault="00311E4B">
          <w:pPr>
            <w:pStyle w:val="Header"/>
          </w:pPr>
        </w:p>
      </w:tc>
      <w:tc>
        <w:tcPr>
          <w:tcW w:w="3859" w:type="dxa"/>
        </w:tcPr>
        <w:p w14:paraId="0495DC74" w14:textId="56F0109A" w:rsidR="00311E4B" w:rsidRPr="000302A6" w:rsidRDefault="00DF4267">
          <w:pPr>
            <w:pStyle w:val="Header"/>
            <w:jc w:val="right"/>
            <w:rPr>
              <w:sz w:val="16"/>
            </w:rPr>
          </w:pPr>
          <w:proofErr w:type="spellStart"/>
          <w:r w:rsidRPr="000302A6">
            <w:rPr>
              <w:sz w:val="16"/>
            </w:rPr>
            <w:t>Vneshpro</w:t>
          </w:r>
          <w:r w:rsidR="005A2481" w:rsidRPr="000302A6">
            <w:rPr>
              <w:sz w:val="16"/>
            </w:rPr>
            <w:t>m</w:t>
          </w:r>
          <w:r w:rsidRPr="000302A6">
            <w:rPr>
              <w:sz w:val="16"/>
            </w:rPr>
            <w:t>bank</w:t>
          </w:r>
          <w:proofErr w:type="spellEnd"/>
          <w:r w:rsidR="005A2481" w:rsidRPr="000302A6">
            <w:rPr>
              <w:sz w:val="16"/>
            </w:rPr>
            <w:t xml:space="preserve"> v </w:t>
          </w:r>
          <w:proofErr w:type="spellStart"/>
          <w:r w:rsidR="005A2481" w:rsidRPr="000302A6">
            <w:rPr>
              <w:sz w:val="16"/>
            </w:rPr>
            <w:t>Bedzhamov</w:t>
          </w:r>
          <w:proofErr w:type="spellEnd"/>
          <w:r w:rsidR="005A2481" w:rsidRPr="000302A6">
            <w:rPr>
              <w:sz w:val="16"/>
            </w:rPr>
            <w:t xml:space="preserve">, </w:t>
          </w:r>
          <w:proofErr w:type="spellStart"/>
          <w:r w:rsidR="00E33D3E" w:rsidRPr="000302A6">
            <w:rPr>
              <w:sz w:val="16"/>
            </w:rPr>
            <w:t>Kireeva</w:t>
          </w:r>
          <w:proofErr w:type="spellEnd"/>
          <w:r w:rsidR="00E33D3E" w:rsidRPr="000302A6">
            <w:rPr>
              <w:sz w:val="16"/>
            </w:rPr>
            <w:t xml:space="preserve"> v Bedzhamov</w:t>
          </w:r>
        </w:p>
      </w:tc>
    </w:tr>
  </w:tbl>
  <w:p w14:paraId="0495DC76" w14:textId="77777777" w:rsidR="00311E4B" w:rsidRPr="000302A6" w:rsidRDefault="00311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0B5"/>
    <w:multiLevelType w:val="hybridMultilevel"/>
    <w:tmpl w:val="6B1A546C"/>
    <w:lvl w:ilvl="0" w:tplc="741A9938">
      <w:start w:val="1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9E3B49"/>
    <w:multiLevelType w:val="hybridMultilevel"/>
    <w:tmpl w:val="C2722F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A38EC"/>
    <w:multiLevelType w:val="hybridMultilevel"/>
    <w:tmpl w:val="2728AA98"/>
    <w:lvl w:ilvl="0" w:tplc="A8AE98D8">
      <w:start w:val="3"/>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77672"/>
    <w:multiLevelType w:val="multilevel"/>
    <w:tmpl w:val="649C2F2A"/>
    <w:lvl w:ilvl="0">
      <w:start w:val="1"/>
      <w:numFmt w:val="decimal"/>
      <w:pStyle w:val="Cont-ParL1"/>
      <w:lvlText w:val="%1"/>
      <w:lvlJc w:val="left"/>
      <w:pPr>
        <w:tabs>
          <w:tab w:val="num" w:pos="567"/>
        </w:tabs>
        <w:ind w:left="567" w:hanging="567"/>
      </w:pPr>
      <w:rPr>
        <w:rFonts w:hint="default"/>
        <w:b w:val="0"/>
        <w:i w:val="0"/>
      </w:rPr>
    </w:lvl>
    <w:lvl w:ilvl="1">
      <w:start w:val="1"/>
      <w:numFmt w:val="decimal"/>
      <w:lvlText w:val="(%2)"/>
      <w:lvlJc w:val="left"/>
      <w:pPr>
        <w:tabs>
          <w:tab w:val="num" w:pos="709"/>
        </w:tabs>
        <w:ind w:left="709" w:hanging="567"/>
      </w:pPr>
      <w:rPr>
        <w:rFonts w:hint="default"/>
        <w:b w:val="0"/>
        <w:i w:val="0"/>
      </w:rPr>
    </w:lvl>
    <w:lvl w:ilvl="2">
      <w:start w:val="1"/>
      <w:numFmt w:val="lowerLetter"/>
      <w:lvlText w:val="(%3)"/>
      <w:lvlJc w:val="left"/>
      <w:pPr>
        <w:tabs>
          <w:tab w:val="num" w:pos="1418"/>
        </w:tabs>
        <w:ind w:left="1418" w:hanging="567"/>
      </w:pPr>
      <w:rPr>
        <w:rFonts w:hint="default"/>
        <w:b w:val="0"/>
      </w:rPr>
    </w:lvl>
    <w:lvl w:ilvl="3">
      <w:start w:val="1"/>
      <w:numFmt w:val="lowerRoman"/>
      <w:lvlText w:val="(%4)"/>
      <w:lvlJc w:val="left"/>
      <w:pPr>
        <w:tabs>
          <w:tab w:val="num" w:pos="2126"/>
        </w:tabs>
        <w:ind w:left="2126" w:hanging="567"/>
      </w:pPr>
      <w:rPr>
        <w:rFonts w:hint="default"/>
      </w:rPr>
    </w:lvl>
    <w:lvl w:ilvl="4">
      <w:start w:val="1"/>
      <w:numFmt w:val="upperLetter"/>
      <w:lvlText w:val="(%5)"/>
      <w:lvlJc w:val="left"/>
      <w:pPr>
        <w:tabs>
          <w:tab w:val="num" w:pos="3119"/>
        </w:tabs>
        <w:ind w:left="3118" w:hanging="425"/>
      </w:pPr>
      <w:rPr>
        <w:rFonts w:hint="default"/>
      </w:rPr>
    </w:lvl>
    <w:lvl w:ilvl="5">
      <w:start w:val="1"/>
      <w:numFmt w:val="decimal"/>
      <w:lvlText w:val="(%6)"/>
      <w:lvlJc w:val="left"/>
      <w:pPr>
        <w:ind w:left="3402" w:hanging="397"/>
      </w:pPr>
      <w:rPr>
        <w:rFonts w:hint="default"/>
      </w:rPr>
    </w:lvl>
    <w:lvl w:ilvl="6">
      <w:start w:val="1"/>
      <w:numFmt w:val="decimal"/>
      <w:lvlText w:val="%7."/>
      <w:lvlJc w:val="left"/>
      <w:pPr>
        <w:ind w:left="4026" w:hanging="511"/>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 w15:restartNumberingAfterBreak="0">
    <w:nsid w:val="2B797985"/>
    <w:multiLevelType w:val="hybridMultilevel"/>
    <w:tmpl w:val="62FA7A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6" w15:restartNumberingAfterBreak="0">
    <w:nsid w:val="509525D3"/>
    <w:multiLevelType w:val="hybridMultilevel"/>
    <w:tmpl w:val="968E520A"/>
    <w:lvl w:ilvl="0" w:tplc="B1267BA4">
      <w:start w:val="2"/>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825FD0"/>
    <w:multiLevelType w:val="multilevel"/>
    <w:tmpl w:val="138A1086"/>
    <w:lvl w:ilvl="0">
      <w:start w:val="1"/>
      <w:numFmt w:val="decimal"/>
      <w:pStyle w:val="BodyText"/>
      <w:lvlText w:val="%1."/>
      <w:lvlJc w:val="left"/>
      <w:pPr>
        <w:tabs>
          <w:tab w:val="num" w:pos="567"/>
        </w:tabs>
        <w:ind w:left="567" w:hanging="567"/>
      </w:pPr>
      <w:rPr>
        <w:rFonts w:hint="default"/>
        <w:b w:val="0"/>
        <w:i w:val="0"/>
        <w:color w:val="auto"/>
        <w:u w:val="none"/>
      </w:rPr>
    </w:lvl>
    <w:lvl w:ilvl="1">
      <w:start w:val="1"/>
      <w:numFmt w:val="decimal"/>
      <w:lvlText w:val="%2)"/>
      <w:lvlJc w:val="left"/>
      <w:pPr>
        <w:ind w:left="927" w:hanging="360"/>
      </w:pPr>
      <w:rPr>
        <w:rFonts w:hint="default"/>
      </w:rPr>
    </w:lvl>
    <w:lvl w:ilvl="2">
      <w:start w:val="1"/>
      <w:numFmt w:val="lowerLetter"/>
      <w:lvlText w:val="%3)"/>
      <w:lvlJc w:val="left"/>
      <w:pPr>
        <w:ind w:left="1494" w:hanging="360"/>
      </w:pPr>
    </w:lvl>
    <w:lvl w:ilvl="3">
      <w:start w:val="1"/>
      <w:numFmt w:val="decimal"/>
      <w:lvlText w:val="%4)"/>
      <w:lvlJc w:val="left"/>
      <w:pPr>
        <w:ind w:left="2061" w:hanging="360"/>
      </w:p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1211"/>
        </w:tabs>
        <w:ind w:left="1211" w:hanging="360"/>
      </w:pPr>
      <w:rPr>
        <w:rFonts w:hint="default"/>
      </w:rPr>
    </w:lvl>
  </w:abstractNum>
  <w:abstractNum w:abstractNumId="8" w15:restartNumberingAfterBreak="0">
    <w:nsid w:val="5D640AD7"/>
    <w:multiLevelType w:val="hybridMultilevel"/>
    <w:tmpl w:val="DFFAFA22"/>
    <w:lvl w:ilvl="0" w:tplc="08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E1187D"/>
    <w:multiLevelType w:val="multilevel"/>
    <w:tmpl w:val="AFEEE0EA"/>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b w:val="0"/>
        <w:bCs w:val="0"/>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9431E9"/>
    <w:multiLevelType w:val="hybridMultilevel"/>
    <w:tmpl w:val="E88615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2" w15:restartNumberingAfterBreak="0">
    <w:nsid w:val="770269E5"/>
    <w:multiLevelType w:val="hybridMultilevel"/>
    <w:tmpl w:val="33AEFAD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A684DCE"/>
    <w:multiLevelType w:val="hybridMultilevel"/>
    <w:tmpl w:val="55B215A4"/>
    <w:lvl w:ilvl="0" w:tplc="B0960498">
      <w:start w:val="2"/>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4A2726"/>
    <w:multiLevelType w:val="hybridMultilevel"/>
    <w:tmpl w:val="43F21CC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301962832">
    <w:abstractNumId w:val="7"/>
  </w:num>
  <w:num w:numId="2" w16cid:durableId="1755273108">
    <w:abstractNumId w:val="11"/>
  </w:num>
  <w:num w:numId="3" w16cid:durableId="2003697833">
    <w:abstractNumId w:val="5"/>
  </w:num>
  <w:num w:numId="4" w16cid:durableId="175459019">
    <w:abstractNumId w:val="7"/>
  </w:num>
  <w:num w:numId="5" w16cid:durableId="333921197">
    <w:abstractNumId w:val="2"/>
  </w:num>
  <w:num w:numId="6" w16cid:durableId="1567229677">
    <w:abstractNumId w:val="6"/>
  </w:num>
  <w:num w:numId="7" w16cid:durableId="1153134595">
    <w:abstractNumId w:val="13"/>
  </w:num>
  <w:num w:numId="8" w16cid:durableId="2124573704">
    <w:abstractNumId w:val="9"/>
  </w:num>
  <w:num w:numId="9" w16cid:durableId="1777477947">
    <w:abstractNumId w:val="10"/>
  </w:num>
  <w:num w:numId="10" w16cid:durableId="1825781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8948939">
    <w:abstractNumId w:val="0"/>
  </w:num>
  <w:num w:numId="12" w16cid:durableId="301815812">
    <w:abstractNumId w:val="8"/>
  </w:num>
  <w:num w:numId="13" w16cid:durableId="30617042">
    <w:abstractNumId w:val="1"/>
  </w:num>
  <w:num w:numId="14" w16cid:durableId="1558590491">
    <w:abstractNumId w:val="3"/>
  </w:num>
  <w:num w:numId="15" w16cid:durableId="657850747">
    <w:abstractNumId w:val="12"/>
  </w:num>
  <w:num w:numId="16" w16cid:durableId="18040329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7088010">
    <w:abstractNumId w:val="14"/>
  </w:num>
  <w:num w:numId="18" w16cid:durableId="28817125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C"/>
    <w:rsid w:val="00000071"/>
    <w:rsid w:val="000002BB"/>
    <w:rsid w:val="0000049B"/>
    <w:rsid w:val="00000AB9"/>
    <w:rsid w:val="00001056"/>
    <w:rsid w:val="000011B8"/>
    <w:rsid w:val="00001367"/>
    <w:rsid w:val="00002203"/>
    <w:rsid w:val="000027DE"/>
    <w:rsid w:val="00002BD1"/>
    <w:rsid w:val="00002C92"/>
    <w:rsid w:val="00003EE4"/>
    <w:rsid w:val="00003F34"/>
    <w:rsid w:val="00004005"/>
    <w:rsid w:val="00004D40"/>
    <w:rsid w:val="00004DE3"/>
    <w:rsid w:val="000052B5"/>
    <w:rsid w:val="000053A9"/>
    <w:rsid w:val="00005529"/>
    <w:rsid w:val="000058B2"/>
    <w:rsid w:val="0000599C"/>
    <w:rsid w:val="00006B50"/>
    <w:rsid w:val="00007005"/>
    <w:rsid w:val="000076D5"/>
    <w:rsid w:val="00007A04"/>
    <w:rsid w:val="00007A62"/>
    <w:rsid w:val="00007AE7"/>
    <w:rsid w:val="0001008D"/>
    <w:rsid w:val="0001022E"/>
    <w:rsid w:val="000102D7"/>
    <w:rsid w:val="00010628"/>
    <w:rsid w:val="0001067B"/>
    <w:rsid w:val="000107E3"/>
    <w:rsid w:val="00010B1B"/>
    <w:rsid w:val="00010FDD"/>
    <w:rsid w:val="000112D9"/>
    <w:rsid w:val="000115DE"/>
    <w:rsid w:val="00011606"/>
    <w:rsid w:val="00011656"/>
    <w:rsid w:val="000116F6"/>
    <w:rsid w:val="000120F5"/>
    <w:rsid w:val="0001244E"/>
    <w:rsid w:val="00012994"/>
    <w:rsid w:val="00012AB5"/>
    <w:rsid w:val="00012BB7"/>
    <w:rsid w:val="000130A8"/>
    <w:rsid w:val="000136E9"/>
    <w:rsid w:val="000137C8"/>
    <w:rsid w:val="00013B45"/>
    <w:rsid w:val="000149B8"/>
    <w:rsid w:val="00014A3F"/>
    <w:rsid w:val="00014D8B"/>
    <w:rsid w:val="00015098"/>
    <w:rsid w:val="00015500"/>
    <w:rsid w:val="00015527"/>
    <w:rsid w:val="00015780"/>
    <w:rsid w:val="00016048"/>
    <w:rsid w:val="00016662"/>
    <w:rsid w:val="0001669F"/>
    <w:rsid w:val="00016748"/>
    <w:rsid w:val="00016C6A"/>
    <w:rsid w:val="00016E0A"/>
    <w:rsid w:val="00016FE3"/>
    <w:rsid w:val="0001745A"/>
    <w:rsid w:val="00017922"/>
    <w:rsid w:val="00017A72"/>
    <w:rsid w:val="00020015"/>
    <w:rsid w:val="00020C73"/>
    <w:rsid w:val="00021EDB"/>
    <w:rsid w:val="00021EDD"/>
    <w:rsid w:val="00022091"/>
    <w:rsid w:val="00022803"/>
    <w:rsid w:val="00022946"/>
    <w:rsid w:val="00022A45"/>
    <w:rsid w:val="0002315D"/>
    <w:rsid w:val="000232AA"/>
    <w:rsid w:val="00023565"/>
    <w:rsid w:val="00023847"/>
    <w:rsid w:val="00023D7B"/>
    <w:rsid w:val="00023F9D"/>
    <w:rsid w:val="00023FC4"/>
    <w:rsid w:val="000249BF"/>
    <w:rsid w:val="00024A81"/>
    <w:rsid w:val="0002553F"/>
    <w:rsid w:val="00025CEE"/>
    <w:rsid w:val="00025DCF"/>
    <w:rsid w:val="0002609B"/>
    <w:rsid w:val="00026AC2"/>
    <w:rsid w:val="000277C0"/>
    <w:rsid w:val="00027ABD"/>
    <w:rsid w:val="00027C41"/>
    <w:rsid w:val="000300D4"/>
    <w:rsid w:val="000300EB"/>
    <w:rsid w:val="000302A6"/>
    <w:rsid w:val="00030432"/>
    <w:rsid w:val="00030ACA"/>
    <w:rsid w:val="00030E57"/>
    <w:rsid w:val="00030FA6"/>
    <w:rsid w:val="00031735"/>
    <w:rsid w:val="0003182C"/>
    <w:rsid w:val="00031FDF"/>
    <w:rsid w:val="00032720"/>
    <w:rsid w:val="000330E4"/>
    <w:rsid w:val="0003327B"/>
    <w:rsid w:val="00034011"/>
    <w:rsid w:val="0003411E"/>
    <w:rsid w:val="000349AE"/>
    <w:rsid w:val="00035123"/>
    <w:rsid w:val="000356C1"/>
    <w:rsid w:val="00035C74"/>
    <w:rsid w:val="00035D7C"/>
    <w:rsid w:val="00035EF7"/>
    <w:rsid w:val="000360F5"/>
    <w:rsid w:val="00036339"/>
    <w:rsid w:val="00036709"/>
    <w:rsid w:val="000369EE"/>
    <w:rsid w:val="00036AF4"/>
    <w:rsid w:val="00037593"/>
    <w:rsid w:val="000375DD"/>
    <w:rsid w:val="000377DF"/>
    <w:rsid w:val="00037AE6"/>
    <w:rsid w:val="00037B57"/>
    <w:rsid w:val="00037B73"/>
    <w:rsid w:val="00037C02"/>
    <w:rsid w:val="00037CCA"/>
    <w:rsid w:val="000409FD"/>
    <w:rsid w:val="00040A93"/>
    <w:rsid w:val="00040AE8"/>
    <w:rsid w:val="00041701"/>
    <w:rsid w:val="0004176A"/>
    <w:rsid w:val="0004182F"/>
    <w:rsid w:val="00041C4B"/>
    <w:rsid w:val="00041DEC"/>
    <w:rsid w:val="00041FEC"/>
    <w:rsid w:val="00042135"/>
    <w:rsid w:val="0004247C"/>
    <w:rsid w:val="00042BCA"/>
    <w:rsid w:val="0004303E"/>
    <w:rsid w:val="000431A7"/>
    <w:rsid w:val="00043212"/>
    <w:rsid w:val="000432B7"/>
    <w:rsid w:val="000434FA"/>
    <w:rsid w:val="00043586"/>
    <w:rsid w:val="00044209"/>
    <w:rsid w:val="00044286"/>
    <w:rsid w:val="000442A0"/>
    <w:rsid w:val="000443FE"/>
    <w:rsid w:val="000449A7"/>
    <w:rsid w:val="00044CD2"/>
    <w:rsid w:val="00044DF5"/>
    <w:rsid w:val="00045119"/>
    <w:rsid w:val="00045268"/>
    <w:rsid w:val="0004568B"/>
    <w:rsid w:val="00045760"/>
    <w:rsid w:val="00045CDD"/>
    <w:rsid w:val="00046228"/>
    <w:rsid w:val="00046229"/>
    <w:rsid w:val="000465DA"/>
    <w:rsid w:val="000466D4"/>
    <w:rsid w:val="00046CF1"/>
    <w:rsid w:val="0004714C"/>
    <w:rsid w:val="0004752C"/>
    <w:rsid w:val="000475FD"/>
    <w:rsid w:val="00047A82"/>
    <w:rsid w:val="00047E44"/>
    <w:rsid w:val="00047EA2"/>
    <w:rsid w:val="00050A6F"/>
    <w:rsid w:val="00051175"/>
    <w:rsid w:val="00051652"/>
    <w:rsid w:val="000516DA"/>
    <w:rsid w:val="0005177D"/>
    <w:rsid w:val="00051A85"/>
    <w:rsid w:val="000525EF"/>
    <w:rsid w:val="00052D6E"/>
    <w:rsid w:val="000534E4"/>
    <w:rsid w:val="000538AA"/>
    <w:rsid w:val="00053B7A"/>
    <w:rsid w:val="0005445F"/>
    <w:rsid w:val="000547E6"/>
    <w:rsid w:val="00054A8A"/>
    <w:rsid w:val="00054C72"/>
    <w:rsid w:val="00054E30"/>
    <w:rsid w:val="00054F22"/>
    <w:rsid w:val="0005536B"/>
    <w:rsid w:val="00055466"/>
    <w:rsid w:val="0005594D"/>
    <w:rsid w:val="00055AEF"/>
    <w:rsid w:val="00055B7F"/>
    <w:rsid w:val="00055B8B"/>
    <w:rsid w:val="00055EBC"/>
    <w:rsid w:val="00056017"/>
    <w:rsid w:val="000568AF"/>
    <w:rsid w:val="0005721B"/>
    <w:rsid w:val="000577F3"/>
    <w:rsid w:val="00060218"/>
    <w:rsid w:val="0006021B"/>
    <w:rsid w:val="000608C3"/>
    <w:rsid w:val="00060AE8"/>
    <w:rsid w:val="00060C10"/>
    <w:rsid w:val="00061506"/>
    <w:rsid w:val="00061849"/>
    <w:rsid w:val="00061A71"/>
    <w:rsid w:val="00061BDC"/>
    <w:rsid w:val="000620C9"/>
    <w:rsid w:val="00062319"/>
    <w:rsid w:val="0006313D"/>
    <w:rsid w:val="00063346"/>
    <w:rsid w:val="00063E13"/>
    <w:rsid w:val="00064037"/>
    <w:rsid w:val="00064A3B"/>
    <w:rsid w:val="00064DBF"/>
    <w:rsid w:val="00065AF4"/>
    <w:rsid w:val="00066309"/>
    <w:rsid w:val="00066554"/>
    <w:rsid w:val="00066596"/>
    <w:rsid w:val="000667A7"/>
    <w:rsid w:val="0006693B"/>
    <w:rsid w:val="00066DB5"/>
    <w:rsid w:val="000672DF"/>
    <w:rsid w:val="00067789"/>
    <w:rsid w:val="000677A7"/>
    <w:rsid w:val="00067856"/>
    <w:rsid w:val="00067AAA"/>
    <w:rsid w:val="00067C4F"/>
    <w:rsid w:val="00067DE0"/>
    <w:rsid w:val="00067EEA"/>
    <w:rsid w:val="00070095"/>
    <w:rsid w:val="00070B8E"/>
    <w:rsid w:val="00070D67"/>
    <w:rsid w:val="0007150B"/>
    <w:rsid w:val="00071967"/>
    <w:rsid w:val="00071992"/>
    <w:rsid w:val="00071B30"/>
    <w:rsid w:val="00071C3D"/>
    <w:rsid w:val="00071C95"/>
    <w:rsid w:val="00072379"/>
    <w:rsid w:val="00072660"/>
    <w:rsid w:val="00072D88"/>
    <w:rsid w:val="0007349F"/>
    <w:rsid w:val="00073D1B"/>
    <w:rsid w:val="00073DFC"/>
    <w:rsid w:val="0007423D"/>
    <w:rsid w:val="00074746"/>
    <w:rsid w:val="0007474E"/>
    <w:rsid w:val="00074A62"/>
    <w:rsid w:val="00074D3D"/>
    <w:rsid w:val="00075155"/>
    <w:rsid w:val="00075952"/>
    <w:rsid w:val="00075A69"/>
    <w:rsid w:val="00075AC3"/>
    <w:rsid w:val="00075B08"/>
    <w:rsid w:val="00075B22"/>
    <w:rsid w:val="00075C19"/>
    <w:rsid w:val="00075C82"/>
    <w:rsid w:val="00075DFA"/>
    <w:rsid w:val="0007626E"/>
    <w:rsid w:val="000763F8"/>
    <w:rsid w:val="0007659C"/>
    <w:rsid w:val="000766E5"/>
    <w:rsid w:val="00076EB6"/>
    <w:rsid w:val="000771BE"/>
    <w:rsid w:val="000776FD"/>
    <w:rsid w:val="000777D2"/>
    <w:rsid w:val="00077C69"/>
    <w:rsid w:val="000806E4"/>
    <w:rsid w:val="00080C32"/>
    <w:rsid w:val="000811C1"/>
    <w:rsid w:val="000814DF"/>
    <w:rsid w:val="000814F8"/>
    <w:rsid w:val="0008161E"/>
    <w:rsid w:val="000818BF"/>
    <w:rsid w:val="00081A59"/>
    <w:rsid w:val="00081E9E"/>
    <w:rsid w:val="00082177"/>
    <w:rsid w:val="00082398"/>
    <w:rsid w:val="00082D16"/>
    <w:rsid w:val="00083B26"/>
    <w:rsid w:val="000849BB"/>
    <w:rsid w:val="000849C8"/>
    <w:rsid w:val="00084B57"/>
    <w:rsid w:val="00084CEE"/>
    <w:rsid w:val="00084EDD"/>
    <w:rsid w:val="0008503A"/>
    <w:rsid w:val="0008520C"/>
    <w:rsid w:val="0008553B"/>
    <w:rsid w:val="000856CD"/>
    <w:rsid w:val="00085DA5"/>
    <w:rsid w:val="000860D9"/>
    <w:rsid w:val="00086437"/>
    <w:rsid w:val="00086C89"/>
    <w:rsid w:val="000873DF"/>
    <w:rsid w:val="00087518"/>
    <w:rsid w:val="00087726"/>
    <w:rsid w:val="000878E3"/>
    <w:rsid w:val="000879D8"/>
    <w:rsid w:val="0009001A"/>
    <w:rsid w:val="0009023A"/>
    <w:rsid w:val="0009095D"/>
    <w:rsid w:val="00090A12"/>
    <w:rsid w:val="00090AB1"/>
    <w:rsid w:val="00090BB3"/>
    <w:rsid w:val="00091FC8"/>
    <w:rsid w:val="0009276F"/>
    <w:rsid w:val="0009295F"/>
    <w:rsid w:val="000939B2"/>
    <w:rsid w:val="00093A6A"/>
    <w:rsid w:val="00097281"/>
    <w:rsid w:val="00097896"/>
    <w:rsid w:val="00097CE3"/>
    <w:rsid w:val="000A0BF5"/>
    <w:rsid w:val="000A15BD"/>
    <w:rsid w:val="000A1956"/>
    <w:rsid w:val="000A1A26"/>
    <w:rsid w:val="000A1A72"/>
    <w:rsid w:val="000A237C"/>
    <w:rsid w:val="000A23AC"/>
    <w:rsid w:val="000A24EE"/>
    <w:rsid w:val="000A2930"/>
    <w:rsid w:val="000A2D90"/>
    <w:rsid w:val="000A3224"/>
    <w:rsid w:val="000A3483"/>
    <w:rsid w:val="000A42CC"/>
    <w:rsid w:val="000A4347"/>
    <w:rsid w:val="000A492E"/>
    <w:rsid w:val="000A4B38"/>
    <w:rsid w:val="000A4B68"/>
    <w:rsid w:val="000A4D5E"/>
    <w:rsid w:val="000A51CD"/>
    <w:rsid w:val="000A53CA"/>
    <w:rsid w:val="000A55BD"/>
    <w:rsid w:val="000A5A48"/>
    <w:rsid w:val="000A6A24"/>
    <w:rsid w:val="000A6B0C"/>
    <w:rsid w:val="000A6B57"/>
    <w:rsid w:val="000A6C9D"/>
    <w:rsid w:val="000A6D4E"/>
    <w:rsid w:val="000A7030"/>
    <w:rsid w:val="000A7891"/>
    <w:rsid w:val="000B033B"/>
    <w:rsid w:val="000B08A0"/>
    <w:rsid w:val="000B0935"/>
    <w:rsid w:val="000B0C1E"/>
    <w:rsid w:val="000B117E"/>
    <w:rsid w:val="000B12C8"/>
    <w:rsid w:val="000B17E5"/>
    <w:rsid w:val="000B1928"/>
    <w:rsid w:val="000B19BC"/>
    <w:rsid w:val="000B1ACE"/>
    <w:rsid w:val="000B2032"/>
    <w:rsid w:val="000B2320"/>
    <w:rsid w:val="000B2435"/>
    <w:rsid w:val="000B28F3"/>
    <w:rsid w:val="000B29AA"/>
    <w:rsid w:val="000B2C35"/>
    <w:rsid w:val="000B35FB"/>
    <w:rsid w:val="000B3910"/>
    <w:rsid w:val="000B3DE1"/>
    <w:rsid w:val="000B3F33"/>
    <w:rsid w:val="000B41C0"/>
    <w:rsid w:val="000B4A17"/>
    <w:rsid w:val="000B4A45"/>
    <w:rsid w:val="000B52AC"/>
    <w:rsid w:val="000B575C"/>
    <w:rsid w:val="000B59AA"/>
    <w:rsid w:val="000B5C4C"/>
    <w:rsid w:val="000B5DAB"/>
    <w:rsid w:val="000B5FF1"/>
    <w:rsid w:val="000B66ED"/>
    <w:rsid w:val="000B7275"/>
    <w:rsid w:val="000B7299"/>
    <w:rsid w:val="000B7F69"/>
    <w:rsid w:val="000C07F1"/>
    <w:rsid w:val="000C0CB8"/>
    <w:rsid w:val="000C0D2C"/>
    <w:rsid w:val="000C0D9C"/>
    <w:rsid w:val="000C13F7"/>
    <w:rsid w:val="000C17CC"/>
    <w:rsid w:val="000C1825"/>
    <w:rsid w:val="000C19D0"/>
    <w:rsid w:val="000C1A6D"/>
    <w:rsid w:val="000C1AAF"/>
    <w:rsid w:val="000C1F74"/>
    <w:rsid w:val="000C2F84"/>
    <w:rsid w:val="000C30EC"/>
    <w:rsid w:val="000C321C"/>
    <w:rsid w:val="000C39A2"/>
    <w:rsid w:val="000C3AEA"/>
    <w:rsid w:val="000C3B96"/>
    <w:rsid w:val="000C3C73"/>
    <w:rsid w:val="000C45C1"/>
    <w:rsid w:val="000C48CB"/>
    <w:rsid w:val="000C4959"/>
    <w:rsid w:val="000C4A86"/>
    <w:rsid w:val="000C55AD"/>
    <w:rsid w:val="000C55DF"/>
    <w:rsid w:val="000C5654"/>
    <w:rsid w:val="000C5673"/>
    <w:rsid w:val="000C5749"/>
    <w:rsid w:val="000C60B9"/>
    <w:rsid w:val="000C6F19"/>
    <w:rsid w:val="000C71B8"/>
    <w:rsid w:val="000C7BDE"/>
    <w:rsid w:val="000C7CB4"/>
    <w:rsid w:val="000C7D0A"/>
    <w:rsid w:val="000D02D0"/>
    <w:rsid w:val="000D0BD6"/>
    <w:rsid w:val="000D0BE9"/>
    <w:rsid w:val="000D0F30"/>
    <w:rsid w:val="000D24A3"/>
    <w:rsid w:val="000D2982"/>
    <w:rsid w:val="000D31FF"/>
    <w:rsid w:val="000D3FC5"/>
    <w:rsid w:val="000D40C3"/>
    <w:rsid w:val="000D40DA"/>
    <w:rsid w:val="000D4420"/>
    <w:rsid w:val="000D4CEB"/>
    <w:rsid w:val="000D54C9"/>
    <w:rsid w:val="000D5C2D"/>
    <w:rsid w:val="000D644F"/>
    <w:rsid w:val="000D6789"/>
    <w:rsid w:val="000D6924"/>
    <w:rsid w:val="000D7361"/>
    <w:rsid w:val="000D78C3"/>
    <w:rsid w:val="000D79DD"/>
    <w:rsid w:val="000D7B8F"/>
    <w:rsid w:val="000E0802"/>
    <w:rsid w:val="000E088B"/>
    <w:rsid w:val="000E1239"/>
    <w:rsid w:val="000E1448"/>
    <w:rsid w:val="000E1537"/>
    <w:rsid w:val="000E1FD7"/>
    <w:rsid w:val="000E2419"/>
    <w:rsid w:val="000E2EAB"/>
    <w:rsid w:val="000E32A7"/>
    <w:rsid w:val="000E36CE"/>
    <w:rsid w:val="000E43E1"/>
    <w:rsid w:val="000E4831"/>
    <w:rsid w:val="000E4AF1"/>
    <w:rsid w:val="000E500C"/>
    <w:rsid w:val="000E504D"/>
    <w:rsid w:val="000E551E"/>
    <w:rsid w:val="000E59FF"/>
    <w:rsid w:val="000E5D71"/>
    <w:rsid w:val="000E6444"/>
    <w:rsid w:val="000E679E"/>
    <w:rsid w:val="000E6B4D"/>
    <w:rsid w:val="000E6E10"/>
    <w:rsid w:val="000E7086"/>
    <w:rsid w:val="000E7121"/>
    <w:rsid w:val="000E72F1"/>
    <w:rsid w:val="000E7566"/>
    <w:rsid w:val="000E7594"/>
    <w:rsid w:val="000E7658"/>
    <w:rsid w:val="000F05B9"/>
    <w:rsid w:val="000F079F"/>
    <w:rsid w:val="000F0AE5"/>
    <w:rsid w:val="000F0DA7"/>
    <w:rsid w:val="000F155E"/>
    <w:rsid w:val="000F19C3"/>
    <w:rsid w:val="000F1C31"/>
    <w:rsid w:val="000F1E4B"/>
    <w:rsid w:val="000F225A"/>
    <w:rsid w:val="000F2516"/>
    <w:rsid w:val="000F2C1A"/>
    <w:rsid w:val="000F2F55"/>
    <w:rsid w:val="000F466F"/>
    <w:rsid w:val="000F47DD"/>
    <w:rsid w:val="000F4851"/>
    <w:rsid w:val="000F4AE1"/>
    <w:rsid w:val="000F4CC9"/>
    <w:rsid w:val="000F4F73"/>
    <w:rsid w:val="000F5031"/>
    <w:rsid w:val="000F705E"/>
    <w:rsid w:val="000F7A77"/>
    <w:rsid w:val="000F7D16"/>
    <w:rsid w:val="00100333"/>
    <w:rsid w:val="00100891"/>
    <w:rsid w:val="00101193"/>
    <w:rsid w:val="0010124A"/>
    <w:rsid w:val="001012CB"/>
    <w:rsid w:val="001013CF"/>
    <w:rsid w:val="00101A37"/>
    <w:rsid w:val="00101D28"/>
    <w:rsid w:val="00101D44"/>
    <w:rsid w:val="00101DC6"/>
    <w:rsid w:val="00101E00"/>
    <w:rsid w:val="0010353C"/>
    <w:rsid w:val="00104122"/>
    <w:rsid w:val="001041DB"/>
    <w:rsid w:val="0010423E"/>
    <w:rsid w:val="001043D4"/>
    <w:rsid w:val="001046E3"/>
    <w:rsid w:val="00104A0C"/>
    <w:rsid w:val="00104B2C"/>
    <w:rsid w:val="00104CC2"/>
    <w:rsid w:val="00104E43"/>
    <w:rsid w:val="0010542B"/>
    <w:rsid w:val="00105BB5"/>
    <w:rsid w:val="0010620B"/>
    <w:rsid w:val="00106343"/>
    <w:rsid w:val="00106425"/>
    <w:rsid w:val="00106898"/>
    <w:rsid w:val="00106952"/>
    <w:rsid w:val="00106AA1"/>
    <w:rsid w:val="00106C36"/>
    <w:rsid w:val="00106CDE"/>
    <w:rsid w:val="001071B9"/>
    <w:rsid w:val="00107381"/>
    <w:rsid w:val="0010756B"/>
    <w:rsid w:val="00107B0D"/>
    <w:rsid w:val="0011022E"/>
    <w:rsid w:val="0011069E"/>
    <w:rsid w:val="001106A2"/>
    <w:rsid w:val="00110C61"/>
    <w:rsid w:val="00110DD2"/>
    <w:rsid w:val="001110E4"/>
    <w:rsid w:val="00111218"/>
    <w:rsid w:val="001112A7"/>
    <w:rsid w:val="00111CEA"/>
    <w:rsid w:val="0011220F"/>
    <w:rsid w:val="0011232A"/>
    <w:rsid w:val="00112563"/>
    <w:rsid w:val="00112CB9"/>
    <w:rsid w:val="00113971"/>
    <w:rsid w:val="00113CC6"/>
    <w:rsid w:val="00113CF2"/>
    <w:rsid w:val="00113D8F"/>
    <w:rsid w:val="0011461C"/>
    <w:rsid w:val="00114799"/>
    <w:rsid w:val="00115468"/>
    <w:rsid w:val="00115635"/>
    <w:rsid w:val="00115BC6"/>
    <w:rsid w:val="00115C59"/>
    <w:rsid w:val="00115EC5"/>
    <w:rsid w:val="00116334"/>
    <w:rsid w:val="00116335"/>
    <w:rsid w:val="0011635C"/>
    <w:rsid w:val="0011640D"/>
    <w:rsid w:val="00117162"/>
    <w:rsid w:val="001172A6"/>
    <w:rsid w:val="001173A8"/>
    <w:rsid w:val="00117AAA"/>
    <w:rsid w:val="00117BE2"/>
    <w:rsid w:val="00117CC7"/>
    <w:rsid w:val="00120033"/>
    <w:rsid w:val="00120A21"/>
    <w:rsid w:val="00120BC4"/>
    <w:rsid w:val="00120CFF"/>
    <w:rsid w:val="00120E23"/>
    <w:rsid w:val="00120F03"/>
    <w:rsid w:val="0012117F"/>
    <w:rsid w:val="00121480"/>
    <w:rsid w:val="001216C1"/>
    <w:rsid w:val="00121BC1"/>
    <w:rsid w:val="00121D02"/>
    <w:rsid w:val="00121F44"/>
    <w:rsid w:val="001227B6"/>
    <w:rsid w:val="00122C27"/>
    <w:rsid w:val="00122E79"/>
    <w:rsid w:val="00122EA1"/>
    <w:rsid w:val="00123088"/>
    <w:rsid w:val="00123161"/>
    <w:rsid w:val="00123233"/>
    <w:rsid w:val="001232F3"/>
    <w:rsid w:val="00123318"/>
    <w:rsid w:val="00123634"/>
    <w:rsid w:val="00124689"/>
    <w:rsid w:val="0012469D"/>
    <w:rsid w:val="00124D03"/>
    <w:rsid w:val="00124F92"/>
    <w:rsid w:val="00125221"/>
    <w:rsid w:val="00125605"/>
    <w:rsid w:val="0012645A"/>
    <w:rsid w:val="00126EEF"/>
    <w:rsid w:val="00126F5D"/>
    <w:rsid w:val="001273B2"/>
    <w:rsid w:val="00127A0B"/>
    <w:rsid w:val="00127C9F"/>
    <w:rsid w:val="00127F1D"/>
    <w:rsid w:val="00130722"/>
    <w:rsid w:val="001307FA"/>
    <w:rsid w:val="001308AE"/>
    <w:rsid w:val="001308DF"/>
    <w:rsid w:val="00130CB2"/>
    <w:rsid w:val="00130DED"/>
    <w:rsid w:val="00131410"/>
    <w:rsid w:val="0013150B"/>
    <w:rsid w:val="00131604"/>
    <w:rsid w:val="00131AD5"/>
    <w:rsid w:val="00131F11"/>
    <w:rsid w:val="00132145"/>
    <w:rsid w:val="00132310"/>
    <w:rsid w:val="001327F1"/>
    <w:rsid w:val="00132AFC"/>
    <w:rsid w:val="00133550"/>
    <w:rsid w:val="001338EA"/>
    <w:rsid w:val="00133950"/>
    <w:rsid w:val="00133D4D"/>
    <w:rsid w:val="0013410D"/>
    <w:rsid w:val="0013416E"/>
    <w:rsid w:val="00134DEA"/>
    <w:rsid w:val="00135099"/>
    <w:rsid w:val="00135B3D"/>
    <w:rsid w:val="0013659F"/>
    <w:rsid w:val="001367E2"/>
    <w:rsid w:val="001367FC"/>
    <w:rsid w:val="00136A79"/>
    <w:rsid w:val="00137A18"/>
    <w:rsid w:val="00140332"/>
    <w:rsid w:val="001417F3"/>
    <w:rsid w:val="0014191C"/>
    <w:rsid w:val="0014191E"/>
    <w:rsid w:val="00141E7A"/>
    <w:rsid w:val="00142216"/>
    <w:rsid w:val="0014332D"/>
    <w:rsid w:val="0014488B"/>
    <w:rsid w:val="00144EDC"/>
    <w:rsid w:val="00144F2B"/>
    <w:rsid w:val="00144F83"/>
    <w:rsid w:val="00145036"/>
    <w:rsid w:val="00145516"/>
    <w:rsid w:val="00145641"/>
    <w:rsid w:val="0014592E"/>
    <w:rsid w:val="00145A7E"/>
    <w:rsid w:val="00146774"/>
    <w:rsid w:val="00146809"/>
    <w:rsid w:val="00146C97"/>
    <w:rsid w:val="00147A61"/>
    <w:rsid w:val="00147B2D"/>
    <w:rsid w:val="00147C6E"/>
    <w:rsid w:val="00147DFC"/>
    <w:rsid w:val="00150181"/>
    <w:rsid w:val="00150684"/>
    <w:rsid w:val="00150C49"/>
    <w:rsid w:val="0015135F"/>
    <w:rsid w:val="00151B00"/>
    <w:rsid w:val="00151B7B"/>
    <w:rsid w:val="00152989"/>
    <w:rsid w:val="00152F55"/>
    <w:rsid w:val="00153172"/>
    <w:rsid w:val="001531FF"/>
    <w:rsid w:val="00153271"/>
    <w:rsid w:val="001533C3"/>
    <w:rsid w:val="00153465"/>
    <w:rsid w:val="00153731"/>
    <w:rsid w:val="0015389B"/>
    <w:rsid w:val="00153B1D"/>
    <w:rsid w:val="00153B96"/>
    <w:rsid w:val="001540BD"/>
    <w:rsid w:val="00154402"/>
    <w:rsid w:val="00154BB1"/>
    <w:rsid w:val="00154E55"/>
    <w:rsid w:val="001554C8"/>
    <w:rsid w:val="001555FA"/>
    <w:rsid w:val="001557B2"/>
    <w:rsid w:val="00156050"/>
    <w:rsid w:val="00156664"/>
    <w:rsid w:val="0015683F"/>
    <w:rsid w:val="001569F1"/>
    <w:rsid w:val="00156A6E"/>
    <w:rsid w:val="0015716F"/>
    <w:rsid w:val="00157310"/>
    <w:rsid w:val="00157B75"/>
    <w:rsid w:val="00157BA9"/>
    <w:rsid w:val="0016041D"/>
    <w:rsid w:val="001608F4"/>
    <w:rsid w:val="001612CD"/>
    <w:rsid w:val="00161329"/>
    <w:rsid w:val="00161364"/>
    <w:rsid w:val="00161505"/>
    <w:rsid w:val="001619E2"/>
    <w:rsid w:val="00161CF3"/>
    <w:rsid w:val="00161D2D"/>
    <w:rsid w:val="0016250F"/>
    <w:rsid w:val="00162DBC"/>
    <w:rsid w:val="00163F0A"/>
    <w:rsid w:val="001642E1"/>
    <w:rsid w:val="001644BA"/>
    <w:rsid w:val="001649D9"/>
    <w:rsid w:val="00165030"/>
    <w:rsid w:val="001653A8"/>
    <w:rsid w:val="001655D4"/>
    <w:rsid w:val="00165612"/>
    <w:rsid w:val="001663E7"/>
    <w:rsid w:val="0016676B"/>
    <w:rsid w:val="001670B7"/>
    <w:rsid w:val="0016736B"/>
    <w:rsid w:val="0016748C"/>
    <w:rsid w:val="001674DA"/>
    <w:rsid w:val="001676EF"/>
    <w:rsid w:val="00167803"/>
    <w:rsid w:val="00167B24"/>
    <w:rsid w:val="00167C34"/>
    <w:rsid w:val="00167E83"/>
    <w:rsid w:val="00167F6D"/>
    <w:rsid w:val="0017016D"/>
    <w:rsid w:val="00170550"/>
    <w:rsid w:val="001710AC"/>
    <w:rsid w:val="00171218"/>
    <w:rsid w:val="001713D9"/>
    <w:rsid w:val="0017158F"/>
    <w:rsid w:val="00171A10"/>
    <w:rsid w:val="00171BA4"/>
    <w:rsid w:val="00171C00"/>
    <w:rsid w:val="00171CE0"/>
    <w:rsid w:val="00171D25"/>
    <w:rsid w:val="0017208C"/>
    <w:rsid w:val="001727C8"/>
    <w:rsid w:val="00172D28"/>
    <w:rsid w:val="00172EEA"/>
    <w:rsid w:val="00172EFB"/>
    <w:rsid w:val="0017305A"/>
    <w:rsid w:val="0017345A"/>
    <w:rsid w:val="00173583"/>
    <w:rsid w:val="00173F33"/>
    <w:rsid w:val="00174F2F"/>
    <w:rsid w:val="001750EB"/>
    <w:rsid w:val="001759A8"/>
    <w:rsid w:val="00175DB5"/>
    <w:rsid w:val="001761B9"/>
    <w:rsid w:val="001765CB"/>
    <w:rsid w:val="001767D4"/>
    <w:rsid w:val="001767DF"/>
    <w:rsid w:val="00176C72"/>
    <w:rsid w:val="00177492"/>
    <w:rsid w:val="00177611"/>
    <w:rsid w:val="001812FC"/>
    <w:rsid w:val="00181439"/>
    <w:rsid w:val="00181641"/>
    <w:rsid w:val="00182342"/>
    <w:rsid w:val="00182590"/>
    <w:rsid w:val="0018260E"/>
    <w:rsid w:val="00182629"/>
    <w:rsid w:val="00182915"/>
    <w:rsid w:val="001831B1"/>
    <w:rsid w:val="001835F6"/>
    <w:rsid w:val="00183668"/>
    <w:rsid w:val="0018384F"/>
    <w:rsid w:val="001838FD"/>
    <w:rsid w:val="00183DBC"/>
    <w:rsid w:val="00183E5E"/>
    <w:rsid w:val="00184217"/>
    <w:rsid w:val="001846CE"/>
    <w:rsid w:val="001846E1"/>
    <w:rsid w:val="00184F07"/>
    <w:rsid w:val="0018501C"/>
    <w:rsid w:val="00185F6C"/>
    <w:rsid w:val="00185FDA"/>
    <w:rsid w:val="00186471"/>
    <w:rsid w:val="001866C6"/>
    <w:rsid w:val="001869A1"/>
    <w:rsid w:val="00186BA5"/>
    <w:rsid w:val="00186D0B"/>
    <w:rsid w:val="00186DAA"/>
    <w:rsid w:val="00187BA0"/>
    <w:rsid w:val="00187DD0"/>
    <w:rsid w:val="00187FF2"/>
    <w:rsid w:val="00190625"/>
    <w:rsid w:val="00190745"/>
    <w:rsid w:val="0019074D"/>
    <w:rsid w:val="0019076F"/>
    <w:rsid w:val="00190821"/>
    <w:rsid w:val="001908BF"/>
    <w:rsid w:val="00190994"/>
    <w:rsid w:val="00190C90"/>
    <w:rsid w:val="00191754"/>
    <w:rsid w:val="00191BD8"/>
    <w:rsid w:val="00191CFA"/>
    <w:rsid w:val="00193530"/>
    <w:rsid w:val="0019362B"/>
    <w:rsid w:val="00193F41"/>
    <w:rsid w:val="00194253"/>
    <w:rsid w:val="001942B1"/>
    <w:rsid w:val="0019460C"/>
    <w:rsid w:val="001946FE"/>
    <w:rsid w:val="001948E8"/>
    <w:rsid w:val="001949C2"/>
    <w:rsid w:val="00194C43"/>
    <w:rsid w:val="0019568C"/>
    <w:rsid w:val="0019592D"/>
    <w:rsid w:val="00195E7B"/>
    <w:rsid w:val="00196477"/>
    <w:rsid w:val="001965E2"/>
    <w:rsid w:val="00196638"/>
    <w:rsid w:val="0019681B"/>
    <w:rsid w:val="0019695E"/>
    <w:rsid w:val="00196E68"/>
    <w:rsid w:val="001970A4"/>
    <w:rsid w:val="001972F4"/>
    <w:rsid w:val="00197495"/>
    <w:rsid w:val="00197746"/>
    <w:rsid w:val="00197831"/>
    <w:rsid w:val="00197CA2"/>
    <w:rsid w:val="001A032C"/>
    <w:rsid w:val="001A0A9C"/>
    <w:rsid w:val="001A0AD4"/>
    <w:rsid w:val="001A0AF3"/>
    <w:rsid w:val="001A0B39"/>
    <w:rsid w:val="001A0CC4"/>
    <w:rsid w:val="001A0F2E"/>
    <w:rsid w:val="001A15A9"/>
    <w:rsid w:val="001A165B"/>
    <w:rsid w:val="001A17E6"/>
    <w:rsid w:val="001A1C23"/>
    <w:rsid w:val="001A1C2B"/>
    <w:rsid w:val="001A1C6E"/>
    <w:rsid w:val="001A2387"/>
    <w:rsid w:val="001A2589"/>
    <w:rsid w:val="001A2669"/>
    <w:rsid w:val="001A27E7"/>
    <w:rsid w:val="001A2947"/>
    <w:rsid w:val="001A3AD9"/>
    <w:rsid w:val="001A467F"/>
    <w:rsid w:val="001A47E6"/>
    <w:rsid w:val="001A543A"/>
    <w:rsid w:val="001A5CC9"/>
    <w:rsid w:val="001A5FC1"/>
    <w:rsid w:val="001A652E"/>
    <w:rsid w:val="001A679B"/>
    <w:rsid w:val="001A6E75"/>
    <w:rsid w:val="001A7316"/>
    <w:rsid w:val="001A73E3"/>
    <w:rsid w:val="001A7DF3"/>
    <w:rsid w:val="001A7EC1"/>
    <w:rsid w:val="001B0244"/>
    <w:rsid w:val="001B0512"/>
    <w:rsid w:val="001B0636"/>
    <w:rsid w:val="001B07D5"/>
    <w:rsid w:val="001B084B"/>
    <w:rsid w:val="001B1160"/>
    <w:rsid w:val="001B1406"/>
    <w:rsid w:val="001B1672"/>
    <w:rsid w:val="001B18C3"/>
    <w:rsid w:val="001B1BBF"/>
    <w:rsid w:val="001B1BCE"/>
    <w:rsid w:val="001B1E1A"/>
    <w:rsid w:val="001B1E33"/>
    <w:rsid w:val="001B200E"/>
    <w:rsid w:val="001B2425"/>
    <w:rsid w:val="001B25B5"/>
    <w:rsid w:val="001B28EB"/>
    <w:rsid w:val="001B2F10"/>
    <w:rsid w:val="001B3600"/>
    <w:rsid w:val="001B361F"/>
    <w:rsid w:val="001B3B53"/>
    <w:rsid w:val="001B3CA8"/>
    <w:rsid w:val="001B413B"/>
    <w:rsid w:val="001B4634"/>
    <w:rsid w:val="001B4D78"/>
    <w:rsid w:val="001B5339"/>
    <w:rsid w:val="001B538B"/>
    <w:rsid w:val="001B56FC"/>
    <w:rsid w:val="001B5A4D"/>
    <w:rsid w:val="001B5A89"/>
    <w:rsid w:val="001B6919"/>
    <w:rsid w:val="001B6ACA"/>
    <w:rsid w:val="001B76A7"/>
    <w:rsid w:val="001C0388"/>
    <w:rsid w:val="001C076B"/>
    <w:rsid w:val="001C09A5"/>
    <w:rsid w:val="001C136A"/>
    <w:rsid w:val="001C1797"/>
    <w:rsid w:val="001C18B5"/>
    <w:rsid w:val="001C1EBD"/>
    <w:rsid w:val="001C1F15"/>
    <w:rsid w:val="001C21D1"/>
    <w:rsid w:val="001C223C"/>
    <w:rsid w:val="001C2770"/>
    <w:rsid w:val="001C2ACE"/>
    <w:rsid w:val="001C2CC1"/>
    <w:rsid w:val="001C37A2"/>
    <w:rsid w:val="001C3876"/>
    <w:rsid w:val="001C3ABB"/>
    <w:rsid w:val="001C3F39"/>
    <w:rsid w:val="001C41F9"/>
    <w:rsid w:val="001C433D"/>
    <w:rsid w:val="001C442E"/>
    <w:rsid w:val="001C47EA"/>
    <w:rsid w:val="001C483B"/>
    <w:rsid w:val="001C4871"/>
    <w:rsid w:val="001C5465"/>
    <w:rsid w:val="001C5C24"/>
    <w:rsid w:val="001C602C"/>
    <w:rsid w:val="001C6173"/>
    <w:rsid w:val="001C61F4"/>
    <w:rsid w:val="001C6425"/>
    <w:rsid w:val="001C6435"/>
    <w:rsid w:val="001C6A28"/>
    <w:rsid w:val="001C7755"/>
    <w:rsid w:val="001C7B6C"/>
    <w:rsid w:val="001C7D76"/>
    <w:rsid w:val="001C7FCF"/>
    <w:rsid w:val="001D022E"/>
    <w:rsid w:val="001D02EF"/>
    <w:rsid w:val="001D04B7"/>
    <w:rsid w:val="001D0A72"/>
    <w:rsid w:val="001D0BD1"/>
    <w:rsid w:val="001D170A"/>
    <w:rsid w:val="001D18FC"/>
    <w:rsid w:val="001D1E83"/>
    <w:rsid w:val="001D1F3B"/>
    <w:rsid w:val="001D1FD5"/>
    <w:rsid w:val="001D21E7"/>
    <w:rsid w:val="001D23E0"/>
    <w:rsid w:val="001D2A6B"/>
    <w:rsid w:val="001D2C3E"/>
    <w:rsid w:val="001D2F07"/>
    <w:rsid w:val="001D330D"/>
    <w:rsid w:val="001D374E"/>
    <w:rsid w:val="001D37AA"/>
    <w:rsid w:val="001D39F5"/>
    <w:rsid w:val="001D3A4C"/>
    <w:rsid w:val="001D3AF2"/>
    <w:rsid w:val="001D4013"/>
    <w:rsid w:val="001D4461"/>
    <w:rsid w:val="001D45D4"/>
    <w:rsid w:val="001D4861"/>
    <w:rsid w:val="001D4DA2"/>
    <w:rsid w:val="001D4EA4"/>
    <w:rsid w:val="001D550F"/>
    <w:rsid w:val="001D55AA"/>
    <w:rsid w:val="001D59B1"/>
    <w:rsid w:val="001D5A5E"/>
    <w:rsid w:val="001D5DF4"/>
    <w:rsid w:val="001D5EEB"/>
    <w:rsid w:val="001D6C5B"/>
    <w:rsid w:val="001D778E"/>
    <w:rsid w:val="001D7A62"/>
    <w:rsid w:val="001D7B1A"/>
    <w:rsid w:val="001D7BD9"/>
    <w:rsid w:val="001E0203"/>
    <w:rsid w:val="001E0624"/>
    <w:rsid w:val="001E0810"/>
    <w:rsid w:val="001E0B27"/>
    <w:rsid w:val="001E0D24"/>
    <w:rsid w:val="001E111A"/>
    <w:rsid w:val="001E1C20"/>
    <w:rsid w:val="001E1FA6"/>
    <w:rsid w:val="001E2066"/>
    <w:rsid w:val="001E2113"/>
    <w:rsid w:val="001E25ED"/>
    <w:rsid w:val="001E2C0F"/>
    <w:rsid w:val="001E2C6B"/>
    <w:rsid w:val="001E2DAB"/>
    <w:rsid w:val="001E3206"/>
    <w:rsid w:val="001E337B"/>
    <w:rsid w:val="001E367C"/>
    <w:rsid w:val="001E36A5"/>
    <w:rsid w:val="001E3909"/>
    <w:rsid w:val="001E3A7D"/>
    <w:rsid w:val="001E3D11"/>
    <w:rsid w:val="001E3FAB"/>
    <w:rsid w:val="001E4303"/>
    <w:rsid w:val="001E44FE"/>
    <w:rsid w:val="001E4669"/>
    <w:rsid w:val="001E4795"/>
    <w:rsid w:val="001E4993"/>
    <w:rsid w:val="001E5260"/>
    <w:rsid w:val="001E5450"/>
    <w:rsid w:val="001E577A"/>
    <w:rsid w:val="001E6010"/>
    <w:rsid w:val="001E6130"/>
    <w:rsid w:val="001E64E6"/>
    <w:rsid w:val="001E66B7"/>
    <w:rsid w:val="001E671E"/>
    <w:rsid w:val="001E67E5"/>
    <w:rsid w:val="001E68C4"/>
    <w:rsid w:val="001E7406"/>
    <w:rsid w:val="001E7791"/>
    <w:rsid w:val="001E77A7"/>
    <w:rsid w:val="001E78DF"/>
    <w:rsid w:val="001E7C33"/>
    <w:rsid w:val="001E7E03"/>
    <w:rsid w:val="001F04FA"/>
    <w:rsid w:val="001F0977"/>
    <w:rsid w:val="001F0BE7"/>
    <w:rsid w:val="001F0CF0"/>
    <w:rsid w:val="001F0D41"/>
    <w:rsid w:val="001F16EA"/>
    <w:rsid w:val="001F1B16"/>
    <w:rsid w:val="001F1B96"/>
    <w:rsid w:val="001F1C3F"/>
    <w:rsid w:val="001F1CAD"/>
    <w:rsid w:val="001F20A5"/>
    <w:rsid w:val="001F29EA"/>
    <w:rsid w:val="001F3A65"/>
    <w:rsid w:val="001F415C"/>
    <w:rsid w:val="001F4A57"/>
    <w:rsid w:val="001F4C03"/>
    <w:rsid w:val="001F50A5"/>
    <w:rsid w:val="001F52C1"/>
    <w:rsid w:val="001F53B4"/>
    <w:rsid w:val="001F5C21"/>
    <w:rsid w:val="001F5F71"/>
    <w:rsid w:val="001F637B"/>
    <w:rsid w:val="001F674F"/>
    <w:rsid w:val="001F6780"/>
    <w:rsid w:val="001F7258"/>
    <w:rsid w:val="001F72C9"/>
    <w:rsid w:val="001F7CC7"/>
    <w:rsid w:val="0020026B"/>
    <w:rsid w:val="00200499"/>
    <w:rsid w:val="00200678"/>
    <w:rsid w:val="00200A59"/>
    <w:rsid w:val="00200A6F"/>
    <w:rsid w:val="00200D1B"/>
    <w:rsid w:val="00200FCF"/>
    <w:rsid w:val="00201844"/>
    <w:rsid w:val="002019FD"/>
    <w:rsid w:val="002027F5"/>
    <w:rsid w:val="0020291B"/>
    <w:rsid w:val="00202CC7"/>
    <w:rsid w:val="002038E5"/>
    <w:rsid w:val="00203B85"/>
    <w:rsid w:val="00204121"/>
    <w:rsid w:val="0020447A"/>
    <w:rsid w:val="00204AB3"/>
    <w:rsid w:val="00204F5E"/>
    <w:rsid w:val="0020515E"/>
    <w:rsid w:val="00205E24"/>
    <w:rsid w:val="0020627F"/>
    <w:rsid w:val="00206506"/>
    <w:rsid w:val="002065E7"/>
    <w:rsid w:val="00206BA0"/>
    <w:rsid w:val="00206E1A"/>
    <w:rsid w:val="00206FB4"/>
    <w:rsid w:val="00207089"/>
    <w:rsid w:val="002078FA"/>
    <w:rsid w:val="00207A8C"/>
    <w:rsid w:val="00210121"/>
    <w:rsid w:val="00210750"/>
    <w:rsid w:val="00210761"/>
    <w:rsid w:val="00210C7F"/>
    <w:rsid w:val="00210CA7"/>
    <w:rsid w:val="00210DF3"/>
    <w:rsid w:val="0021105B"/>
    <w:rsid w:val="0021122D"/>
    <w:rsid w:val="0021158E"/>
    <w:rsid w:val="00211A4D"/>
    <w:rsid w:val="00212040"/>
    <w:rsid w:val="0021220D"/>
    <w:rsid w:val="0021223C"/>
    <w:rsid w:val="00212D18"/>
    <w:rsid w:val="002134FE"/>
    <w:rsid w:val="00213908"/>
    <w:rsid w:val="00213B0A"/>
    <w:rsid w:val="00214256"/>
    <w:rsid w:val="0021449B"/>
    <w:rsid w:val="002144F2"/>
    <w:rsid w:val="00214AA5"/>
    <w:rsid w:val="00214D5D"/>
    <w:rsid w:val="0021557F"/>
    <w:rsid w:val="00215759"/>
    <w:rsid w:val="00215CF6"/>
    <w:rsid w:val="00216147"/>
    <w:rsid w:val="0021646B"/>
    <w:rsid w:val="0021666B"/>
    <w:rsid w:val="00216B30"/>
    <w:rsid w:val="00216E06"/>
    <w:rsid w:val="002171F3"/>
    <w:rsid w:val="002172D4"/>
    <w:rsid w:val="0021797C"/>
    <w:rsid w:val="00217C36"/>
    <w:rsid w:val="00217EC7"/>
    <w:rsid w:val="00220056"/>
    <w:rsid w:val="002203AA"/>
    <w:rsid w:val="002207EC"/>
    <w:rsid w:val="0022090E"/>
    <w:rsid w:val="00220C69"/>
    <w:rsid w:val="00220FB1"/>
    <w:rsid w:val="002210A1"/>
    <w:rsid w:val="00221184"/>
    <w:rsid w:val="002213B5"/>
    <w:rsid w:val="002218CF"/>
    <w:rsid w:val="002219ED"/>
    <w:rsid w:val="00221C97"/>
    <w:rsid w:val="00222371"/>
    <w:rsid w:val="00222942"/>
    <w:rsid w:val="00222E4C"/>
    <w:rsid w:val="00222FA7"/>
    <w:rsid w:val="00223E6A"/>
    <w:rsid w:val="0022415A"/>
    <w:rsid w:val="00224A54"/>
    <w:rsid w:val="00224D64"/>
    <w:rsid w:val="00224E5A"/>
    <w:rsid w:val="00224FF0"/>
    <w:rsid w:val="00225716"/>
    <w:rsid w:val="00225F7A"/>
    <w:rsid w:val="0022605F"/>
    <w:rsid w:val="002263BC"/>
    <w:rsid w:val="002264AA"/>
    <w:rsid w:val="0022676C"/>
    <w:rsid w:val="002267FF"/>
    <w:rsid w:val="0022690A"/>
    <w:rsid w:val="00226A41"/>
    <w:rsid w:val="00226CF7"/>
    <w:rsid w:val="0022752D"/>
    <w:rsid w:val="00227B91"/>
    <w:rsid w:val="002307AE"/>
    <w:rsid w:val="00230933"/>
    <w:rsid w:val="00230BD5"/>
    <w:rsid w:val="00231164"/>
    <w:rsid w:val="00231226"/>
    <w:rsid w:val="002312F0"/>
    <w:rsid w:val="00231AC8"/>
    <w:rsid w:val="00231C83"/>
    <w:rsid w:val="002323F5"/>
    <w:rsid w:val="0023265C"/>
    <w:rsid w:val="002326CE"/>
    <w:rsid w:val="002328B9"/>
    <w:rsid w:val="002328E7"/>
    <w:rsid w:val="00232904"/>
    <w:rsid w:val="00232BBC"/>
    <w:rsid w:val="00232CBB"/>
    <w:rsid w:val="00232D07"/>
    <w:rsid w:val="00232D26"/>
    <w:rsid w:val="002335FE"/>
    <w:rsid w:val="00233A8C"/>
    <w:rsid w:val="00233FB9"/>
    <w:rsid w:val="00233FEA"/>
    <w:rsid w:val="00234501"/>
    <w:rsid w:val="00234DC8"/>
    <w:rsid w:val="00235096"/>
    <w:rsid w:val="00235255"/>
    <w:rsid w:val="00235664"/>
    <w:rsid w:val="002359FA"/>
    <w:rsid w:val="00235B33"/>
    <w:rsid w:val="0023629F"/>
    <w:rsid w:val="00236381"/>
    <w:rsid w:val="00236474"/>
    <w:rsid w:val="002367D5"/>
    <w:rsid w:val="00236A21"/>
    <w:rsid w:val="00236CE1"/>
    <w:rsid w:val="00236D0A"/>
    <w:rsid w:val="002374E3"/>
    <w:rsid w:val="002376EC"/>
    <w:rsid w:val="002377F1"/>
    <w:rsid w:val="00237A7C"/>
    <w:rsid w:val="00240312"/>
    <w:rsid w:val="0024065C"/>
    <w:rsid w:val="00240A91"/>
    <w:rsid w:val="002411B4"/>
    <w:rsid w:val="002417F1"/>
    <w:rsid w:val="00241A76"/>
    <w:rsid w:val="00241AC5"/>
    <w:rsid w:val="00241D13"/>
    <w:rsid w:val="00241DE7"/>
    <w:rsid w:val="00241E8B"/>
    <w:rsid w:val="0024229B"/>
    <w:rsid w:val="002426B1"/>
    <w:rsid w:val="002426E3"/>
    <w:rsid w:val="00242E4F"/>
    <w:rsid w:val="0024313E"/>
    <w:rsid w:val="0024333A"/>
    <w:rsid w:val="00243976"/>
    <w:rsid w:val="00243FE3"/>
    <w:rsid w:val="002446E3"/>
    <w:rsid w:val="0024481E"/>
    <w:rsid w:val="00244C6D"/>
    <w:rsid w:val="00244D96"/>
    <w:rsid w:val="00245343"/>
    <w:rsid w:val="002458C7"/>
    <w:rsid w:val="002461CB"/>
    <w:rsid w:val="00246344"/>
    <w:rsid w:val="00246EDB"/>
    <w:rsid w:val="00247685"/>
    <w:rsid w:val="0024792F"/>
    <w:rsid w:val="00247BBE"/>
    <w:rsid w:val="0025000C"/>
    <w:rsid w:val="00250216"/>
    <w:rsid w:val="002511AF"/>
    <w:rsid w:val="002512D3"/>
    <w:rsid w:val="00251468"/>
    <w:rsid w:val="00251765"/>
    <w:rsid w:val="00251886"/>
    <w:rsid w:val="00251E09"/>
    <w:rsid w:val="00252214"/>
    <w:rsid w:val="00252835"/>
    <w:rsid w:val="00252849"/>
    <w:rsid w:val="00252D52"/>
    <w:rsid w:val="00253B3E"/>
    <w:rsid w:val="00254158"/>
    <w:rsid w:val="002545A9"/>
    <w:rsid w:val="00254622"/>
    <w:rsid w:val="002553F7"/>
    <w:rsid w:val="00256130"/>
    <w:rsid w:val="002562DF"/>
    <w:rsid w:val="002566F4"/>
    <w:rsid w:val="00256C04"/>
    <w:rsid w:val="00256E82"/>
    <w:rsid w:val="00257A39"/>
    <w:rsid w:val="00257BDC"/>
    <w:rsid w:val="00257EE5"/>
    <w:rsid w:val="002608C2"/>
    <w:rsid w:val="00260A82"/>
    <w:rsid w:val="00261000"/>
    <w:rsid w:val="00261127"/>
    <w:rsid w:val="00261408"/>
    <w:rsid w:val="00261504"/>
    <w:rsid w:val="002617F7"/>
    <w:rsid w:val="002618A9"/>
    <w:rsid w:val="0026226A"/>
    <w:rsid w:val="00262530"/>
    <w:rsid w:val="002638B6"/>
    <w:rsid w:val="00263DFF"/>
    <w:rsid w:val="002645B1"/>
    <w:rsid w:val="002646C9"/>
    <w:rsid w:val="00264880"/>
    <w:rsid w:val="00265173"/>
    <w:rsid w:val="00265A63"/>
    <w:rsid w:val="00265B41"/>
    <w:rsid w:val="00265D67"/>
    <w:rsid w:val="002660F0"/>
    <w:rsid w:val="0026661D"/>
    <w:rsid w:val="002666EF"/>
    <w:rsid w:val="0026670E"/>
    <w:rsid w:val="0026688D"/>
    <w:rsid w:val="0026704C"/>
    <w:rsid w:val="002670C3"/>
    <w:rsid w:val="00270943"/>
    <w:rsid w:val="00270A8C"/>
    <w:rsid w:val="00270E38"/>
    <w:rsid w:val="00272A96"/>
    <w:rsid w:val="00272EAC"/>
    <w:rsid w:val="00272F83"/>
    <w:rsid w:val="00273B13"/>
    <w:rsid w:val="00273BEB"/>
    <w:rsid w:val="00273C25"/>
    <w:rsid w:val="00273D73"/>
    <w:rsid w:val="0027480F"/>
    <w:rsid w:val="00274BEA"/>
    <w:rsid w:val="00274C89"/>
    <w:rsid w:val="00275245"/>
    <w:rsid w:val="00275265"/>
    <w:rsid w:val="002753B8"/>
    <w:rsid w:val="00275A2F"/>
    <w:rsid w:val="0027629B"/>
    <w:rsid w:val="0027655F"/>
    <w:rsid w:val="0027735B"/>
    <w:rsid w:val="00277703"/>
    <w:rsid w:val="00277BE0"/>
    <w:rsid w:val="0028027B"/>
    <w:rsid w:val="002802F3"/>
    <w:rsid w:val="00280577"/>
    <w:rsid w:val="00280E0A"/>
    <w:rsid w:val="00280E7B"/>
    <w:rsid w:val="002814BA"/>
    <w:rsid w:val="0028170F"/>
    <w:rsid w:val="00281971"/>
    <w:rsid w:val="0028233E"/>
    <w:rsid w:val="002828D2"/>
    <w:rsid w:val="00282B99"/>
    <w:rsid w:val="00282EB1"/>
    <w:rsid w:val="0028316C"/>
    <w:rsid w:val="00283975"/>
    <w:rsid w:val="00284292"/>
    <w:rsid w:val="0028483B"/>
    <w:rsid w:val="00284A70"/>
    <w:rsid w:val="00284C4E"/>
    <w:rsid w:val="00284DC0"/>
    <w:rsid w:val="00284F38"/>
    <w:rsid w:val="002856E6"/>
    <w:rsid w:val="002859AA"/>
    <w:rsid w:val="00285D0B"/>
    <w:rsid w:val="00286695"/>
    <w:rsid w:val="002872CF"/>
    <w:rsid w:val="0028757D"/>
    <w:rsid w:val="002902D4"/>
    <w:rsid w:val="00290712"/>
    <w:rsid w:val="0029088D"/>
    <w:rsid w:val="00290A7A"/>
    <w:rsid w:val="00290ABC"/>
    <w:rsid w:val="00290D55"/>
    <w:rsid w:val="00290E03"/>
    <w:rsid w:val="00291006"/>
    <w:rsid w:val="002910BB"/>
    <w:rsid w:val="00291467"/>
    <w:rsid w:val="002916A5"/>
    <w:rsid w:val="00291AF9"/>
    <w:rsid w:val="00291DF9"/>
    <w:rsid w:val="00291E05"/>
    <w:rsid w:val="00292147"/>
    <w:rsid w:val="00292710"/>
    <w:rsid w:val="00292B09"/>
    <w:rsid w:val="00292DC7"/>
    <w:rsid w:val="00292E3B"/>
    <w:rsid w:val="00294679"/>
    <w:rsid w:val="00294704"/>
    <w:rsid w:val="002947D5"/>
    <w:rsid w:val="00294A0E"/>
    <w:rsid w:val="00295020"/>
    <w:rsid w:val="002952AF"/>
    <w:rsid w:val="0029546F"/>
    <w:rsid w:val="00295623"/>
    <w:rsid w:val="002956DB"/>
    <w:rsid w:val="00295DAB"/>
    <w:rsid w:val="00296164"/>
    <w:rsid w:val="00296B18"/>
    <w:rsid w:val="0029711C"/>
    <w:rsid w:val="00297818"/>
    <w:rsid w:val="00297A2F"/>
    <w:rsid w:val="00297E21"/>
    <w:rsid w:val="002A030E"/>
    <w:rsid w:val="002A0432"/>
    <w:rsid w:val="002A107C"/>
    <w:rsid w:val="002A190D"/>
    <w:rsid w:val="002A1AC0"/>
    <w:rsid w:val="002A1AF6"/>
    <w:rsid w:val="002A1E45"/>
    <w:rsid w:val="002A23E2"/>
    <w:rsid w:val="002A2A04"/>
    <w:rsid w:val="002A2D35"/>
    <w:rsid w:val="002A3731"/>
    <w:rsid w:val="002A3800"/>
    <w:rsid w:val="002A3862"/>
    <w:rsid w:val="002A3CE4"/>
    <w:rsid w:val="002A3DEA"/>
    <w:rsid w:val="002A402D"/>
    <w:rsid w:val="002A4957"/>
    <w:rsid w:val="002A4E6C"/>
    <w:rsid w:val="002A5590"/>
    <w:rsid w:val="002A5D0D"/>
    <w:rsid w:val="002A5EE3"/>
    <w:rsid w:val="002A5EE9"/>
    <w:rsid w:val="002A641D"/>
    <w:rsid w:val="002A64D1"/>
    <w:rsid w:val="002A6A65"/>
    <w:rsid w:val="002A6A8A"/>
    <w:rsid w:val="002A6FC6"/>
    <w:rsid w:val="002A75B4"/>
    <w:rsid w:val="002A7763"/>
    <w:rsid w:val="002A7AEA"/>
    <w:rsid w:val="002A7D8F"/>
    <w:rsid w:val="002B0061"/>
    <w:rsid w:val="002B0065"/>
    <w:rsid w:val="002B01ED"/>
    <w:rsid w:val="002B022F"/>
    <w:rsid w:val="002B030C"/>
    <w:rsid w:val="002B045B"/>
    <w:rsid w:val="002B0873"/>
    <w:rsid w:val="002B0E22"/>
    <w:rsid w:val="002B1159"/>
    <w:rsid w:val="002B231E"/>
    <w:rsid w:val="002B2440"/>
    <w:rsid w:val="002B27CB"/>
    <w:rsid w:val="002B28C1"/>
    <w:rsid w:val="002B2A81"/>
    <w:rsid w:val="002B2C0D"/>
    <w:rsid w:val="002B2D46"/>
    <w:rsid w:val="002B2FE2"/>
    <w:rsid w:val="002B31A6"/>
    <w:rsid w:val="002B43F0"/>
    <w:rsid w:val="002B5043"/>
    <w:rsid w:val="002B505B"/>
    <w:rsid w:val="002B5091"/>
    <w:rsid w:val="002B54C2"/>
    <w:rsid w:val="002B56D3"/>
    <w:rsid w:val="002B5C15"/>
    <w:rsid w:val="002B64D6"/>
    <w:rsid w:val="002B6A17"/>
    <w:rsid w:val="002B6B15"/>
    <w:rsid w:val="002B6DBF"/>
    <w:rsid w:val="002B738C"/>
    <w:rsid w:val="002B7A9C"/>
    <w:rsid w:val="002B7C8D"/>
    <w:rsid w:val="002C01BF"/>
    <w:rsid w:val="002C042A"/>
    <w:rsid w:val="002C0563"/>
    <w:rsid w:val="002C064E"/>
    <w:rsid w:val="002C0BF1"/>
    <w:rsid w:val="002C0C88"/>
    <w:rsid w:val="002C0F46"/>
    <w:rsid w:val="002C0FCA"/>
    <w:rsid w:val="002C1423"/>
    <w:rsid w:val="002C1487"/>
    <w:rsid w:val="002C1A77"/>
    <w:rsid w:val="002C1D38"/>
    <w:rsid w:val="002C1E76"/>
    <w:rsid w:val="002C21DA"/>
    <w:rsid w:val="002C2963"/>
    <w:rsid w:val="002C2AE0"/>
    <w:rsid w:val="002C2DE1"/>
    <w:rsid w:val="002C2EDF"/>
    <w:rsid w:val="002C3064"/>
    <w:rsid w:val="002C3400"/>
    <w:rsid w:val="002C35A5"/>
    <w:rsid w:val="002C35CE"/>
    <w:rsid w:val="002C3928"/>
    <w:rsid w:val="002C3A55"/>
    <w:rsid w:val="002C3DDC"/>
    <w:rsid w:val="002C403A"/>
    <w:rsid w:val="002C4790"/>
    <w:rsid w:val="002C48C8"/>
    <w:rsid w:val="002C4928"/>
    <w:rsid w:val="002C4E2A"/>
    <w:rsid w:val="002C4FD0"/>
    <w:rsid w:val="002C51C1"/>
    <w:rsid w:val="002C526C"/>
    <w:rsid w:val="002C55DD"/>
    <w:rsid w:val="002C5B50"/>
    <w:rsid w:val="002C5C3C"/>
    <w:rsid w:val="002C6272"/>
    <w:rsid w:val="002C688C"/>
    <w:rsid w:val="002C7173"/>
    <w:rsid w:val="002C771B"/>
    <w:rsid w:val="002C7C63"/>
    <w:rsid w:val="002C7D83"/>
    <w:rsid w:val="002D0F9F"/>
    <w:rsid w:val="002D1301"/>
    <w:rsid w:val="002D13BE"/>
    <w:rsid w:val="002D211C"/>
    <w:rsid w:val="002D26DE"/>
    <w:rsid w:val="002D271C"/>
    <w:rsid w:val="002D3014"/>
    <w:rsid w:val="002D30B3"/>
    <w:rsid w:val="002D35B7"/>
    <w:rsid w:val="002D386A"/>
    <w:rsid w:val="002D3B67"/>
    <w:rsid w:val="002D402F"/>
    <w:rsid w:val="002D4213"/>
    <w:rsid w:val="002D4B80"/>
    <w:rsid w:val="002D4CFE"/>
    <w:rsid w:val="002D5003"/>
    <w:rsid w:val="002D5780"/>
    <w:rsid w:val="002D60CC"/>
    <w:rsid w:val="002D667C"/>
    <w:rsid w:val="002D6ADB"/>
    <w:rsid w:val="002D6DB5"/>
    <w:rsid w:val="002D6E32"/>
    <w:rsid w:val="002D70CF"/>
    <w:rsid w:val="002D70EF"/>
    <w:rsid w:val="002D71C2"/>
    <w:rsid w:val="002D74BB"/>
    <w:rsid w:val="002D7920"/>
    <w:rsid w:val="002D79B2"/>
    <w:rsid w:val="002D7D7A"/>
    <w:rsid w:val="002D7E91"/>
    <w:rsid w:val="002E015D"/>
    <w:rsid w:val="002E03B8"/>
    <w:rsid w:val="002E0587"/>
    <w:rsid w:val="002E0823"/>
    <w:rsid w:val="002E0B94"/>
    <w:rsid w:val="002E0C7C"/>
    <w:rsid w:val="002E0CBB"/>
    <w:rsid w:val="002E1783"/>
    <w:rsid w:val="002E1986"/>
    <w:rsid w:val="002E1BB6"/>
    <w:rsid w:val="002E1ECB"/>
    <w:rsid w:val="002E2390"/>
    <w:rsid w:val="002E2863"/>
    <w:rsid w:val="002E297B"/>
    <w:rsid w:val="002E3236"/>
    <w:rsid w:val="002E3599"/>
    <w:rsid w:val="002E3C5E"/>
    <w:rsid w:val="002E4161"/>
    <w:rsid w:val="002E459C"/>
    <w:rsid w:val="002E45F4"/>
    <w:rsid w:val="002E4D19"/>
    <w:rsid w:val="002E5034"/>
    <w:rsid w:val="002E51EA"/>
    <w:rsid w:val="002E544B"/>
    <w:rsid w:val="002E56D5"/>
    <w:rsid w:val="002E5D6E"/>
    <w:rsid w:val="002E607B"/>
    <w:rsid w:val="002E62D3"/>
    <w:rsid w:val="002E6718"/>
    <w:rsid w:val="002E6756"/>
    <w:rsid w:val="002E6D25"/>
    <w:rsid w:val="002E71FE"/>
    <w:rsid w:val="002E75F3"/>
    <w:rsid w:val="002E76BB"/>
    <w:rsid w:val="002E7A98"/>
    <w:rsid w:val="002F0132"/>
    <w:rsid w:val="002F03A6"/>
    <w:rsid w:val="002F0633"/>
    <w:rsid w:val="002F0BB1"/>
    <w:rsid w:val="002F0BB6"/>
    <w:rsid w:val="002F10AC"/>
    <w:rsid w:val="002F1BBC"/>
    <w:rsid w:val="002F1FD7"/>
    <w:rsid w:val="002F2292"/>
    <w:rsid w:val="002F243F"/>
    <w:rsid w:val="002F2581"/>
    <w:rsid w:val="002F28F1"/>
    <w:rsid w:val="002F2E66"/>
    <w:rsid w:val="002F2ED1"/>
    <w:rsid w:val="002F3081"/>
    <w:rsid w:val="002F39B0"/>
    <w:rsid w:val="002F3F09"/>
    <w:rsid w:val="002F3FD4"/>
    <w:rsid w:val="002F42CB"/>
    <w:rsid w:val="002F49AE"/>
    <w:rsid w:val="002F4D5A"/>
    <w:rsid w:val="002F5380"/>
    <w:rsid w:val="002F55E4"/>
    <w:rsid w:val="002F578E"/>
    <w:rsid w:val="002F5DC6"/>
    <w:rsid w:val="002F5EC9"/>
    <w:rsid w:val="002F6377"/>
    <w:rsid w:val="002F69FD"/>
    <w:rsid w:val="002F7763"/>
    <w:rsid w:val="002F7B32"/>
    <w:rsid w:val="002F7BB0"/>
    <w:rsid w:val="00300024"/>
    <w:rsid w:val="00300120"/>
    <w:rsid w:val="0030023C"/>
    <w:rsid w:val="0030056B"/>
    <w:rsid w:val="00300872"/>
    <w:rsid w:val="003008E6"/>
    <w:rsid w:val="00300AED"/>
    <w:rsid w:val="00300FEF"/>
    <w:rsid w:val="00301691"/>
    <w:rsid w:val="003018FE"/>
    <w:rsid w:val="00301AF6"/>
    <w:rsid w:val="00301C98"/>
    <w:rsid w:val="00301F2E"/>
    <w:rsid w:val="003027EA"/>
    <w:rsid w:val="00302AD7"/>
    <w:rsid w:val="00302ADD"/>
    <w:rsid w:val="00302C23"/>
    <w:rsid w:val="00303130"/>
    <w:rsid w:val="00303854"/>
    <w:rsid w:val="0030401F"/>
    <w:rsid w:val="00304693"/>
    <w:rsid w:val="00304B33"/>
    <w:rsid w:val="003054D1"/>
    <w:rsid w:val="003055B0"/>
    <w:rsid w:val="00305733"/>
    <w:rsid w:val="003060CB"/>
    <w:rsid w:val="0030611B"/>
    <w:rsid w:val="003061E9"/>
    <w:rsid w:val="0030634B"/>
    <w:rsid w:val="00306792"/>
    <w:rsid w:val="00306B59"/>
    <w:rsid w:val="00306EA6"/>
    <w:rsid w:val="00306F32"/>
    <w:rsid w:val="0030712C"/>
    <w:rsid w:val="00307283"/>
    <w:rsid w:val="00307823"/>
    <w:rsid w:val="00307B37"/>
    <w:rsid w:val="0031001F"/>
    <w:rsid w:val="00310204"/>
    <w:rsid w:val="00310604"/>
    <w:rsid w:val="003106EA"/>
    <w:rsid w:val="00310D25"/>
    <w:rsid w:val="00310F51"/>
    <w:rsid w:val="00311512"/>
    <w:rsid w:val="00311E4B"/>
    <w:rsid w:val="003120F9"/>
    <w:rsid w:val="00312372"/>
    <w:rsid w:val="003125A4"/>
    <w:rsid w:val="00312C5C"/>
    <w:rsid w:val="00312D36"/>
    <w:rsid w:val="00312E1B"/>
    <w:rsid w:val="00312FE6"/>
    <w:rsid w:val="00313B49"/>
    <w:rsid w:val="003142C8"/>
    <w:rsid w:val="0031470E"/>
    <w:rsid w:val="00314B09"/>
    <w:rsid w:val="003150C2"/>
    <w:rsid w:val="003151BD"/>
    <w:rsid w:val="00315240"/>
    <w:rsid w:val="0031541F"/>
    <w:rsid w:val="00315477"/>
    <w:rsid w:val="003154DD"/>
    <w:rsid w:val="00315B0C"/>
    <w:rsid w:val="00315D08"/>
    <w:rsid w:val="00316308"/>
    <w:rsid w:val="00316D47"/>
    <w:rsid w:val="003173C8"/>
    <w:rsid w:val="003174EE"/>
    <w:rsid w:val="003178FF"/>
    <w:rsid w:val="00317E0F"/>
    <w:rsid w:val="00320156"/>
    <w:rsid w:val="003203B9"/>
    <w:rsid w:val="00320998"/>
    <w:rsid w:val="00320C7F"/>
    <w:rsid w:val="003211F9"/>
    <w:rsid w:val="00321A50"/>
    <w:rsid w:val="00321A97"/>
    <w:rsid w:val="0032261D"/>
    <w:rsid w:val="003229C4"/>
    <w:rsid w:val="00322E3B"/>
    <w:rsid w:val="00323482"/>
    <w:rsid w:val="003234FC"/>
    <w:rsid w:val="00323EFB"/>
    <w:rsid w:val="0032401E"/>
    <w:rsid w:val="003243A3"/>
    <w:rsid w:val="00324446"/>
    <w:rsid w:val="00324CB3"/>
    <w:rsid w:val="0032520C"/>
    <w:rsid w:val="00325D45"/>
    <w:rsid w:val="00326027"/>
    <w:rsid w:val="0032623F"/>
    <w:rsid w:val="00326667"/>
    <w:rsid w:val="00326AEC"/>
    <w:rsid w:val="00326D54"/>
    <w:rsid w:val="00327089"/>
    <w:rsid w:val="003273DC"/>
    <w:rsid w:val="00327BB5"/>
    <w:rsid w:val="00327E55"/>
    <w:rsid w:val="0033031D"/>
    <w:rsid w:val="003308F1"/>
    <w:rsid w:val="00330B9B"/>
    <w:rsid w:val="00331257"/>
    <w:rsid w:val="00331EC0"/>
    <w:rsid w:val="00331F55"/>
    <w:rsid w:val="00332106"/>
    <w:rsid w:val="003323A4"/>
    <w:rsid w:val="00332414"/>
    <w:rsid w:val="003324C5"/>
    <w:rsid w:val="003339BE"/>
    <w:rsid w:val="00333B30"/>
    <w:rsid w:val="00333C84"/>
    <w:rsid w:val="00334834"/>
    <w:rsid w:val="00334AE0"/>
    <w:rsid w:val="00334BB0"/>
    <w:rsid w:val="003352C7"/>
    <w:rsid w:val="0033553E"/>
    <w:rsid w:val="00335AE1"/>
    <w:rsid w:val="00335E2A"/>
    <w:rsid w:val="00336649"/>
    <w:rsid w:val="00336A1C"/>
    <w:rsid w:val="00336C0D"/>
    <w:rsid w:val="00336EE0"/>
    <w:rsid w:val="00336F2F"/>
    <w:rsid w:val="00337236"/>
    <w:rsid w:val="003373E1"/>
    <w:rsid w:val="003378DD"/>
    <w:rsid w:val="00337C38"/>
    <w:rsid w:val="003400D7"/>
    <w:rsid w:val="003409C2"/>
    <w:rsid w:val="00340BE5"/>
    <w:rsid w:val="00340C3A"/>
    <w:rsid w:val="00340D5D"/>
    <w:rsid w:val="00340DE8"/>
    <w:rsid w:val="00340FB8"/>
    <w:rsid w:val="00341A12"/>
    <w:rsid w:val="00341C1F"/>
    <w:rsid w:val="0034202E"/>
    <w:rsid w:val="0034229D"/>
    <w:rsid w:val="0034278E"/>
    <w:rsid w:val="00343398"/>
    <w:rsid w:val="003433CF"/>
    <w:rsid w:val="00343514"/>
    <w:rsid w:val="003437C0"/>
    <w:rsid w:val="00343C70"/>
    <w:rsid w:val="00344430"/>
    <w:rsid w:val="003447CB"/>
    <w:rsid w:val="00344C18"/>
    <w:rsid w:val="00345219"/>
    <w:rsid w:val="003452A4"/>
    <w:rsid w:val="0034555B"/>
    <w:rsid w:val="00345751"/>
    <w:rsid w:val="00345DE3"/>
    <w:rsid w:val="003463CB"/>
    <w:rsid w:val="00347741"/>
    <w:rsid w:val="00350088"/>
    <w:rsid w:val="003505E4"/>
    <w:rsid w:val="00350A24"/>
    <w:rsid w:val="00350C60"/>
    <w:rsid w:val="00350F00"/>
    <w:rsid w:val="00351A2B"/>
    <w:rsid w:val="00351FDB"/>
    <w:rsid w:val="00352732"/>
    <w:rsid w:val="003532D6"/>
    <w:rsid w:val="00353305"/>
    <w:rsid w:val="003534ED"/>
    <w:rsid w:val="003534F7"/>
    <w:rsid w:val="00353550"/>
    <w:rsid w:val="0035398C"/>
    <w:rsid w:val="00353B0F"/>
    <w:rsid w:val="00353EC0"/>
    <w:rsid w:val="00354343"/>
    <w:rsid w:val="00354671"/>
    <w:rsid w:val="003547A2"/>
    <w:rsid w:val="0035497A"/>
    <w:rsid w:val="0035503E"/>
    <w:rsid w:val="00356042"/>
    <w:rsid w:val="00356087"/>
    <w:rsid w:val="003561F0"/>
    <w:rsid w:val="0035658A"/>
    <w:rsid w:val="00356BEB"/>
    <w:rsid w:val="00357465"/>
    <w:rsid w:val="003574E4"/>
    <w:rsid w:val="00357829"/>
    <w:rsid w:val="00357DC8"/>
    <w:rsid w:val="00357E97"/>
    <w:rsid w:val="00360A9D"/>
    <w:rsid w:val="003617AE"/>
    <w:rsid w:val="00361CFB"/>
    <w:rsid w:val="003624B0"/>
    <w:rsid w:val="00364C04"/>
    <w:rsid w:val="0036542C"/>
    <w:rsid w:val="00365692"/>
    <w:rsid w:val="003658FF"/>
    <w:rsid w:val="00365947"/>
    <w:rsid w:val="00365EAB"/>
    <w:rsid w:val="0036609A"/>
    <w:rsid w:val="003662DF"/>
    <w:rsid w:val="003662E0"/>
    <w:rsid w:val="0036630C"/>
    <w:rsid w:val="003669F6"/>
    <w:rsid w:val="00367294"/>
    <w:rsid w:val="003672F2"/>
    <w:rsid w:val="003678A4"/>
    <w:rsid w:val="003678E0"/>
    <w:rsid w:val="00367C8E"/>
    <w:rsid w:val="0037040C"/>
    <w:rsid w:val="00370709"/>
    <w:rsid w:val="00370B5D"/>
    <w:rsid w:val="00370B8B"/>
    <w:rsid w:val="00371326"/>
    <w:rsid w:val="00371B71"/>
    <w:rsid w:val="00371C29"/>
    <w:rsid w:val="00371DA5"/>
    <w:rsid w:val="00372297"/>
    <w:rsid w:val="003725AA"/>
    <w:rsid w:val="00372A7C"/>
    <w:rsid w:val="00372B49"/>
    <w:rsid w:val="00372D15"/>
    <w:rsid w:val="00372D1A"/>
    <w:rsid w:val="00372F7A"/>
    <w:rsid w:val="00373671"/>
    <w:rsid w:val="003737D6"/>
    <w:rsid w:val="00373BA8"/>
    <w:rsid w:val="00373C2D"/>
    <w:rsid w:val="00373F1B"/>
    <w:rsid w:val="003741A5"/>
    <w:rsid w:val="003741E0"/>
    <w:rsid w:val="003745C8"/>
    <w:rsid w:val="0037489B"/>
    <w:rsid w:val="00374AEC"/>
    <w:rsid w:val="00375034"/>
    <w:rsid w:val="003757C8"/>
    <w:rsid w:val="0037584B"/>
    <w:rsid w:val="003759F2"/>
    <w:rsid w:val="00375BCC"/>
    <w:rsid w:val="0037646D"/>
    <w:rsid w:val="003765A9"/>
    <w:rsid w:val="003769C0"/>
    <w:rsid w:val="00376A66"/>
    <w:rsid w:val="00376B91"/>
    <w:rsid w:val="00376C6D"/>
    <w:rsid w:val="00376E5A"/>
    <w:rsid w:val="003774F2"/>
    <w:rsid w:val="003779A5"/>
    <w:rsid w:val="0038030A"/>
    <w:rsid w:val="00380442"/>
    <w:rsid w:val="0038064F"/>
    <w:rsid w:val="00380BAD"/>
    <w:rsid w:val="003810C0"/>
    <w:rsid w:val="003814C2"/>
    <w:rsid w:val="00381842"/>
    <w:rsid w:val="00381930"/>
    <w:rsid w:val="00381DC4"/>
    <w:rsid w:val="0038256D"/>
    <w:rsid w:val="0038262E"/>
    <w:rsid w:val="0038299F"/>
    <w:rsid w:val="00382BEE"/>
    <w:rsid w:val="00382C6A"/>
    <w:rsid w:val="003833FF"/>
    <w:rsid w:val="003837D2"/>
    <w:rsid w:val="00383B5A"/>
    <w:rsid w:val="00383D05"/>
    <w:rsid w:val="00384104"/>
    <w:rsid w:val="00384163"/>
    <w:rsid w:val="003842B2"/>
    <w:rsid w:val="00384576"/>
    <w:rsid w:val="00384D4C"/>
    <w:rsid w:val="00384FB3"/>
    <w:rsid w:val="003850BE"/>
    <w:rsid w:val="003851FB"/>
    <w:rsid w:val="003854B7"/>
    <w:rsid w:val="00385644"/>
    <w:rsid w:val="00385788"/>
    <w:rsid w:val="003857C5"/>
    <w:rsid w:val="003859BB"/>
    <w:rsid w:val="00385B8D"/>
    <w:rsid w:val="00386657"/>
    <w:rsid w:val="0038673C"/>
    <w:rsid w:val="00386B2F"/>
    <w:rsid w:val="00386BAC"/>
    <w:rsid w:val="00387114"/>
    <w:rsid w:val="00387715"/>
    <w:rsid w:val="0038772F"/>
    <w:rsid w:val="00387B2E"/>
    <w:rsid w:val="00387CD2"/>
    <w:rsid w:val="00387E05"/>
    <w:rsid w:val="00390110"/>
    <w:rsid w:val="003901AF"/>
    <w:rsid w:val="003902B0"/>
    <w:rsid w:val="0039044D"/>
    <w:rsid w:val="00390460"/>
    <w:rsid w:val="00390A91"/>
    <w:rsid w:val="00390C4F"/>
    <w:rsid w:val="00391C1D"/>
    <w:rsid w:val="00391DB8"/>
    <w:rsid w:val="00391E99"/>
    <w:rsid w:val="003922A2"/>
    <w:rsid w:val="0039251B"/>
    <w:rsid w:val="00392745"/>
    <w:rsid w:val="00392A2C"/>
    <w:rsid w:val="0039382D"/>
    <w:rsid w:val="003939DF"/>
    <w:rsid w:val="00393F48"/>
    <w:rsid w:val="00394DD0"/>
    <w:rsid w:val="003950CC"/>
    <w:rsid w:val="00395396"/>
    <w:rsid w:val="00395615"/>
    <w:rsid w:val="003958FB"/>
    <w:rsid w:val="00395FA2"/>
    <w:rsid w:val="00396CBA"/>
    <w:rsid w:val="00396CE2"/>
    <w:rsid w:val="00396FB4"/>
    <w:rsid w:val="003974FA"/>
    <w:rsid w:val="00397636"/>
    <w:rsid w:val="00397A76"/>
    <w:rsid w:val="00397D35"/>
    <w:rsid w:val="003A0674"/>
    <w:rsid w:val="003A1936"/>
    <w:rsid w:val="003A1AF7"/>
    <w:rsid w:val="003A1B75"/>
    <w:rsid w:val="003A1F5C"/>
    <w:rsid w:val="003A2DFF"/>
    <w:rsid w:val="003A3467"/>
    <w:rsid w:val="003A38A9"/>
    <w:rsid w:val="003A41E1"/>
    <w:rsid w:val="003A4B3B"/>
    <w:rsid w:val="003A4ECF"/>
    <w:rsid w:val="003A5029"/>
    <w:rsid w:val="003A5103"/>
    <w:rsid w:val="003A523B"/>
    <w:rsid w:val="003A5718"/>
    <w:rsid w:val="003A5DA8"/>
    <w:rsid w:val="003A618B"/>
    <w:rsid w:val="003A62FD"/>
    <w:rsid w:val="003A643D"/>
    <w:rsid w:val="003A6652"/>
    <w:rsid w:val="003A6913"/>
    <w:rsid w:val="003A6BE0"/>
    <w:rsid w:val="003A7B55"/>
    <w:rsid w:val="003B0453"/>
    <w:rsid w:val="003B16F8"/>
    <w:rsid w:val="003B23B9"/>
    <w:rsid w:val="003B2551"/>
    <w:rsid w:val="003B2589"/>
    <w:rsid w:val="003B291F"/>
    <w:rsid w:val="003B2C21"/>
    <w:rsid w:val="003B2CBC"/>
    <w:rsid w:val="003B3685"/>
    <w:rsid w:val="003B38E3"/>
    <w:rsid w:val="003B38EF"/>
    <w:rsid w:val="003B41D8"/>
    <w:rsid w:val="003B4340"/>
    <w:rsid w:val="003B4744"/>
    <w:rsid w:val="003B5022"/>
    <w:rsid w:val="003B5423"/>
    <w:rsid w:val="003B56D4"/>
    <w:rsid w:val="003B57AE"/>
    <w:rsid w:val="003B5D2F"/>
    <w:rsid w:val="003B60D4"/>
    <w:rsid w:val="003B71D3"/>
    <w:rsid w:val="003B773D"/>
    <w:rsid w:val="003B7753"/>
    <w:rsid w:val="003B78FE"/>
    <w:rsid w:val="003B7BA5"/>
    <w:rsid w:val="003B7F0D"/>
    <w:rsid w:val="003C0046"/>
    <w:rsid w:val="003C03B7"/>
    <w:rsid w:val="003C0F3A"/>
    <w:rsid w:val="003C0FFF"/>
    <w:rsid w:val="003C1021"/>
    <w:rsid w:val="003C127F"/>
    <w:rsid w:val="003C195C"/>
    <w:rsid w:val="003C1DCE"/>
    <w:rsid w:val="003C1E47"/>
    <w:rsid w:val="003C2077"/>
    <w:rsid w:val="003C2184"/>
    <w:rsid w:val="003C24B6"/>
    <w:rsid w:val="003C256E"/>
    <w:rsid w:val="003C2C8B"/>
    <w:rsid w:val="003C3215"/>
    <w:rsid w:val="003C3280"/>
    <w:rsid w:val="003C37AA"/>
    <w:rsid w:val="003C3B20"/>
    <w:rsid w:val="003C3F2E"/>
    <w:rsid w:val="003C42A3"/>
    <w:rsid w:val="003C437D"/>
    <w:rsid w:val="003C4441"/>
    <w:rsid w:val="003C4E59"/>
    <w:rsid w:val="003C4EB4"/>
    <w:rsid w:val="003C4EDB"/>
    <w:rsid w:val="003C654B"/>
    <w:rsid w:val="003C6A79"/>
    <w:rsid w:val="003C6AC7"/>
    <w:rsid w:val="003C70F3"/>
    <w:rsid w:val="003C7450"/>
    <w:rsid w:val="003C7617"/>
    <w:rsid w:val="003C78EB"/>
    <w:rsid w:val="003D0243"/>
    <w:rsid w:val="003D07FF"/>
    <w:rsid w:val="003D0B78"/>
    <w:rsid w:val="003D0E2C"/>
    <w:rsid w:val="003D0FFC"/>
    <w:rsid w:val="003D12ED"/>
    <w:rsid w:val="003D147D"/>
    <w:rsid w:val="003D1580"/>
    <w:rsid w:val="003D1830"/>
    <w:rsid w:val="003D1834"/>
    <w:rsid w:val="003D1D5B"/>
    <w:rsid w:val="003D1F01"/>
    <w:rsid w:val="003D1F9C"/>
    <w:rsid w:val="003D21B5"/>
    <w:rsid w:val="003D25C7"/>
    <w:rsid w:val="003D261F"/>
    <w:rsid w:val="003D316F"/>
    <w:rsid w:val="003D3425"/>
    <w:rsid w:val="003D358D"/>
    <w:rsid w:val="003D4099"/>
    <w:rsid w:val="003D4258"/>
    <w:rsid w:val="003D49F8"/>
    <w:rsid w:val="003D4A08"/>
    <w:rsid w:val="003D5228"/>
    <w:rsid w:val="003D5309"/>
    <w:rsid w:val="003D5387"/>
    <w:rsid w:val="003D53AA"/>
    <w:rsid w:val="003D58D0"/>
    <w:rsid w:val="003D5BA6"/>
    <w:rsid w:val="003D61D1"/>
    <w:rsid w:val="003D658B"/>
    <w:rsid w:val="003D6998"/>
    <w:rsid w:val="003D6AB1"/>
    <w:rsid w:val="003D7157"/>
    <w:rsid w:val="003D7916"/>
    <w:rsid w:val="003E0219"/>
    <w:rsid w:val="003E0429"/>
    <w:rsid w:val="003E07A9"/>
    <w:rsid w:val="003E07DB"/>
    <w:rsid w:val="003E0E14"/>
    <w:rsid w:val="003E165C"/>
    <w:rsid w:val="003E18F7"/>
    <w:rsid w:val="003E1B00"/>
    <w:rsid w:val="003E1DAB"/>
    <w:rsid w:val="003E1F44"/>
    <w:rsid w:val="003E2211"/>
    <w:rsid w:val="003E2224"/>
    <w:rsid w:val="003E2607"/>
    <w:rsid w:val="003E2896"/>
    <w:rsid w:val="003E2E01"/>
    <w:rsid w:val="003E2EF2"/>
    <w:rsid w:val="003E3115"/>
    <w:rsid w:val="003E317F"/>
    <w:rsid w:val="003E34FD"/>
    <w:rsid w:val="003E47A8"/>
    <w:rsid w:val="003E4DD0"/>
    <w:rsid w:val="003E5069"/>
    <w:rsid w:val="003E5933"/>
    <w:rsid w:val="003E5945"/>
    <w:rsid w:val="003E5958"/>
    <w:rsid w:val="003E5E82"/>
    <w:rsid w:val="003E6441"/>
    <w:rsid w:val="003E694E"/>
    <w:rsid w:val="003E6962"/>
    <w:rsid w:val="003E6B7B"/>
    <w:rsid w:val="003E79EA"/>
    <w:rsid w:val="003F00BD"/>
    <w:rsid w:val="003F03C7"/>
    <w:rsid w:val="003F0DDD"/>
    <w:rsid w:val="003F0DFB"/>
    <w:rsid w:val="003F0ECE"/>
    <w:rsid w:val="003F132C"/>
    <w:rsid w:val="003F174A"/>
    <w:rsid w:val="003F1D08"/>
    <w:rsid w:val="003F1DC2"/>
    <w:rsid w:val="003F277F"/>
    <w:rsid w:val="003F2D22"/>
    <w:rsid w:val="003F325A"/>
    <w:rsid w:val="003F34F2"/>
    <w:rsid w:val="003F3505"/>
    <w:rsid w:val="003F35B3"/>
    <w:rsid w:val="003F3D32"/>
    <w:rsid w:val="003F3E94"/>
    <w:rsid w:val="003F495D"/>
    <w:rsid w:val="003F4C3F"/>
    <w:rsid w:val="003F4CBC"/>
    <w:rsid w:val="003F5328"/>
    <w:rsid w:val="003F58DA"/>
    <w:rsid w:val="003F5C76"/>
    <w:rsid w:val="003F60B7"/>
    <w:rsid w:val="003F6260"/>
    <w:rsid w:val="003F646A"/>
    <w:rsid w:val="003F6BA9"/>
    <w:rsid w:val="003F6C4B"/>
    <w:rsid w:val="003F7C57"/>
    <w:rsid w:val="004000CB"/>
    <w:rsid w:val="00400336"/>
    <w:rsid w:val="004004AF"/>
    <w:rsid w:val="00400791"/>
    <w:rsid w:val="00401054"/>
    <w:rsid w:val="00401101"/>
    <w:rsid w:val="00401772"/>
    <w:rsid w:val="00401AE3"/>
    <w:rsid w:val="00402067"/>
    <w:rsid w:val="004020A5"/>
    <w:rsid w:val="0040228E"/>
    <w:rsid w:val="004026F8"/>
    <w:rsid w:val="00402807"/>
    <w:rsid w:val="00402B30"/>
    <w:rsid w:val="00402CCD"/>
    <w:rsid w:val="00402DEF"/>
    <w:rsid w:val="00402E60"/>
    <w:rsid w:val="00402E8B"/>
    <w:rsid w:val="00403961"/>
    <w:rsid w:val="00403AC3"/>
    <w:rsid w:val="00403B58"/>
    <w:rsid w:val="00403D17"/>
    <w:rsid w:val="004044EA"/>
    <w:rsid w:val="004046C9"/>
    <w:rsid w:val="00404ED8"/>
    <w:rsid w:val="00404F97"/>
    <w:rsid w:val="00405139"/>
    <w:rsid w:val="0040579B"/>
    <w:rsid w:val="004058CA"/>
    <w:rsid w:val="00405AFE"/>
    <w:rsid w:val="00405D7D"/>
    <w:rsid w:val="00405D94"/>
    <w:rsid w:val="00405DFF"/>
    <w:rsid w:val="004068F3"/>
    <w:rsid w:val="00406B64"/>
    <w:rsid w:val="00406DA6"/>
    <w:rsid w:val="00406EA1"/>
    <w:rsid w:val="00407550"/>
    <w:rsid w:val="00407ACF"/>
    <w:rsid w:val="00407EB9"/>
    <w:rsid w:val="0041008D"/>
    <w:rsid w:val="004100AC"/>
    <w:rsid w:val="004106F7"/>
    <w:rsid w:val="00410DCD"/>
    <w:rsid w:val="00410EFE"/>
    <w:rsid w:val="00411127"/>
    <w:rsid w:val="0041170A"/>
    <w:rsid w:val="004118AC"/>
    <w:rsid w:val="00411A3E"/>
    <w:rsid w:val="004124EF"/>
    <w:rsid w:val="00412766"/>
    <w:rsid w:val="00412BF0"/>
    <w:rsid w:val="00412F57"/>
    <w:rsid w:val="00413444"/>
    <w:rsid w:val="004139D3"/>
    <w:rsid w:val="00413E05"/>
    <w:rsid w:val="004149B5"/>
    <w:rsid w:val="00414A29"/>
    <w:rsid w:val="004150E6"/>
    <w:rsid w:val="004151B4"/>
    <w:rsid w:val="0041529D"/>
    <w:rsid w:val="00415AD6"/>
    <w:rsid w:val="00415E83"/>
    <w:rsid w:val="00415EEE"/>
    <w:rsid w:val="004164AE"/>
    <w:rsid w:val="004166D9"/>
    <w:rsid w:val="00416817"/>
    <w:rsid w:val="00416885"/>
    <w:rsid w:val="00416886"/>
    <w:rsid w:val="00416B19"/>
    <w:rsid w:val="00416C6B"/>
    <w:rsid w:val="00416D34"/>
    <w:rsid w:val="00417008"/>
    <w:rsid w:val="0041731C"/>
    <w:rsid w:val="00417384"/>
    <w:rsid w:val="0041787D"/>
    <w:rsid w:val="0041796E"/>
    <w:rsid w:val="00417DBB"/>
    <w:rsid w:val="00417F26"/>
    <w:rsid w:val="00420052"/>
    <w:rsid w:val="004202BD"/>
    <w:rsid w:val="00420364"/>
    <w:rsid w:val="00420D09"/>
    <w:rsid w:val="00421087"/>
    <w:rsid w:val="00422047"/>
    <w:rsid w:val="0042228A"/>
    <w:rsid w:val="0042235F"/>
    <w:rsid w:val="00422959"/>
    <w:rsid w:val="00422C73"/>
    <w:rsid w:val="00422FD0"/>
    <w:rsid w:val="00422FD7"/>
    <w:rsid w:val="00423945"/>
    <w:rsid w:val="00423A8F"/>
    <w:rsid w:val="00423D66"/>
    <w:rsid w:val="00423DBD"/>
    <w:rsid w:val="0042454D"/>
    <w:rsid w:val="00424907"/>
    <w:rsid w:val="00425E5D"/>
    <w:rsid w:val="00425F71"/>
    <w:rsid w:val="0042626D"/>
    <w:rsid w:val="00426666"/>
    <w:rsid w:val="004266FC"/>
    <w:rsid w:val="00426CDE"/>
    <w:rsid w:val="00426EE3"/>
    <w:rsid w:val="0042722A"/>
    <w:rsid w:val="00427925"/>
    <w:rsid w:val="00427EB4"/>
    <w:rsid w:val="004309B7"/>
    <w:rsid w:val="00430E6E"/>
    <w:rsid w:val="00430ED4"/>
    <w:rsid w:val="00430EE3"/>
    <w:rsid w:val="0043129F"/>
    <w:rsid w:val="00431493"/>
    <w:rsid w:val="00431F86"/>
    <w:rsid w:val="00432206"/>
    <w:rsid w:val="00432520"/>
    <w:rsid w:val="0043255F"/>
    <w:rsid w:val="00433290"/>
    <w:rsid w:val="00434700"/>
    <w:rsid w:val="00434954"/>
    <w:rsid w:val="004352FF"/>
    <w:rsid w:val="0043552F"/>
    <w:rsid w:val="00435A15"/>
    <w:rsid w:val="00436DFD"/>
    <w:rsid w:val="00437043"/>
    <w:rsid w:val="004372A5"/>
    <w:rsid w:val="00437533"/>
    <w:rsid w:val="00440479"/>
    <w:rsid w:val="00440B0B"/>
    <w:rsid w:val="004413C6"/>
    <w:rsid w:val="004418A3"/>
    <w:rsid w:val="00441BC7"/>
    <w:rsid w:val="0044266B"/>
    <w:rsid w:val="004431E0"/>
    <w:rsid w:val="00443823"/>
    <w:rsid w:val="00443832"/>
    <w:rsid w:val="00444068"/>
    <w:rsid w:val="004449D6"/>
    <w:rsid w:val="00444B2F"/>
    <w:rsid w:val="00444E8B"/>
    <w:rsid w:val="00445436"/>
    <w:rsid w:val="00445881"/>
    <w:rsid w:val="004458D0"/>
    <w:rsid w:val="00445C88"/>
    <w:rsid w:val="00445DCF"/>
    <w:rsid w:val="0044641B"/>
    <w:rsid w:val="0044660B"/>
    <w:rsid w:val="00446636"/>
    <w:rsid w:val="00446C90"/>
    <w:rsid w:val="0044789B"/>
    <w:rsid w:val="004478C2"/>
    <w:rsid w:val="00447BE1"/>
    <w:rsid w:val="00447DDD"/>
    <w:rsid w:val="004505A3"/>
    <w:rsid w:val="0045071C"/>
    <w:rsid w:val="004517C7"/>
    <w:rsid w:val="00451C9D"/>
    <w:rsid w:val="00451D21"/>
    <w:rsid w:val="004523EC"/>
    <w:rsid w:val="00452603"/>
    <w:rsid w:val="00452815"/>
    <w:rsid w:val="00452A2E"/>
    <w:rsid w:val="00452A74"/>
    <w:rsid w:val="00452D85"/>
    <w:rsid w:val="00452E58"/>
    <w:rsid w:val="00453C50"/>
    <w:rsid w:val="00454009"/>
    <w:rsid w:val="004540ED"/>
    <w:rsid w:val="00454107"/>
    <w:rsid w:val="0045425A"/>
    <w:rsid w:val="0045434C"/>
    <w:rsid w:val="004547BA"/>
    <w:rsid w:val="00454F4E"/>
    <w:rsid w:val="004553B8"/>
    <w:rsid w:val="00455562"/>
    <w:rsid w:val="004557FF"/>
    <w:rsid w:val="00455975"/>
    <w:rsid w:val="00455D7E"/>
    <w:rsid w:val="00455F07"/>
    <w:rsid w:val="004562AF"/>
    <w:rsid w:val="004563AF"/>
    <w:rsid w:val="004568DE"/>
    <w:rsid w:val="004568FD"/>
    <w:rsid w:val="00456BC2"/>
    <w:rsid w:val="00456E18"/>
    <w:rsid w:val="0045701B"/>
    <w:rsid w:val="004573CA"/>
    <w:rsid w:val="004577D2"/>
    <w:rsid w:val="00457911"/>
    <w:rsid w:val="00457D6D"/>
    <w:rsid w:val="00457D78"/>
    <w:rsid w:val="00457F2F"/>
    <w:rsid w:val="00460201"/>
    <w:rsid w:val="00460318"/>
    <w:rsid w:val="00460C9D"/>
    <w:rsid w:val="0046177D"/>
    <w:rsid w:val="00461CBF"/>
    <w:rsid w:val="00461D5B"/>
    <w:rsid w:val="00461DA8"/>
    <w:rsid w:val="00462243"/>
    <w:rsid w:val="00462427"/>
    <w:rsid w:val="0046246E"/>
    <w:rsid w:val="004628DB"/>
    <w:rsid w:val="00462FD6"/>
    <w:rsid w:val="00463183"/>
    <w:rsid w:val="00463F5A"/>
    <w:rsid w:val="0046426D"/>
    <w:rsid w:val="00464318"/>
    <w:rsid w:val="00464A6D"/>
    <w:rsid w:val="00464BAA"/>
    <w:rsid w:val="00464FEA"/>
    <w:rsid w:val="00465088"/>
    <w:rsid w:val="0046536E"/>
    <w:rsid w:val="00465918"/>
    <w:rsid w:val="00465BD9"/>
    <w:rsid w:val="00466036"/>
    <w:rsid w:val="004661C7"/>
    <w:rsid w:val="0046652B"/>
    <w:rsid w:val="004673B1"/>
    <w:rsid w:val="00467FCD"/>
    <w:rsid w:val="00470040"/>
    <w:rsid w:val="0047175F"/>
    <w:rsid w:val="00471DC4"/>
    <w:rsid w:val="00471FF6"/>
    <w:rsid w:val="0047256C"/>
    <w:rsid w:val="00472A9D"/>
    <w:rsid w:val="00472E99"/>
    <w:rsid w:val="00472FF1"/>
    <w:rsid w:val="00473D01"/>
    <w:rsid w:val="00474BD9"/>
    <w:rsid w:val="00474C5D"/>
    <w:rsid w:val="00474DFF"/>
    <w:rsid w:val="00475971"/>
    <w:rsid w:val="00475B53"/>
    <w:rsid w:val="00475E2D"/>
    <w:rsid w:val="00476650"/>
    <w:rsid w:val="00477B9F"/>
    <w:rsid w:val="00477D8D"/>
    <w:rsid w:val="004805A4"/>
    <w:rsid w:val="00481CC6"/>
    <w:rsid w:val="00482695"/>
    <w:rsid w:val="0048313B"/>
    <w:rsid w:val="00483429"/>
    <w:rsid w:val="00483A2C"/>
    <w:rsid w:val="00483C50"/>
    <w:rsid w:val="00483CD6"/>
    <w:rsid w:val="00483D03"/>
    <w:rsid w:val="004841BB"/>
    <w:rsid w:val="0048432B"/>
    <w:rsid w:val="0048443A"/>
    <w:rsid w:val="00484A2F"/>
    <w:rsid w:val="00485318"/>
    <w:rsid w:val="00485520"/>
    <w:rsid w:val="004856EF"/>
    <w:rsid w:val="00485A08"/>
    <w:rsid w:val="00485F2E"/>
    <w:rsid w:val="00485FFE"/>
    <w:rsid w:val="0048610F"/>
    <w:rsid w:val="00486267"/>
    <w:rsid w:val="0048640A"/>
    <w:rsid w:val="004865A1"/>
    <w:rsid w:val="00486728"/>
    <w:rsid w:val="0048674D"/>
    <w:rsid w:val="00486A09"/>
    <w:rsid w:val="00486B4F"/>
    <w:rsid w:val="00486B7F"/>
    <w:rsid w:val="00486EEC"/>
    <w:rsid w:val="004872CB"/>
    <w:rsid w:val="004873FA"/>
    <w:rsid w:val="004877DD"/>
    <w:rsid w:val="00487A08"/>
    <w:rsid w:val="00487B4A"/>
    <w:rsid w:val="00487DDA"/>
    <w:rsid w:val="004907D3"/>
    <w:rsid w:val="00490A2E"/>
    <w:rsid w:val="00490A62"/>
    <w:rsid w:val="00490C6D"/>
    <w:rsid w:val="00490F72"/>
    <w:rsid w:val="00491041"/>
    <w:rsid w:val="0049110A"/>
    <w:rsid w:val="0049131C"/>
    <w:rsid w:val="00491823"/>
    <w:rsid w:val="00491F57"/>
    <w:rsid w:val="00492318"/>
    <w:rsid w:val="0049262F"/>
    <w:rsid w:val="004926EF"/>
    <w:rsid w:val="0049295D"/>
    <w:rsid w:val="00492981"/>
    <w:rsid w:val="004932A2"/>
    <w:rsid w:val="004936BF"/>
    <w:rsid w:val="00493C98"/>
    <w:rsid w:val="00493E8B"/>
    <w:rsid w:val="00493FC2"/>
    <w:rsid w:val="00494448"/>
    <w:rsid w:val="00494509"/>
    <w:rsid w:val="004946F4"/>
    <w:rsid w:val="0049472F"/>
    <w:rsid w:val="00494C44"/>
    <w:rsid w:val="00494D08"/>
    <w:rsid w:val="0049537A"/>
    <w:rsid w:val="004956F3"/>
    <w:rsid w:val="0049580A"/>
    <w:rsid w:val="004958E1"/>
    <w:rsid w:val="00495C9A"/>
    <w:rsid w:val="00496477"/>
    <w:rsid w:val="004964F5"/>
    <w:rsid w:val="004968D1"/>
    <w:rsid w:val="00496B76"/>
    <w:rsid w:val="00497561"/>
    <w:rsid w:val="004A0467"/>
    <w:rsid w:val="004A0FC7"/>
    <w:rsid w:val="004A1DA2"/>
    <w:rsid w:val="004A1F94"/>
    <w:rsid w:val="004A2385"/>
    <w:rsid w:val="004A28D6"/>
    <w:rsid w:val="004A298E"/>
    <w:rsid w:val="004A29EC"/>
    <w:rsid w:val="004A2B93"/>
    <w:rsid w:val="004A2F4C"/>
    <w:rsid w:val="004A325F"/>
    <w:rsid w:val="004A3557"/>
    <w:rsid w:val="004A35F9"/>
    <w:rsid w:val="004A3942"/>
    <w:rsid w:val="004A3996"/>
    <w:rsid w:val="004A3EB2"/>
    <w:rsid w:val="004A3FCA"/>
    <w:rsid w:val="004A4283"/>
    <w:rsid w:val="004A4BA1"/>
    <w:rsid w:val="004A4C14"/>
    <w:rsid w:val="004A4DDD"/>
    <w:rsid w:val="004A4F87"/>
    <w:rsid w:val="004A5791"/>
    <w:rsid w:val="004A58C9"/>
    <w:rsid w:val="004A5E56"/>
    <w:rsid w:val="004A5F02"/>
    <w:rsid w:val="004A6058"/>
    <w:rsid w:val="004A60DB"/>
    <w:rsid w:val="004A63CC"/>
    <w:rsid w:val="004A6685"/>
    <w:rsid w:val="004A6797"/>
    <w:rsid w:val="004A6841"/>
    <w:rsid w:val="004A6888"/>
    <w:rsid w:val="004A6C6D"/>
    <w:rsid w:val="004A7045"/>
    <w:rsid w:val="004A70AB"/>
    <w:rsid w:val="004A7143"/>
    <w:rsid w:val="004A7BF5"/>
    <w:rsid w:val="004B09E3"/>
    <w:rsid w:val="004B0B3A"/>
    <w:rsid w:val="004B14B9"/>
    <w:rsid w:val="004B1904"/>
    <w:rsid w:val="004B19CD"/>
    <w:rsid w:val="004B1CB4"/>
    <w:rsid w:val="004B1D68"/>
    <w:rsid w:val="004B232F"/>
    <w:rsid w:val="004B2415"/>
    <w:rsid w:val="004B273E"/>
    <w:rsid w:val="004B29F9"/>
    <w:rsid w:val="004B2B10"/>
    <w:rsid w:val="004B30CA"/>
    <w:rsid w:val="004B3565"/>
    <w:rsid w:val="004B37B5"/>
    <w:rsid w:val="004B3EDD"/>
    <w:rsid w:val="004B42B5"/>
    <w:rsid w:val="004B47D0"/>
    <w:rsid w:val="004B48D3"/>
    <w:rsid w:val="004B4C0F"/>
    <w:rsid w:val="004B4E68"/>
    <w:rsid w:val="004B5210"/>
    <w:rsid w:val="004B52C0"/>
    <w:rsid w:val="004B5386"/>
    <w:rsid w:val="004B58AF"/>
    <w:rsid w:val="004B5E0D"/>
    <w:rsid w:val="004B5E1E"/>
    <w:rsid w:val="004B5FAD"/>
    <w:rsid w:val="004B62DC"/>
    <w:rsid w:val="004B6708"/>
    <w:rsid w:val="004B6CD6"/>
    <w:rsid w:val="004B6E91"/>
    <w:rsid w:val="004B7533"/>
    <w:rsid w:val="004B7D77"/>
    <w:rsid w:val="004C0074"/>
    <w:rsid w:val="004C080C"/>
    <w:rsid w:val="004C0FC9"/>
    <w:rsid w:val="004C10E4"/>
    <w:rsid w:val="004C16FA"/>
    <w:rsid w:val="004C1B71"/>
    <w:rsid w:val="004C1F9A"/>
    <w:rsid w:val="004C233C"/>
    <w:rsid w:val="004C36B8"/>
    <w:rsid w:val="004C382F"/>
    <w:rsid w:val="004C3A69"/>
    <w:rsid w:val="004C3BB6"/>
    <w:rsid w:val="004C3F90"/>
    <w:rsid w:val="004C42E4"/>
    <w:rsid w:val="004C4554"/>
    <w:rsid w:val="004C4D98"/>
    <w:rsid w:val="004C50C7"/>
    <w:rsid w:val="004C513B"/>
    <w:rsid w:val="004C5522"/>
    <w:rsid w:val="004C557C"/>
    <w:rsid w:val="004C5DB0"/>
    <w:rsid w:val="004C5F1F"/>
    <w:rsid w:val="004C5F7B"/>
    <w:rsid w:val="004C5F8E"/>
    <w:rsid w:val="004C647C"/>
    <w:rsid w:val="004C64E9"/>
    <w:rsid w:val="004C6847"/>
    <w:rsid w:val="004C7086"/>
    <w:rsid w:val="004C7533"/>
    <w:rsid w:val="004C794C"/>
    <w:rsid w:val="004D061B"/>
    <w:rsid w:val="004D0C0F"/>
    <w:rsid w:val="004D0CC0"/>
    <w:rsid w:val="004D127E"/>
    <w:rsid w:val="004D1704"/>
    <w:rsid w:val="004D1A77"/>
    <w:rsid w:val="004D1EA6"/>
    <w:rsid w:val="004D202C"/>
    <w:rsid w:val="004D2362"/>
    <w:rsid w:val="004D35D0"/>
    <w:rsid w:val="004D3A7C"/>
    <w:rsid w:val="004D3C18"/>
    <w:rsid w:val="004D40B4"/>
    <w:rsid w:val="004D428F"/>
    <w:rsid w:val="004D438A"/>
    <w:rsid w:val="004D45CD"/>
    <w:rsid w:val="004D46F7"/>
    <w:rsid w:val="004D4C29"/>
    <w:rsid w:val="004D4EA2"/>
    <w:rsid w:val="004D55E4"/>
    <w:rsid w:val="004D56F5"/>
    <w:rsid w:val="004D5882"/>
    <w:rsid w:val="004D5CAC"/>
    <w:rsid w:val="004D62BF"/>
    <w:rsid w:val="004D64DC"/>
    <w:rsid w:val="004D66B9"/>
    <w:rsid w:val="004D6851"/>
    <w:rsid w:val="004D6C58"/>
    <w:rsid w:val="004D6C6F"/>
    <w:rsid w:val="004D6E46"/>
    <w:rsid w:val="004D7212"/>
    <w:rsid w:val="004D7BB1"/>
    <w:rsid w:val="004E00CD"/>
    <w:rsid w:val="004E02E9"/>
    <w:rsid w:val="004E0FAD"/>
    <w:rsid w:val="004E145A"/>
    <w:rsid w:val="004E1BE8"/>
    <w:rsid w:val="004E1C1D"/>
    <w:rsid w:val="004E1D1F"/>
    <w:rsid w:val="004E2222"/>
    <w:rsid w:val="004E2263"/>
    <w:rsid w:val="004E255A"/>
    <w:rsid w:val="004E25A9"/>
    <w:rsid w:val="004E2899"/>
    <w:rsid w:val="004E2F34"/>
    <w:rsid w:val="004E3401"/>
    <w:rsid w:val="004E361A"/>
    <w:rsid w:val="004E3AE4"/>
    <w:rsid w:val="004E3BD5"/>
    <w:rsid w:val="004E3FE7"/>
    <w:rsid w:val="004E4BC3"/>
    <w:rsid w:val="004E56D5"/>
    <w:rsid w:val="004E600C"/>
    <w:rsid w:val="004E6603"/>
    <w:rsid w:val="004E6865"/>
    <w:rsid w:val="004E6A2D"/>
    <w:rsid w:val="004E6CCC"/>
    <w:rsid w:val="004E6FB8"/>
    <w:rsid w:val="004E72BD"/>
    <w:rsid w:val="004E7499"/>
    <w:rsid w:val="004E74DE"/>
    <w:rsid w:val="004E75DA"/>
    <w:rsid w:val="004E77C8"/>
    <w:rsid w:val="004E7912"/>
    <w:rsid w:val="004E7A44"/>
    <w:rsid w:val="004F0194"/>
    <w:rsid w:val="004F04C8"/>
    <w:rsid w:val="004F071C"/>
    <w:rsid w:val="004F09D7"/>
    <w:rsid w:val="004F0C16"/>
    <w:rsid w:val="004F0DBC"/>
    <w:rsid w:val="004F0E62"/>
    <w:rsid w:val="004F0EA6"/>
    <w:rsid w:val="004F118A"/>
    <w:rsid w:val="004F11F9"/>
    <w:rsid w:val="004F125F"/>
    <w:rsid w:val="004F13C7"/>
    <w:rsid w:val="004F17CF"/>
    <w:rsid w:val="004F19FF"/>
    <w:rsid w:val="004F1CF3"/>
    <w:rsid w:val="004F1F53"/>
    <w:rsid w:val="004F255B"/>
    <w:rsid w:val="004F2679"/>
    <w:rsid w:val="004F2A1A"/>
    <w:rsid w:val="004F3373"/>
    <w:rsid w:val="004F35C3"/>
    <w:rsid w:val="004F36AA"/>
    <w:rsid w:val="004F3A3F"/>
    <w:rsid w:val="004F3EBF"/>
    <w:rsid w:val="004F41B2"/>
    <w:rsid w:val="004F422A"/>
    <w:rsid w:val="004F4660"/>
    <w:rsid w:val="004F4BC2"/>
    <w:rsid w:val="004F4E09"/>
    <w:rsid w:val="004F4FFC"/>
    <w:rsid w:val="004F5627"/>
    <w:rsid w:val="004F5912"/>
    <w:rsid w:val="004F594D"/>
    <w:rsid w:val="004F5B40"/>
    <w:rsid w:val="004F5C43"/>
    <w:rsid w:val="004F5F53"/>
    <w:rsid w:val="004F638C"/>
    <w:rsid w:val="004F666C"/>
    <w:rsid w:val="004F69C4"/>
    <w:rsid w:val="004F6B3A"/>
    <w:rsid w:val="004F6DE0"/>
    <w:rsid w:val="004F6ED7"/>
    <w:rsid w:val="004F6F48"/>
    <w:rsid w:val="004F7687"/>
    <w:rsid w:val="004F78C7"/>
    <w:rsid w:val="004F7C10"/>
    <w:rsid w:val="004F7CF1"/>
    <w:rsid w:val="005000FB"/>
    <w:rsid w:val="0050105B"/>
    <w:rsid w:val="00501331"/>
    <w:rsid w:val="005014BA"/>
    <w:rsid w:val="00501579"/>
    <w:rsid w:val="0050162F"/>
    <w:rsid w:val="005016BD"/>
    <w:rsid w:val="005016CC"/>
    <w:rsid w:val="00501776"/>
    <w:rsid w:val="00501EA2"/>
    <w:rsid w:val="005020F4"/>
    <w:rsid w:val="005021FB"/>
    <w:rsid w:val="005027BF"/>
    <w:rsid w:val="0050281B"/>
    <w:rsid w:val="00502D89"/>
    <w:rsid w:val="00502FD0"/>
    <w:rsid w:val="00502FDF"/>
    <w:rsid w:val="00503872"/>
    <w:rsid w:val="00503A40"/>
    <w:rsid w:val="00503BA9"/>
    <w:rsid w:val="00503F44"/>
    <w:rsid w:val="005041A0"/>
    <w:rsid w:val="00504382"/>
    <w:rsid w:val="005044A7"/>
    <w:rsid w:val="005045B0"/>
    <w:rsid w:val="0050467F"/>
    <w:rsid w:val="0050488F"/>
    <w:rsid w:val="005049B7"/>
    <w:rsid w:val="0050543B"/>
    <w:rsid w:val="0050553B"/>
    <w:rsid w:val="0050565D"/>
    <w:rsid w:val="00506218"/>
    <w:rsid w:val="005064E7"/>
    <w:rsid w:val="0050688D"/>
    <w:rsid w:val="005069CD"/>
    <w:rsid w:val="00506A88"/>
    <w:rsid w:val="00506E43"/>
    <w:rsid w:val="00506EDA"/>
    <w:rsid w:val="00507073"/>
    <w:rsid w:val="005071ED"/>
    <w:rsid w:val="00507722"/>
    <w:rsid w:val="00507746"/>
    <w:rsid w:val="005100EB"/>
    <w:rsid w:val="0051013F"/>
    <w:rsid w:val="00510BCA"/>
    <w:rsid w:val="00510D6F"/>
    <w:rsid w:val="00510D88"/>
    <w:rsid w:val="00510E59"/>
    <w:rsid w:val="00511054"/>
    <w:rsid w:val="00511340"/>
    <w:rsid w:val="005114E3"/>
    <w:rsid w:val="0051163A"/>
    <w:rsid w:val="00511BDB"/>
    <w:rsid w:val="00511EB9"/>
    <w:rsid w:val="00512177"/>
    <w:rsid w:val="005122E1"/>
    <w:rsid w:val="00512863"/>
    <w:rsid w:val="005128D0"/>
    <w:rsid w:val="00513000"/>
    <w:rsid w:val="005130E6"/>
    <w:rsid w:val="0051373F"/>
    <w:rsid w:val="00513D13"/>
    <w:rsid w:val="00514896"/>
    <w:rsid w:val="00514AC9"/>
    <w:rsid w:val="00515354"/>
    <w:rsid w:val="00515702"/>
    <w:rsid w:val="00515842"/>
    <w:rsid w:val="00515EE9"/>
    <w:rsid w:val="00516C1E"/>
    <w:rsid w:val="00516C2A"/>
    <w:rsid w:val="005170AB"/>
    <w:rsid w:val="00517A05"/>
    <w:rsid w:val="00517B85"/>
    <w:rsid w:val="005204C0"/>
    <w:rsid w:val="0052083B"/>
    <w:rsid w:val="00520EA2"/>
    <w:rsid w:val="005213ED"/>
    <w:rsid w:val="00521A75"/>
    <w:rsid w:val="00522557"/>
    <w:rsid w:val="005225E3"/>
    <w:rsid w:val="00522FC6"/>
    <w:rsid w:val="00523038"/>
    <w:rsid w:val="0052322E"/>
    <w:rsid w:val="0052325F"/>
    <w:rsid w:val="005236E5"/>
    <w:rsid w:val="00523755"/>
    <w:rsid w:val="00524253"/>
    <w:rsid w:val="005242D4"/>
    <w:rsid w:val="00524418"/>
    <w:rsid w:val="00524556"/>
    <w:rsid w:val="005245DC"/>
    <w:rsid w:val="005248C3"/>
    <w:rsid w:val="005249F5"/>
    <w:rsid w:val="00524D43"/>
    <w:rsid w:val="00524D9D"/>
    <w:rsid w:val="00525C5D"/>
    <w:rsid w:val="00525F17"/>
    <w:rsid w:val="00526139"/>
    <w:rsid w:val="005262A7"/>
    <w:rsid w:val="00526834"/>
    <w:rsid w:val="005269CF"/>
    <w:rsid w:val="00526A74"/>
    <w:rsid w:val="00526EB9"/>
    <w:rsid w:val="0052715B"/>
    <w:rsid w:val="005273C1"/>
    <w:rsid w:val="00527768"/>
    <w:rsid w:val="00527C93"/>
    <w:rsid w:val="005308D0"/>
    <w:rsid w:val="005309DE"/>
    <w:rsid w:val="00530B1F"/>
    <w:rsid w:val="00530E91"/>
    <w:rsid w:val="00530E97"/>
    <w:rsid w:val="00530F00"/>
    <w:rsid w:val="005313F9"/>
    <w:rsid w:val="00531500"/>
    <w:rsid w:val="005319ED"/>
    <w:rsid w:val="00531A71"/>
    <w:rsid w:val="00531C1F"/>
    <w:rsid w:val="00531C9E"/>
    <w:rsid w:val="005324D4"/>
    <w:rsid w:val="00532954"/>
    <w:rsid w:val="00532976"/>
    <w:rsid w:val="00532D3B"/>
    <w:rsid w:val="00533210"/>
    <w:rsid w:val="00533BB7"/>
    <w:rsid w:val="00533E44"/>
    <w:rsid w:val="005340C3"/>
    <w:rsid w:val="00534398"/>
    <w:rsid w:val="005351CA"/>
    <w:rsid w:val="0053534A"/>
    <w:rsid w:val="005355E5"/>
    <w:rsid w:val="0053612C"/>
    <w:rsid w:val="00536B29"/>
    <w:rsid w:val="00536BFD"/>
    <w:rsid w:val="00536D07"/>
    <w:rsid w:val="00536D70"/>
    <w:rsid w:val="00537212"/>
    <w:rsid w:val="00537412"/>
    <w:rsid w:val="00540379"/>
    <w:rsid w:val="00540889"/>
    <w:rsid w:val="00540ACE"/>
    <w:rsid w:val="00540D4A"/>
    <w:rsid w:val="00540DE0"/>
    <w:rsid w:val="00540F44"/>
    <w:rsid w:val="005418E6"/>
    <w:rsid w:val="005423AB"/>
    <w:rsid w:val="00542526"/>
    <w:rsid w:val="00542DE0"/>
    <w:rsid w:val="00542EF4"/>
    <w:rsid w:val="00542F24"/>
    <w:rsid w:val="005430B3"/>
    <w:rsid w:val="005445B5"/>
    <w:rsid w:val="005447C5"/>
    <w:rsid w:val="00544BC2"/>
    <w:rsid w:val="00545217"/>
    <w:rsid w:val="00545234"/>
    <w:rsid w:val="00545AE5"/>
    <w:rsid w:val="00545BCF"/>
    <w:rsid w:val="005461A1"/>
    <w:rsid w:val="00546223"/>
    <w:rsid w:val="00546D49"/>
    <w:rsid w:val="0054708C"/>
    <w:rsid w:val="00547459"/>
    <w:rsid w:val="00547532"/>
    <w:rsid w:val="005476A5"/>
    <w:rsid w:val="005500F4"/>
    <w:rsid w:val="005502F1"/>
    <w:rsid w:val="00550F22"/>
    <w:rsid w:val="0055124A"/>
    <w:rsid w:val="005517C6"/>
    <w:rsid w:val="00551941"/>
    <w:rsid w:val="00551DE3"/>
    <w:rsid w:val="0055208E"/>
    <w:rsid w:val="005527D3"/>
    <w:rsid w:val="00552907"/>
    <w:rsid w:val="00553420"/>
    <w:rsid w:val="00553F5A"/>
    <w:rsid w:val="005546F7"/>
    <w:rsid w:val="00554FFF"/>
    <w:rsid w:val="0055527F"/>
    <w:rsid w:val="005554B9"/>
    <w:rsid w:val="00555707"/>
    <w:rsid w:val="0055575A"/>
    <w:rsid w:val="0055673F"/>
    <w:rsid w:val="00556E9C"/>
    <w:rsid w:val="00557DA8"/>
    <w:rsid w:val="005602C0"/>
    <w:rsid w:val="005602DE"/>
    <w:rsid w:val="0056065B"/>
    <w:rsid w:val="0056096F"/>
    <w:rsid w:val="005609D2"/>
    <w:rsid w:val="00560A35"/>
    <w:rsid w:val="00560BA9"/>
    <w:rsid w:val="00560BEC"/>
    <w:rsid w:val="00560F32"/>
    <w:rsid w:val="005611BF"/>
    <w:rsid w:val="005619A6"/>
    <w:rsid w:val="005624B4"/>
    <w:rsid w:val="00562605"/>
    <w:rsid w:val="0056279B"/>
    <w:rsid w:val="00562C7C"/>
    <w:rsid w:val="00562E8A"/>
    <w:rsid w:val="00562EF0"/>
    <w:rsid w:val="005631E6"/>
    <w:rsid w:val="005631F4"/>
    <w:rsid w:val="005631FE"/>
    <w:rsid w:val="00563747"/>
    <w:rsid w:val="00563E9B"/>
    <w:rsid w:val="00563F4A"/>
    <w:rsid w:val="005641E5"/>
    <w:rsid w:val="005642CF"/>
    <w:rsid w:val="00564889"/>
    <w:rsid w:val="005649F9"/>
    <w:rsid w:val="00564DCC"/>
    <w:rsid w:val="00564DD7"/>
    <w:rsid w:val="00564E29"/>
    <w:rsid w:val="0056538A"/>
    <w:rsid w:val="005655BE"/>
    <w:rsid w:val="005655F9"/>
    <w:rsid w:val="005659A8"/>
    <w:rsid w:val="00565AEB"/>
    <w:rsid w:val="00565C74"/>
    <w:rsid w:val="005662E0"/>
    <w:rsid w:val="00566582"/>
    <w:rsid w:val="00566A11"/>
    <w:rsid w:val="00566F9E"/>
    <w:rsid w:val="00567910"/>
    <w:rsid w:val="0057002E"/>
    <w:rsid w:val="005702C3"/>
    <w:rsid w:val="0057067C"/>
    <w:rsid w:val="005706A8"/>
    <w:rsid w:val="00570F2B"/>
    <w:rsid w:val="005710E7"/>
    <w:rsid w:val="005713F2"/>
    <w:rsid w:val="005714BD"/>
    <w:rsid w:val="00571520"/>
    <w:rsid w:val="00571D22"/>
    <w:rsid w:val="00571EA3"/>
    <w:rsid w:val="00572056"/>
    <w:rsid w:val="00572294"/>
    <w:rsid w:val="0057236E"/>
    <w:rsid w:val="005727A4"/>
    <w:rsid w:val="0057313F"/>
    <w:rsid w:val="00573194"/>
    <w:rsid w:val="00573835"/>
    <w:rsid w:val="00573CE1"/>
    <w:rsid w:val="00574CEA"/>
    <w:rsid w:val="00574FE5"/>
    <w:rsid w:val="0057574A"/>
    <w:rsid w:val="00575DC2"/>
    <w:rsid w:val="00575E60"/>
    <w:rsid w:val="0057627E"/>
    <w:rsid w:val="0057633B"/>
    <w:rsid w:val="00576530"/>
    <w:rsid w:val="0057675A"/>
    <w:rsid w:val="00576879"/>
    <w:rsid w:val="00576B02"/>
    <w:rsid w:val="0057702D"/>
    <w:rsid w:val="0057707D"/>
    <w:rsid w:val="00577C95"/>
    <w:rsid w:val="005803F1"/>
    <w:rsid w:val="00580C8B"/>
    <w:rsid w:val="00580D3A"/>
    <w:rsid w:val="00580DB7"/>
    <w:rsid w:val="00580FD5"/>
    <w:rsid w:val="00581181"/>
    <w:rsid w:val="005819BC"/>
    <w:rsid w:val="00581E67"/>
    <w:rsid w:val="00581ECD"/>
    <w:rsid w:val="0058252B"/>
    <w:rsid w:val="005825CB"/>
    <w:rsid w:val="005829A2"/>
    <w:rsid w:val="00582E45"/>
    <w:rsid w:val="00583047"/>
    <w:rsid w:val="005832B4"/>
    <w:rsid w:val="00583337"/>
    <w:rsid w:val="00583979"/>
    <w:rsid w:val="00583BA0"/>
    <w:rsid w:val="0058407C"/>
    <w:rsid w:val="00584893"/>
    <w:rsid w:val="005848F9"/>
    <w:rsid w:val="00584FE4"/>
    <w:rsid w:val="005850F6"/>
    <w:rsid w:val="0058511B"/>
    <w:rsid w:val="00585483"/>
    <w:rsid w:val="0058574D"/>
    <w:rsid w:val="005858F2"/>
    <w:rsid w:val="00586201"/>
    <w:rsid w:val="005862E5"/>
    <w:rsid w:val="0058667B"/>
    <w:rsid w:val="005868CA"/>
    <w:rsid w:val="005874F1"/>
    <w:rsid w:val="00587855"/>
    <w:rsid w:val="005878AD"/>
    <w:rsid w:val="00587A88"/>
    <w:rsid w:val="00587D0D"/>
    <w:rsid w:val="00587D39"/>
    <w:rsid w:val="00587F0E"/>
    <w:rsid w:val="00590419"/>
    <w:rsid w:val="0059097D"/>
    <w:rsid w:val="005912BD"/>
    <w:rsid w:val="00591644"/>
    <w:rsid w:val="00591700"/>
    <w:rsid w:val="0059175F"/>
    <w:rsid w:val="00591EBF"/>
    <w:rsid w:val="00592267"/>
    <w:rsid w:val="005922E3"/>
    <w:rsid w:val="00592839"/>
    <w:rsid w:val="00593342"/>
    <w:rsid w:val="0059368B"/>
    <w:rsid w:val="00593887"/>
    <w:rsid w:val="005939A2"/>
    <w:rsid w:val="00593DA5"/>
    <w:rsid w:val="00594998"/>
    <w:rsid w:val="00594A74"/>
    <w:rsid w:val="00595464"/>
    <w:rsid w:val="00595AE1"/>
    <w:rsid w:val="00595C42"/>
    <w:rsid w:val="00595F89"/>
    <w:rsid w:val="0059636E"/>
    <w:rsid w:val="005964E1"/>
    <w:rsid w:val="0059682F"/>
    <w:rsid w:val="005968A9"/>
    <w:rsid w:val="00596E78"/>
    <w:rsid w:val="00596E7D"/>
    <w:rsid w:val="00597605"/>
    <w:rsid w:val="005979E4"/>
    <w:rsid w:val="00597A6D"/>
    <w:rsid w:val="00597D6A"/>
    <w:rsid w:val="00597F49"/>
    <w:rsid w:val="005A0591"/>
    <w:rsid w:val="005A0EE6"/>
    <w:rsid w:val="005A0F08"/>
    <w:rsid w:val="005A104E"/>
    <w:rsid w:val="005A1346"/>
    <w:rsid w:val="005A15AC"/>
    <w:rsid w:val="005A1F3E"/>
    <w:rsid w:val="005A20A5"/>
    <w:rsid w:val="005A228C"/>
    <w:rsid w:val="005A2481"/>
    <w:rsid w:val="005A36F9"/>
    <w:rsid w:val="005A390B"/>
    <w:rsid w:val="005A3D6C"/>
    <w:rsid w:val="005A3F60"/>
    <w:rsid w:val="005A4377"/>
    <w:rsid w:val="005A4387"/>
    <w:rsid w:val="005A47AB"/>
    <w:rsid w:val="005A4A8E"/>
    <w:rsid w:val="005A5167"/>
    <w:rsid w:val="005A5AAE"/>
    <w:rsid w:val="005A5CEF"/>
    <w:rsid w:val="005A5F0B"/>
    <w:rsid w:val="005A5F50"/>
    <w:rsid w:val="005A6562"/>
    <w:rsid w:val="005A6CEF"/>
    <w:rsid w:val="005A6EEE"/>
    <w:rsid w:val="005B06FD"/>
    <w:rsid w:val="005B0C33"/>
    <w:rsid w:val="005B0F1A"/>
    <w:rsid w:val="005B0FE9"/>
    <w:rsid w:val="005B1370"/>
    <w:rsid w:val="005B1E13"/>
    <w:rsid w:val="005B2B21"/>
    <w:rsid w:val="005B3173"/>
    <w:rsid w:val="005B34A6"/>
    <w:rsid w:val="005B3537"/>
    <w:rsid w:val="005B38A9"/>
    <w:rsid w:val="005B38F7"/>
    <w:rsid w:val="005B3A33"/>
    <w:rsid w:val="005B403C"/>
    <w:rsid w:val="005B41FF"/>
    <w:rsid w:val="005B4C00"/>
    <w:rsid w:val="005B4DC8"/>
    <w:rsid w:val="005B4F23"/>
    <w:rsid w:val="005B54AB"/>
    <w:rsid w:val="005B5ABC"/>
    <w:rsid w:val="005B5E63"/>
    <w:rsid w:val="005B6A8D"/>
    <w:rsid w:val="005B6AC0"/>
    <w:rsid w:val="005B6B78"/>
    <w:rsid w:val="005B6B91"/>
    <w:rsid w:val="005B719E"/>
    <w:rsid w:val="005B7362"/>
    <w:rsid w:val="005B7927"/>
    <w:rsid w:val="005B7E8C"/>
    <w:rsid w:val="005B7EAC"/>
    <w:rsid w:val="005C0629"/>
    <w:rsid w:val="005C0D9D"/>
    <w:rsid w:val="005C18AC"/>
    <w:rsid w:val="005C1988"/>
    <w:rsid w:val="005C1BDE"/>
    <w:rsid w:val="005C1F27"/>
    <w:rsid w:val="005C219E"/>
    <w:rsid w:val="005C22B4"/>
    <w:rsid w:val="005C26A3"/>
    <w:rsid w:val="005C270D"/>
    <w:rsid w:val="005C2C32"/>
    <w:rsid w:val="005C2E72"/>
    <w:rsid w:val="005C329D"/>
    <w:rsid w:val="005C3362"/>
    <w:rsid w:val="005C37A0"/>
    <w:rsid w:val="005C3926"/>
    <w:rsid w:val="005C4CB0"/>
    <w:rsid w:val="005C5573"/>
    <w:rsid w:val="005C5B5B"/>
    <w:rsid w:val="005C6C1C"/>
    <w:rsid w:val="005C7A20"/>
    <w:rsid w:val="005C7F8E"/>
    <w:rsid w:val="005C7FF6"/>
    <w:rsid w:val="005D0B43"/>
    <w:rsid w:val="005D15C9"/>
    <w:rsid w:val="005D183F"/>
    <w:rsid w:val="005D1A0C"/>
    <w:rsid w:val="005D237E"/>
    <w:rsid w:val="005D24CF"/>
    <w:rsid w:val="005D2672"/>
    <w:rsid w:val="005D26DE"/>
    <w:rsid w:val="005D2841"/>
    <w:rsid w:val="005D2D24"/>
    <w:rsid w:val="005D2E56"/>
    <w:rsid w:val="005D3081"/>
    <w:rsid w:val="005D3105"/>
    <w:rsid w:val="005D3124"/>
    <w:rsid w:val="005D3BF9"/>
    <w:rsid w:val="005D3CC4"/>
    <w:rsid w:val="005D3E12"/>
    <w:rsid w:val="005D3FD3"/>
    <w:rsid w:val="005D4077"/>
    <w:rsid w:val="005D442B"/>
    <w:rsid w:val="005D45CA"/>
    <w:rsid w:val="005D4B4B"/>
    <w:rsid w:val="005D4D4F"/>
    <w:rsid w:val="005D518F"/>
    <w:rsid w:val="005D5375"/>
    <w:rsid w:val="005D552A"/>
    <w:rsid w:val="005D590A"/>
    <w:rsid w:val="005D611B"/>
    <w:rsid w:val="005D6458"/>
    <w:rsid w:val="005D6671"/>
    <w:rsid w:val="005D6A2C"/>
    <w:rsid w:val="005D6C1C"/>
    <w:rsid w:val="005D6CAD"/>
    <w:rsid w:val="005E030F"/>
    <w:rsid w:val="005E05ED"/>
    <w:rsid w:val="005E0A60"/>
    <w:rsid w:val="005E0E51"/>
    <w:rsid w:val="005E0F79"/>
    <w:rsid w:val="005E1153"/>
    <w:rsid w:val="005E11C9"/>
    <w:rsid w:val="005E1D06"/>
    <w:rsid w:val="005E2957"/>
    <w:rsid w:val="005E3591"/>
    <w:rsid w:val="005E35DB"/>
    <w:rsid w:val="005E394B"/>
    <w:rsid w:val="005E3A3F"/>
    <w:rsid w:val="005E43EA"/>
    <w:rsid w:val="005E468C"/>
    <w:rsid w:val="005E4BDA"/>
    <w:rsid w:val="005E4E1D"/>
    <w:rsid w:val="005E5BE1"/>
    <w:rsid w:val="005E5DBB"/>
    <w:rsid w:val="005E6181"/>
    <w:rsid w:val="005E6512"/>
    <w:rsid w:val="005E6568"/>
    <w:rsid w:val="005E680C"/>
    <w:rsid w:val="005E6846"/>
    <w:rsid w:val="005E68AA"/>
    <w:rsid w:val="005E694E"/>
    <w:rsid w:val="005E6BEC"/>
    <w:rsid w:val="005E6D8D"/>
    <w:rsid w:val="005E723B"/>
    <w:rsid w:val="005E7ADA"/>
    <w:rsid w:val="005E7BB5"/>
    <w:rsid w:val="005E7EC5"/>
    <w:rsid w:val="005F01E5"/>
    <w:rsid w:val="005F04A4"/>
    <w:rsid w:val="005F0AFB"/>
    <w:rsid w:val="005F0D23"/>
    <w:rsid w:val="005F0F0A"/>
    <w:rsid w:val="005F0F33"/>
    <w:rsid w:val="005F0FCD"/>
    <w:rsid w:val="005F1661"/>
    <w:rsid w:val="005F169C"/>
    <w:rsid w:val="005F1D6D"/>
    <w:rsid w:val="005F1EC4"/>
    <w:rsid w:val="005F216D"/>
    <w:rsid w:val="005F256B"/>
    <w:rsid w:val="005F28D9"/>
    <w:rsid w:val="005F2EA9"/>
    <w:rsid w:val="005F304A"/>
    <w:rsid w:val="005F316D"/>
    <w:rsid w:val="005F34FE"/>
    <w:rsid w:val="005F38F2"/>
    <w:rsid w:val="005F4231"/>
    <w:rsid w:val="005F5610"/>
    <w:rsid w:val="005F5EDE"/>
    <w:rsid w:val="005F615B"/>
    <w:rsid w:val="005F630C"/>
    <w:rsid w:val="005F6381"/>
    <w:rsid w:val="005F65BC"/>
    <w:rsid w:val="005F6A21"/>
    <w:rsid w:val="005F6DAC"/>
    <w:rsid w:val="005F78D6"/>
    <w:rsid w:val="005F7980"/>
    <w:rsid w:val="005F7CF0"/>
    <w:rsid w:val="005F7DC2"/>
    <w:rsid w:val="006001BD"/>
    <w:rsid w:val="00600AEB"/>
    <w:rsid w:val="006012B3"/>
    <w:rsid w:val="006014D1"/>
    <w:rsid w:val="006018B3"/>
    <w:rsid w:val="006019DC"/>
    <w:rsid w:val="00602E11"/>
    <w:rsid w:val="00603279"/>
    <w:rsid w:val="006040E9"/>
    <w:rsid w:val="00604150"/>
    <w:rsid w:val="0060415B"/>
    <w:rsid w:val="00604671"/>
    <w:rsid w:val="0060472F"/>
    <w:rsid w:val="00604F2D"/>
    <w:rsid w:val="00604F36"/>
    <w:rsid w:val="006051A2"/>
    <w:rsid w:val="006052C1"/>
    <w:rsid w:val="0060559E"/>
    <w:rsid w:val="006059B9"/>
    <w:rsid w:val="00605A24"/>
    <w:rsid w:val="00605AA7"/>
    <w:rsid w:val="00605CEC"/>
    <w:rsid w:val="00605DE2"/>
    <w:rsid w:val="00605EBF"/>
    <w:rsid w:val="0060617F"/>
    <w:rsid w:val="00606E18"/>
    <w:rsid w:val="00606E80"/>
    <w:rsid w:val="0060749C"/>
    <w:rsid w:val="00607669"/>
    <w:rsid w:val="00607962"/>
    <w:rsid w:val="00607A42"/>
    <w:rsid w:val="00610FDC"/>
    <w:rsid w:val="006118C9"/>
    <w:rsid w:val="00611ACA"/>
    <w:rsid w:val="00611B3A"/>
    <w:rsid w:val="00611BD5"/>
    <w:rsid w:val="00611D22"/>
    <w:rsid w:val="00611E4C"/>
    <w:rsid w:val="00611E8C"/>
    <w:rsid w:val="006120DB"/>
    <w:rsid w:val="00612195"/>
    <w:rsid w:val="006125DD"/>
    <w:rsid w:val="00612703"/>
    <w:rsid w:val="006127D1"/>
    <w:rsid w:val="00612C2D"/>
    <w:rsid w:val="0061320A"/>
    <w:rsid w:val="00613251"/>
    <w:rsid w:val="00613264"/>
    <w:rsid w:val="00613406"/>
    <w:rsid w:val="00613CD8"/>
    <w:rsid w:val="00613DC7"/>
    <w:rsid w:val="00614AAC"/>
    <w:rsid w:val="00614AC2"/>
    <w:rsid w:val="00614DD6"/>
    <w:rsid w:val="00614DF9"/>
    <w:rsid w:val="00615D51"/>
    <w:rsid w:val="00615EAE"/>
    <w:rsid w:val="006167F6"/>
    <w:rsid w:val="0061705E"/>
    <w:rsid w:val="00617126"/>
    <w:rsid w:val="00617C7D"/>
    <w:rsid w:val="00620046"/>
    <w:rsid w:val="0062025C"/>
    <w:rsid w:val="00620487"/>
    <w:rsid w:val="00620FF0"/>
    <w:rsid w:val="00621362"/>
    <w:rsid w:val="0062144C"/>
    <w:rsid w:val="00621548"/>
    <w:rsid w:val="00621819"/>
    <w:rsid w:val="00621C09"/>
    <w:rsid w:val="00621F10"/>
    <w:rsid w:val="0062200E"/>
    <w:rsid w:val="0062271E"/>
    <w:rsid w:val="00622922"/>
    <w:rsid w:val="00622989"/>
    <w:rsid w:val="0062302F"/>
    <w:rsid w:val="00623525"/>
    <w:rsid w:val="006243E0"/>
    <w:rsid w:val="0062477E"/>
    <w:rsid w:val="0062533A"/>
    <w:rsid w:val="00625A22"/>
    <w:rsid w:val="00626154"/>
    <w:rsid w:val="0062640F"/>
    <w:rsid w:val="006264C4"/>
    <w:rsid w:val="006265BC"/>
    <w:rsid w:val="00626776"/>
    <w:rsid w:val="00626A85"/>
    <w:rsid w:val="00626CF0"/>
    <w:rsid w:val="00626D62"/>
    <w:rsid w:val="00627023"/>
    <w:rsid w:val="006276CC"/>
    <w:rsid w:val="006276F3"/>
    <w:rsid w:val="00630A89"/>
    <w:rsid w:val="00631409"/>
    <w:rsid w:val="00631773"/>
    <w:rsid w:val="00631FD1"/>
    <w:rsid w:val="006321F6"/>
    <w:rsid w:val="00632201"/>
    <w:rsid w:val="0063244B"/>
    <w:rsid w:val="00632EF3"/>
    <w:rsid w:val="00633059"/>
    <w:rsid w:val="00633380"/>
    <w:rsid w:val="006339AC"/>
    <w:rsid w:val="00633C40"/>
    <w:rsid w:val="00633D6C"/>
    <w:rsid w:val="00633EDE"/>
    <w:rsid w:val="006341C0"/>
    <w:rsid w:val="00634969"/>
    <w:rsid w:val="00634F1D"/>
    <w:rsid w:val="00634FD1"/>
    <w:rsid w:val="0063562D"/>
    <w:rsid w:val="00636555"/>
    <w:rsid w:val="0063698D"/>
    <w:rsid w:val="00636F2B"/>
    <w:rsid w:val="00637121"/>
    <w:rsid w:val="006378D0"/>
    <w:rsid w:val="00640374"/>
    <w:rsid w:val="0064093D"/>
    <w:rsid w:val="00640AAA"/>
    <w:rsid w:val="00640BD9"/>
    <w:rsid w:val="00640DC0"/>
    <w:rsid w:val="00640F98"/>
    <w:rsid w:val="0064104A"/>
    <w:rsid w:val="00641406"/>
    <w:rsid w:val="00641523"/>
    <w:rsid w:val="00641747"/>
    <w:rsid w:val="00641CEB"/>
    <w:rsid w:val="00641F0D"/>
    <w:rsid w:val="006424AD"/>
    <w:rsid w:val="00642C9F"/>
    <w:rsid w:val="0064316D"/>
    <w:rsid w:val="006434BE"/>
    <w:rsid w:val="006436B0"/>
    <w:rsid w:val="006439B1"/>
    <w:rsid w:val="00643F58"/>
    <w:rsid w:val="0064435E"/>
    <w:rsid w:val="00644A77"/>
    <w:rsid w:val="00644BC3"/>
    <w:rsid w:val="00644D7F"/>
    <w:rsid w:val="00644EFB"/>
    <w:rsid w:val="00644FE0"/>
    <w:rsid w:val="0064537A"/>
    <w:rsid w:val="00645B62"/>
    <w:rsid w:val="00645F48"/>
    <w:rsid w:val="006460C7"/>
    <w:rsid w:val="0064629A"/>
    <w:rsid w:val="00646356"/>
    <w:rsid w:val="00646E60"/>
    <w:rsid w:val="00646F62"/>
    <w:rsid w:val="00647293"/>
    <w:rsid w:val="0064747A"/>
    <w:rsid w:val="00647856"/>
    <w:rsid w:val="00647F67"/>
    <w:rsid w:val="00650636"/>
    <w:rsid w:val="0065080D"/>
    <w:rsid w:val="00650DF1"/>
    <w:rsid w:val="0065121F"/>
    <w:rsid w:val="0065158B"/>
    <w:rsid w:val="00651A33"/>
    <w:rsid w:val="00651B34"/>
    <w:rsid w:val="00651F40"/>
    <w:rsid w:val="006523FE"/>
    <w:rsid w:val="00652586"/>
    <w:rsid w:val="006528C7"/>
    <w:rsid w:val="00652909"/>
    <w:rsid w:val="006529B8"/>
    <w:rsid w:val="00653223"/>
    <w:rsid w:val="00653BB4"/>
    <w:rsid w:val="00653C2A"/>
    <w:rsid w:val="00654289"/>
    <w:rsid w:val="00654528"/>
    <w:rsid w:val="00654DE1"/>
    <w:rsid w:val="00655319"/>
    <w:rsid w:val="00655540"/>
    <w:rsid w:val="00656033"/>
    <w:rsid w:val="0065658E"/>
    <w:rsid w:val="00656671"/>
    <w:rsid w:val="00656888"/>
    <w:rsid w:val="006569A2"/>
    <w:rsid w:val="00656AAA"/>
    <w:rsid w:val="00656B32"/>
    <w:rsid w:val="006570F5"/>
    <w:rsid w:val="0065710D"/>
    <w:rsid w:val="00657A55"/>
    <w:rsid w:val="00657AEE"/>
    <w:rsid w:val="00657E15"/>
    <w:rsid w:val="00660469"/>
    <w:rsid w:val="006605C1"/>
    <w:rsid w:val="00660A08"/>
    <w:rsid w:val="00660A25"/>
    <w:rsid w:val="00660F92"/>
    <w:rsid w:val="00660FD5"/>
    <w:rsid w:val="00661242"/>
    <w:rsid w:val="006616D0"/>
    <w:rsid w:val="006617F5"/>
    <w:rsid w:val="00661DD6"/>
    <w:rsid w:val="00661DFB"/>
    <w:rsid w:val="0066211C"/>
    <w:rsid w:val="006621F7"/>
    <w:rsid w:val="00662258"/>
    <w:rsid w:val="006629D2"/>
    <w:rsid w:val="006629F5"/>
    <w:rsid w:val="00662C33"/>
    <w:rsid w:val="00663703"/>
    <w:rsid w:val="006639AC"/>
    <w:rsid w:val="006644D8"/>
    <w:rsid w:val="00664590"/>
    <w:rsid w:val="006645D3"/>
    <w:rsid w:val="00664A3B"/>
    <w:rsid w:val="00664AAC"/>
    <w:rsid w:val="0066512C"/>
    <w:rsid w:val="00665650"/>
    <w:rsid w:val="0066574B"/>
    <w:rsid w:val="006659B0"/>
    <w:rsid w:val="00665A02"/>
    <w:rsid w:val="00666018"/>
    <w:rsid w:val="006660D8"/>
    <w:rsid w:val="0066683F"/>
    <w:rsid w:val="006669E5"/>
    <w:rsid w:val="00666C06"/>
    <w:rsid w:val="00667152"/>
    <w:rsid w:val="0066722B"/>
    <w:rsid w:val="00667645"/>
    <w:rsid w:val="00670413"/>
    <w:rsid w:val="006708A9"/>
    <w:rsid w:val="00670B46"/>
    <w:rsid w:val="00670B8E"/>
    <w:rsid w:val="0067169F"/>
    <w:rsid w:val="00671860"/>
    <w:rsid w:val="00671A0B"/>
    <w:rsid w:val="00671BF0"/>
    <w:rsid w:val="00671BFD"/>
    <w:rsid w:val="0067243B"/>
    <w:rsid w:val="00672845"/>
    <w:rsid w:val="00672A9E"/>
    <w:rsid w:val="00672D69"/>
    <w:rsid w:val="00672D8D"/>
    <w:rsid w:val="00672E56"/>
    <w:rsid w:val="00672F29"/>
    <w:rsid w:val="006731AB"/>
    <w:rsid w:val="006737F6"/>
    <w:rsid w:val="006739DD"/>
    <w:rsid w:val="00673AAD"/>
    <w:rsid w:val="00673CB8"/>
    <w:rsid w:val="00674CB5"/>
    <w:rsid w:val="006750A1"/>
    <w:rsid w:val="00675137"/>
    <w:rsid w:val="006753F0"/>
    <w:rsid w:val="00675554"/>
    <w:rsid w:val="00675849"/>
    <w:rsid w:val="00675E84"/>
    <w:rsid w:val="00676480"/>
    <w:rsid w:val="006764E5"/>
    <w:rsid w:val="006766A1"/>
    <w:rsid w:val="00677405"/>
    <w:rsid w:val="00677457"/>
    <w:rsid w:val="006774FA"/>
    <w:rsid w:val="0067761D"/>
    <w:rsid w:val="006778A4"/>
    <w:rsid w:val="00680081"/>
    <w:rsid w:val="006800DE"/>
    <w:rsid w:val="006801AE"/>
    <w:rsid w:val="00680BFE"/>
    <w:rsid w:val="00680D11"/>
    <w:rsid w:val="00681304"/>
    <w:rsid w:val="0068143E"/>
    <w:rsid w:val="0068150A"/>
    <w:rsid w:val="00681BB3"/>
    <w:rsid w:val="00681F32"/>
    <w:rsid w:val="00682298"/>
    <w:rsid w:val="00682692"/>
    <w:rsid w:val="00682C1B"/>
    <w:rsid w:val="00682E51"/>
    <w:rsid w:val="006836C8"/>
    <w:rsid w:val="00683720"/>
    <w:rsid w:val="006839F8"/>
    <w:rsid w:val="00683BEC"/>
    <w:rsid w:val="00683CC4"/>
    <w:rsid w:val="00683FB6"/>
    <w:rsid w:val="00684CBE"/>
    <w:rsid w:val="00684D80"/>
    <w:rsid w:val="00685491"/>
    <w:rsid w:val="006855A1"/>
    <w:rsid w:val="00685A4C"/>
    <w:rsid w:val="00686083"/>
    <w:rsid w:val="00686534"/>
    <w:rsid w:val="00686770"/>
    <w:rsid w:val="00686B1A"/>
    <w:rsid w:val="00686CA6"/>
    <w:rsid w:val="0068768A"/>
    <w:rsid w:val="00687F51"/>
    <w:rsid w:val="006903EA"/>
    <w:rsid w:val="006904B5"/>
    <w:rsid w:val="00690666"/>
    <w:rsid w:val="006908BB"/>
    <w:rsid w:val="00691339"/>
    <w:rsid w:val="006917C2"/>
    <w:rsid w:val="00692463"/>
    <w:rsid w:val="006924A2"/>
    <w:rsid w:val="00692B0F"/>
    <w:rsid w:val="00692B40"/>
    <w:rsid w:val="00692F9A"/>
    <w:rsid w:val="00693076"/>
    <w:rsid w:val="006930E1"/>
    <w:rsid w:val="00693358"/>
    <w:rsid w:val="00693580"/>
    <w:rsid w:val="00693624"/>
    <w:rsid w:val="006937C4"/>
    <w:rsid w:val="006939A2"/>
    <w:rsid w:val="00693D85"/>
    <w:rsid w:val="0069420F"/>
    <w:rsid w:val="006946F7"/>
    <w:rsid w:val="0069499A"/>
    <w:rsid w:val="00694D9C"/>
    <w:rsid w:val="00694E0E"/>
    <w:rsid w:val="00695180"/>
    <w:rsid w:val="0069565F"/>
    <w:rsid w:val="00695689"/>
    <w:rsid w:val="00695E22"/>
    <w:rsid w:val="00696998"/>
    <w:rsid w:val="00696BA2"/>
    <w:rsid w:val="00696BF0"/>
    <w:rsid w:val="00696C7A"/>
    <w:rsid w:val="00696E91"/>
    <w:rsid w:val="00697318"/>
    <w:rsid w:val="006976D3"/>
    <w:rsid w:val="00697719"/>
    <w:rsid w:val="00697925"/>
    <w:rsid w:val="00697ADD"/>
    <w:rsid w:val="00697CBA"/>
    <w:rsid w:val="00697EE5"/>
    <w:rsid w:val="006A0751"/>
    <w:rsid w:val="006A0851"/>
    <w:rsid w:val="006A0C2D"/>
    <w:rsid w:val="006A0E4C"/>
    <w:rsid w:val="006A1208"/>
    <w:rsid w:val="006A13FA"/>
    <w:rsid w:val="006A1570"/>
    <w:rsid w:val="006A1571"/>
    <w:rsid w:val="006A1E55"/>
    <w:rsid w:val="006A1F91"/>
    <w:rsid w:val="006A20C4"/>
    <w:rsid w:val="006A26DC"/>
    <w:rsid w:val="006A2B51"/>
    <w:rsid w:val="006A2C4D"/>
    <w:rsid w:val="006A3204"/>
    <w:rsid w:val="006A3264"/>
    <w:rsid w:val="006A35F3"/>
    <w:rsid w:val="006A3F81"/>
    <w:rsid w:val="006A41FA"/>
    <w:rsid w:val="006A47EC"/>
    <w:rsid w:val="006A4929"/>
    <w:rsid w:val="006A4BF9"/>
    <w:rsid w:val="006A4EF0"/>
    <w:rsid w:val="006A5809"/>
    <w:rsid w:val="006A5CEE"/>
    <w:rsid w:val="006A630E"/>
    <w:rsid w:val="006A65D7"/>
    <w:rsid w:val="006A67A1"/>
    <w:rsid w:val="006A692A"/>
    <w:rsid w:val="006A6AB7"/>
    <w:rsid w:val="006A6C42"/>
    <w:rsid w:val="006A7352"/>
    <w:rsid w:val="006A7A53"/>
    <w:rsid w:val="006A7E3F"/>
    <w:rsid w:val="006A7E5C"/>
    <w:rsid w:val="006B0B27"/>
    <w:rsid w:val="006B0D49"/>
    <w:rsid w:val="006B11B4"/>
    <w:rsid w:val="006B11C0"/>
    <w:rsid w:val="006B1847"/>
    <w:rsid w:val="006B1901"/>
    <w:rsid w:val="006B1E8D"/>
    <w:rsid w:val="006B20FA"/>
    <w:rsid w:val="006B2433"/>
    <w:rsid w:val="006B268F"/>
    <w:rsid w:val="006B283B"/>
    <w:rsid w:val="006B29FF"/>
    <w:rsid w:val="006B3838"/>
    <w:rsid w:val="006B4620"/>
    <w:rsid w:val="006B4E5D"/>
    <w:rsid w:val="006B4EA0"/>
    <w:rsid w:val="006B51C8"/>
    <w:rsid w:val="006B52E8"/>
    <w:rsid w:val="006B5C26"/>
    <w:rsid w:val="006B6519"/>
    <w:rsid w:val="006B6B49"/>
    <w:rsid w:val="006B6D44"/>
    <w:rsid w:val="006B6DA9"/>
    <w:rsid w:val="006B6E09"/>
    <w:rsid w:val="006B7106"/>
    <w:rsid w:val="006C0731"/>
    <w:rsid w:val="006C0931"/>
    <w:rsid w:val="006C1487"/>
    <w:rsid w:val="006C1756"/>
    <w:rsid w:val="006C178E"/>
    <w:rsid w:val="006C1808"/>
    <w:rsid w:val="006C18B3"/>
    <w:rsid w:val="006C1B34"/>
    <w:rsid w:val="006C1C17"/>
    <w:rsid w:val="006C1DDC"/>
    <w:rsid w:val="006C1F09"/>
    <w:rsid w:val="006C23A3"/>
    <w:rsid w:val="006C24F7"/>
    <w:rsid w:val="006C28F8"/>
    <w:rsid w:val="006C2C10"/>
    <w:rsid w:val="006C3584"/>
    <w:rsid w:val="006C3A8C"/>
    <w:rsid w:val="006C3B97"/>
    <w:rsid w:val="006C3BF0"/>
    <w:rsid w:val="006C3E38"/>
    <w:rsid w:val="006C3EAC"/>
    <w:rsid w:val="006C4026"/>
    <w:rsid w:val="006C4399"/>
    <w:rsid w:val="006C483A"/>
    <w:rsid w:val="006C4B7A"/>
    <w:rsid w:val="006C4C3F"/>
    <w:rsid w:val="006C4D7A"/>
    <w:rsid w:val="006C4DAB"/>
    <w:rsid w:val="006C5061"/>
    <w:rsid w:val="006C55C3"/>
    <w:rsid w:val="006C60B9"/>
    <w:rsid w:val="006C610D"/>
    <w:rsid w:val="006C6142"/>
    <w:rsid w:val="006C658F"/>
    <w:rsid w:val="006C6D38"/>
    <w:rsid w:val="006C6D54"/>
    <w:rsid w:val="006C6F8D"/>
    <w:rsid w:val="006C7034"/>
    <w:rsid w:val="006C7BD7"/>
    <w:rsid w:val="006C7D2B"/>
    <w:rsid w:val="006C7D42"/>
    <w:rsid w:val="006D008C"/>
    <w:rsid w:val="006D17C9"/>
    <w:rsid w:val="006D280D"/>
    <w:rsid w:val="006D28B3"/>
    <w:rsid w:val="006D29F1"/>
    <w:rsid w:val="006D2A57"/>
    <w:rsid w:val="006D31BE"/>
    <w:rsid w:val="006D335D"/>
    <w:rsid w:val="006D3743"/>
    <w:rsid w:val="006D379B"/>
    <w:rsid w:val="006D4745"/>
    <w:rsid w:val="006D489C"/>
    <w:rsid w:val="006D4A0E"/>
    <w:rsid w:val="006D4ECF"/>
    <w:rsid w:val="006D5108"/>
    <w:rsid w:val="006D5B23"/>
    <w:rsid w:val="006D5F04"/>
    <w:rsid w:val="006D62CE"/>
    <w:rsid w:val="006D66A1"/>
    <w:rsid w:val="006D689F"/>
    <w:rsid w:val="006D6A1D"/>
    <w:rsid w:val="006D6B87"/>
    <w:rsid w:val="006D6C63"/>
    <w:rsid w:val="006D701B"/>
    <w:rsid w:val="006D7094"/>
    <w:rsid w:val="006D7BD7"/>
    <w:rsid w:val="006D7C30"/>
    <w:rsid w:val="006D7F3D"/>
    <w:rsid w:val="006D7F88"/>
    <w:rsid w:val="006E0798"/>
    <w:rsid w:val="006E0A83"/>
    <w:rsid w:val="006E1203"/>
    <w:rsid w:val="006E1659"/>
    <w:rsid w:val="006E1EA4"/>
    <w:rsid w:val="006E206B"/>
    <w:rsid w:val="006E23BA"/>
    <w:rsid w:val="006E261C"/>
    <w:rsid w:val="006E27CC"/>
    <w:rsid w:val="006E2A63"/>
    <w:rsid w:val="006E37F7"/>
    <w:rsid w:val="006E3E4C"/>
    <w:rsid w:val="006E4221"/>
    <w:rsid w:val="006E493F"/>
    <w:rsid w:val="006E4ABA"/>
    <w:rsid w:val="006E4D20"/>
    <w:rsid w:val="006E4D74"/>
    <w:rsid w:val="006E55EF"/>
    <w:rsid w:val="006E580F"/>
    <w:rsid w:val="006E5DE5"/>
    <w:rsid w:val="006E5F8E"/>
    <w:rsid w:val="006E6112"/>
    <w:rsid w:val="006E64C6"/>
    <w:rsid w:val="006E65AD"/>
    <w:rsid w:val="006E672A"/>
    <w:rsid w:val="006E6BEB"/>
    <w:rsid w:val="006E7410"/>
    <w:rsid w:val="006E7ADD"/>
    <w:rsid w:val="006F0199"/>
    <w:rsid w:val="006F0264"/>
    <w:rsid w:val="006F06C8"/>
    <w:rsid w:val="006F087B"/>
    <w:rsid w:val="006F0972"/>
    <w:rsid w:val="006F0CC8"/>
    <w:rsid w:val="006F0E86"/>
    <w:rsid w:val="006F0EB8"/>
    <w:rsid w:val="006F1490"/>
    <w:rsid w:val="006F1609"/>
    <w:rsid w:val="006F1BA3"/>
    <w:rsid w:val="006F1C97"/>
    <w:rsid w:val="006F1E7D"/>
    <w:rsid w:val="006F1FEA"/>
    <w:rsid w:val="006F2705"/>
    <w:rsid w:val="006F2780"/>
    <w:rsid w:val="006F3830"/>
    <w:rsid w:val="006F3AE1"/>
    <w:rsid w:val="006F4647"/>
    <w:rsid w:val="006F4665"/>
    <w:rsid w:val="006F4ACD"/>
    <w:rsid w:val="006F4F0D"/>
    <w:rsid w:val="006F5266"/>
    <w:rsid w:val="006F53AD"/>
    <w:rsid w:val="006F53C8"/>
    <w:rsid w:val="006F543B"/>
    <w:rsid w:val="006F5CE5"/>
    <w:rsid w:val="006F5EBD"/>
    <w:rsid w:val="006F6012"/>
    <w:rsid w:val="006F6113"/>
    <w:rsid w:val="006F63A3"/>
    <w:rsid w:val="006F6CB7"/>
    <w:rsid w:val="006F710C"/>
    <w:rsid w:val="006F7228"/>
    <w:rsid w:val="006F7309"/>
    <w:rsid w:val="006F7B29"/>
    <w:rsid w:val="006F7D6E"/>
    <w:rsid w:val="006F7F9F"/>
    <w:rsid w:val="0070048F"/>
    <w:rsid w:val="00700576"/>
    <w:rsid w:val="00700826"/>
    <w:rsid w:val="00700B43"/>
    <w:rsid w:val="00700BC8"/>
    <w:rsid w:val="00700C55"/>
    <w:rsid w:val="00700CC7"/>
    <w:rsid w:val="007017C7"/>
    <w:rsid w:val="007019F6"/>
    <w:rsid w:val="00701B85"/>
    <w:rsid w:val="00701F02"/>
    <w:rsid w:val="00701F07"/>
    <w:rsid w:val="00701F49"/>
    <w:rsid w:val="00702673"/>
    <w:rsid w:val="007027E8"/>
    <w:rsid w:val="007028C7"/>
    <w:rsid w:val="00702D69"/>
    <w:rsid w:val="00702FF7"/>
    <w:rsid w:val="00703E7C"/>
    <w:rsid w:val="0070421A"/>
    <w:rsid w:val="0070438C"/>
    <w:rsid w:val="00704BCD"/>
    <w:rsid w:val="00704FCA"/>
    <w:rsid w:val="0070524E"/>
    <w:rsid w:val="00705673"/>
    <w:rsid w:val="0070568C"/>
    <w:rsid w:val="007059D6"/>
    <w:rsid w:val="007065DB"/>
    <w:rsid w:val="00706A39"/>
    <w:rsid w:val="00706B83"/>
    <w:rsid w:val="00706CE2"/>
    <w:rsid w:val="0070703F"/>
    <w:rsid w:val="00707451"/>
    <w:rsid w:val="00707859"/>
    <w:rsid w:val="007078F7"/>
    <w:rsid w:val="007079AC"/>
    <w:rsid w:val="007079FE"/>
    <w:rsid w:val="00707B6B"/>
    <w:rsid w:val="00707D5D"/>
    <w:rsid w:val="007100E2"/>
    <w:rsid w:val="0071051B"/>
    <w:rsid w:val="007109A2"/>
    <w:rsid w:val="007109D5"/>
    <w:rsid w:val="00710B27"/>
    <w:rsid w:val="00710D00"/>
    <w:rsid w:val="0071100C"/>
    <w:rsid w:val="00711354"/>
    <w:rsid w:val="007115CC"/>
    <w:rsid w:val="007119E7"/>
    <w:rsid w:val="00711CE8"/>
    <w:rsid w:val="00711ECC"/>
    <w:rsid w:val="0071208A"/>
    <w:rsid w:val="0071217F"/>
    <w:rsid w:val="0071228A"/>
    <w:rsid w:val="00712AA7"/>
    <w:rsid w:val="00712F8B"/>
    <w:rsid w:val="007132BB"/>
    <w:rsid w:val="007138C6"/>
    <w:rsid w:val="00713E1B"/>
    <w:rsid w:val="007144E5"/>
    <w:rsid w:val="007148A2"/>
    <w:rsid w:val="007148C1"/>
    <w:rsid w:val="00714C22"/>
    <w:rsid w:val="00715475"/>
    <w:rsid w:val="007157CA"/>
    <w:rsid w:val="00715CFF"/>
    <w:rsid w:val="00715EBB"/>
    <w:rsid w:val="00716C41"/>
    <w:rsid w:val="007175E3"/>
    <w:rsid w:val="007176FE"/>
    <w:rsid w:val="007179C7"/>
    <w:rsid w:val="00720021"/>
    <w:rsid w:val="0072026C"/>
    <w:rsid w:val="00720779"/>
    <w:rsid w:val="007207B6"/>
    <w:rsid w:val="007207E3"/>
    <w:rsid w:val="007207FD"/>
    <w:rsid w:val="00720A88"/>
    <w:rsid w:val="00720CD8"/>
    <w:rsid w:val="007212E8"/>
    <w:rsid w:val="007213DD"/>
    <w:rsid w:val="00721EF3"/>
    <w:rsid w:val="007226B1"/>
    <w:rsid w:val="007228DD"/>
    <w:rsid w:val="00722920"/>
    <w:rsid w:val="007229E1"/>
    <w:rsid w:val="00722A9F"/>
    <w:rsid w:val="00722CD9"/>
    <w:rsid w:val="00723A5F"/>
    <w:rsid w:val="00723C98"/>
    <w:rsid w:val="00724B6C"/>
    <w:rsid w:val="00724B9F"/>
    <w:rsid w:val="00724BCE"/>
    <w:rsid w:val="00725B57"/>
    <w:rsid w:val="00726358"/>
    <w:rsid w:val="00726645"/>
    <w:rsid w:val="00726D8C"/>
    <w:rsid w:val="00726E27"/>
    <w:rsid w:val="00726E8D"/>
    <w:rsid w:val="00730097"/>
    <w:rsid w:val="007300BE"/>
    <w:rsid w:val="00730329"/>
    <w:rsid w:val="007305A4"/>
    <w:rsid w:val="0073067A"/>
    <w:rsid w:val="00730834"/>
    <w:rsid w:val="00730835"/>
    <w:rsid w:val="007308E8"/>
    <w:rsid w:val="00730905"/>
    <w:rsid w:val="00730B31"/>
    <w:rsid w:val="00730C4B"/>
    <w:rsid w:val="00731098"/>
    <w:rsid w:val="0073121B"/>
    <w:rsid w:val="0073145E"/>
    <w:rsid w:val="00731FCE"/>
    <w:rsid w:val="00732B2C"/>
    <w:rsid w:val="00732E6F"/>
    <w:rsid w:val="00732E76"/>
    <w:rsid w:val="00732EC1"/>
    <w:rsid w:val="00732ED6"/>
    <w:rsid w:val="0073337E"/>
    <w:rsid w:val="007337F8"/>
    <w:rsid w:val="00733890"/>
    <w:rsid w:val="007340A1"/>
    <w:rsid w:val="007343A2"/>
    <w:rsid w:val="00734479"/>
    <w:rsid w:val="00734730"/>
    <w:rsid w:val="007351A6"/>
    <w:rsid w:val="00735384"/>
    <w:rsid w:val="007355DC"/>
    <w:rsid w:val="00736379"/>
    <w:rsid w:val="00736755"/>
    <w:rsid w:val="007367F5"/>
    <w:rsid w:val="00736A6F"/>
    <w:rsid w:val="00736B78"/>
    <w:rsid w:val="00736DED"/>
    <w:rsid w:val="00736F90"/>
    <w:rsid w:val="00737388"/>
    <w:rsid w:val="0073743E"/>
    <w:rsid w:val="00737788"/>
    <w:rsid w:val="0074086B"/>
    <w:rsid w:val="007408E6"/>
    <w:rsid w:val="00740B5A"/>
    <w:rsid w:val="007410C6"/>
    <w:rsid w:val="007410F8"/>
    <w:rsid w:val="0074125F"/>
    <w:rsid w:val="00741811"/>
    <w:rsid w:val="0074208A"/>
    <w:rsid w:val="0074251D"/>
    <w:rsid w:val="00742BBC"/>
    <w:rsid w:val="00743051"/>
    <w:rsid w:val="007431F7"/>
    <w:rsid w:val="007432D7"/>
    <w:rsid w:val="00743329"/>
    <w:rsid w:val="00743569"/>
    <w:rsid w:val="00743619"/>
    <w:rsid w:val="00744221"/>
    <w:rsid w:val="007444EE"/>
    <w:rsid w:val="00744767"/>
    <w:rsid w:val="00744BA8"/>
    <w:rsid w:val="00744E1A"/>
    <w:rsid w:val="00744F38"/>
    <w:rsid w:val="00745176"/>
    <w:rsid w:val="0074519C"/>
    <w:rsid w:val="0074576B"/>
    <w:rsid w:val="00745CA6"/>
    <w:rsid w:val="00746277"/>
    <w:rsid w:val="00750740"/>
    <w:rsid w:val="007508E2"/>
    <w:rsid w:val="007508FE"/>
    <w:rsid w:val="00750A81"/>
    <w:rsid w:val="00750A8E"/>
    <w:rsid w:val="00751295"/>
    <w:rsid w:val="0075263E"/>
    <w:rsid w:val="00753125"/>
    <w:rsid w:val="00753523"/>
    <w:rsid w:val="0075355E"/>
    <w:rsid w:val="00753978"/>
    <w:rsid w:val="00753DF5"/>
    <w:rsid w:val="00754295"/>
    <w:rsid w:val="007542D9"/>
    <w:rsid w:val="0075463C"/>
    <w:rsid w:val="007547C6"/>
    <w:rsid w:val="00754883"/>
    <w:rsid w:val="00754A0A"/>
    <w:rsid w:val="00754B4E"/>
    <w:rsid w:val="00754ECB"/>
    <w:rsid w:val="00755221"/>
    <w:rsid w:val="0075548C"/>
    <w:rsid w:val="007558C6"/>
    <w:rsid w:val="00755E11"/>
    <w:rsid w:val="00755E6A"/>
    <w:rsid w:val="007561FE"/>
    <w:rsid w:val="00756352"/>
    <w:rsid w:val="00756635"/>
    <w:rsid w:val="007567D1"/>
    <w:rsid w:val="00756B58"/>
    <w:rsid w:val="00757213"/>
    <w:rsid w:val="0075732C"/>
    <w:rsid w:val="00757700"/>
    <w:rsid w:val="00757798"/>
    <w:rsid w:val="00757AEE"/>
    <w:rsid w:val="00757B26"/>
    <w:rsid w:val="00760713"/>
    <w:rsid w:val="00760D30"/>
    <w:rsid w:val="00760D7C"/>
    <w:rsid w:val="007611D3"/>
    <w:rsid w:val="00761393"/>
    <w:rsid w:val="00761533"/>
    <w:rsid w:val="00762422"/>
    <w:rsid w:val="0076286E"/>
    <w:rsid w:val="00762BFE"/>
    <w:rsid w:val="007633DF"/>
    <w:rsid w:val="0076467B"/>
    <w:rsid w:val="00764713"/>
    <w:rsid w:val="00764881"/>
    <w:rsid w:val="00764962"/>
    <w:rsid w:val="00764C22"/>
    <w:rsid w:val="00764D6C"/>
    <w:rsid w:val="00765937"/>
    <w:rsid w:val="00765CBB"/>
    <w:rsid w:val="007662EF"/>
    <w:rsid w:val="00766516"/>
    <w:rsid w:val="0076662B"/>
    <w:rsid w:val="00766DD4"/>
    <w:rsid w:val="0076718D"/>
    <w:rsid w:val="007673D5"/>
    <w:rsid w:val="00767779"/>
    <w:rsid w:val="00767C1B"/>
    <w:rsid w:val="00767E02"/>
    <w:rsid w:val="00770295"/>
    <w:rsid w:val="0077065F"/>
    <w:rsid w:val="007709C3"/>
    <w:rsid w:val="00770B75"/>
    <w:rsid w:val="00770F7B"/>
    <w:rsid w:val="007710FC"/>
    <w:rsid w:val="007719BE"/>
    <w:rsid w:val="007722A2"/>
    <w:rsid w:val="007725AA"/>
    <w:rsid w:val="00772A4D"/>
    <w:rsid w:val="007733A3"/>
    <w:rsid w:val="00773647"/>
    <w:rsid w:val="0077389D"/>
    <w:rsid w:val="00773BDC"/>
    <w:rsid w:val="00773C95"/>
    <w:rsid w:val="00774399"/>
    <w:rsid w:val="00774DC2"/>
    <w:rsid w:val="007753B3"/>
    <w:rsid w:val="0077586A"/>
    <w:rsid w:val="007758A2"/>
    <w:rsid w:val="007761CA"/>
    <w:rsid w:val="007767FB"/>
    <w:rsid w:val="007768AD"/>
    <w:rsid w:val="00777473"/>
    <w:rsid w:val="00777775"/>
    <w:rsid w:val="00777DC5"/>
    <w:rsid w:val="00777E3E"/>
    <w:rsid w:val="0078024D"/>
    <w:rsid w:val="00780A88"/>
    <w:rsid w:val="007813D9"/>
    <w:rsid w:val="00781401"/>
    <w:rsid w:val="00781674"/>
    <w:rsid w:val="007819A5"/>
    <w:rsid w:val="0078212C"/>
    <w:rsid w:val="00782296"/>
    <w:rsid w:val="007830EF"/>
    <w:rsid w:val="0078359B"/>
    <w:rsid w:val="0078483A"/>
    <w:rsid w:val="00784906"/>
    <w:rsid w:val="00784CF8"/>
    <w:rsid w:val="00784E92"/>
    <w:rsid w:val="007854BF"/>
    <w:rsid w:val="00785BC2"/>
    <w:rsid w:val="00785DA5"/>
    <w:rsid w:val="007861EA"/>
    <w:rsid w:val="0078650F"/>
    <w:rsid w:val="007865B6"/>
    <w:rsid w:val="00786867"/>
    <w:rsid w:val="00786A75"/>
    <w:rsid w:val="00786B70"/>
    <w:rsid w:val="00786FA6"/>
    <w:rsid w:val="0078726C"/>
    <w:rsid w:val="007875FB"/>
    <w:rsid w:val="007902D2"/>
    <w:rsid w:val="00790EFA"/>
    <w:rsid w:val="00790FD5"/>
    <w:rsid w:val="00791655"/>
    <w:rsid w:val="00791CC2"/>
    <w:rsid w:val="00792809"/>
    <w:rsid w:val="00792B0E"/>
    <w:rsid w:val="00793291"/>
    <w:rsid w:val="00793730"/>
    <w:rsid w:val="00793D42"/>
    <w:rsid w:val="00794514"/>
    <w:rsid w:val="00794ABA"/>
    <w:rsid w:val="00794F6C"/>
    <w:rsid w:val="00794FAC"/>
    <w:rsid w:val="0079537C"/>
    <w:rsid w:val="00795488"/>
    <w:rsid w:val="007954CE"/>
    <w:rsid w:val="0079580F"/>
    <w:rsid w:val="00795A54"/>
    <w:rsid w:val="00795B09"/>
    <w:rsid w:val="00795C42"/>
    <w:rsid w:val="00795E32"/>
    <w:rsid w:val="00796996"/>
    <w:rsid w:val="00796F7F"/>
    <w:rsid w:val="00797292"/>
    <w:rsid w:val="007A0032"/>
    <w:rsid w:val="007A06CA"/>
    <w:rsid w:val="007A0FA9"/>
    <w:rsid w:val="007A12B5"/>
    <w:rsid w:val="007A1A9A"/>
    <w:rsid w:val="007A2590"/>
    <w:rsid w:val="007A276E"/>
    <w:rsid w:val="007A28A8"/>
    <w:rsid w:val="007A2CF5"/>
    <w:rsid w:val="007A2D28"/>
    <w:rsid w:val="007A2EC6"/>
    <w:rsid w:val="007A39C0"/>
    <w:rsid w:val="007A4171"/>
    <w:rsid w:val="007A44F5"/>
    <w:rsid w:val="007A482C"/>
    <w:rsid w:val="007A49E3"/>
    <w:rsid w:val="007A4A32"/>
    <w:rsid w:val="007A4F15"/>
    <w:rsid w:val="007A516A"/>
    <w:rsid w:val="007A53EC"/>
    <w:rsid w:val="007A55F3"/>
    <w:rsid w:val="007A57E5"/>
    <w:rsid w:val="007A5DFC"/>
    <w:rsid w:val="007A6454"/>
    <w:rsid w:val="007A68F0"/>
    <w:rsid w:val="007A6FCF"/>
    <w:rsid w:val="007A7553"/>
    <w:rsid w:val="007A7611"/>
    <w:rsid w:val="007A7708"/>
    <w:rsid w:val="007A7BDC"/>
    <w:rsid w:val="007A7DA0"/>
    <w:rsid w:val="007B02AB"/>
    <w:rsid w:val="007B03EC"/>
    <w:rsid w:val="007B0856"/>
    <w:rsid w:val="007B0925"/>
    <w:rsid w:val="007B0C88"/>
    <w:rsid w:val="007B1086"/>
    <w:rsid w:val="007B12BB"/>
    <w:rsid w:val="007B16C9"/>
    <w:rsid w:val="007B2434"/>
    <w:rsid w:val="007B243C"/>
    <w:rsid w:val="007B24AF"/>
    <w:rsid w:val="007B26E6"/>
    <w:rsid w:val="007B28F4"/>
    <w:rsid w:val="007B2A01"/>
    <w:rsid w:val="007B352C"/>
    <w:rsid w:val="007B3560"/>
    <w:rsid w:val="007B3A5F"/>
    <w:rsid w:val="007B3B32"/>
    <w:rsid w:val="007B3D52"/>
    <w:rsid w:val="007B4130"/>
    <w:rsid w:val="007B4A85"/>
    <w:rsid w:val="007B4D85"/>
    <w:rsid w:val="007B5040"/>
    <w:rsid w:val="007B537B"/>
    <w:rsid w:val="007B577F"/>
    <w:rsid w:val="007B6871"/>
    <w:rsid w:val="007B6F2D"/>
    <w:rsid w:val="007B6FBC"/>
    <w:rsid w:val="007B73D4"/>
    <w:rsid w:val="007B7593"/>
    <w:rsid w:val="007B767B"/>
    <w:rsid w:val="007B7EF6"/>
    <w:rsid w:val="007B7F12"/>
    <w:rsid w:val="007C0108"/>
    <w:rsid w:val="007C014F"/>
    <w:rsid w:val="007C0A71"/>
    <w:rsid w:val="007C0B4E"/>
    <w:rsid w:val="007C133B"/>
    <w:rsid w:val="007C1632"/>
    <w:rsid w:val="007C176C"/>
    <w:rsid w:val="007C1BB0"/>
    <w:rsid w:val="007C1BD4"/>
    <w:rsid w:val="007C1E33"/>
    <w:rsid w:val="007C1EEC"/>
    <w:rsid w:val="007C25AE"/>
    <w:rsid w:val="007C3001"/>
    <w:rsid w:val="007C3024"/>
    <w:rsid w:val="007C437D"/>
    <w:rsid w:val="007C4524"/>
    <w:rsid w:val="007C46CF"/>
    <w:rsid w:val="007C4F61"/>
    <w:rsid w:val="007C52FE"/>
    <w:rsid w:val="007C53A3"/>
    <w:rsid w:val="007C55B1"/>
    <w:rsid w:val="007C570E"/>
    <w:rsid w:val="007C5B10"/>
    <w:rsid w:val="007C5BCD"/>
    <w:rsid w:val="007C5C75"/>
    <w:rsid w:val="007C5DA7"/>
    <w:rsid w:val="007C62C8"/>
    <w:rsid w:val="007C63E8"/>
    <w:rsid w:val="007C646B"/>
    <w:rsid w:val="007C662B"/>
    <w:rsid w:val="007C69EC"/>
    <w:rsid w:val="007C74FA"/>
    <w:rsid w:val="007C7EEB"/>
    <w:rsid w:val="007C7F5F"/>
    <w:rsid w:val="007D014C"/>
    <w:rsid w:val="007D05B1"/>
    <w:rsid w:val="007D06B4"/>
    <w:rsid w:val="007D07CE"/>
    <w:rsid w:val="007D08CA"/>
    <w:rsid w:val="007D0BAD"/>
    <w:rsid w:val="007D0C6E"/>
    <w:rsid w:val="007D1178"/>
    <w:rsid w:val="007D1712"/>
    <w:rsid w:val="007D194B"/>
    <w:rsid w:val="007D1D5B"/>
    <w:rsid w:val="007D23FD"/>
    <w:rsid w:val="007D2447"/>
    <w:rsid w:val="007D2458"/>
    <w:rsid w:val="007D2619"/>
    <w:rsid w:val="007D2D4B"/>
    <w:rsid w:val="007D2D6A"/>
    <w:rsid w:val="007D2E9E"/>
    <w:rsid w:val="007D2FFC"/>
    <w:rsid w:val="007D3084"/>
    <w:rsid w:val="007D3947"/>
    <w:rsid w:val="007D3D6D"/>
    <w:rsid w:val="007D3E15"/>
    <w:rsid w:val="007D4734"/>
    <w:rsid w:val="007D4765"/>
    <w:rsid w:val="007D483A"/>
    <w:rsid w:val="007D49D5"/>
    <w:rsid w:val="007D4A45"/>
    <w:rsid w:val="007D4E27"/>
    <w:rsid w:val="007D5028"/>
    <w:rsid w:val="007D510E"/>
    <w:rsid w:val="007D53A5"/>
    <w:rsid w:val="007D55F8"/>
    <w:rsid w:val="007D56FE"/>
    <w:rsid w:val="007D585B"/>
    <w:rsid w:val="007D5D54"/>
    <w:rsid w:val="007D6B12"/>
    <w:rsid w:val="007D75EA"/>
    <w:rsid w:val="007D7EF7"/>
    <w:rsid w:val="007E0975"/>
    <w:rsid w:val="007E0AAA"/>
    <w:rsid w:val="007E12E6"/>
    <w:rsid w:val="007E16E2"/>
    <w:rsid w:val="007E19E9"/>
    <w:rsid w:val="007E27D7"/>
    <w:rsid w:val="007E281A"/>
    <w:rsid w:val="007E2879"/>
    <w:rsid w:val="007E2882"/>
    <w:rsid w:val="007E298B"/>
    <w:rsid w:val="007E2A74"/>
    <w:rsid w:val="007E2BD0"/>
    <w:rsid w:val="007E2E0D"/>
    <w:rsid w:val="007E3415"/>
    <w:rsid w:val="007E39AB"/>
    <w:rsid w:val="007E39E0"/>
    <w:rsid w:val="007E4199"/>
    <w:rsid w:val="007E4837"/>
    <w:rsid w:val="007E4867"/>
    <w:rsid w:val="007E4B49"/>
    <w:rsid w:val="007E4FCD"/>
    <w:rsid w:val="007E5151"/>
    <w:rsid w:val="007E51F6"/>
    <w:rsid w:val="007E52A4"/>
    <w:rsid w:val="007E586D"/>
    <w:rsid w:val="007E5BBF"/>
    <w:rsid w:val="007E5BE9"/>
    <w:rsid w:val="007E6496"/>
    <w:rsid w:val="007E6586"/>
    <w:rsid w:val="007E6AC9"/>
    <w:rsid w:val="007E6B68"/>
    <w:rsid w:val="007E6C0F"/>
    <w:rsid w:val="007E7144"/>
    <w:rsid w:val="007E7562"/>
    <w:rsid w:val="007E760B"/>
    <w:rsid w:val="007F0589"/>
    <w:rsid w:val="007F07FD"/>
    <w:rsid w:val="007F0DF9"/>
    <w:rsid w:val="007F15CD"/>
    <w:rsid w:val="007F1C1D"/>
    <w:rsid w:val="007F1F35"/>
    <w:rsid w:val="007F20C3"/>
    <w:rsid w:val="007F2214"/>
    <w:rsid w:val="007F2626"/>
    <w:rsid w:val="007F2DE9"/>
    <w:rsid w:val="007F2E66"/>
    <w:rsid w:val="007F340C"/>
    <w:rsid w:val="007F3492"/>
    <w:rsid w:val="007F34AE"/>
    <w:rsid w:val="007F3E59"/>
    <w:rsid w:val="007F410E"/>
    <w:rsid w:val="007F434C"/>
    <w:rsid w:val="007F4770"/>
    <w:rsid w:val="007F481F"/>
    <w:rsid w:val="007F49B8"/>
    <w:rsid w:val="007F4B5C"/>
    <w:rsid w:val="007F527F"/>
    <w:rsid w:val="007F5AD5"/>
    <w:rsid w:val="007F5E37"/>
    <w:rsid w:val="007F6F70"/>
    <w:rsid w:val="007F738F"/>
    <w:rsid w:val="007F7759"/>
    <w:rsid w:val="007F7F47"/>
    <w:rsid w:val="0080102D"/>
    <w:rsid w:val="008011EA"/>
    <w:rsid w:val="00802102"/>
    <w:rsid w:val="008021C4"/>
    <w:rsid w:val="00802B78"/>
    <w:rsid w:val="00803016"/>
    <w:rsid w:val="008030BF"/>
    <w:rsid w:val="008034B2"/>
    <w:rsid w:val="0080367D"/>
    <w:rsid w:val="00803A93"/>
    <w:rsid w:val="00803B30"/>
    <w:rsid w:val="00803F0A"/>
    <w:rsid w:val="00804166"/>
    <w:rsid w:val="00804816"/>
    <w:rsid w:val="00804BDC"/>
    <w:rsid w:val="0080587B"/>
    <w:rsid w:val="008059A7"/>
    <w:rsid w:val="008059B8"/>
    <w:rsid w:val="008059EE"/>
    <w:rsid w:val="00805F15"/>
    <w:rsid w:val="00806194"/>
    <w:rsid w:val="008063C6"/>
    <w:rsid w:val="008069CA"/>
    <w:rsid w:val="00806C9E"/>
    <w:rsid w:val="0080700B"/>
    <w:rsid w:val="008073B4"/>
    <w:rsid w:val="00807508"/>
    <w:rsid w:val="00807FA0"/>
    <w:rsid w:val="008103F7"/>
    <w:rsid w:val="008111E7"/>
    <w:rsid w:val="0081142F"/>
    <w:rsid w:val="00811AB6"/>
    <w:rsid w:val="00811AD9"/>
    <w:rsid w:val="00811D87"/>
    <w:rsid w:val="0081226F"/>
    <w:rsid w:val="008126CD"/>
    <w:rsid w:val="008126EE"/>
    <w:rsid w:val="00812B67"/>
    <w:rsid w:val="0081382F"/>
    <w:rsid w:val="00813CA9"/>
    <w:rsid w:val="0081525C"/>
    <w:rsid w:val="00815612"/>
    <w:rsid w:val="0081571C"/>
    <w:rsid w:val="0081622F"/>
    <w:rsid w:val="00816272"/>
    <w:rsid w:val="00816FA7"/>
    <w:rsid w:val="00817401"/>
    <w:rsid w:val="00817B33"/>
    <w:rsid w:val="00820D7C"/>
    <w:rsid w:val="00821104"/>
    <w:rsid w:val="008214CF"/>
    <w:rsid w:val="008218C0"/>
    <w:rsid w:val="0082214B"/>
    <w:rsid w:val="00822DB9"/>
    <w:rsid w:val="00822DC0"/>
    <w:rsid w:val="00822FCC"/>
    <w:rsid w:val="008230FC"/>
    <w:rsid w:val="008232EE"/>
    <w:rsid w:val="00823B89"/>
    <w:rsid w:val="00823D46"/>
    <w:rsid w:val="0082429A"/>
    <w:rsid w:val="0082437B"/>
    <w:rsid w:val="008243BD"/>
    <w:rsid w:val="00825293"/>
    <w:rsid w:val="00825979"/>
    <w:rsid w:val="00825A16"/>
    <w:rsid w:val="00825A59"/>
    <w:rsid w:val="00825F4A"/>
    <w:rsid w:val="0082692A"/>
    <w:rsid w:val="00826BBA"/>
    <w:rsid w:val="00826BDB"/>
    <w:rsid w:val="00826CA5"/>
    <w:rsid w:val="0082725E"/>
    <w:rsid w:val="0082774C"/>
    <w:rsid w:val="00827F84"/>
    <w:rsid w:val="00830091"/>
    <w:rsid w:val="00830177"/>
    <w:rsid w:val="00830292"/>
    <w:rsid w:val="00830AB2"/>
    <w:rsid w:val="00830E5C"/>
    <w:rsid w:val="00831198"/>
    <w:rsid w:val="008316F4"/>
    <w:rsid w:val="00831F94"/>
    <w:rsid w:val="008320CD"/>
    <w:rsid w:val="008320DF"/>
    <w:rsid w:val="0083254C"/>
    <w:rsid w:val="00832B69"/>
    <w:rsid w:val="0083344F"/>
    <w:rsid w:val="00833550"/>
    <w:rsid w:val="0083360B"/>
    <w:rsid w:val="008339E2"/>
    <w:rsid w:val="00833CD8"/>
    <w:rsid w:val="00833FCC"/>
    <w:rsid w:val="00834622"/>
    <w:rsid w:val="00834788"/>
    <w:rsid w:val="00834BED"/>
    <w:rsid w:val="0083514C"/>
    <w:rsid w:val="00835757"/>
    <w:rsid w:val="00835C14"/>
    <w:rsid w:val="00835DD3"/>
    <w:rsid w:val="00835DE5"/>
    <w:rsid w:val="00837989"/>
    <w:rsid w:val="00840144"/>
    <w:rsid w:val="0084058E"/>
    <w:rsid w:val="0084066B"/>
    <w:rsid w:val="0084085D"/>
    <w:rsid w:val="00840ACE"/>
    <w:rsid w:val="0084114E"/>
    <w:rsid w:val="008413EC"/>
    <w:rsid w:val="008417D3"/>
    <w:rsid w:val="0084188F"/>
    <w:rsid w:val="008419F5"/>
    <w:rsid w:val="00841A14"/>
    <w:rsid w:val="00841F13"/>
    <w:rsid w:val="00842551"/>
    <w:rsid w:val="0084266B"/>
    <w:rsid w:val="00842918"/>
    <w:rsid w:val="00842DCB"/>
    <w:rsid w:val="008430F6"/>
    <w:rsid w:val="008431F0"/>
    <w:rsid w:val="00843424"/>
    <w:rsid w:val="0084353A"/>
    <w:rsid w:val="00843A1C"/>
    <w:rsid w:val="00843AE0"/>
    <w:rsid w:val="00843DB8"/>
    <w:rsid w:val="0084406D"/>
    <w:rsid w:val="00844E38"/>
    <w:rsid w:val="0084546A"/>
    <w:rsid w:val="0084565B"/>
    <w:rsid w:val="00845697"/>
    <w:rsid w:val="008458FF"/>
    <w:rsid w:val="00845A10"/>
    <w:rsid w:val="00845AD9"/>
    <w:rsid w:val="008465C7"/>
    <w:rsid w:val="008466D7"/>
    <w:rsid w:val="008469E1"/>
    <w:rsid w:val="00846A1A"/>
    <w:rsid w:val="00846E09"/>
    <w:rsid w:val="00847222"/>
    <w:rsid w:val="00847A83"/>
    <w:rsid w:val="00847C0E"/>
    <w:rsid w:val="008501EE"/>
    <w:rsid w:val="008502E1"/>
    <w:rsid w:val="00850950"/>
    <w:rsid w:val="0085098C"/>
    <w:rsid w:val="00850E4C"/>
    <w:rsid w:val="0085105B"/>
    <w:rsid w:val="008510E3"/>
    <w:rsid w:val="00851786"/>
    <w:rsid w:val="00851BF9"/>
    <w:rsid w:val="00851D8B"/>
    <w:rsid w:val="008523DB"/>
    <w:rsid w:val="008529F0"/>
    <w:rsid w:val="00852B75"/>
    <w:rsid w:val="00852D2E"/>
    <w:rsid w:val="00852DB0"/>
    <w:rsid w:val="008532B3"/>
    <w:rsid w:val="008533DD"/>
    <w:rsid w:val="0085358B"/>
    <w:rsid w:val="00853802"/>
    <w:rsid w:val="00853B59"/>
    <w:rsid w:val="00853C0F"/>
    <w:rsid w:val="00853DB6"/>
    <w:rsid w:val="00854198"/>
    <w:rsid w:val="00854BBA"/>
    <w:rsid w:val="00854D69"/>
    <w:rsid w:val="00855B84"/>
    <w:rsid w:val="00855D73"/>
    <w:rsid w:val="0085620A"/>
    <w:rsid w:val="00856389"/>
    <w:rsid w:val="0085647C"/>
    <w:rsid w:val="00856A8D"/>
    <w:rsid w:val="00856B31"/>
    <w:rsid w:val="00856DC7"/>
    <w:rsid w:val="00857057"/>
    <w:rsid w:val="00857370"/>
    <w:rsid w:val="008608BF"/>
    <w:rsid w:val="00860B7D"/>
    <w:rsid w:val="00860E58"/>
    <w:rsid w:val="008619CA"/>
    <w:rsid w:val="00861A52"/>
    <w:rsid w:val="008622DA"/>
    <w:rsid w:val="00862659"/>
    <w:rsid w:val="00862B75"/>
    <w:rsid w:val="00862BA7"/>
    <w:rsid w:val="00862C2A"/>
    <w:rsid w:val="00862EF3"/>
    <w:rsid w:val="008630B0"/>
    <w:rsid w:val="0086317F"/>
    <w:rsid w:val="008633D5"/>
    <w:rsid w:val="008637B4"/>
    <w:rsid w:val="0086396A"/>
    <w:rsid w:val="00863BE1"/>
    <w:rsid w:val="00863E1D"/>
    <w:rsid w:val="0086423A"/>
    <w:rsid w:val="008642D9"/>
    <w:rsid w:val="0086451D"/>
    <w:rsid w:val="00864905"/>
    <w:rsid w:val="008649E4"/>
    <w:rsid w:val="00864BA3"/>
    <w:rsid w:val="00865420"/>
    <w:rsid w:val="00865645"/>
    <w:rsid w:val="00865BCD"/>
    <w:rsid w:val="0086610E"/>
    <w:rsid w:val="008666AC"/>
    <w:rsid w:val="00866CC6"/>
    <w:rsid w:val="00866DCF"/>
    <w:rsid w:val="00866EAA"/>
    <w:rsid w:val="00867735"/>
    <w:rsid w:val="0086777B"/>
    <w:rsid w:val="00867948"/>
    <w:rsid w:val="0087006C"/>
    <w:rsid w:val="00870268"/>
    <w:rsid w:val="008706BA"/>
    <w:rsid w:val="008707C1"/>
    <w:rsid w:val="008707F5"/>
    <w:rsid w:val="0087081D"/>
    <w:rsid w:val="00870836"/>
    <w:rsid w:val="0087091F"/>
    <w:rsid w:val="00870F90"/>
    <w:rsid w:val="00871392"/>
    <w:rsid w:val="0087169E"/>
    <w:rsid w:val="00871D67"/>
    <w:rsid w:val="008722AE"/>
    <w:rsid w:val="0087361C"/>
    <w:rsid w:val="008737F9"/>
    <w:rsid w:val="008741A5"/>
    <w:rsid w:val="00874405"/>
    <w:rsid w:val="008751E9"/>
    <w:rsid w:val="0087533D"/>
    <w:rsid w:val="00875D85"/>
    <w:rsid w:val="00875F3A"/>
    <w:rsid w:val="0087614A"/>
    <w:rsid w:val="008769AB"/>
    <w:rsid w:val="00876CCF"/>
    <w:rsid w:val="00877635"/>
    <w:rsid w:val="0087777F"/>
    <w:rsid w:val="008778CE"/>
    <w:rsid w:val="00877EF9"/>
    <w:rsid w:val="00877EFE"/>
    <w:rsid w:val="0088010C"/>
    <w:rsid w:val="008801F5"/>
    <w:rsid w:val="00880804"/>
    <w:rsid w:val="00880A3F"/>
    <w:rsid w:val="00880AFB"/>
    <w:rsid w:val="0088126D"/>
    <w:rsid w:val="008813B2"/>
    <w:rsid w:val="0088178B"/>
    <w:rsid w:val="00881BA1"/>
    <w:rsid w:val="0088228F"/>
    <w:rsid w:val="0088279D"/>
    <w:rsid w:val="00882EF4"/>
    <w:rsid w:val="00882F96"/>
    <w:rsid w:val="00883966"/>
    <w:rsid w:val="00883BC0"/>
    <w:rsid w:val="00883C8C"/>
    <w:rsid w:val="00884186"/>
    <w:rsid w:val="008841E6"/>
    <w:rsid w:val="008842C8"/>
    <w:rsid w:val="00884571"/>
    <w:rsid w:val="0088470A"/>
    <w:rsid w:val="008848C5"/>
    <w:rsid w:val="00884C26"/>
    <w:rsid w:val="00884D83"/>
    <w:rsid w:val="00884EE5"/>
    <w:rsid w:val="00885309"/>
    <w:rsid w:val="00885709"/>
    <w:rsid w:val="00885A23"/>
    <w:rsid w:val="00886798"/>
    <w:rsid w:val="008867DE"/>
    <w:rsid w:val="008868EB"/>
    <w:rsid w:val="008873AC"/>
    <w:rsid w:val="008879DD"/>
    <w:rsid w:val="00887D37"/>
    <w:rsid w:val="0089047B"/>
    <w:rsid w:val="008907F2"/>
    <w:rsid w:val="00891CB6"/>
    <w:rsid w:val="00891F26"/>
    <w:rsid w:val="008920F4"/>
    <w:rsid w:val="00892362"/>
    <w:rsid w:val="008924AD"/>
    <w:rsid w:val="00893781"/>
    <w:rsid w:val="00893AD5"/>
    <w:rsid w:val="00894B65"/>
    <w:rsid w:val="00894DFC"/>
    <w:rsid w:val="008950BB"/>
    <w:rsid w:val="00896292"/>
    <w:rsid w:val="00896432"/>
    <w:rsid w:val="008966F3"/>
    <w:rsid w:val="00896756"/>
    <w:rsid w:val="008971A8"/>
    <w:rsid w:val="0089756E"/>
    <w:rsid w:val="00897C94"/>
    <w:rsid w:val="008A010E"/>
    <w:rsid w:val="008A010F"/>
    <w:rsid w:val="008A023D"/>
    <w:rsid w:val="008A0FEE"/>
    <w:rsid w:val="008A12F2"/>
    <w:rsid w:val="008A137E"/>
    <w:rsid w:val="008A1D53"/>
    <w:rsid w:val="008A2086"/>
    <w:rsid w:val="008A2403"/>
    <w:rsid w:val="008A24EC"/>
    <w:rsid w:val="008A2568"/>
    <w:rsid w:val="008A2900"/>
    <w:rsid w:val="008A29A3"/>
    <w:rsid w:val="008A2CC4"/>
    <w:rsid w:val="008A2D89"/>
    <w:rsid w:val="008A2FC5"/>
    <w:rsid w:val="008A35A3"/>
    <w:rsid w:val="008A3824"/>
    <w:rsid w:val="008A3B16"/>
    <w:rsid w:val="008A3FD2"/>
    <w:rsid w:val="008A4520"/>
    <w:rsid w:val="008A4FC4"/>
    <w:rsid w:val="008A5032"/>
    <w:rsid w:val="008A5354"/>
    <w:rsid w:val="008A5558"/>
    <w:rsid w:val="008A5604"/>
    <w:rsid w:val="008A561B"/>
    <w:rsid w:val="008A5E19"/>
    <w:rsid w:val="008A6351"/>
    <w:rsid w:val="008A6CD3"/>
    <w:rsid w:val="008A7093"/>
    <w:rsid w:val="008A70C0"/>
    <w:rsid w:val="008B0321"/>
    <w:rsid w:val="008B0652"/>
    <w:rsid w:val="008B0880"/>
    <w:rsid w:val="008B0CAF"/>
    <w:rsid w:val="008B0DBB"/>
    <w:rsid w:val="008B14E6"/>
    <w:rsid w:val="008B1A66"/>
    <w:rsid w:val="008B1AE6"/>
    <w:rsid w:val="008B1CB9"/>
    <w:rsid w:val="008B1D94"/>
    <w:rsid w:val="008B212B"/>
    <w:rsid w:val="008B21FF"/>
    <w:rsid w:val="008B222E"/>
    <w:rsid w:val="008B31FF"/>
    <w:rsid w:val="008B3509"/>
    <w:rsid w:val="008B3E21"/>
    <w:rsid w:val="008B41C5"/>
    <w:rsid w:val="008B4825"/>
    <w:rsid w:val="008B49B1"/>
    <w:rsid w:val="008B4ABC"/>
    <w:rsid w:val="008B4C8A"/>
    <w:rsid w:val="008B50E8"/>
    <w:rsid w:val="008B5286"/>
    <w:rsid w:val="008B5823"/>
    <w:rsid w:val="008B6871"/>
    <w:rsid w:val="008B719A"/>
    <w:rsid w:val="008B729C"/>
    <w:rsid w:val="008B76EC"/>
    <w:rsid w:val="008C0171"/>
    <w:rsid w:val="008C034B"/>
    <w:rsid w:val="008C13FA"/>
    <w:rsid w:val="008C17C8"/>
    <w:rsid w:val="008C1C05"/>
    <w:rsid w:val="008C21F2"/>
    <w:rsid w:val="008C2287"/>
    <w:rsid w:val="008C2638"/>
    <w:rsid w:val="008C2FD0"/>
    <w:rsid w:val="008C3085"/>
    <w:rsid w:val="008C4264"/>
    <w:rsid w:val="008C4AD2"/>
    <w:rsid w:val="008C4D5C"/>
    <w:rsid w:val="008C50D3"/>
    <w:rsid w:val="008C552C"/>
    <w:rsid w:val="008C557A"/>
    <w:rsid w:val="008C5B26"/>
    <w:rsid w:val="008C5B60"/>
    <w:rsid w:val="008C5C43"/>
    <w:rsid w:val="008C5D1E"/>
    <w:rsid w:val="008C5D65"/>
    <w:rsid w:val="008C680C"/>
    <w:rsid w:val="008C7315"/>
    <w:rsid w:val="008C7324"/>
    <w:rsid w:val="008D0419"/>
    <w:rsid w:val="008D09B8"/>
    <w:rsid w:val="008D12A8"/>
    <w:rsid w:val="008D1B9A"/>
    <w:rsid w:val="008D1BB0"/>
    <w:rsid w:val="008D1FF4"/>
    <w:rsid w:val="008D21A2"/>
    <w:rsid w:val="008D2356"/>
    <w:rsid w:val="008D257A"/>
    <w:rsid w:val="008D28A3"/>
    <w:rsid w:val="008D2BDE"/>
    <w:rsid w:val="008D2C3F"/>
    <w:rsid w:val="008D2C62"/>
    <w:rsid w:val="008D2CB8"/>
    <w:rsid w:val="008D3133"/>
    <w:rsid w:val="008D3BB4"/>
    <w:rsid w:val="008D400A"/>
    <w:rsid w:val="008D4458"/>
    <w:rsid w:val="008D44D1"/>
    <w:rsid w:val="008D48ED"/>
    <w:rsid w:val="008D4EA1"/>
    <w:rsid w:val="008D5064"/>
    <w:rsid w:val="008D563C"/>
    <w:rsid w:val="008D5664"/>
    <w:rsid w:val="008D5C6E"/>
    <w:rsid w:val="008D5E43"/>
    <w:rsid w:val="008D5E72"/>
    <w:rsid w:val="008D5F23"/>
    <w:rsid w:val="008D5FAC"/>
    <w:rsid w:val="008D68D6"/>
    <w:rsid w:val="008D6B1C"/>
    <w:rsid w:val="008D6B97"/>
    <w:rsid w:val="008D6C8E"/>
    <w:rsid w:val="008D7EC6"/>
    <w:rsid w:val="008E00F4"/>
    <w:rsid w:val="008E017F"/>
    <w:rsid w:val="008E0389"/>
    <w:rsid w:val="008E0774"/>
    <w:rsid w:val="008E0959"/>
    <w:rsid w:val="008E097E"/>
    <w:rsid w:val="008E0CB8"/>
    <w:rsid w:val="008E1553"/>
    <w:rsid w:val="008E167F"/>
    <w:rsid w:val="008E1778"/>
    <w:rsid w:val="008E195B"/>
    <w:rsid w:val="008E1A6C"/>
    <w:rsid w:val="008E1ADE"/>
    <w:rsid w:val="008E1B28"/>
    <w:rsid w:val="008E1C02"/>
    <w:rsid w:val="008E2686"/>
    <w:rsid w:val="008E2A4F"/>
    <w:rsid w:val="008E32ED"/>
    <w:rsid w:val="008E3329"/>
    <w:rsid w:val="008E37A8"/>
    <w:rsid w:val="008E3B7D"/>
    <w:rsid w:val="008E3EB0"/>
    <w:rsid w:val="008E45A1"/>
    <w:rsid w:val="008E471A"/>
    <w:rsid w:val="008E493A"/>
    <w:rsid w:val="008E57A0"/>
    <w:rsid w:val="008E5805"/>
    <w:rsid w:val="008E5F91"/>
    <w:rsid w:val="008E631B"/>
    <w:rsid w:val="008E6BA2"/>
    <w:rsid w:val="008E71A5"/>
    <w:rsid w:val="008E7371"/>
    <w:rsid w:val="008E748E"/>
    <w:rsid w:val="008E767C"/>
    <w:rsid w:val="008E7A3F"/>
    <w:rsid w:val="008E7E4E"/>
    <w:rsid w:val="008F007D"/>
    <w:rsid w:val="008F0707"/>
    <w:rsid w:val="008F0EA4"/>
    <w:rsid w:val="008F12A4"/>
    <w:rsid w:val="008F183D"/>
    <w:rsid w:val="008F1922"/>
    <w:rsid w:val="008F1ACC"/>
    <w:rsid w:val="008F1E8F"/>
    <w:rsid w:val="008F1F75"/>
    <w:rsid w:val="008F28F2"/>
    <w:rsid w:val="008F28F9"/>
    <w:rsid w:val="008F2AF1"/>
    <w:rsid w:val="008F2B24"/>
    <w:rsid w:val="008F2B4B"/>
    <w:rsid w:val="008F2B5C"/>
    <w:rsid w:val="008F2CC9"/>
    <w:rsid w:val="008F2E2D"/>
    <w:rsid w:val="008F2EB1"/>
    <w:rsid w:val="008F3032"/>
    <w:rsid w:val="008F4840"/>
    <w:rsid w:val="008F5143"/>
    <w:rsid w:val="008F5274"/>
    <w:rsid w:val="008F61A0"/>
    <w:rsid w:val="008F659B"/>
    <w:rsid w:val="008F6A98"/>
    <w:rsid w:val="008F6DF9"/>
    <w:rsid w:val="008F6DFA"/>
    <w:rsid w:val="008F72B8"/>
    <w:rsid w:val="008F78FB"/>
    <w:rsid w:val="008F7DD6"/>
    <w:rsid w:val="008F7E94"/>
    <w:rsid w:val="008F7FF6"/>
    <w:rsid w:val="009006EB"/>
    <w:rsid w:val="00900C3D"/>
    <w:rsid w:val="00900C7C"/>
    <w:rsid w:val="00902308"/>
    <w:rsid w:val="00902648"/>
    <w:rsid w:val="00902945"/>
    <w:rsid w:val="00902F1D"/>
    <w:rsid w:val="00903741"/>
    <w:rsid w:val="00903D8E"/>
    <w:rsid w:val="00903EAE"/>
    <w:rsid w:val="00903F74"/>
    <w:rsid w:val="009046FC"/>
    <w:rsid w:val="009051F6"/>
    <w:rsid w:val="00905745"/>
    <w:rsid w:val="00905FEF"/>
    <w:rsid w:val="00906657"/>
    <w:rsid w:val="009069C4"/>
    <w:rsid w:val="0090707F"/>
    <w:rsid w:val="009071B2"/>
    <w:rsid w:val="00907314"/>
    <w:rsid w:val="009079C5"/>
    <w:rsid w:val="009100FD"/>
    <w:rsid w:val="009103D5"/>
    <w:rsid w:val="00910685"/>
    <w:rsid w:val="00910B7E"/>
    <w:rsid w:val="00910FA4"/>
    <w:rsid w:val="0091113A"/>
    <w:rsid w:val="0091148A"/>
    <w:rsid w:val="00911E73"/>
    <w:rsid w:val="009120CE"/>
    <w:rsid w:val="009128FB"/>
    <w:rsid w:val="00912DE6"/>
    <w:rsid w:val="00912F91"/>
    <w:rsid w:val="0091337B"/>
    <w:rsid w:val="009139E9"/>
    <w:rsid w:val="0091413B"/>
    <w:rsid w:val="00914196"/>
    <w:rsid w:val="00914874"/>
    <w:rsid w:val="00914D11"/>
    <w:rsid w:val="00914ED3"/>
    <w:rsid w:val="009154AF"/>
    <w:rsid w:val="009157FD"/>
    <w:rsid w:val="0091591B"/>
    <w:rsid w:val="009162D5"/>
    <w:rsid w:val="00916685"/>
    <w:rsid w:val="009171DE"/>
    <w:rsid w:val="009174B6"/>
    <w:rsid w:val="00917AD5"/>
    <w:rsid w:val="00917C94"/>
    <w:rsid w:val="00920133"/>
    <w:rsid w:val="009203DE"/>
    <w:rsid w:val="009207F5"/>
    <w:rsid w:val="00920C3A"/>
    <w:rsid w:val="00921BCB"/>
    <w:rsid w:val="00921EB6"/>
    <w:rsid w:val="009227F5"/>
    <w:rsid w:val="009235FC"/>
    <w:rsid w:val="00923969"/>
    <w:rsid w:val="009239B4"/>
    <w:rsid w:val="00923A23"/>
    <w:rsid w:val="00923D1E"/>
    <w:rsid w:val="00923E8D"/>
    <w:rsid w:val="00923F32"/>
    <w:rsid w:val="009245A1"/>
    <w:rsid w:val="00924B68"/>
    <w:rsid w:val="00924DF9"/>
    <w:rsid w:val="00924E47"/>
    <w:rsid w:val="009253CE"/>
    <w:rsid w:val="00926581"/>
    <w:rsid w:val="00926775"/>
    <w:rsid w:val="0092689A"/>
    <w:rsid w:val="00927405"/>
    <w:rsid w:val="009277E2"/>
    <w:rsid w:val="00927C2C"/>
    <w:rsid w:val="00930445"/>
    <w:rsid w:val="00930CCB"/>
    <w:rsid w:val="00931133"/>
    <w:rsid w:val="00931863"/>
    <w:rsid w:val="00931B84"/>
    <w:rsid w:val="00931E6D"/>
    <w:rsid w:val="009323EE"/>
    <w:rsid w:val="00932F8E"/>
    <w:rsid w:val="00933101"/>
    <w:rsid w:val="00933312"/>
    <w:rsid w:val="009333C7"/>
    <w:rsid w:val="009336BA"/>
    <w:rsid w:val="00933C3D"/>
    <w:rsid w:val="00933CBE"/>
    <w:rsid w:val="009340BC"/>
    <w:rsid w:val="009344C8"/>
    <w:rsid w:val="0093472E"/>
    <w:rsid w:val="009349F8"/>
    <w:rsid w:val="00934AAA"/>
    <w:rsid w:val="00934C31"/>
    <w:rsid w:val="00934DFC"/>
    <w:rsid w:val="009354F9"/>
    <w:rsid w:val="00935E09"/>
    <w:rsid w:val="00935E88"/>
    <w:rsid w:val="00936271"/>
    <w:rsid w:val="00936410"/>
    <w:rsid w:val="009368D8"/>
    <w:rsid w:val="00936931"/>
    <w:rsid w:val="009370A0"/>
    <w:rsid w:val="00937460"/>
    <w:rsid w:val="00937585"/>
    <w:rsid w:val="00937692"/>
    <w:rsid w:val="00937C16"/>
    <w:rsid w:val="009401EA"/>
    <w:rsid w:val="009402B5"/>
    <w:rsid w:val="0094077C"/>
    <w:rsid w:val="00940A39"/>
    <w:rsid w:val="00940CA6"/>
    <w:rsid w:val="00940EDD"/>
    <w:rsid w:val="00941C5B"/>
    <w:rsid w:val="00941C6E"/>
    <w:rsid w:val="00941C7F"/>
    <w:rsid w:val="00941EE3"/>
    <w:rsid w:val="009425F0"/>
    <w:rsid w:val="00942915"/>
    <w:rsid w:val="00942DB4"/>
    <w:rsid w:val="00943172"/>
    <w:rsid w:val="009431A5"/>
    <w:rsid w:val="0094320D"/>
    <w:rsid w:val="00943488"/>
    <w:rsid w:val="0094356D"/>
    <w:rsid w:val="0094386D"/>
    <w:rsid w:val="00943C49"/>
    <w:rsid w:val="00943D01"/>
    <w:rsid w:val="00944621"/>
    <w:rsid w:val="00944C9F"/>
    <w:rsid w:val="00944CE8"/>
    <w:rsid w:val="00944CF7"/>
    <w:rsid w:val="0094527A"/>
    <w:rsid w:val="0094572A"/>
    <w:rsid w:val="00945ABE"/>
    <w:rsid w:val="00945DAE"/>
    <w:rsid w:val="00946168"/>
    <w:rsid w:val="009463A6"/>
    <w:rsid w:val="009466F9"/>
    <w:rsid w:val="009469FA"/>
    <w:rsid w:val="00946ED4"/>
    <w:rsid w:val="009472B0"/>
    <w:rsid w:val="009473E2"/>
    <w:rsid w:val="009477AD"/>
    <w:rsid w:val="00950792"/>
    <w:rsid w:val="009507B1"/>
    <w:rsid w:val="0095081F"/>
    <w:rsid w:val="00950E9E"/>
    <w:rsid w:val="00950ED0"/>
    <w:rsid w:val="009510E0"/>
    <w:rsid w:val="00951370"/>
    <w:rsid w:val="0095156B"/>
    <w:rsid w:val="00951586"/>
    <w:rsid w:val="009520FC"/>
    <w:rsid w:val="009526EF"/>
    <w:rsid w:val="00952717"/>
    <w:rsid w:val="009528C4"/>
    <w:rsid w:val="00952B43"/>
    <w:rsid w:val="00952F0B"/>
    <w:rsid w:val="00953014"/>
    <w:rsid w:val="00953914"/>
    <w:rsid w:val="00953EE4"/>
    <w:rsid w:val="00953F41"/>
    <w:rsid w:val="009540D1"/>
    <w:rsid w:val="00954550"/>
    <w:rsid w:val="00954737"/>
    <w:rsid w:val="00955891"/>
    <w:rsid w:val="009558C1"/>
    <w:rsid w:val="009558C2"/>
    <w:rsid w:val="009559C2"/>
    <w:rsid w:val="00955C95"/>
    <w:rsid w:val="0095616A"/>
    <w:rsid w:val="009562B3"/>
    <w:rsid w:val="009563C6"/>
    <w:rsid w:val="009564C7"/>
    <w:rsid w:val="0095694D"/>
    <w:rsid w:val="009569AF"/>
    <w:rsid w:val="00956A86"/>
    <w:rsid w:val="009571AE"/>
    <w:rsid w:val="009579C3"/>
    <w:rsid w:val="009601B6"/>
    <w:rsid w:val="0096075D"/>
    <w:rsid w:val="00960C99"/>
    <w:rsid w:val="0096196C"/>
    <w:rsid w:val="009619D0"/>
    <w:rsid w:val="00962153"/>
    <w:rsid w:val="009626B5"/>
    <w:rsid w:val="0096329C"/>
    <w:rsid w:val="0096372D"/>
    <w:rsid w:val="00964208"/>
    <w:rsid w:val="009646D8"/>
    <w:rsid w:val="0096489B"/>
    <w:rsid w:val="00964CFE"/>
    <w:rsid w:val="009652E6"/>
    <w:rsid w:val="00965451"/>
    <w:rsid w:val="00965594"/>
    <w:rsid w:val="00965782"/>
    <w:rsid w:val="0096624E"/>
    <w:rsid w:val="009662F8"/>
    <w:rsid w:val="009666F0"/>
    <w:rsid w:val="00966A36"/>
    <w:rsid w:val="009670C4"/>
    <w:rsid w:val="00967962"/>
    <w:rsid w:val="00967D88"/>
    <w:rsid w:val="00967E5F"/>
    <w:rsid w:val="00970090"/>
    <w:rsid w:val="009702AF"/>
    <w:rsid w:val="0097047E"/>
    <w:rsid w:val="00970E75"/>
    <w:rsid w:val="0097139E"/>
    <w:rsid w:val="009716FA"/>
    <w:rsid w:val="009717BC"/>
    <w:rsid w:val="009717E8"/>
    <w:rsid w:val="00972257"/>
    <w:rsid w:val="009722EA"/>
    <w:rsid w:val="00972F8A"/>
    <w:rsid w:val="00973183"/>
    <w:rsid w:val="00973243"/>
    <w:rsid w:val="009736DD"/>
    <w:rsid w:val="009738DD"/>
    <w:rsid w:val="00973D51"/>
    <w:rsid w:val="00974726"/>
    <w:rsid w:val="00974B28"/>
    <w:rsid w:val="0097505E"/>
    <w:rsid w:val="009750A8"/>
    <w:rsid w:val="009758B1"/>
    <w:rsid w:val="009758F4"/>
    <w:rsid w:val="00976083"/>
    <w:rsid w:val="0097609C"/>
    <w:rsid w:val="0097690D"/>
    <w:rsid w:val="00976B34"/>
    <w:rsid w:val="0097702F"/>
    <w:rsid w:val="009773BB"/>
    <w:rsid w:val="009779ED"/>
    <w:rsid w:val="00977D53"/>
    <w:rsid w:val="00977F1F"/>
    <w:rsid w:val="0098056B"/>
    <w:rsid w:val="00980C8B"/>
    <w:rsid w:val="0098107A"/>
    <w:rsid w:val="00981215"/>
    <w:rsid w:val="00981563"/>
    <w:rsid w:val="009819F7"/>
    <w:rsid w:val="00981AF3"/>
    <w:rsid w:val="00981BE1"/>
    <w:rsid w:val="00981D2D"/>
    <w:rsid w:val="00982111"/>
    <w:rsid w:val="00982191"/>
    <w:rsid w:val="00982265"/>
    <w:rsid w:val="0098260F"/>
    <w:rsid w:val="009828EA"/>
    <w:rsid w:val="00982AE2"/>
    <w:rsid w:val="00982C47"/>
    <w:rsid w:val="009834C7"/>
    <w:rsid w:val="009834D7"/>
    <w:rsid w:val="0098365A"/>
    <w:rsid w:val="0098460A"/>
    <w:rsid w:val="00984771"/>
    <w:rsid w:val="009848F4"/>
    <w:rsid w:val="00984A6C"/>
    <w:rsid w:val="0098519D"/>
    <w:rsid w:val="0098558C"/>
    <w:rsid w:val="00985601"/>
    <w:rsid w:val="00985D9B"/>
    <w:rsid w:val="0098619D"/>
    <w:rsid w:val="00986822"/>
    <w:rsid w:val="00986A84"/>
    <w:rsid w:val="00987333"/>
    <w:rsid w:val="0098735E"/>
    <w:rsid w:val="009873D2"/>
    <w:rsid w:val="00987A5E"/>
    <w:rsid w:val="009903FA"/>
    <w:rsid w:val="0099138E"/>
    <w:rsid w:val="009913B2"/>
    <w:rsid w:val="00991796"/>
    <w:rsid w:val="00991C1B"/>
    <w:rsid w:val="00991CF6"/>
    <w:rsid w:val="00991F94"/>
    <w:rsid w:val="00992468"/>
    <w:rsid w:val="00992A59"/>
    <w:rsid w:val="00994025"/>
    <w:rsid w:val="0099415F"/>
    <w:rsid w:val="00994253"/>
    <w:rsid w:val="00994296"/>
    <w:rsid w:val="009944C7"/>
    <w:rsid w:val="009944E0"/>
    <w:rsid w:val="00994658"/>
    <w:rsid w:val="009948EB"/>
    <w:rsid w:val="0099515E"/>
    <w:rsid w:val="00995208"/>
    <w:rsid w:val="0099574C"/>
    <w:rsid w:val="00995E4E"/>
    <w:rsid w:val="009964FB"/>
    <w:rsid w:val="0099678C"/>
    <w:rsid w:val="00997300"/>
    <w:rsid w:val="009976E1"/>
    <w:rsid w:val="00997906"/>
    <w:rsid w:val="00997AC7"/>
    <w:rsid w:val="009A01C3"/>
    <w:rsid w:val="009A03F8"/>
    <w:rsid w:val="009A053A"/>
    <w:rsid w:val="009A15FA"/>
    <w:rsid w:val="009A1725"/>
    <w:rsid w:val="009A1749"/>
    <w:rsid w:val="009A1E6B"/>
    <w:rsid w:val="009A1EC8"/>
    <w:rsid w:val="009A2C94"/>
    <w:rsid w:val="009A33D2"/>
    <w:rsid w:val="009A3846"/>
    <w:rsid w:val="009A3991"/>
    <w:rsid w:val="009A3A30"/>
    <w:rsid w:val="009A3B7C"/>
    <w:rsid w:val="009A4453"/>
    <w:rsid w:val="009A44B1"/>
    <w:rsid w:val="009A46AB"/>
    <w:rsid w:val="009A4849"/>
    <w:rsid w:val="009A497B"/>
    <w:rsid w:val="009A4EFE"/>
    <w:rsid w:val="009A5040"/>
    <w:rsid w:val="009A5518"/>
    <w:rsid w:val="009A55E7"/>
    <w:rsid w:val="009A5974"/>
    <w:rsid w:val="009A6011"/>
    <w:rsid w:val="009A60D6"/>
    <w:rsid w:val="009A619C"/>
    <w:rsid w:val="009A64FB"/>
    <w:rsid w:val="009A6924"/>
    <w:rsid w:val="009A6BBC"/>
    <w:rsid w:val="009A6E65"/>
    <w:rsid w:val="009A6E99"/>
    <w:rsid w:val="009A70B8"/>
    <w:rsid w:val="009A78B7"/>
    <w:rsid w:val="009B0046"/>
    <w:rsid w:val="009B00E3"/>
    <w:rsid w:val="009B035A"/>
    <w:rsid w:val="009B0420"/>
    <w:rsid w:val="009B04E6"/>
    <w:rsid w:val="009B04EF"/>
    <w:rsid w:val="009B053C"/>
    <w:rsid w:val="009B06AE"/>
    <w:rsid w:val="009B106F"/>
    <w:rsid w:val="009B1E09"/>
    <w:rsid w:val="009B1EFC"/>
    <w:rsid w:val="009B2339"/>
    <w:rsid w:val="009B241A"/>
    <w:rsid w:val="009B250A"/>
    <w:rsid w:val="009B2678"/>
    <w:rsid w:val="009B29DE"/>
    <w:rsid w:val="009B2C7A"/>
    <w:rsid w:val="009B2D5A"/>
    <w:rsid w:val="009B2FEE"/>
    <w:rsid w:val="009B30E2"/>
    <w:rsid w:val="009B325D"/>
    <w:rsid w:val="009B33B4"/>
    <w:rsid w:val="009B3CFB"/>
    <w:rsid w:val="009B3E80"/>
    <w:rsid w:val="009B400D"/>
    <w:rsid w:val="009B45D2"/>
    <w:rsid w:val="009B48CC"/>
    <w:rsid w:val="009B4B8B"/>
    <w:rsid w:val="009B4BDB"/>
    <w:rsid w:val="009B4DE5"/>
    <w:rsid w:val="009B51EB"/>
    <w:rsid w:val="009B52AA"/>
    <w:rsid w:val="009B5BEA"/>
    <w:rsid w:val="009B5DE1"/>
    <w:rsid w:val="009B5FE4"/>
    <w:rsid w:val="009B68AB"/>
    <w:rsid w:val="009B6AC1"/>
    <w:rsid w:val="009B77D7"/>
    <w:rsid w:val="009B7A33"/>
    <w:rsid w:val="009C045C"/>
    <w:rsid w:val="009C08C0"/>
    <w:rsid w:val="009C0ABF"/>
    <w:rsid w:val="009C1AB2"/>
    <w:rsid w:val="009C1E69"/>
    <w:rsid w:val="009C20A6"/>
    <w:rsid w:val="009C2536"/>
    <w:rsid w:val="009C2619"/>
    <w:rsid w:val="009C265E"/>
    <w:rsid w:val="009C26DB"/>
    <w:rsid w:val="009C2896"/>
    <w:rsid w:val="009C2B93"/>
    <w:rsid w:val="009C2CDC"/>
    <w:rsid w:val="009C3B8C"/>
    <w:rsid w:val="009C3DCC"/>
    <w:rsid w:val="009C44AF"/>
    <w:rsid w:val="009C4E27"/>
    <w:rsid w:val="009C5AE7"/>
    <w:rsid w:val="009C67E6"/>
    <w:rsid w:val="009C722C"/>
    <w:rsid w:val="009C7D49"/>
    <w:rsid w:val="009C7D4C"/>
    <w:rsid w:val="009C7FDF"/>
    <w:rsid w:val="009D00AC"/>
    <w:rsid w:val="009D03B2"/>
    <w:rsid w:val="009D053D"/>
    <w:rsid w:val="009D084D"/>
    <w:rsid w:val="009D093C"/>
    <w:rsid w:val="009D127E"/>
    <w:rsid w:val="009D159A"/>
    <w:rsid w:val="009D19B2"/>
    <w:rsid w:val="009D1A1C"/>
    <w:rsid w:val="009D1AD5"/>
    <w:rsid w:val="009D2B8A"/>
    <w:rsid w:val="009D2C3B"/>
    <w:rsid w:val="009D2DC6"/>
    <w:rsid w:val="009D3267"/>
    <w:rsid w:val="009D3422"/>
    <w:rsid w:val="009D3484"/>
    <w:rsid w:val="009D352D"/>
    <w:rsid w:val="009D35FC"/>
    <w:rsid w:val="009D3C54"/>
    <w:rsid w:val="009D3D61"/>
    <w:rsid w:val="009D43C8"/>
    <w:rsid w:val="009D531E"/>
    <w:rsid w:val="009D567B"/>
    <w:rsid w:val="009D5882"/>
    <w:rsid w:val="009D59D0"/>
    <w:rsid w:val="009D5E80"/>
    <w:rsid w:val="009D5ED5"/>
    <w:rsid w:val="009D5F2C"/>
    <w:rsid w:val="009D62D1"/>
    <w:rsid w:val="009D670E"/>
    <w:rsid w:val="009D6ADD"/>
    <w:rsid w:val="009D7628"/>
    <w:rsid w:val="009D767C"/>
    <w:rsid w:val="009D7D18"/>
    <w:rsid w:val="009E0319"/>
    <w:rsid w:val="009E049B"/>
    <w:rsid w:val="009E0C0E"/>
    <w:rsid w:val="009E10D5"/>
    <w:rsid w:val="009E1125"/>
    <w:rsid w:val="009E16D2"/>
    <w:rsid w:val="009E1F12"/>
    <w:rsid w:val="009E227E"/>
    <w:rsid w:val="009E2563"/>
    <w:rsid w:val="009E2586"/>
    <w:rsid w:val="009E25B9"/>
    <w:rsid w:val="009E2A09"/>
    <w:rsid w:val="009E2ED0"/>
    <w:rsid w:val="009E30CF"/>
    <w:rsid w:val="009E3404"/>
    <w:rsid w:val="009E352F"/>
    <w:rsid w:val="009E4759"/>
    <w:rsid w:val="009E525C"/>
    <w:rsid w:val="009E5BEC"/>
    <w:rsid w:val="009E61FE"/>
    <w:rsid w:val="009E62E0"/>
    <w:rsid w:val="009E6B85"/>
    <w:rsid w:val="009E6BB7"/>
    <w:rsid w:val="009E75AF"/>
    <w:rsid w:val="009E75CE"/>
    <w:rsid w:val="009E79CD"/>
    <w:rsid w:val="009E7D3A"/>
    <w:rsid w:val="009F07B9"/>
    <w:rsid w:val="009F08D9"/>
    <w:rsid w:val="009F0CC6"/>
    <w:rsid w:val="009F1885"/>
    <w:rsid w:val="009F1935"/>
    <w:rsid w:val="009F1CC8"/>
    <w:rsid w:val="009F1CCD"/>
    <w:rsid w:val="009F1EB7"/>
    <w:rsid w:val="009F2022"/>
    <w:rsid w:val="009F2085"/>
    <w:rsid w:val="009F25B0"/>
    <w:rsid w:val="009F25D3"/>
    <w:rsid w:val="009F288B"/>
    <w:rsid w:val="009F2E8E"/>
    <w:rsid w:val="009F32A9"/>
    <w:rsid w:val="009F37A5"/>
    <w:rsid w:val="009F42FB"/>
    <w:rsid w:val="009F4539"/>
    <w:rsid w:val="009F49A7"/>
    <w:rsid w:val="009F4ACD"/>
    <w:rsid w:val="009F4D07"/>
    <w:rsid w:val="009F5213"/>
    <w:rsid w:val="009F52D6"/>
    <w:rsid w:val="009F57F1"/>
    <w:rsid w:val="009F5C1D"/>
    <w:rsid w:val="009F5D04"/>
    <w:rsid w:val="009F6830"/>
    <w:rsid w:val="009F6B26"/>
    <w:rsid w:val="009F6CDA"/>
    <w:rsid w:val="009F6E1C"/>
    <w:rsid w:val="009F6E88"/>
    <w:rsid w:val="009F6FC5"/>
    <w:rsid w:val="009F7437"/>
    <w:rsid w:val="009F7D53"/>
    <w:rsid w:val="009F7D97"/>
    <w:rsid w:val="00A00D2B"/>
    <w:rsid w:val="00A01279"/>
    <w:rsid w:val="00A01349"/>
    <w:rsid w:val="00A01961"/>
    <w:rsid w:val="00A0199B"/>
    <w:rsid w:val="00A01BEF"/>
    <w:rsid w:val="00A0220C"/>
    <w:rsid w:val="00A028D0"/>
    <w:rsid w:val="00A02D52"/>
    <w:rsid w:val="00A031B0"/>
    <w:rsid w:val="00A03466"/>
    <w:rsid w:val="00A035AE"/>
    <w:rsid w:val="00A03935"/>
    <w:rsid w:val="00A046B8"/>
    <w:rsid w:val="00A04941"/>
    <w:rsid w:val="00A05044"/>
    <w:rsid w:val="00A0526A"/>
    <w:rsid w:val="00A05473"/>
    <w:rsid w:val="00A05FA2"/>
    <w:rsid w:val="00A06016"/>
    <w:rsid w:val="00A06454"/>
    <w:rsid w:val="00A068A1"/>
    <w:rsid w:val="00A06AA4"/>
    <w:rsid w:val="00A06D93"/>
    <w:rsid w:val="00A06FFE"/>
    <w:rsid w:val="00A0712E"/>
    <w:rsid w:val="00A10CFD"/>
    <w:rsid w:val="00A10D2E"/>
    <w:rsid w:val="00A1122E"/>
    <w:rsid w:val="00A127DF"/>
    <w:rsid w:val="00A12C2F"/>
    <w:rsid w:val="00A12D00"/>
    <w:rsid w:val="00A12F40"/>
    <w:rsid w:val="00A1328E"/>
    <w:rsid w:val="00A1458D"/>
    <w:rsid w:val="00A14BF6"/>
    <w:rsid w:val="00A150D2"/>
    <w:rsid w:val="00A15937"/>
    <w:rsid w:val="00A15A29"/>
    <w:rsid w:val="00A15C5D"/>
    <w:rsid w:val="00A16105"/>
    <w:rsid w:val="00A16287"/>
    <w:rsid w:val="00A1640E"/>
    <w:rsid w:val="00A1644B"/>
    <w:rsid w:val="00A17811"/>
    <w:rsid w:val="00A17EE8"/>
    <w:rsid w:val="00A20087"/>
    <w:rsid w:val="00A2008F"/>
    <w:rsid w:val="00A200F7"/>
    <w:rsid w:val="00A21417"/>
    <w:rsid w:val="00A216E3"/>
    <w:rsid w:val="00A21899"/>
    <w:rsid w:val="00A21AD4"/>
    <w:rsid w:val="00A21CB0"/>
    <w:rsid w:val="00A21D56"/>
    <w:rsid w:val="00A21FE1"/>
    <w:rsid w:val="00A224D0"/>
    <w:rsid w:val="00A228D2"/>
    <w:rsid w:val="00A2294F"/>
    <w:rsid w:val="00A237A3"/>
    <w:rsid w:val="00A2387B"/>
    <w:rsid w:val="00A23935"/>
    <w:rsid w:val="00A23B45"/>
    <w:rsid w:val="00A24E75"/>
    <w:rsid w:val="00A25E85"/>
    <w:rsid w:val="00A2607A"/>
    <w:rsid w:val="00A2642D"/>
    <w:rsid w:val="00A26578"/>
    <w:rsid w:val="00A26BAB"/>
    <w:rsid w:val="00A26EF3"/>
    <w:rsid w:val="00A26F04"/>
    <w:rsid w:val="00A270BD"/>
    <w:rsid w:val="00A274BB"/>
    <w:rsid w:val="00A277D1"/>
    <w:rsid w:val="00A27A17"/>
    <w:rsid w:val="00A27A44"/>
    <w:rsid w:val="00A27A4E"/>
    <w:rsid w:val="00A27D02"/>
    <w:rsid w:val="00A30201"/>
    <w:rsid w:val="00A303AD"/>
    <w:rsid w:val="00A306B6"/>
    <w:rsid w:val="00A30AB7"/>
    <w:rsid w:val="00A30F40"/>
    <w:rsid w:val="00A311E6"/>
    <w:rsid w:val="00A3184C"/>
    <w:rsid w:val="00A318CB"/>
    <w:rsid w:val="00A31DC5"/>
    <w:rsid w:val="00A31E2A"/>
    <w:rsid w:val="00A3221F"/>
    <w:rsid w:val="00A32334"/>
    <w:rsid w:val="00A3279E"/>
    <w:rsid w:val="00A328FC"/>
    <w:rsid w:val="00A329B0"/>
    <w:rsid w:val="00A32E4E"/>
    <w:rsid w:val="00A33951"/>
    <w:rsid w:val="00A3398A"/>
    <w:rsid w:val="00A34831"/>
    <w:rsid w:val="00A34B42"/>
    <w:rsid w:val="00A34FFF"/>
    <w:rsid w:val="00A35F81"/>
    <w:rsid w:val="00A35F83"/>
    <w:rsid w:val="00A36791"/>
    <w:rsid w:val="00A36A7F"/>
    <w:rsid w:val="00A36BDC"/>
    <w:rsid w:val="00A36BE1"/>
    <w:rsid w:val="00A36CB2"/>
    <w:rsid w:val="00A37133"/>
    <w:rsid w:val="00A37165"/>
    <w:rsid w:val="00A37A39"/>
    <w:rsid w:val="00A37A75"/>
    <w:rsid w:val="00A37D34"/>
    <w:rsid w:val="00A40024"/>
    <w:rsid w:val="00A40152"/>
    <w:rsid w:val="00A40482"/>
    <w:rsid w:val="00A40596"/>
    <w:rsid w:val="00A4089E"/>
    <w:rsid w:val="00A40954"/>
    <w:rsid w:val="00A412D8"/>
    <w:rsid w:val="00A41357"/>
    <w:rsid w:val="00A4141C"/>
    <w:rsid w:val="00A41A14"/>
    <w:rsid w:val="00A41D95"/>
    <w:rsid w:val="00A41DCC"/>
    <w:rsid w:val="00A42319"/>
    <w:rsid w:val="00A43044"/>
    <w:rsid w:val="00A43596"/>
    <w:rsid w:val="00A43A7A"/>
    <w:rsid w:val="00A44168"/>
    <w:rsid w:val="00A44208"/>
    <w:rsid w:val="00A4426B"/>
    <w:rsid w:val="00A44A57"/>
    <w:rsid w:val="00A451B2"/>
    <w:rsid w:val="00A45297"/>
    <w:rsid w:val="00A45EF4"/>
    <w:rsid w:val="00A46141"/>
    <w:rsid w:val="00A46484"/>
    <w:rsid w:val="00A46A23"/>
    <w:rsid w:val="00A46B51"/>
    <w:rsid w:val="00A47614"/>
    <w:rsid w:val="00A476BD"/>
    <w:rsid w:val="00A478D2"/>
    <w:rsid w:val="00A50012"/>
    <w:rsid w:val="00A51524"/>
    <w:rsid w:val="00A5188A"/>
    <w:rsid w:val="00A51BD5"/>
    <w:rsid w:val="00A51FDE"/>
    <w:rsid w:val="00A52122"/>
    <w:rsid w:val="00A521BF"/>
    <w:rsid w:val="00A5234A"/>
    <w:rsid w:val="00A5245E"/>
    <w:rsid w:val="00A52700"/>
    <w:rsid w:val="00A52919"/>
    <w:rsid w:val="00A52C8F"/>
    <w:rsid w:val="00A53280"/>
    <w:rsid w:val="00A53870"/>
    <w:rsid w:val="00A53C46"/>
    <w:rsid w:val="00A53E93"/>
    <w:rsid w:val="00A5415D"/>
    <w:rsid w:val="00A54C6C"/>
    <w:rsid w:val="00A54F46"/>
    <w:rsid w:val="00A54FF3"/>
    <w:rsid w:val="00A55562"/>
    <w:rsid w:val="00A55BFE"/>
    <w:rsid w:val="00A5627F"/>
    <w:rsid w:val="00A56314"/>
    <w:rsid w:val="00A563DD"/>
    <w:rsid w:val="00A56B4D"/>
    <w:rsid w:val="00A56E6A"/>
    <w:rsid w:val="00A56F33"/>
    <w:rsid w:val="00A57A89"/>
    <w:rsid w:val="00A60D75"/>
    <w:rsid w:val="00A61000"/>
    <w:rsid w:val="00A6103D"/>
    <w:rsid w:val="00A6243B"/>
    <w:rsid w:val="00A62677"/>
    <w:rsid w:val="00A62E47"/>
    <w:rsid w:val="00A63250"/>
    <w:rsid w:val="00A6389F"/>
    <w:rsid w:val="00A63B18"/>
    <w:rsid w:val="00A63D01"/>
    <w:rsid w:val="00A63ECF"/>
    <w:rsid w:val="00A63F62"/>
    <w:rsid w:val="00A64492"/>
    <w:rsid w:val="00A6475E"/>
    <w:rsid w:val="00A64C3D"/>
    <w:rsid w:val="00A6525E"/>
    <w:rsid w:val="00A652B0"/>
    <w:rsid w:val="00A657F6"/>
    <w:rsid w:val="00A65A4F"/>
    <w:rsid w:val="00A65D22"/>
    <w:rsid w:val="00A66148"/>
    <w:rsid w:val="00A66979"/>
    <w:rsid w:val="00A66FAB"/>
    <w:rsid w:val="00A67242"/>
    <w:rsid w:val="00A673F4"/>
    <w:rsid w:val="00A679CD"/>
    <w:rsid w:val="00A67A0E"/>
    <w:rsid w:val="00A67D36"/>
    <w:rsid w:val="00A67E3F"/>
    <w:rsid w:val="00A7029E"/>
    <w:rsid w:val="00A705AB"/>
    <w:rsid w:val="00A70639"/>
    <w:rsid w:val="00A70A7A"/>
    <w:rsid w:val="00A70AEB"/>
    <w:rsid w:val="00A70BF0"/>
    <w:rsid w:val="00A7189F"/>
    <w:rsid w:val="00A718BE"/>
    <w:rsid w:val="00A71C8C"/>
    <w:rsid w:val="00A71E1B"/>
    <w:rsid w:val="00A7214E"/>
    <w:rsid w:val="00A7216A"/>
    <w:rsid w:val="00A72766"/>
    <w:rsid w:val="00A72F8E"/>
    <w:rsid w:val="00A7398B"/>
    <w:rsid w:val="00A73FDA"/>
    <w:rsid w:val="00A7415F"/>
    <w:rsid w:val="00A74553"/>
    <w:rsid w:val="00A745B4"/>
    <w:rsid w:val="00A74806"/>
    <w:rsid w:val="00A7531C"/>
    <w:rsid w:val="00A75450"/>
    <w:rsid w:val="00A75705"/>
    <w:rsid w:val="00A75D3B"/>
    <w:rsid w:val="00A76056"/>
    <w:rsid w:val="00A76561"/>
    <w:rsid w:val="00A769AB"/>
    <w:rsid w:val="00A76C33"/>
    <w:rsid w:val="00A7701B"/>
    <w:rsid w:val="00A774F8"/>
    <w:rsid w:val="00A77C38"/>
    <w:rsid w:val="00A8035B"/>
    <w:rsid w:val="00A806C8"/>
    <w:rsid w:val="00A80F8B"/>
    <w:rsid w:val="00A810EE"/>
    <w:rsid w:val="00A82CE8"/>
    <w:rsid w:val="00A82F82"/>
    <w:rsid w:val="00A833DC"/>
    <w:rsid w:val="00A833E2"/>
    <w:rsid w:val="00A83620"/>
    <w:rsid w:val="00A83629"/>
    <w:rsid w:val="00A83E0B"/>
    <w:rsid w:val="00A84529"/>
    <w:rsid w:val="00A84942"/>
    <w:rsid w:val="00A84F80"/>
    <w:rsid w:val="00A8559C"/>
    <w:rsid w:val="00A855A2"/>
    <w:rsid w:val="00A8606F"/>
    <w:rsid w:val="00A8731B"/>
    <w:rsid w:val="00A874C4"/>
    <w:rsid w:val="00A87898"/>
    <w:rsid w:val="00A87948"/>
    <w:rsid w:val="00A87AF7"/>
    <w:rsid w:val="00A87EA0"/>
    <w:rsid w:val="00A87F2F"/>
    <w:rsid w:val="00A90103"/>
    <w:rsid w:val="00A90369"/>
    <w:rsid w:val="00A905D1"/>
    <w:rsid w:val="00A907CC"/>
    <w:rsid w:val="00A9105E"/>
    <w:rsid w:val="00A91368"/>
    <w:rsid w:val="00A919A5"/>
    <w:rsid w:val="00A91E3A"/>
    <w:rsid w:val="00A91E71"/>
    <w:rsid w:val="00A9292A"/>
    <w:rsid w:val="00A929F8"/>
    <w:rsid w:val="00A92C82"/>
    <w:rsid w:val="00A92D3F"/>
    <w:rsid w:val="00A93017"/>
    <w:rsid w:val="00A93116"/>
    <w:rsid w:val="00A935DB"/>
    <w:rsid w:val="00A93795"/>
    <w:rsid w:val="00A9393A"/>
    <w:rsid w:val="00A941D2"/>
    <w:rsid w:val="00A94581"/>
    <w:rsid w:val="00A94624"/>
    <w:rsid w:val="00A946AC"/>
    <w:rsid w:val="00A94A5C"/>
    <w:rsid w:val="00A95234"/>
    <w:rsid w:val="00A95810"/>
    <w:rsid w:val="00A96010"/>
    <w:rsid w:val="00A96416"/>
    <w:rsid w:val="00A967F9"/>
    <w:rsid w:val="00A96B13"/>
    <w:rsid w:val="00A96B7F"/>
    <w:rsid w:val="00A96F89"/>
    <w:rsid w:val="00A96FA5"/>
    <w:rsid w:val="00A979F2"/>
    <w:rsid w:val="00A97F1C"/>
    <w:rsid w:val="00AA012E"/>
    <w:rsid w:val="00AA04AD"/>
    <w:rsid w:val="00AA09E3"/>
    <w:rsid w:val="00AA1495"/>
    <w:rsid w:val="00AA1769"/>
    <w:rsid w:val="00AA1771"/>
    <w:rsid w:val="00AA1950"/>
    <w:rsid w:val="00AA19A6"/>
    <w:rsid w:val="00AA19F5"/>
    <w:rsid w:val="00AA1AD7"/>
    <w:rsid w:val="00AA27BF"/>
    <w:rsid w:val="00AA2AD2"/>
    <w:rsid w:val="00AA2B59"/>
    <w:rsid w:val="00AA39FD"/>
    <w:rsid w:val="00AA3AFD"/>
    <w:rsid w:val="00AA4259"/>
    <w:rsid w:val="00AA4AB9"/>
    <w:rsid w:val="00AA4C91"/>
    <w:rsid w:val="00AA4D04"/>
    <w:rsid w:val="00AA4E99"/>
    <w:rsid w:val="00AA527B"/>
    <w:rsid w:val="00AA6802"/>
    <w:rsid w:val="00AA6AA4"/>
    <w:rsid w:val="00AA6EE0"/>
    <w:rsid w:val="00AA788A"/>
    <w:rsid w:val="00AA79AE"/>
    <w:rsid w:val="00AA7D5E"/>
    <w:rsid w:val="00AB0249"/>
    <w:rsid w:val="00AB0CE4"/>
    <w:rsid w:val="00AB0DBA"/>
    <w:rsid w:val="00AB0FCF"/>
    <w:rsid w:val="00AB1180"/>
    <w:rsid w:val="00AB172C"/>
    <w:rsid w:val="00AB1986"/>
    <w:rsid w:val="00AB1B27"/>
    <w:rsid w:val="00AB26F6"/>
    <w:rsid w:val="00AB27E0"/>
    <w:rsid w:val="00AB2D43"/>
    <w:rsid w:val="00AB2D58"/>
    <w:rsid w:val="00AB2E88"/>
    <w:rsid w:val="00AB335C"/>
    <w:rsid w:val="00AB36A6"/>
    <w:rsid w:val="00AB3F31"/>
    <w:rsid w:val="00AB4243"/>
    <w:rsid w:val="00AB45F1"/>
    <w:rsid w:val="00AB4E23"/>
    <w:rsid w:val="00AB54F9"/>
    <w:rsid w:val="00AB5528"/>
    <w:rsid w:val="00AB5A82"/>
    <w:rsid w:val="00AB63D1"/>
    <w:rsid w:val="00AB640D"/>
    <w:rsid w:val="00AB647C"/>
    <w:rsid w:val="00AB66A0"/>
    <w:rsid w:val="00AB6725"/>
    <w:rsid w:val="00AB6793"/>
    <w:rsid w:val="00AB6FD0"/>
    <w:rsid w:val="00AB716E"/>
    <w:rsid w:val="00AB71B4"/>
    <w:rsid w:val="00AB75ED"/>
    <w:rsid w:val="00AB76F1"/>
    <w:rsid w:val="00AB7DC5"/>
    <w:rsid w:val="00AC0117"/>
    <w:rsid w:val="00AC01E6"/>
    <w:rsid w:val="00AC02F3"/>
    <w:rsid w:val="00AC0523"/>
    <w:rsid w:val="00AC063E"/>
    <w:rsid w:val="00AC09A6"/>
    <w:rsid w:val="00AC0EE0"/>
    <w:rsid w:val="00AC0F2D"/>
    <w:rsid w:val="00AC10E8"/>
    <w:rsid w:val="00AC15B9"/>
    <w:rsid w:val="00AC1DE4"/>
    <w:rsid w:val="00AC2502"/>
    <w:rsid w:val="00AC2CF5"/>
    <w:rsid w:val="00AC2E1C"/>
    <w:rsid w:val="00AC2FE5"/>
    <w:rsid w:val="00AC3229"/>
    <w:rsid w:val="00AC35B4"/>
    <w:rsid w:val="00AC3C2C"/>
    <w:rsid w:val="00AC42BE"/>
    <w:rsid w:val="00AC435A"/>
    <w:rsid w:val="00AC493D"/>
    <w:rsid w:val="00AC49DF"/>
    <w:rsid w:val="00AC4BC4"/>
    <w:rsid w:val="00AC5927"/>
    <w:rsid w:val="00AC5A8C"/>
    <w:rsid w:val="00AC5ADE"/>
    <w:rsid w:val="00AC5D6B"/>
    <w:rsid w:val="00AC60FE"/>
    <w:rsid w:val="00AC65B2"/>
    <w:rsid w:val="00AC6865"/>
    <w:rsid w:val="00AC69AA"/>
    <w:rsid w:val="00AC6B84"/>
    <w:rsid w:val="00AC6E19"/>
    <w:rsid w:val="00AC774B"/>
    <w:rsid w:val="00AD0082"/>
    <w:rsid w:val="00AD00E8"/>
    <w:rsid w:val="00AD01AD"/>
    <w:rsid w:val="00AD01B6"/>
    <w:rsid w:val="00AD0922"/>
    <w:rsid w:val="00AD0DA6"/>
    <w:rsid w:val="00AD1B42"/>
    <w:rsid w:val="00AD1CB7"/>
    <w:rsid w:val="00AD267A"/>
    <w:rsid w:val="00AD2A96"/>
    <w:rsid w:val="00AD3057"/>
    <w:rsid w:val="00AD3700"/>
    <w:rsid w:val="00AD4012"/>
    <w:rsid w:val="00AD42F3"/>
    <w:rsid w:val="00AD4C68"/>
    <w:rsid w:val="00AD4E8E"/>
    <w:rsid w:val="00AD50E5"/>
    <w:rsid w:val="00AD554C"/>
    <w:rsid w:val="00AD5B5D"/>
    <w:rsid w:val="00AD672E"/>
    <w:rsid w:val="00AD67D8"/>
    <w:rsid w:val="00AD6A01"/>
    <w:rsid w:val="00AD6A31"/>
    <w:rsid w:val="00AD6C09"/>
    <w:rsid w:val="00AD6F1E"/>
    <w:rsid w:val="00AD6FF1"/>
    <w:rsid w:val="00AD7343"/>
    <w:rsid w:val="00AD74BC"/>
    <w:rsid w:val="00AD7D65"/>
    <w:rsid w:val="00AE01B9"/>
    <w:rsid w:val="00AE01F8"/>
    <w:rsid w:val="00AE037B"/>
    <w:rsid w:val="00AE0622"/>
    <w:rsid w:val="00AE11DD"/>
    <w:rsid w:val="00AE1721"/>
    <w:rsid w:val="00AE18E8"/>
    <w:rsid w:val="00AE1A2F"/>
    <w:rsid w:val="00AE1B94"/>
    <w:rsid w:val="00AE25D8"/>
    <w:rsid w:val="00AE2859"/>
    <w:rsid w:val="00AE2D45"/>
    <w:rsid w:val="00AE3020"/>
    <w:rsid w:val="00AE33AE"/>
    <w:rsid w:val="00AE351E"/>
    <w:rsid w:val="00AE3566"/>
    <w:rsid w:val="00AE3B40"/>
    <w:rsid w:val="00AE3D44"/>
    <w:rsid w:val="00AE3DEC"/>
    <w:rsid w:val="00AE3E1C"/>
    <w:rsid w:val="00AE3F0F"/>
    <w:rsid w:val="00AE4040"/>
    <w:rsid w:val="00AE4060"/>
    <w:rsid w:val="00AE45B7"/>
    <w:rsid w:val="00AE4705"/>
    <w:rsid w:val="00AE4B54"/>
    <w:rsid w:val="00AE4B69"/>
    <w:rsid w:val="00AE4CC8"/>
    <w:rsid w:val="00AE51A1"/>
    <w:rsid w:val="00AE5589"/>
    <w:rsid w:val="00AE5D6E"/>
    <w:rsid w:val="00AE67B6"/>
    <w:rsid w:val="00AE6880"/>
    <w:rsid w:val="00AE68D8"/>
    <w:rsid w:val="00AE75E7"/>
    <w:rsid w:val="00AE78B8"/>
    <w:rsid w:val="00AE7B79"/>
    <w:rsid w:val="00AE7E3A"/>
    <w:rsid w:val="00AF034D"/>
    <w:rsid w:val="00AF0357"/>
    <w:rsid w:val="00AF091C"/>
    <w:rsid w:val="00AF0CB4"/>
    <w:rsid w:val="00AF0DDF"/>
    <w:rsid w:val="00AF0F38"/>
    <w:rsid w:val="00AF17D3"/>
    <w:rsid w:val="00AF1857"/>
    <w:rsid w:val="00AF1D8E"/>
    <w:rsid w:val="00AF2040"/>
    <w:rsid w:val="00AF2147"/>
    <w:rsid w:val="00AF21D5"/>
    <w:rsid w:val="00AF21E9"/>
    <w:rsid w:val="00AF25A3"/>
    <w:rsid w:val="00AF28B9"/>
    <w:rsid w:val="00AF28C8"/>
    <w:rsid w:val="00AF31CD"/>
    <w:rsid w:val="00AF353F"/>
    <w:rsid w:val="00AF4537"/>
    <w:rsid w:val="00AF48B7"/>
    <w:rsid w:val="00AF4D58"/>
    <w:rsid w:val="00AF4ED3"/>
    <w:rsid w:val="00AF5638"/>
    <w:rsid w:val="00AF583B"/>
    <w:rsid w:val="00AF5F3A"/>
    <w:rsid w:val="00AF619C"/>
    <w:rsid w:val="00AF64EC"/>
    <w:rsid w:val="00AF68DD"/>
    <w:rsid w:val="00AF6E02"/>
    <w:rsid w:val="00AF6ECA"/>
    <w:rsid w:val="00AF71CA"/>
    <w:rsid w:val="00AF7345"/>
    <w:rsid w:val="00AF7573"/>
    <w:rsid w:val="00AF786B"/>
    <w:rsid w:val="00AF79E9"/>
    <w:rsid w:val="00AF7F7D"/>
    <w:rsid w:val="00B00798"/>
    <w:rsid w:val="00B00D59"/>
    <w:rsid w:val="00B00F33"/>
    <w:rsid w:val="00B013B1"/>
    <w:rsid w:val="00B01752"/>
    <w:rsid w:val="00B0191B"/>
    <w:rsid w:val="00B01FEC"/>
    <w:rsid w:val="00B02028"/>
    <w:rsid w:val="00B0241E"/>
    <w:rsid w:val="00B02C4B"/>
    <w:rsid w:val="00B0324B"/>
    <w:rsid w:val="00B03BC8"/>
    <w:rsid w:val="00B03EB0"/>
    <w:rsid w:val="00B04169"/>
    <w:rsid w:val="00B044B4"/>
    <w:rsid w:val="00B04AE0"/>
    <w:rsid w:val="00B05249"/>
    <w:rsid w:val="00B058B8"/>
    <w:rsid w:val="00B05D9B"/>
    <w:rsid w:val="00B0619D"/>
    <w:rsid w:val="00B06698"/>
    <w:rsid w:val="00B06B09"/>
    <w:rsid w:val="00B06ED3"/>
    <w:rsid w:val="00B07E87"/>
    <w:rsid w:val="00B101AE"/>
    <w:rsid w:val="00B1047B"/>
    <w:rsid w:val="00B1091A"/>
    <w:rsid w:val="00B10E78"/>
    <w:rsid w:val="00B1128D"/>
    <w:rsid w:val="00B1157B"/>
    <w:rsid w:val="00B11EAE"/>
    <w:rsid w:val="00B12434"/>
    <w:rsid w:val="00B12556"/>
    <w:rsid w:val="00B12A0B"/>
    <w:rsid w:val="00B12B69"/>
    <w:rsid w:val="00B1349E"/>
    <w:rsid w:val="00B13503"/>
    <w:rsid w:val="00B13980"/>
    <w:rsid w:val="00B143FD"/>
    <w:rsid w:val="00B14488"/>
    <w:rsid w:val="00B146C6"/>
    <w:rsid w:val="00B14F5C"/>
    <w:rsid w:val="00B151BE"/>
    <w:rsid w:val="00B15598"/>
    <w:rsid w:val="00B15931"/>
    <w:rsid w:val="00B15956"/>
    <w:rsid w:val="00B15BA0"/>
    <w:rsid w:val="00B16115"/>
    <w:rsid w:val="00B162A7"/>
    <w:rsid w:val="00B16382"/>
    <w:rsid w:val="00B1666C"/>
    <w:rsid w:val="00B16FB0"/>
    <w:rsid w:val="00B1761C"/>
    <w:rsid w:val="00B17984"/>
    <w:rsid w:val="00B17A7A"/>
    <w:rsid w:val="00B2173F"/>
    <w:rsid w:val="00B2195D"/>
    <w:rsid w:val="00B21ADD"/>
    <w:rsid w:val="00B22658"/>
    <w:rsid w:val="00B228DE"/>
    <w:rsid w:val="00B228F0"/>
    <w:rsid w:val="00B22AC4"/>
    <w:rsid w:val="00B23778"/>
    <w:rsid w:val="00B2403D"/>
    <w:rsid w:val="00B241C0"/>
    <w:rsid w:val="00B24D1C"/>
    <w:rsid w:val="00B25AD0"/>
    <w:rsid w:val="00B25B5B"/>
    <w:rsid w:val="00B25B5E"/>
    <w:rsid w:val="00B2670E"/>
    <w:rsid w:val="00B267D6"/>
    <w:rsid w:val="00B2680D"/>
    <w:rsid w:val="00B27475"/>
    <w:rsid w:val="00B2763F"/>
    <w:rsid w:val="00B27829"/>
    <w:rsid w:val="00B27C75"/>
    <w:rsid w:val="00B27F12"/>
    <w:rsid w:val="00B309EC"/>
    <w:rsid w:val="00B30DA1"/>
    <w:rsid w:val="00B31F03"/>
    <w:rsid w:val="00B322DD"/>
    <w:rsid w:val="00B3243C"/>
    <w:rsid w:val="00B3243F"/>
    <w:rsid w:val="00B3256B"/>
    <w:rsid w:val="00B3277D"/>
    <w:rsid w:val="00B32B72"/>
    <w:rsid w:val="00B32F61"/>
    <w:rsid w:val="00B32FA9"/>
    <w:rsid w:val="00B33775"/>
    <w:rsid w:val="00B33A4C"/>
    <w:rsid w:val="00B33C68"/>
    <w:rsid w:val="00B33F38"/>
    <w:rsid w:val="00B341F3"/>
    <w:rsid w:val="00B352E5"/>
    <w:rsid w:val="00B35473"/>
    <w:rsid w:val="00B35758"/>
    <w:rsid w:val="00B357A9"/>
    <w:rsid w:val="00B35C0F"/>
    <w:rsid w:val="00B36459"/>
    <w:rsid w:val="00B36EA2"/>
    <w:rsid w:val="00B3717C"/>
    <w:rsid w:val="00B37380"/>
    <w:rsid w:val="00B37EAE"/>
    <w:rsid w:val="00B4008C"/>
    <w:rsid w:val="00B40865"/>
    <w:rsid w:val="00B40882"/>
    <w:rsid w:val="00B40939"/>
    <w:rsid w:val="00B40942"/>
    <w:rsid w:val="00B40B0F"/>
    <w:rsid w:val="00B41354"/>
    <w:rsid w:val="00B41449"/>
    <w:rsid w:val="00B41790"/>
    <w:rsid w:val="00B41AE7"/>
    <w:rsid w:val="00B422DE"/>
    <w:rsid w:val="00B42318"/>
    <w:rsid w:val="00B42581"/>
    <w:rsid w:val="00B42821"/>
    <w:rsid w:val="00B431EC"/>
    <w:rsid w:val="00B43B25"/>
    <w:rsid w:val="00B43D1B"/>
    <w:rsid w:val="00B449AB"/>
    <w:rsid w:val="00B44ACA"/>
    <w:rsid w:val="00B44AE0"/>
    <w:rsid w:val="00B45C04"/>
    <w:rsid w:val="00B45CAF"/>
    <w:rsid w:val="00B45ED6"/>
    <w:rsid w:val="00B45FCE"/>
    <w:rsid w:val="00B47668"/>
    <w:rsid w:val="00B47A56"/>
    <w:rsid w:val="00B506D5"/>
    <w:rsid w:val="00B50AE9"/>
    <w:rsid w:val="00B50E5B"/>
    <w:rsid w:val="00B51E48"/>
    <w:rsid w:val="00B51EC2"/>
    <w:rsid w:val="00B51ED1"/>
    <w:rsid w:val="00B51F6C"/>
    <w:rsid w:val="00B52155"/>
    <w:rsid w:val="00B52B4E"/>
    <w:rsid w:val="00B52C70"/>
    <w:rsid w:val="00B52E5D"/>
    <w:rsid w:val="00B52F9C"/>
    <w:rsid w:val="00B531E4"/>
    <w:rsid w:val="00B53A9B"/>
    <w:rsid w:val="00B53C9F"/>
    <w:rsid w:val="00B53F18"/>
    <w:rsid w:val="00B549C9"/>
    <w:rsid w:val="00B551E7"/>
    <w:rsid w:val="00B552D0"/>
    <w:rsid w:val="00B55336"/>
    <w:rsid w:val="00B554A8"/>
    <w:rsid w:val="00B5589B"/>
    <w:rsid w:val="00B56819"/>
    <w:rsid w:val="00B56FC6"/>
    <w:rsid w:val="00B57266"/>
    <w:rsid w:val="00B57940"/>
    <w:rsid w:val="00B57973"/>
    <w:rsid w:val="00B57D0E"/>
    <w:rsid w:val="00B57FE7"/>
    <w:rsid w:val="00B60268"/>
    <w:rsid w:val="00B60870"/>
    <w:rsid w:val="00B60B93"/>
    <w:rsid w:val="00B627C7"/>
    <w:rsid w:val="00B627DA"/>
    <w:rsid w:val="00B62805"/>
    <w:rsid w:val="00B63403"/>
    <w:rsid w:val="00B63619"/>
    <w:rsid w:val="00B6391B"/>
    <w:rsid w:val="00B6399C"/>
    <w:rsid w:val="00B63E8B"/>
    <w:rsid w:val="00B6427B"/>
    <w:rsid w:val="00B64442"/>
    <w:rsid w:val="00B6499B"/>
    <w:rsid w:val="00B64AEA"/>
    <w:rsid w:val="00B64AEC"/>
    <w:rsid w:val="00B65155"/>
    <w:rsid w:val="00B655EA"/>
    <w:rsid w:val="00B65E9C"/>
    <w:rsid w:val="00B66541"/>
    <w:rsid w:val="00B665C6"/>
    <w:rsid w:val="00B66A04"/>
    <w:rsid w:val="00B6759C"/>
    <w:rsid w:val="00B67709"/>
    <w:rsid w:val="00B6798A"/>
    <w:rsid w:val="00B67DE2"/>
    <w:rsid w:val="00B67DE4"/>
    <w:rsid w:val="00B67F19"/>
    <w:rsid w:val="00B70521"/>
    <w:rsid w:val="00B7147A"/>
    <w:rsid w:val="00B72242"/>
    <w:rsid w:val="00B72E61"/>
    <w:rsid w:val="00B7315B"/>
    <w:rsid w:val="00B73243"/>
    <w:rsid w:val="00B73251"/>
    <w:rsid w:val="00B732F2"/>
    <w:rsid w:val="00B73486"/>
    <w:rsid w:val="00B73BB6"/>
    <w:rsid w:val="00B741C3"/>
    <w:rsid w:val="00B741D8"/>
    <w:rsid w:val="00B74DC5"/>
    <w:rsid w:val="00B74E96"/>
    <w:rsid w:val="00B74F78"/>
    <w:rsid w:val="00B75330"/>
    <w:rsid w:val="00B7557D"/>
    <w:rsid w:val="00B758B6"/>
    <w:rsid w:val="00B75C4E"/>
    <w:rsid w:val="00B7619D"/>
    <w:rsid w:val="00B76EF3"/>
    <w:rsid w:val="00B7700B"/>
    <w:rsid w:val="00B774C7"/>
    <w:rsid w:val="00B77DA8"/>
    <w:rsid w:val="00B77DBA"/>
    <w:rsid w:val="00B8047B"/>
    <w:rsid w:val="00B80634"/>
    <w:rsid w:val="00B80D5C"/>
    <w:rsid w:val="00B80DFC"/>
    <w:rsid w:val="00B810C3"/>
    <w:rsid w:val="00B81140"/>
    <w:rsid w:val="00B81836"/>
    <w:rsid w:val="00B81AB2"/>
    <w:rsid w:val="00B81BDC"/>
    <w:rsid w:val="00B82666"/>
    <w:rsid w:val="00B82CB8"/>
    <w:rsid w:val="00B82D53"/>
    <w:rsid w:val="00B831F3"/>
    <w:rsid w:val="00B836D8"/>
    <w:rsid w:val="00B83872"/>
    <w:rsid w:val="00B83B26"/>
    <w:rsid w:val="00B84165"/>
    <w:rsid w:val="00B8416B"/>
    <w:rsid w:val="00B84184"/>
    <w:rsid w:val="00B84F4C"/>
    <w:rsid w:val="00B8504E"/>
    <w:rsid w:val="00B8512D"/>
    <w:rsid w:val="00B8528E"/>
    <w:rsid w:val="00B85406"/>
    <w:rsid w:val="00B8556B"/>
    <w:rsid w:val="00B85D89"/>
    <w:rsid w:val="00B85F78"/>
    <w:rsid w:val="00B86040"/>
    <w:rsid w:val="00B865BE"/>
    <w:rsid w:val="00B86C29"/>
    <w:rsid w:val="00B86E6F"/>
    <w:rsid w:val="00B872EE"/>
    <w:rsid w:val="00B873A6"/>
    <w:rsid w:val="00B87752"/>
    <w:rsid w:val="00B877C0"/>
    <w:rsid w:val="00B87BBB"/>
    <w:rsid w:val="00B87DCA"/>
    <w:rsid w:val="00B9019F"/>
    <w:rsid w:val="00B90785"/>
    <w:rsid w:val="00B909DD"/>
    <w:rsid w:val="00B90FED"/>
    <w:rsid w:val="00B9124F"/>
    <w:rsid w:val="00B91619"/>
    <w:rsid w:val="00B91A39"/>
    <w:rsid w:val="00B91B0A"/>
    <w:rsid w:val="00B91E13"/>
    <w:rsid w:val="00B91E83"/>
    <w:rsid w:val="00B91F8B"/>
    <w:rsid w:val="00B92169"/>
    <w:rsid w:val="00B92359"/>
    <w:rsid w:val="00B92410"/>
    <w:rsid w:val="00B92464"/>
    <w:rsid w:val="00B92E24"/>
    <w:rsid w:val="00B934DA"/>
    <w:rsid w:val="00B93B11"/>
    <w:rsid w:val="00B93CE3"/>
    <w:rsid w:val="00B945D3"/>
    <w:rsid w:val="00B94E6E"/>
    <w:rsid w:val="00B94FFB"/>
    <w:rsid w:val="00B950AA"/>
    <w:rsid w:val="00B95116"/>
    <w:rsid w:val="00B95B09"/>
    <w:rsid w:val="00B9601B"/>
    <w:rsid w:val="00B962CC"/>
    <w:rsid w:val="00B967AA"/>
    <w:rsid w:val="00B967C1"/>
    <w:rsid w:val="00B96B50"/>
    <w:rsid w:val="00B96D91"/>
    <w:rsid w:val="00B975F1"/>
    <w:rsid w:val="00B97A1C"/>
    <w:rsid w:val="00BA030F"/>
    <w:rsid w:val="00BA0971"/>
    <w:rsid w:val="00BA0A13"/>
    <w:rsid w:val="00BA0C91"/>
    <w:rsid w:val="00BA0F8A"/>
    <w:rsid w:val="00BA1259"/>
    <w:rsid w:val="00BA12F8"/>
    <w:rsid w:val="00BA184E"/>
    <w:rsid w:val="00BA1C3D"/>
    <w:rsid w:val="00BA1D8C"/>
    <w:rsid w:val="00BA282D"/>
    <w:rsid w:val="00BA2B45"/>
    <w:rsid w:val="00BA302B"/>
    <w:rsid w:val="00BA33A8"/>
    <w:rsid w:val="00BA3980"/>
    <w:rsid w:val="00BA3B17"/>
    <w:rsid w:val="00BA3E3B"/>
    <w:rsid w:val="00BA3F19"/>
    <w:rsid w:val="00BA461B"/>
    <w:rsid w:val="00BA4966"/>
    <w:rsid w:val="00BA49C0"/>
    <w:rsid w:val="00BA4C35"/>
    <w:rsid w:val="00BA4CCB"/>
    <w:rsid w:val="00BA4CF6"/>
    <w:rsid w:val="00BA4E34"/>
    <w:rsid w:val="00BA4F9C"/>
    <w:rsid w:val="00BA50A1"/>
    <w:rsid w:val="00BA53F7"/>
    <w:rsid w:val="00BA5404"/>
    <w:rsid w:val="00BA540F"/>
    <w:rsid w:val="00BA578C"/>
    <w:rsid w:val="00BA5946"/>
    <w:rsid w:val="00BA5D7D"/>
    <w:rsid w:val="00BA5ED1"/>
    <w:rsid w:val="00BA62CD"/>
    <w:rsid w:val="00BA6756"/>
    <w:rsid w:val="00BA7386"/>
    <w:rsid w:val="00BA7DCA"/>
    <w:rsid w:val="00BB08FF"/>
    <w:rsid w:val="00BB0BC8"/>
    <w:rsid w:val="00BB0E82"/>
    <w:rsid w:val="00BB0EE0"/>
    <w:rsid w:val="00BB1AFB"/>
    <w:rsid w:val="00BB2168"/>
    <w:rsid w:val="00BB2260"/>
    <w:rsid w:val="00BB2609"/>
    <w:rsid w:val="00BB2812"/>
    <w:rsid w:val="00BB2D5B"/>
    <w:rsid w:val="00BB3129"/>
    <w:rsid w:val="00BB3BF5"/>
    <w:rsid w:val="00BB3F5D"/>
    <w:rsid w:val="00BB4225"/>
    <w:rsid w:val="00BB4BEF"/>
    <w:rsid w:val="00BB4C3E"/>
    <w:rsid w:val="00BB5627"/>
    <w:rsid w:val="00BB5990"/>
    <w:rsid w:val="00BB5ABE"/>
    <w:rsid w:val="00BB6866"/>
    <w:rsid w:val="00BB6A8A"/>
    <w:rsid w:val="00BB6CED"/>
    <w:rsid w:val="00BB6DE9"/>
    <w:rsid w:val="00BB72B3"/>
    <w:rsid w:val="00BB77D1"/>
    <w:rsid w:val="00BB77E9"/>
    <w:rsid w:val="00BC07DD"/>
    <w:rsid w:val="00BC152A"/>
    <w:rsid w:val="00BC1600"/>
    <w:rsid w:val="00BC1BC4"/>
    <w:rsid w:val="00BC1C75"/>
    <w:rsid w:val="00BC247B"/>
    <w:rsid w:val="00BC251A"/>
    <w:rsid w:val="00BC312C"/>
    <w:rsid w:val="00BC372B"/>
    <w:rsid w:val="00BC3861"/>
    <w:rsid w:val="00BC454F"/>
    <w:rsid w:val="00BC4A3E"/>
    <w:rsid w:val="00BC4E82"/>
    <w:rsid w:val="00BC5256"/>
    <w:rsid w:val="00BC6768"/>
    <w:rsid w:val="00BC70C4"/>
    <w:rsid w:val="00BC788F"/>
    <w:rsid w:val="00BC796F"/>
    <w:rsid w:val="00BD019E"/>
    <w:rsid w:val="00BD0480"/>
    <w:rsid w:val="00BD0499"/>
    <w:rsid w:val="00BD0601"/>
    <w:rsid w:val="00BD0F2D"/>
    <w:rsid w:val="00BD13FF"/>
    <w:rsid w:val="00BD19B0"/>
    <w:rsid w:val="00BD19BF"/>
    <w:rsid w:val="00BD1B31"/>
    <w:rsid w:val="00BD206C"/>
    <w:rsid w:val="00BD20E3"/>
    <w:rsid w:val="00BD2BD7"/>
    <w:rsid w:val="00BD2CCD"/>
    <w:rsid w:val="00BD2EFA"/>
    <w:rsid w:val="00BD3121"/>
    <w:rsid w:val="00BD35B0"/>
    <w:rsid w:val="00BD3B09"/>
    <w:rsid w:val="00BD3D12"/>
    <w:rsid w:val="00BD4069"/>
    <w:rsid w:val="00BD419E"/>
    <w:rsid w:val="00BD41E4"/>
    <w:rsid w:val="00BD4454"/>
    <w:rsid w:val="00BD49AB"/>
    <w:rsid w:val="00BD4A8C"/>
    <w:rsid w:val="00BD4D98"/>
    <w:rsid w:val="00BD4E0C"/>
    <w:rsid w:val="00BD5327"/>
    <w:rsid w:val="00BD5469"/>
    <w:rsid w:val="00BD56B3"/>
    <w:rsid w:val="00BD59A1"/>
    <w:rsid w:val="00BD5CBA"/>
    <w:rsid w:val="00BD5D82"/>
    <w:rsid w:val="00BD6059"/>
    <w:rsid w:val="00BD61AC"/>
    <w:rsid w:val="00BD61B2"/>
    <w:rsid w:val="00BD6502"/>
    <w:rsid w:val="00BD68FB"/>
    <w:rsid w:val="00BD7408"/>
    <w:rsid w:val="00BD75CE"/>
    <w:rsid w:val="00BD7640"/>
    <w:rsid w:val="00BD76B1"/>
    <w:rsid w:val="00BD77B6"/>
    <w:rsid w:val="00BD7911"/>
    <w:rsid w:val="00BE0137"/>
    <w:rsid w:val="00BE04A2"/>
    <w:rsid w:val="00BE0F48"/>
    <w:rsid w:val="00BE1596"/>
    <w:rsid w:val="00BE1759"/>
    <w:rsid w:val="00BE1A63"/>
    <w:rsid w:val="00BE1BE0"/>
    <w:rsid w:val="00BE20C4"/>
    <w:rsid w:val="00BE2D66"/>
    <w:rsid w:val="00BE36B3"/>
    <w:rsid w:val="00BE3819"/>
    <w:rsid w:val="00BE3918"/>
    <w:rsid w:val="00BE3BDF"/>
    <w:rsid w:val="00BE3CC8"/>
    <w:rsid w:val="00BE4097"/>
    <w:rsid w:val="00BE4271"/>
    <w:rsid w:val="00BE4373"/>
    <w:rsid w:val="00BE4E62"/>
    <w:rsid w:val="00BE5054"/>
    <w:rsid w:val="00BE5617"/>
    <w:rsid w:val="00BE570C"/>
    <w:rsid w:val="00BE5953"/>
    <w:rsid w:val="00BE6190"/>
    <w:rsid w:val="00BE61B2"/>
    <w:rsid w:val="00BE649E"/>
    <w:rsid w:val="00BE650D"/>
    <w:rsid w:val="00BE6832"/>
    <w:rsid w:val="00BE7226"/>
    <w:rsid w:val="00BE729F"/>
    <w:rsid w:val="00BE7A31"/>
    <w:rsid w:val="00BF05C2"/>
    <w:rsid w:val="00BF098C"/>
    <w:rsid w:val="00BF09FF"/>
    <w:rsid w:val="00BF0A5E"/>
    <w:rsid w:val="00BF0FBA"/>
    <w:rsid w:val="00BF134A"/>
    <w:rsid w:val="00BF13D3"/>
    <w:rsid w:val="00BF1632"/>
    <w:rsid w:val="00BF18BD"/>
    <w:rsid w:val="00BF1D39"/>
    <w:rsid w:val="00BF1D73"/>
    <w:rsid w:val="00BF1E54"/>
    <w:rsid w:val="00BF242E"/>
    <w:rsid w:val="00BF24B8"/>
    <w:rsid w:val="00BF258D"/>
    <w:rsid w:val="00BF3253"/>
    <w:rsid w:val="00BF3A5D"/>
    <w:rsid w:val="00BF3F31"/>
    <w:rsid w:val="00BF4234"/>
    <w:rsid w:val="00BF44C8"/>
    <w:rsid w:val="00BF4878"/>
    <w:rsid w:val="00BF4881"/>
    <w:rsid w:val="00BF4FA8"/>
    <w:rsid w:val="00BF5151"/>
    <w:rsid w:val="00BF5AC0"/>
    <w:rsid w:val="00BF5BE4"/>
    <w:rsid w:val="00BF5DA0"/>
    <w:rsid w:val="00BF6297"/>
    <w:rsid w:val="00BF64CB"/>
    <w:rsid w:val="00BF65A3"/>
    <w:rsid w:val="00BF68D9"/>
    <w:rsid w:val="00BF6965"/>
    <w:rsid w:val="00BF7098"/>
    <w:rsid w:val="00BF72BB"/>
    <w:rsid w:val="00BF761E"/>
    <w:rsid w:val="00BF7629"/>
    <w:rsid w:val="00BF76A9"/>
    <w:rsid w:val="00BF7C48"/>
    <w:rsid w:val="00C00716"/>
    <w:rsid w:val="00C00E2C"/>
    <w:rsid w:val="00C01192"/>
    <w:rsid w:val="00C018CA"/>
    <w:rsid w:val="00C0199E"/>
    <w:rsid w:val="00C01A7A"/>
    <w:rsid w:val="00C01B12"/>
    <w:rsid w:val="00C0229A"/>
    <w:rsid w:val="00C023E2"/>
    <w:rsid w:val="00C026C7"/>
    <w:rsid w:val="00C02E82"/>
    <w:rsid w:val="00C0370E"/>
    <w:rsid w:val="00C0382B"/>
    <w:rsid w:val="00C03E53"/>
    <w:rsid w:val="00C04291"/>
    <w:rsid w:val="00C0431E"/>
    <w:rsid w:val="00C045A9"/>
    <w:rsid w:val="00C045CB"/>
    <w:rsid w:val="00C04B09"/>
    <w:rsid w:val="00C0530B"/>
    <w:rsid w:val="00C05348"/>
    <w:rsid w:val="00C05597"/>
    <w:rsid w:val="00C05BAE"/>
    <w:rsid w:val="00C06EFC"/>
    <w:rsid w:val="00C0711E"/>
    <w:rsid w:val="00C07433"/>
    <w:rsid w:val="00C0777D"/>
    <w:rsid w:val="00C078ED"/>
    <w:rsid w:val="00C07A4F"/>
    <w:rsid w:val="00C10104"/>
    <w:rsid w:val="00C10190"/>
    <w:rsid w:val="00C10ADC"/>
    <w:rsid w:val="00C10BC6"/>
    <w:rsid w:val="00C10C3B"/>
    <w:rsid w:val="00C11200"/>
    <w:rsid w:val="00C115B3"/>
    <w:rsid w:val="00C118EB"/>
    <w:rsid w:val="00C12168"/>
    <w:rsid w:val="00C12864"/>
    <w:rsid w:val="00C1286C"/>
    <w:rsid w:val="00C128AE"/>
    <w:rsid w:val="00C12C92"/>
    <w:rsid w:val="00C13532"/>
    <w:rsid w:val="00C13541"/>
    <w:rsid w:val="00C13547"/>
    <w:rsid w:val="00C13671"/>
    <w:rsid w:val="00C13681"/>
    <w:rsid w:val="00C142CF"/>
    <w:rsid w:val="00C146B0"/>
    <w:rsid w:val="00C1557C"/>
    <w:rsid w:val="00C15729"/>
    <w:rsid w:val="00C15A6A"/>
    <w:rsid w:val="00C15E34"/>
    <w:rsid w:val="00C16101"/>
    <w:rsid w:val="00C16563"/>
    <w:rsid w:val="00C16970"/>
    <w:rsid w:val="00C171A9"/>
    <w:rsid w:val="00C17451"/>
    <w:rsid w:val="00C17469"/>
    <w:rsid w:val="00C1749D"/>
    <w:rsid w:val="00C1753B"/>
    <w:rsid w:val="00C1794E"/>
    <w:rsid w:val="00C17C06"/>
    <w:rsid w:val="00C17EE2"/>
    <w:rsid w:val="00C205FF"/>
    <w:rsid w:val="00C20884"/>
    <w:rsid w:val="00C20A10"/>
    <w:rsid w:val="00C2233A"/>
    <w:rsid w:val="00C22611"/>
    <w:rsid w:val="00C23178"/>
    <w:rsid w:val="00C231EE"/>
    <w:rsid w:val="00C233FB"/>
    <w:rsid w:val="00C24277"/>
    <w:rsid w:val="00C2509B"/>
    <w:rsid w:val="00C259B3"/>
    <w:rsid w:val="00C259C4"/>
    <w:rsid w:val="00C25C14"/>
    <w:rsid w:val="00C25D55"/>
    <w:rsid w:val="00C25ED2"/>
    <w:rsid w:val="00C25FB4"/>
    <w:rsid w:val="00C26158"/>
    <w:rsid w:val="00C2629C"/>
    <w:rsid w:val="00C2648A"/>
    <w:rsid w:val="00C264C1"/>
    <w:rsid w:val="00C27130"/>
    <w:rsid w:val="00C27458"/>
    <w:rsid w:val="00C27555"/>
    <w:rsid w:val="00C275AD"/>
    <w:rsid w:val="00C277A7"/>
    <w:rsid w:val="00C27A71"/>
    <w:rsid w:val="00C27B69"/>
    <w:rsid w:val="00C27E4B"/>
    <w:rsid w:val="00C306C1"/>
    <w:rsid w:val="00C31250"/>
    <w:rsid w:val="00C319ED"/>
    <w:rsid w:val="00C31F36"/>
    <w:rsid w:val="00C320AF"/>
    <w:rsid w:val="00C32309"/>
    <w:rsid w:val="00C32447"/>
    <w:rsid w:val="00C32970"/>
    <w:rsid w:val="00C32CCA"/>
    <w:rsid w:val="00C32D71"/>
    <w:rsid w:val="00C332A5"/>
    <w:rsid w:val="00C3386A"/>
    <w:rsid w:val="00C33C9F"/>
    <w:rsid w:val="00C33FFD"/>
    <w:rsid w:val="00C34015"/>
    <w:rsid w:val="00C34B4D"/>
    <w:rsid w:val="00C34BAE"/>
    <w:rsid w:val="00C34D1C"/>
    <w:rsid w:val="00C34D24"/>
    <w:rsid w:val="00C34E3E"/>
    <w:rsid w:val="00C35127"/>
    <w:rsid w:val="00C351E2"/>
    <w:rsid w:val="00C35584"/>
    <w:rsid w:val="00C35D80"/>
    <w:rsid w:val="00C3655D"/>
    <w:rsid w:val="00C36C13"/>
    <w:rsid w:val="00C36E4C"/>
    <w:rsid w:val="00C36F76"/>
    <w:rsid w:val="00C37D2F"/>
    <w:rsid w:val="00C37F84"/>
    <w:rsid w:val="00C4017D"/>
    <w:rsid w:val="00C4051F"/>
    <w:rsid w:val="00C407BD"/>
    <w:rsid w:val="00C40846"/>
    <w:rsid w:val="00C408E8"/>
    <w:rsid w:val="00C4097D"/>
    <w:rsid w:val="00C40CB5"/>
    <w:rsid w:val="00C40D84"/>
    <w:rsid w:val="00C415DE"/>
    <w:rsid w:val="00C41A4D"/>
    <w:rsid w:val="00C41CC8"/>
    <w:rsid w:val="00C41CFF"/>
    <w:rsid w:val="00C4201D"/>
    <w:rsid w:val="00C42517"/>
    <w:rsid w:val="00C42538"/>
    <w:rsid w:val="00C437F9"/>
    <w:rsid w:val="00C438CD"/>
    <w:rsid w:val="00C43974"/>
    <w:rsid w:val="00C43CC2"/>
    <w:rsid w:val="00C440CE"/>
    <w:rsid w:val="00C44170"/>
    <w:rsid w:val="00C4432E"/>
    <w:rsid w:val="00C44423"/>
    <w:rsid w:val="00C4461A"/>
    <w:rsid w:val="00C44713"/>
    <w:rsid w:val="00C448A9"/>
    <w:rsid w:val="00C449C3"/>
    <w:rsid w:val="00C44C41"/>
    <w:rsid w:val="00C44CB9"/>
    <w:rsid w:val="00C44E80"/>
    <w:rsid w:val="00C44FF2"/>
    <w:rsid w:val="00C4528D"/>
    <w:rsid w:val="00C452A5"/>
    <w:rsid w:val="00C45313"/>
    <w:rsid w:val="00C456E2"/>
    <w:rsid w:val="00C45CC4"/>
    <w:rsid w:val="00C45DB7"/>
    <w:rsid w:val="00C46362"/>
    <w:rsid w:val="00C474C7"/>
    <w:rsid w:val="00C476D2"/>
    <w:rsid w:val="00C479A3"/>
    <w:rsid w:val="00C47DF7"/>
    <w:rsid w:val="00C500B1"/>
    <w:rsid w:val="00C50123"/>
    <w:rsid w:val="00C5031A"/>
    <w:rsid w:val="00C5032B"/>
    <w:rsid w:val="00C5069F"/>
    <w:rsid w:val="00C50EF6"/>
    <w:rsid w:val="00C5157D"/>
    <w:rsid w:val="00C51654"/>
    <w:rsid w:val="00C51948"/>
    <w:rsid w:val="00C51A13"/>
    <w:rsid w:val="00C52613"/>
    <w:rsid w:val="00C52F3D"/>
    <w:rsid w:val="00C53789"/>
    <w:rsid w:val="00C549BD"/>
    <w:rsid w:val="00C54ACA"/>
    <w:rsid w:val="00C54FBE"/>
    <w:rsid w:val="00C55139"/>
    <w:rsid w:val="00C555D4"/>
    <w:rsid w:val="00C556FD"/>
    <w:rsid w:val="00C55AA3"/>
    <w:rsid w:val="00C55E41"/>
    <w:rsid w:val="00C55EB0"/>
    <w:rsid w:val="00C56BC2"/>
    <w:rsid w:val="00C56C7A"/>
    <w:rsid w:val="00C56F9B"/>
    <w:rsid w:val="00C570A4"/>
    <w:rsid w:val="00C57207"/>
    <w:rsid w:val="00C57442"/>
    <w:rsid w:val="00C575B3"/>
    <w:rsid w:val="00C577BA"/>
    <w:rsid w:val="00C578F8"/>
    <w:rsid w:val="00C57E85"/>
    <w:rsid w:val="00C6006B"/>
    <w:rsid w:val="00C6009C"/>
    <w:rsid w:val="00C60477"/>
    <w:rsid w:val="00C60500"/>
    <w:rsid w:val="00C60EEB"/>
    <w:rsid w:val="00C60FB5"/>
    <w:rsid w:val="00C61172"/>
    <w:rsid w:val="00C61D36"/>
    <w:rsid w:val="00C6203F"/>
    <w:rsid w:val="00C622E1"/>
    <w:rsid w:val="00C62D25"/>
    <w:rsid w:val="00C62DBE"/>
    <w:rsid w:val="00C62F98"/>
    <w:rsid w:val="00C6337A"/>
    <w:rsid w:val="00C637B1"/>
    <w:rsid w:val="00C63864"/>
    <w:rsid w:val="00C64007"/>
    <w:rsid w:val="00C649A1"/>
    <w:rsid w:val="00C64EF7"/>
    <w:rsid w:val="00C64F9B"/>
    <w:rsid w:val="00C6563E"/>
    <w:rsid w:val="00C656A6"/>
    <w:rsid w:val="00C65741"/>
    <w:rsid w:val="00C66329"/>
    <w:rsid w:val="00C66A5E"/>
    <w:rsid w:val="00C6749F"/>
    <w:rsid w:val="00C678BD"/>
    <w:rsid w:val="00C67E88"/>
    <w:rsid w:val="00C70626"/>
    <w:rsid w:val="00C70647"/>
    <w:rsid w:val="00C70BF2"/>
    <w:rsid w:val="00C7169D"/>
    <w:rsid w:val="00C71977"/>
    <w:rsid w:val="00C7251A"/>
    <w:rsid w:val="00C72C97"/>
    <w:rsid w:val="00C72CB3"/>
    <w:rsid w:val="00C72E29"/>
    <w:rsid w:val="00C72F2C"/>
    <w:rsid w:val="00C72F4F"/>
    <w:rsid w:val="00C737E0"/>
    <w:rsid w:val="00C73D39"/>
    <w:rsid w:val="00C74C21"/>
    <w:rsid w:val="00C74E85"/>
    <w:rsid w:val="00C75C00"/>
    <w:rsid w:val="00C75FDC"/>
    <w:rsid w:val="00C76028"/>
    <w:rsid w:val="00C7649D"/>
    <w:rsid w:val="00C76B9D"/>
    <w:rsid w:val="00C76DCC"/>
    <w:rsid w:val="00C770E1"/>
    <w:rsid w:val="00C77691"/>
    <w:rsid w:val="00C777BC"/>
    <w:rsid w:val="00C77B34"/>
    <w:rsid w:val="00C804AB"/>
    <w:rsid w:val="00C80606"/>
    <w:rsid w:val="00C80A04"/>
    <w:rsid w:val="00C80E7A"/>
    <w:rsid w:val="00C80FDD"/>
    <w:rsid w:val="00C81C83"/>
    <w:rsid w:val="00C81C94"/>
    <w:rsid w:val="00C82265"/>
    <w:rsid w:val="00C82289"/>
    <w:rsid w:val="00C82E09"/>
    <w:rsid w:val="00C83307"/>
    <w:rsid w:val="00C8347B"/>
    <w:rsid w:val="00C8362B"/>
    <w:rsid w:val="00C8424C"/>
    <w:rsid w:val="00C84296"/>
    <w:rsid w:val="00C84523"/>
    <w:rsid w:val="00C84709"/>
    <w:rsid w:val="00C84C4A"/>
    <w:rsid w:val="00C85092"/>
    <w:rsid w:val="00C850E8"/>
    <w:rsid w:val="00C85401"/>
    <w:rsid w:val="00C85B83"/>
    <w:rsid w:val="00C85E3B"/>
    <w:rsid w:val="00C866D5"/>
    <w:rsid w:val="00C86ABA"/>
    <w:rsid w:val="00C87173"/>
    <w:rsid w:val="00C87366"/>
    <w:rsid w:val="00C87396"/>
    <w:rsid w:val="00C877AF"/>
    <w:rsid w:val="00C877D1"/>
    <w:rsid w:val="00C9080B"/>
    <w:rsid w:val="00C914B3"/>
    <w:rsid w:val="00C91648"/>
    <w:rsid w:val="00C918BD"/>
    <w:rsid w:val="00C918DA"/>
    <w:rsid w:val="00C91AD5"/>
    <w:rsid w:val="00C91E3C"/>
    <w:rsid w:val="00C91FA0"/>
    <w:rsid w:val="00C924A3"/>
    <w:rsid w:val="00C925D3"/>
    <w:rsid w:val="00C93351"/>
    <w:rsid w:val="00C935FE"/>
    <w:rsid w:val="00C93A0A"/>
    <w:rsid w:val="00C93C5B"/>
    <w:rsid w:val="00C94399"/>
    <w:rsid w:val="00C94538"/>
    <w:rsid w:val="00C94C03"/>
    <w:rsid w:val="00C94D10"/>
    <w:rsid w:val="00C94D16"/>
    <w:rsid w:val="00C94F3A"/>
    <w:rsid w:val="00C95027"/>
    <w:rsid w:val="00C950C0"/>
    <w:rsid w:val="00C9513D"/>
    <w:rsid w:val="00C959A4"/>
    <w:rsid w:val="00C95DF1"/>
    <w:rsid w:val="00C966B8"/>
    <w:rsid w:val="00C96A2D"/>
    <w:rsid w:val="00C96AB5"/>
    <w:rsid w:val="00C9753F"/>
    <w:rsid w:val="00C976D2"/>
    <w:rsid w:val="00C97743"/>
    <w:rsid w:val="00CA0048"/>
    <w:rsid w:val="00CA0447"/>
    <w:rsid w:val="00CA06CA"/>
    <w:rsid w:val="00CA0B84"/>
    <w:rsid w:val="00CA0D3F"/>
    <w:rsid w:val="00CA0D62"/>
    <w:rsid w:val="00CA127E"/>
    <w:rsid w:val="00CA14C0"/>
    <w:rsid w:val="00CA14C1"/>
    <w:rsid w:val="00CA1C27"/>
    <w:rsid w:val="00CA1D12"/>
    <w:rsid w:val="00CA2155"/>
    <w:rsid w:val="00CA2434"/>
    <w:rsid w:val="00CA2575"/>
    <w:rsid w:val="00CA2F2B"/>
    <w:rsid w:val="00CA343C"/>
    <w:rsid w:val="00CA3608"/>
    <w:rsid w:val="00CA37D0"/>
    <w:rsid w:val="00CA39FE"/>
    <w:rsid w:val="00CA4511"/>
    <w:rsid w:val="00CA461C"/>
    <w:rsid w:val="00CA4CE2"/>
    <w:rsid w:val="00CA52DE"/>
    <w:rsid w:val="00CA55C4"/>
    <w:rsid w:val="00CA61C9"/>
    <w:rsid w:val="00CA62EC"/>
    <w:rsid w:val="00CA67CE"/>
    <w:rsid w:val="00CA6AB3"/>
    <w:rsid w:val="00CA6D2F"/>
    <w:rsid w:val="00CA6FF4"/>
    <w:rsid w:val="00CA70E7"/>
    <w:rsid w:val="00CA70E8"/>
    <w:rsid w:val="00CA7184"/>
    <w:rsid w:val="00CA7498"/>
    <w:rsid w:val="00CB005A"/>
    <w:rsid w:val="00CB02AE"/>
    <w:rsid w:val="00CB055B"/>
    <w:rsid w:val="00CB08C1"/>
    <w:rsid w:val="00CB168E"/>
    <w:rsid w:val="00CB1AFF"/>
    <w:rsid w:val="00CB1E64"/>
    <w:rsid w:val="00CB20C4"/>
    <w:rsid w:val="00CB2157"/>
    <w:rsid w:val="00CB2671"/>
    <w:rsid w:val="00CB2A4B"/>
    <w:rsid w:val="00CB2BC5"/>
    <w:rsid w:val="00CB2BDD"/>
    <w:rsid w:val="00CB30BF"/>
    <w:rsid w:val="00CB345F"/>
    <w:rsid w:val="00CB3933"/>
    <w:rsid w:val="00CB3987"/>
    <w:rsid w:val="00CB3AB2"/>
    <w:rsid w:val="00CB3B38"/>
    <w:rsid w:val="00CB416D"/>
    <w:rsid w:val="00CB432D"/>
    <w:rsid w:val="00CB451C"/>
    <w:rsid w:val="00CB452C"/>
    <w:rsid w:val="00CB460B"/>
    <w:rsid w:val="00CB4C59"/>
    <w:rsid w:val="00CB4F27"/>
    <w:rsid w:val="00CB5569"/>
    <w:rsid w:val="00CB56E4"/>
    <w:rsid w:val="00CB652D"/>
    <w:rsid w:val="00CB6A02"/>
    <w:rsid w:val="00CB6A22"/>
    <w:rsid w:val="00CB6EDF"/>
    <w:rsid w:val="00CB703D"/>
    <w:rsid w:val="00CB7499"/>
    <w:rsid w:val="00CB7829"/>
    <w:rsid w:val="00CB7CA5"/>
    <w:rsid w:val="00CB7E70"/>
    <w:rsid w:val="00CC02A7"/>
    <w:rsid w:val="00CC046A"/>
    <w:rsid w:val="00CC046D"/>
    <w:rsid w:val="00CC1481"/>
    <w:rsid w:val="00CC15E1"/>
    <w:rsid w:val="00CC1CA7"/>
    <w:rsid w:val="00CC1D59"/>
    <w:rsid w:val="00CC211B"/>
    <w:rsid w:val="00CC214B"/>
    <w:rsid w:val="00CC24FE"/>
    <w:rsid w:val="00CC3272"/>
    <w:rsid w:val="00CC3802"/>
    <w:rsid w:val="00CC42A8"/>
    <w:rsid w:val="00CC4932"/>
    <w:rsid w:val="00CC4982"/>
    <w:rsid w:val="00CC4AAE"/>
    <w:rsid w:val="00CC4B0F"/>
    <w:rsid w:val="00CC5722"/>
    <w:rsid w:val="00CC5C70"/>
    <w:rsid w:val="00CC5DA6"/>
    <w:rsid w:val="00CC6235"/>
    <w:rsid w:val="00CC63AF"/>
    <w:rsid w:val="00CC6480"/>
    <w:rsid w:val="00CC6485"/>
    <w:rsid w:val="00CC664F"/>
    <w:rsid w:val="00CC6EAD"/>
    <w:rsid w:val="00CC71E8"/>
    <w:rsid w:val="00CC73FA"/>
    <w:rsid w:val="00CC7F87"/>
    <w:rsid w:val="00CD06E0"/>
    <w:rsid w:val="00CD0A55"/>
    <w:rsid w:val="00CD0B36"/>
    <w:rsid w:val="00CD0BB0"/>
    <w:rsid w:val="00CD0DBF"/>
    <w:rsid w:val="00CD0EB4"/>
    <w:rsid w:val="00CD0FE3"/>
    <w:rsid w:val="00CD13C7"/>
    <w:rsid w:val="00CD145B"/>
    <w:rsid w:val="00CD1478"/>
    <w:rsid w:val="00CD149D"/>
    <w:rsid w:val="00CD16F6"/>
    <w:rsid w:val="00CD2079"/>
    <w:rsid w:val="00CD25DB"/>
    <w:rsid w:val="00CD2799"/>
    <w:rsid w:val="00CD28DA"/>
    <w:rsid w:val="00CD290D"/>
    <w:rsid w:val="00CD2C59"/>
    <w:rsid w:val="00CD2CB9"/>
    <w:rsid w:val="00CD2E3E"/>
    <w:rsid w:val="00CD3198"/>
    <w:rsid w:val="00CD3DD9"/>
    <w:rsid w:val="00CD3FD8"/>
    <w:rsid w:val="00CD43FC"/>
    <w:rsid w:val="00CD4599"/>
    <w:rsid w:val="00CD462E"/>
    <w:rsid w:val="00CD4C70"/>
    <w:rsid w:val="00CD4EAC"/>
    <w:rsid w:val="00CD5646"/>
    <w:rsid w:val="00CD5A6C"/>
    <w:rsid w:val="00CD5E84"/>
    <w:rsid w:val="00CD6149"/>
    <w:rsid w:val="00CD646B"/>
    <w:rsid w:val="00CD6F34"/>
    <w:rsid w:val="00CD73DB"/>
    <w:rsid w:val="00CD7BA7"/>
    <w:rsid w:val="00CD7E5C"/>
    <w:rsid w:val="00CD7EF9"/>
    <w:rsid w:val="00CE024E"/>
    <w:rsid w:val="00CE0782"/>
    <w:rsid w:val="00CE0F98"/>
    <w:rsid w:val="00CE1649"/>
    <w:rsid w:val="00CE18BB"/>
    <w:rsid w:val="00CE1D20"/>
    <w:rsid w:val="00CE234A"/>
    <w:rsid w:val="00CE257C"/>
    <w:rsid w:val="00CE28F3"/>
    <w:rsid w:val="00CE3022"/>
    <w:rsid w:val="00CE30D8"/>
    <w:rsid w:val="00CE33E6"/>
    <w:rsid w:val="00CE37C8"/>
    <w:rsid w:val="00CE3A2A"/>
    <w:rsid w:val="00CE43A1"/>
    <w:rsid w:val="00CE47CD"/>
    <w:rsid w:val="00CE5175"/>
    <w:rsid w:val="00CE5330"/>
    <w:rsid w:val="00CE58D3"/>
    <w:rsid w:val="00CE5990"/>
    <w:rsid w:val="00CE5BE4"/>
    <w:rsid w:val="00CE6142"/>
    <w:rsid w:val="00CE6393"/>
    <w:rsid w:val="00CE6797"/>
    <w:rsid w:val="00CE6CE1"/>
    <w:rsid w:val="00CE717D"/>
    <w:rsid w:val="00CE7773"/>
    <w:rsid w:val="00CE7B11"/>
    <w:rsid w:val="00CE7BFB"/>
    <w:rsid w:val="00CF0094"/>
    <w:rsid w:val="00CF0148"/>
    <w:rsid w:val="00CF01D0"/>
    <w:rsid w:val="00CF05C3"/>
    <w:rsid w:val="00CF05EC"/>
    <w:rsid w:val="00CF0BD5"/>
    <w:rsid w:val="00CF12C1"/>
    <w:rsid w:val="00CF149F"/>
    <w:rsid w:val="00CF1B83"/>
    <w:rsid w:val="00CF1C57"/>
    <w:rsid w:val="00CF1E2D"/>
    <w:rsid w:val="00CF3435"/>
    <w:rsid w:val="00CF3B02"/>
    <w:rsid w:val="00CF3DAF"/>
    <w:rsid w:val="00CF4D4F"/>
    <w:rsid w:val="00CF4DC1"/>
    <w:rsid w:val="00CF533E"/>
    <w:rsid w:val="00CF5439"/>
    <w:rsid w:val="00CF5815"/>
    <w:rsid w:val="00CF5D09"/>
    <w:rsid w:val="00CF5D80"/>
    <w:rsid w:val="00CF5ED5"/>
    <w:rsid w:val="00CF68F0"/>
    <w:rsid w:val="00CF6B6D"/>
    <w:rsid w:val="00CF6FB3"/>
    <w:rsid w:val="00CF7045"/>
    <w:rsid w:val="00CF722E"/>
    <w:rsid w:val="00CF7380"/>
    <w:rsid w:val="00CF74F2"/>
    <w:rsid w:val="00CF782D"/>
    <w:rsid w:val="00CF79D2"/>
    <w:rsid w:val="00CF7D7A"/>
    <w:rsid w:val="00D00124"/>
    <w:rsid w:val="00D00775"/>
    <w:rsid w:val="00D00BE1"/>
    <w:rsid w:val="00D01B9F"/>
    <w:rsid w:val="00D01BDB"/>
    <w:rsid w:val="00D021DB"/>
    <w:rsid w:val="00D023B2"/>
    <w:rsid w:val="00D02A89"/>
    <w:rsid w:val="00D02B0C"/>
    <w:rsid w:val="00D02D88"/>
    <w:rsid w:val="00D0311C"/>
    <w:rsid w:val="00D036A2"/>
    <w:rsid w:val="00D03C7B"/>
    <w:rsid w:val="00D03F84"/>
    <w:rsid w:val="00D04490"/>
    <w:rsid w:val="00D045D8"/>
    <w:rsid w:val="00D057F2"/>
    <w:rsid w:val="00D06C42"/>
    <w:rsid w:val="00D06D39"/>
    <w:rsid w:val="00D07956"/>
    <w:rsid w:val="00D10032"/>
    <w:rsid w:val="00D10134"/>
    <w:rsid w:val="00D10284"/>
    <w:rsid w:val="00D104B2"/>
    <w:rsid w:val="00D10969"/>
    <w:rsid w:val="00D109CA"/>
    <w:rsid w:val="00D10C1F"/>
    <w:rsid w:val="00D10DFD"/>
    <w:rsid w:val="00D10F99"/>
    <w:rsid w:val="00D1122C"/>
    <w:rsid w:val="00D117B2"/>
    <w:rsid w:val="00D1185D"/>
    <w:rsid w:val="00D1193C"/>
    <w:rsid w:val="00D12225"/>
    <w:rsid w:val="00D1254B"/>
    <w:rsid w:val="00D12791"/>
    <w:rsid w:val="00D12E39"/>
    <w:rsid w:val="00D13053"/>
    <w:rsid w:val="00D131EF"/>
    <w:rsid w:val="00D134AC"/>
    <w:rsid w:val="00D1363C"/>
    <w:rsid w:val="00D1387C"/>
    <w:rsid w:val="00D13AA3"/>
    <w:rsid w:val="00D13B37"/>
    <w:rsid w:val="00D13F6F"/>
    <w:rsid w:val="00D141AD"/>
    <w:rsid w:val="00D147CD"/>
    <w:rsid w:val="00D1483B"/>
    <w:rsid w:val="00D15144"/>
    <w:rsid w:val="00D16537"/>
    <w:rsid w:val="00D166B8"/>
    <w:rsid w:val="00D16E53"/>
    <w:rsid w:val="00D17782"/>
    <w:rsid w:val="00D17FAB"/>
    <w:rsid w:val="00D20140"/>
    <w:rsid w:val="00D2114E"/>
    <w:rsid w:val="00D214BB"/>
    <w:rsid w:val="00D2160A"/>
    <w:rsid w:val="00D21762"/>
    <w:rsid w:val="00D218A1"/>
    <w:rsid w:val="00D22148"/>
    <w:rsid w:val="00D22250"/>
    <w:rsid w:val="00D22382"/>
    <w:rsid w:val="00D22831"/>
    <w:rsid w:val="00D2345B"/>
    <w:rsid w:val="00D23DAE"/>
    <w:rsid w:val="00D24169"/>
    <w:rsid w:val="00D2454F"/>
    <w:rsid w:val="00D2484F"/>
    <w:rsid w:val="00D24ADC"/>
    <w:rsid w:val="00D24E1B"/>
    <w:rsid w:val="00D24ED7"/>
    <w:rsid w:val="00D25296"/>
    <w:rsid w:val="00D256B9"/>
    <w:rsid w:val="00D25984"/>
    <w:rsid w:val="00D25BB6"/>
    <w:rsid w:val="00D25CC0"/>
    <w:rsid w:val="00D25FF0"/>
    <w:rsid w:val="00D2625B"/>
    <w:rsid w:val="00D262A3"/>
    <w:rsid w:val="00D264AC"/>
    <w:rsid w:val="00D265F0"/>
    <w:rsid w:val="00D2710D"/>
    <w:rsid w:val="00D301FD"/>
    <w:rsid w:val="00D30A0D"/>
    <w:rsid w:val="00D30FD5"/>
    <w:rsid w:val="00D31496"/>
    <w:rsid w:val="00D31ACF"/>
    <w:rsid w:val="00D32137"/>
    <w:rsid w:val="00D325A9"/>
    <w:rsid w:val="00D32823"/>
    <w:rsid w:val="00D32A10"/>
    <w:rsid w:val="00D32D5A"/>
    <w:rsid w:val="00D32FF5"/>
    <w:rsid w:val="00D33100"/>
    <w:rsid w:val="00D331D7"/>
    <w:rsid w:val="00D333BC"/>
    <w:rsid w:val="00D33659"/>
    <w:rsid w:val="00D33765"/>
    <w:rsid w:val="00D34490"/>
    <w:rsid w:val="00D34DEB"/>
    <w:rsid w:val="00D35083"/>
    <w:rsid w:val="00D3566E"/>
    <w:rsid w:val="00D356BA"/>
    <w:rsid w:val="00D35EAD"/>
    <w:rsid w:val="00D360C5"/>
    <w:rsid w:val="00D36A49"/>
    <w:rsid w:val="00D36C4F"/>
    <w:rsid w:val="00D36E7D"/>
    <w:rsid w:val="00D3756E"/>
    <w:rsid w:val="00D37733"/>
    <w:rsid w:val="00D37CD4"/>
    <w:rsid w:val="00D37D23"/>
    <w:rsid w:val="00D40434"/>
    <w:rsid w:val="00D40502"/>
    <w:rsid w:val="00D40885"/>
    <w:rsid w:val="00D40C65"/>
    <w:rsid w:val="00D4111D"/>
    <w:rsid w:val="00D41FA0"/>
    <w:rsid w:val="00D4203C"/>
    <w:rsid w:val="00D42115"/>
    <w:rsid w:val="00D42441"/>
    <w:rsid w:val="00D42687"/>
    <w:rsid w:val="00D43184"/>
    <w:rsid w:val="00D4367E"/>
    <w:rsid w:val="00D4378C"/>
    <w:rsid w:val="00D439A8"/>
    <w:rsid w:val="00D43F65"/>
    <w:rsid w:val="00D44058"/>
    <w:rsid w:val="00D440E5"/>
    <w:rsid w:val="00D448D8"/>
    <w:rsid w:val="00D44E51"/>
    <w:rsid w:val="00D451DD"/>
    <w:rsid w:val="00D45B4A"/>
    <w:rsid w:val="00D45CA3"/>
    <w:rsid w:val="00D46037"/>
    <w:rsid w:val="00D46229"/>
    <w:rsid w:val="00D46D5D"/>
    <w:rsid w:val="00D46E23"/>
    <w:rsid w:val="00D47292"/>
    <w:rsid w:val="00D47B00"/>
    <w:rsid w:val="00D47E7C"/>
    <w:rsid w:val="00D47ECD"/>
    <w:rsid w:val="00D50855"/>
    <w:rsid w:val="00D508CC"/>
    <w:rsid w:val="00D50A26"/>
    <w:rsid w:val="00D50F62"/>
    <w:rsid w:val="00D51121"/>
    <w:rsid w:val="00D5195C"/>
    <w:rsid w:val="00D51EE7"/>
    <w:rsid w:val="00D51F76"/>
    <w:rsid w:val="00D52269"/>
    <w:rsid w:val="00D52558"/>
    <w:rsid w:val="00D528BA"/>
    <w:rsid w:val="00D52947"/>
    <w:rsid w:val="00D52960"/>
    <w:rsid w:val="00D52B08"/>
    <w:rsid w:val="00D52E5D"/>
    <w:rsid w:val="00D52FD8"/>
    <w:rsid w:val="00D534A0"/>
    <w:rsid w:val="00D535AA"/>
    <w:rsid w:val="00D53663"/>
    <w:rsid w:val="00D53B0F"/>
    <w:rsid w:val="00D53EFD"/>
    <w:rsid w:val="00D53F46"/>
    <w:rsid w:val="00D54246"/>
    <w:rsid w:val="00D54F94"/>
    <w:rsid w:val="00D55331"/>
    <w:rsid w:val="00D5575E"/>
    <w:rsid w:val="00D557BE"/>
    <w:rsid w:val="00D55805"/>
    <w:rsid w:val="00D55AEA"/>
    <w:rsid w:val="00D55C78"/>
    <w:rsid w:val="00D55E9F"/>
    <w:rsid w:val="00D5629B"/>
    <w:rsid w:val="00D56994"/>
    <w:rsid w:val="00D56A77"/>
    <w:rsid w:val="00D56B04"/>
    <w:rsid w:val="00D574A6"/>
    <w:rsid w:val="00D579E4"/>
    <w:rsid w:val="00D602EF"/>
    <w:rsid w:val="00D61324"/>
    <w:rsid w:val="00D614BB"/>
    <w:rsid w:val="00D61846"/>
    <w:rsid w:val="00D61A08"/>
    <w:rsid w:val="00D61C09"/>
    <w:rsid w:val="00D621C4"/>
    <w:rsid w:val="00D62274"/>
    <w:rsid w:val="00D62526"/>
    <w:rsid w:val="00D628D0"/>
    <w:rsid w:val="00D629D6"/>
    <w:rsid w:val="00D62C25"/>
    <w:rsid w:val="00D62EBD"/>
    <w:rsid w:val="00D636B9"/>
    <w:rsid w:val="00D63DA5"/>
    <w:rsid w:val="00D64138"/>
    <w:rsid w:val="00D64D38"/>
    <w:rsid w:val="00D652B8"/>
    <w:rsid w:val="00D65369"/>
    <w:rsid w:val="00D6536F"/>
    <w:rsid w:val="00D65670"/>
    <w:rsid w:val="00D65A4B"/>
    <w:rsid w:val="00D66547"/>
    <w:rsid w:val="00D66726"/>
    <w:rsid w:val="00D6687B"/>
    <w:rsid w:val="00D66AF8"/>
    <w:rsid w:val="00D66BE7"/>
    <w:rsid w:val="00D70128"/>
    <w:rsid w:val="00D706CF"/>
    <w:rsid w:val="00D70A77"/>
    <w:rsid w:val="00D70A90"/>
    <w:rsid w:val="00D70EB8"/>
    <w:rsid w:val="00D70FCD"/>
    <w:rsid w:val="00D7129D"/>
    <w:rsid w:val="00D7137E"/>
    <w:rsid w:val="00D7180A"/>
    <w:rsid w:val="00D718B3"/>
    <w:rsid w:val="00D7262C"/>
    <w:rsid w:val="00D72633"/>
    <w:rsid w:val="00D72710"/>
    <w:rsid w:val="00D72A09"/>
    <w:rsid w:val="00D72B3F"/>
    <w:rsid w:val="00D73616"/>
    <w:rsid w:val="00D73963"/>
    <w:rsid w:val="00D739E0"/>
    <w:rsid w:val="00D73CBF"/>
    <w:rsid w:val="00D73D19"/>
    <w:rsid w:val="00D740A9"/>
    <w:rsid w:val="00D740B1"/>
    <w:rsid w:val="00D7434D"/>
    <w:rsid w:val="00D7453B"/>
    <w:rsid w:val="00D74F42"/>
    <w:rsid w:val="00D7501E"/>
    <w:rsid w:val="00D7587A"/>
    <w:rsid w:val="00D75F9F"/>
    <w:rsid w:val="00D75FEF"/>
    <w:rsid w:val="00D7691F"/>
    <w:rsid w:val="00D769D6"/>
    <w:rsid w:val="00D76DAA"/>
    <w:rsid w:val="00D76FC7"/>
    <w:rsid w:val="00D7704F"/>
    <w:rsid w:val="00D7707D"/>
    <w:rsid w:val="00D77303"/>
    <w:rsid w:val="00D77464"/>
    <w:rsid w:val="00D774EE"/>
    <w:rsid w:val="00D77A7B"/>
    <w:rsid w:val="00D77F7F"/>
    <w:rsid w:val="00D8003A"/>
    <w:rsid w:val="00D8021D"/>
    <w:rsid w:val="00D80340"/>
    <w:rsid w:val="00D8182B"/>
    <w:rsid w:val="00D81D05"/>
    <w:rsid w:val="00D81E34"/>
    <w:rsid w:val="00D81FF8"/>
    <w:rsid w:val="00D826A4"/>
    <w:rsid w:val="00D8277F"/>
    <w:rsid w:val="00D828D8"/>
    <w:rsid w:val="00D829EF"/>
    <w:rsid w:val="00D82C6E"/>
    <w:rsid w:val="00D83056"/>
    <w:rsid w:val="00D8313C"/>
    <w:rsid w:val="00D8358C"/>
    <w:rsid w:val="00D83C4B"/>
    <w:rsid w:val="00D8404D"/>
    <w:rsid w:val="00D843F9"/>
    <w:rsid w:val="00D8471A"/>
    <w:rsid w:val="00D84D11"/>
    <w:rsid w:val="00D84F86"/>
    <w:rsid w:val="00D85562"/>
    <w:rsid w:val="00D8557F"/>
    <w:rsid w:val="00D8617B"/>
    <w:rsid w:val="00D862A0"/>
    <w:rsid w:val="00D865A0"/>
    <w:rsid w:val="00D867BA"/>
    <w:rsid w:val="00D8690E"/>
    <w:rsid w:val="00D86EEE"/>
    <w:rsid w:val="00D8703D"/>
    <w:rsid w:val="00D873B4"/>
    <w:rsid w:val="00D877E8"/>
    <w:rsid w:val="00D87803"/>
    <w:rsid w:val="00D87A03"/>
    <w:rsid w:val="00D87CFF"/>
    <w:rsid w:val="00D87E4A"/>
    <w:rsid w:val="00D87E58"/>
    <w:rsid w:val="00D90452"/>
    <w:rsid w:val="00D91384"/>
    <w:rsid w:val="00D91650"/>
    <w:rsid w:val="00D9181C"/>
    <w:rsid w:val="00D9210A"/>
    <w:rsid w:val="00D9221B"/>
    <w:rsid w:val="00D922D9"/>
    <w:rsid w:val="00D927D1"/>
    <w:rsid w:val="00D92B52"/>
    <w:rsid w:val="00D93207"/>
    <w:rsid w:val="00D93E32"/>
    <w:rsid w:val="00D93F44"/>
    <w:rsid w:val="00D941C5"/>
    <w:rsid w:val="00D94816"/>
    <w:rsid w:val="00D9528F"/>
    <w:rsid w:val="00D957B5"/>
    <w:rsid w:val="00D95C28"/>
    <w:rsid w:val="00D95D15"/>
    <w:rsid w:val="00D95D25"/>
    <w:rsid w:val="00D95DDD"/>
    <w:rsid w:val="00D95EC8"/>
    <w:rsid w:val="00D96089"/>
    <w:rsid w:val="00D962E9"/>
    <w:rsid w:val="00D96328"/>
    <w:rsid w:val="00D96443"/>
    <w:rsid w:val="00D96ADB"/>
    <w:rsid w:val="00D96D44"/>
    <w:rsid w:val="00D9743F"/>
    <w:rsid w:val="00DA0155"/>
    <w:rsid w:val="00DA018B"/>
    <w:rsid w:val="00DA07E4"/>
    <w:rsid w:val="00DA0E1D"/>
    <w:rsid w:val="00DA1664"/>
    <w:rsid w:val="00DA20CC"/>
    <w:rsid w:val="00DA2BF0"/>
    <w:rsid w:val="00DA2E30"/>
    <w:rsid w:val="00DA4362"/>
    <w:rsid w:val="00DA4746"/>
    <w:rsid w:val="00DA478F"/>
    <w:rsid w:val="00DA4F2F"/>
    <w:rsid w:val="00DA52FD"/>
    <w:rsid w:val="00DA5822"/>
    <w:rsid w:val="00DA63D6"/>
    <w:rsid w:val="00DA6646"/>
    <w:rsid w:val="00DA6C06"/>
    <w:rsid w:val="00DA6E56"/>
    <w:rsid w:val="00DA6F9E"/>
    <w:rsid w:val="00DA6FAA"/>
    <w:rsid w:val="00DA6FD6"/>
    <w:rsid w:val="00DA721B"/>
    <w:rsid w:val="00DA7896"/>
    <w:rsid w:val="00DB01DE"/>
    <w:rsid w:val="00DB0358"/>
    <w:rsid w:val="00DB06B7"/>
    <w:rsid w:val="00DB0729"/>
    <w:rsid w:val="00DB09C0"/>
    <w:rsid w:val="00DB0CCF"/>
    <w:rsid w:val="00DB12FD"/>
    <w:rsid w:val="00DB161D"/>
    <w:rsid w:val="00DB16CC"/>
    <w:rsid w:val="00DB18A9"/>
    <w:rsid w:val="00DB1BBC"/>
    <w:rsid w:val="00DB2863"/>
    <w:rsid w:val="00DB28D6"/>
    <w:rsid w:val="00DB2E9C"/>
    <w:rsid w:val="00DB34DB"/>
    <w:rsid w:val="00DB3750"/>
    <w:rsid w:val="00DB37BF"/>
    <w:rsid w:val="00DB3870"/>
    <w:rsid w:val="00DB3893"/>
    <w:rsid w:val="00DB3F0B"/>
    <w:rsid w:val="00DB410F"/>
    <w:rsid w:val="00DB4386"/>
    <w:rsid w:val="00DB4492"/>
    <w:rsid w:val="00DB476B"/>
    <w:rsid w:val="00DB48A6"/>
    <w:rsid w:val="00DB4B74"/>
    <w:rsid w:val="00DB4BC3"/>
    <w:rsid w:val="00DB5251"/>
    <w:rsid w:val="00DB5382"/>
    <w:rsid w:val="00DB5F7F"/>
    <w:rsid w:val="00DB5FDA"/>
    <w:rsid w:val="00DB5FFB"/>
    <w:rsid w:val="00DB60B5"/>
    <w:rsid w:val="00DB61DC"/>
    <w:rsid w:val="00DB73C0"/>
    <w:rsid w:val="00DB7424"/>
    <w:rsid w:val="00DB774D"/>
    <w:rsid w:val="00DB7DC5"/>
    <w:rsid w:val="00DC003D"/>
    <w:rsid w:val="00DC01D4"/>
    <w:rsid w:val="00DC1034"/>
    <w:rsid w:val="00DC1514"/>
    <w:rsid w:val="00DC1651"/>
    <w:rsid w:val="00DC1781"/>
    <w:rsid w:val="00DC19B9"/>
    <w:rsid w:val="00DC24EA"/>
    <w:rsid w:val="00DC273B"/>
    <w:rsid w:val="00DC27B0"/>
    <w:rsid w:val="00DC2968"/>
    <w:rsid w:val="00DC2A9D"/>
    <w:rsid w:val="00DC2ABE"/>
    <w:rsid w:val="00DC2EF2"/>
    <w:rsid w:val="00DC3308"/>
    <w:rsid w:val="00DC397B"/>
    <w:rsid w:val="00DC4016"/>
    <w:rsid w:val="00DC41F1"/>
    <w:rsid w:val="00DC43D1"/>
    <w:rsid w:val="00DC5962"/>
    <w:rsid w:val="00DC5D40"/>
    <w:rsid w:val="00DC5F95"/>
    <w:rsid w:val="00DC60E6"/>
    <w:rsid w:val="00DC62A4"/>
    <w:rsid w:val="00DC66E2"/>
    <w:rsid w:val="00DC68C7"/>
    <w:rsid w:val="00DC6BF1"/>
    <w:rsid w:val="00DC733C"/>
    <w:rsid w:val="00DC790F"/>
    <w:rsid w:val="00DC797B"/>
    <w:rsid w:val="00DC7A50"/>
    <w:rsid w:val="00DD08C4"/>
    <w:rsid w:val="00DD0AA4"/>
    <w:rsid w:val="00DD1059"/>
    <w:rsid w:val="00DD12A6"/>
    <w:rsid w:val="00DD13AB"/>
    <w:rsid w:val="00DD15FB"/>
    <w:rsid w:val="00DD18D2"/>
    <w:rsid w:val="00DD2037"/>
    <w:rsid w:val="00DD208A"/>
    <w:rsid w:val="00DD2A2B"/>
    <w:rsid w:val="00DD3182"/>
    <w:rsid w:val="00DD32BD"/>
    <w:rsid w:val="00DD32E5"/>
    <w:rsid w:val="00DD332F"/>
    <w:rsid w:val="00DD35A8"/>
    <w:rsid w:val="00DD3EA6"/>
    <w:rsid w:val="00DD4106"/>
    <w:rsid w:val="00DD42A3"/>
    <w:rsid w:val="00DD4304"/>
    <w:rsid w:val="00DD43AD"/>
    <w:rsid w:val="00DD4A76"/>
    <w:rsid w:val="00DD4D07"/>
    <w:rsid w:val="00DD50C2"/>
    <w:rsid w:val="00DD5119"/>
    <w:rsid w:val="00DD54F1"/>
    <w:rsid w:val="00DD5ED8"/>
    <w:rsid w:val="00DD5FD9"/>
    <w:rsid w:val="00DD6033"/>
    <w:rsid w:val="00DD6462"/>
    <w:rsid w:val="00DD67FC"/>
    <w:rsid w:val="00DD7278"/>
    <w:rsid w:val="00DD73D4"/>
    <w:rsid w:val="00DD75B8"/>
    <w:rsid w:val="00DE054D"/>
    <w:rsid w:val="00DE0D1D"/>
    <w:rsid w:val="00DE11AC"/>
    <w:rsid w:val="00DE141B"/>
    <w:rsid w:val="00DE196E"/>
    <w:rsid w:val="00DE19ED"/>
    <w:rsid w:val="00DE1A65"/>
    <w:rsid w:val="00DE1DFA"/>
    <w:rsid w:val="00DE24D8"/>
    <w:rsid w:val="00DE2D06"/>
    <w:rsid w:val="00DE3032"/>
    <w:rsid w:val="00DE33D3"/>
    <w:rsid w:val="00DE3728"/>
    <w:rsid w:val="00DE3846"/>
    <w:rsid w:val="00DE400B"/>
    <w:rsid w:val="00DE4115"/>
    <w:rsid w:val="00DE452C"/>
    <w:rsid w:val="00DE4740"/>
    <w:rsid w:val="00DE4756"/>
    <w:rsid w:val="00DE4875"/>
    <w:rsid w:val="00DE48CD"/>
    <w:rsid w:val="00DE48D3"/>
    <w:rsid w:val="00DE4A21"/>
    <w:rsid w:val="00DE52F1"/>
    <w:rsid w:val="00DE53CC"/>
    <w:rsid w:val="00DE5460"/>
    <w:rsid w:val="00DE55F9"/>
    <w:rsid w:val="00DE5644"/>
    <w:rsid w:val="00DE581E"/>
    <w:rsid w:val="00DE5CE3"/>
    <w:rsid w:val="00DE6617"/>
    <w:rsid w:val="00DE6AC1"/>
    <w:rsid w:val="00DE6FD1"/>
    <w:rsid w:val="00DE7088"/>
    <w:rsid w:val="00DE7107"/>
    <w:rsid w:val="00DE718C"/>
    <w:rsid w:val="00DE7733"/>
    <w:rsid w:val="00DE79DF"/>
    <w:rsid w:val="00DE7C0C"/>
    <w:rsid w:val="00DF003E"/>
    <w:rsid w:val="00DF0C6E"/>
    <w:rsid w:val="00DF2B4F"/>
    <w:rsid w:val="00DF2C79"/>
    <w:rsid w:val="00DF2E0A"/>
    <w:rsid w:val="00DF2EDB"/>
    <w:rsid w:val="00DF309B"/>
    <w:rsid w:val="00DF3702"/>
    <w:rsid w:val="00DF3742"/>
    <w:rsid w:val="00DF3B38"/>
    <w:rsid w:val="00DF4267"/>
    <w:rsid w:val="00DF43F4"/>
    <w:rsid w:val="00DF4795"/>
    <w:rsid w:val="00DF49E9"/>
    <w:rsid w:val="00DF4B3F"/>
    <w:rsid w:val="00DF4CBC"/>
    <w:rsid w:val="00DF5303"/>
    <w:rsid w:val="00DF5594"/>
    <w:rsid w:val="00DF574C"/>
    <w:rsid w:val="00DF58DE"/>
    <w:rsid w:val="00DF58DF"/>
    <w:rsid w:val="00DF6254"/>
    <w:rsid w:val="00DF69D3"/>
    <w:rsid w:val="00DF7429"/>
    <w:rsid w:val="00DF78D6"/>
    <w:rsid w:val="00DF7FF3"/>
    <w:rsid w:val="00E00731"/>
    <w:rsid w:val="00E007DA"/>
    <w:rsid w:val="00E00A1F"/>
    <w:rsid w:val="00E00C68"/>
    <w:rsid w:val="00E00E3F"/>
    <w:rsid w:val="00E00ED5"/>
    <w:rsid w:val="00E00F28"/>
    <w:rsid w:val="00E0105A"/>
    <w:rsid w:val="00E013B6"/>
    <w:rsid w:val="00E01911"/>
    <w:rsid w:val="00E01923"/>
    <w:rsid w:val="00E01BFE"/>
    <w:rsid w:val="00E01CCA"/>
    <w:rsid w:val="00E0292D"/>
    <w:rsid w:val="00E02CDD"/>
    <w:rsid w:val="00E0345A"/>
    <w:rsid w:val="00E03499"/>
    <w:rsid w:val="00E0372A"/>
    <w:rsid w:val="00E03B21"/>
    <w:rsid w:val="00E03CB9"/>
    <w:rsid w:val="00E03FBC"/>
    <w:rsid w:val="00E03FE3"/>
    <w:rsid w:val="00E0427C"/>
    <w:rsid w:val="00E0445C"/>
    <w:rsid w:val="00E049DF"/>
    <w:rsid w:val="00E04A8A"/>
    <w:rsid w:val="00E04D91"/>
    <w:rsid w:val="00E04FDA"/>
    <w:rsid w:val="00E0506C"/>
    <w:rsid w:val="00E0507B"/>
    <w:rsid w:val="00E050B6"/>
    <w:rsid w:val="00E053DB"/>
    <w:rsid w:val="00E057E7"/>
    <w:rsid w:val="00E05AFA"/>
    <w:rsid w:val="00E05D11"/>
    <w:rsid w:val="00E0688B"/>
    <w:rsid w:val="00E06D07"/>
    <w:rsid w:val="00E06ECF"/>
    <w:rsid w:val="00E07675"/>
    <w:rsid w:val="00E07830"/>
    <w:rsid w:val="00E078B0"/>
    <w:rsid w:val="00E078C2"/>
    <w:rsid w:val="00E07D4D"/>
    <w:rsid w:val="00E07D81"/>
    <w:rsid w:val="00E10439"/>
    <w:rsid w:val="00E107E3"/>
    <w:rsid w:val="00E11231"/>
    <w:rsid w:val="00E11254"/>
    <w:rsid w:val="00E11AFF"/>
    <w:rsid w:val="00E12120"/>
    <w:rsid w:val="00E12600"/>
    <w:rsid w:val="00E127AB"/>
    <w:rsid w:val="00E127C8"/>
    <w:rsid w:val="00E1335C"/>
    <w:rsid w:val="00E13F7A"/>
    <w:rsid w:val="00E14312"/>
    <w:rsid w:val="00E1439B"/>
    <w:rsid w:val="00E1445D"/>
    <w:rsid w:val="00E145FF"/>
    <w:rsid w:val="00E148A2"/>
    <w:rsid w:val="00E14937"/>
    <w:rsid w:val="00E14B86"/>
    <w:rsid w:val="00E14EFA"/>
    <w:rsid w:val="00E15B8E"/>
    <w:rsid w:val="00E161C4"/>
    <w:rsid w:val="00E1640C"/>
    <w:rsid w:val="00E16A43"/>
    <w:rsid w:val="00E16D2A"/>
    <w:rsid w:val="00E16F1E"/>
    <w:rsid w:val="00E20797"/>
    <w:rsid w:val="00E21714"/>
    <w:rsid w:val="00E21787"/>
    <w:rsid w:val="00E21DF1"/>
    <w:rsid w:val="00E2213D"/>
    <w:rsid w:val="00E2272D"/>
    <w:rsid w:val="00E227D0"/>
    <w:rsid w:val="00E22BDC"/>
    <w:rsid w:val="00E22C13"/>
    <w:rsid w:val="00E23493"/>
    <w:rsid w:val="00E2367B"/>
    <w:rsid w:val="00E2374E"/>
    <w:rsid w:val="00E2411A"/>
    <w:rsid w:val="00E245B0"/>
    <w:rsid w:val="00E24644"/>
    <w:rsid w:val="00E2466B"/>
    <w:rsid w:val="00E247C5"/>
    <w:rsid w:val="00E24931"/>
    <w:rsid w:val="00E262A9"/>
    <w:rsid w:val="00E26554"/>
    <w:rsid w:val="00E2666E"/>
    <w:rsid w:val="00E26B1C"/>
    <w:rsid w:val="00E26D86"/>
    <w:rsid w:val="00E2742C"/>
    <w:rsid w:val="00E27875"/>
    <w:rsid w:val="00E278C8"/>
    <w:rsid w:val="00E27F45"/>
    <w:rsid w:val="00E304BB"/>
    <w:rsid w:val="00E308CE"/>
    <w:rsid w:val="00E30E81"/>
    <w:rsid w:val="00E30EBF"/>
    <w:rsid w:val="00E31582"/>
    <w:rsid w:val="00E324CD"/>
    <w:rsid w:val="00E325D0"/>
    <w:rsid w:val="00E32C7D"/>
    <w:rsid w:val="00E32EDA"/>
    <w:rsid w:val="00E33536"/>
    <w:rsid w:val="00E336BA"/>
    <w:rsid w:val="00E3388E"/>
    <w:rsid w:val="00E33D3E"/>
    <w:rsid w:val="00E33D86"/>
    <w:rsid w:val="00E33ED6"/>
    <w:rsid w:val="00E33EF3"/>
    <w:rsid w:val="00E345D1"/>
    <w:rsid w:val="00E34807"/>
    <w:rsid w:val="00E34A03"/>
    <w:rsid w:val="00E34A87"/>
    <w:rsid w:val="00E34EAC"/>
    <w:rsid w:val="00E35007"/>
    <w:rsid w:val="00E35192"/>
    <w:rsid w:val="00E351E5"/>
    <w:rsid w:val="00E35335"/>
    <w:rsid w:val="00E35651"/>
    <w:rsid w:val="00E35E0C"/>
    <w:rsid w:val="00E36187"/>
    <w:rsid w:val="00E362D0"/>
    <w:rsid w:val="00E36B71"/>
    <w:rsid w:val="00E373D0"/>
    <w:rsid w:val="00E375AF"/>
    <w:rsid w:val="00E3784D"/>
    <w:rsid w:val="00E37994"/>
    <w:rsid w:val="00E37F4D"/>
    <w:rsid w:val="00E40101"/>
    <w:rsid w:val="00E4075A"/>
    <w:rsid w:val="00E40992"/>
    <w:rsid w:val="00E40C8B"/>
    <w:rsid w:val="00E41155"/>
    <w:rsid w:val="00E41EB5"/>
    <w:rsid w:val="00E42676"/>
    <w:rsid w:val="00E429E9"/>
    <w:rsid w:val="00E42A16"/>
    <w:rsid w:val="00E42D5A"/>
    <w:rsid w:val="00E431A5"/>
    <w:rsid w:val="00E438B6"/>
    <w:rsid w:val="00E441FB"/>
    <w:rsid w:val="00E44441"/>
    <w:rsid w:val="00E449CE"/>
    <w:rsid w:val="00E450C9"/>
    <w:rsid w:val="00E4557F"/>
    <w:rsid w:val="00E45CB4"/>
    <w:rsid w:val="00E46A7B"/>
    <w:rsid w:val="00E505A6"/>
    <w:rsid w:val="00E50BC8"/>
    <w:rsid w:val="00E50DE4"/>
    <w:rsid w:val="00E50DEC"/>
    <w:rsid w:val="00E516E6"/>
    <w:rsid w:val="00E51750"/>
    <w:rsid w:val="00E51B03"/>
    <w:rsid w:val="00E51B6C"/>
    <w:rsid w:val="00E52B33"/>
    <w:rsid w:val="00E52E93"/>
    <w:rsid w:val="00E52FFD"/>
    <w:rsid w:val="00E53D9B"/>
    <w:rsid w:val="00E54618"/>
    <w:rsid w:val="00E54A3D"/>
    <w:rsid w:val="00E54FE5"/>
    <w:rsid w:val="00E5508F"/>
    <w:rsid w:val="00E5520A"/>
    <w:rsid w:val="00E554A2"/>
    <w:rsid w:val="00E555C2"/>
    <w:rsid w:val="00E55667"/>
    <w:rsid w:val="00E55747"/>
    <w:rsid w:val="00E55E54"/>
    <w:rsid w:val="00E562DE"/>
    <w:rsid w:val="00E562E3"/>
    <w:rsid w:val="00E56370"/>
    <w:rsid w:val="00E56427"/>
    <w:rsid w:val="00E566EA"/>
    <w:rsid w:val="00E56D32"/>
    <w:rsid w:val="00E56E08"/>
    <w:rsid w:val="00E57187"/>
    <w:rsid w:val="00E572DC"/>
    <w:rsid w:val="00E5742C"/>
    <w:rsid w:val="00E579A4"/>
    <w:rsid w:val="00E57B4C"/>
    <w:rsid w:val="00E60B21"/>
    <w:rsid w:val="00E61079"/>
    <w:rsid w:val="00E61C5C"/>
    <w:rsid w:val="00E61F24"/>
    <w:rsid w:val="00E62095"/>
    <w:rsid w:val="00E6237E"/>
    <w:rsid w:val="00E62405"/>
    <w:rsid w:val="00E6265B"/>
    <w:rsid w:val="00E627EA"/>
    <w:rsid w:val="00E62C52"/>
    <w:rsid w:val="00E62F73"/>
    <w:rsid w:val="00E62FAA"/>
    <w:rsid w:val="00E630FC"/>
    <w:rsid w:val="00E63536"/>
    <w:rsid w:val="00E637CB"/>
    <w:rsid w:val="00E63CD3"/>
    <w:rsid w:val="00E63FCF"/>
    <w:rsid w:val="00E64036"/>
    <w:rsid w:val="00E6433C"/>
    <w:rsid w:val="00E643BB"/>
    <w:rsid w:val="00E6440F"/>
    <w:rsid w:val="00E64B02"/>
    <w:rsid w:val="00E64E5F"/>
    <w:rsid w:val="00E651BA"/>
    <w:rsid w:val="00E657B7"/>
    <w:rsid w:val="00E65B0D"/>
    <w:rsid w:val="00E6601D"/>
    <w:rsid w:val="00E66421"/>
    <w:rsid w:val="00E669CB"/>
    <w:rsid w:val="00E66C90"/>
    <w:rsid w:val="00E6773D"/>
    <w:rsid w:val="00E67923"/>
    <w:rsid w:val="00E6796A"/>
    <w:rsid w:val="00E67B25"/>
    <w:rsid w:val="00E67BA8"/>
    <w:rsid w:val="00E67E69"/>
    <w:rsid w:val="00E704FA"/>
    <w:rsid w:val="00E70E00"/>
    <w:rsid w:val="00E71614"/>
    <w:rsid w:val="00E71786"/>
    <w:rsid w:val="00E71A52"/>
    <w:rsid w:val="00E71AF2"/>
    <w:rsid w:val="00E7254A"/>
    <w:rsid w:val="00E72570"/>
    <w:rsid w:val="00E7294C"/>
    <w:rsid w:val="00E7312D"/>
    <w:rsid w:val="00E731C3"/>
    <w:rsid w:val="00E735B5"/>
    <w:rsid w:val="00E739B8"/>
    <w:rsid w:val="00E73B13"/>
    <w:rsid w:val="00E73FED"/>
    <w:rsid w:val="00E740B2"/>
    <w:rsid w:val="00E74460"/>
    <w:rsid w:val="00E74772"/>
    <w:rsid w:val="00E7478D"/>
    <w:rsid w:val="00E749AE"/>
    <w:rsid w:val="00E75919"/>
    <w:rsid w:val="00E75B2D"/>
    <w:rsid w:val="00E762B5"/>
    <w:rsid w:val="00E765C0"/>
    <w:rsid w:val="00E7662F"/>
    <w:rsid w:val="00E7684C"/>
    <w:rsid w:val="00E76FF0"/>
    <w:rsid w:val="00E773C0"/>
    <w:rsid w:val="00E779E3"/>
    <w:rsid w:val="00E77B95"/>
    <w:rsid w:val="00E801B8"/>
    <w:rsid w:val="00E80296"/>
    <w:rsid w:val="00E80386"/>
    <w:rsid w:val="00E807E1"/>
    <w:rsid w:val="00E80827"/>
    <w:rsid w:val="00E80D63"/>
    <w:rsid w:val="00E80EC7"/>
    <w:rsid w:val="00E8127F"/>
    <w:rsid w:val="00E812DD"/>
    <w:rsid w:val="00E8177B"/>
    <w:rsid w:val="00E817C0"/>
    <w:rsid w:val="00E81F2C"/>
    <w:rsid w:val="00E82265"/>
    <w:rsid w:val="00E823B6"/>
    <w:rsid w:val="00E826AB"/>
    <w:rsid w:val="00E82E5F"/>
    <w:rsid w:val="00E8343E"/>
    <w:rsid w:val="00E836FC"/>
    <w:rsid w:val="00E84363"/>
    <w:rsid w:val="00E84560"/>
    <w:rsid w:val="00E84B5C"/>
    <w:rsid w:val="00E84B72"/>
    <w:rsid w:val="00E84D8D"/>
    <w:rsid w:val="00E84DD0"/>
    <w:rsid w:val="00E852D2"/>
    <w:rsid w:val="00E85480"/>
    <w:rsid w:val="00E85505"/>
    <w:rsid w:val="00E85BA8"/>
    <w:rsid w:val="00E8684E"/>
    <w:rsid w:val="00E869E6"/>
    <w:rsid w:val="00E86AFF"/>
    <w:rsid w:val="00E86B97"/>
    <w:rsid w:val="00E86C4E"/>
    <w:rsid w:val="00E86F46"/>
    <w:rsid w:val="00E87128"/>
    <w:rsid w:val="00E87248"/>
    <w:rsid w:val="00E87356"/>
    <w:rsid w:val="00E87983"/>
    <w:rsid w:val="00E91310"/>
    <w:rsid w:val="00E92687"/>
    <w:rsid w:val="00E92D77"/>
    <w:rsid w:val="00E93203"/>
    <w:rsid w:val="00E93362"/>
    <w:rsid w:val="00E934D1"/>
    <w:rsid w:val="00E93BC2"/>
    <w:rsid w:val="00E93DE9"/>
    <w:rsid w:val="00E9414F"/>
    <w:rsid w:val="00E94934"/>
    <w:rsid w:val="00E9505E"/>
    <w:rsid w:val="00E951E7"/>
    <w:rsid w:val="00E952F9"/>
    <w:rsid w:val="00E9554E"/>
    <w:rsid w:val="00E956CE"/>
    <w:rsid w:val="00E9589E"/>
    <w:rsid w:val="00E95CA7"/>
    <w:rsid w:val="00E95D84"/>
    <w:rsid w:val="00E96682"/>
    <w:rsid w:val="00E96B7E"/>
    <w:rsid w:val="00E96E54"/>
    <w:rsid w:val="00E96EF4"/>
    <w:rsid w:val="00E97278"/>
    <w:rsid w:val="00E9740A"/>
    <w:rsid w:val="00E9756D"/>
    <w:rsid w:val="00E97EFA"/>
    <w:rsid w:val="00EA00F9"/>
    <w:rsid w:val="00EA0953"/>
    <w:rsid w:val="00EA0B41"/>
    <w:rsid w:val="00EA11A6"/>
    <w:rsid w:val="00EA13CD"/>
    <w:rsid w:val="00EA1AF0"/>
    <w:rsid w:val="00EA1C8D"/>
    <w:rsid w:val="00EA20CF"/>
    <w:rsid w:val="00EA2277"/>
    <w:rsid w:val="00EA248B"/>
    <w:rsid w:val="00EA321F"/>
    <w:rsid w:val="00EA3700"/>
    <w:rsid w:val="00EA38FC"/>
    <w:rsid w:val="00EA3C38"/>
    <w:rsid w:val="00EA40F5"/>
    <w:rsid w:val="00EA4696"/>
    <w:rsid w:val="00EA47FA"/>
    <w:rsid w:val="00EA4CDF"/>
    <w:rsid w:val="00EA5248"/>
    <w:rsid w:val="00EA52D6"/>
    <w:rsid w:val="00EA5408"/>
    <w:rsid w:val="00EA5610"/>
    <w:rsid w:val="00EA5774"/>
    <w:rsid w:val="00EA60AC"/>
    <w:rsid w:val="00EA60D3"/>
    <w:rsid w:val="00EA610F"/>
    <w:rsid w:val="00EA6C1D"/>
    <w:rsid w:val="00EA6DBF"/>
    <w:rsid w:val="00EA739B"/>
    <w:rsid w:val="00EA7971"/>
    <w:rsid w:val="00EA7A44"/>
    <w:rsid w:val="00EA7E78"/>
    <w:rsid w:val="00EB0107"/>
    <w:rsid w:val="00EB0595"/>
    <w:rsid w:val="00EB0B29"/>
    <w:rsid w:val="00EB17C3"/>
    <w:rsid w:val="00EB1F25"/>
    <w:rsid w:val="00EB2257"/>
    <w:rsid w:val="00EB2610"/>
    <w:rsid w:val="00EB279E"/>
    <w:rsid w:val="00EB282A"/>
    <w:rsid w:val="00EB2834"/>
    <w:rsid w:val="00EB2C07"/>
    <w:rsid w:val="00EB384D"/>
    <w:rsid w:val="00EB39E2"/>
    <w:rsid w:val="00EB3E73"/>
    <w:rsid w:val="00EB5C31"/>
    <w:rsid w:val="00EB612E"/>
    <w:rsid w:val="00EB6C50"/>
    <w:rsid w:val="00EB6CE7"/>
    <w:rsid w:val="00EB6FF7"/>
    <w:rsid w:val="00EB7008"/>
    <w:rsid w:val="00EB71AD"/>
    <w:rsid w:val="00EB74B5"/>
    <w:rsid w:val="00EB75D2"/>
    <w:rsid w:val="00EB77FC"/>
    <w:rsid w:val="00EC039A"/>
    <w:rsid w:val="00EC0E10"/>
    <w:rsid w:val="00EC1829"/>
    <w:rsid w:val="00EC1855"/>
    <w:rsid w:val="00EC1B64"/>
    <w:rsid w:val="00EC1C65"/>
    <w:rsid w:val="00EC3FF3"/>
    <w:rsid w:val="00EC4565"/>
    <w:rsid w:val="00EC4852"/>
    <w:rsid w:val="00EC4F43"/>
    <w:rsid w:val="00EC50CF"/>
    <w:rsid w:val="00EC51A8"/>
    <w:rsid w:val="00EC51BA"/>
    <w:rsid w:val="00EC5585"/>
    <w:rsid w:val="00EC5BDC"/>
    <w:rsid w:val="00EC64FC"/>
    <w:rsid w:val="00EC6588"/>
    <w:rsid w:val="00EC68D1"/>
    <w:rsid w:val="00EC6ABC"/>
    <w:rsid w:val="00EC70B5"/>
    <w:rsid w:val="00EC790C"/>
    <w:rsid w:val="00ED0667"/>
    <w:rsid w:val="00ED0A17"/>
    <w:rsid w:val="00ED0E8B"/>
    <w:rsid w:val="00ED102A"/>
    <w:rsid w:val="00ED1125"/>
    <w:rsid w:val="00ED19F7"/>
    <w:rsid w:val="00ED1B9F"/>
    <w:rsid w:val="00ED20FD"/>
    <w:rsid w:val="00ED247F"/>
    <w:rsid w:val="00ED2486"/>
    <w:rsid w:val="00ED2C68"/>
    <w:rsid w:val="00ED2E6F"/>
    <w:rsid w:val="00ED2F18"/>
    <w:rsid w:val="00ED324A"/>
    <w:rsid w:val="00ED3447"/>
    <w:rsid w:val="00ED36CF"/>
    <w:rsid w:val="00ED371D"/>
    <w:rsid w:val="00ED38BD"/>
    <w:rsid w:val="00ED40BD"/>
    <w:rsid w:val="00ED41D8"/>
    <w:rsid w:val="00ED499F"/>
    <w:rsid w:val="00ED4D9F"/>
    <w:rsid w:val="00ED4DE5"/>
    <w:rsid w:val="00ED52BD"/>
    <w:rsid w:val="00ED52F1"/>
    <w:rsid w:val="00ED531D"/>
    <w:rsid w:val="00ED548D"/>
    <w:rsid w:val="00ED55F0"/>
    <w:rsid w:val="00ED576F"/>
    <w:rsid w:val="00ED594C"/>
    <w:rsid w:val="00ED5D52"/>
    <w:rsid w:val="00ED5EBF"/>
    <w:rsid w:val="00ED6172"/>
    <w:rsid w:val="00ED705D"/>
    <w:rsid w:val="00ED7BDF"/>
    <w:rsid w:val="00ED7FF0"/>
    <w:rsid w:val="00EE089D"/>
    <w:rsid w:val="00EE0B00"/>
    <w:rsid w:val="00EE0B32"/>
    <w:rsid w:val="00EE0D4F"/>
    <w:rsid w:val="00EE0FA9"/>
    <w:rsid w:val="00EE12B0"/>
    <w:rsid w:val="00EE1302"/>
    <w:rsid w:val="00EE161B"/>
    <w:rsid w:val="00EE164C"/>
    <w:rsid w:val="00EE1848"/>
    <w:rsid w:val="00EE1B3C"/>
    <w:rsid w:val="00EE1DA7"/>
    <w:rsid w:val="00EE22C9"/>
    <w:rsid w:val="00EE270C"/>
    <w:rsid w:val="00EE2DA6"/>
    <w:rsid w:val="00EE3247"/>
    <w:rsid w:val="00EE3564"/>
    <w:rsid w:val="00EE390E"/>
    <w:rsid w:val="00EE3EDB"/>
    <w:rsid w:val="00EE404F"/>
    <w:rsid w:val="00EE4067"/>
    <w:rsid w:val="00EE41FA"/>
    <w:rsid w:val="00EE498D"/>
    <w:rsid w:val="00EE4B9F"/>
    <w:rsid w:val="00EE53B3"/>
    <w:rsid w:val="00EE5455"/>
    <w:rsid w:val="00EE54DB"/>
    <w:rsid w:val="00EE5E89"/>
    <w:rsid w:val="00EE60AC"/>
    <w:rsid w:val="00EE68B0"/>
    <w:rsid w:val="00EE6920"/>
    <w:rsid w:val="00EE6ACC"/>
    <w:rsid w:val="00EE6C8C"/>
    <w:rsid w:val="00EE6D5D"/>
    <w:rsid w:val="00EE6DAB"/>
    <w:rsid w:val="00EE75E1"/>
    <w:rsid w:val="00EE7998"/>
    <w:rsid w:val="00EE7C1E"/>
    <w:rsid w:val="00EE7CE3"/>
    <w:rsid w:val="00EF0227"/>
    <w:rsid w:val="00EF0323"/>
    <w:rsid w:val="00EF0392"/>
    <w:rsid w:val="00EF0CE2"/>
    <w:rsid w:val="00EF16A0"/>
    <w:rsid w:val="00EF16A7"/>
    <w:rsid w:val="00EF21FE"/>
    <w:rsid w:val="00EF2377"/>
    <w:rsid w:val="00EF2622"/>
    <w:rsid w:val="00EF2644"/>
    <w:rsid w:val="00EF2E10"/>
    <w:rsid w:val="00EF3185"/>
    <w:rsid w:val="00EF35C4"/>
    <w:rsid w:val="00EF37B6"/>
    <w:rsid w:val="00EF4CA2"/>
    <w:rsid w:val="00EF5030"/>
    <w:rsid w:val="00EF53E5"/>
    <w:rsid w:val="00EF541F"/>
    <w:rsid w:val="00EF54ED"/>
    <w:rsid w:val="00EF55C9"/>
    <w:rsid w:val="00EF57CD"/>
    <w:rsid w:val="00EF57CF"/>
    <w:rsid w:val="00EF5BB9"/>
    <w:rsid w:val="00EF5FC7"/>
    <w:rsid w:val="00EF5FDA"/>
    <w:rsid w:val="00EF6245"/>
    <w:rsid w:val="00EF6873"/>
    <w:rsid w:val="00EF72FF"/>
    <w:rsid w:val="00EF75B4"/>
    <w:rsid w:val="00EF78F0"/>
    <w:rsid w:val="00EF7963"/>
    <w:rsid w:val="00EF7D23"/>
    <w:rsid w:val="00F007A2"/>
    <w:rsid w:val="00F009F4"/>
    <w:rsid w:val="00F00DAD"/>
    <w:rsid w:val="00F00DDA"/>
    <w:rsid w:val="00F0135C"/>
    <w:rsid w:val="00F015A0"/>
    <w:rsid w:val="00F0179B"/>
    <w:rsid w:val="00F01967"/>
    <w:rsid w:val="00F028C2"/>
    <w:rsid w:val="00F031AB"/>
    <w:rsid w:val="00F031EE"/>
    <w:rsid w:val="00F03663"/>
    <w:rsid w:val="00F038B4"/>
    <w:rsid w:val="00F03A23"/>
    <w:rsid w:val="00F043AB"/>
    <w:rsid w:val="00F043CD"/>
    <w:rsid w:val="00F044EF"/>
    <w:rsid w:val="00F0460C"/>
    <w:rsid w:val="00F048D6"/>
    <w:rsid w:val="00F04B98"/>
    <w:rsid w:val="00F0508C"/>
    <w:rsid w:val="00F053BA"/>
    <w:rsid w:val="00F0557A"/>
    <w:rsid w:val="00F0583F"/>
    <w:rsid w:val="00F059A1"/>
    <w:rsid w:val="00F05C11"/>
    <w:rsid w:val="00F063B4"/>
    <w:rsid w:val="00F06AF2"/>
    <w:rsid w:val="00F06C5E"/>
    <w:rsid w:val="00F06CFD"/>
    <w:rsid w:val="00F06D87"/>
    <w:rsid w:val="00F06E0A"/>
    <w:rsid w:val="00F072E0"/>
    <w:rsid w:val="00F0785D"/>
    <w:rsid w:val="00F079EA"/>
    <w:rsid w:val="00F07E83"/>
    <w:rsid w:val="00F100AA"/>
    <w:rsid w:val="00F106D0"/>
    <w:rsid w:val="00F1091C"/>
    <w:rsid w:val="00F1092E"/>
    <w:rsid w:val="00F10A7B"/>
    <w:rsid w:val="00F10F55"/>
    <w:rsid w:val="00F1134F"/>
    <w:rsid w:val="00F116DA"/>
    <w:rsid w:val="00F11AD3"/>
    <w:rsid w:val="00F11B1B"/>
    <w:rsid w:val="00F11CF5"/>
    <w:rsid w:val="00F12489"/>
    <w:rsid w:val="00F12B02"/>
    <w:rsid w:val="00F140DF"/>
    <w:rsid w:val="00F14C0D"/>
    <w:rsid w:val="00F160C0"/>
    <w:rsid w:val="00F160E4"/>
    <w:rsid w:val="00F162EA"/>
    <w:rsid w:val="00F16EEA"/>
    <w:rsid w:val="00F1703A"/>
    <w:rsid w:val="00F1740D"/>
    <w:rsid w:val="00F17719"/>
    <w:rsid w:val="00F17B83"/>
    <w:rsid w:val="00F17C93"/>
    <w:rsid w:val="00F17E56"/>
    <w:rsid w:val="00F20035"/>
    <w:rsid w:val="00F20E5A"/>
    <w:rsid w:val="00F20ED5"/>
    <w:rsid w:val="00F21060"/>
    <w:rsid w:val="00F2138C"/>
    <w:rsid w:val="00F21B60"/>
    <w:rsid w:val="00F22229"/>
    <w:rsid w:val="00F222CB"/>
    <w:rsid w:val="00F22691"/>
    <w:rsid w:val="00F227B3"/>
    <w:rsid w:val="00F227D3"/>
    <w:rsid w:val="00F22EB4"/>
    <w:rsid w:val="00F22FF8"/>
    <w:rsid w:val="00F234C3"/>
    <w:rsid w:val="00F2393F"/>
    <w:rsid w:val="00F239D4"/>
    <w:rsid w:val="00F23E42"/>
    <w:rsid w:val="00F2407C"/>
    <w:rsid w:val="00F240A1"/>
    <w:rsid w:val="00F24586"/>
    <w:rsid w:val="00F246F0"/>
    <w:rsid w:val="00F2476E"/>
    <w:rsid w:val="00F25594"/>
    <w:rsid w:val="00F25BEC"/>
    <w:rsid w:val="00F265F6"/>
    <w:rsid w:val="00F26622"/>
    <w:rsid w:val="00F26B98"/>
    <w:rsid w:val="00F26BEC"/>
    <w:rsid w:val="00F2722B"/>
    <w:rsid w:val="00F277C9"/>
    <w:rsid w:val="00F27B28"/>
    <w:rsid w:val="00F27E2C"/>
    <w:rsid w:val="00F27E6F"/>
    <w:rsid w:val="00F3036D"/>
    <w:rsid w:val="00F30450"/>
    <w:rsid w:val="00F312EE"/>
    <w:rsid w:val="00F315C2"/>
    <w:rsid w:val="00F3180E"/>
    <w:rsid w:val="00F31A90"/>
    <w:rsid w:val="00F31AF3"/>
    <w:rsid w:val="00F32179"/>
    <w:rsid w:val="00F3217F"/>
    <w:rsid w:val="00F32288"/>
    <w:rsid w:val="00F328E4"/>
    <w:rsid w:val="00F329AA"/>
    <w:rsid w:val="00F32A43"/>
    <w:rsid w:val="00F32E5C"/>
    <w:rsid w:val="00F32E72"/>
    <w:rsid w:val="00F33550"/>
    <w:rsid w:val="00F3405E"/>
    <w:rsid w:val="00F34AD9"/>
    <w:rsid w:val="00F35DE0"/>
    <w:rsid w:val="00F35EBE"/>
    <w:rsid w:val="00F36506"/>
    <w:rsid w:val="00F36509"/>
    <w:rsid w:val="00F36510"/>
    <w:rsid w:val="00F3664D"/>
    <w:rsid w:val="00F366A4"/>
    <w:rsid w:val="00F36D25"/>
    <w:rsid w:val="00F37075"/>
    <w:rsid w:val="00F37356"/>
    <w:rsid w:val="00F37755"/>
    <w:rsid w:val="00F40437"/>
    <w:rsid w:val="00F40641"/>
    <w:rsid w:val="00F408CA"/>
    <w:rsid w:val="00F40982"/>
    <w:rsid w:val="00F4145D"/>
    <w:rsid w:val="00F41466"/>
    <w:rsid w:val="00F419F6"/>
    <w:rsid w:val="00F41B84"/>
    <w:rsid w:val="00F41E84"/>
    <w:rsid w:val="00F42067"/>
    <w:rsid w:val="00F4298D"/>
    <w:rsid w:val="00F42996"/>
    <w:rsid w:val="00F42D4B"/>
    <w:rsid w:val="00F43246"/>
    <w:rsid w:val="00F43307"/>
    <w:rsid w:val="00F4386D"/>
    <w:rsid w:val="00F438F7"/>
    <w:rsid w:val="00F43C9F"/>
    <w:rsid w:val="00F4417C"/>
    <w:rsid w:val="00F44231"/>
    <w:rsid w:val="00F44367"/>
    <w:rsid w:val="00F4436A"/>
    <w:rsid w:val="00F4505B"/>
    <w:rsid w:val="00F4515E"/>
    <w:rsid w:val="00F45FDA"/>
    <w:rsid w:val="00F4611E"/>
    <w:rsid w:val="00F463FB"/>
    <w:rsid w:val="00F46AFB"/>
    <w:rsid w:val="00F46E01"/>
    <w:rsid w:val="00F46E41"/>
    <w:rsid w:val="00F46ECD"/>
    <w:rsid w:val="00F46F43"/>
    <w:rsid w:val="00F46F5B"/>
    <w:rsid w:val="00F474DE"/>
    <w:rsid w:val="00F47A79"/>
    <w:rsid w:val="00F47BD4"/>
    <w:rsid w:val="00F47E23"/>
    <w:rsid w:val="00F501D7"/>
    <w:rsid w:val="00F509C3"/>
    <w:rsid w:val="00F50BF7"/>
    <w:rsid w:val="00F50D5E"/>
    <w:rsid w:val="00F51168"/>
    <w:rsid w:val="00F51492"/>
    <w:rsid w:val="00F5166D"/>
    <w:rsid w:val="00F51BB5"/>
    <w:rsid w:val="00F51C95"/>
    <w:rsid w:val="00F52132"/>
    <w:rsid w:val="00F52E32"/>
    <w:rsid w:val="00F530F5"/>
    <w:rsid w:val="00F53EF4"/>
    <w:rsid w:val="00F542B9"/>
    <w:rsid w:val="00F54548"/>
    <w:rsid w:val="00F54F7D"/>
    <w:rsid w:val="00F5500A"/>
    <w:rsid w:val="00F5511D"/>
    <w:rsid w:val="00F557ED"/>
    <w:rsid w:val="00F5585B"/>
    <w:rsid w:val="00F558E6"/>
    <w:rsid w:val="00F562AE"/>
    <w:rsid w:val="00F563EC"/>
    <w:rsid w:val="00F56B02"/>
    <w:rsid w:val="00F57481"/>
    <w:rsid w:val="00F576C9"/>
    <w:rsid w:val="00F57ABB"/>
    <w:rsid w:val="00F60431"/>
    <w:rsid w:val="00F6069C"/>
    <w:rsid w:val="00F60C11"/>
    <w:rsid w:val="00F60F84"/>
    <w:rsid w:val="00F60FBA"/>
    <w:rsid w:val="00F6131E"/>
    <w:rsid w:val="00F61457"/>
    <w:rsid w:val="00F616BC"/>
    <w:rsid w:val="00F618C4"/>
    <w:rsid w:val="00F61DCD"/>
    <w:rsid w:val="00F6325B"/>
    <w:rsid w:val="00F63479"/>
    <w:rsid w:val="00F634B8"/>
    <w:rsid w:val="00F648F3"/>
    <w:rsid w:val="00F64DCD"/>
    <w:rsid w:val="00F65356"/>
    <w:rsid w:val="00F65678"/>
    <w:rsid w:val="00F65F88"/>
    <w:rsid w:val="00F65F93"/>
    <w:rsid w:val="00F66097"/>
    <w:rsid w:val="00F660E6"/>
    <w:rsid w:val="00F661FA"/>
    <w:rsid w:val="00F662C0"/>
    <w:rsid w:val="00F668B8"/>
    <w:rsid w:val="00F668F4"/>
    <w:rsid w:val="00F66926"/>
    <w:rsid w:val="00F66B4B"/>
    <w:rsid w:val="00F66C43"/>
    <w:rsid w:val="00F673A7"/>
    <w:rsid w:val="00F706D9"/>
    <w:rsid w:val="00F707A9"/>
    <w:rsid w:val="00F70BBD"/>
    <w:rsid w:val="00F70E4A"/>
    <w:rsid w:val="00F70FC9"/>
    <w:rsid w:val="00F717A6"/>
    <w:rsid w:val="00F718F2"/>
    <w:rsid w:val="00F71DDF"/>
    <w:rsid w:val="00F71ECF"/>
    <w:rsid w:val="00F71F52"/>
    <w:rsid w:val="00F72558"/>
    <w:rsid w:val="00F72864"/>
    <w:rsid w:val="00F72BB0"/>
    <w:rsid w:val="00F73A9D"/>
    <w:rsid w:val="00F74017"/>
    <w:rsid w:val="00F74209"/>
    <w:rsid w:val="00F74619"/>
    <w:rsid w:val="00F74B4C"/>
    <w:rsid w:val="00F753A8"/>
    <w:rsid w:val="00F75457"/>
    <w:rsid w:val="00F75516"/>
    <w:rsid w:val="00F75BCC"/>
    <w:rsid w:val="00F764F3"/>
    <w:rsid w:val="00F76826"/>
    <w:rsid w:val="00F76927"/>
    <w:rsid w:val="00F76EBB"/>
    <w:rsid w:val="00F77119"/>
    <w:rsid w:val="00F77484"/>
    <w:rsid w:val="00F77B4A"/>
    <w:rsid w:val="00F77DCF"/>
    <w:rsid w:val="00F77F37"/>
    <w:rsid w:val="00F77FF9"/>
    <w:rsid w:val="00F8014A"/>
    <w:rsid w:val="00F8068D"/>
    <w:rsid w:val="00F80914"/>
    <w:rsid w:val="00F81080"/>
    <w:rsid w:val="00F81692"/>
    <w:rsid w:val="00F818AF"/>
    <w:rsid w:val="00F81F7A"/>
    <w:rsid w:val="00F8229A"/>
    <w:rsid w:val="00F8271B"/>
    <w:rsid w:val="00F8298D"/>
    <w:rsid w:val="00F82B49"/>
    <w:rsid w:val="00F83054"/>
    <w:rsid w:val="00F831DE"/>
    <w:rsid w:val="00F83359"/>
    <w:rsid w:val="00F8342B"/>
    <w:rsid w:val="00F83911"/>
    <w:rsid w:val="00F83936"/>
    <w:rsid w:val="00F83975"/>
    <w:rsid w:val="00F83A90"/>
    <w:rsid w:val="00F83AB4"/>
    <w:rsid w:val="00F83B2C"/>
    <w:rsid w:val="00F83BF0"/>
    <w:rsid w:val="00F83DFE"/>
    <w:rsid w:val="00F844A2"/>
    <w:rsid w:val="00F848C6"/>
    <w:rsid w:val="00F8504A"/>
    <w:rsid w:val="00F85080"/>
    <w:rsid w:val="00F8528C"/>
    <w:rsid w:val="00F852E8"/>
    <w:rsid w:val="00F855C6"/>
    <w:rsid w:val="00F85DFF"/>
    <w:rsid w:val="00F8674C"/>
    <w:rsid w:val="00F868E1"/>
    <w:rsid w:val="00F86ADA"/>
    <w:rsid w:val="00F876EA"/>
    <w:rsid w:val="00F8786F"/>
    <w:rsid w:val="00F87AC1"/>
    <w:rsid w:val="00F87C20"/>
    <w:rsid w:val="00F87E69"/>
    <w:rsid w:val="00F905D4"/>
    <w:rsid w:val="00F9060E"/>
    <w:rsid w:val="00F90777"/>
    <w:rsid w:val="00F90B44"/>
    <w:rsid w:val="00F91095"/>
    <w:rsid w:val="00F91354"/>
    <w:rsid w:val="00F91B3D"/>
    <w:rsid w:val="00F9224A"/>
    <w:rsid w:val="00F92AAD"/>
    <w:rsid w:val="00F92BFA"/>
    <w:rsid w:val="00F92E81"/>
    <w:rsid w:val="00F92EF9"/>
    <w:rsid w:val="00F92F32"/>
    <w:rsid w:val="00F931CE"/>
    <w:rsid w:val="00F934BF"/>
    <w:rsid w:val="00F936FF"/>
    <w:rsid w:val="00F940BF"/>
    <w:rsid w:val="00F944E3"/>
    <w:rsid w:val="00F946C8"/>
    <w:rsid w:val="00F94776"/>
    <w:rsid w:val="00F9485F"/>
    <w:rsid w:val="00F948B7"/>
    <w:rsid w:val="00F95069"/>
    <w:rsid w:val="00F9545F"/>
    <w:rsid w:val="00F95698"/>
    <w:rsid w:val="00F95827"/>
    <w:rsid w:val="00F95C80"/>
    <w:rsid w:val="00F95C97"/>
    <w:rsid w:val="00F96061"/>
    <w:rsid w:val="00F96070"/>
    <w:rsid w:val="00F960AF"/>
    <w:rsid w:val="00F96527"/>
    <w:rsid w:val="00F966E4"/>
    <w:rsid w:val="00F968AC"/>
    <w:rsid w:val="00F974FB"/>
    <w:rsid w:val="00F979CC"/>
    <w:rsid w:val="00F97C5B"/>
    <w:rsid w:val="00F97D19"/>
    <w:rsid w:val="00F97E95"/>
    <w:rsid w:val="00FA0135"/>
    <w:rsid w:val="00FA0365"/>
    <w:rsid w:val="00FA07F8"/>
    <w:rsid w:val="00FA0BC3"/>
    <w:rsid w:val="00FA0C13"/>
    <w:rsid w:val="00FA0E77"/>
    <w:rsid w:val="00FA1247"/>
    <w:rsid w:val="00FA1320"/>
    <w:rsid w:val="00FA13CE"/>
    <w:rsid w:val="00FA14D5"/>
    <w:rsid w:val="00FA1646"/>
    <w:rsid w:val="00FA18D7"/>
    <w:rsid w:val="00FA197F"/>
    <w:rsid w:val="00FA1B91"/>
    <w:rsid w:val="00FA20F8"/>
    <w:rsid w:val="00FA2454"/>
    <w:rsid w:val="00FA264F"/>
    <w:rsid w:val="00FA26F7"/>
    <w:rsid w:val="00FA28FC"/>
    <w:rsid w:val="00FA2A3D"/>
    <w:rsid w:val="00FA2B22"/>
    <w:rsid w:val="00FA2B35"/>
    <w:rsid w:val="00FA2FC5"/>
    <w:rsid w:val="00FA34B6"/>
    <w:rsid w:val="00FA3B0C"/>
    <w:rsid w:val="00FA3B8D"/>
    <w:rsid w:val="00FA3D00"/>
    <w:rsid w:val="00FA3FA7"/>
    <w:rsid w:val="00FA4534"/>
    <w:rsid w:val="00FA48B8"/>
    <w:rsid w:val="00FA50E9"/>
    <w:rsid w:val="00FA5491"/>
    <w:rsid w:val="00FA5D69"/>
    <w:rsid w:val="00FA6012"/>
    <w:rsid w:val="00FA618D"/>
    <w:rsid w:val="00FA6517"/>
    <w:rsid w:val="00FA7069"/>
    <w:rsid w:val="00FA7483"/>
    <w:rsid w:val="00FA7676"/>
    <w:rsid w:val="00FB00FB"/>
    <w:rsid w:val="00FB061B"/>
    <w:rsid w:val="00FB069C"/>
    <w:rsid w:val="00FB07CF"/>
    <w:rsid w:val="00FB09F8"/>
    <w:rsid w:val="00FB0D48"/>
    <w:rsid w:val="00FB2091"/>
    <w:rsid w:val="00FB220F"/>
    <w:rsid w:val="00FB27C8"/>
    <w:rsid w:val="00FB2A37"/>
    <w:rsid w:val="00FB351B"/>
    <w:rsid w:val="00FB38C5"/>
    <w:rsid w:val="00FB3B06"/>
    <w:rsid w:val="00FB3D38"/>
    <w:rsid w:val="00FB3DA3"/>
    <w:rsid w:val="00FB3DCF"/>
    <w:rsid w:val="00FB3EFE"/>
    <w:rsid w:val="00FB3F13"/>
    <w:rsid w:val="00FB4325"/>
    <w:rsid w:val="00FB483D"/>
    <w:rsid w:val="00FB5096"/>
    <w:rsid w:val="00FB5265"/>
    <w:rsid w:val="00FB5327"/>
    <w:rsid w:val="00FB5BD2"/>
    <w:rsid w:val="00FB5D26"/>
    <w:rsid w:val="00FB5DF4"/>
    <w:rsid w:val="00FB629B"/>
    <w:rsid w:val="00FB64A1"/>
    <w:rsid w:val="00FB6C87"/>
    <w:rsid w:val="00FB6CB8"/>
    <w:rsid w:val="00FB719B"/>
    <w:rsid w:val="00FB77EB"/>
    <w:rsid w:val="00FB7BB0"/>
    <w:rsid w:val="00FC036A"/>
    <w:rsid w:val="00FC04FF"/>
    <w:rsid w:val="00FC08EF"/>
    <w:rsid w:val="00FC0BBD"/>
    <w:rsid w:val="00FC1079"/>
    <w:rsid w:val="00FC1096"/>
    <w:rsid w:val="00FC13D2"/>
    <w:rsid w:val="00FC189C"/>
    <w:rsid w:val="00FC1A57"/>
    <w:rsid w:val="00FC2AE4"/>
    <w:rsid w:val="00FC2C2F"/>
    <w:rsid w:val="00FC2CD4"/>
    <w:rsid w:val="00FC2D0D"/>
    <w:rsid w:val="00FC3607"/>
    <w:rsid w:val="00FC376C"/>
    <w:rsid w:val="00FC38FD"/>
    <w:rsid w:val="00FC3C45"/>
    <w:rsid w:val="00FC3D27"/>
    <w:rsid w:val="00FC40F5"/>
    <w:rsid w:val="00FC416C"/>
    <w:rsid w:val="00FC417F"/>
    <w:rsid w:val="00FC4284"/>
    <w:rsid w:val="00FC4482"/>
    <w:rsid w:val="00FC4535"/>
    <w:rsid w:val="00FC4787"/>
    <w:rsid w:val="00FC5622"/>
    <w:rsid w:val="00FC58B0"/>
    <w:rsid w:val="00FC58FC"/>
    <w:rsid w:val="00FC5B9C"/>
    <w:rsid w:val="00FC5BCF"/>
    <w:rsid w:val="00FC5BDF"/>
    <w:rsid w:val="00FC5D0E"/>
    <w:rsid w:val="00FC5ECE"/>
    <w:rsid w:val="00FC61F9"/>
    <w:rsid w:val="00FC6216"/>
    <w:rsid w:val="00FC6396"/>
    <w:rsid w:val="00FC690F"/>
    <w:rsid w:val="00FC6C4D"/>
    <w:rsid w:val="00FC7642"/>
    <w:rsid w:val="00FC76D4"/>
    <w:rsid w:val="00FC7763"/>
    <w:rsid w:val="00FC786D"/>
    <w:rsid w:val="00FC7A95"/>
    <w:rsid w:val="00FC7E8D"/>
    <w:rsid w:val="00FD04CA"/>
    <w:rsid w:val="00FD0F01"/>
    <w:rsid w:val="00FD0F6E"/>
    <w:rsid w:val="00FD1211"/>
    <w:rsid w:val="00FD12B1"/>
    <w:rsid w:val="00FD1622"/>
    <w:rsid w:val="00FD1973"/>
    <w:rsid w:val="00FD228E"/>
    <w:rsid w:val="00FD23C8"/>
    <w:rsid w:val="00FD2971"/>
    <w:rsid w:val="00FD2B79"/>
    <w:rsid w:val="00FD3139"/>
    <w:rsid w:val="00FD377F"/>
    <w:rsid w:val="00FD3FBF"/>
    <w:rsid w:val="00FD44B4"/>
    <w:rsid w:val="00FD48E9"/>
    <w:rsid w:val="00FD4EEA"/>
    <w:rsid w:val="00FD5E59"/>
    <w:rsid w:val="00FD6D9A"/>
    <w:rsid w:val="00FD7063"/>
    <w:rsid w:val="00FD7184"/>
    <w:rsid w:val="00FD7FB0"/>
    <w:rsid w:val="00FE0098"/>
    <w:rsid w:val="00FE0199"/>
    <w:rsid w:val="00FE0514"/>
    <w:rsid w:val="00FE0E4D"/>
    <w:rsid w:val="00FE1149"/>
    <w:rsid w:val="00FE12E2"/>
    <w:rsid w:val="00FE15A7"/>
    <w:rsid w:val="00FE1A0C"/>
    <w:rsid w:val="00FE20C2"/>
    <w:rsid w:val="00FE2311"/>
    <w:rsid w:val="00FE2570"/>
    <w:rsid w:val="00FE291D"/>
    <w:rsid w:val="00FE2A20"/>
    <w:rsid w:val="00FE2D36"/>
    <w:rsid w:val="00FE2F5F"/>
    <w:rsid w:val="00FE30DA"/>
    <w:rsid w:val="00FE3836"/>
    <w:rsid w:val="00FE3F14"/>
    <w:rsid w:val="00FE3F2D"/>
    <w:rsid w:val="00FE4F20"/>
    <w:rsid w:val="00FE5169"/>
    <w:rsid w:val="00FE520B"/>
    <w:rsid w:val="00FE5BC7"/>
    <w:rsid w:val="00FE5D2C"/>
    <w:rsid w:val="00FE5DDC"/>
    <w:rsid w:val="00FE668A"/>
    <w:rsid w:val="00FE7454"/>
    <w:rsid w:val="00FE76A9"/>
    <w:rsid w:val="00FE7E51"/>
    <w:rsid w:val="00FF007C"/>
    <w:rsid w:val="00FF0426"/>
    <w:rsid w:val="00FF0BC7"/>
    <w:rsid w:val="00FF0C82"/>
    <w:rsid w:val="00FF12A8"/>
    <w:rsid w:val="00FF1722"/>
    <w:rsid w:val="00FF1F20"/>
    <w:rsid w:val="00FF1FFF"/>
    <w:rsid w:val="00FF2A0C"/>
    <w:rsid w:val="00FF364D"/>
    <w:rsid w:val="00FF3A51"/>
    <w:rsid w:val="00FF3B4D"/>
    <w:rsid w:val="00FF3B89"/>
    <w:rsid w:val="00FF4074"/>
    <w:rsid w:val="00FF42BF"/>
    <w:rsid w:val="00FF48F8"/>
    <w:rsid w:val="00FF4A1E"/>
    <w:rsid w:val="00FF4A5C"/>
    <w:rsid w:val="00FF4BB5"/>
    <w:rsid w:val="00FF4BD0"/>
    <w:rsid w:val="00FF4FD5"/>
    <w:rsid w:val="00FF505F"/>
    <w:rsid w:val="00FF50A6"/>
    <w:rsid w:val="00FF51E6"/>
    <w:rsid w:val="00FF56EC"/>
    <w:rsid w:val="00FF578E"/>
    <w:rsid w:val="00FF5A11"/>
    <w:rsid w:val="00FF5D68"/>
    <w:rsid w:val="00FF5E3E"/>
    <w:rsid w:val="00FF5FB3"/>
    <w:rsid w:val="00FF659E"/>
    <w:rsid w:val="00FF7C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5DC3A"/>
  <w15:chartTrackingRefBased/>
  <w15:docId w15:val="{AA688953-89B7-4E15-8517-42BA23D0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B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AA3AFD"/>
    <w:pPr>
      <w:keepNext/>
      <w:widowControl w:val="0"/>
      <w:tabs>
        <w:tab w:val="left" w:pos="567"/>
      </w:tabs>
      <w:spacing w:beforeLines="200" w:before="200" w:after="240"/>
      <w:outlineLvl w:val="0"/>
    </w:pPr>
    <w:rPr>
      <w:b/>
      <w:caps/>
      <w:snapToGrid w:val="0"/>
      <w:kern w:val="28"/>
      <w:u w:val="single"/>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qFormat/>
    <w:rsid w:val="00643F58"/>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qFormat/>
    <w:rsid w:val="00733890"/>
    <w:pPr>
      <w:numPr>
        <w:numId w:val="4"/>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unhideWhenUsed/>
    <w:rsid w:val="00943D01"/>
    <w:rPr>
      <w:sz w:val="20"/>
      <w:szCs w:val="20"/>
    </w:rPr>
  </w:style>
  <w:style w:type="character" w:customStyle="1" w:styleId="CommentTextChar">
    <w:name w:val="Comment Text Char"/>
    <w:basedOn w:val="DefaultParagraphFont"/>
    <w:link w:val="CommentText"/>
    <w:uiPriority w:val="99"/>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uiPriority w:val="99"/>
    <w:rsid w:val="00943D01"/>
    <w:pPr>
      <w:tabs>
        <w:tab w:val="center" w:pos="4320"/>
        <w:tab w:val="right" w:pos="8640"/>
      </w:tabs>
    </w:pPr>
  </w:style>
  <w:style w:type="character" w:customStyle="1" w:styleId="FooterChar">
    <w:name w:val="Footer Char"/>
    <w:basedOn w:val="DefaultParagraphFont"/>
    <w:link w:val="Footer"/>
    <w:uiPriority w:val="99"/>
    <w:rsid w:val="00943D01"/>
    <w:rPr>
      <w:rFonts w:ascii="Arial" w:eastAsia="Times New Roman" w:hAnsi="Arial" w:cs="Times New Roman"/>
      <w:szCs w:val="24"/>
    </w:rPr>
  </w:style>
  <w:style w:type="character" w:styleId="FootnoteReference">
    <w:name w:val="footnote reference"/>
    <w:aliases w:val="Ref,de nota al pie"/>
    <w:basedOn w:val="DefaultParagraphFont"/>
    <w:uiPriority w:val="99"/>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uiPriority w:val="99"/>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uiPriority w:val="99"/>
    <w:qFormat/>
    <w:rsid w:val="00943D01"/>
    <w:rPr>
      <w:rFonts w:ascii="Arial" w:eastAsia="Times New Roman" w:hAnsi="Arial" w:cs="Times New Roman"/>
      <w:sz w:val="20"/>
      <w:szCs w:val="20"/>
      <w:lang w:eastAsia="en-GB"/>
    </w:rPr>
  </w:style>
  <w:style w:type="paragraph" w:styleId="Header">
    <w:name w:val="header"/>
    <w:basedOn w:val="Normal"/>
    <w:link w:val="HeaderChar"/>
    <w:unhideWhenUsed/>
    <w:rsid w:val="00943D01"/>
    <w:pPr>
      <w:tabs>
        <w:tab w:val="center" w:pos="4680"/>
        <w:tab w:val="right" w:pos="9360"/>
      </w:tabs>
    </w:pPr>
  </w:style>
  <w:style w:type="character" w:customStyle="1" w:styleId="HeaderChar">
    <w:name w:val="Header Char"/>
    <w:basedOn w:val="DefaultParagraphFont"/>
    <w:link w:val="Header"/>
    <w:uiPriority w:val="99"/>
    <w:rsid w:val="00943D01"/>
    <w:rPr>
      <w:rFonts w:ascii="Arial" w:eastAsia="Times New Roman" w:hAnsi="Arial" w:cs="Times New Roman"/>
      <w:szCs w:val="24"/>
    </w:rPr>
  </w:style>
  <w:style w:type="character" w:customStyle="1" w:styleId="Heading1Char">
    <w:name w:val="Heading 1 Char"/>
    <w:basedOn w:val="DefaultParagraphFont"/>
    <w:link w:val="Heading1"/>
    <w:rsid w:val="00AA3AFD"/>
    <w:rPr>
      <w:rFonts w:ascii="Times New Roman" w:hAnsi="Times New Roman" w:cs="Times New Roman"/>
      <w:b/>
      <w:caps/>
      <w:snapToGrid w:val="0"/>
      <w:kern w:val="28"/>
      <w:sz w:val="24"/>
      <w:szCs w:val="24"/>
      <w:u w:val="single"/>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basedOn w:val="Normal"/>
    <w:uiPriority w:val="34"/>
    <w:qFormat/>
    <w:rsid w:val="00943D01"/>
    <w:pPr>
      <w:ind w:left="720"/>
      <w:contextualSpacing/>
    </w:pPr>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uiPriority w:val="39"/>
    <w:rsid w:val="006F1490"/>
    <w:pPr>
      <w:tabs>
        <w:tab w:val="left" w:pos="720"/>
        <w:tab w:val="right" w:leader="dot" w:pos="8364"/>
      </w:tabs>
      <w:jc w:val="both"/>
    </w:pPr>
  </w:style>
  <w:style w:type="paragraph" w:styleId="TOC2">
    <w:name w:val="toc 2"/>
    <w:basedOn w:val="Normal"/>
    <w:next w:val="Normal"/>
    <w:autoRedefine/>
    <w:uiPriority w:val="39"/>
    <w:rsid w:val="00943D01"/>
    <w:pPr>
      <w:tabs>
        <w:tab w:val="right" w:leader="dot" w:pos="8364"/>
      </w:tabs>
      <w:ind w:left="720"/>
    </w:pPr>
  </w:style>
  <w:style w:type="paragraph" w:styleId="TOC3">
    <w:name w:val="toc 3"/>
    <w:basedOn w:val="Normal"/>
    <w:next w:val="Normal"/>
    <w:autoRedefine/>
    <w:uiPriority w:val="39"/>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2"/>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2"/>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2"/>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2"/>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2"/>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2"/>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2"/>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2"/>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3"/>
      </w:numPr>
    </w:pPr>
  </w:style>
  <w:style w:type="paragraph" w:styleId="Quote">
    <w:name w:val="Quote"/>
    <w:basedOn w:val="Normal"/>
    <w:next w:val="Normal"/>
    <w:link w:val="QuoteChar"/>
    <w:qFormat/>
    <w:rsid w:val="00194C43"/>
    <w:pPr>
      <w:spacing w:before="200" w:after="160"/>
      <w:ind w:left="1440" w:right="862"/>
      <w:jc w:val="both"/>
    </w:pPr>
    <w:rPr>
      <w:iCs/>
      <w:color w:val="000000" w:themeColor="text1"/>
    </w:rPr>
  </w:style>
  <w:style w:type="character" w:customStyle="1" w:styleId="QuoteChar">
    <w:name w:val="Quote Char"/>
    <w:basedOn w:val="DefaultParagraphFont"/>
    <w:link w:val="Quote"/>
    <w:rsid w:val="00194C43"/>
    <w:rPr>
      <w:rFonts w:ascii="Times New Roman" w:hAnsi="Times New Roman" w:cs="Times New Roman"/>
      <w:iCs/>
      <w:color w:val="000000" w:themeColor="text1"/>
      <w:sz w:val="24"/>
      <w:szCs w:val="24"/>
    </w:rPr>
  </w:style>
  <w:style w:type="character" w:styleId="UnresolvedMention">
    <w:name w:val="Unresolved Mention"/>
    <w:basedOn w:val="DefaultParagraphFont"/>
    <w:uiPriority w:val="99"/>
    <w:semiHidden/>
    <w:unhideWhenUsed/>
    <w:rsid w:val="00784CF8"/>
    <w:rPr>
      <w:color w:val="605E5C"/>
      <w:shd w:val="clear" w:color="auto" w:fill="E1DFDD"/>
    </w:rPr>
  </w:style>
  <w:style w:type="table" w:styleId="TableGrid">
    <w:name w:val="Table Grid"/>
    <w:basedOn w:val="TableNormal"/>
    <w:uiPriority w:val="39"/>
    <w:rsid w:val="0000049B"/>
    <w:pPr>
      <w:spacing w:after="0" w:line="240" w:lineRule="auto"/>
    </w:pPr>
    <w:rPr>
      <w:rFonts w:ascii="Times New Roman" w:eastAsiaTheme="minorHAns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1B75"/>
    <w:pPr>
      <w:keepLines/>
      <w:widowControl/>
      <w:tabs>
        <w:tab w:val="clear" w:pos="567"/>
      </w:tabs>
      <w:spacing w:beforeLines="0" w:before="240" w:after="0" w:line="259" w:lineRule="auto"/>
      <w:outlineLvl w:val="9"/>
    </w:pPr>
    <w:rPr>
      <w:rFonts w:asciiTheme="majorHAnsi" w:eastAsiaTheme="majorEastAsia" w:hAnsiTheme="majorHAnsi" w:cstheme="majorBidi"/>
      <w:b w:val="0"/>
      <w:caps w:val="0"/>
      <w:snapToGrid/>
      <w:color w:val="2E74B5" w:themeColor="accent1" w:themeShade="BF"/>
      <w:kern w:val="0"/>
      <w:sz w:val="32"/>
      <w:szCs w:val="32"/>
      <w:lang w:val="en-US"/>
    </w:rPr>
  </w:style>
  <w:style w:type="paragraph" w:styleId="Revision">
    <w:name w:val="Revision"/>
    <w:hidden/>
    <w:uiPriority w:val="99"/>
    <w:semiHidden/>
    <w:rsid w:val="00104E43"/>
    <w:pPr>
      <w:spacing w:after="0" w:line="240" w:lineRule="auto"/>
    </w:pPr>
    <w:rPr>
      <w:rFonts w:ascii="Times New Roman" w:hAnsi="Times New Roman" w:cs="Times New Roman"/>
      <w:sz w:val="24"/>
      <w:szCs w:val="24"/>
    </w:rPr>
  </w:style>
  <w:style w:type="paragraph" w:customStyle="1" w:styleId="paragraph">
    <w:name w:val="paragraph"/>
    <w:basedOn w:val="Normal"/>
    <w:rsid w:val="00EE0B32"/>
    <w:pPr>
      <w:spacing w:before="100" w:beforeAutospacing="1" w:after="100" w:afterAutospacing="1"/>
    </w:pPr>
    <w:rPr>
      <w:lang w:eastAsia="en-GB"/>
    </w:rPr>
  </w:style>
  <w:style w:type="character" w:customStyle="1" w:styleId="normaltextrun">
    <w:name w:val="normaltextrun"/>
    <w:basedOn w:val="DefaultParagraphFont"/>
    <w:rsid w:val="00EE0B32"/>
  </w:style>
  <w:style w:type="character" w:customStyle="1" w:styleId="eop">
    <w:name w:val="eop"/>
    <w:basedOn w:val="DefaultParagraphFont"/>
    <w:rsid w:val="00EE0B32"/>
  </w:style>
  <w:style w:type="paragraph" w:styleId="NoSpacing">
    <w:name w:val="No Spacing"/>
    <w:uiPriority w:val="1"/>
    <w:qFormat/>
    <w:rsid w:val="00233FEA"/>
    <w:pPr>
      <w:spacing w:after="0" w:line="240" w:lineRule="auto"/>
    </w:pPr>
    <w:rPr>
      <w:rFonts w:ascii="Times New Roman" w:hAnsi="Times New Roman" w:cs="Times New Roman"/>
      <w:sz w:val="24"/>
      <w:szCs w:val="24"/>
    </w:rPr>
  </w:style>
  <w:style w:type="character" w:customStyle="1" w:styleId="cf01">
    <w:name w:val="cf01"/>
    <w:basedOn w:val="DefaultParagraphFont"/>
    <w:rsid w:val="004C1B71"/>
    <w:rPr>
      <w:rFonts w:ascii="Segoe UI" w:hAnsi="Segoe UI" w:cs="Segoe UI" w:hint="default"/>
      <w:sz w:val="18"/>
      <w:szCs w:val="18"/>
    </w:rPr>
  </w:style>
  <w:style w:type="paragraph" w:customStyle="1" w:styleId="pf0">
    <w:name w:val="pf0"/>
    <w:basedOn w:val="Normal"/>
    <w:rsid w:val="004C1B71"/>
    <w:pPr>
      <w:spacing w:before="100" w:beforeAutospacing="1" w:after="100" w:afterAutospacing="1"/>
    </w:pPr>
    <w:rPr>
      <w:lang w:eastAsia="en-GB"/>
    </w:rPr>
  </w:style>
  <w:style w:type="paragraph" w:customStyle="1" w:styleId="Cont-ParL1">
    <w:name w:val="Cont - Par L1"/>
    <w:basedOn w:val="Normal"/>
    <w:qFormat/>
    <w:rsid w:val="00213B0A"/>
    <w:pPr>
      <w:numPr>
        <w:numId w:val="14"/>
      </w:numPr>
      <w:spacing w:before="240" w:line="360" w:lineRule="auto"/>
      <w:ind w:left="283" w:right="-57"/>
      <w:jc w:val="both"/>
    </w:pPr>
    <w:rPr>
      <w:rFonts w:cstheme="minorBidi"/>
      <w:szCs w:val="22"/>
    </w:rPr>
  </w:style>
  <w:style w:type="paragraph" w:customStyle="1" w:styleId="xmsonormal">
    <w:name w:val="x_msonormal"/>
    <w:basedOn w:val="Normal"/>
    <w:rsid w:val="0082692A"/>
    <w:rPr>
      <w:rFonts w:ascii="Calibri" w:eastAsiaTheme="minorHAnsi" w:hAnsi="Calibri" w:cs="Calibri"/>
      <w:sz w:val="22"/>
      <w:szCs w:val="22"/>
      <w:lang w:eastAsia="en-GB"/>
    </w:rPr>
  </w:style>
  <w:style w:type="paragraph" w:customStyle="1" w:styleId="xmsolistparagraph">
    <w:name w:val="x_msolistparagraph"/>
    <w:basedOn w:val="Normal"/>
    <w:rsid w:val="0082692A"/>
    <w:pPr>
      <w:ind w:left="720"/>
    </w:pPr>
    <w:rPr>
      <w:rFonts w:ascii="Calibri" w:eastAsiaTheme="minorHAnsi" w:hAnsi="Calibri" w:cs="Calibri"/>
      <w:sz w:val="22"/>
      <w:szCs w:val="22"/>
      <w:lang w:eastAsia="en-GB"/>
    </w:rPr>
  </w:style>
  <w:style w:type="character" w:customStyle="1" w:styleId="cofootnotenode">
    <w:name w:val="co_footnotenode"/>
    <w:basedOn w:val="DefaultParagraphFont"/>
    <w:rsid w:val="00AB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508">
      <w:bodyDiv w:val="1"/>
      <w:marLeft w:val="0"/>
      <w:marRight w:val="0"/>
      <w:marTop w:val="0"/>
      <w:marBottom w:val="0"/>
      <w:divBdr>
        <w:top w:val="none" w:sz="0" w:space="0" w:color="auto"/>
        <w:left w:val="none" w:sz="0" w:space="0" w:color="auto"/>
        <w:bottom w:val="none" w:sz="0" w:space="0" w:color="auto"/>
        <w:right w:val="none" w:sz="0" w:space="0" w:color="auto"/>
      </w:divBdr>
      <w:divsChild>
        <w:div w:id="461967264">
          <w:marLeft w:val="0"/>
          <w:marRight w:val="0"/>
          <w:marTop w:val="0"/>
          <w:marBottom w:val="0"/>
          <w:divBdr>
            <w:top w:val="none" w:sz="0" w:space="0" w:color="auto"/>
            <w:left w:val="none" w:sz="0" w:space="0" w:color="auto"/>
            <w:bottom w:val="none" w:sz="0" w:space="0" w:color="auto"/>
            <w:right w:val="none" w:sz="0" w:space="0" w:color="auto"/>
          </w:divBdr>
          <w:divsChild>
            <w:div w:id="106504660">
              <w:marLeft w:val="0"/>
              <w:marRight w:val="0"/>
              <w:marTop w:val="0"/>
              <w:marBottom w:val="0"/>
              <w:divBdr>
                <w:top w:val="none" w:sz="0" w:space="0" w:color="auto"/>
                <w:left w:val="none" w:sz="0" w:space="0" w:color="auto"/>
                <w:bottom w:val="none" w:sz="0" w:space="0" w:color="auto"/>
                <w:right w:val="none" w:sz="0" w:space="0" w:color="auto"/>
              </w:divBdr>
              <w:divsChild>
                <w:div w:id="560167588">
                  <w:marLeft w:val="0"/>
                  <w:marRight w:val="0"/>
                  <w:marTop w:val="0"/>
                  <w:marBottom w:val="0"/>
                  <w:divBdr>
                    <w:top w:val="none" w:sz="0" w:space="0" w:color="auto"/>
                    <w:left w:val="none" w:sz="0" w:space="0" w:color="auto"/>
                    <w:bottom w:val="none" w:sz="0" w:space="0" w:color="auto"/>
                    <w:right w:val="none" w:sz="0" w:space="0" w:color="auto"/>
                  </w:divBdr>
                </w:div>
              </w:divsChild>
            </w:div>
            <w:div w:id="248738715">
              <w:marLeft w:val="0"/>
              <w:marRight w:val="0"/>
              <w:marTop w:val="0"/>
              <w:marBottom w:val="0"/>
              <w:divBdr>
                <w:top w:val="none" w:sz="0" w:space="0" w:color="auto"/>
                <w:left w:val="none" w:sz="0" w:space="0" w:color="auto"/>
                <w:bottom w:val="none" w:sz="0" w:space="0" w:color="auto"/>
                <w:right w:val="none" w:sz="0" w:space="0" w:color="auto"/>
              </w:divBdr>
              <w:divsChild>
                <w:div w:id="736823824">
                  <w:marLeft w:val="0"/>
                  <w:marRight w:val="0"/>
                  <w:marTop w:val="0"/>
                  <w:marBottom w:val="0"/>
                  <w:divBdr>
                    <w:top w:val="none" w:sz="0" w:space="0" w:color="auto"/>
                    <w:left w:val="none" w:sz="0" w:space="0" w:color="auto"/>
                    <w:bottom w:val="none" w:sz="0" w:space="0" w:color="auto"/>
                    <w:right w:val="none" w:sz="0" w:space="0" w:color="auto"/>
                  </w:divBdr>
                </w:div>
              </w:divsChild>
            </w:div>
            <w:div w:id="319114076">
              <w:marLeft w:val="0"/>
              <w:marRight w:val="0"/>
              <w:marTop w:val="0"/>
              <w:marBottom w:val="0"/>
              <w:divBdr>
                <w:top w:val="none" w:sz="0" w:space="0" w:color="auto"/>
                <w:left w:val="none" w:sz="0" w:space="0" w:color="auto"/>
                <w:bottom w:val="none" w:sz="0" w:space="0" w:color="auto"/>
                <w:right w:val="none" w:sz="0" w:space="0" w:color="auto"/>
              </w:divBdr>
              <w:divsChild>
                <w:div w:id="1260991819">
                  <w:marLeft w:val="0"/>
                  <w:marRight w:val="0"/>
                  <w:marTop w:val="0"/>
                  <w:marBottom w:val="0"/>
                  <w:divBdr>
                    <w:top w:val="none" w:sz="0" w:space="0" w:color="auto"/>
                    <w:left w:val="none" w:sz="0" w:space="0" w:color="auto"/>
                    <w:bottom w:val="none" w:sz="0" w:space="0" w:color="auto"/>
                    <w:right w:val="none" w:sz="0" w:space="0" w:color="auto"/>
                  </w:divBdr>
                </w:div>
              </w:divsChild>
            </w:div>
            <w:div w:id="737289542">
              <w:marLeft w:val="0"/>
              <w:marRight w:val="0"/>
              <w:marTop w:val="0"/>
              <w:marBottom w:val="0"/>
              <w:divBdr>
                <w:top w:val="none" w:sz="0" w:space="0" w:color="auto"/>
                <w:left w:val="none" w:sz="0" w:space="0" w:color="auto"/>
                <w:bottom w:val="none" w:sz="0" w:space="0" w:color="auto"/>
                <w:right w:val="none" w:sz="0" w:space="0" w:color="auto"/>
              </w:divBdr>
              <w:divsChild>
                <w:div w:id="1426029211">
                  <w:marLeft w:val="0"/>
                  <w:marRight w:val="0"/>
                  <w:marTop w:val="0"/>
                  <w:marBottom w:val="0"/>
                  <w:divBdr>
                    <w:top w:val="none" w:sz="0" w:space="0" w:color="auto"/>
                    <w:left w:val="none" w:sz="0" w:space="0" w:color="auto"/>
                    <w:bottom w:val="none" w:sz="0" w:space="0" w:color="auto"/>
                    <w:right w:val="none" w:sz="0" w:space="0" w:color="auto"/>
                  </w:divBdr>
                </w:div>
              </w:divsChild>
            </w:div>
            <w:div w:id="1631593922">
              <w:marLeft w:val="0"/>
              <w:marRight w:val="0"/>
              <w:marTop w:val="0"/>
              <w:marBottom w:val="0"/>
              <w:divBdr>
                <w:top w:val="none" w:sz="0" w:space="0" w:color="auto"/>
                <w:left w:val="none" w:sz="0" w:space="0" w:color="auto"/>
                <w:bottom w:val="none" w:sz="0" w:space="0" w:color="auto"/>
                <w:right w:val="none" w:sz="0" w:space="0" w:color="auto"/>
              </w:divBdr>
              <w:divsChild>
                <w:div w:id="302780743">
                  <w:marLeft w:val="0"/>
                  <w:marRight w:val="0"/>
                  <w:marTop w:val="0"/>
                  <w:marBottom w:val="0"/>
                  <w:divBdr>
                    <w:top w:val="none" w:sz="0" w:space="0" w:color="auto"/>
                    <w:left w:val="none" w:sz="0" w:space="0" w:color="auto"/>
                    <w:bottom w:val="none" w:sz="0" w:space="0" w:color="auto"/>
                    <w:right w:val="none" w:sz="0" w:space="0" w:color="auto"/>
                  </w:divBdr>
                </w:div>
              </w:divsChild>
            </w:div>
            <w:div w:id="1822697432">
              <w:marLeft w:val="0"/>
              <w:marRight w:val="0"/>
              <w:marTop w:val="0"/>
              <w:marBottom w:val="0"/>
              <w:divBdr>
                <w:top w:val="none" w:sz="0" w:space="0" w:color="auto"/>
                <w:left w:val="none" w:sz="0" w:space="0" w:color="auto"/>
                <w:bottom w:val="none" w:sz="0" w:space="0" w:color="auto"/>
                <w:right w:val="none" w:sz="0" w:space="0" w:color="auto"/>
              </w:divBdr>
              <w:divsChild>
                <w:div w:id="4587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991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22">
          <w:marLeft w:val="0"/>
          <w:marRight w:val="0"/>
          <w:marTop w:val="0"/>
          <w:marBottom w:val="0"/>
          <w:divBdr>
            <w:top w:val="none" w:sz="0" w:space="0" w:color="auto"/>
            <w:left w:val="none" w:sz="0" w:space="0" w:color="auto"/>
            <w:bottom w:val="none" w:sz="0" w:space="0" w:color="auto"/>
            <w:right w:val="none" w:sz="0" w:space="0" w:color="auto"/>
          </w:divBdr>
          <w:divsChild>
            <w:div w:id="1116364969">
              <w:marLeft w:val="0"/>
              <w:marRight w:val="0"/>
              <w:marTop w:val="0"/>
              <w:marBottom w:val="0"/>
              <w:divBdr>
                <w:top w:val="none" w:sz="0" w:space="0" w:color="auto"/>
                <w:left w:val="none" w:sz="0" w:space="0" w:color="auto"/>
                <w:bottom w:val="none" w:sz="0" w:space="0" w:color="auto"/>
                <w:right w:val="none" w:sz="0" w:space="0" w:color="auto"/>
              </w:divBdr>
            </w:div>
            <w:div w:id="1217813227">
              <w:marLeft w:val="0"/>
              <w:marRight w:val="0"/>
              <w:marTop w:val="0"/>
              <w:marBottom w:val="0"/>
              <w:divBdr>
                <w:top w:val="none" w:sz="0" w:space="0" w:color="auto"/>
                <w:left w:val="none" w:sz="0" w:space="0" w:color="auto"/>
                <w:bottom w:val="none" w:sz="0" w:space="0" w:color="auto"/>
                <w:right w:val="none" w:sz="0" w:space="0" w:color="auto"/>
              </w:divBdr>
            </w:div>
            <w:div w:id="176625876">
              <w:marLeft w:val="0"/>
              <w:marRight w:val="0"/>
              <w:marTop w:val="0"/>
              <w:marBottom w:val="0"/>
              <w:divBdr>
                <w:top w:val="none" w:sz="0" w:space="0" w:color="auto"/>
                <w:left w:val="none" w:sz="0" w:space="0" w:color="auto"/>
                <w:bottom w:val="none" w:sz="0" w:space="0" w:color="auto"/>
                <w:right w:val="none" w:sz="0" w:space="0" w:color="auto"/>
              </w:divBdr>
            </w:div>
            <w:div w:id="4259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1506">
      <w:bodyDiv w:val="1"/>
      <w:marLeft w:val="0"/>
      <w:marRight w:val="0"/>
      <w:marTop w:val="0"/>
      <w:marBottom w:val="0"/>
      <w:divBdr>
        <w:top w:val="none" w:sz="0" w:space="0" w:color="auto"/>
        <w:left w:val="none" w:sz="0" w:space="0" w:color="auto"/>
        <w:bottom w:val="none" w:sz="0" w:space="0" w:color="auto"/>
        <w:right w:val="none" w:sz="0" w:space="0" w:color="auto"/>
      </w:divBdr>
      <w:divsChild>
        <w:div w:id="1509634509">
          <w:marLeft w:val="0"/>
          <w:marRight w:val="0"/>
          <w:marTop w:val="0"/>
          <w:marBottom w:val="0"/>
          <w:divBdr>
            <w:top w:val="none" w:sz="0" w:space="0" w:color="auto"/>
            <w:left w:val="none" w:sz="0" w:space="0" w:color="auto"/>
            <w:bottom w:val="none" w:sz="0" w:space="0" w:color="auto"/>
            <w:right w:val="none" w:sz="0" w:space="0" w:color="auto"/>
          </w:divBdr>
        </w:div>
      </w:divsChild>
    </w:div>
    <w:div w:id="266697258">
      <w:bodyDiv w:val="1"/>
      <w:marLeft w:val="0"/>
      <w:marRight w:val="0"/>
      <w:marTop w:val="0"/>
      <w:marBottom w:val="0"/>
      <w:divBdr>
        <w:top w:val="none" w:sz="0" w:space="0" w:color="auto"/>
        <w:left w:val="none" w:sz="0" w:space="0" w:color="auto"/>
        <w:bottom w:val="none" w:sz="0" w:space="0" w:color="auto"/>
        <w:right w:val="none" w:sz="0" w:space="0" w:color="auto"/>
      </w:divBdr>
    </w:div>
    <w:div w:id="293684482">
      <w:bodyDiv w:val="1"/>
      <w:marLeft w:val="0"/>
      <w:marRight w:val="0"/>
      <w:marTop w:val="0"/>
      <w:marBottom w:val="0"/>
      <w:divBdr>
        <w:top w:val="none" w:sz="0" w:space="0" w:color="auto"/>
        <w:left w:val="none" w:sz="0" w:space="0" w:color="auto"/>
        <w:bottom w:val="none" w:sz="0" w:space="0" w:color="auto"/>
        <w:right w:val="none" w:sz="0" w:space="0" w:color="auto"/>
      </w:divBdr>
      <w:divsChild>
        <w:div w:id="58287452">
          <w:marLeft w:val="0"/>
          <w:marRight w:val="0"/>
          <w:marTop w:val="0"/>
          <w:marBottom w:val="0"/>
          <w:divBdr>
            <w:top w:val="none" w:sz="0" w:space="0" w:color="auto"/>
            <w:left w:val="none" w:sz="0" w:space="0" w:color="auto"/>
            <w:bottom w:val="none" w:sz="0" w:space="0" w:color="auto"/>
            <w:right w:val="none" w:sz="0" w:space="0" w:color="auto"/>
          </w:divBdr>
          <w:divsChild>
            <w:div w:id="1500852927">
              <w:marLeft w:val="0"/>
              <w:marRight w:val="0"/>
              <w:marTop w:val="0"/>
              <w:marBottom w:val="0"/>
              <w:divBdr>
                <w:top w:val="none" w:sz="0" w:space="0" w:color="auto"/>
                <w:left w:val="none" w:sz="0" w:space="0" w:color="auto"/>
                <w:bottom w:val="none" w:sz="0" w:space="0" w:color="auto"/>
                <w:right w:val="none" w:sz="0" w:space="0" w:color="auto"/>
              </w:divBdr>
            </w:div>
            <w:div w:id="15158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1353">
      <w:bodyDiv w:val="1"/>
      <w:marLeft w:val="0"/>
      <w:marRight w:val="0"/>
      <w:marTop w:val="0"/>
      <w:marBottom w:val="0"/>
      <w:divBdr>
        <w:top w:val="none" w:sz="0" w:space="0" w:color="auto"/>
        <w:left w:val="none" w:sz="0" w:space="0" w:color="auto"/>
        <w:bottom w:val="none" w:sz="0" w:space="0" w:color="auto"/>
        <w:right w:val="none" w:sz="0" w:space="0" w:color="auto"/>
      </w:divBdr>
    </w:div>
    <w:div w:id="384528905">
      <w:bodyDiv w:val="1"/>
      <w:marLeft w:val="0"/>
      <w:marRight w:val="0"/>
      <w:marTop w:val="0"/>
      <w:marBottom w:val="0"/>
      <w:divBdr>
        <w:top w:val="none" w:sz="0" w:space="0" w:color="auto"/>
        <w:left w:val="none" w:sz="0" w:space="0" w:color="auto"/>
        <w:bottom w:val="none" w:sz="0" w:space="0" w:color="auto"/>
        <w:right w:val="none" w:sz="0" w:space="0" w:color="auto"/>
      </w:divBdr>
    </w:div>
    <w:div w:id="539438330">
      <w:bodyDiv w:val="1"/>
      <w:marLeft w:val="0"/>
      <w:marRight w:val="0"/>
      <w:marTop w:val="0"/>
      <w:marBottom w:val="0"/>
      <w:divBdr>
        <w:top w:val="none" w:sz="0" w:space="0" w:color="auto"/>
        <w:left w:val="none" w:sz="0" w:space="0" w:color="auto"/>
        <w:bottom w:val="none" w:sz="0" w:space="0" w:color="auto"/>
        <w:right w:val="none" w:sz="0" w:space="0" w:color="auto"/>
      </w:divBdr>
    </w:div>
    <w:div w:id="998966350">
      <w:bodyDiv w:val="1"/>
      <w:marLeft w:val="0"/>
      <w:marRight w:val="0"/>
      <w:marTop w:val="0"/>
      <w:marBottom w:val="0"/>
      <w:divBdr>
        <w:top w:val="none" w:sz="0" w:space="0" w:color="auto"/>
        <w:left w:val="none" w:sz="0" w:space="0" w:color="auto"/>
        <w:bottom w:val="none" w:sz="0" w:space="0" w:color="auto"/>
        <w:right w:val="none" w:sz="0" w:space="0" w:color="auto"/>
      </w:divBdr>
    </w:div>
    <w:div w:id="1063600972">
      <w:bodyDiv w:val="1"/>
      <w:marLeft w:val="0"/>
      <w:marRight w:val="0"/>
      <w:marTop w:val="0"/>
      <w:marBottom w:val="0"/>
      <w:divBdr>
        <w:top w:val="none" w:sz="0" w:space="0" w:color="auto"/>
        <w:left w:val="none" w:sz="0" w:space="0" w:color="auto"/>
        <w:bottom w:val="none" w:sz="0" w:space="0" w:color="auto"/>
        <w:right w:val="none" w:sz="0" w:space="0" w:color="auto"/>
      </w:divBdr>
      <w:divsChild>
        <w:div w:id="225189832">
          <w:marLeft w:val="0"/>
          <w:marRight w:val="0"/>
          <w:marTop w:val="0"/>
          <w:marBottom w:val="0"/>
          <w:divBdr>
            <w:top w:val="none" w:sz="0" w:space="0" w:color="auto"/>
            <w:left w:val="none" w:sz="0" w:space="0" w:color="auto"/>
            <w:bottom w:val="none" w:sz="0" w:space="0" w:color="auto"/>
            <w:right w:val="none" w:sz="0" w:space="0" w:color="auto"/>
          </w:divBdr>
          <w:divsChild>
            <w:div w:id="77867132">
              <w:marLeft w:val="0"/>
              <w:marRight w:val="0"/>
              <w:marTop w:val="0"/>
              <w:marBottom w:val="0"/>
              <w:divBdr>
                <w:top w:val="none" w:sz="0" w:space="0" w:color="auto"/>
                <w:left w:val="none" w:sz="0" w:space="0" w:color="auto"/>
                <w:bottom w:val="none" w:sz="0" w:space="0" w:color="auto"/>
                <w:right w:val="none" w:sz="0" w:space="0" w:color="auto"/>
              </w:divBdr>
            </w:div>
            <w:div w:id="842357791">
              <w:marLeft w:val="0"/>
              <w:marRight w:val="0"/>
              <w:marTop w:val="0"/>
              <w:marBottom w:val="0"/>
              <w:divBdr>
                <w:top w:val="none" w:sz="0" w:space="0" w:color="auto"/>
                <w:left w:val="none" w:sz="0" w:space="0" w:color="auto"/>
                <w:bottom w:val="none" w:sz="0" w:space="0" w:color="auto"/>
                <w:right w:val="none" w:sz="0" w:space="0" w:color="auto"/>
              </w:divBdr>
            </w:div>
            <w:div w:id="880094804">
              <w:marLeft w:val="0"/>
              <w:marRight w:val="0"/>
              <w:marTop w:val="0"/>
              <w:marBottom w:val="0"/>
              <w:divBdr>
                <w:top w:val="none" w:sz="0" w:space="0" w:color="auto"/>
                <w:left w:val="none" w:sz="0" w:space="0" w:color="auto"/>
                <w:bottom w:val="none" w:sz="0" w:space="0" w:color="auto"/>
                <w:right w:val="none" w:sz="0" w:space="0" w:color="auto"/>
              </w:divBdr>
            </w:div>
            <w:div w:id="13630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403">
      <w:bodyDiv w:val="1"/>
      <w:marLeft w:val="0"/>
      <w:marRight w:val="0"/>
      <w:marTop w:val="0"/>
      <w:marBottom w:val="0"/>
      <w:divBdr>
        <w:top w:val="none" w:sz="0" w:space="0" w:color="auto"/>
        <w:left w:val="none" w:sz="0" w:space="0" w:color="auto"/>
        <w:bottom w:val="none" w:sz="0" w:space="0" w:color="auto"/>
        <w:right w:val="none" w:sz="0" w:space="0" w:color="auto"/>
      </w:divBdr>
    </w:div>
    <w:div w:id="1212158527">
      <w:bodyDiv w:val="1"/>
      <w:marLeft w:val="0"/>
      <w:marRight w:val="0"/>
      <w:marTop w:val="0"/>
      <w:marBottom w:val="0"/>
      <w:divBdr>
        <w:top w:val="none" w:sz="0" w:space="0" w:color="auto"/>
        <w:left w:val="none" w:sz="0" w:space="0" w:color="auto"/>
        <w:bottom w:val="none" w:sz="0" w:space="0" w:color="auto"/>
        <w:right w:val="none" w:sz="0" w:space="0" w:color="auto"/>
      </w:divBdr>
    </w:div>
    <w:div w:id="1272321831">
      <w:bodyDiv w:val="1"/>
      <w:marLeft w:val="0"/>
      <w:marRight w:val="0"/>
      <w:marTop w:val="0"/>
      <w:marBottom w:val="0"/>
      <w:divBdr>
        <w:top w:val="none" w:sz="0" w:space="0" w:color="auto"/>
        <w:left w:val="none" w:sz="0" w:space="0" w:color="auto"/>
        <w:bottom w:val="none" w:sz="0" w:space="0" w:color="auto"/>
        <w:right w:val="none" w:sz="0" w:space="0" w:color="auto"/>
      </w:divBdr>
    </w:div>
    <w:div w:id="1305740688">
      <w:bodyDiv w:val="1"/>
      <w:marLeft w:val="0"/>
      <w:marRight w:val="0"/>
      <w:marTop w:val="0"/>
      <w:marBottom w:val="0"/>
      <w:divBdr>
        <w:top w:val="none" w:sz="0" w:space="0" w:color="auto"/>
        <w:left w:val="none" w:sz="0" w:space="0" w:color="auto"/>
        <w:bottom w:val="none" w:sz="0" w:space="0" w:color="auto"/>
        <w:right w:val="none" w:sz="0" w:space="0" w:color="auto"/>
      </w:divBdr>
      <w:divsChild>
        <w:div w:id="1375469737">
          <w:marLeft w:val="0"/>
          <w:marRight w:val="0"/>
          <w:marTop w:val="0"/>
          <w:marBottom w:val="0"/>
          <w:divBdr>
            <w:top w:val="none" w:sz="0" w:space="0" w:color="auto"/>
            <w:left w:val="none" w:sz="0" w:space="0" w:color="auto"/>
            <w:bottom w:val="none" w:sz="0" w:space="0" w:color="auto"/>
            <w:right w:val="none" w:sz="0" w:space="0" w:color="auto"/>
          </w:divBdr>
          <w:divsChild>
            <w:div w:id="1128470533">
              <w:marLeft w:val="0"/>
              <w:marRight w:val="0"/>
              <w:marTop w:val="0"/>
              <w:marBottom w:val="0"/>
              <w:divBdr>
                <w:top w:val="none" w:sz="0" w:space="0" w:color="auto"/>
                <w:left w:val="none" w:sz="0" w:space="0" w:color="auto"/>
                <w:bottom w:val="none" w:sz="0" w:space="0" w:color="auto"/>
                <w:right w:val="none" w:sz="0" w:space="0" w:color="auto"/>
              </w:divBdr>
            </w:div>
            <w:div w:id="317729634">
              <w:marLeft w:val="0"/>
              <w:marRight w:val="0"/>
              <w:marTop w:val="0"/>
              <w:marBottom w:val="0"/>
              <w:divBdr>
                <w:top w:val="none" w:sz="0" w:space="0" w:color="auto"/>
                <w:left w:val="none" w:sz="0" w:space="0" w:color="auto"/>
                <w:bottom w:val="none" w:sz="0" w:space="0" w:color="auto"/>
                <w:right w:val="none" w:sz="0" w:space="0" w:color="auto"/>
              </w:divBdr>
            </w:div>
            <w:div w:id="1926063244">
              <w:marLeft w:val="0"/>
              <w:marRight w:val="0"/>
              <w:marTop w:val="0"/>
              <w:marBottom w:val="0"/>
              <w:divBdr>
                <w:top w:val="none" w:sz="0" w:space="0" w:color="auto"/>
                <w:left w:val="none" w:sz="0" w:space="0" w:color="auto"/>
                <w:bottom w:val="none" w:sz="0" w:space="0" w:color="auto"/>
                <w:right w:val="none" w:sz="0" w:space="0" w:color="auto"/>
              </w:divBdr>
            </w:div>
            <w:div w:id="80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921">
      <w:bodyDiv w:val="1"/>
      <w:marLeft w:val="0"/>
      <w:marRight w:val="0"/>
      <w:marTop w:val="0"/>
      <w:marBottom w:val="0"/>
      <w:divBdr>
        <w:top w:val="none" w:sz="0" w:space="0" w:color="auto"/>
        <w:left w:val="none" w:sz="0" w:space="0" w:color="auto"/>
        <w:bottom w:val="none" w:sz="0" w:space="0" w:color="auto"/>
        <w:right w:val="none" w:sz="0" w:space="0" w:color="auto"/>
      </w:divBdr>
    </w:div>
    <w:div w:id="1753771969">
      <w:bodyDiv w:val="1"/>
      <w:marLeft w:val="0"/>
      <w:marRight w:val="0"/>
      <w:marTop w:val="0"/>
      <w:marBottom w:val="0"/>
      <w:divBdr>
        <w:top w:val="none" w:sz="0" w:space="0" w:color="auto"/>
        <w:left w:val="none" w:sz="0" w:space="0" w:color="auto"/>
        <w:bottom w:val="none" w:sz="0" w:space="0" w:color="auto"/>
        <w:right w:val="none" w:sz="0" w:space="0" w:color="auto"/>
      </w:divBdr>
      <w:divsChild>
        <w:div w:id="1017124174">
          <w:marLeft w:val="0"/>
          <w:marRight w:val="0"/>
          <w:marTop w:val="0"/>
          <w:marBottom w:val="0"/>
          <w:divBdr>
            <w:top w:val="none" w:sz="0" w:space="0" w:color="auto"/>
            <w:left w:val="none" w:sz="0" w:space="0" w:color="auto"/>
            <w:bottom w:val="none" w:sz="0" w:space="0" w:color="auto"/>
            <w:right w:val="none" w:sz="0" w:space="0" w:color="auto"/>
          </w:divBdr>
          <w:divsChild>
            <w:div w:id="130221488">
              <w:marLeft w:val="0"/>
              <w:marRight w:val="0"/>
              <w:marTop w:val="0"/>
              <w:marBottom w:val="0"/>
              <w:divBdr>
                <w:top w:val="none" w:sz="0" w:space="0" w:color="auto"/>
                <w:left w:val="none" w:sz="0" w:space="0" w:color="auto"/>
                <w:bottom w:val="none" w:sz="0" w:space="0" w:color="auto"/>
                <w:right w:val="none" w:sz="0" w:space="0" w:color="auto"/>
              </w:divBdr>
            </w:div>
            <w:div w:id="712536570">
              <w:marLeft w:val="0"/>
              <w:marRight w:val="0"/>
              <w:marTop w:val="0"/>
              <w:marBottom w:val="0"/>
              <w:divBdr>
                <w:top w:val="none" w:sz="0" w:space="0" w:color="auto"/>
                <w:left w:val="none" w:sz="0" w:space="0" w:color="auto"/>
                <w:bottom w:val="none" w:sz="0" w:space="0" w:color="auto"/>
                <w:right w:val="none" w:sz="0" w:space="0" w:color="auto"/>
              </w:divBdr>
            </w:div>
            <w:div w:id="832600020">
              <w:marLeft w:val="0"/>
              <w:marRight w:val="0"/>
              <w:marTop w:val="0"/>
              <w:marBottom w:val="0"/>
              <w:divBdr>
                <w:top w:val="none" w:sz="0" w:space="0" w:color="auto"/>
                <w:left w:val="none" w:sz="0" w:space="0" w:color="auto"/>
                <w:bottom w:val="none" w:sz="0" w:space="0" w:color="auto"/>
                <w:right w:val="none" w:sz="0" w:space="0" w:color="auto"/>
              </w:divBdr>
            </w:div>
            <w:div w:id="5412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218">
      <w:bodyDiv w:val="1"/>
      <w:marLeft w:val="0"/>
      <w:marRight w:val="0"/>
      <w:marTop w:val="0"/>
      <w:marBottom w:val="0"/>
      <w:divBdr>
        <w:top w:val="none" w:sz="0" w:space="0" w:color="auto"/>
        <w:left w:val="none" w:sz="0" w:space="0" w:color="auto"/>
        <w:bottom w:val="none" w:sz="0" w:space="0" w:color="auto"/>
        <w:right w:val="none" w:sz="0" w:space="0" w:color="auto"/>
      </w:divBdr>
    </w:div>
    <w:div w:id="1888878625">
      <w:bodyDiv w:val="1"/>
      <w:marLeft w:val="0"/>
      <w:marRight w:val="0"/>
      <w:marTop w:val="0"/>
      <w:marBottom w:val="0"/>
      <w:divBdr>
        <w:top w:val="none" w:sz="0" w:space="0" w:color="auto"/>
        <w:left w:val="none" w:sz="0" w:space="0" w:color="auto"/>
        <w:bottom w:val="none" w:sz="0" w:space="0" w:color="auto"/>
        <w:right w:val="none" w:sz="0" w:space="0" w:color="auto"/>
      </w:divBdr>
      <w:divsChild>
        <w:div w:id="2002614967">
          <w:marLeft w:val="0"/>
          <w:marRight w:val="0"/>
          <w:marTop w:val="0"/>
          <w:marBottom w:val="0"/>
          <w:divBdr>
            <w:top w:val="none" w:sz="0" w:space="0" w:color="auto"/>
            <w:left w:val="none" w:sz="0" w:space="0" w:color="auto"/>
            <w:bottom w:val="none" w:sz="0" w:space="0" w:color="auto"/>
            <w:right w:val="none" w:sz="0" w:space="0" w:color="auto"/>
          </w:divBdr>
          <w:divsChild>
            <w:div w:id="250430374">
              <w:marLeft w:val="0"/>
              <w:marRight w:val="0"/>
              <w:marTop w:val="0"/>
              <w:marBottom w:val="0"/>
              <w:divBdr>
                <w:top w:val="none" w:sz="0" w:space="0" w:color="auto"/>
                <w:left w:val="none" w:sz="0" w:space="0" w:color="auto"/>
                <w:bottom w:val="none" w:sz="0" w:space="0" w:color="auto"/>
                <w:right w:val="none" w:sz="0" w:space="0" w:color="auto"/>
              </w:divBdr>
            </w:div>
            <w:div w:id="740643133">
              <w:marLeft w:val="0"/>
              <w:marRight w:val="0"/>
              <w:marTop w:val="0"/>
              <w:marBottom w:val="0"/>
              <w:divBdr>
                <w:top w:val="none" w:sz="0" w:space="0" w:color="auto"/>
                <w:left w:val="none" w:sz="0" w:space="0" w:color="auto"/>
                <w:bottom w:val="none" w:sz="0" w:space="0" w:color="auto"/>
                <w:right w:val="none" w:sz="0" w:space="0" w:color="auto"/>
              </w:divBdr>
            </w:div>
            <w:div w:id="910697772">
              <w:marLeft w:val="0"/>
              <w:marRight w:val="0"/>
              <w:marTop w:val="0"/>
              <w:marBottom w:val="0"/>
              <w:divBdr>
                <w:top w:val="none" w:sz="0" w:space="0" w:color="auto"/>
                <w:left w:val="none" w:sz="0" w:space="0" w:color="auto"/>
                <w:bottom w:val="none" w:sz="0" w:space="0" w:color="auto"/>
                <w:right w:val="none" w:sz="0" w:space="0" w:color="auto"/>
              </w:divBdr>
            </w:div>
            <w:div w:id="1043138660">
              <w:marLeft w:val="0"/>
              <w:marRight w:val="0"/>
              <w:marTop w:val="0"/>
              <w:marBottom w:val="0"/>
              <w:divBdr>
                <w:top w:val="none" w:sz="0" w:space="0" w:color="auto"/>
                <w:left w:val="none" w:sz="0" w:space="0" w:color="auto"/>
                <w:bottom w:val="none" w:sz="0" w:space="0" w:color="auto"/>
                <w:right w:val="none" w:sz="0" w:space="0" w:color="auto"/>
              </w:divBdr>
            </w:div>
            <w:div w:id="14611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647">
      <w:bodyDiv w:val="1"/>
      <w:marLeft w:val="0"/>
      <w:marRight w:val="0"/>
      <w:marTop w:val="0"/>
      <w:marBottom w:val="0"/>
      <w:divBdr>
        <w:top w:val="none" w:sz="0" w:space="0" w:color="auto"/>
        <w:left w:val="none" w:sz="0" w:space="0" w:color="auto"/>
        <w:bottom w:val="none" w:sz="0" w:space="0" w:color="auto"/>
        <w:right w:val="none" w:sz="0" w:space="0" w:color="auto"/>
      </w:divBdr>
      <w:divsChild>
        <w:div w:id="444466599">
          <w:marLeft w:val="0"/>
          <w:marRight w:val="0"/>
          <w:marTop w:val="0"/>
          <w:marBottom w:val="0"/>
          <w:divBdr>
            <w:top w:val="none" w:sz="0" w:space="0" w:color="auto"/>
            <w:left w:val="none" w:sz="0" w:space="0" w:color="auto"/>
            <w:bottom w:val="none" w:sz="0" w:space="0" w:color="auto"/>
            <w:right w:val="none" w:sz="0" w:space="0" w:color="auto"/>
          </w:divBdr>
          <w:divsChild>
            <w:div w:id="86856240">
              <w:marLeft w:val="0"/>
              <w:marRight w:val="0"/>
              <w:marTop w:val="0"/>
              <w:marBottom w:val="0"/>
              <w:divBdr>
                <w:top w:val="none" w:sz="0" w:space="0" w:color="auto"/>
                <w:left w:val="none" w:sz="0" w:space="0" w:color="auto"/>
                <w:bottom w:val="none" w:sz="0" w:space="0" w:color="auto"/>
                <w:right w:val="none" w:sz="0" w:space="0" w:color="auto"/>
              </w:divBdr>
            </w:div>
            <w:div w:id="367217441">
              <w:marLeft w:val="0"/>
              <w:marRight w:val="0"/>
              <w:marTop w:val="0"/>
              <w:marBottom w:val="0"/>
              <w:divBdr>
                <w:top w:val="none" w:sz="0" w:space="0" w:color="auto"/>
                <w:left w:val="none" w:sz="0" w:space="0" w:color="auto"/>
                <w:bottom w:val="none" w:sz="0" w:space="0" w:color="auto"/>
                <w:right w:val="none" w:sz="0" w:space="0" w:color="auto"/>
              </w:divBdr>
            </w:div>
            <w:div w:id="1075321338">
              <w:marLeft w:val="0"/>
              <w:marRight w:val="0"/>
              <w:marTop w:val="0"/>
              <w:marBottom w:val="0"/>
              <w:divBdr>
                <w:top w:val="none" w:sz="0" w:space="0" w:color="auto"/>
                <w:left w:val="none" w:sz="0" w:space="0" w:color="auto"/>
                <w:bottom w:val="none" w:sz="0" w:space="0" w:color="auto"/>
                <w:right w:val="none" w:sz="0" w:space="0" w:color="auto"/>
              </w:divBdr>
            </w:div>
            <w:div w:id="322394477">
              <w:marLeft w:val="0"/>
              <w:marRight w:val="0"/>
              <w:marTop w:val="0"/>
              <w:marBottom w:val="0"/>
              <w:divBdr>
                <w:top w:val="none" w:sz="0" w:space="0" w:color="auto"/>
                <w:left w:val="none" w:sz="0" w:space="0" w:color="auto"/>
                <w:bottom w:val="none" w:sz="0" w:space="0" w:color="auto"/>
                <w:right w:val="none" w:sz="0" w:space="0" w:color="auto"/>
              </w:divBdr>
            </w:div>
            <w:div w:id="11226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986">
      <w:bodyDiv w:val="1"/>
      <w:marLeft w:val="0"/>
      <w:marRight w:val="0"/>
      <w:marTop w:val="0"/>
      <w:marBottom w:val="0"/>
      <w:divBdr>
        <w:top w:val="none" w:sz="0" w:space="0" w:color="auto"/>
        <w:left w:val="none" w:sz="0" w:space="0" w:color="auto"/>
        <w:bottom w:val="none" w:sz="0" w:space="0" w:color="auto"/>
        <w:right w:val="none" w:sz="0" w:space="0" w:color="auto"/>
      </w:divBdr>
    </w:div>
    <w:div w:id="21281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46C1-9AF2-438E-8255-5A120F93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12747</Words>
  <Characters>72664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85241</CharactersWithSpaces>
  <SharedDoc>false</SharedDoc>
  <HLinks>
    <vt:vector size="6" baseType="variant">
      <vt:variant>
        <vt:i4>3866626</vt:i4>
      </vt:variant>
      <vt:variant>
        <vt:i4>9</vt:i4>
      </vt:variant>
      <vt:variant>
        <vt:i4>0</vt:i4>
      </vt:variant>
      <vt:variant>
        <vt:i4>5</vt:i4>
      </vt:variant>
      <vt:variant>
        <vt:lpwstr>mailto:feral.suleyman@justice.gov.uk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Cockerill</dc:creator>
  <cp:keywords/>
  <dc:description/>
  <cp:lastModifiedBy>Aylward, Catherine</cp:lastModifiedBy>
  <cp:revision>2</cp:revision>
  <cp:lastPrinted>2023-03-16T08:21:00Z</cp:lastPrinted>
  <dcterms:created xsi:type="dcterms:W3CDTF">2024-05-08T15:25:00Z</dcterms:created>
  <dcterms:modified xsi:type="dcterms:W3CDTF">2024-05-08T15:25:00Z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CJudgeDate">
    <vt:lpwstr>29/07/2022</vt:lpwstr>
  </property>
  <property fmtid="{D5CDD505-2E9C-101B-9397-08002B2CF9AE}" pid="3" name="MSIP_Label_61c22e59-6e76-40e7-9277-37c464fc6354_Enabled">
    <vt:lpwstr>true</vt:lpwstr>
  </property>
  <property fmtid="{D5CDD505-2E9C-101B-9397-08002B2CF9AE}" pid="4" name="MSIP_Label_61c22e59-6e76-40e7-9277-37c464fc6354_SetDate">
    <vt:lpwstr>2024-05-08T14:59:53Z</vt:lpwstr>
  </property>
  <property fmtid="{D5CDD505-2E9C-101B-9397-08002B2CF9AE}" pid="5" name="MSIP_Label_61c22e59-6e76-40e7-9277-37c464fc6354_Method">
    <vt:lpwstr>Privileged</vt:lpwstr>
  </property>
  <property fmtid="{D5CDD505-2E9C-101B-9397-08002B2CF9AE}" pid="6" name="MSIP_Label_61c22e59-6e76-40e7-9277-37c464fc6354_Name">
    <vt:lpwstr>OFFICIAL</vt:lpwstr>
  </property>
  <property fmtid="{D5CDD505-2E9C-101B-9397-08002B2CF9AE}" pid="7" name="MSIP_Label_61c22e59-6e76-40e7-9277-37c464fc6354_SiteId">
    <vt:lpwstr>f99512c1-fd9f-4475-9896-9a0b3cdc50ec</vt:lpwstr>
  </property>
  <property fmtid="{D5CDD505-2E9C-101B-9397-08002B2CF9AE}" pid="8" name="MSIP_Label_61c22e59-6e76-40e7-9277-37c464fc6354_ActionId">
    <vt:lpwstr>1b98f243-b06f-4dd3-b190-72b367b84351</vt:lpwstr>
  </property>
  <property fmtid="{D5CDD505-2E9C-101B-9397-08002B2CF9AE}" pid="9" name="MSIP_Label_61c22e59-6e76-40e7-9277-37c464fc6354_ContentBits">
    <vt:lpwstr>0</vt:lpwstr>
  </property>
</Properties>
</file>