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8972C" w14:textId="1F52A9EB" w:rsidR="00C439A3" w:rsidRDefault="0029588C" w:rsidP="0029588C">
      <w:pPr>
        <w:jc w:val="center"/>
      </w:pPr>
      <w:r w:rsidRPr="0029588C">
        <w:pict w14:anchorId="554669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75.75pt">
            <v:imagedata r:id="rId11" o:title="crest"/>
          </v:shape>
        </w:pict>
      </w:r>
    </w:p>
    <w:p w14:paraId="5002A331" w14:textId="77777777" w:rsidR="0029588C" w:rsidRDefault="0029588C">
      <w:pPr>
        <w:jc w:val="right"/>
      </w:pPr>
    </w:p>
    <w:p w14:paraId="324C4555" w14:textId="04D76910" w:rsidR="00C439A3" w:rsidRDefault="00C439A3">
      <w:pPr>
        <w:pStyle w:val="CoverText"/>
        <w:jc w:val="left"/>
        <w:rPr>
          <w:bCs/>
          <w:sz w:val="20"/>
          <w:u w:val="none"/>
        </w:rPr>
      </w:pPr>
      <w:r>
        <w:rPr>
          <w:bCs/>
        </w:rPr>
        <w:t xml:space="preserve">Neutral Citation Number: </w:t>
      </w:r>
      <w:r w:rsidR="00C765B6">
        <w:rPr>
          <w:bCs/>
        </w:rPr>
        <w:t xml:space="preserve">[2021] </w:t>
      </w:r>
      <w:proofErr w:type="spellStart"/>
      <w:r w:rsidR="00C765B6">
        <w:rPr>
          <w:bCs/>
        </w:rPr>
        <w:t>EWCA</w:t>
      </w:r>
      <w:proofErr w:type="spellEnd"/>
      <w:r w:rsidR="00C765B6">
        <w:rPr>
          <w:bCs/>
        </w:rPr>
        <w:t xml:space="preserve"> </w:t>
      </w:r>
      <w:proofErr w:type="spellStart"/>
      <w:r w:rsidR="00C765B6">
        <w:rPr>
          <w:bCs/>
        </w:rPr>
        <w:t>Civ</w:t>
      </w:r>
      <w:proofErr w:type="spellEnd"/>
      <w:r w:rsidR="00C765B6">
        <w:rPr>
          <w:bCs/>
        </w:rPr>
        <w:t xml:space="preserve"> 1881</w:t>
      </w:r>
      <w:r>
        <w:rPr>
          <w:bCs/>
        </w:rPr>
        <w:br/>
      </w:r>
    </w:p>
    <w:p w14:paraId="330C9942" w14:textId="18C74FF6" w:rsidR="00C439A3" w:rsidRDefault="00C439A3">
      <w:pPr>
        <w:pStyle w:val="CoverText"/>
        <w:rPr>
          <w:b/>
          <w:spacing w:val="-3"/>
        </w:rPr>
      </w:pPr>
      <w:r>
        <w:t xml:space="preserve">Case No: </w:t>
      </w:r>
      <w:r w:rsidR="00403088">
        <w:t>B2/2021/0515</w:t>
      </w:r>
    </w:p>
    <w:p w14:paraId="0560487B" w14:textId="77777777" w:rsidR="00C439A3" w:rsidRDefault="00C439A3">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COURT OF APPEAL (</w:t>
      </w:r>
      <w:r w:rsidR="00403088">
        <w:t>CIVIL</w:t>
      </w:r>
      <w:r>
        <w:t xml:space="preserve"> DIVISION)</w:t>
      </w:r>
    </w:p>
    <w:p w14:paraId="59C93F71" w14:textId="5811893F" w:rsidR="00C439A3" w:rsidRDefault="00C439A3">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 xml:space="preserve">ON APPEAL FROM </w:t>
      </w:r>
      <w:r w:rsidR="00403088">
        <w:t>THE COUNTY COURT AT CENTRAL LONDON</w:t>
      </w:r>
    </w:p>
    <w:p w14:paraId="1893CB10" w14:textId="6823C47D" w:rsidR="00C439A3" w:rsidRDefault="00403088">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 xml:space="preserve">Her Honour Judge </w:t>
      </w:r>
      <w:proofErr w:type="spellStart"/>
      <w:r>
        <w:t>Baucher</w:t>
      </w:r>
      <w:proofErr w:type="spellEnd"/>
    </w:p>
    <w:p w14:paraId="78E1E5B2" w14:textId="1B8588A2" w:rsidR="00C439A3" w:rsidRDefault="00403088">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Case No</w:t>
      </w:r>
      <w:r w:rsidR="00D9413D">
        <w:t>:</w:t>
      </w:r>
      <w:r>
        <w:t xml:space="preserve"> E01W1947</w:t>
      </w:r>
    </w:p>
    <w:p w14:paraId="0D35E969" w14:textId="77777777" w:rsidR="00C439A3" w:rsidRDefault="00C439A3">
      <w:pPr>
        <w:pStyle w:val="CoverText"/>
      </w:pPr>
      <w:r>
        <w:t>Royal Courts of Justice</w:t>
      </w:r>
    </w:p>
    <w:p w14:paraId="68480B7A" w14:textId="77777777" w:rsidR="00C439A3" w:rsidRDefault="00C439A3">
      <w:pPr>
        <w:pStyle w:val="CoverText"/>
      </w:pPr>
      <w:r>
        <w:t>Strand, London, WC2A 2LL</w:t>
      </w:r>
    </w:p>
    <w:p w14:paraId="2EED3936" w14:textId="77777777" w:rsidR="00C439A3" w:rsidRDefault="00C439A3">
      <w:pPr>
        <w:suppressAutoHyphens/>
        <w:jc w:val="right"/>
        <w:rPr>
          <w:spacing w:val="-3"/>
          <w:u w:val="single"/>
        </w:rPr>
      </w:pPr>
    </w:p>
    <w:p w14:paraId="5DB8AA0D" w14:textId="7BA0A00A" w:rsidR="00C439A3" w:rsidRDefault="00C439A3">
      <w:pPr>
        <w:pStyle w:val="CoverText"/>
        <w:rPr>
          <w:b/>
        </w:rPr>
      </w:pPr>
      <w:r>
        <w:t xml:space="preserve">Date: </w:t>
      </w:r>
      <w:r w:rsidR="00C765B6">
        <w:t>10/12/2021</w:t>
      </w:r>
    </w:p>
    <w:p w14:paraId="1060A1F9" w14:textId="6EEE4924" w:rsidR="00C439A3" w:rsidRDefault="00C439A3">
      <w:pPr>
        <w:suppressAutoHyphens/>
        <w:jc w:val="center"/>
        <w:rPr>
          <w:b/>
          <w:spacing w:val="-3"/>
        </w:rPr>
      </w:pPr>
      <w:r>
        <w:rPr>
          <w:b/>
          <w:spacing w:val="-3"/>
        </w:rPr>
        <w:t>Before:</w:t>
      </w:r>
    </w:p>
    <w:p w14:paraId="66327A7D" w14:textId="77777777" w:rsidR="00C439A3" w:rsidRDefault="00C439A3">
      <w:pPr>
        <w:suppressAutoHyphens/>
        <w:jc w:val="center"/>
        <w:rPr>
          <w:spacing w:val="-3"/>
        </w:rPr>
      </w:pPr>
    </w:p>
    <w:p w14:paraId="3991ED9E" w14:textId="6C1F9033" w:rsidR="00C439A3" w:rsidRDefault="00403088">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LORD JUSTICE NEWEY</w:t>
      </w:r>
    </w:p>
    <w:p w14:paraId="2E55A8EE" w14:textId="1716C6EE" w:rsidR="00C439A3" w:rsidRDefault="00403088">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LORD JUSTICE NUGEE</w:t>
      </w:r>
      <w:r w:rsidR="00C439A3">
        <w:br/>
      </w:r>
      <w:r w:rsidR="00C439A3">
        <w:rPr>
          <w:b w:val="0"/>
          <w:bCs/>
          <w:u w:val="none"/>
        </w:rPr>
        <w:t>and</w:t>
      </w:r>
    </w:p>
    <w:p w14:paraId="273E86D5" w14:textId="5A5BA973" w:rsidR="00C439A3" w:rsidRDefault="00403088">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MR JUSTICE FRANCIS</w:t>
      </w:r>
    </w:p>
    <w:p w14:paraId="24C76116" w14:textId="77777777" w:rsidR="00C439A3" w:rsidRDefault="00C439A3">
      <w:pPr>
        <w:suppressAutoHyphens/>
        <w:jc w:val="center"/>
        <w:rPr>
          <w:spacing w:val="-3"/>
        </w:rPr>
      </w:pPr>
      <w:r>
        <w:rPr>
          <w:spacing w:val="-3"/>
        </w:rPr>
        <w:t>- - - - - - - - - - - - - - - - - - - - -</w:t>
      </w:r>
    </w:p>
    <w:p w14:paraId="0FE45C51" w14:textId="77777777" w:rsidR="00C439A3" w:rsidRDefault="00C439A3">
      <w:pPr>
        <w:suppressAutoHyphens/>
        <w:jc w:val="center"/>
        <w:rPr>
          <w:b/>
          <w:spacing w:val="-3"/>
        </w:rPr>
      </w:pPr>
      <w:r>
        <w:rPr>
          <w:b/>
          <w:spacing w:val="-3"/>
        </w:rPr>
        <w:t>Between :</w:t>
      </w:r>
    </w:p>
    <w:p w14:paraId="46B6424D" w14:textId="77777777" w:rsidR="00C439A3" w:rsidRDefault="00C439A3">
      <w:pPr>
        <w:suppressAutoHyphens/>
        <w:rPr>
          <w:b/>
          <w:spacing w:val="-3"/>
        </w:rPr>
      </w:pPr>
    </w:p>
    <w:tbl>
      <w:tblPr>
        <w:tblW w:w="0" w:type="auto"/>
        <w:tblInd w:w="144" w:type="dxa"/>
        <w:tblLayout w:type="fixed"/>
        <w:tblLook w:val="0000" w:firstRow="0" w:lastRow="0" w:firstColumn="0" w:lastColumn="0" w:noHBand="0" w:noVBand="0"/>
      </w:tblPr>
      <w:tblGrid>
        <w:gridCol w:w="1314"/>
        <w:gridCol w:w="6210"/>
        <w:gridCol w:w="1440"/>
      </w:tblGrid>
      <w:tr w:rsidR="00C439A3" w14:paraId="73652355" w14:textId="77777777">
        <w:tc>
          <w:tcPr>
            <w:tcW w:w="1314" w:type="dxa"/>
          </w:tcPr>
          <w:p w14:paraId="591A6AA0" w14:textId="77777777" w:rsidR="00C439A3" w:rsidRDefault="00C439A3">
            <w:pPr>
              <w:suppressAutoHyphens/>
              <w:rPr>
                <w:b/>
                <w:spacing w:val="-3"/>
              </w:rPr>
            </w:pPr>
          </w:p>
        </w:tc>
        <w:tc>
          <w:tcPr>
            <w:tcW w:w="6210" w:type="dxa"/>
          </w:tcPr>
          <w:p w14:paraId="6579501E" w14:textId="4DBC3114" w:rsidR="00C439A3" w:rsidRDefault="00403088">
            <w:pPr>
              <w:suppressAutoHyphens/>
              <w:jc w:val="center"/>
              <w:rPr>
                <w:b/>
                <w:spacing w:val="-3"/>
              </w:rPr>
            </w:pPr>
            <w:proofErr w:type="spellStart"/>
            <w:r>
              <w:rPr>
                <w:b/>
                <w:spacing w:val="-3"/>
              </w:rPr>
              <w:t>TERMHOUSE</w:t>
            </w:r>
            <w:proofErr w:type="spellEnd"/>
            <w:r>
              <w:rPr>
                <w:b/>
                <w:spacing w:val="-3"/>
              </w:rPr>
              <w:t xml:space="preserve"> (CLARENDON COURT) MANAGEMENT LIMITED</w:t>
            </w:r>
          </w:p>
        </w:tc>
        <w:tc>
          <w:tcPr>
            <w:tcW w:w="1440" w:type="dxa"/>
          </w:tcPr>
          <w:p w14:paraId="3269DCD7" w14:textId="77777777" w:rsidR="00403088" w:rsidRDefault="00403088">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Claimant/</w:t>
            </w:r>
          </w:p>
          <w:p w14:paraId="7A03807D" w14:textId="652E0B06" w:rsidR="00C439A3" w:rsidRDefault="00403088">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Respondent</w:t>
            </w:r>
          </w:p>
        </w:tc>
      </w:tr>
      <w:tr w:rsidR="00C439A3" w14:paraId="19184B6A" w14:textId="77777777">
        <w:tc>
          <w:tcPr>
            <w:tcW w:w="1314" w:type="dxa"/>
          </w:tcPr>
          <w:p w14:paraId="0A0971B0" w14:textId="77777777" w:rsidR="00C439A3" w:rsidRDefault="00C439A3">
            <w:pPr>
              <w:suppressAutoHyphens/>
              <w:rPr>
                <w:b/>
                <w:spacing w:val="-3"/>
              </w:rPr>
            </w:pPr>
          </w:p>
        </w:tc>
        <w:tc>
          <w:tcPr>
            <w:tcW w:w="6210" w:type="dxa"/>
          </w:tcPr>
          <w:p w14:paraId="275B1F84" w14:textId="77777777" w:rsidR="00C439A3" w:rsidRDefault="00C439A3">
            <w:pPr>
              <w:tabs>
                <w:tab w:val="center" w:pos="3312"/>
              </w:tabs>
              <w:suppressAutoHyphens/>
              <w:jc w:val="center"/>
              <w:rPr>
                <w:b/>
                <w:spacing w:val="-3"/>
              </w:rPr>
            </w:pPr>
            <w:r>
              <w:rPr>
                <w:b/>
                <w:spacing w:val="-3"/>
              </w:rPr>
              <w:t>- and -</w:t>
            </w:r>
          </w:p>
        </w:tc>
        <w:tc>
          <w:tcPr>
            <w:tcW w:w="1440" w:type="dxa"/>
          </w:tcPr>
          <w:p w14:paraId="6DD4D5BB" w14:textId="77777777" w:rsidR="00C439A3" w:rsidRDefault="00C439A3">
            <w:pPr>
              <w:suppressAutoHyphens/>
              <w:jc w:val="right"/>
              <w:rPr>
                <w:b/>
                <w:spacing w:val="-3"/>
              </w:rPr>
            </w:pPr>
          </w:p>
        </w:tc>
      </w:tr>
      <w:tr w:rsidR="00C439A3" w14:paraId="1B74A0F3" w14:textId="77777777">
        <w:tc>
          <w:tcPr>
            <w:tcW w:w="1314" w:type="dxa"/>
          </w:tcPr>
          <w:p w14:paraId="5411EB50" w14:textId="77777777" w:rsidR="00C439A3" w:rsidRDefault="00C439A3">
            <w:pPr>
              <w:suppressAutoHyphens/>
              <w:rPr>
                <w:b/>
                <w:spacing w:val="-3"/>
              </w:rPr>
            </w:pPr>
          </w:p>
        </w:tc>
        <w:tc>
          <w:tcPr>
            <w:tcW w:w="6210" w:type="dxa"/>
          </w:tcPr>
          <w:p w14:paraId="4E7D32AE" w14:textId="1DAFC859" w:rsidR="00C439A3" w:rsidRDefault="00403088">
            <w:pPr>
              <w:tabs>
                <w:tab w:val="center" w:pos="3312"/>
              </w:tabs>
              <w:suppressAutoHyphens/>
              <w:jc w:val="center"/>
              <w:rPr>
                <w:b/>
                <w:spacing w:val="-3"/>
              </w:rPr>
            </w:pPr>
            <w:proofErr w:type="spellStart"/>
            <w:r>
              <w:rPr>
                <w:b/>
                <w:spacing w:val="-3"/>
              </w:rPr>
              <w:t>ATHIR</w:t>
            </w:r>
            <w:proofErr w:type="spellEnd"/>
            <w:r>
              <w:rPr>
                <w:b/>
                <w:spacing w:val="-3"/>
              </w:rPr>
              <w:t xml:space="preserve"> AL-</w:t>
            </w:r>
            <w:proofErr w:type="spellStart"/>
            <w:r>
              <w:rPr>
                <w:b/>
                <w:spacing w:val="-3"/>
              </w:rPr>
              <w:t>BA</w:t>
            </w:r>
            <w:r w:rsidR="00646626">
              <w:rPr>
                <w:b/>
                <w:spacing w:val="-3"/>
              </w:rPr>
              <w:t>L</w:t>
            </w:r>
            <w:r>
              <w:rPr>
                <w:b/>
                <w:spacing w:val="-3"/>
              </w:rPr>
              <w:t>HAA</w:t>
            </w:r>
            <w:proofErr w:type="spellEnd"/>
          </w:p>
        </w:tc>
        <w:tc>
          <w:tcPr>
            <w:tcW w:w="1440" w:type="dxa"/>
          </w:tcPr>
          <w:p w14:paraId="340E1627" w14:textId="6669E7DB" w:rsidR="00C439A3" w:rsidRDefault="00403088">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Defendant/Appellant</w:t>
            </w:r>
          </w:p>
        </w:tc>
      </w:tr>
    </w:tbl>
    <w:p w14:paraId="644F4864" w14:textId="77777777" w:rsidR="00C439A3" w:rsidRDefault="00C439A3">
      <w:pPr>
        <w:suppressAutoHyphens/>
        <w:rPr>
          <w:b/>
          <w:spacing w:val="-3"/>
        </w:rPr>
      </w:pPr>
    </w:p>
    <w:p w14:paraId="5099146C" w14:textId="77777777" w:rsidR="00C439A3" w:rsidRDefault="00C439A3">
      <w:pPr>
        <w:suppressAutoHyphens/>
        <w:jc w:val="center"/>
        <w:rPr>
          <w:spacing w:val="-3"/>
        </w:rPr>
      </w:pPr>
      <w:r>
        <w:rPr>
          <w:spacing w:val="-3"/>
        </w:rPr>
        <w:t>- - - - - - - - - - - - - - - - - - - - -</w:t>
      </w:r>
    </w:p>
    <w:p w14:paraId="1BB142E3" w14:textId="77777777" w:rsidR="00C439A3" w:rsidRDefault="00C439A3">
      <w:pPr>
        <w:suppressAutoHyphens/>
        <w:jc w:val="center"/>
        <w:rPr>
          <w:spacing w:val="-3"/>
        </w:rPr>
      </w:pPr>
      <w:r>
        <w:rPr>
          <w:spacing w:val="-3"/>
        </w:rPr>
        <w:t>- - - - - - - - - - - - - - - - - - - - -</w:t>
      </w:r>
    </w:p>
    <w:p w14:paraId="7A5FB529" w14:textId="77777777" w:rsidR="00C439A3" w:rsidRDefault="00C439A3">
      <w:pPr>
        <w:suppressAutoHyphens/>
        <w:jc w:val="center"/>
        <w:rPr>
          <w:spacing w:val="-3"/>
        </w:rPr>
      </w:pPr>
    </w:p>
    <w:p w14:paraId="44B5D6A9" w14:textId="1D021F80" w:rsidR="00C439A3" w:rsidRDefault="00403088">
      <w:pPr>
        <w:suppressAutoHyphens/>
        <w:jc w:val="center"/>
        <w:rPr>
          <w:bCs/>
          <w:spacing w:val="-3"/>
        </w:rPr>
      </w:pPr>
      <w:r>
        <w:rPr>
          <w:b/>
          <w:spacing w:val="-3"/>
        </w:rPr>
        <w:t>Timothy Cowen</w:t>
      </w:r>
      <w:r w:rsidR="00C439A3">
        <w:rPr>
          <w:bCs/>
          <w:spacing w:val="-3"/>
        </w:rPr>
        <w:t xml:space="preserve"> (instructed </w:t>
      </w:r>
      <w:r w:rsidR="00C439A3" w:rsidRPr="00646626">
        <w:rPr>
          <w:bCs/>
          <w:spacing w:val="-3"/>
        </w:rPr>
        <w:t xml:space="preserve">by </w:t>
      </w:r>
      <w:r w:rsidR="00646626" w:rsidRPr="00646626">
        <w:rPr>
          <w:bCs/>
          <w:spacing w:val="-3"/>
        </w:rPr>
        <w:t>direct access</w:t>
      </w:r>
      <w:r w:rsidR="00C439A3" w:rsidRPr="00646626">
        <w:rPr>
          <w:bCs/>
          <w:spacing w:val="-3"/>
        </w:rPr>
        <w:t>)</w:t>
      </w:r>
      <w:r w:rsidR="00C439A3">
        <w:rPr>
          <w:bCs/>
          <w:spacing w:val="-3"/>
        </w:rPr>
        <w:t xml:space="preserve"> for the </w:t>
      </w:r>
      <w:r>
        <w:rPr>
          <w:b/>
          <w:spacing w:val="-3"/>
        </w:rPr>
        <w:t>Appellant</w:t>
      </w:r>
    </w:p>
    <w:p w14:paraId="0EF8F979" w14:textId="2FD1BB46" w:rsidR="00C439A3" w:rsidRDefault="00403088">
      <w:pPr>
        <w:suppressAutoHyphens/>
        <w:jc w:val="center"/>
        <w:rPr>
          <w:bCs/>
          <w:spacing w:val="-3"/>
        </w:rPr>
      </w:pPr>
      <w:r>
        <w:rPr>
          <w:b/>
          <w:spacing w:val="-3"/>
        </w:rPr>
        <w:t>Jonathan Wragg</w:t>
      </w:r>
      <w:r w:rsidR="00C439A3">
        <w:rPr>
          <w:b/>
          <w:spacing w:val="-3"/>
        </w:rPr>
        <w:t xml:space="preserve"> </w:t>
      </w:r>
      <w:r w:rsidR="00C439A3">
        <w:rPr>
          <w:bCs/>
          <w:spacing w:val="-3"/>
        </w:rPr>
        <w:t>(instructed by</w:t>
      </w:r>
      <w:r w:rsidR="00C439A3">
        <w:rPr>
          <w:b/>
          <w:spacing w:val="-3"/>
        </w:rPr>
        <w:t xml:space="preserve"> </w:t>
      </w:r>
      <w:proofErr w:type="spellStart"/>
      <w:r w:rsidR="00646626">
        <w:rPr>
          <w:b/>
          <w:spacing w:val="-3"/>
        </w:rPr>
        <w:t>PDC</w:t>
      </w:r>
      <w:proofErr w:type="spellEnd"/>
      <w:r w:rsidR="00646626">
        <w:rPr>
          <w:b/>
          <w:spacing w:val="-3"/>
        </w:rPr>
        <w:t xml:space="preserve"> Law</w:t>
      </w:r>
      <w:r w:rsidR="00C439A3">
        <w:rPr>
          <w:bCs/>
          <w:spacing w:val="-3"/>
        </w:rPr>
        <w:t xml:space="preserve">) for the </w:t>
      </w:r>
      <w:r>
        <w:rPr>
          <w:b/>
          <w:spacing w:val="-3"/>
        </w:rPr>
        <w:t>Respondent</w:t>
      </w:r>
    </w:p>
    <w:p w14:paraId="008755E7" w14:textId="77777777" w:rsidR="00C439A3" w:rsidRDefault="00C439A3">
      <w:pPr>
        <w:suppressAutoHyphens/>
        <w:jc w:val="center"/>
        <w:rPr>
          <w:b/>
          <w:spacing w:val="-3"/>
        </w:rPr>
      </w:pPr>
    </w:p>
    <w:p w14:paraId="62F72235" w14:textId="6C6BC05C" w:rsidR="00C439A3" w:rsidRDefault="00C439A3">
      <w:pPr>
        <w:suppressAutoHyphens/>
        <w:jc w:val="center"/>
        <w:rPr>
          <w:spacing w:val="-3"/>
        </w:rPr>
      </w:pPr>
      <w:r>
        <w:rPr>
          <w:spacing w:val="-3"/>
        </w:rPr>
        <w:t xml:space="preserve">Hearing date: </w:t>
      </w:r>
      <w:r w:rsidR="00403088">
        <w:rPr>
          <w:spacing w:val="-3"/>
        </w:rPr>
        <w:t>1 December 2021</w:t>
      </w:r>
    </w:p>
    <w:p w14:paraId="3DE83A4D" w14:textId="77777777" w:rsidR="00C439A3" w:rsidRDefault="00C439A3">
      <w:pPr>
        <w:suppressAutoHyphens/>
        <w:jc w:val="center"/>
        <w:rPr>
          <w:spacing w:val="-3"/>
        </w:rPr>
      </w:pPr>
      <w:r>
        <w:rPr>
          <w:spacing w:val="-3"/>
        </w:rPr>
        <w:t>- - - - - - - - - - - - - - - - - - - - -</w:t>
      </w:r>
    </w:p>
    <w:p w14:paraId="11116242" w14:textId="40242487" w:rsidR="00C439A3" w:rsidRDefault="0029588C" w:rsidP="0029588C">
      <w:pPr>
        <w:pStyle w:val="CoverDesc"/>
      </w:pPr>
      <w:r>
        <w:t>Approved Judgment</w:t>
      </w:r>
    </w:p>
    <w:p w14:paraId="62F33FFD" w14:textId="77777777" w:rsidR="00C439A3" w:rsidRDefault="00C439A3">
      <w:pPr>
        <w:pStyle w:val="CoverDesc"/>
        <w:rPr>
          <w:sz w:val="24"/>
        </w:rPr>
      </w:pPr>
    </w:p>
    <w:p w14:paraId="4D3143BD" w14:textId="77777777" w:rsidR="00C439A3" w:rsidRDefault="00C439A3"/>
    <w:p w14:paraId="3A0FA84B" w14:textId="77777777" w:rsidR="00C439A3" w:rsidRDefault="00C439A3"/>
    <w:p w14:paraId="25D5C046" w14:textId="77777777" w:rsidR="00336696" w:rsidRDefault="00BC1277" w:rsidP="00BC1277">
      <w:pPr>
        <w:jc w:val="center"/>
      </w:pPr>
      <w:r w:rsidRPr="00BC1277">
        <w:rPr>
          <w:b/>
          <w:bCs/>
        </w:rPr>
        <w:t>Covid-19 Protocol:</w:t>
      </w:r>
      <w:r w:rsidRPr="00BC1277">
        <w:t xml:space="preserve">  This judgment was handed down remotely by circulation to the parties’ representatives by email, release to BAILII and publication on the Courts and Tribunals Judiciary website.  The date and time for hand-down is deemed to be </w:t>
      </w:r>
    </w:p>
    <w:p w14:paraId="76009A33" w14:textId="4BA220EB" w:rsidR="00BC1277" w:rsidRDefault="00BC1277" w:rsidP="00BC1277">
      <w:pPr>
        <w:jc w:val="center"/>
        <w:sectPr w:rsidR="00BC1277">
          <w:footerReference w:type="default" r:id="rId12"/>
          <w:pgSz w:w="11909" w:h="16834" w:code="9"/>
          <w:pgMar w:top="720" w:right="1440" w:bottom="720" w:left="1440" w:header="720" w:footer="720" w:gutter="0"/>
          <w:pgNumType w:start="1"/>
          <w:cols w:space="720"/>
        </w:sectPr>
      </w:pPr>
      <w:r>
        <w:t>Friday 10 December</w:t>
      </w:r>
      <w:r w:rsidRPr="00BC1277">
        <w:t xml:space="preserve"> 2021 at 10:30am</w:t>
      </w:r>
    </w:p>
    <w:p w14:paraId="10288FFD" w14:textId="13CB165D" w:rsidR="00646626" w:rsidRDefault="00646626" w:rsidP="00646626">
      <w:pPr>
        <w:spacing w:after="240"/>
        <w:sectPr w:rsidR="00646626">
          <w:headerReference w:type="default" r:id="rId13"/>
          <w:footerReference w:type="default" r:id="rId14"/>
          <w:pgSz w:w="11906" w:h="16838" w:code="9"/>
          <w:pgMar w:top="1440" w:right="1440" w:bottom="1440" w:left="1440" w:header="709" w:footer="709" w:gutter="0"/>
          <w:cols w:space="708"/>
          <w:docGrid w:linePitch="360"/>
        </w:sectPr>
      </w:pPr>
      <w:r>
        <w:rPr>
          <w:b/>
        </w:rPr>
        <w:lastRenderedPageBreak/>
        <w:t>Lord Justice Newey</w:t>
      </w:r>
      <w:r w:rsidR="00C439A3">
        <w:rPr>
          <w:b/>
        </w:rPr>
        <w:t>:</w:t>
      </w:r>
      <w:r w:rsidR="00C439A3">
        <w:t xml:space="preserve"> </w:t>
      </w:r>
    </w:p>
    <w:p w14:paraId="7F28A151" w14:textId="450981CF" w:rsidR="00C439A3" w:rsidRDefault="008905D8" w:rsidP="0029588C">
      <w:pPr>
        <w:pStyle w:val="ParaLevel1"/>
      </w:pPr>
      <w:r>
        <w:t xml:space="preserve">The First-tier Tribunal (Property Chamber) (“the </w:t>
      </w:r>
      <w:proofErr w:type="spellStart"/>
      <w:r>
        <w:t>FTT</w:t>
      </w:r>
      <w:proofErr w:type="spellEnd"/>
      <w:r>
        <w:t xml:space="preserve">”) </w:t>
      </w:r>
      <w:r w:rsidR="00515D90">
        <w:t xml:space="preserve">does not itself have enforcement powers, but its decisions can potentially be enforced </w:t>
      </w:r>
      <w:r w:rsidR="008D4A41">
        <w:t xml:space="preserve">through Court mechanisms, notably pursuant to </w:t>
      </w:r>
      <w:r w:rsidR="00F134E6">
        <w:t xml:space="preserve">section 176C of </w:t>
      </w:r>
      <w:r w:rsidR="00E83C68">
        <w:t>the Commonhold and Leasehold Reform Act 2002</w:t>
      </w:r>
      <w:r w:rsidR="00EF433D">
        <w:t xml:space="preserve"> (“the 2002 Act”)</w:t>
      </w:r>
      <w:r w:rsidR="00EF433D" w:rsidRPr="00EF433D">
        <w:rPr>
          <w:szCs w:val="24"/>
        </w:rPr>
        <w:t xml:space="preserve"> </w:t>
      </w:r>
      <w:r w:rsidR="00EF433D">
        <w:rPr>
          <w:szCs w:val="24"/>
        </w:rPr>
        <w:t xml:space="preserve">or </w:t>
      </w:r>
      <w:r w:rsidR="00EF433D" w:rsidRPr="00EF433D">
        <w:t>section 27 of the Tribunals, Courts and Enforcement Act 2007 (“the 2007 Act”)</w:t>
      </w:r>
      <w:r w:rsidR="00EF433D">
        <w:t xml:space="preserve">. The issue raised by the present appeal, which is of wider significance, is whether a </w:t>
      </w:r>
      <w:r w:rsidR="009C14DC">
        <w:t xml:space="preserve">decision of the </w:t>
      </w:r>
      <w:proofErr w:type="spellStart"/>
      <w:r w:rsidR="009C14DC">
        <w:t>FTT</w:t>
      </w:r>
      <w:proofErr w:type="spellEnd"/>
      <w:r w:rsidR="009C14DC">
        <w:t xml:space="preserve"> on an application under section 27A of the Landlord and Tenant Act 1985 (“the 1985 Act”) can be enforced in such a way</w:t>
      </w:r>
      <w:r w:rsidR="00905222">
        <w:t>.</w:t>
      </w:r>
    </w:p>
    <w:p w14:paraId="20DCB499" w14:textId="43B32DF0" w:rsidR="00D05D0A" w:rsidRPr="00D05D0A" w:rsidRDefault="004E6EC4" w:rsidP="0029588C">
      <w:pPr>
        <w:pStyle w:val="ParaHeading"/>
        <w:rPr>
          <w:b/>
          <w:u w:val="single"/>
        </w:rPr>
      </w:pPr>
      <w:r>
        <w:rPr>
          <w:b/>
          <w:u w:val="single"/>
        </w:rPr>
        <w:t>Basic facts</w:t>
      </w:r>
    </w:p>
    <w:p w14:paraId="4CD34B90" w14:textId="2B4C170D" w:rsidR="00646626" w:rsidRDefault="00486A39" w:rsidP="0029588C">
      <w:pPr>
        <w:pStyle w:val="ParaLevel1"/>
      </w:pPr>
      <w:r>
        <w:t xml:space="preserve">Clarendon Court, Sidmouth Road, London NW2 comprises six blocks, each of ten flats. </w:t>
      </w:r>
      <w:r w:rsidR="00646626">
        <w:t xml:space="preserve">The appellant, Mr </w:t>
      </w:r>
      <w:proofErr w:type="spellStart"/>
      <w:r w:rsidR="00646626">
        <w:t>Athir</w:t>
      </w:r>
      <w:proofErr w:type="spellEnd"/>
      <w:r w:rsidR="00646626">
        <w:t xml:space="preserve"> Al-</w:t>
      </w:r>
      <w:proofErr w:type="spellStart"/>
      <w:r w:rsidR="00646626">
        <w:t>Balhaa</w:t>
      </w:r>
      <w:proofErr w:type="spellEnd"/>
      <w:r w:rsidR="00646626">
        <w:t>, h</w:t>
      </w:r>
      <w:r w:rsidR="00B34E9A">
        <w:t>as</w:t>
      </w:r>
      <w:r w:rsidR="00646626">
        <w:t xml:space="preserve"> a </w:t>
      </w:r>
      <w:r>
        <w:t xml:space="preserve">long </w:t>
      </w:r>
      <w:r w:rsidR="00646626">
        <w:t xml:space="preserve">lease of </w:t>
      </w:r>
      <w:r>
        <w:t xml:space="preserve">one of these. </w:t>
      </w:r>
      <w:r w:rsidR="00B34E9A">
        <w:t xml:space="preserve">The freehold is held by Clarendon Court (Freehold) London Limited, a tenant-owned company. The respondent, </w:t>
      </w:r>
      <w:proofErr w:type="spellStart"/>
      <w:r w:rsidR="00B34E9A">
        <w:t>Termhouse</w:t>
      </w:r>
      <w:proofErr w:type="spellEnd"/>
      <w:r w:rsidR="00B34E9A">
        <w:t xml:space="preserve"> (Clarendon Court) Management Limited (“</w:t>
      </w:r>
      <w:proofErr w:type="spellStart"/>
      <w:r w:rsidR="00B34E9A">
        <w:t>Termhouse</w:t>
      </w:r>
      <w:proofErr w:type="spellEnd"/>
      <w:r w:rsidR="00B34E9A">
        <w:t xml:space="preserve">”), a management company, has responsibility for, among other things, raising </w:t>
      </w:r>
      <w:r w:rsidR="00651451">
        <w:t xml:space="preserve">the </w:t>
      </w:r>
      <w:r w:rsidR="00B34E9A">
        <w:t>service charges for Clarendon Court.</w:t>
      </w:r>
    </w:p>
    <w:p w14:paraId="3323A64F" w14:textId="4B13C869" w:rsidR="002B09E1" w:rsidRDefault="00B34E9A" w:rsidP="0029588C">
      <w:pPr>
        <w:pStyle w:val="ParaLevel1"/>
      </w:pPr>
      <w:r>
        <w:t>On 3 September 2017, Mr Al-</w:t>
      </w:r>
      <w:proofErr w:type="spellStart"/>
      <w:r>
        <w:t>Balhaa</w:t>
      </w:r>
      <w:proofErr w:type="spellEnd"/>
      <w:r>
        <w:t xml:space="preserve"> made an application to the </w:t>
      </w:r>
      <w:proofErr w:type="spellStart"/>
      <w:r>
        <w:t>FTT</w:t>
      </w:r>
      <w:proofErr w:type="spellEnd"/>
      <w:r>
        <w:t xml:space="preserve"> under section 27A of the 1985 Act</w:t>
      </w:r>
      <w:r w:rsidR="002B09E1">
        <w:t xml:space="preserve">. The application was stated to relate to service charges for 2013-2017. Asked by the </w:t>
      </w:r>
      <w:r w:rsidR="00A05275">
        <w:t xml:space="preserve">application </w:t>
      </w:r>
      <w:r w:rsidR="002B09E1">
        <w:t>form for a “Description of the question(s) you wish the Tribunal to decide”, Mr Al-</w:t>
      </w:r>
      <w:proofErr w:type="spellStart"/>
      <w:r w:rsidR="002B09E1">
        <w:t>Balhaa</w:t>
      </w:r>
      <w:proofErr w:type="spellEnd"/>
      <w:r w:rsidR="002B09E1">
        <w:t xml:space="preserve"> listed, among other things, whether or not “(1) there are any service charges outstanding”, “(7) There are no provisions in the lease for me to make a compulsory contribution to the Reserve Funds” and “(9) the funds from the sale of the garages in the amount of £66,000 can be distributed and my share of £1,100 be paid to me”.</w:t>
      </w:r>
    </w:p>
    <w:p w14:paraId="2B37FF9E" w14:textId="4D80A499" w:rsidR="00953484" w:rsidRDefault="002B09E1" w:rsidP="0029588C">
      <w:pPr>
        <w:pStyle w:val="ParaLevel1"/>
      </w:pPr>
      <w:r>
        <w:t xml:space="preserve">When the matter came before the </w:t>
      </w:r>
      <w:proofErr w:type="spellStart"/>
      <w:r>
        <w:t>FTT</w:t>
      </w:r>
      <w:proofErr w:type="spellEnd"/>
      <w:r w:rsidR="004B517C">
        <w:t xml:space="preserve"> (Tribunal Judge Adrian Jack and Tribunal Member Susan Coughlin)</w:t>
      </w:r>
      <w:r>
        <w:t xml:space="preserve">, it was agreed between the parties that “the sole issues for the Tribunal were the determination of </w:t>
      </w:r>
      <w:r w:rsidR="004B517C">
        <w:t>the service charges due in 2015-16 and 2016-17” and that, under the terms of Mr Al-</w:t>
      </w:r>
      <w:proofErr w:type="spellStart"/>
      <w:r w:rsidR="004B517C">
        <w:t>Balhaa’s</w:t>
      </w:r>
      <w:proofErr w:type="spellEnd"/>
      <w:r w:rsidR="004B517C">
        <w:t xml:space="preserve"> lease, “the landlord is entitled to recover contributions to the reserve fund f</w:t>
      </w:r>
      <w:r w:rsidR="00CC6252">
        <w:t>ro</w:t>
      </w:r>
      <w:r w:rsidR="004B517C">
        <w:t>m the tenant” and “the landlord is not entitled to recover through the service charge its legal costs incurred in litigation with the tenant”</w:t>
      </w:r>
      <w:r>
        <w:t xml:space="preserve"> </w:t>
      </w:r>
      <w:r w:rsidR="004B517C">
        <w:t>(see paragraph</w:t>
      </w:r>
      <w:r w:rsidR="00CC6252">
        <w:t>s</w:t>
      </w:r>
      <w:r w:rsidR="004B517C">
        <w:t xml:space="preserve"> 3 and 4 of the </w:t>
      </w:r>
      <w:proofErr w:type="spellStart"/>
      <w:r w:rsidR="004B517C">
        <w:t>FTT’s</w:t>
      </w:r>
      <w:proofErr w:type="spellEnd"/>
      <w:r w:rsidR="004B517C">
        <w:t xml:space="preserve"> decision). In the course of its decision, given on 16 May 2018, the </w:t>
      </w:r>
      <w:proofErr w:type="spellStart"/>
      <w:r w:rsidR="004B517C">
        <w:t>FTT</w:t>
      </w:r>
      <w:proofErr w:type="spellEnd"/>
      <w:r w:rsidR="00A245A4">
        <w:t xml:space="preserve"> explained that </w:t>
      </w:r>
      <w:r w:rsidR="00D44260">
        <w:t xml:space="preserve">the landlord </w:t>
      </w:r>
      <w:r w:rsidR="00203524">
        <w:t>had claimed</w:t>
      </w:r>
      <w:r w:rsidR="00215037">
        <w:t xml:space="preserve"> </w:t>
      </w:r>
      <w:r w:rsidR="00547F7D">
        <w:t>by way of service charge contribution</w:t>
      </w:r>
      <w:r w:rsidR="00203524">
        <w:t>s</w:t>
      </w:r>
      <w:r w:rsidR="00547F7D">
        <w:t xml:space="preserve"> </w:t>
      </w:r>
      <w:r w:rsidR="00E5784E">
        <w:t>two half-yearly payments of £2,385.01 for each of 2015-</w:t>
      </w:r>
      <w:r w:rsidR="008255BB">
        <w:t xml:space="preserve">2016 and 2016-2017 </w:t>
      </w:r>
      <w:r w:rsidR="009F6CE6">
        <w:t>(</w:t>
      </w:r>
      <w:r w:rsidR="008255BB">
        <w:t>or, in total, £9,540.04</w:t>
      </w:r>
      <w:r w:rsidR="009F6CE6">
        <w:t>)</w:t>
      </w:r>
      <w:r w:rsidR="001D50D3">
        <w:t xml:space="preserve"> and that</w:t>
      </w:r>
      <w:r w:rsidR="0034105C">
        <w:t xml:space="preserve"> </w:t>
      </w:r>
      <w:r w:rsidR="00DC4FE9">
        <w:t>Mr Al-</w:t>
      </w:r>
      <w:proofErr w:type="spellStart"/>
      <w:r w:rsidR="00DC4FE9">
        <w:t>Balhaa</w:t>
      </w:r>
      <w:proofErr w:type="spellEnd"/>
      <w:r w:rsidR="00DC4FE9">
        <w:t xml:space="preserve"> had </w:t>
      </w:r>
      <w:r w:rsidR="009F6CE6">
        <w:t>disputed</w:t>
      </w:r>
      <w:r w:rsidR="00DC4FE9">
        <w:t xml:space="preserve"> a number of </w:t>
      </w:r>
      <w:r w:rsidR="002921BC">
        <w:t>elements</w:t>
      </w:r>
      <w:r w:rsidR="00DC4FE9">
        <w:t xml:space="preserve"> </w:t>
      </w:r>
      <w:r w:rsidR="002921BC">
        <w:t>of</w:t>
      </w:r>
      <w:r w:rsidR="00C00DD3">
        <w:t xml:space="preserve"> the service charge accounts</w:t>
      </w:r>
      <w:r w:rsidR="006578A6">
        <w:t>, including £23</w:t>
      </w:r>
      <w:r w:rsidR="003D4BF8">
        <w:t>,604 for legal fee</w:t>
      </w:r>
      <w:r w:rsidR="00F07B4C">
        <w:t>s</w:t>
      </w:r>
      <w:r w:rsidR="003D4BF8">
        <w:t xml:space="preserve">. </w:t>
      </w:r>
      <w:r w:rsidR="000A52A0">
        <w:t xml:space="preserve">The </w:t>
      </w:r>
      <w:proofErr w:type="spellStart"/>
      <w:r w:rsidR="000A52A0">
        <w:t>FTT</w:t>
      </w:r>
      <w:proofErr w:type="spellEnd"/>
      <w:r w:rsidR="000A52A0">
        <w:t xml:space="preserve"> decided that only £2,000 of the legal fees were properly allowable and</w:t>
      </w:r>
      <w:r w:rsidR="009C28AB">
        <w:t xml:space="preserve"> </w:t>
      </w:r>
      <w:r w:rsidR="00396600">
        <w:t>concluded</w:t>
      </w:r>
      <w:r w:rsidR="00621F18">
        <w:t xml:space="preserve"> its decision</w:t>
      </w:r>
      <w:r w:rsidR="00953484">
        <w:t xml:space="preserve"> </w:t>
      </w:r>
      <w:r w:rsidR="00396600">
        <w:t xml:space="preserve">as follows </w:t>
      </w:r>
      <w:r w:rsidR="00953484">
        <w:t>under the heading “DETERMINATION”</w:t>
      </w:r>
      <w:r w:rsidR="009231E7">
        <w:t>:</w:t>
      </w:r>
    </w:p>
    <w:p w14:paraId="169158BB" w14:textId="77777777" w:rsidR="00E04DFB" w:rsidRDefault="009231E7" w:rsidP="0029588C">
      <w:pPr>
        <w:pStyle w:val="Quote"/>
      </w:pPr>
      <w:r>
        <w:t>“1.</w:t>
      </w:r>
      <w:r>
        <w:tab/>
      </w:r>
      <w:r w:rsidR="006D7AD3">
        <w:t>The figure of £21,604 in respect of legal costs is disallowed in the final service charge accounts for 2015-16</w:t>
      </w:r>
      <w:r w:rsidR="00E04DFB">
        <w:t>. Otherwise nothing is disallowed.</w:t>
      </w:r>
    </w:p>
    <w:p w14:paraId="167909D9" w14:textId="77777777" w:rsidR="007F2CBF" w:rsidRDefault="00E04DFB" w:rsidP="0029588C">
      <w:pPr>
        <w:pStyle w:val="Quote"/>
      </w:pPr>
      <w:r>
        <w:t>2.</w:t>
      </w:r>
      <w:r>
        <w:tab/>
      </w:r>
      <w:r>
        <w:tab/>
        <w:t xml:space="preserve">Nothing is disallowed in the service charge </w:t>
      </w:r>
      <w:r w:rsidR="007F2CBF">
        <w:t>demands on account in 2016-2017.</w:t>
      </w:r>
    </w:p>
    <w:p w14:paraId="4A8D68DF" w14:textId="77777777" w:rsidR="00D2059F" w:rsidRDefault="007F2CBF" w:rsidP="0029588C">
      <w:pPr>
        <w:pStyle w:val="Quote"/>
      </w:pPr>
      <w:r>
        <w:lastRenderedPageBreak/>
        <w:t>3.</w:t>
      </w:r>
      <w:r>
        <w:tab/>
      </w:r>
      <w:r>
        <w:tab/>
        <w:t xml:space="preserve">The landlord shall reimburse the tenant £200 in respect of the fees </w:t>
      </w:r>
      <w:r w:rsidR="00D2059F">
        <w:t>payable to the Tribunal.</w:t>
      </w:r>
    </w:p>
    <w:p w14:paraId="44B9E68C" w14:textId="050EEEE0" w:rsidR="009231E7" w:rsidRDefault="00D2059F" w:rsidP="0029588C">
      <w:pPr>
        <w:pStyle w:val="Quote"/>
      </w:pPr>
      <w:r>
        <w:t>4.</w:t>
      </w:r>
      <w:r>
        <w:tab/>
      </w:r>
      <w:r>
        <w:tab/>
        <w:t xml:space="preserve">The Tribunal refuses to make an order under </w:t>
      </w:r>
      <w:r w:rsidR="005A1AF2">
        <w:t>section 20C of the Landlord and Tenant Act 1985 or a costs order under rule 1</w:t>
      </w:r>
      <w:r w:rsidR="003D7CCA">
        <w:t>3 of the Tribunal’s Procedure Rules.</w:t>
      </w:r>
      <w:r w:rsidR="009231E7">
        <w:t>”</w:t>
      </w:r>
    </w:p>
    <w:p w14:paraId="28EEB622" w14:textId="4C31AE66" w:rsidR="009C25B7" w:rsidRDefault="00433E21" w:rsidP="0029588C">
      <w:pPr>
        <w:pStyle w:val="ParaLevel1"/>
      </w:pPr>
      <w:r>
        <w:t xml:space="preserve">On 9 August 2018, </w:t>
      </w:r>
      <w:proofErr w:type="spellStart"/>
      <w:r>
        <w:t>Termhouse</w:t>
      </w:r>
      <w:proofErr w:type="spellEnd"/>
      <w:r>
        <w:t xml:space="preserve"> </w:t>
      </w:r>
      <w:r w:rsidR="00B06FC0">
        <w:t>applied to the County Court at Willesden</w:t>
      </w:r>
      <w:r w:rsidR="0076267E">
        <w:t xml:space="preserve"> for the </w:t>
      </w:r>
      <w:proofErr w:type="spellStart"/>
      <w:r w:rsidR="0076267E">
        <w:t>FTT’s</w:t>
      </w:r>
      <w:proofErr w:type="spellEnd"/>
      <w:r w:rsidR="0076267E">
        <w:t xml:space="preserve"> decision to be enforced pursuant to CPR 70.5</w:t>
      </w:r>
      <w:r w:rsidR="00CC124F">
        <w:t xml:space="preserve">. The application, which was made using </w:t>
      </w:r>
      <w:r w:rsidR="00C961EA">
        <w:t xml:space="preserve">practice </w:t>
      </w:r>
      <w:r w:rsidR="00CC124F">
        <w:t>f</w:t>
      </w:r>
      <w:r w:rsidR="00C961EA">
        <w:t>or</w:t>
      </w:r>
      <w:r w:rsidR="00CC124F">
        <w:t xml:space="preserve">m N322A, </w:t>
      </w:r>
      <w:r w:rsidR="00656A25">
        <w:t>identified “The amount of the decision” as £9,</w:t>
      </w:r>
      <w:r w:rsidR="009C2053">
        <w:t>196.54 and left blank a box for “Less amount paid”</w:t>
      </w:r>
      <w:r w:rsidR="000605D8">
        <w:t>. After adding a Court fee of £44 and solicitor’s costs of £75.50, the “Total now owing” was given as £9</w:t>
      </w:r>
      <w:r w:rsidR="00BF6497">
        <w:t>,</w:t>
      </w:r>
      <w:r w:rsidR="000605D8">
        <w:t>316.04.</w:t>
      </w:r>
    </w:p>
    <w:p w14:paraId="6A200578" w14:textId="6E98DB25" w:rsidR="003C5D71" w:rsidRDefault="003C5D71" w:rsidP="0029588C">
      <w:pPr>
        <w:pStyle w:val="ParaLevel1"/>
      </w:pPr>
      <w:r>
        <w:t>On 25 September 2018, a “Proper Officer</w:t>
      </w:r>
      <w:r w:rsidR="00021392">
        <w:t xml:space="preserve"> sitting at the County Court at Willesden”</w:t>
      </w:r>
      <w:r w:rsidR="00290C39">
        <w:t xml:space="preserve"> ordered that </w:t>
      </w:r>
      <w:proofErr w:type="spellStart"/>
      <w:r w:rsidR="00290C39">
        <w:t>Termhouse</w:t>
      </w:r>
      <w:proofErr w:type="spellEnd"/>
      <w:r w:rsidR="00290C39">
        <w:t xml:space="preserve"> “may enforce </w:t>
      </w:r>
      <w:r w:rsidR="004F5DE3">
        <w:t>the award in this court” and specified the “amount enforceable”</w:t>
      </w:r>
      <w:r w:rsidR="006F207F">
        <w:t xml:space="preserve"> as £9,316.04.</w:t>
      </w:r>
    </w:p>
    <w:p w14:paraId="791C068F" w14:textId="328022ED" w:rsidR="006F207F" w:rsidRDefault="00FD184F" w:rsidP="0029588C">
      <w:pPr>
        <w:pStyle w:val="ParaLevel1"/>
      </w:pPr>
      <w:r>
        <w:t>On 22 October 2018, Mr Al-</w:t>
      </w:r>
      <w:proofErr w:type="spellStart"/>
      <w:r>
        <w:t>Balhaa</w:t>
      </w:r>
      <w:proofErr w:type="spellEnd"/>
      <w:r>
        <w:t xml:space="preserve"> applied </w:t>
      </w:r>
      <w:r w:rsidR="00BD736D">
        <w:t xml:space="preserve">for the 25 September </w:t>
      </w:r>
      <w:r w:rsidR="00F524D7">
        <w:t xml:space="preserve">order </w:t>
      </w:r>
      <w:r w:rsidR="00BD736D">
        <w:t>to be set aside.</w:t>
      </w:r>
      <w:r w:rsidR="001862E6">
        <w:t xml:space="preserve"> </w:t>
      </w:r>
      <w:r w:rsidR="006406F4">
        <w:t xml:space="preserve">In a witness statement made in opposition to that application, Mr Reece Wheeldon of </w:t>
      </w:r>
      <w:proofErr w:type="spellStart"/>
      <w:r w:rsidR="006406F4">
        <w:t>Termhouse’s</w:t>
      </w:r>
      <w:proofErr w:type="spellEnd"/>
      <w:r w:rsidR="006406F4">
        <w:t xml:space="preserve"> solicitors </w:t>
      </w:r>
      <w:r w:rsidR="00D470CD">
        <w:t>explained how the £9</w:t>
      </w:r>
      <w:r w:rsidR="0081760D">
        <w:t>,</w:t>
      </w:r>
      <w:r w:rsidR="005C2DFE">
        <w:t>316.54 figure had been arrived at</w:t>
      </w:r>
      <w:r w:rsidR="00092FCA">
        <w:t>. He said that, since Mr Al-</w:t>
      </w:r>
      <w:proofErr w:type="spellStart"/>
      <w:r w:rsidR="00092FCA">
        <w:t>Balhaa’s</w:t>
      </w:r>
      <w:proofErr w:type="spellEnd"/>
      <w:r w:rsidR="00092FCA">
        <w:t xml:space="preserve"> contribution to </w:t>
      </w:r>
      <w:r w:rsidR="00226F6F">
        <w:t xml:space="preserve">Clarendon Court service charges is set by his lease at 1.59%, </w:t>
      </w:r>
      <w:r w:rsidR="00C512F1">
        <w:t xml:space="preserve">the amount that fell to be deducted from his service charges </w:t>
      </w:r>
      <w:r w:rsidR="001A7CCE">
        <w:t xml:space="preserve">as a result of the </w:t>
      </w:r>
      <w:proofErr w:type="spellStart"/>
      <w:r w:rsidR="001A7CCE">
        <w:t>FTT’s</w:t>
      </w:r>
      <w:proofErr w:type="spellEnd"/>
      <w:r w:rsidR="001A7CCE">
        <w:t xml:space="preserve"> disallowance of legal fees of £21,604</w:t>
      </w:r>
      <w:r w:rsidR="008564BB">
        <w:t xml:space="preserve"> was “1.59% x £21,604 = £343.50”.</w:t>
      </w:r>
      <w:r w:rsidR="008D1E85">
        <w:t xml:space="preserve"> On that basis:</w:t>
      </w:r>
    </w:p>
    <w:p w14:paraId="12A329E9" w14:textId="3D76A2EF" w:rsidR="008D1E85" w:rsidRDefault="008D1E85" w:rsidP="0029588C">
      <w:pPr>
        <w:pStyle w:val="Quote"/>
      </w:pPr>
      <w:r>
        <w:t>“</w:t>
      </w:r>
      <w:r w:rsidR="002F6FD6">
        <w:t xml:space="preserve">the Claimant </w:t>
      </w:r>
      <w:r w:rsidR="00C03D91">
        <w:t xml:space="preserve">sought to enforce the award of the </w:t>
      </w:r>
      <w:proofErr w:type="spellStart"/>
      <w:r w:rsidR="00C03D91">
        <w:t>FTT</w:t>
      </w:r>
      <w:proofErr w:type="spellEnd"/>
      <w:r w:rsidR="00C03D91">
        <w:t xml:space="preserve"> in the sum of £9540.04 - £343.50 = £919</w:t>
      </w:r>
      <w:r w:rsidR="006D1B74">
        <w:t xml:space="preserve">7.04. In addition </w:t>
      </w:r>
      <w:r w:rsidR="002F6FD6">
        <w:t>to that sum the Claimant also sought its costs of seeking to enforce the award being £44.00 (the court fee) and £75.00 (being fixed legal costs) = £9,</w:t>
      </w:r>
      <w:r w:rsidR="00F81FFD">
        <w:t>316.54.</w:t>
      </w:r>
      <w:r>
        <w:t>”</w:t>
      </w:r>
    </w:p>
    <w:p w14:paraId="1E5214D4" w14:textId="0D5DBA07" w:rsidR="003D28E3" w:rsidRDefault="003D28E3" w:rsidP="0029588C">
      <w:pPr>
        <w:pStyle w:val="ParaLevel1"/>
      </w:pPr>
      <w:r>
        <w:t>(I observe in passing that Mr Wheeldon’s arithmetic has gone slightly awry. £9,540.04 minus £343.50 is £9</w:t>
      </w:r>
      <w:r w:rsidR="000F4F4C">
        <w:t>,</w:t>
      </w:r>
      <w:r>
        <w:t>196.</w:t>
      </w:r>
      <w:r w:rsidR="006D7A61">
        <w:t>5</w:t>
      </w:r>
      <w:r>
        <w:t>4</w:t>
      </w:r>
      <w:r w:rsidR="00D4072E">
        <w:t xml:space="preserve"> and the total when sums of £44 and £75 are added is </w:t>
      </w:r>
      <w:r w:rsidR="007B490B">
        <w:t xml:space="preserve">£9,315.54, not </w:t>
      </w:r>
      <w:r w:rsidR="007F241C">
        <w:t>£</w:t>
      </w:r>
      <w:r w:rsidR="00FF2E95">
        <w:t>9,316.54</w:t>
      </w:r>
      <w:r w:rsidR="005404F7">
        <w:t>.</w:t>
      </w:r>
      <w:r w:rsidR="00FF2E95">
        <w:t xml:space="preserve"> However, </w:t>
      </w:r>
      <w:r w:rsidR="007B490B">
        <w:t xml:space="preserve">the </w:t>
      </w:r>
      <w:r w:rsidR="00EA175E">
        <w:t>amount</w:t>
      </w:r>
      <w:r w:rsidR="007B490B">
        <w:t xml:space="preserve"> deemed enforceable in the </w:t>
      </w:r>
      <w:r w:rsidR="00644698">
        <w:t xml:space="preserve">25 September </w:t>
      </w:r>
      <w:r w:rsidR="00BC017C">
        <w:t>order</w:t>
      </w:r>
      <w:r w:rsidR="00FF2E95">
        <w:t xml:space="preserve"> </w:t>
      </w:r>
      <w:r w:rsidR="00EA175E">
        <w:t xml:space="preserve">was £9,316.04 and that </w:t>
      </w:r>
      <w:r w:rsidR="00FF2E95">
        <w:t xml:space="preserve">accurately represented the </w:t>
      </w:r>
      <w:r w:rsidR="00EF20E9">
        <w:t>aggregate</w:t>
      </w:r>
      <w:r w:rsidR="00FF2E95">
        <w:t xml:space="preserve"> of </w:t>
      </w:r>
      <w:r w:rsidR="00116116">
        <w:t>£9,196.54, £44 an</w:t>
      </w:r>
      <w:r w:rsidR="005404F7">
        <w:t xml:space="preserve">d </w:t>
      </w:r>
      <w:r w:rsidR="005D66F3">
        <w:t>the “</w:t>
      </w:r>
      <w:r w:rsidR="005404F7">
        <w:t>solicitor’s costs</w:t>
      </w:r>
      <w:r w:rsidR="005D66F3">
        <w:t>”</w:t>
      </w:r>
      <w:r w:rsidR="005404F7">
        <w:t xml:space="preserve"> of £75.50</w:t>
      </w:r>
      <w:r w:rsidR="00644698">
        <w:t>.)</w:t>
      </w:r>
    </w:p>
    <w:p w14:paraId="0B5591A1" w14:textId="5693D386" w:rsidR="00F81FFD" w:rsidRDefault="00F87235" w:rsidP="0029588C">
      <w:pPr>
        <w:pStyle w:val="ParaLevel1"/>
      </w:pPr>
      <w:r>
        <w:t>District Judge Kanwar</w:t>
      </w:r>
      <w:r w:rsidR="00FB192B">
        <w:t xml:space="preserve"> dismissed Mr Al-</w:t>
      </w:r>
      <w:proofErr w:type="spellStart"/>
      <w:r w:rsidR="00FB192B">
        <w:t>Balhaa’s</w:t>
      </w:r>
      <w:proofErr w:type="spellEnd"/>
      <w:r w:rsidR="00FB192B">
        <w:t xml:space="preserve"> application on the papers on </w:t>
      </w:r>
      <w:r w:rsidR="004A5004">
        <w:t>27 September 2019, but Mr Al-</w:t>
      </w:r>
      <w:proofErr w:type="spellStart"/>
      <w:r w:rsidR="004A5004">
        <w:t>Balhaa</w:t>
      </w:r>
      <w:proofErr w:type="spellEnd"/>
      <w:r w:rsidR="004A5004">
        <w:t xml:space="preserve"> appealed</w:t>
      </w:r>
      <w:r w:rsidR="005923D6">
        <w:t xml:space="preserve">. His appeal came before Her Honour Judge </w:t>
      </w:r>
      <w:proofErr w:type="spellStart"/>
      <w:r w:rsidR="005923D6">
        <w:t>B</w:t>
      </w:r>
      <w:r w:rsidR="007C7C38">
        <w:t>a</w:t>
      </w:r>
      <w:r w:rsidR="005923D6">
        <w:t>u</w:t>
      </w:r>
      <w:r w:rsidR="009D5FF5">
        <w:t>cher</w:t>
      </w:r>
      <w:proofErr w:type="spellEnd"/>
      <w:r w:rsidR="009D5FF5">
        <w:t>, sitting</w:t>
      </w:r>
      <w:r w:rsidR="00162B05">
        <w:t xml:space="preserve"> in the County Court at Central London</w:t>
      </w:r>
      <w:r w:rsidR="003C7EA4">
        <w:t>, who, however, dismissed it. Mr Al-</w:t>
      </w:r>
      <w:proofErr w:type="spellStart"/>
      <w:r w:rsidR="003C7EA4">
        <w:t>Balhaa</w:t>
      </w:r>
      <w:proofErr w:type="spellEnd"/>
      <w:r w:rsidR="003C7EA4">
        <w:t xml:space="preserve"> now challenges </w:t>
      </w:r>
      <w:r w:rsidR="00654312">
        <w:t xml:space="preserve">Judge </w:t>
      </w:r>
      <w:proofErr w:type="spellStart"/>
      <w:r w:rsidR="00654312">
        <w:t>B</w:t>
      </w:r>
      <w:r w:rsidR="007C7C38">
        <w:t>a</w:t>
      </w:r>
      <w:r w:rsidR="00654312">
        <w:t>ucher’s</w:t>
      </w:r>
      <w:proofErr w:type="spellEnd"/>
      <w:r w:rsidR="003C7EA4">
        <w:t xml:space="preserve"> decision in this Court.</w:t>
      </w:r>
    </w:p>
    <w:p w14:paraId="0AC34489" w14:textId="526260D3" w:rsidR="008572C1" w:rsidRDefault="008572C1" w:rsidP="0029588C">
      <w:pPr>
        <w:pStyle w:val="ParaHeading"/>
        <w:rPr>
          <w:b/>
          <w:u w:val="single"/>
        </w:rPr>
      </w:pPr>
      <w:r>
        <w:rPr>
          <w:b/>
          <w:u w:val="single"/>
        </w:rPr>
        <w:t>The legal framework</w:t>
      </w:r>
    </w:p>
    <w:p w14:paraId="23296B9A" w14:textId="2FDEB98C" w:rsidR="008572C1" w:rsidRDefault="00BB0763" w:rsidP="0029588C">
      <w:pPr>
        <w:pStyle w:val="ParaLevel1"/>
      </w:pPr>
      <w:r>
        <w:t>Section 27A</w:t>
      </w:r>
      <w:r w:rsidR="007A6F6D">
        <w:t xml:space="preserve"> of </w:t>
      </w:r>
      <w:r w:rsidR="00E813E0">
        <w:t>the 1985 Act</w:t>
      </w:r>
      <w:r>
        <w:t>, pursuant to which Mr Al-</w:t>
      </w:r>
      <w:proofErr w:type="spellStart"/>
      <w:r>
        <w:t>Balhaa</w:t>
      </w:r>
      <w:proofErr w:type="spellEnd"/>
      <w:r>
        <w:t xml:space="preserve"> made his application to the </w:t>
      </w:r>
      <w:proofErr w:type="spellStart"/>
      <w:r>
        <w:t>FTT</w:t>
      </w:r>
      <w:proofErr w:type="spellEnd"/>
      <w:r w:rsidR="001A3E07">
        <w:t>, provides:</w:t>
      </w:r>
    </w:p>
    <w:p w14:paraId="1473C683" w14:textId="693956E0" w:rsidR="008D77F8" w:rsidRPr="008D77F8" w:rsidRDefault="008D77F8" w:rsidP="0029588C">
      <w:pPr>
        <w:pStyle w:val="Quote"/>
      </w:pPr>
      <w:r>
        <w:t>“</w:t>
      </w:r>
      <w:r w:rsidRPr="008D77F8">
        <w:t>(1)   An application may be made to the appropriate tribunal for a determination whether a service charge is payable and, if it is, as to—</w:t>
      </w:r>
    </w:p>
    <w:p w14:paraId="389341CB" w14:textId="77777777" w:rsidR="008D77F8" w:rsidRPr="008D77F8" w:rsidRDefault="008D77F8" w:rsidP="0029588C">
      <w:pPr>
        <w:pStyle w:val="Quote"/>
      </w:pPr>
      <w:bookmarkStart w:id="0" w:name="_GoBack"/>
      <w:bookmarkEnd w:id="0"/>
      <w:r w:rsidRPr="008D77F8">
        <w:t>(a)  the person by whom it is payable,</w:t>
      </w:r>
    </w:p>
    <w:p w14:paraId="044FD70D" w14:textId="77777777" w:rsidR="008D77F8" w:rsidRPr="008D77F8" w:rsidRDefault="008D77F8" w:rsidP="0029588C">
      <w:pPr>
        <w:pStyle w:val="Quote"/>
      </w:pPr>
      <w:r w:rsidRPr="008D77F8">
        <w:lastRenderedPageBreak/>
        <w:t>(b)  the person to whom it is payable,</w:t>
      </w:r>
    </w:p>
    <w:p w14:paraId="05F9BA16" w14:textId="77777777" w:rsidR="008D77F8" w:rsidRPr="008D77F8" w:rsidRDefault="008D77F8" w:rsidP="0029588C">
      <w:pPr>
        <w:pStyle w:val="Quote"/>
      </w:pPr>
      <w:r w:rsidRPr="008D77F8">
        <w:t>(c)  the amount which is payable,</w:t>
      </w:r>
    </w:p>
    <w:p w14:paraId="58647F7C" w14:textId="77777777" w:rsidR="008D77F8" w:rsidRPr="008D77F8" w:rsidRDefault="008D77F8" w:rsidP="0029588C">
      <w:pPr>
        <w:pStyle w:val="Quote"/>
      </w:pPr>
      <w:r w:rsidRPr="008D77F8">
        <w:t>(d)  the date at or by which it is payable, and</w:t>
      </w:r>
    </w:p>
    <w:p w14:paraId="227B994E" w14:textId="77777777" w:rsidR="008D77F8" w:rsidRPr="008D77F8" w:rsidRDefault="008D77F8" w:rsidP="0029588C">
      <w:pPr>
        <w:pStyle w:val="Quote"/>
      </w:pPr>
      <w:r w:rsidRPr="008D77F8">
        <w:t>(e)  the manner in which it is payable.</w:t>
      </w:r>
    </w:p>
    <w:p w14:paraId="7AB51655" w14:textId="77777777" w:rsidR="008D77F8" w:rsidRPr="008D77F8" w:rsidRDefault="008D77F8" w:rsidP="0029588C">
      <w:pPr>
        <w:pStyle w:val="Quote"/>
      </w:pPr>
      <w:r w:rsidRPr="008D77F8">
        <w:t>(2)  Subsection (1) applies whether or not any payment has been made.</w:t>
      </w:r>
    </w:p>
    <w:p w14:paraId="23A8116B" w14:textId="3C471E37" w:rsidR="008D77F8" w:rsidRPr="008D77F8" w:rsidRDefault="008D77F8" w:rsidP="0029588C">
      <w:pPr>
        <w:pStyle w:val="Quote"/>
      </w:pPr>
      <w:r>
        <w:t>…</w:t>
      </w:r>
      <w:r w:rsidRPr="008D77F8">
        <w:t xml:space="preserve"> </w:t>
      </w:r>
    </w:p>
    <w:p w14:paraId="01B0EA2D" w14:textId="77777777" w:rsidR="008D77F8" w:rsidRPr="008D77F8" w:rsidRDefault="008D77F8" w:rsidP="0029588C">
      <w:pPr>
        <w:pStyle w:val="Quote"/>
      </w:pPr>
      <w:r w:rsidRPr="008D77F8">
        <w:t>(4)  No application under subsection (1) or (3) may be made in respect of a matter which—</w:t>
      </w:r>
    </w:p>
    <w:p w14:paraId="7B146B94" w14:textId="77777777" w:rsidR="008D77F8" w:rsidRPr="008D77F8" w:rsidRDefault="008D77F8" w:rsidP="0029588C">
      <w:pPr>
        <w:pStyle w:val="Quote"/>
      </w:pPr>
      <w:r w:rsidRPr="008D77F8">
        <w:t>(a)  has been agreed or admitted by the tenant,</w:t>
      </w:r>
    </w:p>
    <w:p w14:paraId="5970058D" w14:textId="77777777" w:rsidR="008D77F8" w:rsidRPr="008D77F8" w:rsidRDefault="008D77F8" w:rsidP="0029588C">
      <w:pPr>
        <w:pStyle w:val="Quote"/>
      </w:pPr>
      <w:r w:rsidRPr="008D77F8">
        <w:t>(b)  has been, or is to be, referred to arbitration pursuant to a post-dispute arbitration agreement to which the tenant is a party,</w:t>
      </w:r>
    </w:p>
    <w:p w14:paraId="3991DBA6" w14:textId="77777777" w:rsidR="008D77F8" w:rsidRPr="008D77F8" w:rsidRDefault="008D77F8" w:rsidP="0029588C">
      <w:pPr>
        <w:pStyle w:val="Quote"/>
      </w:pPr>
      <w:r w:rsidRPr="008D77F8">
        <w:t>(c)  has been the subject of determination by a court, or</w:t>
      </w:r>
    </w:p>
    <w:p w14:paraId="2BA43896" w14:textId="77777777" w:rsidR="008D77F8" w:rsidRPr="008D77F8" w:rsidRDefault="008D77F8" w:rsidP="0029588C">
      <w:pPr>
        <w:pStyle w:val="Quote"/>
      </w:pPr>
      <w:r w:rsidRPr="008D77F8">
        <w:t>(d)  has been the subject of determination by an arbitral tribunal pursuant to a post-dispute arbitration agreement.</w:t>
      </w:r>
    </w:p>
    <w:p w14:paraId="06AF39DE" w14:textId="1BA55D3B" w:rsidR="001A3E07" w:rsidRDefault="008D77F8" w:rsidP="0029588C">
      <w:pPr>
        <w:pStyle w:val="Quote"/>
      </w:pPr>
      <w:r w:rsidRPr="008D77F8">
        <w:t>(5)  But the tenant is not to be taken to have agreed or admitted any matter by reason only of having made any payment</w:t>
      </w:r>
      <w:r w:rsidR="00B44CA0">
        <w:t xml:space="preserve"> ….</w:t>
      </w:r>
      <w:r>
        <w:t>”</w:t>
      </w:r>
    </w:p>
    <w:p w14:paraId="1ADDABF1" w14:textId="31F3969A" w:rsidR="00E33345" w:rsidRDefault="00E813E0" w:rsidP="0029588C">
      <w:pPr>
        <w:pStyle w:val="ParaLevel1"/>
      </w:pPr>
      <w:r>
        <w:t xml:space="preserve">Preceding sections of the 1985 Act </w:t>
      </w:r>
      <w:r w:rsidR="00F96D9E">
        <w:t>impose restrictions on the service charges which can be claimed f</w:t>
      </w:r>
      <w:r w:rsidR="00025A84">
        <w:t>ro</w:t>
      </w:r>
      <w:r w:rsidR="00F96D9E">
        <w:t xml:space="preserve">m tenants. </w:t>
      </w:r>
      <w:r w:rsidR="004D0656">
        <w:t>Thus, by section 19</w:t>
      </w:r>
      <w:r w:rsidR="0080726E">
        <w:t>(1)</w:t>
      </w:r>
      <w:r w:rsidR="004D0656">
        <w:t xml:space="preserve">, </w:t>
      </w:r>
      <w:r w:rsidR="00ED3B8D">
        <w:t xml:space="preserve">costs can be taken into account in determining </w:t>
      </w:r>
      <w:r w:rsidR="00025A84">
        <w:t xml:space="preserve">the amount of a service charge </w:t>
      </w:r>
      <w:r w:rsidR="00E33345">
        <w:t>“</w:t>
      </w:r>
      <w:r w:rsidR="00E33345" w:rsidRPr="00E33345">
        <w:t>only to the extent that they are reasonably incurred</w:t>
      </w:r>
      <w:r w:rsidR="00E33345">
        <w:t>”</w:t>
      </w:r>
      <w:r w:rsidR="00E33345" w:rsidRPr="00E33345">
        <w:t xml:space="preserve"> and</w:t>
      </w:r>
      <w:r w:rsidR="00E33345">
        <w:t>, “</w:t>
      </w:r>
      <w:r w:rsidR="00E33345" w:rsidRPr="00E33345">
        <w:t>where they are incurred on the provision of services or the carrying out of works, only if the services or works are of a reasonable standard</w:t>
      </w:r>
      <w:r w:rsidR="00E33345">
        <w:t>”</w:t>
      </w:r>
      <w:r w:rsidR="000E3812">
        <w:t xml:space="preserve"> </w:t>
      </w:r>
      <w:r w:rsidR="00E33345" w:rsidRPr="00E33345">
        <w:t xml:space="preserve">and </w:t>
      </w:r>
      <w:r w:rsidR="000E3812">
        <w:t>“</w:t>
      </w:r>
      <w:r w:rsidR="00E33345" w:rsidRPr="00E33345">
        <w:t>the amount payable shall be limited accordingly</w:t>
      </w:r>
      <w:r w:rsidR="000E3812">
        <w:t xml:space="preserve">”. As Lewison LJ said of section </w:t>
      </w:r>
      <w:r w:rsidR="0080726E">
        <w:t xml:space="preserve">19(1) in </w:t>
      </w:r>
      <w:r w:rsidR="0080726E">
        <w:rPr>
          <w:i/>
          <w:iCs/>
        </w:rPr>
        <w:t xml:space="preserve">Point West GR Ltd v </w:t>
      </w:r>
      <w:proofErr w:type="spellStart"/>
      <w:r w:rsidR="0080726E">
        <w:rPr>
          <w:i/>
          <w:iCs/>
        </w:rPr>
        <w:t>Bassi</w:t>
      </w:r>
      <w:proofErr w:type="spellEnd"/>
      <w:r w:rsidR="0080726E">
        <w:rPr>
          <w:i/>
          <w:iCs/>
        </w:rPr>
        <w:t xml:space="preserve"> </w:t>
      </w:r>
      <w:r w:rsidR="0080726E">
        <w:t xml:space="preserve">[2020] </w:t>
      </w:r>
      <w:proofErr w:type="spellStart"/>
      <w:r w:rsidR="0080726E">
        <w:t>EWCA</w:t>
      </w:r>
      <w:proofErr w:type="spellEnd"/>
      <w:r w:rsidR="0080726E">
        <w:t xml:space="preserve"> </w:t>
      </w:r>
      <w:proofErr w:type="spellStart"/>
      <w:r w:rsidR="0080726E">
        <w:t>Civ</w:t>
      </w:r>
      <w:proofErr w:type="spellEnd"/>
      <w:r w:rsidR="0080726E">
        <w:t xml:space="preserve"> 795, [2020] 1 WLR 4102</w:t>
      </w:r>
      <w:r w:rsidR="00751450">
        <w:t xml:space="preserve"> (“</w:t>
      </w:r>
      <w:r w:rsidR="00751450">
        <w:rPr>
          <w:i/>
          <w:iCs/>
        </w:rPr>
        <w:t>Point West</w:t>
      </w:r>
      <w:r w:rsidR="00751450">
        <w:t>”)</w:t>
      </w:r>
      <w:r w:rsidR="004F6903">
        <w:t xml:space="preserve">, at paragraph 8, “the 1985 Act overlays the lessee’s contractual liability by the imposition of a cap”. </w:t>
      </w:r>
      <w:r w:rsidR="00927008">
        <w:t xml:space="preserve">Other limitations on service charge claims </w:t>
      </w:r>
      <w:r w:rsidR="00094983">
        <w:t>are to be found in, for example, section 20B (</w:t>
      </w:r>
      <w:r w:rsidR="00801E08">
        <w:t>setting a time limit on service charge demands)</w:t>
      </w:r>
      <w:r w:rsidR="0000345F">
        <w:t>,</w:t>
      </w:r>
      <w:r w:rsidR="00C461AF">
        <w:t xml:space="preserve"> section 21A (allowing a tenant to with</w:t>
      </w:r>
      <w:r w:rsidR="00AC4647">
        <w:t>hold payment of a service charge if the landlord ha</w:t>
      </w:r>
      <w:r w:rsidR="00115294">
        <w:t>s</w:t>
      </w:r>
      <w:r w:rsidR="00AC4647">
        <w:t xml:space="preserve"> failed to supply </w:t>
      </w:r>
      <w:r w:rsidR="00083A22">
        <w:t>information or a report in accordance with section 21)</w:t>
      </w:r>
      <w:r w:rsidR="0000345F">
        <w:t xml:space="preserve"> and section 21B </w:t>
      </w:r>
      <w:r w:rsidR="006E19C9">
        <w:t xml:space="preserve">(allowing </w:t>
      </w:r>
      <w:r w:rsidR="00D949FF">
        <w:t xml:space="preserve">a tenant to withhold payment of a service charge if a demand for it was not </w:t>
      </w:r>
      <w:r w:rsidR="00794535">
        <w:t>accompanied by the requisite summary of the rights and obligations of tenants).</w:t>
      </w:r>
    </w:p>
    <w:p w14:paraId="3514FDCF" w14:textId="69C0323B" w:rsidR="006A0D41" w:rsidRPr="00E33345" w:rsidRDefault="005473E7" w:rsidP="0029588C">
      <w:pPr>
        <w:pStyle w:val="ParaLevel1"/>
      </w:pPr>
      <w:r>
        <w:t xml:space="preserve">Section 27A of the 1985 Act was inserted into it by </w:t>
      </w:r>
      <w:r w:rsidR="004D7A45">
        <w:t xml:space="preserve">the 2002 Act. </w:t>
      </w:r>
      <w:r w:rsidR="005D60A0">
        <w:t xml:space="preserve">As amended </w:t>
      </w:r>
      <w:r w:rsidR="00F65B14">
        <w:t xml:space="preserve">in 2013, </w:t>
      </w:r>
      <w:r w:rsidR="00113E9E">
        <w:t xml:space="preserve">the 2002 Act also provides, by section 176A, </w:t>
      </w:r>
      <w:r w:rsidR="00053FE7">
        <w:t xml:space="preserve">that, where Court proceedings raise </w:t>
      </w:r>
      <w:r w:rsidR="00156024">
        <w:t xml:space="preserve">a question which the </w:t>
      </w:r>
      <w:proofErr w:type="spellStart"/>
      <w:r w:rsidR="00156024">
        <w:t>FTT</w:t>
      </w:r>
      <w:proofErr w:type="spellEnd"/>
      <w:r w:rsidR="00156024">
        <w:t xml:space="preserve"> would have jurisdiction to determine under, among others, the 1985 Act, </w:t>
      </w:r>
      <w:r w:rsidR="006A0D41">
        <w:t>the Cour</w:t>
      </w:r>
      <w:r w:rsidR="00226E22">
        <w:t xml:space="preserve">t may transfer to the </w:t>
      </w:r>
      <w:proofErr w:type="spellStart"/>
      <w:r w:rsidR="00226E22">
        <w:t>FTT</w:t>
      </w:r>
      <w:proofErr w:type="spellEnd"/>
      <w:r w:rsidR="00226E22">
        <w:t xml:space="preserve"> “so much of the proceedings as relate to the determination of </w:t>
      </w:r>
      <w:r w:rsidR="00664DDD">
        <w:t xml:space="preserve">that question” and, </w:t>
      </w:r>
      <w:r w:rsidR="00D25AA1">
        <w:t>by section 176A(3), once</w:t>
      </w:r>
      <w:r w:rsidR="00664DDD">
        <w:t xml:space="preserve"> the </w:t>
      </w:r>
      <w:proofErr w:type="spellStart"/>
      <w:r w:rsidR="00664DDD">
        <w:t>FTT</w:t>
      </w:r>
      <w:proofErr w:type="spellEnd"/>
      <w:r w:rsidR="00664DDD">
        <w:t xml:space="preserve"> </w:t>
      </w:r>
      <w:r w:rsidR="00400E7D">
        <w:t>“</w:t>
      </w:r>
      <w:r w:rsidR="00664DDD">
        <w:t>has determined the question</w:t>
      </w:r>
      <w:r w:rsidR="001226F9">
        <w:t>,</w:t>
      </w:r>
      <w:r w:rsidR="00400E7D">
        <w:t xml:space="preserve"> the court may </w:t>
      </w:r>
      <w:r w:rsidR="001226F9">
        <w:t xml:space="preserve">give effect to the determination in an </w:t>
      </w:r>
      <w:r w:rsidR="001226F9">
        <w:lastRenderedPageBreak/>
        <w:t xml:space="preserve">order of the court”. </w:t>
      </w:r>
      <w:r w:rsidR="00B05DCF">
        <w:t>When first enacted, the 2002 Act similarly provided</w:t>
      </w:r>
      <w:r w:rsidR="004A5372">
        <w:t>, by paragraph 3 of schedule 12,</w:t>
      </w:r>
      <w:r w:rsidR="00B05DCF">
        <w:t xml:space="preserve"> for transfer</w:t>
      </w:r>
      <w:r w:rsidR="004A5372">
        <w:t xml:space="preserve">s to the leasehold valuation tribunal, the </w:t>
      </w:r>
      <w:proofErr w:type="spellStart"/>
      <w:r w:rsidR="004A5372">
        <w:t>FTT</w:t>
      </w:r>
      <w:proofErr w:type="spellEnd"/>
      <w:r w:rsidR="004A5372">
        <w:t xml:space="preserve"> not yet having been established.</w:t>
      </w:r>
    </w:p>
    <w:p w14:paraId="31F660A6" w14:textId="1CB5E0A7" w:rsidR="007A6F6D" w:rsidRDefault="001134FD" w:rsidP="0029588C">
      <w:pPr>
        <w:pStyle w:val="ParaLevel1"/>
      </w:pPr>
      <w:r>
        <w:t>Paragraph 3 of schedule 12 to the 2002 Act and, now, section 176</w:t>
      </w:r>
      <w:r w:rsidR="00245ED2">
        <w:t>A</w:t>
      </w:r>
      <w:r>
        <w:t xml:space="preserve">(3) of that Act </w:t>
      </w:r>
      <w:r w:rsidR="00A0779E">
        <w:t>find an echo in section 81</w:t>
      </w:r>
      <w:r w:rsidR="0055020B">
        <w:t>(5A) of the Housing Act</w:t>
      </w:r>
      <w:r>
        <w:t xml:space="preserve"> </w:t>
      </w:r>
      <w:r w:rsidR="00ED5A98">
        <w:t>1996 (“the 1996 Act”), which was first added to the 1996 Act by the 2002 Act</w:t>
      </w:r>
      <w:r w:rsidR="00BA2007">
        <w:t>.</w:t>
      </w:r>
      <w:r w:rsidR="00F11AD6">
        <w:t xml:space="preserve"> In its present form</w:t>
      </w:r>
      <w:r w:rsidR="00002C8F">
        <w:t>,</w:t>
      </w:r>
      <w:r w:rsidR="00F11AD6">
        <w:t xml:space="preserve"> section 81, headed “Restriction on termination of tenancy for failure to pay service charge”, provides:</w:t>
      </w:r>
    </w:p>
    <w:p w14:paraId="4AB8A50E" w14:textId="435177C9" w:rsidR="00021BD8" w:rsidRPr="00021BD8" w:rsidRDefault="00F11AD6" w:rsidP="0029588C">
      <w:pPr>
        <w:pStyle w:val="Quote"/>
      </w:pPr>
      <w:r>
        <w:t>“</w:t>
      </w:r>
      <w:r w:rsidR="00021BD8" w:rsidRPr="00021BD8">
        <w:t>(1)   A landlord may not, in relation to premises let as a dwelling, exercise a right of re-entry or forfeiture for failure by a tenant to pay a service charge or administration charge unless—</w:t>
      </w:r>
    </w:p>
    <w:p w14:paraId="28A0E533" w14:textId="2E052627" w:rsidR="00021BD8" w:rsidRPr="00021BD8" w:rsidRDefault="00021BD8" w:rsidP="0029588C">
      <w:pPr>
        <w:pStyle w:val="Quote"/>
      </w:pPr>
      <w:r w:rsidRPr="00021BD8">
        <w:t>(a)   it is finally determined by (or on appeal from) the appropriate tribunal or by a court, or by an arbitral tribunal in proceedings pursuant to a post-dispute arbitration agreement, that the amount of the service charge or administration charge is payable by him, or</w:t>
      </w:r>
    </w:p>
    <w:p w14:paraId="3F85AA92" w14:textId="77777777" w:rsidR="00021BD8" w:rsidRPr="00021BD8" w:rsidRDefault="00021BD8" w:rsidP="0029588C">
      <w:pPr>
        <w:pStyle w:val="Quote"/>
      </w:pPr>
      <w:r w:rsidRPr="00021BD8">
        <w:t>(b)  the tenant has admitted that it is so payable.</w:t>
      </w:r>
    </w:p>
    <w:p w14:paraId="37164088" w14:textId="07F1939C" w:rsidR="00021BD8" w:rsidRDefault="00021BD8" w:rsidP="0029588C">
      <w:pPr>
        <w:pStyle w:val="Quote"/>
      </w:pPr>
      <w:r>
        <w:t>…</w:t>
      </w:r>
    </w:p>
    <w:p w14:paraId="666800FF" w14:textId="48D9AF06" w:rsidR="00F11AD6" w:rsidRDefault="00021BD8" w:rsidP="0029588C">
      <w:pPr>
        <w:pStyle w:val="Quote"/>
      </w:pPr>
      <w:r w:rsidRPr="00021BD8">
        <w:t>(5A)   Any order of a court to give effect to a determination of the appropriate tribunal shall be treated as a determination by the court for the purposes of this section</w:t>
      </w:r>
      <w:r>
        <w:t xml:space="preserve"> ….</w:t>
      </w:r>
      <w:r w:rsidR="00F11AD6">
        <w:t>”</w:t>
      </w:r>
    </w:p>
    <w:p w14:paraId="621C4A07" w14:textId="659DFC85" w:rsidR="00987B3E" w:rsidRDefault="00AB51F5" w:rsidP="0029588C">
      <w:pPr>
        <w:pStyle w:val="ParaNoNumber"/>
        <w:ind w:left="720"/>
      </w:pPr>
      <w:r>
        <w:t xml:space="preserve">A landlord may not, accordingly, seek to forfeit for </w:t>
      </w:r>
      <w:r w:rsidR="00636C6B">
        <w:t xml:space="preserve">a tenant’s </w:t>
      </w:r>
      <w:r>
        <w:t xml:space="preserve">failure to pay a service charge </w:t>
      </w:r>
      <w:r w:rsidR="00E94D3A">
        <w:t xml:space="preserve">unless it has been “finally determined … that </w:t>
      </w:r>
      <w:r w:rsidR="00636C6B">
        <w:t>the amount of the service charge … is payable by him</w:t>
      </w:r>
      <w:r w:rsidR="00BC56CE">
        <w:t>, or … the tenant has admitted that it is so payable”</w:t>
      </w:r>
      <w:r w:rsidR="002F3687">
        <w:t xml:space="preserve"> and </w:t>
      </w:r>
      <w:r w:rsidR="0034056F">
        <w:t xml:space="preserve">a Court order “to give effect to </w:t>
      </w:r>
      <w:r w:rsidR="001F28BC">
        <w:t xml:space="preserve">a determination” of the </w:t>
      </w:r>
      <w:proofErr w:type="spellStart"/>
      <w:r w:rsidR="001F28BC">
        <w:t>FTT</w:t>
      </w:r>
      <w:proofErr w:type="spellEnd"/>
      <w:r w:rsidR="001F28BC">
        <w:t xml:space="preserve"> is to be treated as a determination of the Court for this purpose.</w:t>
      </w:r>
    </w:p>
    <w:p w14:paraId="78ED628A" w14:textId="1FAC5703" w:rsidR="001F28BC" w:rsidRDefault="009F0AF5" w:rsidP="0029588C">
      <w:pPr>
        <w:pStyle w:val="ParaLevel1"/>
      </w:pPr>
      <w:r>
        <w:t xml:space="preserve">Another section of the 2002 Act, section 176C, is central to the </w:t>
      </w:r>
      <w:r w:rsidR="000E2527">
        <w:t>issues on this appeal. Section 176C reads:</w:t>
      </w:r>
    </w:p>
    <w:p w14:paraId="3192C756" w14:textId="77CDB942" w:rsidR="000E2527" w:rsidRDefault="000E2527" w:rsidP="0029588C">
      <w:pPr>
        <w:pStyle w:val="Quote"/>
      </w:pPr>
      <w:r>
        <w:t>“</w:t>
      </w:r>
      <w:r w:rsidR="001A51A9" w:rsidRPr="001A51A9">
        <w:t>Any decision of the First-tier Tribunal or Upper Tribunal under or in connection with an enactment specified in section 176A(2), other than a decision ordering the payment of a sum (as to which see section 27 (enforcement) of the Tribunals, Courts and Enforcement Act 2007), is to be enforceable with the permission of a county court in the same way as orders of such a court.</w:t>
      </w:r>
      <w:r>
        <w:t>”</w:t>
      </w:r>
    </w:p>
    <w:p w14:paraId="2A4904F3" w14:textId="0D45A712" w:rsidR="001A51A9" w:rsidRDefault="00984F17" w:rsidP="0029588C">
      <w:pPr>
        <w:pStyle w:val="ParaLevel1"/>
      </w:pPr>
      <w:r>
        <w:t xml:space="preserve">The 1985 Act is one of the enactments specified in section 176A(2) of the 2002 Act. </w:t>
      </w:r>
      <w:r w:rsidR="00BB3D41">
        <w:t xml:space="preserve">Section 27 of </w:t>
      </w:r>
      <w:r w:rsidR="009C1A1A">
        <w:t>the 2007 Act</w:t>
      </w:r>
      <w:r w:rsidR="00BB3D41">
        <w:t xml:space="preserve">, which </w:t>
      </w:r>
      <w:r w:rsidR="0070540D">
        <w:t>is also mentioned</w:t>
      </w:r>
      <w:r w:rsidR="00BB3D41">
        <w:t xml:space="preserve"> in section 176C of the 2002 Act, </w:t>
      </w:r>
      <w:r w:rsidR="00114B51">
        <w:t>states</w:t>
      </w:r>
      <w:r w:rsidR="00E9566F">
        <w:t xml:space="preserve"> in sub-section (1)</w:t>
      </w:r>
      <w:r w:rsidR="00065746">
        <w:t>:</w:t>
      </w:r>
    </w:p>
    <w:p w14:paraId="552AE776" w14:textId="008EF08A" w:rsidR="00E9566F" w:rsidRPr="00E9566F" w:rsidRDefault="00065746" w:rsidP="0029588C">
      <w:pPr>
        <w:pStyle w:val="Quote"/>
      </w:pPr>
      <w:r>
        <w:t>“</w:t>
      </w:r>
      <w:r w:rsidR="00E9566F" w:rsidRPr="00E9566F">
        <w:t>A sum payable in pursuance of a decision of the First-tier Tribunal or Upper Tribunal made in England and Wales–</w:t>
      </w:r>
    </w:p>
    <w:p w14:paraId="69FE7102" w14:textId="77777777" w:rsidR="00E9566F" w:rsidRPr="00E9566F" w:rsidRDefault="00E9566F" w:rsidP="0029588C">
      <w:pPr>
        <w:pStyle w:val="Quote"/>
      </w:pPr>
      <w:r w:rsidRPr="00E9566F">
        <w:lastRenderedPageBreak/>
        <w:t>(a)  shall be recoverable as if it were payable under an order of a county court in England and Wales;</w:t>
      </w:r>
    </w:p>
    <w:p w14:paraId="469B3C29" w14:textId="3D2A6BE7" w:rsidR="00065746" w:rsidRDefault="00E9566F" w:rsidP="0029588C">
      <w:pPr>
        <w:pStyle w:val="Quote"/>
      </w:pPr>
      <w:r w:rsidRPr="00E9566F">
        <w:t>(b)  shall be recoverable as if it were payable under an order of the High Court in England and Wales.</w:t>
      </w:r>
      <w:r w:rsidR="00065746">
        <w:t>”</w:t>
      </w:r>
    </w:p>
    <w:p w14:paraId="1F7A5A35" w14:textId="38426FEA" w:rsidR="001007D9" w:rsidRDefault="001007D9" w:rsidP="0029588C">
      <w:pPr>
        <w:pStyle w:val="ParaLevel1"/>
      </w:pPr>
      <w:r>
        <w:t xml:space="preserve">Finally, it is relevant to </w:t>
      </w:r>
      <w:r w:rsidR="0070540D">
        <w:t xml:space="preserve">refer to CPR </w:t>
      </w:r>
      <w:r w:rsidR="00DC535B">
        <w:t xml:space="preserve">Part 70 and </w:t>
      </w:r>
      <w:r w:rsidR="008B0E33">
        <w:t xml:space="preserve">one of </w:t>
      </w:r>
      <w:r w:rsidR="00DC535B">
        <w:t>the Practice Direction</w:t>
      </w:r>
      <w:r w:rsidR="008B0E33">
        <w:t>s</w:t>
      </w:r>
      <w:r w:rsidR="00DC535B">
        <w:t xml:space="preserve"> </w:t>
      </w:r>
      <w:r w:rsidR="008B0E33">
        <w:t>supplementing</w:t>
      </w:r>
      <w:r w:rsidR="00DC535B">
        <w:t xml:space="preserve"> it. </w:t>
      </w:r>
      <w:r w:rsidR="00E82167">
        <w:t>CPR 70.5</w:t>
      </w:r>
      <w:r w:rsidR="00926702">
        <w:t xml:space="preserve">, headed “Enforcement of </w:t>
      </w:r>
      <w:r w:rsidR="000F0C7E">
        <w:t>decisions of bodies other than the High Court and the County Court and compromises enforceable by enactment”,</w:t>
      </w:r>
      <w:r w:rsidR="00E82167">
        <w:t xml:space="preserve"> is in these terms:</w:t>
      </w:r>
    </w:p>
    <w:p w14:paraId="50DD33A0" w14:textId="6FDEF3A9" w:rsidR="00B225B0" w:rsidRPr="00E83E64" w:rsidRDefault="00E82167" w:rsidP="0029588C">
      <w:pPr>
        <w:pStyle w:val="Quote"/>
      </w:pPr>
      <w:r w:rsidRPr="00E83E64">
        <w:t>“</w:t>
      </w:r>
      <w:r w:rsidR="00B225B0" w:rsidRPr="00E83E64">
        <w:t>(1)</w:t>
      </w:r>
      <w:r w:rsidR="00E83E64">
        <w:t xml:space="preserve">  </w:t>
      </w:r>
      <w:r w:rsidR="00B225B0" w:rsidRPr="00E83E64">
        <w:t> This rule applies, subject to paragraph (2), where an enactment provides that—</w:t>
      </w:r>
    </w:p>
    <w:p w14:paraId="511273C4" w14:textId="5ADDADCC" w:rsidR="00B225B0" w:rsidRPr="00B225B0" w:rsidRDefault="00B225B0" w:rsidP="0029588C">
      <w:pPr>
        <w:pStyle w:val="Quote"/>
      </w:pPr>
      <w:r w:rsidRPr="00B225B0">
        <w:t>(a) </w:t>
      </w:r>
      <w:r w:rsidR="00D9602D">
        <w:t xml:space="preserve"> </w:t>
      </w:r>
      <w:r w:rsidRPr="00B225B0">
        <w:t>a decision of a court, tribunal, body or person other than the High Court or the County Court; or</w:t>
      </w:r>
    </w:p>
    <w:p w14:paraId="4BEFFC98" w14:textId="056156DC" w:rsidR="00B225B0" w:rsidRPr="00B225B0" w:rsidRDefault="00B225B0" w:rsidP="0029588C">
      <w:pPr>
        <w:pStyle w:val="Quote"/>
      </w:pPr>
      <w:r w:rsidRPr="00B225B0">
        <w:t>(b) </w:t>
      </w:r>
      <w:r w:rsidR="00D9602D">
        <w:t xml:space="preserve"> </w:t>
      </w:r>
      <w:r w:rsidRPr="00B225B0">
        <w:t>a compromise,</w:t>
      </w:r>
    </w:p>
    <w:p w14:paraId="50BA3D9E" w14:textId="77777777" w:rsidR="00B225B0" w:rsidRPr="00B225B0" w:rsidRDefault="00B225B0" w:rsidP="0029588C">
      <w:pPr>
        <w:pStyle w:val="Quote"/>
      </w:pPr>
      <w:r w:rsidRPr="00B225B0">
        <w:t>may be enforced as if it were a court order or that any sum of money payable under that decision or compromise may be recoverable as if payable under a court order.</w:t>
      </w:r>
    </w:p>
    <w:p w14:paraId="42487237" w14:textId="2A4C8BE3" w:rsidR="00B225B0" w:rsidRPr="00B225B0" w:rsidRDefault="00E83E64" w:rsidP="0029588C">
      <w:pPr>
        <w:pStyle w:val="Quote"/>
      </w:pPr>
      <w:r w:rsidRPr="00E83E64">
        <w:t>…</w:t>
      </w:r>
    </w:p>
    <w:p w14:paraId="705280D8" w14:textId="0324F28A" w:rsidR="00B225B0" w:rsidRPr="00B225B0" w:rsidRDefault="00B225B0" w:rsidP="0029588C">
      <w:pPr>
        <w:pStyle w:val="Quote"/>
      </w:pPr>
      <w:r w:rsidRPr="00B225B0">
        <w:t>(2A) </w:t>
      </w:r>
      <w:r w:rsidR="00D9602D">
        <w:t xml:space="preserve">  </w:t>
      </w:r>
      <w:r w:rsidRPr="00B225B0">
        <w:t xml:space="preserve">Unless paragraph (3) applies, a party may enforce the decision or compromise by applying for a specific method of enforcement under Parts 71 to 73, 81, 83, 84, and 89, and Schedule 2 </w:t>
      </w:r>
      <w:proofErr w:type="spellStart"/>
      <w:r w:rsidRPr="00B225B0">
        <w:t>CCR</w:t>
      </w:r>
      <w:proofErr w:type="spellEnd"/>
      <w:r w:rsidRPr="00B225B0">
        <w:t xml:space="preserve"> Order 28 and must—</w:t>
      </w:r>
    </w:p>
    <w:p w14:paraId="2825C8A5" w14:textId="3B794CCF" w:rsidR="00B225B0" w:rsidRPr="00B225B0" w:rsidRDefault="00B225B0" w:rsidP="0029588C">
      <w:pPr>
        <w:pStyle w:val="Quote"/>
      </w:pPr>
      <w:r w:rsidRPr="00B225B0">
        <w:t>(a) </w:t>
      </w:r>
      <w:r w:rsidR="00D9602D">
        <w:t xml:space="preserve"> </w:t>
      </w:r>
      <w:r w:rsidRPr="00B225B0">
        <w:t>file with the court a copy of the decision or compromise being enforced; and</w:t>
      </w:r>
    </w:p>
    <w:p w14:paraId="4C8F2441" w14:textId="37848646" w:rsidR="00B225B0" w:rsidRPr="00B225B0" w:rsidRDefault="00B225B0" w:rsidP="0029588C">
      <w:pPr>
        <w:pStyle w:val="Quote"/>
      </w:pPr>
      <w:r w:rsidRPr="00B225B0">
        <w:t>(b) </w:t>
      </w:r>
      <w:r w:rsidR="00D9602D">
        <w:t xml:space="preserve"> </w:t>
      </w:r>
      <w:r w:rsidRPr="00B225B0">
        <w:t>provide the court with the information required by Practice Direction 70A.</w:t>
      </w:r>
    </w:p>
    <w:p w14:paraId="2A6EA1F0" w14:textId="5082A4BB" w:rsidR="00B225B0" w:rsidRPr="00B225B0" w:rsidRDefault="00B225B0" w:rsidP="0029588C">
      <w:pPr>
        <w:pStyle w:val="Quote"/>
      </w:pPr>
      <w:r w:rsidRPr="00B225B0">
        <w:t>(3) </w:t>
      </w:r>
      <w:r w:rsidR="00D9602D">
        <w:t xml:space="preserve">  </w:t>
      </w:r>
      <w:r w:rsidRPr="00B225B0">
        <w:t>If an enactment provides that a decision or compromise is enforceable or a sum of money is recoverable if a court so orders, an application for such an order must be made in accordance with paragraphs (4)to (7A) of this rule.</w:t>
      </w:r>
    </w:p>
    <w:p w14:paraId="7147433C" w14:textId="10767C96" w:rsidR="00B225B0" w:rsidRPr="00B225B0" w:rsidRDefault="00B225B0" w:rsidP="0029588C">
      <w:pPr>
        <w:pStyle w:val="Quote"/>
      </w:pPr>
      <w:r w:rsidRPr="00B225B0">
        <w:t>(4) </w:t>
      </w:r>
      <w:r w:rsidR="00D9602D">
        <w:t xml:space="preserve">  </w:t>
      </w:r>
      <w:r w:rsidRPr="00B225B0">
        <w:t>The application—</w:t>
      </w:r>
    </w:p>
    <w:p w14:paraId="55EB46D6" w14:textId="2C96468F" w:rsidR="00B225B0" w:rsidRPr="00B225B0" w:rsidRDefault="00B225B0" w:rsidP="0029588C">
      <w:pPr>
        <w:pStyle w:val="Quote"/>
      </w:pPr>
      <w:r w:rsidRPr="00B225B0">
        <w:t>(a) </w:t>
      </w:r>
      <w:r w:rsidR="00D9602D">
        <w:t xml:space="preserve"> </w:t>
      </w:r>
      <w:r w:rsidRPr="00B225B0">
        <w:t>may, unless paragraph (4A) applies, be made without notice; and</w:t>
      </w:r>
    </w:p>
    <w:p w14:paraId="3E096B44" w14:textId="1C1D9B0B" w:rsidR="00B225B0" w:rsidRPr="00B225B0" w:rsidRDefault="00B225B0" w:rsidP="0029588C">
      <w:pPr>
        <w:pStyle w:val="Quote"/>
      </w:pPr>
      <w:r w:rsidRPr="00B225B0">
        <w:t>(b) </w:t>
      </w:r>
      <w:r w:rsidR="00D9602D">
        <w:t xml:space="preserve"> </w:t>
      </w:r>
      <w:r w:rsidRPr="00B225B0">
        <w:t>must be made to the court for the district where the person against whom the order is sought, resides or carries on business, unless an enactment, rule or practice direction provides otherwise or the court otherwise orders.</w:t>
      </w:r>
    </w:p>
    <w:p w14:paraId="0A64DC49" w14:textId="297C7C49" w:rsidR="00B225B0" w:rsidRPr="00B225B0" w:rsidRDefault="005343E7" w:rsidP="0029588C">
      <w:pPr>
        <w:pStyle w:val="Quote"/>
      </w:pPr>
      <w:r w:rsidRPr="00E83E64">
        <w:t>…</w:t>
      </w:r>
    </w:p>
    <w:p w14:paraId="5A63820F" w14:textId="23E2BF83" w:rsidR="00B225B0" w:rsidRPr="00B225B0" w:rsidRDefault="00B225B0" w:rsidP="0029588C">
      <w:pPr>
        <w:pStyle w:val="Quote"/>
      </w:pPr>
      <w:r w:rsidRPr="00B225B0">
        <w:lastRenderedPageBreak/>
        <w:t>(5) </w:t>
      </w:r>
      <w:r w:rsidR="00D9602D">
        <w:t xml:space="preserve">  </w:t>
      </w:r>
      <w:r w:rsidRPr="00B225B0">
        <w:t>The application notice must—</w:t>
      </w:r>
    </w:p>
    <w:p w14:paraId="3681535D" w14:textId="4CD9C028" w:rsidR="00B225B0" w:rsidRPr="00B225B0" w:rsidRDefault="00B225B0" w:rsidP="0029588C">
      <w:pPr>
        <w:pStyle w:val="Quote"/>
      </w:pPr>
      <w:r w:rsidRPr="00B225B0">
        <w:t>(a) </w:t>
      </w:r>
      <w:r w:rsidR="00D9602D">
        <w:t xml:space="preserve"> </w:t>
      </w:r>
      <w:r w:rsidRPr="00B225B0">
        <w:t>be in the form; and</w:t>
      </w:r>
    </w:p>
    <w:p w14:paraId="1A67EF6E" w14:textId="58ADA7E1" w:rsidR="00B225B0" w:rsidRPr="00B225B0" w:rsidRDefault="00B225B0" w:rsidP="0029588C">
      <w:pPr>
        <w:pStyle w:val="Quote"/>
      </w:pPr>
      <w:r w:rsidRPr="00B225B0">
        <w:t>(b) </w:t>
      </w:r>
      <w:r w:rsidR="00D9602D">
        <w:t xml:space="preserve"> </w:t>
      </w:r>
      <w:r w:rsidRPr="00B225B0">
        <w:t>contain the information</w:t>
      </w:r>
    </w:p>
    <w:p w14:paraId="2058FDDE" w14:textId="77777777" w:rsidR="00B225B0" w:rsidRPr="00B225B0" w:rsidRDefault="00B225B0" w:rsidP="0029588C">
      <w:pPr>
        <w:pStyle w:val="Quote"/>
      </w:pPr>
      <w:r w:rsidRPr="00B225B0">
        <w:t>required by Practice Direction 70A.</w:t>
      </w:r>
    </w:p>
    <w:p w14:paraId="110FFC40" w14:textId="190E4B6A" w:rsidR="00B225B0" w:rsidRPr="00B225B0" w:rsidRDefault="00B225B0" w:rsidP="0029588C">
      <w:pPr>
        <w:pStyle w:val="Quote"/>
      </w:pPr>
      <w:r w:rsidRPr="00B225B0">
        <w:t>(6) </w:t>
      </w:r>
      <w:r w:rsidR="00D9602D">
        <w:t xml:space="preserve"> </w:t>
      </w:r>
      <w:r w:rsidRPr="00B225B0">
        <w:t>A copy of the decision or compromise must be filed with the application notice.</w:t>
      </w:r>
    </w:p>
    <w:p w14:paraId="16ADC698" w14:textId="67CC2DA9" w:rsidR="00E82167" w:rsidRDefault="00B225B0" w:rsidP="0029588C">
      <w:pPr>
        <w:pStyle w:val="Quote"/>
      </w:pPr>
      <w:r w:rsidRPr="00B225B0">
        <w:t>(7) </w:t>
      </w:r>
      <w:r w:rsidR="00D9602D">
        <w:t xml:space="preserve"> </w:t>
      </w:r>
      <w:r w:rsidRPr="00B225B0">
        <w:t>An application other than in relation to a conditional compromise may be dealt with by a court officer without a hearing</w:t>
      </w:r>
      <w:r w:rsidRPr="00E83E64">
        <w:t xml:space="preserve"> ….</w:t>
      </w:r>
      <w:r w:rsidR="00E82167" w:rsidRPr="00E83E64">
        <w:t>”</w:t>
      </w:r>
    </w:p>
    <w:p w14:paraId="1F009B71" w14:textId="7798A4C8" w:rsidR="008B0E33" w:rsidRDefault="00823063" w:rsidP="0029588C">
      <w:pPr>
        <w:pStyle w:val="ParaLevel1"/>
      </w:pPr>
      <w:r>
        <w:t>Practice Direction 70A provides</w:t>
      </w:r>
      <w:r w:rsidR="00425FA3">
        <w:t xml:space="preserve"> so far as relevant</w:t>
      </w:r>
      <w:r>
        <w:t>:</w:t>
      </w:r>
    </w:p>
    <w:p w14:paraId="1DF6F586" w14:textId="1DF1F98F" w:rsidR="00A0507C" w:rsidRDefault="00823063" w:rsidP="0029588C">
      <w:pPr>
        <w:pStyle w:val="Quote"/>
      </w:pPr>
      <w:r>
        <w:t>“</w:t>
      </w:r>
      <w:r w:rsidR="00A0507C">
        <w:t>4.2   An application under rule 70.5(3) for an order to enforce a decision or compromise must be made by filing an application notice in practice form N322A.</w:t>
      </w:r>
    </w:p>
    <w:p w14:paraId="78A692DF" w14:textId="40171718" w:rsidR="00A0507C" w:rsidRDefault="00A0507C" w:rsidP="0029588C">
      <w:pPr>
        <w:pStyle w:val="Quote"/>
      </w:pPr>
      <w:r>
        <w:t>4.3   The application notice must state—</w:t>
      </w:r>
    </w:p>
    <w:p w14:paraId="295D7750" w14:textId="683217F9" w:rsidR="00A0507C" w:rsidRDefault="00A0507C" w:rsidP="0029588C">
      <w:pPr>
        <w:pStyle w:val="Quote"/>
      </w:pPr>
      <w:r>
        <w:t>(a)  the name and address of the person against whom the order is sought;</w:t>
      </w:r>
    </w:p>
    <w:p w14:paraId="01B70D1C" w14:textId="64748868" w:rsidR="00A0507C" w:rsidRDefault="00A0507C" w:rsidP="0029588C">
      <w:pPr>
        <w:pStyle w:val="Quote"/>
      </w:pPr>
      <w:r>
        <w:t>(b)  how much remains unpaid or what obligation remains to be performed; and</w:t>
      </w:r>
    </w:p>
    <w:p w14:paraId="53025E5B" w14:textId="63A7B9A5" w:rsidR="00823063" w:rsidRDefault="00A0507C" w:rsidP="0029588C">
      <w:pPr>
        <w:pStyle w:val="Quote"/>
      </w:pPr>
      <w:r>
        <w:t>(c)  where the application relates to a conditional compromise, details of what under the compromise the applicant is required to do and has done under the compromise in addition to discontinuing or not starting proceedings.</w:t>
      </w:r>
      <w:r w:rsidR="00823063">
        <w:t>”</w:t>
      </w:r>
    </w:p>
    <w:p w14:paraId="0EF3A1BA" w14:textId="0D81F383" w:rsidR="00606CAA" w:rsidRDefault="00606CAA" w:rsidP="0029588C">
      <w:pPr>
        <w:pStyle w:val="ParaHeading"/>
        <w:rPr>
          <w:b/>
          <w:u w:val="single"/>
        </w:rPr>
      </w:pPr>
      <w:r>
        <w:rPr>
          <w:b/>
          <w:u w:val="single"/>
        </w:rPr>
        <w:t>The judgment</w:t>
      </w:r>
    </w:p>
    <w:p w14:paraId="4D67A0B6" w14:textId="53A1C1E7" w:rsidR="00606CAA" w:rsidRDefault="000033A7" w:rsidP="0029588C">
      <w:pPr>
        <w:pStyle w:val="ParaLevel1"/>
      </w:pPr>
      <w:r>
        <w:t>Mr Al-</w:t>
      </w:r>
      <w:proofErr w:type="spellStart"/>
      <w:r>
        <w:t>Balhaa’s</w:t>
      </w:r>
      <w:proofErr w:type="spellEnd"/>
      <w:r>
        <w:t xml:space="preserve"> </w:t>
      </w:r>
      <w:r w:rsidR="005B3E43">
        <w:t xml:space="preserve">submissions to Judge </w:t>
      </w:r>
      <w:proofErr w:type="spellStart"/>
      <w:r w:rsidR="005B3E43">
        <w:t>Baucher</w:t>
      </w:r>
      <w:proofErr w:type="spellEnd"/>
      <w:r w:rsidR="005B3E43">
        <w:t xml:space="preserve"> raised three main issues. We are now concerned with only one of them: whether the </w:t>
      </w:r>
      <w:proofErr w:type="spellStart"/>
      <w:r w:rsidR="005B3E43">
        <w:t>FTT’s</w:t>
      </w:r>
      <w:proofErr w:type="spellEnd"/>
      <w:r w:rsidR="005B3E43">
        <w:t xml:space="preserve"> decision </w:t>
      </w:r>
      <w:r w:rsidR="003950E3">
        <w:t xml:space="preserve">was susceptible to enforcement </w:t>
      </w:r>
      <w:r w:rsidR="00A91C93">
        <w:t>in the County Court.</w:t>
      </w:r>
    </w:p>
    <w:p w14:paraId="6281F7E3" w14:textId="5BDA1225" w:rsidR="0032219F" w:rsidRPr="00606CAA" w:rsidRDefault="00A91C93" w:rsidP="0029588C">
      <w:pPr>
        <w:pStyle w:val="ParaLevel1"/>
      </w:pPr>
      <w:r>
        <w:t xml:space="preserve">In that connection, </w:t>
      </w:r>
      <w:r w:rsidR="00D63CE6">
        <w:t xml:space="preserve">Judge </w:t>
      </w:r>
      <w:proofErr w:type="spellStart"/>
      <w:r w:rsidR="00D63CE6">
        <w:t>Baucher</w:t>
      </w:r>
      <w:proofErr w:type="spellEnd"/>
      <w:r w:rsidR="00D63CE6">
        <w:t xml:space="preserve"> noted in paragraph 26 of her judgment that </w:t>
      </w:r>
      <w:r w:rsidR="009C4C7E">
        <w:t xml:space="preserve">the </w:t>
      </w:r>
      <w:proofErr w:type="spellStart"/>
      <w:r w:rsidR="009C4C7E">
        <w:t>FTT</w:t>
      </w:r>
      <w:proofErr w:type="spellEnd"/>
      <w:r w:rsidR="009C4C7E">
        <w:t xml:space="preserve"> decision </w:t>
      </w:r>
      <w:r w:rsidR="0032219F">
        <w:t>“was not an award whereby [</w:t>
      </w:r>
      <w:proofErr w:type="spellStart"/>
      <w:r w:rsidR="0032219F">
        <w:t>Termhouse</w:t>
      </w:r>
      <w:proofErr w:type="spellEnd"/>
      <w:r w:rsidR="0032219F">
        <w:t>] could seek to use</w:t>
      </w:r>
      <w:r w:rsidR="0007558B">
        <w:t xml:space="preserve"> the operative provision of S27 of the Tribunals, Courts and Enforcement Act 2007</w:t>
      </w:r>
      <w:r w:rsidR="0050713A">
        <w:t xml:space="preserve">”. </w:t>
      </w:r>
      <w:r w:rsidR="007D671C">
        <w:t xml:space="preserve">However, </w:t>
      </w:r>
      <w:r w:rsidR="00A734BF">
        <w:t xml:space="preserve">Judge </w:t>
      </w:r>
      <w:proofErr w:type="spellStart"/>
      <w:r w:rsidR="00A734BF">
        <w:t>Baucher</w:t>
      </w:r>
      <w:proofErr w:type="spellEnd"/>
      <w:r w:rsidR="00A734BF">
        <w:t xml:space="preserve"> concluded</w:t>
      </w:r>
      <w:r w:rsidR="007D671C">
        <w:t xml:space="preserve"> in paragraph 29</w:t>
      </w:r>
      <w:r w:rsidR="00A734BF">
        <w:t xml:space="preserve"> that </w:t>
      </w:r>
      <w:proofErr w:type="spellStart"/>
      <w:r w:rsidR="00E90596">
        <w:t>Termhouse</w:t>
      </w:r>
      <w:proofErr w:type="spellEnd"/>
      <w:r w:rsidR="00E90596">
        <w:t xml:space="preserve"> was “entitled to use S176C [of the 2002 Act] and CPR 70.5 to enforce the decision and to hold otherwise would make the section otiose and override the clear intention of its operation</w:t>
      </w:r>
      <w:r w:rsidR="007D671C">
        <w:t xml:space="preserve">”. </w:t>
      </w:r>
      <w:r w:rsidR="00895B14">
        <w:t xml:space="preserve">She </w:t>
      </w:r>
      <w:r w:rsidR="00EC401C">
        <w:t xml:space="preserve">observed </w:t>
      </w:r>
      <w:r w:rsidR="00BA7CCA">
        <w:t xml:space="preserve">in paragraph 29 </w:t>
      </w:r>
      <w:r w:rsidR="00EC401C">
        <w:t xml:space="preserve">that “[t]he determination by the </w:t>
      </w:r>
      <w:proofErr w:type="spellStart"/>
      <w:r w:rsidR="00EC401C">
        <w:t>FTT</w:t>
      </w:r>
      <w:proofErr w:type="spellEnd"/>
      <w:r w:rsidR="00EC401C">
        <w:t xml:space="preserve"> was a ‘decision’ not an award</w:t>
      </w:r>
      <w:r w:rsidR="00C63ED3">
        <w:t>” and that “[t]he statute refers to ‘any decision’ which clearly encompasses</w:t>
      </w:r>
      <w:r w:rsidR="00BA7CCA">
        <w:t xml:space="preserve"> the determination [the </w:t>
      </w:r>
      <w:proofErr w:type="spellStart"/>
      <w:r w:rsidR="00BA7CCA">
        <w:t>FTT</w:t>
      </w:r>
      <w:proofErr w:type="spellEnd"/>
      <w:r w:rsidR="00BA7CCA">
        <w:t>] made in this case”.</w:t>
      </w:r>
    </w:p>
    <w:p w14:paraId="3489EBD9" w14:textId="7EEE16F5" w:rsidR="005C6F02" w:rsidRDefault="0025702B" w:rsidP="0029588C">
      <w:pPr>
        <w:pStyle w:val="ParaHeading"/>
        <w:rPr>
          <w:b/>
          <w:u w:val="single"/>
        </w:rPr>
      </w:pPr>
      <w:r>
        <w:rPr>
          <w:b/>
          <w:u w:val="single"/>
        </w:rPr>
        <w:lastRenderedPageBreak/>
        <w:t>The parties’ positions</w:t>
      </w:r>
    </w:p>
    <w:p w14:paraId="1029D806" w14:textId="398AA47B" w:rsidR="0025702B" w:rsidRDefault="0025702B" w:rsidP="0029588C">
      <w:pPr>
        <w:pStyle w:val="ParaLevel1"/>
      </w:pPr>
      <w:r>
        <w:t>Mr Timothy Cowen, who appeared for Mr Al-</w:t>
      </w:r>
      <w:proofErr w:type="spellStart"/>
      <w:r>
        <w:t>Balhaa</w:t>
      </w:r>
      <w:proofErr w:type="spellEnd"/>
      <w:r w:rsidR="00BC2919">
        <w:t xml:space="preserve">, </w:t>
      </w:r>
      <w:r w:rsidR="00954C94">
        <w:t>argued th</w:t>
      </w:r>
      <w:r w:rsidR="00BC460E">
        <w:t>at</w:t>
      </w:r>
      <w:r w:rsidR="002445C9">
        <w:t xml:space="preserve"> Judge </w:t>
      </w:r>
      <w:proofErr w:type="spellStart"/>
      <w:r w:rsidR="002445C9">
        <w:t>Baucher</w:t>
      </w:r>
      <w:proofErr w:type="spellEnd"/>
      <w:r w:rsidR="002445C9">
        <w:t xml:space="preserve"> was mistaken in</w:t>
      </w:r>
      <w:r w:rsidR="003030A0">
        <w:t xml:space="preserve"> thinking that section 176C of the 2002 Act was applicable and that, even if it was, CPR 70.5 did not apply.</w:t>
      </w:r>
      <w:r w:rsidR="0040095E">
        <w:t xml:space="preserve"> He suggested that </w:t>
      </w:r>
      <w:r w:rsidR="00516F39">
        <w:t>decisions</w:t>
      </w:r>
      <w:r w:rsidR="005276AD">
        <w:t xml:space="preserve"> of Courts and Tribunals can be </w:t>
      </w:r>
      <w:r w:rsidR="00516F39">
        <w:t>divided into</w:t>
      </w:r>
      <w:r w:rsidR="00B54130">
        <w:t xml:space="preserve"> three </w:t>
      </w:r>
      <w:r w:rsidR="00516F39">
        <w:t>categories</w:t>
      </w:r>
      <w:r w:rsidR="00B54130">
        <w:t xml:space="preserve">. </w:t>
      </w:r>
      <w:r w:rsidR="00B7159E">
        <w:t xml:space="preserve">In the first place, a Court or Tribunal might order someone to </w:t>
      </w:r>
      <w:r w:rsidR="007C4F26">
        <w:t>make a payment</w:t>
      </w:r>
      <w:r w:rsidR="003D3B91">
        <w:t xml:space="preserve">. </w:t>
      </w:r>
      <w:r w:rsidR="00DD7768">
        <w:t xml:space="preserve">Where the </w:t>
      </w:r>
      <w:proofErr w:type="spellStart"/>
      <w:r w:rsidR="00DD7768">
        <w:t>FTT</w:t>
      </w:r>
      <w:proofErr w:type="spellEnd"/>
      <w:r w:rsidR="00DD7768">
        <w:t xml:space="preserve"> does so</w:t>
      </w:r>
      <w:r w:rsidR="00BB7D85">
        <w:t xml:space="preserve"> (for</w:t>
      </w:r>
      <w:r w:rsidR="00950E7C">
        <w:t xml:space="preserve"> instance</w:t>
      </w:r>
      <w:r w:rsidR="00BB7D85">
        <w:t>, by</w:t>
      </w:r>
      <w:r w:rsidR="007C4F26">
        <w:t xml:space="preserve"> way of</w:t>
      </w:r>
      <w:r w:rsidR="00BB7D85">
        <w:t xml:space="preserve"> costs order)</w:t>
      </w:r>
      <w:r w:rsidR="00DD7768">
        <w:t xml:space="preserve">, </w:t>
      </w:r>
      <w:r w:rsidR="00A64D07">
        <w:t>Mr Cowen</w:t>
      </w:r>
      <w:r w:rsidR="00DD7768">
        <w:t xml:space="preserve"> said, enforcement is possible under section 27 of the </w:t>
      </w:r>
      <w:r w:rsidR="000C711B">
        <w:t>2007 Act</w:t>
      </w:r>
      <w:r w:rsidR="004123D0">
        <w:t xml:space="preserve">. Secondly, </w:t>
      </w:r>
      <w:r w:rsidR="00322F7A">
        <w:t xml:space="preserve">a Court or Tribunal might </w:t>
      </w:r>
      <w:r w:rsidR="003A70AD">
        <w:t>order someone to do</w:t>
      </w:r>
      <w:r w:rsidR="003F14D4">
        <w:t>,</w:t>
      </w:r>
      <w:r w:rsidR="003A70AD">
        <w:t xml:space="preserve"> or </w:t>
      </w:r>
      <w:r w:rsidR="003F14D4">
        <w:t xml:space="preserve">to </w:t>
      </w:r>
      <w:r w:rsidR="003A70AD">
        <w:t>refrain from doing</w:t>
      </w:r>
      <w:r w:rsidR="003F14D4">
        <w:t>,</w:t>
      </w:r>
      <w:r w:rsidR="003A70AD">
        <w:t xml:space="preserve"> something other than make</w:t>
      </w:r>
      <w:r w:rsidR="003F14D4">
        <w:t xml:space="preserve"> a payment</w:t>
      </w:r>
      <w:r w:rsidR="007C4F26">
        <w:t xml:space="preserve">. </w:t>
      </w:r>
      <w:r w:rsidR="00A64D07">
        <w:t>I</w:t>
      </w:r>
      <w:r w:rsidR="00DB4BCB">
        <w:t>n</w:t>
      </w:r>
      <w:r w:rsidR="00A64D07">
        <w:t xml:space="preserve"> </w:t>
      </w:r>
      <w:r w:rsidR="00EB53EA">
        <w:t xml:space="preserve">the case of an </w:t>
      </w:r>
      <w:proofErr w:type="spellStart"/>
      <w:r w:rsidR="00EB53EA">
        <w:t>FTT</w:t>
      </w:r>
      <w:proofErr w:type="spellEnd"/>
      <w:r w:rsidR="00EB53EA">
        <w:t xml:space="preserve"> decision to that effect</w:t>
      </w:r>
      <w:r w:rsidR="00A64D07">
        <w:t>, Mr Cowen said, section 176C of the 2002 Act would be available</w:t>
      </w:r>
      <w:r w:rsidR="00DB4BCB">
        <w:t xml:space="preserve">. </w:t>
      </w:r>
      <w:r w:rsidR="00B31B76">
        <w:t xml:space="preserve">That, he said, would be the position if, for example, the </w:t>
      </w:r>
      <w:proofErr w:type="spellStart"/>
      <w:r w:rsidR="00B31B76">
        <w:t>FTT</w:t>
      </w:r>
      <w:proofErr w:type="spellEnd"/>
      <w:r w:rsidR="00B31B76">
        <w:t xml:space="preserve"> </w:t>
      </w:r>
      <w:r w:rsidR="00812C4E">
        <w:t xml:space="preserve">ordered a landlord to nominate or approve an insurer pursuant to paragraph 8 </w:t>
      </w:r>
      <w:r w:rsidR="000B0460">
        <w:t xml:space="preserve">of schedule 1 to the 1985 Act. Thirdly, </w:t>
      </w:r>
      <w:r w:rsidR="00DE41BC">
        <w:t>a decision m</w:t>
      </w:r>
      <w:r w:rsidR="00CF6327">
        <w:t>ight</w:t>
      </w:r>
      <w:r w:rsidR="00DE41BC">
        <w:t xml:space="preserve"> be declarator</w:t>
      </w:r>
      <w:r w:rsidR="005043DA">
        <w:t>y</w:t>
      </w:r>
      <w:r w:rsidR="000D7A5B">
        <w:t xml:space="preserve"> in nature. </w:t>
      </w:r>
      <w:r w:rsidR="008C1CF0">
        <w:t>Where</w:t>
      </w:r>
      <w:r w:rsidR="00EC3269">
        <w:t xml:space="preserve"> that is so, Mr Cowen said, neither </w:t>
      </w:r>
      <w:r w:rsidR="001464BF">
        <w:t xml:space="preserve">section 176C of the 2002 Act </w:t>
      </w:r>
      <w:r w:rsidR="00077360">
        <w:t xml:space="preserve">nor section 27 of the 2007 Act </w:t>
      </w:r>
      <w:r w:rsidR="001464BF">
        <w:t>will be in point</w:t>
      </w:r>
      <w:r w:rsidR="008C1CF0">
        <w:t>,</w:t>
      </w:r>
      <w:r w:rsidR="00241974">
        <w:t xml:space="preserve"> and the </w:t>
      </w:r>
      <w:proofErr w:type="spellStart"/>
      <w:r w:rsidR="00241974">
        <w:t>FTT</w:t>
      </w:r>
      <w:proofErr w:type="spellEnd"/>
      <w:r w:rsidR="00241974">
        <w:t xml:space="preserve"> decision </w:t>
      </w:r>
      <w:r w:rsidR="0033726F">
        <w:t>at issue in the present case</w:t>
      </w:r>
      <w:r w:rsidR="00F3211A">
        <w:t xml:space="preserve"> </w:t>
      </w:r>
      <w:r w:rsidR="008C1CF0">
        <w:t xml:space="preserve">was of this type. It </w:t>
      </w:r>
      <w:r w:rsidR="007E6512">
        <w:t>did not require Mr Al-</w:t>
      </w:r>
      <w:proofErr w:type="spellStart"/>
      <w:r w:rsidR="007E6512">
        <w:t>Balhaa</w:t>
      </w:r>
      <w:proofErr w:type="spellEnd"/>
      <w:r w:rsidR="007E6512">
        <w:t xml:space="preserve"> either to make a payment or to do or refrain f</w:t>
      </w:r>
      <w:r w:rsidR="0064565C">
        <w:t>ro</w:t>
      </w:r>
      <w:r w:rsidR="007E6512">
        <w:t>m doing anything else.</w:t>
      </w:r>
      <w:r w:rsidR="00D13C98">
        <w:t xml:space="preserve"> In the alternative, Mr Cowen submitted that, even if section 176C could apply, </w:t>
      </w:r>
      <w:r w:rsidR="00EE5855">
        <w:t xml:space="preserve">CPR 70.5 could not be used, or </w:t>
      </w:r>
      <w:r w:rsidR="00F06B28">
        <w:t xml:space="preserve">at </w:t>
      </w:r>
      <w:r w:rsidR="00EE5855">
        <w:t>a</w:t>
      </w:r>
      <w:r w:rsidR="00287528">
        <w:t>ny rate that resort c</w:t>
      </w:r>
      <w:r w:rsidR="00355BAD">
        <w:t>ould not</w:t>
      </w:r>
      <w:r w:rsidR="00287528">
        <w:t xml:space="preserve"> be had to it </w:t>
      </w:r>
      <w:r w:rsidR="005D59F5">
        <w:t xml:space="preserve">without </w:t>
      </w:r>
      <w:r w:rsidR="00C54496">
        <w:t>prior permission f</w:t>
      </w:r>
      <w:r w:rsidR="0064565C">
        <w:t>ro</w:t>
      </w:r>
      <w:r w:rsidR="00C54496">
        <w:t>m the County Court.</w:t>
      </w:r>
    </w:p>
    <w:p w14:paraId="361DC85F" w14:textId="24E7974B" w:rsidR="00355BAD" w:rsidRDefault="00355BAD" w:rsidP="0029588C">
      <w:pPr>
        <w:pStyle w:val="ParaLevel1"/>
      </w:pPr>
      <w:r>
        <w:t xml:space="preserve">For his part, Mr Jonathan Wragg, who appeared for </w:t>
      </w:r>
      <w:proofErr w:type="spellStart"/>
      <w:r>
        <w:t>Termhouse</w:t>
      </w:r>
      <w:proofErr w:type="spellEnd"/>
      <w:r>
        <w:t xml:space="preserve">, supported Judge </w:t>
      </w:r>
      <w:proofErr w:type="spellStart"/>
      <w:r>
        <w:t>Baucher’s</w:t>
      </w:r>
      <w:proofErr w:type="spellEnd"/>
      <w:r>
        <w:t xml:space="preserve"> decision. </w:t>
      </w:r>
      <w:r w:rsidR="00F557A9">
        <w:t xml:space="preserve">Although, he </w:t>
      </w:r>
      <w:r w:rsidR="00173604">
        <w:t xml:space="preserve">submitted, the </w:t>
      </w:r>
      <w:proofErr w:type="spellStart"/>
      <w:r w:rsidR="00173604">
        <w:t>FTT</w:t>
      </w:r>
      <w:proofErr w:type="spellEnd"/>
      <w:r w:rsidR="00173604">
        <w:t xml:space="preserve"> decision </w:t>
      </w:r>
      <w:r w:rsidR="001C28A2">
        <w:t xml:space="preserve">was not one </w:t>
      </w:r>
      <w:r w:rsidR="007A1ECD">
        <w:t>“ordering the payment of a sum” (to quote section 17</w:t>
      </w:r>
      <w:r w:rsidR="00077B93">
        <w:t xml:space="preserve">6C of the 2002 Act) and therefore outside the scope of </w:t>
      </w:r>
      <w:r w:rsidR="00715986">
        <w:t>section 27 of the 2007 Act, it did serve to determine how much was out</w:t>
      </w:r>
      <w:r w:rsidR="0089393C">
        <w:t>standing</w:t>
      </w:r>
      <w:r w:rsidR="00715986">
        <w:t xml:space="preserve"> from Mr Al-</w:t>
      </w:r>
      <w:proofErr w:type="spellStart"/>
      <w:r w:rsidR="00715986">
        <w:t>Balhaa</w:t>
      </w:r>
      <w:proofErr w:type="spellEnd"/>
      <w:r w:rsidR="00715986">
        <w:t xml:space="preserve"> </w:t>
      </w:r>
      <w:r w:rsidR="00CD442D">
        <w:t xml:space="preserve">and so could appropriately be enforced under section 176C. In fact, </w:t>
      </w:r>
      <w:r w:rsidR="00C92AA2">
        <w:t>Mr Al-</w:t>
      </w:r>
      <w:proofErr w:type="spellStart"/>
      <w:r w:rsidR="00C92AA2">
        <w:t>Balhaa</w:t>
      </w:r>
      <w:proofErr w:type="spellEnd"/>
      <w:r w:rsidR="00C92AA2">
        <w:t xml:space="preserve"> had himself asked the </w:t>
      </w:r>
      <w:proofErr w:type="spellStart"/>
      <w:r w:rsidR="00C92AA2">
        <w:t>FTT</w:t>
      </w:r>
      <w:proofErr w:type="spellEnd"/>
      <w:r w:rsidR="00C92AA2">
        <w:t xml:space="preserve"> to decide whether “there are any </w:t>
      </w:r>
      <w:r w:rsidR="00F81FDB">
        <w:t xml:space="preserve">service charges outstanding”, and he had not suggested that he was confused as to the implications </w:t>
      </w:r>
      <w:r w:rsidR="00D53CDB">
        <w:t xml:space="preserve">of the </w:t>
      </w:r>
      <w:proofErr w:type="spellStart"/>
      <w:r w:rsidR="00D53CDB">
        <w:t>FTT’s</w:t>
      </w:r>
      <w:proofErr w:type="spellEnd"/>
      <w:r w:rsidR="00D53CDB">
        <w:t xml:space="preserve"> decision or how the £9,316</w:t>
      </w:r>
      <w:r w:rsidR="00C03763">
        <w:t>.0</w:t>
      </w:r>
      <w:r w:rsidR="00384BA3">
        <w:t>4</w:t>
      </w:r>
      <w:r w:rsidR="00C03763">
        <w:t xml:space="preserve"> held to be enforceable had been calculated.</w:t>
      </w:r>
      <w:r w:rsidR="007616EA">
        <w:t xml:space="preserve"> Mr Wragg further argued that, section 176C being in point, so was CPR 70.5.</w:t>
      </w:r>
    </w:p>
    <w:p w14:paraId="04CC1DCC" w14:textId="713A5BE4" w:rsidR="007616EA" w:rsidRDefault="007616EA" w:rsidP="0029588C">
      <w:pPr>
        <w:pStyle w:val="ParaHeading"/>
        <w:rPr>
          <w:b/>
          <w:u w:val="single"/>
        </w:rPr>
      </w:pPr>
      <w:r>
        <w:rPr>
          <w:b/>
          <w:u w:val="single"/>
        </w:rPr>
        <w:t>Discussion</w:t>
      </w:r>
    </w:p>
    <w:p w14:paraId="66E43BE7" w14:textId="00D00F39" w:rsidR="007616EA" w:rsidRDefault="00A71030" w:rsidP="0029588C">
      <w:pPr>
        <w:pStyle w:val="ParaLevel1"/>
      </w:pPr>
      <w:r>
        <w:t xml:space="preserve">Section 176C of the </w:t>
      </w:r>
      <w:r w:rsidR="0029517F">
        <w:t xml:space="preserve">2002 Act allows a decision of the </w:t>
      </w:r>
      <w:proofErr w:type="spellStart"/>
      <w:r w:rsidR="0029517F">
        <w:t>FTT</w:t>
      </w:r>
      <w:proofErr w:type="spellEnd"/>
      <w:r w:rsidR="0029517F">
        <w:t xml:space="preserve"> other than </w:t>
      </w:r>
      <w:r w:rsidR="00880C14">
        <w:t xml:space="preserve">one ordering the payment of a sum to be enforced “in the same way as orders of </w:t>
      </w:r>
      <w:r w:rsidR="00FC7005">
        <w:t>[the County Court]</w:t>
      </w:r>
      <w:r w:rsidR="00880C14">
        <w:t xml:space="preserve">”. Plainly, </w:t>
      </w:r>
      <w:r w:rsidR="0003756C">
        <w:t>a County Court order which was merely declaratory in nature could not be the subject of enforcement</w:t>
      </w:r>
      <w:r w:rsidR="00DB2B65">
        <w:t xml:space="preserve">. </w:t>
      </w:r>
      <w:r w:rsidR="00D521EA">
        <w:t>It must follow that</w:t>
      </w:r>
      <w:r w:rsidR="00DD05CF">
        <w:t xml:space="preserve"> </w:t>
      </w:r>
      <w:r w:rsidR="00D521EA">
        <w:t xml:space="preserve">an </w:t>
      </w:r>
      <w:proofErr w:type="spellStart"/>
      <w:r w:rsidR="00D521EA">
        <w:t>FTT</w:t>
      </w:r>
      <w:proofErr w:type="spellEnd"/>
      <w:r w:rsidR="00D521EA">
        <w:t xml:space="preserve"> decision </w:t>
      </w:r>
      <w:r w:rsidR="00DD05CF">
        <w:t xml:space="preserve">which </w:t>
      </w:r>
      <w:r w:rsidR="00D521EA">
        <w:t>is no more than declaratory</w:t>
      </w:r>
      <w:r w:rsidR="00DD05CF">
        <w:t xml:space="preserve"> is similarly incapable of enforcement and </w:t>
      </w:r>
      <w:r w:rsidR="008474F7">
        <w:t xml:space="preserve">that </w:t>
      </w:r>
      <w:r w:rsidR="00801560">
        <w:t>section 176C</w:t>
      </w:r>
      <w:r w:rsidR="009E47EA">
        <w:t xml:space="preserve"> cannot be invoked</w:t>
      </w:r>
      <w:r w:rsidR="008474F7">
        <w:t xml:space="preserve"> in such a case</w:t>
      </w:r>
      <w:r w:rsidR="00801560">
        <w:t>.</w:t>
      </w:r>
    </w:p>
    <w:p w14:paraId="1CB57A01" w14:textId="7E1E2CF7" w:rsidR="00801560" w:rsidRDefault="00801560" w:rsidP="0029588C">
      <w:pPr>
        <w:pStyle w:val="ParaLevel1"/>
      </w:pPr>
      <w:r>
        <w:t>Is, then, a</w:t>
      </w:r>
      <w:r w:rsidR="00D651A7">
        <w:t xml:space="preserve"> decision of the </w:t>
      </w:r>
      <w:proofErr w:type="spellStart"/>
      <w:r w:rsidR="00D651A7">
        <w:t>FTT</w:t>
      </w:r>
      <w:proofErr w:type="spellEnd"/>
      <w:r w:rsidR="00D651A7">
        <w:t xml:space="preserve"> on an application under section 27A of the 1985 Act </w:t>
      </w:r>
      <w:r w:rsidR="001F6534">
        <w:t xml:space="preserve">just declaratory? Arguing to the contrary, Mr Wragg </w:t>
      </w:r>
      <w:r w:rsidR="00CE588B">
        <w:t>submitted</w:t>
      </w:r>
      <w:r w:rsidR="00895A30">
        <w:t xml:space="preserve"> that the jurisd</w:t>
      </w:r>
      <w:r w:rsidR="006A4CC2">
        <w:t xml:space="preserve">iction of the </w:t>
      </w:r>
      <w:proofErr w:type="spellStart"/>
      <w:r w:rsidR="006A4CC2">
        <w:t>FTT</w:t>
      </w:r>
      <w:proofErr w:type="spellEnd"/>
      <w:r w:rsidR="006A4CC2">
        <w:t xml:space="preserve"> under section 27A extends to de</w:t>
      </w:r>
      <w:r w:rsidR="00BA36F1">
        <w:t>cid</w:t>
      </w:r>
      <w:r w:rsidR="00D70A69">
        <w:t>ing</w:t>
      </w:r>
      <w:r w:rsidR="006A4CC2">
        <w:t xml:space="preserve"> what </w:t>
      </w:r>
      <w:r w:rsidR="00BA36F1">
        <w:t xml:space="preserve">the tenant owes. He </w:t>
      </w:r>
      <w:r w:rsidR="00AE0CEA">
        <w:t xml:space="preserve">pointed to the fact that section 27A provides for </w:t>
      </w:r>
      <w:r w:rsidR="001A17A4">
        <w:t xml:space="preserve">the </w:t>
      </w:r>
      <w:proofErr w:type="spellStart"/>
      <w:r w:rsidR="001A17A4">
        <w:t>FTT</w:t>
      </w:r>
      <w:proofErr w:type="spellEnd"/>
      <w:r w:rsidR="001A17A4">
        <w:t xml:space="preserve"> to determine whether a service charge is “payable” and told us that </w:t>
      </w:r>
      <w:r w:rsidR="006476BB">
        <w:t xml:space="preserve">the </w:t>
      </w:r>
      <w:proofErr w:type="spellStart"/>
      <w:r w:rsidR="006476BB">
        <w:t>FTT</w:t>
      </w:r>
      <w:proofErr w:type="spellEnd"/>
      <w:r w:rsidR="006476BB">
        <w:t xml:space="preserve"> sometimes specifies in terms what is outstanding from the tenant.</w:t>
      </w:r>
      <w:r w:rsidR="00CB7E3C">
        <w:t xml:space="preserve"> He sought support for his </w:t>
      </w:r>
      <w:r w:rsidR="00CE588B">
        <w:t>contentions</w:t>
      </w:r>
      <w:r w:rsidR="00CB7E3C">
        <w:t xml:space="preserve"> in section 81 of the 1996 Act, which </w:t>
      </w:r>
      <w:r w:rsidR="004C1579">
        <w:t xml:space="preserve">bars a landlord from </w:t>
      </w:r>
      <w:r w:rsidR="000A1042">
        <w:t xml:space="preserve">forfeiting for non-payment of </w:t>
      </w:r>
      <w:r w:rsidR="00DD5EF4">
        <w:t xml:space="preserve">a service charge unless it has been finally determined that </w:t>
      </w:r>
      <w:r w:rsidR="00986655">
        <w:t xml:space="preserve">the amount is “payable” or the tenant has admitted that </w:t>
      </w:r>
      <w:r w:rsidR="008344A4">
        <w:t>that</w:t>
      </w:r>
      <w:r w:rsidR="00986655">
        <w:t xml:space="preserve"> is so</w:t>
      </w:r>
      <w:r w:rsidR="00BE05A0">
        <w:t>. In that context, Mr Wragg said, “payable” must mean “</w:t>
      </w:r>
      <w:r w:rsidR="006240A0">
        <w:t>due</w:t>
      </w:r>
      <w:r w:rsidR="00BE05A0">
        <w:t>”.</w:t>
      </w:r>
      <w:r w:rsidR="00C46841">
        <w:t xml:space="preserve"> A sum cannot be said to be “payable”, Mr Wragg </w:t>
      </w:r>
      <w:r w:rsidR="00CB01E7">
        <w:t>suggested, if it has already been paid.</w:t>
      </w:r>
    </w:p>
    <w:p w14:paraId="6D23ECE9" w14:textId="2E355A91" w:rsidR="00CB01E7" w:rsidRDefault="00881944" w:rsidP="0029588C">
      <w:pPr>
        <w:pStyle w:val="ParaLevel1"/>
      </w:pPr>
      <w:r>
        <w:lastRenderedPageBreak/>
        <w:t>However</w:t>
      </w:r>
      <w:r w:rsidR="00731BB5">
        <w:t xml:space="preserve">, the terms of section 27A </w:t>
      </w:r>
      <w:r w:rsidR="005756DE">
        <w:t xml:space="preserve">of the 1985 Act </w:t>
      </w:r>
      <w:r w:rsidR="00731BB5">
        <w:t>make it impossible to equate “payable” with “</w:t>
      </w:r>
      <w:r w:rsidR="006240A0">
        <w:t>due</w:t>
      </w:r>
      <w:r w:rsidR="00004A57">
        <w:t xml:space="preserve">”. </w:t>
      </w:r>
      <w:r w:rsidR="005756DE">
        <w:t>S</w:t>
      </w:r>
      <w:r w:rsidR="00C52D0F">
        <w:t xml:space="preserve">ubsection (2) provides for subsection (1) to apply “whether or not any payment has been made”. </w:t>
      </w:r>
      <w:r w:rsidR="002E254E">
        <w:t xml:space="preserve">Where </w:t>
      </w:r>
      <w:r w:rsidR="002F6A46">
        <w:t xml:space="preserve">there has been </w:t>
      </w:r>
      <w:r w:rsidR="002E254E">
        <w:t xml:space="preserve">payment, the </w:t>
      </w:r>
      <w:proofErr w:type="spellStart"/>
      <w:r w:rsidR="002E254E">
        <w:t>FTT</w:t>
      </w:r>
      <w:proofErr w:type="spellEnd"/>
      <w:r w:rsidR="002E254E">
        <w:t xml:space="preserve"> will necessarily be considering, not whether </w:t>
      </w:r>
      <w:r w:rsidR="00C2202F">
        <w:t xml:space="preserve">there is an outstanding liability, but </w:t>
      </w:r>
      <w:r w:rsidR="00C41B20">
        <w:t>how much could be charged by way of service charge.</w:t>
      </w:r>
      <w:r w:rsidR="00AB2BE9">
        <w:t xml:space="preserve"> </w:t>
      </w:r>
      <w:r w:rsidR="003901A8">
        <w:t xml:space="preserve">That the role of the </w:t>
      </w:r>
      <w:proofErr w:type="spellStart"/>
      <w:r w:rsidR="003901A8">
        <w:t>FTT</w:t>
      </w:r>
      <w:proofErr w:type="spellEnd"/>
      <w:r w:rsidR="003901A8">
        <w:t xml:space="preserve"> is to decide what service charges can be charged rather than what the tenant owes is also indicated by subsection (4), </w:t>
      </w:r>
      <w:r w:rsidR="00F66ED2">
        <w:t xml:space="preserve">prohibiting any application </w:t>
      </w:r>
      <w:r w:rsidR="005A5CC9">
        <w:t>in respect of a matter which has been agreed or admitted by the tenant.</w:t>
      </w:r>
    </w:p>
    <w:p w14:paraId="37E98C82" w14:textId="1D29A583" w:rsidR="009259C2" w:rsidRDefault="0051143D" w:rsidP="0029588C">
      <w:pPr>
        <w:pStyle w:val="ParaLevel1"/>
      </w:pPr>
      <w:r>
        <w:t>Section 19 of the 1985 Act points in the same direction.</w:t>
      </w:r>
      <w:r w:rsidR="00914334">
        <w:t xml:space="preserve"> That limits the amount “payable” </w:t>
      </w:r>
      <w:r w:rsidR="00162D76">
        <w:t>in respect of a service charge</w:t>
      </w:r>
      <w:r w:rsidR="00EE3519">
        <w:t xml:space="preserve"> </w:t>
      </w:r>
      <w:r w:rsidR="00053638">
        <w:t>on the basis of</w:t>
      </w:r>
      <w:r w:rsidR="00EE3519">
        <w:t xml:space="preserve"> reasonableness.</w:t>
      </w:r>
      <w:r w:rsidR="00B30D6C">
        <w:t xml:space="preserve"> Plainly, “payable” </w:t>
      </w:r>
      <w:r w:rsidR="00157943">
        <w:t>refers there to what can be charged.</w:t>
      </w:r>
    </w:p>
    <w:p w14:paraId="39A7056D" w14:textId="2C00B0EC" w:rsidR="005A356D" w:rsidRDefault="007854A6" w:rsidP="0029588C">
      <w:pPr>
        <w:pStyle w:val="ParaLevel1"/>
      </w:pPr>
      <w:r>
        <w:t xml:space="preserve">Nor is section 81 of the 1996 Act inconsistent with that view of section 27A of the 1985 Act. </w:t>
      </w:r>
      <w:r w:rsidR="00FE0451">
        <w:t xml:space="preserve">“Payable” can be expected to have the same meaning in the two </w:t>
      </w:r>
      <w:r w:rsidR="00F27462">
        <w:t xml:space="preserve">provisions, but it </w:t>
      </w:r>
      <w:r w:rsidR="00EA5C6B">
        <w:t xml:space="preserve">cannot be inferred that the word “payable” </w:t>
      </w:r>
      <w:r w:rsidR="00C43DDD">
        <w:t>signifies</w:t>
      </w:r>
      <w:r w:rsidR="00EA5C6B">
        <w:t xml:space="preserve"> </w:t>
      </w:r>
      <w:r w:rsidR="00111B8D">
        <w:t>“</w:t>
      </w:r>
      <w:r w:rsidR="00367662">
        <w:t>due</w:t>
      </w:r>
      <w:r w:rsidR="00111B8D">
        <w:t xml:space="preserve">” in </w:t>
      </w:r>
      <w:r w:rsidR="00F27462">
        <w:t xml:space="preserve">section 81. If “payable” </w:t>
      </w:r>
      <w:r w:rsidR="00C43DDD">
        <w:t xml:space="preserve">means “properly charged” in sections 81 and 27A alike, a landlord will be unable to </w:t>
      </w:r>
      <w:r w:rsidR="00EE3BE3">
        <w:t>seek to f</w:t>
      </w:r>
      <w:r w:rsidR="006937BE">
        <w:t xml:space="preserve">orfeit for non-payment of a service charge without a prior determination that the service charge </w:t>
      </w:r>
      <w:r w:rsidR="00EE3BE3">
        <w:t xml:space="preserve">was </w:t>
      </w:r>
      <w:r w:rsidR="00BE7D87">
        <w:t>legitimately</w:t>
      </w:r>
      <w:r w:rsidR="00EE3BE3">
        <w:t xml:space="preserve"> levied but </w:t>
      </w:r>
      <w:r w:rsidR="00944914">
        <w:t xml:space="preserve">there need have been no determination that the service charge was </w:t>
      </w:r>
      <w:r w:rsidR="00B13642">
        <w:t xml:space="preserve">due. </w:t>
      </w:r>
      <w:r w:rsidR="006B0F6B">
        <w:t>I</w:t>
      </w:r>
      <w:r w:rsidR="00724477">
        <w:t>n such a case, however, it will be open to the tenant to dispu</w:t>
      </w:r>
      <w:r w:rsidR="003F5DF0">
        <w:t>t</w:t>
      </w:r>
      <w:r w:rsidR="00724477">
        <w:t>e that anything is outstanding (</w:t>
      </w:r>
      <w:r w:rsidR="00D63173">
        <w:t>say</w:t>
      </w:r>
      <w:r w:rsidR="00724477">
        <w:t>, because he has paid</w:t>
      </w:r>
      <w:r w:rsidR="00D63173">
        <w:t xml:space="preserve"> or has a set-off</w:t>
      </w:r>
      <w:r w:rsidR="00724477">
        <w:t xml:space="preserve">) in </w:t>
      </w:r>
      <w:r w:rsidR="00F9528B">
        <w:t xml:space="preserve">forfeiture proceedings. It is </w:t>
      </w:r>
      <w:r w:rsidR="001B0095">
        <w:t>note</w:t>
      </w:r>
      <w:r w:rsidR="003F5DF0">
        <w:t>worthy here</w:t>
      </w:r>
      <w:r w:rsidR="00F9528B">
        <w:t xml:space="preserve"> that </w:t>
      </w:r>
      <w:r w:rsidR="00A2674A">
        <w:t xml:space="preserve">section 2 of the Protection from Eviction Act 1977 makes it an offence </w:t>
      </w:r>
      <w:r w:rsidR="00D22C7F">
        <w:t xml:space="preserve">to enforce a right of re-entry or forfeiture </w:t>
      </w:r>
      <w:r w:rsidR="00EE2507">
        <w:t xml:space="preserve">“otherwise than by proceedings in the court while any person is lawfully residing in the premises or </w:t>
      </w:r>
      <w:r w:rsidR="00FC4AC5">
        <w:t>part of them”</w:t>
      </w:r>
      <w:r w:rsidR="001B0095">
        <w:t>.</w:t>
      </w:r>
    </w:p>
    <w:p w14:paraId="18E18E43" w14:textId="748734C8" w:rsidR="003F5DF0" w:rsidRDefault="00860938" w:rsidP="0029588C">
      <w:pPr>
        <w:pStyle w:val="ParaLevel1"/>
      </w:pPr>
      <w:r>
        <w:t xml:space="preserve">This analysis of section 27A </w:t>
      </w:r>
      <w:r w:rsidR="00446F32">
        <w:t xml:space="preserve">of the 1985 Act </w:t>
      </w:r>
      <w:r>
        <w:t xml:space="preserve">is supported by </w:t>
      </w:r>
      <w:r w:rsidR="00187772">
        <w:rPr>
          <w:i/>
          <w:iCs/>
        </w:rPr>
        <w:t xml:space="preserve">Cannon v 38 Lambs Conduit LLP </w:t>
      </w:r>
      <w:r w:rsidR="00187772">
        <w:t>[</w:t>
      </w:r>
      <w:r w:rsidR="001A5B53">
        <w:t xml:space="preserve">2016] </w:t>
      </w:r>
      <w:proofErr w:type="spellStart"/>
      <w:r w:rsidR="001A5B53">
        <w:t>UKUT</w:t>
      </w:r>
      <w:proofErr w:type="spellEnd"/>
      <w:r w:rsidR="001A5B53">
        <w:t xml:space="preserve"> 371 (L</w:t>
      </w:r>
      <w:r w:rsidR="00A9521A">
        <w:t xml:space="preserve">C). In that case, </w:t>
      </w:r>
      <w:r w:rsidR="003137C1">
        <w:t xml:space="preserve">a </w:t>
      </w:r>
      <w:r w:rsidR="00E96BE9">
        <w:t xml:space="preserve">service charge demand had not contained the landlord’s </w:t>
      </w:r>
      <w:r w:rsidR="004D7519">
        <w:t>name and address as required by section 47 of the Landlord and Tenant Act 19</w:t>
      </w:r>
      <w:r w:rsidR="000912CB">
        <w:t>8</w:t>
      </w:r>
      <w:r w:rsidR="004D7519">
        <w:t xml:space="preserve">7 with the consequence that </w:t>
      </w:r>
      <w:r w:rsidR="00FA3829">
        <w:t xml:space="preserve">the amount demanded was “to be treated for all purposes </w:t>
      </w:r>
      <w:r w:rsidR="00555D54">
        <w:t xml:space="preserve">as not being due from the tenant to the landlord at any time before that information is furnished by the landlord </w:t>
      </w:r>
      <w:r w:rsidR="005D45AA">
        <w:t xml:space="preserve">by notice given to the tenant”. </w:t>
      </w:r>
      <w:r w:rsidR="00EF10F8">
        <w:t xml:space="preserve">His Honour Judge Bridge, </w:t>
      </w:r>
      <w:r w:rsidR="00CC51B7">
        <w:t xml:space="preserve">sitting as a Judge of the Upper Tribunal, nevertheless held that </w:t>
      </w:r>
      <w:r w:rsidR="002B1AC4">
        <w:t>t</w:t>
      </w:r>
      <w:r w:rsidR="00F22AE2">
        <w:t>he</w:t>
      </w:r>
      <w:r w:rsidR="002B1AC4">
        <w:t xml:space="preserve"> </w:t>
      </w:r>
      <w:proofErr w:type="spellStart"/>
      <w:r w:rsidR="002B1AC4">
        <w:t>FTT</w:t>
      </w:r>
      <w:proofErr w:type="spellEnd"/>
      <w:r w:rsidR="00F22AE2">
        <w:t xml:space="preserve"> had jurisdiction to make a determination under section 27A</w:t>
      </w:r>
      <w:r w:rsidR="00BC3B2B">
        <w:t xml:space="preserve"> in relation to the subject matter of the demand. He said in his decision:</w:t>
      </w:r>
    </w:p>
    <w:p w14:paraId="34889D63" w14:textId="3141F5A3" w:rsidR="00271533" w:rsidRPr="00271533" w:rsidRDefault="00BC3B2B" w:rsidP="0029588C">
      <w:pPr>
        <w:pStyle w:val="Quote"/>
      </w:pPr>
      <w:r>
        <w:t>“</w:t>
      </w:r>
      <w:r w:rsidR="00271533" w:rsidRPr="00271533">
        <w:t xml:space="preserve">31.  </w:t>
      </w:r>
      <w:r w:rsidR="00446F32">
        <w:t>…</w:t>
      </w:r>
      <w:r w:rsidR="00271533" w:rsidRPr="00271533">
        <w:t> </w:t>
      </w:r>
      <w:r w:rsidR="00271533" w:rsidRPr="00B0302B">
        <w:t>Section 27A</w:t>
      </w:r>
      <w:r w:rsidR="00271533" w:rsidRPr="00271533">
        <w:t> is intended to provide a low cost, easily accessible machinery for dispute resolution. It is facilitative, enabling parties to resolve whatever their service charge dispute may be by referring the issue to the tribunal. The provision itself is, consistent with this objective, widely drawn. The tribunal is required to consider the provisions of the lease, and then to consider whether ‘a service charge’ is ‘payable’. If it is ‘payable’, then the tribunal may be asked to determine the persons by or to whom it is payable, the amount payable, and (significantly for this case) the date at or by which it is payable. It does not have to be satisfied that the charge is payable here and now (the appropriate word might be ‘due’).</w:t>
      </w:r>
    </w:p>
    <w:p w14:paraId="3655B83B" w14:textId="3B2A780F" w:rsidR="0023048B" w:rsidRDefault="00271533" w:rsidP="0029588C">
      <w:pPr>
        <w:pStyle w:val="Quote"/>
      </w:pPr>
      <w:r w:rsidRPr="00271533">
        <w:t xml:space="preserve">32.  Section 47 has a quite different purpose, as I have explained above. That purpose is achieved by requiring the </w:t>
      </w:r>
      <w:r w:rsidRPr="00271533">
        <w:lastRenderedPageBreak/>
        <w:t>landlord, as a pre-condition to successful enforcement of the service charge, to provide the tenant with his name and address in writing. Unless and until that is done, then the charge is not ‘due’. But it does not follow that where the charge is not due, the F-</w:t>
      </w:r>
      <w:proofErr w:type="spellStart"/>
      <w:r w:rsidRPr="00271533">
        <w:t>tT</w:t>
      </w:r>
      <w:proofErr w:type="spellEnd"/>
      <w:r w:rsidRPr="00271533">
        <w:t xml:space="preserve"> cannot consider an application under section 27A. As long as there is a service charge, the F-</w:t>
      </w:r>
      <w:proofErr w:type="spellStart"/>
      <w:r w:rsidRPr="00271533">
        <w:t>tT</w:t>
      </w:r>
      <w:proofErr w:type="spellEnd"/>
      <w:r w:rsidRPr="00271533">
        <w:t xml:space="preserve"> may be asked, and required to answer, the questions that naturally arise. If a demand has been made which does not comply with section 47, but the F-</w:t>
      </w:r>
      <w:proofErr w:type="spellStart"/>
      <w:r w:rsidRPr="00271533">
        <w:t>tT</w:t>
      </w:r>
      <w:proofErr w:type="spellEnd"/>
      <w:r w:rsidRPr="00271533">
        <w:t xml:space="preserve"> takes the view, having considered the application, that the tenant is otherwise obliged to make payment under the service charge, it retains jurisdiction. It may determine that the charge (which it may quantify if required to do so) is payable if and only if a section 47 compliant demand is served by the landlord on the tenant.</w:t>
      </w:r>
      <w:r w:rsidR="00BC3B2B">
        <w:t>”</w:t>
      </w:r>
    </w:p>
    <w:p w14:paraId="29E0022A" w14:textId="6570E032" w:rsidR="00203AC4" w:rsidRDefault="00F123B2" w:rsidP="0029588C">
      <w:pPr>
        <w:pStyle w:val="ParaLevel1"/>
      </w:pPr>
      <w:r>
        <w:t xml:space="preserve">Mr Wragg </w:t>
      </w:r>
      <w:r w:rsidR="003C1EDB">
        <w:t>sought support for his submissions in</w:t>
      </w:r>
      <w:r w:rsidR="00B92CF1">
        <w:t xml:space="preserve"> </w:t>
      </w:r>
      <w:r w:rsidR="00B92CF1">
        <w:rPr>
          <w:i/>
          <w:iCs/>
        </w:rPr>
        <w:t xml:space="preserve">Cain </w:t>
      </w:r>
      <w:r w:rsidR="00E872C1">
        <w:rPr>
          <w:i/>
          <w:iCs/>
        </w:rPr>
        <w:t xml:space="preserve">v </w:t>
      </w:r>
      <w:r w:rsidR="00CB376C">
        <w:rPr>
          <w:i/>
          <w:iCs/>
        </w:rPr>
        <w:t xml:space="preserve">Islington LBC </w:t>
      </w:r>
      <w:r w:rsidR="00C73C27">
        <w:t xml:space="preserve">[2015] </w:t>
      </w:r>
      <w:proofErr w:type="spellStart"/>
      <w:r w:rsidR="00C73C27">
        <w:t>UKUT</w:t>
      </w:r>
      <w:proofErr w:type="spellEnd"/>
      <w:r w:rsidR="00C73C27">
        <w:t xml:space="preserve"> </w:t>
      </w:r>
      <w:r w:rsidR="00203AC4">
        <w:t>542</w:t>
      </w:r>
      <w:r w:rsidR="00C73C27">
        <w:t xml:space="preserve"> (LC)</w:t>
      </w:r>
      <w:r w:rsidR="00203AC4">
        <w:t xml:space="preserve"> (“</w:t>
      </w:r>
      <w:r w:rsidR="00203AC4">
        <w:rPr>
          <w:i/>
          <w:iCs/>
        </w:rPr>
        <w:t>Cain</w:t>
      </w:r>
      <w:r w:rsidR="00203AC4">
        <w:t>”)</w:t>
      </w:r>
      <w:r w:rsidR="00C73C27">
        <w:t>,</w:t>
      </w:r>
      <w:r w:rsidR="003C1EDB">
        <w:t xml:space="preserve"> </w:t>
      </w:r>
      <w:proofErr w:type="spellStart"/>
      <w:r w:rsidR="003C1EDB">
        <w:rPr>
          <w:i/>
          <w:iCs/>
        </w:rPr>
        <w:t>Jarowicki</w:t>
      </w:r>
      <w:proofErr w:type="spellEnd"/>
      <w:r w:rsidR="003C1EDB">
        <w:rPr>
          <w:i/>
          <w:iCs/>
        </w:rPr>
        <w:t xml:space="preserve"> v Freehold Managers (Nominees) Ltd</w:t>
      </w:r>
      <w:r w:rsidR="00E26513">
        <w:rPr>
          <w:i/>
          <w:iCs/>
        </w:rPr>
        <w:t xml:space="preserve"> </w:t>
      </w:r>
      <w:r w:rsidR="00E26513">
        <w:t xml:space="preserve">[2016] </w:t>
      </w:r>
      <w:proofErr w:type="spellStart"/>
      <w:r w:rsidR="00E26513">
        <w:t>UKUT</w:t>
      </w:r>
      <w:proofErr w:type="spellEnd"/>
      <w:r w:rsidR="00E26513">
        <w:t xml:space="preserve"> 435 (LC) </w:t>
      </w:r>
      <w:r w:rsidR="00B31BE3">
        <w:t>(“</w:t>
      </w:r>
      <w:proofErr w:type="spellStart"/>
      <w:r w:rsidR="00B31BE3">
        <w:rPr>
          <w:i/>
          <w:iCs/>
        </w:rPr>
        <w:t>Jarowicki</w:t>
      </w:r>
      <w:proofErr w:type="spellEnd"/>
      <w:r w:rsidR="00B31BE3">
        <w:t>”)</w:t>
      </w:r>
      <w:r w:rsidR="00203AC4">
        <w:t xml:space="preserve"> </w:t>
      </w:r>
      <w:r w:rsidR="00E26513">
        <w:t xml:space="preserve">and </w:t>
      </w:r>
      <w:r w:rsidR="009C1C62">
        <w:rPr>
          <w:i/>
          <w:iCs/>
        </w:rPr>
        <w:t xml:space="preserve">Avon Ground Rents Ltd v Child </w:t>
      </w:r>
      <w:r w:rsidR="009C1C62">
        <w:t xml:space="preserve">[2018] </w:t>
      </w:r>
      <w:proofErr w:type="spellStart"/>
      <w:r w:rsidR="009C1C62">
        <w:t>UKUT</w:t>
      </w:r>
      <w:proofErr w:type="spellEnd"/>
      <w:r w:rsidR="009C1C62">
        <w:t xml:space="preserve"> 204 (LC)</w:t>
      </w:r>
      <w:r w:rsidR="00B31BE3">
        <w:t xml:space="preserve"> (“</w:t>
      </w:r>
      <w:r w:rsidR="00B31BE3">
        <w:rPr>
          <w:i/>
          <w:iCs/>
        </w:rPr>
        <w:t>Avon</w:t>
      </w:r>
      <w:r w:rsidR="00B31BE3">
        <w:t>”)</w:t>
      </w:r>
      <w:r w:rsidR="009C1C62">
        <w:t xml:space="preserve">, but I do not think </w:t>
      </w:r>
      <w:r w:rsidR="00203AC4">
        <w:t>any of these</w:t>
      </w:r>
      <w:r w:rsidR="009C1C62">
        <w:t xml:space="preserve"> case</w:t>
      </w:r>
      <w:r w:rsidR="00203AC4">
        <w:t>s</w:t>
      </w:r>
      <w:r w:rsidR="009C1C62">
        <w:t xml:space="preserve"> helps. </w:t>
      </w:r>
      <w:r w:rsidR="005034AA">
        <w:t xml:space="preserve">In </w:t>
      </w:r>
      <w:r w:rsidR="005034AA">
        <w:rPr>
          <w:i/>
          <w:iCs/>
        </w:rPr>
        <w:t>Cain</w:t>
      </w:r>
      <w:r w:rsidR="005034AA">
        <w:t xml:space="preserve">, </w:t>
      </w:r>
      <w:r w:rsidR="001E241E">
        <w:t xml:space="preserve">the question was whether </w:t>
      </w:r>
      <w:r w:rsidR="00F52681">
        <w:t xml:space="preserve">an application under section 27A of the 1985 Act was impossible because the tenant </w:t>
      </w:r>
      <w:r w:rsidR="009D5FF1">
        <w:t xml:space="preserve">had </w:t>
      </w:r>
      <w:r w:rsidR="00E505FF">
        <w:t xml:space="preserve">agreed or admitted </w:t>
      </w:r>
      <w:r w:rsidR="006C7EB7">
        <w:t>the service charges so that section 27A</w:t>
      </w:r>
      <w:r w:rsidR="00947F9A">
        <w:t xml:space="preserve">(4) applied. </w:t>
      </w:r>
      <w:r w:rsidR="00A01486">
        <w:t xml:space="preserve">That being the issue, the Upper Tribunal necessarily had to </w:t>
      </w:r>
      <w:r w:rsidR="004767CD">
        <w:t xml:space="preserve">consider </w:t>
      </w:r>
      <w:r w:rsidR="005B53C6">
        <w:t>matters</w:t>
      </w:r>
      <w:r w:rsidR="004767CD">
        <w:t xml:space="preserve"> other than whether </w:t>
      </w:r>
      <w:r w:rsidR="005B53C6">
        <w:t xml:space="preserve">the service charges </w:t>
      </w:r>
      <w:r w:rsidR="00F32D49">
        <w:t xml:space="preserve">had been properly charged. I do not think the decision casts any </w:t>
      </w:r>
      <w:r w:rsidR="001E2ABF">
        <w:t xml:space="preserve">significant </w:t>
      </w:r>
      <w:r w:rsidR="00F32D49">
        <w:t xml:space="preserve">light on the breadth of the </w:t>
      </w:r>
      <w:proofErr w:type="spellStart"/>
      <w:r w:rsidR="00F32D49">
        <w:t>FTT’s</w:t>
      </w:r>
      <w:proofErr w:type="spellEnd"/>
      <w:r w:rsidR="00F32D49">
        <w:t xml:space="preserve"> jurisdictio</w:t>
      </w:r>
      <w:r w:rsidR="001E2ABF">
        <w:t>n under section 27A.</w:t>
      </w:r>
    </w:p>
    <w:p w14:paraId="27CE69C8" w14:textId="475F27B2" w:rsidR="00446F32" w:rsidRDefault="00C65BE4" w:rsidP="0029588C">
      <w:pPr>
        <w:pStyle w:val="ParaLevel1"/>
      </w:pPr>
      <w:r>
        <w:t xml:space="preserve">In </w:t>
      </w:r>
      <w:proofErr w:type="spellStart"/>
      <w:r>
        <w:rPr>
          <w:i/>
          <w:iCs/>
        </w:rPr>
        <w:t>Jarowicki</w:t>
      </w:r>
      <w:proofErr w:type="spellEnd"/>
      <w:r>
        <w:t xml:space="preserve">, the </w:t>
      </w:r>
      <w:proofErr w:type="spellStart"/>
      <w:r>
        <w:t>FTT</w:t>
      </w:r>
      <w:proofErr w:type="spellEnd"/>
      <w:r>
        <w:t xml:space="preserve"> had </w:t>
      </w:r>
      <w:r w:rsidR="004D3C44">
        <w:t>“found that the appellant was liable under his lease to ‘pay a proportion’ of the service costs</w:t>
      </w:r>
      <w:r w:rsidR="00570B85">
        <w:t xml:space="preserve"> but nowhere “state[d] a figure </w:t>
      </w:r>
      <w:r w:rsidR="00A27E50">
        <w:t xml:space="preserve">for the amount of service charges payable”. </w:t>
      </w:r>
      <w:r w:rsidR="00022E00">
        <w:t xml:space="preserve">For example, </w:t>
      </w:r>
      <w:r w:rsidR="00C6067B">
        <w:t xml:space="preserve">as regards two invoices it had said that “only 50% of the appropriate </w:t>
      </w:r>
      <w:r w:rsidR="00E64ADA">
        <w:t>proportion of the cost of these invoices should be applied to the Applicant’s service charge account</w:t>
      </w:r>
      <w:r w:rsidR="006245C7">
        <w:t>” without quantifying this amount. The Upper Tribunal (</w:t>
      </w:r>
      <w:r w:rsidR="00C552E6">
        <w:t xml:space="preserve">Martin Rodger QC, Deputy Chamber President, and </w:t>
      </w:r>
      <w:r w:rsidR="001B0424">
        <w:t>A.J. Trott FRICS) concluded in paragraph 17 of its decision:</w:t>
      </w:r>
    </w:p>
    <w:p w14:paraId="17125C5E" w14:textId="0579ED2F" w:rsidR="001B0424" w:rsidRDefault="001B0424" w:rsidP="0029588C">
      <w:pPr>
        <w:pStyle w:val="Quote"/>
      </w:pPr>
      <w:r>
        <w:t>“</w:t>
      </w:r>
      <w:r w:rsidR="005134C7" w:rsidRPr="005134C7">
        <w:t>The appellant</w:t>
      </w:r>
      <w:r w:rsidR="005134C7">
        <w:t>’</w:t>
      </w:r>
      <w:r w:rsidR="005134C7" w:rsidRPr="005134C7">
        <w:t xml:space="preserve">s complaint in his application for permission to appeal was that </w:t>
      </w:r>
      <w:r w:rsidR="005134C7">
        <w:t>‘</w:t>
      </w:r>
      <w:r w:rsidR="005134C7" w:rsidRPr="005134C7">
        <w:t>I cannot calculate the true expenses, because all these invoices are confusing</w:t>
      </w:r>
      <w:r w:rsidR="005134C7">
        <w:t>’</w:t>
      </w:r>
      <w:r w:rsidR="005134C7" w:rsidRPr="005134C7">
        <w:t xml:space="preserve">. The </w:t>
      </w:r>
      <w:proofErr w:type="spellStart"/>
      <w:r w:rsidR="005134C7" w:rsidRPr="005134C7">
        <w:t>FTT</w:t>
      </w:r>
      <w:proofErr w:type="spellEnd"/>
      <w:r w:rsidR="005134C7" w:rsidRPr="005134C7">
        <w:t xml:space="preserve"> itself referred </w:t>
      </w:r>
      <w:r w:rsidR="005134C7">
        <w:t>…</w:t>
      </w:r>
      <w:r w:rsidR="005134C7" w:rsidRPr="005134C7">
        <w:t xml:space="preserve"> to its task having been made difficult by the duplication of invoices and the use of invoices for different developments. When the respondent provided a copy of the documents used at the </w:t>
      </w:r>
      <w:proofErr w:type="spellStart"/>
      <w:r w:rsidR="005134C7" w:rsidRPr="005134C7">
        <w:t>FTT</w:t>
      </w:r>
      <w:proofErr w:type="spellEnd"/>
      <w:r w:rsidR="005134C7" w:rsidRPr="005134C7">
        <w:t xml:space="preserve"> hearing for the purpose of this appeal it asked for permission to supplement them with a complete set of service charge demands for the period in dispute. In circumstances where the potential for confusion and uncertainty was so great, it was incumbent on the </w:t>
      </w:r>
      <w:proofErr w:type="spellStart"/>
      <w:r w:rsidR="005134C7" w:rsidRPr="005134C7">
        <w:t>FTT</w:t>
      </w:r>
      <w:proofErr w:type="spellEnd"/>
      <w:r w:rsidR="005134C7" w:rsidRPr="005134C7">
        <w:t xml:space="preserve"> to make clear the answer to the statutory question posed by section 27A(1)(c) by determining the amounts payable as service charges. It should have stated those amounts as absolute figures rather than as percentages or proportions of unspecified sums which it left to the parties to interpret. Its omission to do so is was a breach of its duty to record its decision clearly and to provide proper reasons.</w:t>
      </w:r>
      <w:r>
        <w:t>”</w:t>
      </w:r>
    </w:p>
    <w:p w14:paraId="318CD8AD" w14:textId="10ECBAA1" w:rsidR="005134C7" w:rsidRDefault="00300D48" w:rsidP="0029588C">
      <w:pPr>
        <w:pStyle w:val="ParaNoNumber"/>
        <w:ind w:left="720"/>
      </w:pPr>
      <w:r>
        <w:lastRenderedPageBreak/>
        <w:t xml:space="preserve">The point was thus that the </w:t>
      </w:r>
      <w:proofErr w:type="spellStart"/>
      <w:r>
        <w:t>FTT</w:t>
      </w:r>
      <w:proofErr w:type="spellEnd"/>
      <w:r>
        <w:t xml:space="preserve"> had failed to make clear what was payable. The </w:t>
      </w:r>
      <w:r w:rsidR="0070635D">
        <w:t>Upper Tribunal was not concerned with whether “payable” means “due”.</w:t>
      </w:r>
    </w:p>
    <w:p w14:paraId="64C0661D" w14:textId="49CD8A75" w:rsidR="0070635D" w:rsidRDefault="00EE01B4" w:rsidP="0029588C">
      <w:pPr>
        <w:pStyle w:val="ParaLevel1"/>
      </w:pPr>
      <w:r w:rsidRPr="00F9513A">
        <w:t xml:space="preserve">In </w:t>
      </w:r>
      <w:r w:rsidR="00B31BE3" w:rsidRPr="00F9513A">
        <w:rPr>
          <w:i/>
          <w:iCs/>
        </w:rPr>
        <w:t>Avon</w:t>
      </w:r>
      <w:r w:rsidR="00F9513A" w:rsidRPr="00F9513A">
        <w:t>, proceedings in the</w:t>
      </w:r>
      <w:r w:rsidR="00F9513A">
        <w:t xml:space="preserve"> County Court had been transferred to the </w:t>
      </w:r>
      <w:proofErr w:type="spellStart"/>
      <w:r w:rsidR="00F9513A">
        <w:t>FTT</w:t>
      </w:r>
      <w:proofErr w:type="spellEnd"/>
      <w:r w:rsidR="00361510">
        <w:t xml:space="preserve">, which had </w:t>
      </w:r>
      <w:r w:rsidR="00004ECF">
        <w:t xml:space="preserve">made an order in respect of costs incurred in the proceedings </w:t>
      </w:r>
      <w:r w:rsidR="00DF3E6C">
        <w:t>on the basis that they were “claimed contractually as administration charges”</w:t>
      </w:r>
      <w:r w:rsidR="001D7A80">
        <w:t>.</w:t>
      </w:r>
      <w:r w:rsidR="00C07D0E">
        <w:t xml:space="preserve"> </w:t>
      </w:r>
      <w:r w:rsidR="00737709">
        <w:t>T</w:t>
      </w:r>
      <w:r w:rsidR="00C07D0E">
        <w:t xml:space="preserve">he Upper Tribunal (Holgate J and </w:t>
      </w:r>
      <w:r w:rsidR="004326F2">
        <w:t xml:space="preserve">His Honour Judge Hodge QC) </w:t>
      </w:r>
      <w:r w:rsidR="0041661A">
        <w:t xml:space="preserve">allowed an appeal on the basis that “the </w:t>
      </w:r>
      <w:proofErr w:type="spellStart"/>
      <w:r w:rsidR="0041661A">
        <w:t>FTT</w:t>
      </w:r>
      <w:proofErr w:type="spellEnd"/>
      <w:r w:rsidR="0041661A">
        <w:t xml:space="preserve"> had no jurisdiction</w:t>
      </w:r>
      <w:r w:rsidR="00C97004">
        <w:t xml:space="preserve">, whether by way of transfer or by way of free-standing application, to deal with </w:t>
      </w:r>
      <w:r w:rsidR="00DC23A7">
        <w:t xml:space="preserve">the costs which the Appellant had incurred in connection with the proceedings after the issue of the claim in the County Court” (see paragraph </w:t>
      </w:r>
      <w:r w:rsidR="00BB6226">
        <w:t xml:space="preserve">50). </w:t>
      </w:r>
      <w:r w:rsidR="00860619">
        <w:t xml:space="preserve">As the Tribunal noted in paragraph </w:t>
      </w:r>
      <w:r w:rsidR="00BE3484">
        <w:t>61 of its decision</w:t>
      </w:r>
      <w:r w:rsidR="00CC67DE">
        <w:t>,</w:t>
      </w:r>
      <w:r w:rsidR="00BE3484">
        <w:t xml:space="preserve"> t</w:t>
      </w:r>
      <w:r w:rsidR="00BB6226">
        <w:t xml:space="preserve">hat </w:t>
      </w:r>
      <w:r w:rsidR="00EA73A0">
        <w:t xml:space="preserve">conclusion </w:t>
      </w:r>
      <w:r w:rsidR="00BB6226">
        <w:t xml:space="preserve">made it unnecessary for the Tribunal to </w:t>
      </w:r>
      <w:r w:rsidR="006D34B6">
        <w:t xml:space="preserve">address an alternative ground of appeal, </w:t>
      </w:r>
      <w:r w:rsidR="004326F2">
        <w:t>to the effect tha</w:t>
      </w:r>
      <w:r w:rsidR="00C252C6">
        <w:t>t</w:t>
      </w:r>
      <w:r w:rsidR="00F745A2">
        <w:t xml:space="preserve">, supposing the </w:t>
      </w:r>
      <w:proofErr w:type="spellStart"/>
      <w:r w:rsidR="00F745A2">
        <w:t>FTT</w:t>
      </w:r>
      <w:proofErr w:type="spellEnd"/>
      <w:r w:rsidR="00F745A2">
        <w:t xml:space="preserve"> to have had</w:t>
      </w:r>
      <w:r w:rsidR="003255B5">
        <w:t xml:space="preserve"> jurisdiction to make the order it did, </w:t>
      </w:r>
      <w:r w:rsidR="0095053B">
        <w:t xml:space="preserve">any enforcement had </w:t>
      </w:r>
      <w:r w:rsidR="00BE3484">
        <w:t xml:space="preserve">had </w:t>
      </w:r>
      <w:r w:rsidR="0095053B">
        <w:t>to be undertaken via section 176C of the 2002 Act</w:t>
      </w:r>
      <w:r w:rsidR="00D0067E">
        <w:t>, not section 176A</w:t>
      </w:r>
      <w:r w:rsidR="00860619">
        <w:t>.</w:t>
      </w:r>
      <w:r w:rsidR="00C252C6">
        <w:t xml:space="preserve"> </w:t>
      </w:r>
      <w:r w:rsidR="00860619">
        <w:t>The Tribunal nevertheless</w:t>
      </w:r>
      <w:r w:rsidR="00402D12">
        <w:t xml:space="preserve"> expressed the view,</w:t>
      </w:r>
      <w:r w:rsidR="00F83527">
        <w:t xml:space="preserve"> </w:t>
      </w:r>
      <w:r w:rsidR="00212CC3">
        <w:t xml:space="preserve">obiter, that </w:t>
      </w:r>
      <w:r w:rsidR="00F83527">
        <w:t xml:space="preserve">the </w:t>
      </w:r>
      <w:r w:rsidR="004B2A3E">
        <w:t xml:space="preserve">County Court could </w:t>
      </w:r>
      <w:r w:rsidR="00212CC3">
        <w:t>have given</w:t>
      </w:r>
      <w:r w:rsidR="004B2A3E">
        <w:t xml:space="preserve"> direct effect to the </w:t>
      </w:r>
      <w:proofErr w:type="spellStart"/>
      <w:r w:rsidR="004B2A3E">
        <w:t>FTT’s</w:t>
      </w:r>
      <w:proofErr w:type="spellEnd"/>
      <w:r w:rsidR="004B2A3E">
        <w:t xml:space="preserve"> determination by virtue of section 176A(</w:t>
      </w:r>
      <w:r w:rsidR="00D40854">
        <w:t>3) without anyone needing to invoke section 176C.</w:t>
      </w:r>
      <w:r w:rsidR="00402D12">
        <w:t xml:space="preserve"> </w:t>
      </w:r>
      <w:r w:rsidR="00393E74">
        <w:t xml:space="preserve">The point with which the Tribunal was concerned in this respect was </w:t>
      </w:r>
      <w:r w:rsidR="00212CC3">
        <w:t xml:space="preserve">thus whether any enforcement would be possible under section 176A rather than section 176C, not </w:t>
      </w:r>
      <w:r w:rsidR="00794EBA">
        <w:t xml:space="preserve">whether a section 27A determination </w:t>
      </w:r>
      <w:r w:rsidR="0083110D">
        <w:t>is</w:t>
      </w:r>
      <w:r w:rsidR="00794EBA">
        <w:t xml:space="preserve"> </w:t>
      </w:r>
      <w:r w:rsidR="0083110D">
        <w:t>capable of enforcement under section 176C.</w:t>
      </w:r>
    </w:p>
    <w:p w14:paraId="77C04A3B" w14:textId="73CA6DCC" w:rsidR="006E0FE2" w:rsidRPr="005B38F5" w:rsidRDefault="00B074BB" w:rsidP="0029588C">
      <w:pPr>
        <w:pStyle w:val="ParaLevel1"/>
      </w:pPr>
      <w:r w:rsidRPr="005B38F5">
        <w:t>Mr Cowen accepted that</w:t>
      </w:r>
      <w:r w:rsidR="00D70E5C" w:rsidRPr="005B38F5">
        <w:t xml:space="preserve"> </w:t>
      </w:r>
      <w:proofErr w:type="spellStart"/>
      <w:r w:rsidR="00D70E5C" w:rsidRPr="005B38F5">
        <w:t>FTT</w:t>
      </w:r>
      <w:proofErr w:type="spellEnd"/>
      <w:r w:rsidR="00D70E5C" w:rsidRPr="005B38F5">
        <w:t xml:space="preserve"> decisions on applications under section 27A of the 1985 Act sometimes </w:t>
      </w:r>
      <w:r w:rsidR="0048702A" w:rsidRPr="005B38F5">
        <w:t>state</w:t>
      </w:r>
      <w:r w:rsidR="00810C3F" w:rsidRPr="005B38F5">
        <w:t xml:space="preserve"> what is due from the tenant </w:t>
      </w:r>
      <w:r w:rsidR="009E1EF7" w:rsidRPr="005B38F5">
        <w:t>rather than just whether the relevant service charges were properly imposed.</w:t>
      </w:r>
      <w:r w:rsidR="002D6FFD" w:rsidRPr="005B38F5">
        <w:t xml:space="preserve"> </w:t>
      </w:r>
      <w:r w:rsidR="00AE30E5" w:rsidRPr="005B38F5">
        <w:t>He</w:t>
      </w:r>
      <w:r w:rsidR="00046236" w:rsidRPr="005B38F5">
        <w:t xml:space="preserve"> queried whether </w:t>
      </w:r>
      <w:r w:rsidR="00327C8B" w:rsidRPr="005B38F5">
        <w:t xml:space="preserve">the </w:t>
      </w:r>
      <w:proofErr w:type="spellStart"/>
      <w:r w:rsidR="00327C8B" w:rsidRPr="005B38F5">
        <w:t>FTT</w:t>
      </w:r>
      <w:proofErr w:type="spellEnd"/>
      <w:r w:rsidR="00327C8B" w:rsidRPr="005B38F5">
        <w:t xml:space="preserve"> </w:t>
      </w:r>
      <w:r w:rsidR="000A4812">
        <w:t xml:space="preserve">in truth </w:t>
      </w:r>
      <w:r w:rsidR="00327C8B" w:rsidRPr="005B38F5">
        <w:t xml:space="preserve">has jurisdiction to </w:t>
      </w:r>
      <w:r w:rsidR="00E87343" w:rsidRPr="005B38F5">
        <w:t xml:space="preserve">make such decisions, but we do not need to </w:t>
      </w:r>
      <w:r w:rsidR="00F2607B" w:rsidRPr="005B38F5">
        <w:t>resolve th</w:t>
      </w:r>
      <w:r w:rsidR="006F31DC" w:rsidRPr="005B38F5">
        <w:t>at</w:t>
      </w:r>
      <w:r w:rsidR="00F2607B" w:rsidRPr="005B38F5">
        <w:t xml:space="preserve"> </w:t>
      </w:r>
      <w:r w:rsidR="007324B9" w:rsidRPr="005B38F5">
        <w:t>question</w:t>
      </w:r>
      <w:r w:rsidR="00F2607B" w:rsidRPr="005B38F5">
        <w:t>. It seems to me that</w:t>
      </w:r>
      <w:r w:rsidR="00260772" w:rsidRPr="005B38F5">
        <w:t xml:space="preserve">, even assuming that it is open to the </w:t>
      </w:r>
      <w:proofErr w:type="spellStart"/>
      <w:r w:rsidR="00260772" w:rsidRPr="005B38F5">
        <w:t>FTT</w:t>
      </w:r>
      <w:proofErr w:type="spellEnd"/>
      <w:r w:rsidR="00260772" w:rsidRPr="005B38F5">
        <w:t xml:space="preserve"> to </w:t>
      </w:r>
      <w:r w:rsidR="00B22B86" w:rsidRPr="005B38F5">
        <w:t xml:space="preserve">say what a tenant actually owes rather than merely what </w:t>
      </w:r>
      <w:r w:rsidR="00BF1FEC" w:rsidRPr="005B38F5">
        <w:t>has properly been charged, such a dec</w:t>
      </w:r>
      <w:r w:rsidR="00AE66AD" w:rsidRPr="005B38F5">
        <w:t>ision will be no more than declaratory, and</w:t>
      </w:r>
      <w:r w:rsidR="007324B9" w:rsidRPr="005B38F5">
        <w:t xml:space="preserve"> in fact</w:t>
      </w:r>
      <w:r w:rsidR="00345F6E" w:rsidRPr="005B38F5">
        <w:t xml:space="preserve"> </w:t>
      </w:r>
      <w:r w:rsidR="0048702A" w:rsidRPr="005B38F5">
        <w:t xml:space="preserve">I should be surprised if the </w:t>
      </w:r>
      <w:proofErr w:type="spellStart"/>
      <w:r w:rsidR="0048702A" w:rsidRPr="005B38F5">
        <w:t>FTT</w:t>
      </w:r>
      <w:proofErr w:type="spellEnd"/>
      <w:r w:rsidR="0048702A" w:rsidRPr="005B38F5">
        <w:t xml:space="preserve"> went so far as to purport </w:t>
      </w:r>
      <w:r w:rsidR="00CF5584" w:rsidRPr="005B38F5">
        <w:t xml:space="preserve">to order a tenant to </w:t>
      </w:r>
      <w:r w:rsidR="00025C2E" w:rsidRPr="005B38F5">
        <w:t>make a payment</w:t>
      </w:r>
      <w:r w:rsidR="00CF5584" w:rsidRPr="005B38F5">
        <w:t xml:space="preserve"> in respect of outstanding service charges, let alone to require the tenant to do so within </w:t>
      </w:r>
      <w:r w:rsidR="00AC1680" w:rsidRPr="005B38F5">
        <w:t xml:space="preserve">any particular time frame. </w:t>
      </w:r>
      <w:r w:rsidR="007F0C34" w:rsidRPr="005B38F5">
        <w:t>E</w:t>
      </w:r>
      <w:r w:rsidR="00AC1680" w:rsidRPr="005B38F5">
        <w:t>ven</w:t>
      </w:r>
      <w:r w:rsidR="007F0C34" w:rsidRPr="005B38F5">
        <w:t>, therefore,</w:t>
      </w:r>
      <w:r w:rsidR="00AC1680" w:rsidRPr="005B38F5">
        <w:t xml:space="preserve"> in a case</w:t>
      </w:r>
      <w:r w:rsidR="00FC495E" w:rsidRPr="005B38F5">
        <w:t xml:space="preserve"> in which the </w:t>
      </w:r>
      <w:proofErr w:type="spellStart"/>
      <w:r w:rsidR="00FC495E" w:rsidRPr="005B38F5">
        <w:t>FTT</w:t>
      </w:r>
      <w:proofErr w:type="spellEnd"/>
      <w:r w:rsidR="00FC495E" w:rsidRPr="005B38F5">
        <w:t xml:space="preserve"> </w:t>
      </w:r>
      <w:r w:rsidR="002A7A36" w:rsidRPr="005B38F5">
        <w:t>expresses</w:t>
      </w:r>
      <w:r w:rsidR="009960E2" w:rsidRPr="005B38F5">
        <w:t xml:space="preserve"> a conclusion on what the tenant currently owes</w:t>
      </w:r>
      <w:r w:rsidR="00EA26A9" w:rsidRPr="005B38F5">
        <w:t xml:space="preserve">, the landlord will not be able to resort to either </w:t>
      </w:r>
      <w:r w:rsidR="002B3E89" w:rsidRPr="005B38F5">
        <w:t xml:space="preserve">section 176C of the 2002 Act </w:t>
      </w:r>
      <w:r w:rsidR="002B2F9A" w:rsidRPr="005B38F5">
        <w:t xml:space="preserve">or section 27 of the 2007 Act </w:t>
      </w:r>
      <w:r w:rsidR="008E6F21" w:rsidRPr="005B38F5">
        <w:t>f</w:t>
      </w:r>
      <w:r w:rsidR="002B3E89" w:rsidRPr="005B38F5">
        <w:t xml:space="preserve">or enforcement. If needs be, </w:t>
      </w:r>
      <w:r w:rsidR="00143547" w:rsidRPr="005B38F5">
        <w:t>the landlord</w:t>
      </w:r>
      <w:r w:rsidR="002B3E89" w:rsidRPr="005B38F5">
        <w:t xml:space="preserve"> should issue </w:t>
      </w:r>
      <w:r w:rsidR="00B7665C" w:rsidRPr="005B38F5">
        <w:t xml:space="preserve">new proceedings in the County Court </w:t>
      </w:r>
      <w:r w:rsidR="00E32F57" w:rsidRPr="005B38F5">
        <w:t xml:space="preserve">in which the </w:t>
      </w:r>
      <w:proofErr w:type="spellStart"/>
      <w:r w:rsidR="00E32F57" w:rsidRPr="005B38F5">
        <w:t>FTT’s</w:t>
      </w:r>
      <w:proofErr w:type="spellEnd"/>
      <w:r w:rsidR="00E32F57" w:rsidRPr="005B38F5">
        <w:t xml:space="preserve"> decision</w:t>
      </w:r>
      <w:r w:rsidR="00EE5EA9" w:rsidRPr="005B38F5">
        <w:t xml:space="preserve"> will </w:t>
      </w:r>
      <w:r w:rsidR="006125BA" w:rsidRPr="005B38F5">
        <w:t xml:space="preserve">be </w:t>
      </w:r>
      <w:r w:rsidR="00EE5EA9" w:rsidRPr="005B38F5">
        <w:t>bind</w:t>
      </w:r>
      <w:r w:rsidR="006125BA" w:rsidRPr="005B38F5">
        <w:t>ing on</w:t>
      </w:r>
      <w:r w:rsidR="00EE5EA9" w:rsidRPr="005B38F5">
        <w:t xml:space="preserve"> the parties.</w:t>
      </w:r>
    </w:p>
    <w:p w14:paraId="45E9679C" w14:textId="12DFA1CA" w:rsidR="00B41CBE" w:rsidRDefault="005934E4" w:rsidP="0029588C">
      <w:pPr>
        <w:pStyle w:val="ParaLevel1"/>
      </w:pPr>
      <w:r>
        <w:t>In any event, th</w:t>
      </w:r>
      <w:r w:rsidR="002128D2">
        <w:t xml:space="preserve">ere is no question of the </w:t>
      </w:r>
      <w:proofErr w:type="spellStart"/>
      <w:r w:rsidR="002128D2">
        <w:t>FTT</w:t>
      </w:r>
      <w:proofErr w:type="spellEnd"/>
      <w:r w:rsidR="002128D2">
        <w:t xml:space="preserve"> having attempted to specify what Mr Al-</w:t>
      </w:r>
      <w:proofErr w:type="spellStart"/>
      <w:r w:rsidR="002128D2">
        <w:t>Balhaa</w:t>
      </w:r>
      <w:proofErr w:type="spellEnd"/>
      <w:r w:rsidR="002128D2">
        <w:t xml:space="preserve"> owed</w:t>
      </w:r>
      <w:r w:rsidR="00CF69A1">
        <w:t xml:space="preserve"> in the present case. </w:t>
      </w:r>
      <w:r w:rsidR="00703229">
        <w:t xml:space="preserve">Its determination </w:t>
      </w:r>
      <w:r w:rsidR="00095FF0">
        <w:t xml:space="preserve">involved the disallowance of £21,604 of legal costs and </w:t>
      </w:r>
      <w:r w:rsidR="001A6E5A">
        <w:t xml:space="preserve">the decision that nothing else should be disallowed </w:t>
      </w:r>
      <w:r w:rsidR="00EA1DAE">
        <w:t xml:space="preserve">as regards either 2015-2016 or 2016-2017. </w:t>
      </w:r>
      <w:r w:rsidR="002A7AF1">
        <w:t xml:space="preserve">Not only did the </w:t>
      </w:r>
      <w:proofErr w:type="spellStart"/>
      <w:r w:rsidR="002A7AF1">
        <w:t>FTT</w:t>
      </w:r>
      <w:proofErr w:type="spellEnd"/>
      <w:r w:rsidR="002A7AF1">
        <w:t xml:space="preserve"> not </w:t>
      </w:r>
      <w:r w:rsidR="002909BA">
        <w:t xml:space="preserve">try to work out what </w:t>
      </w:r>
      <w:r w:rsidR="00B66162">
        <w:t>amount was outstanding from Mr Al-</w:t>
      </w:r>
      <w:proofErr w:type="spellStart"/>
      <w:r w:rsidR="00B66162">
        <w:t>Balhaa</w:t>
      </w:r>
      <w:proofErr w:type="spellEnd"/>
      <w:r w:rsidR="00B66162">
        <w:t xml:space="preserve"> on the basis of its conclusions</w:t>
      </w:r>
      <w:r w:rsidR="00CF271F">
        <w:t xml:space="preserve">, but </w:t>
      </w:r>
      <w:r w:rsidR="00551623">
        <w:t xml:space="preserve">it is impossible to do so from the  </w:t>
      </w:r>
      <w:proofErr w:type="spellStart"/>
      <w:r w:rsidR="00551623">
        <w:t>FTT</w:t>
      </w:r>
      <w:proofErr w:type="spellEnd"/>
      <w:r w:rsidR="00551623">
        <w:t xml:space="preserve"> decision alone. Mr Wheeldon has explained in his witness statement that Mr Al-</w:t>
      </w:r>
      <w:proofErr w:type="spellStart"/>
      <w:r w:rsidR="00551623">
        <w:t>Balhaa</w:t>
      </w:r>
      <w:proofErr w:type="spellEnd"/>
      <w:r w:rsidR="00E516FA">
        <w:t xml:space="preserve"> bears 1.59% of total service charges, but the</w:t>
      </w:r>
      <w:r w:rsidR="00B77577">
        <w:t xml:space="preserve"> </w:t>
      </w:r>
      <w:proofErr w:type="spellStart"/>
      <w:r w:rsidR="00B77577">
        <w:t>FTT</w:t>
      </w:r>
      <w:proofErr w:type="spellEnd"/>
      <w:r w:rsidR="00B77577">
        <w:t xml:space="preserve"> decision does not say so</w:t>
      </w:r>
      <w:r w:rsidR="00C853B7">
        <w:t>.</w:t>
      </w:r>
    </w:p>
    <w:p w14:paraId="2BBA0E8F" w14:textId="0C41F094" w:rsidR="00C853B7" w:rsidRDefault="00C853B7" w:rsidP="0029588C">
      <w:pPr>
        <w:pStyle w:val="ParaLevel1"/>
      </w:pPr>
      <w:r>
        <w:t>In the circumstances, it seems to me tha</w:t>
      </w:r>
      <w:r w:rsidR="005C0206">
        <w:t xml:space="preserve">t </w:t>
      </w:r>
      <w:r w:rsidR="00545C7B">
        <w:t xml:space="preserve">the </w:t>
      </w:r>
      <w:proofErr w:type="spellStart"/>
      <w:r w:rsidR="00545C7B">
        <w:t>FTT</w:t>
      </w:r>
      <w:proofErr w:type="spellEnd"/>
      <w:r w:rsidR="00545C7B">
        <w:t xml:space="preserve"> decision can no more be enforced under section 176C of the 2002 Act than it can under section </w:t>
      </w:r>
      <w:r w:rsidR="0060794B">
        <w:t>27 of the 2007 Act</w:t>
      </w:r>
      <w:r w:rsidR="00545C7B">
        <w:t xml:space="preserve">. </w:t>
      </w:r>
      <w:r w:rsidR="00332FE2">
        <w:t>It neither orders Mr Al-</w:t>
      </w:r>
      <w:proofErr w:type="spellStart"/>
      <w:r w:rsidR="00332FE2">
        <w:t>Balhaa</w:t>
      </w:r>
      <w:proofErr w:type="spellEnd"/>
      <w:r w:rsidR="00332FE2">
        <w:t xml:space="preserve"> to make any payment nor </w:t>
      </w:r>
      <w:r w:rsidR="00A4604C">
        <w:t>requires him to do or refrain from doing anything else. It is declaratory in nature and so not susceptible to enforcement pursuant to either section 176C</w:t>
      </w:r>
      <w:r w:rsidR="0060794B">
        <w:t xml:space="preserve"> of the 200</w:t>
      </w:r>
      <w:r w:rsidR="00F129AD">
        <w:t>2</w:t>
      </w:r>
      <w:r w:rsidR="0060794B">
        <w:t xml:space="preserve"> Act or</w:t>
      </w:r>
      <w:r w:rsidR="005C6B21">
        <w:t xml:space="preserve"> section 27 of the 2007 Act</w:t>
      </w:r>
      <w:r w:rsidR="00A4604C">
        <w:t>.</w:t>
      </w:r>
    </w:p>
    <w:p w14:paraId="568FADE3" w14:textId="2C9A6094" w:rsidR="00E04F19" w:rsidRDefault="007148A5" w:rsidP="0029588C">
      <w:pPr>
        <w:pStyle w:val="ParaLevel1"/>
      </w:pPr>
      <w:r>
        <w:lastRenderedPageBreak/>
        <w:t xml:space="preserve">In the </w:t>
      </w:r>
      <w:r w:rsidR="007B1668">
        <w:t xml:space="preserve">light </w:t>
      </w:r>
      <w:r>
        <w:t xml:space="preserve">of that conclusion, I do not need to consider </w:t>
      </w:r>
      <w:r w:rsidR="00E04F19">
        <w:t>Mr Cowen’s alternative arguments on CPR 70.5.</w:t>
      </w:r>
    </w:p>
    <w:p w14:paraId="01BC3B82" w14:textId="4FD5A09D" w:rsidR="00E04F19" w:rsidRDefault="00E04F19" w:rsidP="0029588C">
      <w:pPr>
        <w:pStyle w:val="ParaHeading"/>
        <w:rPr>
          <w:b/>
          <w:u w:val="single"/>
        </w:rPr>
      </w:pPr>
      <w:r>
        <w:rPr>
          <w:b/>
          <w:u w:val="single"/>
        </w:rPr>
        <w:t>Conclusion</w:t>
      </w:r>
    </w:p>
    <w:p w14:paraId="517F7BA1" w14:textId="2DDF9AC6" w:rsidR="00E04F19" w:rsidRPr="00E04F19" w:rsidRDefault="00E04F19" w:rsidP="0029588C">
      <w:pPr>
        <w:pStyle w:val="ParaLevel1"/>
      </w:pPr>
      <w:r>
        <w:t>I would allow the appeal.</w:t>
      </w:r>
    </w:p>
    <w:p w14:paraId="1B4BFEFF" w14:textId="0F7589E6" w:rsidR="00646626" w:rsidRPr="00AA1552" w:rsidRDefault="00646626" w:rsidP="0029588C">
      <w:pPr>
        <w:pStyle w:val="ParaLevel1"/>
        <w:numPr>
          <w:ilvl w:val="0"/>
          <w:numId w:val="0"/>
        </w:numPr>
      </w:pPr>
      <w:r w:rsidRPr="00AA1552">
        <w:rPr>
          <w:b/>
          <w:bCs/>
        </w:rPr>
        <w:t>Lord Justice Nugee:</w:t>
      </w:r>
    </w:p>
    <w:p w14:paraId="3DE09C39" w14:textId="36C8933D" w:rsidR="00646626" w:rsidRDefault="00F24375" w:rsidP="0029588C">
      <w:pPr>
        <w:pStyle w:val="ParaLevel1"/>
      </w:pPr>
      <w:r>
        <w:t>I agree.</w:t>
      </w:r>
    </w:p>
    <w:p w14:paraId="50A555ED" w14:textId="7385EB45" w:rsidR="00646626" w:rsidRPr="00646626" w:rsidRDefault="00646626" w:rsidP="0029588C">
      <w:pPr>
        <w:pStyle w:val="ParaLevel1"/>
        <w:numPr>
          <w:ilvl w:val="0"/>
          <w:numId w:val="0"/>
        </w:numPr>
        <w:rPr>
          <w:b/>
          <w:bCs/>
        </w:rPr>
      </w:pPr>
      <w:r>
        <w:rPr>
          <w:b/>
          <w:bCs/>
        </w:rPr>
        <w:t>Mr Justice Francis:</w:t>
      </w:r>
    </w:p>
    <w:p w14:paraId="3F1EEBB8" w14:textId="50E4633C" w:rsidR="00646626" w:rsidRDefault="00B13F8F" w:rsidP="0029588C">
      <w:pPr>
        <w:pStyle w:val="ParaLevel1"/>
      </w:pPr>
      <w:r>
        <w:t>I also agree.</w:t>
      </w:r>
    </w:p>
    <w:sectPr w:rsidR="00646626" w:rsidSect="00336696">
      <w:type w:val="continuous"/>
      <w:pgSz w:w="11906" w:h="16838"/>
      <w:pgMar w:top="1440" w:right="1440" w:bottom="1440" w:left="1440" w:header="709" w:footer="5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2E2E4" w14:textId="77777777" w:rsidR="00F11285" w:rsidRDefault="00F11285">
      <w:r>
        <w:separator/>
      </w:r>
    </w:p>
  </w:endnote>
  <w:endnote w:type="continuationSeparator" w:id="0">
    <w:p w14:paraId="7D280F33" w14:textId="77777777" w:rsidR="00F11285" w:rsidRDefault="00F11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76BD2" w14:textId="77777777" w:rsidR="00C439A3" w:rsidRDefault="00C439A3">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83B58" w14:textId="77777777" w:rsidR="00336696" w:rsidRPr="00336696" w:rsidRDefault="00336696">
    <w:pPr>
      <w:pStyle w:val="Footer"/>
      <w:jc w:val="center"/>
      <w:rPr>
        <w:rFonts w:ascii="Times New Roman" w:hAnsi="Times New Roman"/>
        <w:caps/>
        <w:noProof/>
        <w:color w:val="4472C4"/>
        <w:sz w:val="16"/>
        <w:szCs w:val="16"/>
      </w:rPr>
    </w:pPr>
    <w:r w:rsidRPr="00336696">
      <w:rPr>
        <w:rFonts w:ascii="Times New Roman" w:hAnsi="Times New Roman"/>
        <w:caps/>
        <w:color w:val="4472C4"/>
        <w:sz w:val="16"/>
        <w:szCs w:val="16"/>
      </w:rPr>
      <w:fldChar w:fldCharType="begin"/>
    </w:r>
    <w:r w:rsidRPr="00336696">
      <w:rPr>
        <w:rFonts w:ascii="Times New Roman" w:hAnsi="Times New Roman"/>
        <w:caps/>
        <w:color w:val="4472C4"/>
        <w:sz w:val="16"/>
        <w:szCs w:val="16"/>
      </w:rPr>
      <w:instrText xml:space="preserve"> PAGE   \* MERGEFORMAT </w:instrText>
    </w:r>
    <w:r w:rsidRPr="00336696">
      <w:rPr>
        <w:rFonts w:ascii="Times New Roman" w:hAnsi="Times New Roman"/>
        <w:caps/>
        <w:color w:val="4472C4"/>
        <w:sz w:val="16"/>
        <w:szCs w:val="16"/>
      </w:rPr>
      <w:fldChar w:fldCharType="separate"/>
    </w:r>
    <w:r w:rsidRPr="00336696">
      <w:rPr>
        <w:rFonts w:ascii="Times New Roman" w:hAnsi="Times New Roman"/>
        <w:caps/>
        <w:noProof/>
        <w:color w:val="4472C4"/>
        <w:sz w:val="16"/>
        <w:szCs w:val="16"/>
      </w:rPr>
      <w:t>2</w:t>
    </w:r>
    <w:r w:rsidRPr="00336696">
      <w:rPr>
        <w:rFonts w:ascii="Times New Roman" w:hAnsi="Times New Roman"/>
        <w:caps/>
        <w:noProof/>
        <w:color w:val="4472C4"/>
        <w:sz w:val="16"/>
        <w:szCs w:val="16"/>
      </w:rPr>
      <w:fldChar w:fldCharType="end"/>
    </w:r>
  </w:p>
  <w:p w14:paraId="48E8E25E" w14:textId="77777777" w:rsidR="00C439A3" w:rsidRPr="0029588C" w:rsidRDefault="00C439A3" w:rsidP="00295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2E503" w14:textId="77777777" w:rsidR="00F11285" w:rsidRDefault="00F11285">
      <w:r>
        <w:separator/>
      </w:r>
    </w:p>
  </w:footnote>
  <w:footnote w:type="continuationSeparator" w:id="0">
    <w:p w14:paraId="19BDF9E2" w14:textId="77777777" w:rsidR="00F11285" w:rsidRDefault="00F112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4622"/>
      <w:gridCol w:w="4622"/>
    </w:tblGrid>
    <w:tr w:rsidR="00C439A3" w14:paraId="258DE529" w14:textId="77777777">
      <w:tc>
        <w:tcPr>
          <w:tcW w:w="4622" w:type="dxa"/>
        </w:tcPr>
        <w:p w14:paraId="0B12DECC" w14:textId="77F7A751" w:rsidR="00C439A3" w:rsidRPr="0029588C" w:rsidRDefault="0029588C">
          <w:pPr>
            <w:pStyle w:val="Header"/>
            <w:rPr>
              <w:rFonts w:ascii="Times New Roman" w:hAnsi="Times New Roman"/>
              <w:b/>
              <w:sz w:val="16"/>
              <w:u w:val="single"/>
            </w:rPr>
          </w:pPr>
          <w:r>
            <w:rPr>
              <w:rFonts w:ascii="Times New Roman" w:hAnsi="Times New Roman"/>
              <w:b/>
              <w:sz w:val="16"/>
              <w:u w:val="single"/>
            </w:rPr>
            <w:t>Judgment Approved by the court for handing down.</w:t>
          </w:r>
        </w:p>
      </w:tc>
      <w:tc>
        <w:tcPr>
          <w:tcW w:w="4622" w:type="dxa"/>
        </w:tcPr>
        <w:p w14:paraId="6DF9DC86" w14:textId="192493D4" w:rsidR="00C439A3" w:rsidRDefault="00646626">
          <w:pPr>
            <w:pStyle w:val="Header"/>
            <w:jc w:val="right"/>
            <w:rPr>
              <w:rFonts w:ascii="Times New Roman" w:hAnsi="Times New Roman"/>
              <w:sz w:val="16"/>
            </w:rPr>
          </w:pPr>
          <w:proofErr w:type="spellStart"/>
          <w:r>
            <w:rPr>
              <w:rFonts w:ascii="Times New Roman" w:hAnsi="Times New Roman"/>
              <w:sz w:val="16"/>
            </w:rPr>
            <w:t>Termhouse</w:t>
          </w:r>
          <w:proofErr w:type="spellEnd"/>
          <w:r>
            <w:rPr>
              <w:rFonts w:ascii="Times New Roman" w:hAnsi="Times New Roman"/>
              <w:sz w:val="16"/>
            </w:rPr>
            <w:t xml:space="preserve"> (Clarendon Court) Management Ltd v Al-</w:t>
          </w:r>
          <w:proofErr w:type="spellStart"/>
          <w:r>
            <w:rPr>
              <w:rFonts w:ascii="Times New Roman" w:hAnsi="Times New Roman"/>
              <w:sz w:val="16"/>
            </w:rPr>
            <w:t>Balhaa</w:t>
          </w:r>
          <w:proofErr w:type="spellEnd"/>
        </w:p>
      </w:tc>
    </w:tr>
  </w:tbl>
  <w:p w14:paraId="4F9D1FB3" w14:textId="77777777" w:rsidR="00C439A3" w:rsidRDefault="00C439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4CCFBD8"/>
    <w:lvl w:ilvl="0">
      <w:start w:val="1"/>
      <w:numFmt w:val="decimal"/>
      <w:lvlText w:val="%1."/>
      <w:lvlJc w:val="left"/>
      <w:pPr>
        <w:tabs>
          <w:tab w:val="num" w:pos="1492"/>
        </w:tabs>
        <w:ind w:left="1492" w:hanging="360"/>
      </w:pPr>
    </w:lvl>
  </w:abstractNum>
  <w:abstractNum w:abstractNumId="1"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2836"/>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254"/>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5672"/>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cumentProtection w:edit="readOnly" w:enforcement="0"/>
  <w:defaultTabStop w:val="567"/>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3088"/>
    <w:rsid w:val="0000230D"/>
    <w:rsid w:val="00002C8F"/>
    <w:rsid w:val="000033A7"/>
    <w:rsid w:val="0000345F"/>
    <w:rsid w:val="00004A57"/>
    <w:rsid w:val="00004ECF"/>
    <w:rsid w:val="00021392"/>
    <w:rsid w:val="00021BD8"/>
    <w:rsid w:val="00022E00"/>
    <w:rsid w:val="00025A84"/>
    <w:rsid w:val="00025C2E"/>
    <w:rsid w:val="0003756C"/>
    <w:rsid w:val="00046236"/>
    <w:rsid w:val="000473C4"/>
    <w:rsid w:val="00053638"/>
    <w:rsid w:val="00053FE7"/>
    <w:rsid w:val="000605D8"/>
    <w:rsid w:val="00065746"/>
    <w:rsid w:val="00070D44"/>
    <w:rsid w:val="0007558B"/>
    <w:rsid w:val="00077360"/>
    <w:rsid w:val="00077B93"/>
    <w:rsid w:val="00083A22"/>
    <w:rsid w:val="000912CB"/>
    <w:rsid w:val="00092FCA"/>
    <w:rsid w:val="00094983"/>
    <w:rsid w:val="00095FF0"/>
    <w:rsid w:val="000A1042"/>
    <w:rsid w:val="000A4812"/>
    <w:rsid w:val="000A52A0"/>
    <w:rsid w:val="000B0460"/>
    <w:rsid w:val="000C711B"/>
    <w:rsid w:val="000D7A5B"/>
    <w:rsid w:val="000E2527"/>
    <w:rsid w:val="000E3812"/>
    <w:rsid w:val="000E5854"/>
    <w:rsid w:val="000F0C7E"/>
    <w:rsid w:val="000F4F4C"/>
    <w:rsid w:val="001007D9"/>
    <w:rsid w:val="00100950"/>
    <w:rsid w:val="00111B8D"/>
    <w:rsid w:val="001134FD"/>
    <w:rsid w:val="00113E9E"/>
    <w:rsid w:val="00114B51"/>
    <w:rsid w:val="00115294"/>
    <w:rsid w:val="00116116"/>
    <w:rsid w:val="001226F9"/>
    <w:rsid w:val="00143547"/>
    <w:rsid w:val="001464BF"/>
    <w:rsid w:val="00156024"/>
    <w:rsid w:val="00157943"/>
    <w:rsid w:val="00162B05"/>
    <w:rsid w:val="00162D76"/>
    <w:rsid w:val="00173604"/>
    <w:rsid w:val="00185EBF"/>
    <w:rsid w:val="001862E6"/>
    <w:rsid w:val="0018687C"/>
    <w:rsid w:val="00187772"/>
    <w:rsid w:val="00187F73"/>
    <w:rsid w:val="00192CC4"/>
    <w:rsid w:val="001A17A4"/>
    <w:rsid w:val="001A293F"/>
    <w:rsid w:val="001A3E07"/>
    <w:rsid w:val="001A51A9"/>
    <w:rsid w:val="001A5B53"/>
    <w:rsid w:val="001A6E5A"/>
    <w:rsid w:val="001A7CCE"/>
    <w:rsid w:val="001B0095"/>
    <w:rsid w:val="001B0424"/>
    <w:rsid w:val="001C28A2"/>
    <w:rsid w:val="001D50D3"/>
    <w:rsid w:val="001D7A80"/>
    <w:rsid w:val="001D7CFE"/>
    <w:rsid w:val="001E241E"/>
    <w:rsid w:val="001E2ABF"/>
    <w:rsid w:val="001F28BC"/>
    <w:rsid w:val="001F4662"/>
    <w:rsid w:val="001F6534"/>
    <w:rsid w:val="00203524"/>
    <w:rsid w:val="00203AC4"/>
    <w:rsid w:val="002128D2"/>
    <w:rsid w:val="00212CC3"/>
    <w:rsid w:val="0021360A"/>
    <w:rsid w:val="00215037"/>
    <w:rsid w:val="0022521D"/>
    <w:rsid w:val="00226E22"/>
    <w:rsid w:val="00226F6F"/>
    <w:rsid w:val="0023048B"/>
    <w:rsid w:val="00241974"/>
    <w:rsid w:val="002445C9"/>
    <w:rsid w:val="00245ED2"/>
    <w:rsid w:val="00250837"/>
    <w:rsid w:val="0025702B"/>
    <w:rsid w:val="00260772"/>
    <w:rsid w:val="00264043"/>
    <w:rsid w:val="00271533"/>
    <w:rsid w:val="002861C3"/>
    <w:rsid w:val="00287528"/>
    <w:rsid w:val="002909BA"/>
    <w:rsid w:val="00290C39"/>
    <w:rsid w:val="002921BC"/>
    <w:rsid w:val="00292A9E"/>
    <w:rsid w:val="00293D3D"/>
    <w:rsid w:val="0029517F"/>
    <w:rsid w:val="0029588C"/>
    <w:rsid w:val="002A18D4"/>
    <w:rsid w:val="002A3876"/>
    <w:rsid w:val="002A7A36"/>
    <w:rsid w:val="002A7AF1"/>
    <w:rsid w:val="002B09E1"/>
    <w:rsid w:val="002B1AC4"/>
    <w:rsid w:val="002B2F9A"/>
    <w:rsid w:val="002B3E89"/>
    <w:rsid w:val="002C5BA9"/>
    <w:rsid w:val="002D0441"/>
    <w:rsid w:val="002D6FFD"/>
    <w:rsid w:val="002E254E"/>
    <w:rsid w:val="002E4C26"/>
    <w:rsid w:val="002F3687"/>
    <w:rsid w:val="002F6A46"/>
    <w:rsid w:val="002F6FD6"/>
    <w:rsid w:val="00300D48"/>
    <w:rsid w:val="003030A0"/>
    <w:rsid w:val="003137C1"/>
    <w:rsid w:val="00315D42"/>
    <w:rsid w:val="0032219F"/>
    <w:rsid w:val="00322F7A"/>
    <w:rsid w:val="003255B5"/>
    <w:rsid w:val="00326B59"/>
    <w:rsid w:val="00327C8B"/>
    <w:rsid w:val="00332FE2"/>
    <w:rsid w:val="003354EE"/>
    <w:rsid w:val="00336696"/>
    <w:rsid w:val="0033726F"/>
    <w:rsid w:val="0034056F"/>
    <w:rsid w:val="0034105C"/>
    <w:rsid w:val="00345F6E"/>
    <w:rsid w:val="00355BAD"/>
    <w:rsid w:val="00361510"/>
    <w:rsid w:val="003623F9"/>
    <w:rsid w:val="00367662"/>
    <w:rsid w:val="00384BA3"/>
    <w:rsid w:val="003901A8"/>
    <w:rsid w:val="00393E74"/>
    <w:rsid w:val="003950E3"/>
    <w:rsid w:val="00396600"/>
    <w:rsid w:val="003978DC"/>
    <w:rsid w:val="003A70AD"/>
    <w:rsid w:val="003C1EDB"/>
    <w:rsid w:val="003C39AA"/>
    <w:rsid w:val="003C5D71"/>
    <w:rsid w:val="003C7EA4"/>
    <w:rsid w:val="003D28E3"/>
    <w:rsid w:val="003D3B91"/>
    <w:rsid w:val="003D4BF8"/>
    <w:rsid w:val="003D7CCA"/>
    <w:rsid w:val="003E42CC"/>
    <w:rsid w:val="003F14D4"/>
    <w:rsid w:val="003F5DF0"/>
    <w:rsid w:val="003F7240"/>
    <w:rsid w:val="0040095E"/>
    <w:rsid w:val="00400E7D"/>
    <w:rsid w:val="00402D12"/>
    <w:rsid w:val="00403088"/>
    <w:rsid w:val="004031C8"/>
    <w:rsid w:val="004123D0"/>
    <w:rsid w:val="0041661A"/>
    <w:rsid w:val="004211E9"/>
    <w:rsid w:val="00425FA3"/>
    <w:rsid w:val="004326F2"/>
    <w:rsid w:val="00433E21"/>
    <w:rsid w:val="0044240C"/>
    <w:rsid w:val="00446F32"/>
    <w:rsid w:val="00447E41"/>
    <w:rsid w:val="004767CD"/>
    <w:rsid w:val="00486A39"/>
    <w:rsid w:val="0048702A"/>
    <w:rsid w:val="004A47C4"/>
    <w:rsid w:val="004A5004"/>
    <w:rsid w:val="004A5372"/>
    <w:rsid w:val="004B2A3E"/>
    <w:rsid w:val="004B517C"/>
    <w:rsid w:val="004C1579"/>
    <w:rsid w:val="004D0656"/>
    <w:rsid w:val="004D3C44"/>
    <w:rsid w:val="004D7519"/>
    <w:rsid w:val="004D7A45"/>
    <w:rsid w:val="004E6EC4"/>
    <w:rsid w:val="004F5DE3"/>
    <w:rsid w:val="004F6903"/>
    <w:rsid w:val="004F7D57"/>
    <w:rsid w:val="005034AA"/>
    <w:rsid w:val="005043DA"/>
    <w:rsid w:val="0050713A"/>
    <w:rsid w:val="0051143D"/>
    <w:rsid w:val="005134C7"/>
    <w:rsid w:val="00515D90"/>
    <w:rsid w:val="005162C2"/>
    <w:rsid w:val="00516F39"/>
    <w:rsid w:val="00517E65"/>
    <w:rsid w:val="00526673"/>
    <w:rsid w:val="005276AD"/>
    <w:rsid w:val="005343E7"/>
    <w:rsid w:val="00536E8C"/>
    <w:rsid w:val="005404F7"/>
    <w:rsid w:val="00545C7B"/>
    <w:rsid w:val="005473E7"/>
    <w:rsid w:val="00547F7D"/>
    <w:rsid w:val="0055020B"/>
    <w:rsid w:val="00551623"/>
    <w:rsid w:val="00555D54"/>
    <w:rsid w:val="00567549"/>
    <w:rsid w:val="00570B85"/>
    <w:rsid w:val="005756DE"/>
    <w:rsid w:val="005923D6"/>
    <w:rsid w:val="005934E4"/>
    <w:rsid w:val="005A1AF2"/>
    <w:rsid w:val="005A356D"/>
    <w:rsid w:val="005A5CC9"/>
    <w:rsid w:val="005B29C3"/>
    <w:rsid w:val="005B38F5"/>
    <w:rsid w:val="005B3E43"/>
    <w:rsid w:val="005B53C6"/>
    <w:rsid w:val="005B5DEB"/>
    <w:rsid w:val="005C0206"/>
    <w:rsid w:val="005C2DFE"/>
    <w:rsid w:val="005C6B21"/>
    <w:rsid w:val="005C6F02"/>
    <w:rsid w:val="005D45AA"/>
    <w:rsid w:val="005D59F5"/>
    <w:rsid w:val="005D60A0"/>
    <w:rsid w:val="005D66F3"/>
    <w:rsid w:val="00606CAA"/>
    <w:rsid w:val="0060794B"/>
    <w:rsid w:val="006125BA"/>
    <w:rsid w:val="00621F18"/>
    <w:rsid w:val="006240A0"/>
    <w:rsid w:val="006245C7"/>
    <w:rsid w:val="00636C6B"/>
    <w:rsid w:val="006406F4"/>
    <w:rsid w:val="00644698"/>
    <w:rsid w:val="0064565C"/>
    <w:rsid w:val="00646626"/>
    <w:rsid w:val="006476BB"/>
    <w:rsid w:val="00651451"/>
    <w:rsid w:val="00654312"/>
    <w:rsid w:val="00656A25"/>
    <w:rsid w:val="006578A6"/>
    <w:rsid w:val="00662C1B"/>
    <w:rsid w:val="00664DDD"/>
    <w:rsid w:val="00672B00"/>
    <w:rsid w:val="00674F38"/>
    <w:rsid w:val="00687CC4"/>
    <w:rsid w:val="006937BE"/>
    <w:rsid w:val="00693DA2"/>
    <w:rsid w:val="006A0D41"/>
    <w:rsid w:val="006A4CC2"/>
    <w:rsid w:val="006B0F6B"/>
    <w:rsid w:val="006B73B2"/>
    <w:rsid w:val="006C33B8"/>
    <w:rsid w:val="006C7EB7"/>
    <w:rsid w:val="006D1B74"/>
    <w:rsid w:val="006D34B6"/>
    <w:rsid w:val="006D6C94"/>
    <w:rsid w:val="006D7A61"/>
    <w:rsid w:val="006D7AD3"/>
    <w:rsid w:val="006E0FE2"/>
    <w:rsid w:val="006E19C9"/>
    <w:rsid w:val="006E3B6C"/>
    <w:rsid w:val="006F17A2"/>
    <w:rsid w:val="006F207F"/>
    <w:rsid w:val="006F31DC"/>
    <w:rsid w:val="006F73A0"/>
    <w:rsid w:val="00703229"/>
    <w:rsid w:val="0070540D"/>
    <w:rsid w:val="0070635D"/>
    <w:rsid w:val="007148A5"/>
    <w:rsid w:val="00715986"/>
    <w:rsid w:val="00724477"/>
    <w:rsid w:val="00731BB5"/>
    <w:rsid w:val="00731CB6"/>
    <w:rsid w:val="007324B9"/>
    <w:rsid w:val="00737709"/>
    <w:rsid w:val="00751450"/>
    <w:rsid w:val="007616EA"/>
    <w:rsid w:val="0076267E"/>
    <w:rsid w:val="007854A6"/>
    <w:rsid w:val="007928E8"/>
    <w:rsid w:val="00794535"/>
    <w:rsid w:val="00794EBA"/>
    <w:rsid w:val="007A1ECD"/>
    <w:rsid w:val="007A6F6D"/>
    <w:rsid w:val="007B1668"/>
    <w:rsid w:val="007B4565"/>
    <w:rsid w:val="007B490B"/>
    <w:rsid w:val="007C4F26"/>
    <w:rsid w:val="007C7C38"/>
    <w:rsid w:val="007D3169"/>
    <w:rsid w:val="007D671C"/>
    <w:rsid w:val="007D6746"/>
    <w:rsid w:val="007E6512"/>
    <w:rsid w:val="007F0C34"/>
    <w:rsid w:val="007F241C"/>
    <w:rsid w:val="007F2CBF"/>
    <w:rsid w:val="00801560"/>
    <w:rsid w:val="00801E08"/>
    <w:rsid w:val="0080726E"/>
    <w:rsid w:val="00810C3F"/>
    <w:rsid w:val="00812C4E"/>
    <w:rsid w:val="00814CA4"/>
    <w:rsid w:val="0081760D"/>
    <w:rsid w:val="00823063"/>
    <w:rsid w:val="008255BB"/>
    <w:rsid w:val="00826125"/>
    <w:rsid w:val="0083110D"/>
    <w:rsid w:val="00833324"/>
    <w:rsid w:val="008344A4"/>
    <w:rsid w:val="008474F7"/>
    <w:rsid w:val="00851011"/>
    <w:rsid w:val="00852226"/>
    <w:rsid w:val="00855EAD"/>
    <w:rsid w:val="008564BB"/>
    <w:rsid w:val="008572C1"/>
    <w:rsid w:val="00857367"/>
    <w:rsid w:val="00860619"/>
    <w:rsid w:val="00860938"/>
    <w:rsid w:val="00877637"/>
    <w:rsid w:val="00880C14"/>
    <w:rsid w:val="00881944"/>
    <w:rsid w:val="00882639"/>
    <w:rsid w:val="008905D8"/>
    <w:rsid w:val="0089393C"/>
    <w:rsid w:val="00895A30"/>
    <w:rsid w:val="00895B14"/>
    <w:rsid w:val="008B0E33"/>
    <w:rsid w:val="008B14D4"/>
    <w:rsid w:val="008C19F2"/>
    <w:rsid w:val="008C1CF0"/>
    <w:rsid w:val="008D1E85"/>
    <w:rsid w:val="008D4A41"/>
    <w:rsid w:val="008D77F8"/>
    <w:rsid w:val="008E6F21"/>
    <w:rsid w:val="00905222"/>
    <w:rsid w:val="00905987"/>
    <w:rsid w:val="00914334"/>
    <w:rsid w:val="009231E7"/>
    <w:rsid w:val="009259C2"/>
    <w:rsid w:val="00926702"/>
    <w:rsid w:val="00927008"/>
    <w:rsid w:val="00942E9A"/>
    <w:rsid w:val="00944914"/>
    <w:rsid w:val="00946428"/>
    <w:rsid w:val="00947F9A"/>
    <w:rsid w:val="0095053B"/>
    <w:rsid w:val="00950E7C"/>
    <w:rsid w:val="00953484"/>
    <w:rsid w:val="00954C94"/>
    <w:rsid w:val="00984F17"/>
    <w:rsid w:val="00986655"/>
    <w:rsid w:val="00987B3E"/>
    <w:rsid w:val="0099435D"/>
    <w:rsid w:val="009960E2"/>
    <w:rsid w:val="009C1410"/>
    <w:rsid w:val="009C14DC"/>
    <w:rsid w:val="009C1A1A"/>
    <w:rsid w:val="009C1C62"/>
    <w:rsid w:val="009C2053"/>
    <w:rsid w:val="009C25B7"/>
    <w:rsid w:val="009C28AB"/>
    <w:rsid w:val="009C4C7E"/>
    <w:rsid w:val="009D178A"/>
    <w:rsid w:val="009D29E1"/>
    <w:rsid w:val="009D3080"/>
    <w:rsid w:val="009D5FF1"/>
    <w:rsid w:val="009D5FF5"/>
    <w:rsid w:val="009E1C75"/>
    <w:rsid w:val="009E1EF7"/>
    <w:rsid w:val="009E47EA"/>
    <w:rsid w:val="009F0AF5"/>
    <w:rsid w:val="009F6CE6"/>
    <w:rsid w:val="00A01486"/>
    <w:rsid w:val="00A0507C"/>
    <w:rsid w:val="00A05275"/>
    <w:rsid w:val="00A05C4A"/>
    <w:rsid w:val="00A07559"/>
    <w:rsid w:val="00A0779E"/>
    <w:rsid w:val="00A239CC"/>
    <w:rsid w:val="00A245A4"/>
    <w:rsid w:val="00A2674A"/>
    <w:rsid w:val="00A27E50"/>
    <w:rsid w:val="00A4604C"/>
    <w:rsid w:val="00A64D07"/>
    <w:rsid w:val="00A71030"/>
    <w:rsid w:val="00A734BF"/>
    <w:rsid w:val="00A91C93"/>
    <w:rsid w:val="00A93A1A"/>
    <w:rsid w:val="00A9521A"/>
    <w:rsid w:val="00AA1552"/>
    <w:rsid w:val="00AB2BE9"/>
    <w:rsid w:val="00AB51F5"/>
    <w:rsid w:val="00AC15BB"/>
    <w:rsid w:val="00AC1680"/>
    <w:rsid w:val="00AC4647"/>
    <w:rsid w:val="00AE0CEA"/>
    <w:rsid w:val="00AE158F"/>
    <w:rsid w:val="00AE30E5"/>
    <w:rsid w:val="00AE590B"/>
    <w:rsid w:val="00AE66AD"/>
    <w:rsid w:val="00AE70D7"/>
    <w:rsid w:val="00B0302B"/>
    <w:rsid w:val="00B05DCF"/>
    <w:rsid w:val="00B06FC0"/>
    <w:rsid w:val="00B074BB"/>
    <w:rsid w:val="00B13642"/>
    <w:rsid w:val="00B13F8F"/>
    <w:rsid w:val="00B21EDB"/>
    <w:rsid w:val="00B225B0"/>
    <w:rsid w:val="00B22B86"/>
    <w:rsid w:val="00B30D6C"/>
    <w:rsid w:val="00B31B76"/>
    <w:rsid w:val="00B31BE3"/>
    <w:rsid w:val="00B34E9A"/>
    <w:rsid w:val="00B41CBE"/>
    <w:rsid w:val="00B44CA0"/>
    <w:rsid w:val="00B54130"/>
    <w:rsid w:val="00B66162"/>
    <w:rsid w:val="00B7159E"/>
    <w:rsid w:val="00B7665C"/>
    <w:rsid w:val="00B77577"/>
    <w:rsid w:val="00B808D5"/>
    <w:rsid w:val="00B92CF1"/>
    <w:rsid w:val="00BA2007"/>
    <w:rsid w:val="00BA36F1"/>
    <w:rsid w:val="00BA7CCA"/>
    <w:rsid w:val="00BB0763"/>
    <w:rsid w:val="00BB3D41"/>
    <w:rsid w:val="00BB6226"/>
    <w:rsid w:val="00BB7D85"/>
    <w:rsid w:val="00BC017C"/>
    <w:rsid w:val="00BC1277"/>
    <w:rsid w:val="00BC2919"/>
    <w:rsid w:val="00BC3B2B"/>
    <w:rsid w:val="00BC460E"/>
    <w:rsid w:val="00BC56CE"/>
    <w:rsid w:val="00BD7198"/>
    <w:rsid w:val="00BD736D"/>
    <w:rsid w:val="00BE05A0"/>
    <w:rsid w:val="00BE3484"/>
    <w:rsid w:val="00BE5DBE"/>
    <w:rsid w:val="00BE7D87"/>
    <w:rsid w:val="00BF1FEC"/>
    <w:rsid w:val="00BF6497"/>
    <w:rsid w:val="00C00DD3"/>
    <w:rsid w:val="00C03763"/>
    <w:rsid w:val="00C03D91"/>
    <w:rsid w:val="00C07D0E"/>
    <w:rsid w:val="00C2202F"/>
    <w:rsid w:val="00C252C6"/>
    <w:rsid w:val="00C41B20"/>
    <w:rsid w:val="00C439A3"/>
    <w:rsid w:val="00C43DDD"/>
    <w:rsid w:val="00C461AF"/>
    <w:rsid w:val="00C46841"/>
    <w:rsid w:val="00C512F1"/>
    <w:rsid w:val="00C52D0F"/>
    <w:rsid w:val="00C54496"/>
    <w:rsid w:val="00C552E6"/>
    <w:rsid w:val="00C6067B"/>
    <w:rsid w:val="00C63ED3"/>
    <w:rsid w:val="00C65BE4"/>
    <w:rsid w:val="00C73C27"/>
    <w:rsid w:val="00C765B6"/>
    <w:rsid w:val="00C853B7"/>
    <w:rsid w:val="00C92AA2"/>
    <w:rsid w:val="00C961EA"/>
    <w:rsid w:val="00C97004"/>
    <w:rsid w:val="00CB01E7"/>
    <w:rsid w:val="00CB0C01"/>
    <w:rsid w:val="00CB376C"/>
    <w:rsid w:val="00CB7E3C"/>
    <w:rsid w:val="00CC124F"/>
    <w:rsid w:val="00CC51B7"/>
    <w:rsid w:val="00CC6252"/>
    <w:rsid w:val="00CC67DE"/>
    <w:rsid w:val="00CD0652"/>
    <w:rsid w:val="00CD3560"/>
    <w:rsid w:val="00CD442D"/>
    <w:rsid w:val="00CD743E"/>
    <w:rsid w:val="00CE588B"/>
    <w:rsid w:val="00CF271F"/>
    <w:rsid w:val="00CF5584"/>
    <w:rsid w:val="00CF6327"/>
    <w:rsid w:val="00CF69A1"/>
    <w:rsid w:val="00D0067E"/>
    <w:rsid w:val="00D05D0A"/>
    <w:rsid w:val="00D13C98"/>
    <w:rsid w:val="00D2059F"/>
    <w:rsid w:val="00D22C7F"/>
    <w:rsid w:val="00D25AA1"/>
    <w:rsid w:val="00D33150"/>
    <w:rsid w:val="00D4072E"/>
    <w:rsid w:val="00D40854"/>
    <w:rsid w:val="00D44260"/>
    <w:rsid w:val="00D470CD"/>
    <w:rsid w:val="00D521EA"/>
    <w:rsid w:val="00D53CDB"/>
    <w:rsid w:val="00D5591F"/>
    <w:rsid w:val="00D63173"/>
    <w:rsid w:val="00D63CE6"/>
    <w:rsid w:val="00D651A7"/>
    <w:rsid w:val="00D70A69"/>
    <w:rsid w:val="00D70E5C"/>
    <w:rsid w:val="00D9413D"/>
    <w:rsid w:val="00D949FF"/>
    <w:rsid w:val="00D950D0"/>
    <w:rsid w:val="00D9602D"/>
    <w:rsid w:val="00DB2B65"/>
    <w:rsid w:val="00DB4BCB"/>
    <w:rsid w:val="00DC23A7"/>
    <w:rsid w:val="00DC4FE9"/>
    <w:rsid w:val="00DC535B"/>
    <w:rsid w:val="00DD05CF"/>
    <w:rsid w:val="00DD5EF4"/>
    <w:rsid w:val="00DD7768"/>
    <w:rsid w:val="00DE41BC"/>
    <w:rsid w:val="00DE46A5"/>
    <w:rsid w:val="00DF3E6C"/>
    <w:rsid w:val="00E01960"/>
    <w:rsid w:val="00E04DFB"/>
    <w:rsid w:val="00E04F19"/>
    <w:rsid w:val="00E21F7A"/>
    <w:rsid w:val="00E2307D"/>
    <w:rsid w:val="00E26513"/>
    <w:rsid w:val="00E32F57"/>
    <w:rsid w:val="00E33345"/>
    <w:rsid w:val="00E44345"/>
    <w:rsid w:val="00E44F70"/>
    <w:rsid w:val="00E505FF"/>
    <w:rsid w:val="00E516FA"/>
    <w:rsid w:val="00E56364"/>
    <w:rsid w:val="00E5784E"/>
    <w:rsid w:val="00E64ADA"/>
    <w:rsid w:val="00E729D5"/>
    <w:rsid w:val="00E813E0"/>
    <w:rsid w:val="00E82167"/>
    <w:rsid w:val="00E83C68"/>
    <w:rsid w:val="00E83E64"/>
    <w:rsid w:val="00E872C1"/>
    <w:rsid w:val="00E87343"/>
    <w:rsid w:val="00E90596"/>
    <w:rsid w:val="00E94D3A"/>
    <w:rsid w:val="00E9566F"/>
    <w:rsid w:val="00E96BE9"/>
    <w:rsid w:val="00EA175E"/>
    <w:rsid w:val="00EA1DAE"/>
    <w:rsid w:val="00EA26A9"/>
    <w:rsid w:val="00EA5C6B"/>
    <w:rsid w:val="00EA73A0"/>
    <w:rsid w:val="00EB53EA"/>
    <w:rsid w:val="00EC3269"/>
    <w:rsid w:val="00EC401C"/>
    <w:rsid w:val="00EC57AA"/>
    <w:rsid w:val="00ED3B8D"/>
    <w:rsid w:val="00ED5A98"/>
    <w:rsid w:val="00ED79BA"/>
    <w:rsid w:val="00EE01B4"/>
    <w:rsid w:val="00EE2507"/>
    <w:rsid w:val="00EE3519"/>
    <w:rsid w:val="00EE3BE3"/>
    <w:rsid w:val="00EE5855"/>
    <w:rsid w:val="00EE5EA9"/>
    <w:rsid w:val="00EF10F8"/>
    <w:rsid w:val="00EF20E9"/>
    <w:rsid w:val="00EF433D"/>
    <w:rsid w:val="00F06B28"/>
    <w:rsid w:val="00F07B4C"/>
    <w:rsid w:val="00F101FC"/>
    <w:rsid w:val="00F11285"/>
    <w:rsid w:val="00F11AD6"/>
    <w:rsid w:val="00F123B2"/>
    <w:rsid w:val="00F129AD"/>
    <w:rsid w:val="00F134E6"/>
    <w:rsid w:val="00F22AE2"/>
    <w:rsid w:val="00F23E3C"/>
    <w:rsid w:val="00F24375"/>
    <w:rsid w:val="00F2607B"/>
    <w:rsid w:val="00F27462"/>
    <w:rsid w:val="00F3211A"/>
    <w:rsid w:val="00F32D49"/>
    <w:rsid w:val="00F36961"/>
    <w:rsid w:val="00F42983"/>
    <w:rsid w:val="00F524D7"/>
    <w:rsid w:val="00F52681"/>
    <w:rsid w:val="00F557A9"/>
    <w:rsid w:val="00F65327"/>
    <w:rsid w:val="00F65B14"/>
    <w:rsid w:val="00F66ED2"/>
    <w:rsid w:val="00F745A2"/>
    <w:rsid w:val="00F81FDB"/>
    <w:rsid w:val="00F81FFD"/>
    <w:rsid w:val="00F83527"/>
    <w:rsid w:val="00F87235"/>
    <w:rsid w:val="00F9513A"/>
    <w:rsid w:val="00F9528B"/>
    <w:rsid w:val="00F96D9E"/>
    <w:rsid w:val="00FA29D3"/>
    <w:rsid w:val="00FA3829"/>
    <w:rsid w:val="00FB192B"/>
    <w:rsid w:val="00FC495E"/>
    <w:rsid w:val="00FC4AC5"/>
    <w:rsid w:val="00FC7005"/>
    <w:rsid w:val="00FD184F"/>
    <w:rsid w:val="00FD65B7"/>
    <w:rsid w:val="00FE0451"/>
    <w:rsid w:val="00FF2E9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21FFAA"/>
  <w15:chartTrackingRefBased/>
  <w15:docId w15:val="{3D15A4A3-5284-4B90-88C8-4DE9608A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ext">
    <w:name w:val="CoverText"/>
    <w:basedOn w:val="Normal"/>
    <w:pPr>
      <w:jc w:val="right"/>
    </w:pPr>
    <w:rPr>
      <w:szCs w:val="20"/>
      <w:u w:val="single"/>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link w:val="FooterChar"/>
    <w:uiPriority w:val="99"/>
    <w:pPr>
      <w:tabs>
        <w:tab w:val="center" w:pos="4153"/>
        <w:tab w:val="right" w:pos="8306"/>
      </w:tabs>
    </w:pPr>
    <w:rPr>
      <w:rFonts w:ascii="Univers (W1)" w:hAnsi="Univers (W1)"/>
      <w:szCs w:val="20"/>
    </w:rPr>
  </w:style>
  <w:style w:type="character" w:styleId="PageNumber">
    <w:name w:val="page number"/>
    <w:rPr>
      <w:sz w:val="20"/>
    </w:rPr>
  </w:style>
  <w:style w:type="paragraph" w:customStyle="1" w:styleId="CoverDesc">
    <w:name w:val="CoverDesc"/>
    <w:basedOn w:val="Normal"/>
    <w:pPr>
      <w:jc w:val="center"/>
    </w:pPr>
    <w:rPr>
      <w:b/>
      <w:sz w:val="36"/>
      <w:szCs w:val="20"/>
    </w:rPr>
  </w:style>
  <w:style w:type="paragraph" w:customStyle="1" w:styleId="ParaHeading">
    <w:name w:val="ParaHeading"/>
    <w:basedOn w:val="Normal"/>
    <w:next w:val="ParaLevel1"/>
    <w:pPr>
      <w:keepNext/>
      <w:spacing w:before="240" w:after="240"/>
    </w:pPr>
    <w:rPr>
      <w:szCs w:val="20"/>
    </w:rPr>
  </w:style>
  <w:style w:type="paragraph" w:customStyle="1" w:styleId="ParaLevel1">
    <w:name w:val="ParaLevel1"/>
    <w:basedOn w:val="Normal"/>
    <w:pPr>
      <w:numPr>
        <w:numId w:val="1"/>
      </w:numPr>
      <w:suppressAutoHyphens/>
      <w:spacing w:before="240" w:after="240"/>
      <w:jc w:val="both"/>
      <w:outlineLvl w:val="0"/>
    </w:pPr>
    <w:rPr>
      <w:szCs w:val="20"/>
    </w:rPr>
  </w:style>
  <w:style w:type="paragraph" w:customStyle="1" w:styleId="ParaLevel2">
    <w:name w:val="ParaLevel2"/>
    <w:basedOn w:val="Normal"/>
    <w:pPr>
      <w:numPr>
        <w:ilvl w:val="1"/>
        <w:numId w:val="2"/>
      </w:numPr>
      <w:suppressAutoHyphens/>
      <w:spacing w:before="240" w:after="240"/>
      <w:jc w:val="both"/>
      <w:outlineLvl w:val="1"/>
    </w:pPr>
    <w:rPr>
      <w:szCs w:val="20"/>
    </w:rPr>
  </w:style>
  <w:style w:type="paragraph" w:customStyle="1" w:styleId="ParaLevel3">
    <w:name w:val="ParaLevel3"/>
    <w:basedOn w:val="Normal"/>
    <w:pPr>
      <w:numPr>
        <w:ilvl w:val="2"/>
        <w:numId w:val="3"/>
      </w:numPr>
      <w:suppressAutoHyphens/>
      <w:spacing w:before="240" w:after="240"/>
      <w:jc w:val="both"/>
      <w:outlineLvl w:val="2"/>
    </w:pPr>
    <w:rPr>
      <w:szCs w:val="20"/>
    </w:rPr>
  </w:style>
  <w:style w:type="paragraph" w:customStyle="1" w:styleId="ParaLevel4">
    <w:name w:val="ParaLevel4"/>
    <w:basedOn w:val="Normal"/>
    <w:pPr>
      <w:numPr>
        <w:ilvl w:val="3"/>
        <w:numId w:val="4"/>
      </w:numPr>
      <w:suppressAutoHyphens/>
      <w:spacing w:before="240" w:after="240"/>
      <w:jc w:val="both"/>
      <w:outlineLvl w:val="3"/>
    </w:pPr>
    <w:rPr>
      <w:szCs w:val="20"/>
    </w:rPr>
  </w:style>
  <w:style w:type="paragraph" w:customStyle="1" w:styleId="ParaLevel5">
    <w:name w:val="ParaLevel5"/>
    <w:basedOn w:val="Normal"/>
    <w:pPr>
      <w:numPr>
        <w:ilvl w:val="4"/>
        <w:numId w:val="5"/>
      </w:numPr>
      <w:suppressAutoHyphens/>
      <w:spacing w:before="240" w:after="240"/>
      <w:jc w:val="both"/>
      <w:outlineLvl w:val="4"/>
    </w:pPr>
    <w:rPr>
      <w:szCs w:val="20"/>
    </w:rPr>
  </w:style>
  <w:style w:type="paragraph" w:customStyle="1" w:styleId="ParaLevel6">
    <w:name w:val="ParaLevel6"/>
    <w:basedOn w:val="Normal"/>
    <w:pPr>
      <w:numPr>
        <w:ilvl w:val="5"/>
        <w:numId w:val="6"/>
      </w:numPr>
      <w:suppressAutoHyphens/>
      <w:spacing w:before="240" w:after="240"/>
      <w:jc w:val="both"/>
      <w:outlineLvl w:val="5"/>
    </w:pPr>
    <w:rPr>
      <w:szCs w:val="20"/>
    </w:rPr>
  </w:style>
  <w:style w:type="paragraph" w:customStyle="1" w:styleId="ParaLevel7">
    <w:name w:val="ParaLevel7"/>
    <w:basedOn w:val="Normal"/>
    <w:pPr>
      <w:numPr>
        <w:ilvl w:val="6"/>
        <w:numId w:val="7"/>
      </w:numPr>
      <w:suppressAutoHyphens/>
      <w:spacing w:before="240" w:after="240"/>
      <w:jc w:val="both"/>
      <w:outlineLvl w:val="6"/>
    </w:pPr>
    <w:rPr>
      <w:szCs w:val="20"/>
    </w:rPr>
  </w:style>
  <w:style w:type="paragraph" w:customStyle="1" w:styleId="ParaLevel8">
    <w:name w:val="ParaLevel8"/>
    <w:basedOn w:val="Normal"/>
    <w:pPr>
      <w:numPr>
        <w:ilvl w:val="7"/>
        <w:numId w:val="8"/>
      </w:numPr>
      <w:suppressAutoHyphens/>
      <w:spacing w:before="240" w:after="240"/>
      <w:jc w:val="both"/>
      <w:outlineLvl w:val="7"/>
    </w:pPr>
    <w:rPr>
      <w:szCs w:val="20"/>
    </w:rPr>
  </w:style>
  <w:style w:type="paragraph" w:customStyle="1" w:styleId="ParaLevel9">
    <w:name w:val="ParaLevel9"/>
    <w:basedOn w:val="Normal"/>
    <w:pPr>
      <w:numPr>
        <w:ilvl w:val="8"/>
        <w:numId w:val="9"/>
      </w:numPr>
      <w:suppressAutoHyphens/>
      <w:spacing w:before="240" w:after="240"/>
      <w:jc w:val="both"/>
      <w:outlineLvl w:val="8"/>
    </w:pPr>
    <w:rPr>
      <w:szCs w:val="20"/>
    </w:rPr>
  </w:style>
  <w:style w:type="paragraph" w:customStyle="1" w:styleId="ParaNoNumber">
    <w:name w:val="ParaNoNumber"/>
    <w:basedOn w:val="Normal"/>
    <w:next w:val="Heading1"/>
    <w:pPr>
      <w:spacing w:before="240" w:after="240"/>
      <w:jc w:val="both"/>
    </w:pPr>
    <w:rPr>
      <w:szCs w:val="20"/>
    </w:rPr>
  </w:style>
  <w:style w:type="paragraph" w:styleId="Quote">
    <w:name w:val="Quote"/>
    <w:basedOn w:val="Normal"/>
    <w:next w:val="ParaLevel1"/>
    <w:qFormat/>
    <w:pPr>
      <w:spacing w:after="240"/>
      <w:ind w:left="1440" w:right="1440"/>
      <w:jc w:val="both"/>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character" w:styleId="Hyperlink">
    <w:name w:val="Hyperlink"/>
    <w:rsid w:val="008D77F8"/>
    <w:rPr>
      <w:color w:val="0563C1"/>
      <w:u w:val="single"/>
    </w:rPr>
  </w:style>
  <w:style w:type="paragraph" w:customStyle="1" w:styleId="eMailBlock">
    <w:name w:val="eMailBlock"/>
    <w:basedOn w:val="Title"/>
    <w:rPr>
      <w:sz w:val="26"/>
    </w:rPr>
  </w:style>
  <w:style w:type="character" w:styleId="UnresolvedMention">
    <w:name w:val="Unresolved Mention"/>
    <w:uiPriority w:val="99"/>
    <w:semiHidden/>
    <w:unhideWhenUsed/>
    <w:rsid w:val="008D77F8"/>
    <w:rPr>
      <w:color w:val="605E5C"/>
      <w:shd w:val="clear" w:color="auto" w:fill="E1DFDD"/>
    </w:rPr>
  </w:style>
  <w:style w:type="character" w:customStyle="1" w:styleId="FooterChar">
    <w:name w:val="Footer Char"/>
    <w:link w:val="Footer"/>
    <w:uiPriority w:val="99"/>
    <w:rsid w:val="00336696"/>
    <w:rPr>
      <w:rFonts w:ascii="Univers (W1)" w:hAnsi="Univers (W1)"/>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20516">
      <w:bodyDiv w:val="1"/>
      <w:marLeft w:val="0"/>
      <w:marRight w:val="0"/>
      <w:marTop w:val="0"/>
      <w:marBottom w:val="0"/>
      <w:divBdr>
        <w:top w:val="none" w:sz="0" w:space="0" w:color="auto"/>
        <w:left w:val="none" w:sz="0" w:space="0" w:color="auto"/>
        <w:bottom w:val="none" w:sz="0" w:space="0" w:color="auto"/>
        <w:right w:val="none" w:sz="0" w:space="0" w:color="auto"/>
      </w:divBdr>
      <w:divsChild>
        <w:div w:id="591544848">
          <w:marLeft w:val="0"/>
          <w:marRight w:val="0"/>
          <w:marTop w:val="0"/>
          <w:marBottom w:val="0"/>
          <w:divBdr>
            <w:top w:val="none" w:sz="0" w:space="0" w:color="auto"/>
            <w:left w:val="none" w:sz="0" w:space="0" w:color="auto"/>
            <w:bottom w:val="none" w:sz="0" w:space="0" w:color="auto"/>
            <w:right w:val="none" w:sz="0" w:space="0" w:color="auto"/>
          </w:divBdr>
          <w:divsChild>
            <w:div w:id="833034336">
              <w:marLeft w:val="0"/>
              <w:marRight w:val="0"/>
              <w:marTop w:val="0"/>
              <w:marBottom w:val="0"/>
              <w:divBdr>
                <w:top w:val="none" w:sz="0" w:space="0" w:color="auto"/>
                <w:left w:val="none" w:sz="0" w:space="0" w:color="auto"/>
                <w:bottom w:val="none" w:sz="0" w:space="0" w:color="auto"/>
                <w:right w:val="none" w:sz="0" w:space="0" w:color="auto"/>
              </w:divBdr>
            </w:div>
          </w:divsChild>
        </w:div>
        <w:div w:id="166362651">
          <w:marLeft w:val="0"/>
          <w:marRight w:val="0"/>
          <w:marTop w:val="0"/>
          <w:marBottom w:val="0"/>
          <w:divBdr>
            <w:top w:val="none" w:sz="0" w:space="0" w:color="auto"/>
            <w:left w:val="none" w:sz="0" w:space="0" w:color="auto"/>
            <w:bottom w:val="none" w:sz="0" w:space="0" w:color="auto"/>
            <w:right w:val="none" w:sz="0" w:space="0" w:color="auto"/>
          </w:divBdr>
          <w:divsChild>
            <w:div w:id="18058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5570">
      <w:bodyDiv w:val="1"/>
      <w:marLeft w:val="0"/>
      <w:marRight w:val="0"/>
      <w:marTop w:val="0"/>
      <w:marBottom w:val="0"/>
      <w:divBdr>
        <w:top w:val="none" w:sz="0" w:space="0" w:color="auto"/>
        <w:left w:val="none" w:sz="0" w:space="0" w:color="auto"/>
        <w:bottom w:val="none" w:sz="0" w:space="0" w:color="auto"/>
        <w:right w:val="none" w:sz="0" w:space="0" w:color="auto"/>
      </w:divBdr>
      <w:divsChild>
        <w:div w:id="889724954">
          <w:marLeft w:val="0"/>
          <w:marRight w:val="0"/>
          <w:marTop w:val="0"/>
          <w:marBottom w:val="0"/>
          <w:divBdr>
            <w:top w:val="none" w:sz="0" w:space="0" w:color="auto"/>
            <w:left w:val="none" w:sz="0" w:space="0" w:color="auto"/>
            <w:bottom w:val="none" w:sz="0" w:space="0" w:color="auto"/>
            <w:right w:val="none" w:sz="0" w:space="0" w:color="auto"/>
          </w:divBdr>
          <w:divsChild>
            <w:div w:id="1161503740">
              <w:marLeft w:val="0"/>
              <w:marRight w:val="0"/>
              <w:marTop w:val="0"/>
              <w:marBottom w:val="0"/>
              <w:divBdr>
                <w:top w:val="none" w:sz="0" w:space="0" w:color="auto"/>
                <w:left w:val="none" w:sz="0" w:space="0" w:color="auto"/>
                <w:bottom w:val="none" w:sz="0" w:space="0" w:color="auto"/>
                <w:right w:val="none" w:sz="0" w:space="0" w:color="auto"/>
              </w:divBdr>
            </w:div>
            <w:div w:id="734359034">
              <w:marLeft w:val="0"/>
              <w:marRight w:val="0"/>
              <w:marTop w:val="0"/>
              <w:marBottom w:val="0"/>
              <w:divBdr>
                <w:top w:val="none" w:sz="0" w:space="0" w:color="auto"/>
                <w:left w:val="none" w:sz="0" w:space="0" w:color="auto"/>
                <w:bottom w:val="none" w:sz="0" w:space="0" w:color="auto"/>
                <w:right w:val="none" w:sz="0" w:space="0" w:color="auto"/>
              </w:divBdr>
              <w:divsChild>
                <w:div w:id="187453633">
                  <w:marLeft w:val="0"/>
                  <w:marRight w:val="0"/>
                  <w:marTop w:val="0"/>
                  <w:marBottom w:val="0"/>
                  <w:divBdr>
                    <w:top w:val="none" w:sz="0" w:space="0" w:color="auto"/>
                    <w:left w:val="none" w:sz="0" w:space="0" w:color="auto"/>
                    <w:bottom w:val="none" w:sz="0" w:space="0" w:color="auto"/>
                    <w:right w:val="none" w:sz="0" w:space="0" w:color="auto"/>
                  </w:divBdr>
                </w:div>
              </w:divsChild>
            </w:div>
            <w:div w:id="1911379310">
              <w:marLeft w:val="0"/>
              <w:marRight w:val="0"/>
              <w:marTop w:val="0"/>
              <w:marBottom w:val="0"/>
              <w:divBdr>
                <w:top w:val="none" w:sz="0" w:space="0" w:color="auto"/>
                <w:left w:val="none" w:sz="0" w:space="0" w:color="auto"/>
                <w:bottom w:val="none" w:sz="0" w:space="0" w:color="auto"/>
                <w:right w:val="none" w:sz="0" w:space="0" w:color="auto"/>
              </w:divBdr>
              <w:divsChild>
                <w:div w:id="897395588">
                  <w:marLeft w:val="0"/>
                  <w:marRight w:val="0"/>
                  <w:marTop w:val="0"/>
                  <w:marBottom w:val="0"/>
                  <w:divBdr>
                    <w:top w:val="none" w:sz="0" w:space="0" w:color="auto"/>
                    <w:left w:val="none" w:sz="0" w:space="0" w:color="auto"/>
                    <w:bottom w:val="none" w:sz="0" w:space="0" w:color="auto"/>
                    <w:right w:val="none" w:sz="0" w:space="0" w:color="auto"/>
                  </w:divBdr>
                </w:div>
              </w:divsChild>
            </w:div>
            <w:div w:id="237449584">
              <w:marLeft w:val="0"/>
              <w:marRight w:val="0"/>
              <w:marTop w:val="0"/>
              <w:marBottom w:val="0"/>
              <w:divBdr>
                <w:top w:val="none" w:sz="0" w:space="0" w:color="auto"/>
                <w:left w:val="none" w:sz="0" w:space="0" w:color="auto"/>
                <w:bottom w:val="none" w:sz="0" w:space="0" w:color="auto"/>
                <w:right w:val="none" w:sz="0" w:space="0" w:color="auto"/>
              </w:divBdr>
            </w:div>
          </w:divsChild>
        </w:div>
        <w:div w:id="170729764">
          <w:marLeft w:val="0"/>
          <w:marRight w:val="0"/>
          <w:marTop w:val="0"/>
          <w:marBottom w:val="0"/>
          <w:divBdr>
            <w:top w:val="none" w:sz="0" w:space="0" w:color="auto"/>
            <w:left w:val="none" w:sz="0" w:space="0" w:color="auto"/>
            <w:bottom w:val="none" w:sz="0" w:space="0" w:color="auto"/>
            <w:right w:val="none" w:sz="0" w:space="0" w:color="auto"/>
          </w:divBdr>
          <w:divsChild>
            <w:div w:id="527570347">
              <w:marLeft w:val="0"/>
              <w:marRight w:val="0"/>
              <w:marTop w:val="0"/>
              <w:marBottom w:val="0"/>
              <w:divBdr>
                <w:top w:val="none" w:sz="0" w:space="0" w:color="auto"/>
                <w:left w:val="none" w:sz="0" w:space="0" w:color="auto"/>
                <w:bottom w:val="none" w:sz="0" w:space="0" w:color="auto"/>
                <w:right w:val="none" w:sz="0" w:space="0" w:color="auto"/>
              </w:divBdr>
            </w:div>
            <w:div w:id="1502283196">
              <w:marLeft w:val="0"/>
              <w:marRight w:val="0"/>
              <w:marTop w:val="0"/>
              <w:marBottom w:val="0"/>
              <w:divBdr>
                <w:top w:val="none" w:sz="0" w:space="0" w:color="auto"/>
                <w:left w:val="none" w:sz="0" w:space="0" w:color="auto"/>
                <w:bottom w:val="none" w:sz="0" w:space="0" w:color="auto"/>
                <w:right w:val="none" w:sz="0" w:space="0" w:color="auto"/>
              </w:divBdr>
              <w:divsChild>
                <w:div w:id="1621491871">
                  <w:marLeft w:val="0"/>
                  <w:marRight w:val="0"/>
                  <w:marTop w:val="0"/>
                  <w:marBottom w:val="0"/>
                  <w:divBdr>
                    <w:top w:val="none" w:sz="0" w:space="0" w:color="auto"/>
                    <w:left w:val="none" w:sz="0" w:space="0" w:color="auto"/>
                    <w:bottom w:val="none" w:sz="0" w:space="0" w:color="auto"/>
                    <w:right w:val="none" w:sz="0" w:space="0" w:color="auto"/>
                  </w:divBdr>
                </w:div>
              </w:divsChild>
            </w:div>
            <w:div w:id="1155338718">
              <w:marLeft w:val="0"/>
              <w:marRight w:val="0"/>
              <w:marTop w:val="0"/>
              <w:marBottom w:val="0"/>
              <w:divBdr>
                <w:top w:val="none" w:sz="0" w:space="0" w:color="auto"/>
                <w:left w:val="none" w:sz="0" w:space="0" w:color="auto"/>
                <w:bottom w:val="none" w:sz="0" w:space="0" w:color="auto"/>
                <w:right w:val="none" w:sz="0" w:space="0" w:color="auto"/>
              </w:divBdr>
              <w:divsChild>
                <w:div w:id="392050934">
                  <w:marLeft w:val="0"/>
                  <w:marRight w:val="0"/>
                  <w:marTop w:val="0"/>
                  <w:marBottom w:val="0"/>
                  <w:divBdr>
                    <w:top w:val="none" w:sz="0" w:space="0" w:color="auto"/>
                    <w:left w:val="none" w:sz="0" w:space="0" w:color="auto"/>
                    <w:bottom w:val="none" w:sz="0" w:space="0" w:color="auto"/>
                    <w:right w:val="none" w:sz="0" w:space="0" w:color="auto"/>
                  </w:divBdr>
                </w:div>
              </w:divsChild>
            </w:div>
            <w:div w:id="768044649">
              <w:marLeft w:val="0"/>
              <w:marRight w:val="0"/>
              <w:marTop w:val="0"/>
              <w:marBottom w:val="0"/>
              <w:divBdr>
                <w:top w:val="none" w:sz="0" w:space="0" w:color="auto"/>
                <w:left w:val="none" w:sz="0" w:space="0" w:color="auto"/>
                <w:bottom w:val="none" w:sz="0" w:space="0" w:color="auto"/>
                <w:right w:val="none" w:sz="0" w:space="0" w:color="auto"/>
              </w:divBdr>
              <w:divsChild>
                <w:div w:id="269973590">
                  <w:marLeft w:val="0"/>
                  <w:marRight w:val="0"/>
                  <w:marTop w:val="0"/>
                  <w:marBottom w:val="0"/>
                  <w:divBdr>
                    <w:top w:val="none" w:sz="0" w:space="0" w:color="auto"/>
                    <w:left w:val="none" w:sz="0" w:space="0" w:color="auto"/>
                    <w:bottom w:val="none" w:sz="0" w:space="0" w:color="auto"/>
                    <w:right w:val="none" w:sz="0" w:space="0" w:color="auto"/>
                  </w:divBdr>
                </w:div>
              </w:divsChild>
            </w:div>
            <w:div w:id="1406147176">
              <w:marLeft w:val="0"/>
              <w:marRight w:val="0"/>
              <w:marTop w:val="0"/>
              <w:marBottom w:val="0"/>
              <w:divBdr>
                <w:top w:val="none" w:sz="0" w:space="0" w:color="auto"/>
                <w:left w:val="none" w:sz="0" w:space="0" w:color="auto"/>
                <w:bottom w:val="none" w:sz="0" w:space="0" w:color="auto"/>
                <w:right w:val="none" w:sz="0" w:space="0" w:color="auto"/>
              </w:divBdr>
              <w:divsChild>
                <w:div w:id="14572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33088">
          <w:marLeft w:val="0"/>
          <w:marRight w:val="0"/>
          <w:marTop w:val="0"/>
          <w:marBottom w:val="0"/>
          <w:divBdr>
            <w:top w:val="none" w:sz="0" w:space="0" w:color="auto"/>
            <w:left w:val="none" w:sz="0" w:space="0" w:color="auto"/>
            <w:bottom w:val="none" w:sz="0" w:space="0" w:color="auto"/>
            <w:right w:val="none" w:sz="0" w:space="0" w:color="auto"/>
          </w:divBdr>
          <w:divsChild>
            <w:div w:id="1630937502">
              <w:marLeft w:val="0"/>
              <w:marRight w:val="0"/>
              <w:marTop w:val="0"/>
              <w:marBottom w:val="0"/>
              <w:divBdr>
                <w:top w:val="none" w:sz="0" w:space="0" w:color="auto"/>
                <w:left w:val="none" w:sz="0" w:space="0" w:color="auto"/>
                <w:bottom w:val="none" w:sz="0" w:space="0" w:color="auto"/>
                <w:right w:val="none" w:sz="0" w:space="0" w:color="auto"/>
              </w:divBdr>
            </w:div>
            <w:div w:id="515729395">
              <w:marLeft w:val="0"/>
              <w:marRight w:val="0"/>
              <w:marTop w:val="0"/>
              <w:marBottom w:val="0"/>
              <w:divBdr>
                <w:top w:val="none" w:sz="0" w:space="0" w:color="auto"/>
                <w:left w:val="none" w:sz="0" w:space="0" w:color="auto"/>
                <w:bottom w:val="none" w:sz="0" w:space="0" w:color="auto"/>
                <w:right w:val="none" w:sz="0" w:space="0" w:color="auto"/>
              </w:divBdr>
              <w:divsChild>
                <w:div w:id="958680243">
                  <w:marLeft w:val="0"/>
                  <w:marRight w:val="0"/>
                  <w:marTop w:val="0"/>
                  <w:marBottom w:val="0"/>
                  <w:divBdr>
                    <w:top w:val="none" w:sz="0" w:space="0" w:color="auto"/>
                    <w:left w:val="none" w:sz="0" w:space="0" w:color="auto"/>
                    <w:bottom w:val="none" w:sz="0" w:space="0" w:color="auto"/>
                    <w:right w:val="none" w:sz="0" w:space="0" w:color="auto"/>
                  </w:divBdr>
                </w:div>
              </w:divsChild>
            </w:div>
            <w:div w:id="599606600">
              <w:marLeft w:val="0"/>
              <w:marRight w:val="0"/>
              <w:marTop w:val="0"/>
              <w:marBottom w:val="0"/>
              <w:divBdr>
                <w:top w:val="none" w:sz="0" w:space="0" w:color="auto"/>
                <w:left w:val="none" w:sz="0" w:space="0" w:color="auto"/>
                <w:bottom w:val="none" w:sz="0" w:space="0" w:color="auto"/>
                <w:right w:val="none" w:sz="0" w:space="0" w:color="auto"/>
              </w:divBdr>
              <w:divsChild>
                <w:div w:id="19090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4309">
          <w:marLeft w:val="0"/>
          <w:marRight w:val="0"/>
          <w:marTop w:val="0"/>
          <w:marBottom w:val="0"/>
          <w:divBdr>
            <w:top w:val="none" w:sz="0" w:space="0" w:color="auto"/>
            <w:left w:val="none" w:sz="0" w:space="0" w:color="auto"/>
            <w:bottom w:val="none" w:sz="0" w:space="0" w:color="auto"/>
            <w:right w:val="none" w:sz="0" w:space="0" w:color="auto"/>
          </w:divBdr>
          <w:divsChild>
            <w:div w:id="643049185">
              <w:marLeft w:val="0"/>
              <w:marRight w:val="0"/>
              <w:marTop w:val="0"/>
              <w:marBottom w:val="0"/>
              <w:divBdr>
                <w:top w:val="none" w:sz="0" w:space="0" w:color="auto"/>
                <w:left w:val="none" w:sz="0" w:space="0" w:color="auto"/>
                <w:bottom w:val="none" w:sz="0" w:space="0" w:color="auto"/>
                <w:right w:val="none" w:sz="0" w:space="0" w:color="auto"/>
              </w:divBdr>
            </w:div>
          </w:divsChild>
        </w:div>
        <w:div w:id="104228915">
          <w:marLeft w:val="0"/>
          <w:marRight w:val="0"/>
          <w:marTop w:val="0"/>
          <w:marBottom w:val="0"/>
          <w:divBdr>
            <w:top w:val="none" w:sz="0" w:space="0" w:color="auto"/>
            <w:left w:val="none" w:sz="0" w:space="0" w:color="auto"/>
            <w:bottom w:val="none" w:sz="0" w:space="0" w:color="auto"/>
            <w:right w:val="none" w:sz="0" w:space="0" w:color="auto"/>
          </w:divBdr>
          <w:divsChild>
            <w:div w:id="427195006">
              <w:marLeft w:val="0"/>
              <w:marRight w:val="0"/>
              <w:marTop w:val="0"/>
              <w:marBottom w:val="0"/>
              <w:divBdr>
                <w:top w:val="none" w:sz="0" w:space="0" w:color="auto"/>
                <w:left w:val="none" w:sz="0" w:space="0" w:color="auto"/>
                <w:bottom w:val="none" w:sz="0" w:space="0" w:color="auto"/>
                <w:right w:val="none" w:sz="0" w:space="0" w:color="auto"/>
              </w:divBdr>
            </w:div>
            <w:div w:id="1932273840">
              <w:marLeft w:val="0"/>
              <w:marRight w:val="0"/>
              <w:marTop w:val="0"/>
              <w:marBottom w:val="0"/>
              <w:divBdr>
                <w:top w:val="none" w:sz="0" w:space="0" w:color="auto"/>
                <w:left w:val="none" w:sz="0" w:space="0" w:color="auto"/>
                <w:bottom w:val="none" w:sz="0" w:space="0" w:color="auto"/>
                <w:right w:val="none" w:sz="0" w:space="0" w:color="auto"/>
              </w:divBdr>
              <w:divsChild>
                <w:div w:id="1759978254">
                  <w:marLeft w:val="0"/>
                  <w:marRight w:val="0"/>
                  <w:marTop w:val="0"/>
                  <w:marBottom w:val="0"/>
                  <w:divBdr>
                    <w:top w:val="none" w:sz="0" w:space="0" w:color="auto"/>
                    <w:left w:val="none" w:sz="0" w:space="0" w:color="auto"/>
                    <w:bottom w:val="none" w:sz="0" w:space="0" w:color="auto"/>
                    <w:right w:val="none" w:sz="0" w:space="0" w:color="auto"/>
                  </w:divBdr>
                </w:div>
              </w:divsChild>
            </w:div>
            <w:div w:id="1761753766">
              <w:marLeft w:val="0"/>
              <w:marRight w:val="0"/>
              <w:marTop w:val="0"/>
              <w:marBottom w:val="0"/>
              <w:divBdr>
                <w:top w:val="none" w:sz="0" w:space="0" w:color="auto"/>
                <w:left w:val="none" w:sz="0" w:space="0" w:color="auto"/>
                <w:bottom w:val="none" w:sz="0" w:space="0" w:color="auto"/>
                <w:right w:val="none" w:sz="0" w:space="0" w:color="auto"/>
              </w:divBdr>
              <w:divsChild>
                <w:div w:id="20473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41953">
          <w:marLeft w:val="0"/>
          <w:marRight w:val="0"/>
          <w:marTop w:val="0"/>
          <w:marBottom w:val="0"/>
          <w:divBdr>
            <w:top w:val="none" w:sz="0" w:space="0" w:color="auto"/>
            <w:left w:val="none" w:sz="0" w:space="0" w:color="auto"/>
            <w:bottom w:val="none" w:sz="0" w:space="0" w:color="auto"/>
            <w:right w:val="none" w:sz="0" w:space="0" w:color="auto"/>
          </w:divBdr>
          <w:divsChild>
            <w:div w:id="43141388">
              <w:marLeft w:val="0"/>
              <w:marRight w:val="0"/>
              <w:marTop w:val="0"/>
              <w:marBottom w:val="0"/>
              <w:divBdr>
                <w:top w:val="none" w:sz="0" w:space="0" w:color="auto"/>
                <w:left w:val="none" w:sz="0" w:space="0" w:color="auto"/>
                <w:bottom w:val="none" w:sz="0" w:space="0" w:color="auto"/>
                <w:right w:val="none" w:sz="0" w:space="0" w:color="auto"/>
              </w:divBdr>
            </w:div>
          </w:divsChild>
        </w:div>
        <w:div w:id="888225177">
          <w:marLeft w:val="0"/>
          <w:marRight w:val="0"/>
          <w:marTop w:val="0"/>
          <w:marBottom w:val="0"/>
          <w:divBdr>
            <w:top w:val="none" w:sz="0" w:space="0" w:color="auto"/>
            <w:left w:val="none" w:sz="0" w:space="0" w:color="auto"/>
            <w:bottom w:val="none" w:sz="0" w:space="0" w:color="auto"/>
            <w:right w:val="none" w:sz="0" w:space="0" w:color="auto"/>
          </w:divBdr>
          <w:divsChild>
            <w:div w:id="303582262">
              <w:marLeft w:val="0"/>
              <w:marRight w:val="0"/>
              <w:marTop w:val="0"/>
              <w:marBottom w:val="0"/>
              <w:divBdr>
                <w:top w:val="none" w:sz="0" w:space="0" w:color="auto"/>
                <w:left w:val="none" w:sz="0" w:space="0" w:color="auto"/>
                <w:bottom w:val="none" w:sz="0" w:space="0" w:color="auto"/>
                <w:right w:val="none" w:sz="0" w:space="0" w:color="auto"/>
              </w:divBdr>
            </w:div>
            <w:div w:id="1179388390">
              <w:marLeft w:val="0"/>
              <w:marRight w:val="0"/>
              <w:marTop w:val="0"/>
              <w:marBottom w:val="0"/>
              <w:divBdr>
                <w:top w:val="none" w:sz="0" w:space="0" w:color="auto"/>
                <w:left w:val="none" w:sz="0" w:space="0" w:color="auto"/>
                <w:bottom w:val="none" w:sz="0" w:space="0" w:color="auto"/>
                <w:right w:val="none" w:sz="0" w:space="0" w:color="auto"/>
              </w:divBdr>
              <w:divsChild>
                <w:div w:id="1332412451">
                  <w:marLeft w:val="0"/>
                  <w:marRight w:val="0"/>
                  <w:marTop w:val="0"/>
                  <w:marBottom w:val="0"/>
                  <w:divBdr>
                    <w:top w:val="none" w:sz="0" w:space="0" w:color="auto"/>
                    <w:left w:val="none" w:sz="0" w:space="0" w:color="auto"/>
                    <w:bottom w:val="none" w:sz="0" w:space="0" w:color="auto"/>
                    <w:right w:val="none" w:sz="0" w:space="0" w:color="auto"/>
                  </w:divBdr>
                </w:div>
              </w:divsChild>
            </w:div>
            <w:div w:id="87166845">
              <w:marLeft w:val="0"/>
              <w:marRight w:val="0"/>
              <w:marTop w:val="0"/>
              <w:marBottom w:val="0"/>
              <w:divBdr>
                <w:top w:val="none" w:sz="0" w:space="0" w:color="auto"/>
                <w:left w:val="none" w:sz="0" w:space="0" w:color="auto"/>
                <w:bottom w:val="none" w:sz="0" w:space="0" w:color="auto"/>
                <w:right w:val="none" w:sz="0" w:space="0" w:color="auto"/>
              </w:divBdr>
              <w:divsChild>
                <w:div w:id="1169254414">
                  <w:marLeft w:val="0"/>
                  <w:marRight w:val="0"/>
                  <w:marTop w:val="0"/>
                  <w:marBottom w:val="0"/>
                  <w:divBdr>
                    <w:top w:val="none" w:sz="0" w:space="0" w:color="auto"/>
                    <w:left w:val="none" w:sz="0" w:space="0" w:color="auto"/>
                    <w:bottom w:val="none" w:sz="0" w:space="0" w:color="auto"/>
                    <w:right w:val="none" w:sz="0" w:space="0" w:color="auto"/>
                  </w:divBdr>
                </w:div>
              </w:divsChild>
            </w:div>
            <w:div w:id="1057243919">
              <w:marLeft w:val="0"/>
              <w:marRight w:val="0"/>
              <w:marTop w:val="0"/>
              <w:marBottom w:val="0"/>
              <w:divBdr>
                <w:top w:val="none" w:sz="0" w:space="0" w:color="auto"/>
                <w:left w:val="none" w:sz="0" w:space="0" w:color="auto"/>
                <w:bottom w:val="none" w:sz="0" w:space="0" w:color="auto"/>
                <w:right w:val="none" w:sz="0" w:space="0" w:color="auto"/>
              </w:divBdr>
            </w:div>
          </w:divsChild>
        </w:div>
        <w:div w:id="1517302008">
          <w:marLeft w:val="0"/>
          <w:marRight w:val="0"/>
          <w:marTop w:val="0"/>
          <w:marBottom w:val="0"/>
          <w:divBdr>
            <w:top w:val="none" w:sz="0" w:space="0" w:color="auto"/>
            <w:left w:val="none" w:sz="0" w:space="0" w:color="auto"/>
            <w:bottom w:val="none" w:sz="0" w:space="0" w:color="auto"/>
            <w:right w:val="none" w:sz="0" w:space="0" w:color="auto"/>
          </w:divBdr>
          <w:divsChild>
            <w:div w:id="1091009470">
              <w:marLeft w:val="0"/>
              <w:marRight w:val="0"/>
              <w:marTop w:val="0"/>
              <w:marBottom w:val="0"/>
              <w:divBdr>
                <w:top w:val="none" w:sz="0" w:space="0" w:color="auto"/>
                <w:left w:val="none" w:sz="0" w:space="0" w:color="auto"/>
                <w:bottom w:val="none" w:sz="0" w:space="0" w:color="auto"/>
                <w:right w:val="none" w:sz="0" w:space="0" w:color="auto"/>
              </w:divBdr>
            </w:div>
          </w:divsChild>
        </w:div>
        <w:div w:id="1768384649">
          <w:marLeft w:val="0"/>
          <w:marRight w:val="0"/>
          <w:marTop w:val="0"/>
          <w:marBottom w:val="0"/>
          <w:divBdr>
            <w:top w:val="none" w:sz="0" w:space="0" w:color="auto"/>
            <w:left w:val="none" w:sz="0" w:space="0" w:color="auto"/>
            <w:bottom w:val="none" w:sz="0" w:space="0" w:color="auto"/>
            <w:right w:val="none" w:sz="0" w:space="0" w:color="auto"/>
          </w:divBdr>
          <w:divsChild>
            <w:div w:id="624389420">
              <w:marLeft w:val="0"/>
              <w:marRight w:val="0"/>
              <w:marTop w:val="0"/>
              <w:marBottom w:val="0"/>
              <w:divBdr>
                <w:top w:val="none" w:sz="0" w:space="0" w:color="auto"/>
                <w:left w:val="none" w:sz="0" w:space="0" w:color="auto"/>
                <w:bottom w:val="none" w:sz="0" w:space="0" w:color="auto"/>
                <w:right w:val="none" w:sz="0" w:space="0" w:color="auto"/>
              </w:divBdr>
            </w:div>
          </w:divsChild>
        </w:div>
        <w:div w:id="1693871643">
          <w:marLeft w:val="0"/>
          <w:marRight w:val="0"/>
          <w:marTop w:val="0"/>
          <w:marBottom w:val="0"/>
          <w:divBdr>
            <w:top w:val="none" w:sz="0" w:space="0" w:color="auto"/>
            <w:left w:val="none" w:sz="0" w:space="0" w:color="auto"/>
            <w:bottom w:val="none" w:sz="0" w:space="0" w:color="auto"/>
            <w:right w:val="none" w:sz="0" w:space="0" w:color="auto"/>
          </w:divBdr>
          <w:divsChild>
            <w:div w:id="1719746742">
              <w:marLeft w:val="0"/>
              <w:marRight w:val="0"/>
              <w:marTop w:val="0"/>
              <w:marBottom w:val="0"/>
              <w:divBdr>
                <w:top w:val="none" w:sz="0" w:space="0" w:color="auto"/>
                <w:left w:val="none" w:sz="0" w:space="0" w:color="auto"/>
                <w:bottom w:val="none" w:sz="0" w:space="0" w:color="auto"/>
                <w:right w:val="none" w:sz="0" w:space="0" w:color="auto"/>
              </w:divBdr>
            </w:div>
            <w:div w:id="301544430">
              <w:marLeft w:val="0"/>
              <w:marRight w:val="0"/>
              <w:marTop w:val="0"/>
              <w:marBottom w:val="0"/>
              <w:divBdr>
                <w:top w:val="none" w:sz="0" w:space="0" w:color="auto"/>
                <w:left w:val="none" w:sz="0" w:space="0" w:color="auto"/>
                <w:bottom w:val="none" w:sz="0" w:space="0" w:color="auto"/>
                <w:right w:val="none" w:sz="0" w:space="0" w:color="auto"/>
              </w:divBdr>
              <w:divsChild>
                <w:div w:id="850801558">
                  <w:marLeft w:val="0"/>
                  <w:marRight w:val="0"/>
                  <w:marTop w:val="0"/>
                  <w:marBottom w:val="0"/>
                  <w:divBdr>
                    <w:top w:val="none" w:sz="0" w:space="0" w:color="auto"/>
                    <w:left w:val="none" w:sz="0" w:space="0" w:color="auto"/>
                    <w:bottom w:val="none" w:sz="0" w:space="0" w:color="auto"/>
                    <w:right w:val="none" w:sz="0" w:space="0" w:color="auto"/>
                  </w:divBdr>
                </w:div>
              </w:divsChild>
            </w:div>
            <w:div w:id="237599482">
              <w:marLeft w:val="0"/>
              <w:marRight w:val="0"/>
              <w:marTop w:val="0"/>
              <w:marBottom w:val="0"/>
              <w:divBdr>
                <w:top w:val="none" w:sz="0" w:space="0" w:color="auto"/>
                <w:left w:val="none" w:sz="0" w:space="0" w:color="auto"/>
                <w:bottom w:val="none" w:sz="0" w:space="0" w:color="auto"/>
                <w:right w:val="none" w:sz="0" w:space="0" w:color="auto"/>
              </w:divBdr>
              <w:divsChild>
                <w:div w:id="13141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4258">
          <w:marLeft w:val="0"/>
          <w:marRight w:val="0"/>
          <w:marTop w:val="0"/>
          <w:marBottom w:val="0"/>
          <w:divBdr>
            <w:top w:val="none" w:sz="0" w:space="0" w:color="auto"/>
            <w:left w:val="none" w:sz="0" w:space="0" w:color="auto"/>
            <w:bottom w:val="none" w:sz="0" w:space="0" w:color="auto"/>
            <w:right w:val="none" w:sz="0" w:space="0" w:color="auto"/>
          </w:divBdr>
          <w:divsChild>
            <w:div w:id="43243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6068">
      <w:bodyDiv w:val="1"/>
      <w:marLeft w:val="0"/>
      <w:marRight w:val="0"/>
      <w:marTop w:val="0"/>
      <w:marBottom w:val="0"/>
      <w:divBdr>
        <w:top w:val="none" w:sz="0" w:space="0" w:color="auto"/>
        <w:left w:val="none" w:sz="0" w:space="0" w:color="auto"/>
        <w:bottom w:val="none" w:sz="0" w:space="0" w:color="auto"/>
        <w:right w:val="none" w:sz="0" w:space="0" w:color="auto"/>
      </w:divBdr>
      <w:divsChild>
        <w:div w:id="2004116431">
          <w:marLeft w:val="0"/>
          <w:marRight w:val="0"/>
          <w:marTop w:val="0"/>
          <w:marBottom w:val="0"/>
          <w:divBdr>
            <w:top w:val="none" w:sz="0" w:space="0" w:color="auto"/>
            <w:left w:val="none" w:sz="0" w:space="0" w:color="auto"/>
            <w:bottom w:val="none" w:sz="0" w:space="0" w:color="auto"/>
            <w:right w:val="none" w:sz="0" w:space="0" w:color="auto"/>
          </w:divBdr>
        </w:div>
        <w:div w:id="799803817">
          <w:marLeft w:val="0"/>
          <w:marRight w:val="0"/>
          <w:marTop w:val="0"/>
          <w:marBottom w:val="0"/>
          <w:divBdr>
            <w:top w:val="none" w:sz="0" w:space="0" w:color="auto"/>
            <w:left w:val="none" w:sz="0" w:space="0" w:color="auto"/>
            <w:bottom w:val="none" w:sz="0" w:space="0" w:color="auto"/>
            <w:right w:val="none" w:sz="0" w:space="0" w:color="auto"/>
          </w:divBdr>
        </w:div>
      </w:divsChild>
    </w:div>
    <w:div w:id="1225724769">
      <w:bodyDiv w:val="1"/>
      <w:marLeft w:val="0"/>
      <w:marRight w:val="0"/>
      <w:marTop w:val="0"/>
      <w:marBottom w:val="0"/>
      <w:divBdr>
        <w:top w:val="none" w:sz="0" w:space="0" w:color="auto"/>
        <w:left w:val="none" w:sz="0" w:space="0" w:color="auto"/>
        <w:bottom w:val="none" w:sz="0" w:space="0" w:color="auto"/>
        <w:right w:val="none" w:sz="0" w:space="0" w:color="auto"/>
      </w:divBdr>
      <w:divsChild>
        <w:div w:id="177551105">
          <w:marLeft w:val="0"/>
          <w:marRight w:val="0"/>
          <w:marTop w:val="0"/>
          <w:marBottom w:val="0"/>
          <w:divBdr>
            <w:top w:val="none" w:sz="0" w:space="0" w:color="auto"/>
            <w:left w:val="none" w:sz="0" w:space="0" w:color="auto"/>
            <w:bottom w:val="none" w:sz="0" w:space="0" w:color="auto"/>
            <w:right w:val="none" w:sz="0" w:space="0" w:color="auto"/>
          </w:divBdr>
          <w:divsChild>
            <w:div w:id="1585727376">
              <w:marLeft w:val="0"/>
              <w:marRight w:val="0"/>
              <w:marTop w:val="0"/>
              <w:marBottom w:val="0"/>
              <w:divBdr>
                <w:top w:val="none" w:sz="0" w:space="0" w:color="auto"/>
                <w:left w:val="none" w:sz="0" w:space="0" w:color="auto"/>
                <w:bottom w:val="none" w:sz="0" w:space="0" w:color="auto"/>
                <w:right w:val="none" w:sz="0" w:space="0" w:color="auto"/>
              </w:divBdr>
            </w:div>
            <w:div w:id="133791136">
              <w:marLeft w:val="0"/>
              <w:marRight w:val="0"/>
              <w:marTop w:val="0"/>
              <w:marBottom w:val="0"/>
              <w:divBdr>
                <w:top w:val="none" w:sz="0" w:space="0" w:color="auto"/>
                <w:left w:val="none" w:sz="0" w:space="0" w:color="auto"/>
                <w:bottom w:val="none" w:sz="0" w:space="0" w:color="auto"/>
                <w:right w:val="none" w:sz="0" w:space="0" w:color="auto"/>
              </w:divBdr>
            </w:div>
            <w:div w:id="323318288">
              <w:marLeft w:val="0"/>
              <w:marRight w:val="0"/>
              <w:marTop w:val="0"/>
              <w:marBottom w:val="0"/>
              <w:divBdr>
                <w:top w:val="none" w:sz="0" w:space="0" w:color="auto"/>
                <w:left w:val="none" w:sz="0" w:space="0" w:color="auto"/>
                <w:bottom w:val="none" w:sz="0" w:space="0" w:color="auto"/>
                <w:right w:val="none" w:sz="0" w:space="0" w:color="auto"/>
              </w:divBdr>
            </w:div>
            <w:div w:id="2108689573">
              <w:marLeft w:val="0"/>
              <w:marRight w:val="0"/>
              <w:marTop w:val="0"/>
              <w:marBottom w:val="0"/>
              <w:divBdr>
                <w:top w:val="none" w:sz="0" w:space="0" w:color="auto"/>
                <w:left w:val="none" w:sz="0" w:space="0" w:color="auto"/>
                <w:bottom w:val="none" w:sz="0" w:space="0" w:color="auto"/>
                <w:right w:val="none" w:sz="0" w:space="0" w:color="auto"/>
              </w:divBdr>
            </w:div>
            <w:div w:id="395858983">
              <w:marLeft w:val="0"/>
              <w:marRight w:val="0"/>
              <w:marTop w:val="0"/>
              <w:marBottom w:val="0"/>
              <w:divBdr>
                <w:top w:val="none" w:sz="0" w:space="0" w:color="auto"/>
                <w:left w:val="none" w:sz="0" w:space="0" w:color="auto"/>
                <w:bottom w:val="none" w:sz="0" w:space="0" w:color="auto"/>
                <w:right w:val="none" w:sz="0" w:space="0" w:color="auto"/>
              </w:divBdr>
            </w:div>
          </w:divsChild>
        </w:div>
        <w:div w:id="1272471078">
          <w:marLeft w:val="0"/>
          <w:marRight w:val="0"/>
          <w:marTop w:val="0"/>
          <w:marBottom w:val="0"/>
          <w:divBdr>
            <w:top w:val="none" w:sz="0" w:space="0" w:color="auto"/>
            <w:left w:val="none" w:sz="0" w:space="0" w:color="auto"/>
            <w:bottom w:val="none" w:sz="0" w:space="0" w:color="auto"/>
            <w:right w:val="none" w:sz="0" w:space="0" w:color="auto"/>
          </w:divBdr>
        </w:div>
        <w:div w:id="376591861">
          <w:marLeft w:val="0"/>
          <w:marRight w:val="0"/>
          <w:marTop w:val="0"/>
          <w:marBottom w:val="0"/>
          <w:divBdr>
            <w:top w:val="none" w:sz="0" w:space="0" w:color="auto"/>
            <w:left w:val="none" w:sz="0" w:space="0" w:color="auto"/>
            <w:bottom w:val="none" w:sz="0" w:space="0" w:color="auto"/>
            <w:right w:val="none" w:sz="0" w:space="0" w:color="auto"/>
          </w:divBdr>
          <w:divsChild>
            <w:div w:id="2080322324">
              <w:marLeft w:val="0"/>
              <w:marRight w:val="0"/>
              <w:marTop w:val="0"/>
              <w:marBottom w:val="0"/>
              <w:divBdr>
                <w:top w:val="none" w:sz="0" w:space="0" w:color="auto"/>
                <w:left w:val="none" w:sz="0" w:space="0" w:color="auto"/>
                <w:bottom w:val="none" w:sz="0" w:space="0" w:color="auto"/>
                <w:right w:val="none" w:sz="0" w:space="0" w:color="auto"/>
              </w:divBdr>
            </w:div>
            <w:div w:id="730545183">
              <w:marLeft w:val="0"/>
              <w:marRight w:val="0"/>
              <w:marTop w:val="0"/>
              <w:marBottom w:val="0"/>
              <w:divBdr>
                <w:top w:val="none" w:sz="0" w:space="0" w:color="auto"/>
                <w:left w:val="none" w:sz="0" w:space="0" w:color="auto"/>
                <w:bottom w:val="none" w:sz="0" w:space="0" w:color="auto"/>
                <w:right w:val="none" w:sz="0" w:space="0" w:color="auto"/>
              </w:divBdr>
            </w:div>
            <w:div w:id="468284736">
              <w:marLeft w:val="0"/>
              <w:marRight w:val="0"/>
              <w:marTop w:val="0"/>
              <w:marBottom w:val="0"/>
              <w:divBdr>
                <w:top w:val="none" w:sz="0" w:space="0" w:color="auto"/>
                <w:left w:val="none" w:sz="0" w:space="0" w:color="auto"/>
                <w:bottom w:val="none" w:sz="0" w:space="0" w:color="auto"/>
                <w:right w:val="none" w:sz="0" w:space="0" w:color="auto"/>
              </w:divBdr>
            </w:div>
            <w:div w:id="1181702327">
              <w:marLeft w:val="0"/>
              <w:marRight w:val="0"/>
              <w:marTop w:val="0"/>
              <w:marBottom w:val="0"/>
              <w:divBdr>
                <w:top w:val="none" w:sz="0" w:space="0" w:color="auto"/>
                <w:left w:val="none" w:sz="0" w:space="0" w:color="auto"/>
                <w:bottom w:val="none" w:sz="0" w:space="0" w:color="auto"/>
                <w:right w:val="none" w:sz="0" w:space="0" w:color="auto"/>
              </w:divBdr>
            </w:div>
            <w:div w:id="409273295">
              <w:marLeft w:val="0"/>
              <w:marRight w:val="0"/>
              <w:marTop w:val="0"/>
              <w:marBottom w:val="0"/>
              <w:divBdr>
                <w:top w:val="none" w:sz="0" w:space="0" w:color="auto"/>
                <w:left w:val="none" w:sz="0" w:space="0" w:color="auto"/>
                <w:bottom w:val="none" w:sz="0" w:space="0" w:color="auto"/>
                <w:right w:val="none" w:sz="0" w:space="0" w:color="auto"/>
              </w:divBdr>
            </w:div>
          </w:divsChild>
        </w:div>
        <w:div w:id="1055354853">
          <w:marLeft w:val="0"/>
          <w:marRight w:val="0"/>
          <w:marTop w:val="0"/>
          <w:marBottom w:val="0"/>
          <w:divBdr>
            <w:top w:val="none" w:sz="0" w:space="0" w:color="auto"/>
            <w:left w:val="none" w:sz="0" w:space="0" w:color="auto"/>
            <w:bottom w:val="none" w:sz="0" w:space="0" w:color="auto"/>
            <w:right w:val="none" w:sz="0" w:space="0" w:color="auto"/>
          </w:divBdr>
          <w:divsChild>
            <w:div w:id="1255356348">
              <w:marLeft w:val="0"/>
              <w:marRight w:val="0"/>
              <w:marTop w:val="0"/>
              <w:marBottom w:val="0"/>
              <w:divBdr>
                <w:top w:val="none" w:sz="0" w:space="0" w:color="auto"/>
                <w:left w:val="none" w:sz="0" w:space="0" w:color="auto"/>
                <w:bottom w:val="none" w:sz="0" w:space="0" w:color="auto"/>
                <w:right w:val="none" w:sz="0" w:space="0" w:color="auto"/>
              </w:divBdr>
            </w:div>
            <w:div w:id="1303076555">
              <w:marLeft w:val="0"/>
              <w:marRight w:val="0"/>
              <w:marTop w:val="0"/>
              <w:marBottom w:val="0"/>
              <w:divBdr>
                <w:top w:val="none" w:sz="0" w:space="0" w:color="auto"/>
                <w:left w:val="none" w:sz="0" w:space="0" w:color="auto"/>
                <w:bottom w:val="none" w:sz="0" w:space="0" w:color="auto"/>
                <w:right w:val="none" w:sz="0" w:space="0" w:color="auto"/>
              </w:divBdr>
            </w:div>
            <w:div w:id="839001761">
              <w:marLeft w:val="0"/>
              <w:marRight w:val="0"/>
              <w:marTop w:val="0"/>
              <w:marBottom w:val="0"/>
              <w:divBdr>
                <w:top w:val="none" w:sz="0" w:space="0" w:color="auto"/>
                <w:left w:val="none" w:sz="0" w:space="0" w:color="auto"/>
                <w:bottom w:val="none" w:sz="0" w:space="0" w:color="auto"/>
                <w:right w:val="none" w:sz="0" w:space="0" w:color="auto"/>
              </w:divBdr>
            </w:div>
            <w:div w:id="1871145256">
              <w:marLeft w:val="0"/>
              <w:marRight w:val="0"/>
              <w:marTop w:val="0"/>
              <w:marBottom w:val="0"/>
              <w:divBdr>
                <w:top w:val="none" w:sz="0" w:space="0" w:color="auto"/>
                <w:left w:val="none" w:sz="0" w:space="0" w:color="auto"/>
                <w:bottom w:val="none" w:sz="0" w:space="0" w:color="auto"/>
                <w:right w:val="none" w:sz="0" w:space="0" w:color="auto"/>
              </w:divBdr>
            </w:div>
          </w:divsChild>
        </w:div>
        <w:div w:id="1305545724">
          <w:marLeft w:val="0"/>
          <w:marRight w:val="0"/>
          <w:marTop w:val="0"/>
          <w:marBottom w:val="0"/>
          <w:divBdr>
            <w:top w:val="none" w:sz="0" w:space="0" w:color="auto"/>
            <w:left w:val="none" w:sz="0" w:space="0" w:color="auto"/>
            <w:bottom w:val="none" w:sz="0" w:space="0" w:color="auto"/>
            <w:right w:val="none" w:sz="0" w:space="0" w:color="auto"/>
          </w:divBdr>
        </w:div>
      </w:divsChild>
    </w:div>
    <w:div w:id="1453937689">
      <w:bodyDiv w:val="1"/>
      <w:marLeft w:val="0"/>
      <w:marRight w:val="0"/>
      <w:marTop w:val="0"/>
      <w:marBottom w:val="0"/>
      <w:divBdr>
        <w:top w:val="none" w:sz="0" w:space="0" w:color="auto"/>
        <w:left w:val="none" w:sz="0" w:space="0" w:color="auto"/>
        <w:bottom w:val="none" w:sz="0" w:space="0" w:color="auto"/>
        <w:right w:val="none" w:sz="0" w:space="0" w:color="auto"/>
      </w:divBdr>
      <w:divsChild>
        <w:div w:id="75635047">
          <w:marLeft w:val="0"/>
          <w:marRight w:val="0"/>
          <w:marTop w:val="0"/>
          <w:marBottom w:val="0"/>
          <w:divBdr>
            <w:top w:val="none" w:sz="0" w:space="0" w:color="auto"/>
            <w:left w:val="none" w:sz="0" w:space="0" w:color="auto"/>
            <w:bottom w:val="none" w:sz="0" w:space="0" w:color="auto"/>
            <w:right w:val="none" w:sz="0" w:space="0" w:color="auto"/>
          </w:divBdr>
          <w:divsChild>
            <w:div w:id="309987796">
              <w:marLeft w:val="0"/>
              <w:marRight w:val="0"/>
              <w:marTop w:val="0"/>
              <w:marBottom w:val="0"/>
              <w:divBdr>
                <w:top w:val="none" w:sz="0" w:space="0" w:color="auto"/>
                <w:left w:val="none" w:sz="0" w:space="0" w:color="auto"/>
                <w:bottom w:val="none" w:sz="0" w:space="0" w:color="auto"/>
                <w:right w:val="none" w:sz="0" w:space="0" w:color="auto"/>
              </w:divBdr>
            </w:div>
            <w:div w:id="99877361">
              <w:marLeft w:val="0"/>
              <w:marRight w:val="0"/>
              <w:marTop w:val="0"/>
              <w:marBottom w:val="0"/>
              <w:divBdr>
                <w:top w:val="none" w:sz="0" w:space="0" w:color="auto"/>
                <w:left w:val="none" w:sz="0" w:space="0" w:color="auto"/>
                <w:bottom w:val="none" w:sz="0" w:space="0" w:color="auto"/>
                <w:right w:val="none" w:sz="0" w:space="0" w:color="auto"/>
              </w:divBdr>
            </w:div>
          </w:divsChild>
        </w:div>
        <w:div w:id="53624924">
          <w:marLeft w:val="0"/>
          <w:marRight w:val="0"/>
          <w:marTop w:val="0"/>
          <w:marBottom w:val="0"/>
          <w:divBdr>
            <w:top w:val="none" w:sz="0" w:space="0" w:color="auto"/>
            <w:left w:val="none" w:sz="0" w:space="0" w:color="auto"/>
            <w:bottom w:val="none" w:sz="0" w:space="0" w:color="auto"/>
            <w:right w:val="none" w:sz="0" w:space="0" w:color="auto"/>
          </w:divBdr>
        </w:div>
        <w:div w:id="1749961717">
          <w:marLeft w:val="0"/>
          <w:marRight w:val="0"/>
          <w:marTop w:val="0"/>
          <w:marBottom w:val="0"/>
          <w:divBdr>
            <w:top w:val="none" w:sz="0" w:space="0" w:color="auto"/>
            <w:left w:val="none" w:sz="0" w:space="0" w:color="auto"/>
            <w:bottom w:val="none" w:sz="0" w:space="0" w:color="auto"/>
            <w:right w:val="none" w:sz="0" w:space="0" w:color="auto"/>
          </w:divBdr>
          <w:divsChild>
            <w:div w:id="632053581">
              <w:marLeft w:val="0"/>
              <w:marRight w:val="0"/>
              <w:marTop w:val="0"/>
              <w:marBottom w:val="0"/>
              <w:divBdr>
                <w:top w:val="none" w:sz="0" w:space="0" w:color="auto"/>
                <w:left w:val="none" w:sz="0" w:space="0" w:color="auto"/>
                <w:bottom w:val="none" w:sz="0" w:space="0" w:color="auto"/>
                <w:right w:val="none" w:sz="0" w:space="0" w:color="auto"/>
              </w:divBdr>
            </w:div>
            <w:div w:id="629749553">
              <w:marLeft w:val="0"/>
              <w:marRight w:val="0"/>
              <w:marTop w:val="0"/>
              <w:marBottom w:val="0"/>
              <w:divBdr>
                <w:top w:val="none" w:sz="0" w:space="0" w:color="auto"/>
                <w:left w:val="none" w:sz="0" w:space="0" w:color="auto"/>
                <w:bottom w:val="none" w:sz="0" w:space="0" w:color="auto"/>
                <w:right w:val="none" w:sz="0" w:space="0" w:color="auto"/>
              </w:divBdr>
            </w:div>
          </w:divsChild>
        </w:div>
        <w:div w:id="1884517060">
          <w:marLeft w:val="0"/>
          <w:marRight w:val="0"/>
          <w:marTop w:val="0"/>
          <w:marBottom w:val="0"/>
          <w:divBdr>
            <w:top w:val="none" w:sz="0" w:space="0" w:color="auto"/>
            <w:left w:val="none" w:sz="0" w:space="0" w:color="auto"/>
            <w:bottom w:val="none" w:sz="0" w:space="0" w:color="auto"/>
            <w:right w:val="none" w:sz="0" w:space="0" w:color="auto"/>
          </w:divBdr>
          <w:divsChild>
            <w:div w:id="354353307">
              <w:marLeft w:val="0"/>
              <w:marRight w:val="0"/>
              <w:marTop w:val="0"/>
              <w:marBottom w:val="0"/>
              <w:divBdr>
                <w:top w:val="none" w:sz="0" w:space="0" w:color="auto"/>
                <w:left w:val="none" w:sz="0" w:space="0" w:color="auto"/>
                <w:bottom w:val="none" w:sz="0" w:space="0" w:color="auto"/>
                <w:right w:val="none" w:sz="0" w:space="0" w:color="auto"/>
              </w:divBdr>
            </w:div>
            <w:div w:id="993722804">
              <w:marLeft w:val="0"/>
              <w:marRight w:val="0"/>
              <w:marTop w:val="0"/>
              <w:marBottom w:val="0"/>
              <w:divBdr>
                <w:top w:val="none" w:sz="0" w:space="0" w:color="auto"/>
                <w:left w:val="none" w:sz="0" w:space="0" w:color="auto"/>
                <w:bottom w:val="none" w:sz="0" w:space="0" w:color="auto"/>
                <w:right w:val="none" w:sz="0" w:space="0" w:color="auto"/>
              </w:divBdr>
            </w:div>
          </w:divsChild>
        </w:div>
        <w:div w:id="1336496600">
          <w:marLeft w:val="0"/>
          <w:marRight w:val="0"/>
          <w:marTop w:val="0"/>
          <w:marBottom w:val="0"/>
          <w:divBdr>
            <w:top w:val="none" w:sz="0" w:space="0" w:color="auto"/>
            <w:left w:val="none" w:sz="0" w:space="0" w:color="auto"/>
            <w:bottom w:val="none" w:sz="0" w:space="0" w:color="auto"/>
            <w:right w:val="none" w:sz="0" w:space="0" w:color="auto"/>
          </w:divBdr>
          <w:divsChild>
            <w:div w:id="1680499101">
              <w:marLeft w:val="0"/>
              <w:marRight w:val="0"/>
              <w:marTop w:val="0"/>
              <w:marBottom w:val="0"/>
              <w:divBdr>
                <w:top w:val="none" w:sz="0" w:space="0" w:color="auto"/>
                <w:left w:val="none" w:sz="0" w:space="0" w:color="auto"/>
                <w:bottom w:val="none" w:sz="0" w:space="0" w:color="auto"/>
                <w:right w:val="none" w:sz="0" w:space="0" w:color="auto"/>
              </w:divBdr>
            </w:div>
            <w:div w:id="1622690378">
              <w:marLeft w:val="0"/>
              <w:marRight w:val="0"/>
              <w:marTop w:val="0"/>
              <w:marBottom w:val="0"/>
              <w:divBdr>
                <w:top w:val="none" w:sz="0" w:space="0" w:color="auto"/>
                <w:left w:val="none" w:sz="0" w:space="0" w:color="auto"/>
                <w:bottom w:val="none" w:sz="0" w:space="0" w:color="auto"/>
                <w:right w:val="none" w:sz="0" w:space="0" w:color="auto"/>
              </w:divBdr>
            </w:div>
            <w:div w:id="369573561">
              <w:marLeft w:val="0"/>
              <w:marRight w:val="0"/>
              <w:marTop w:val="0"/>
              <w:marBottom w:val="0"/>
              <w:divBdr>
                <w:top w:val="none" w:sz="0" w:space="0" w:color="auto"/>
                <w:left w:val="none" w:sz="0" w:space="0" w:color="auto"/>
                <w:bottom w:val="none" w:sz="0" w:space="0" w:color="auto"/>
                <w:right w:val="none" w:sz="0" w:space="0" w:color="auto"/>
              </w:divBdr>
            </w:div>
          </w:divsChild>
        </w:div>
        <w:div w:id="1839421771">
          <w:marLeft w:val="0"/>
          <w:marRight w:val="0"/>
          <w:marTop w:val="0"/>
          <w:marBottom w:val="0"/>
          <w:divBdr>
            <w:top w:val="none" w:sz="0" w:space="0" w:color="auto"/>
            <w:left w:val="none" w:sz="0" w:space="0" w:color="auto"/>
            <w:bottom w:val="none" w:sz="0" w:space="0" w:color="auto"/>
            <w:right w:val="none" w:sz="0" w:space="0" w:color="auto"/>
          </w:divBdr>
        </w:div>
        <w:div w:id="1663848616">
          <w:marLeft w:val="0"/>
          <w:marRight w:val="0"/>
          <w:marTop w:val="0"/>
          <w:marBottom w:val="0"/>
          <w:divBdr>
            <w:top w:val="none" w:sz="0" w:space="0" w:color="auto"/>
            <w:left w:val="none" w:sz="0" w:space="0" w:color="auto"/>
            <w:bottom w:val="none" w:sz="0" w:space="0" w:color="auto"/>
            <w:right w:val="none" w:sz="0" w:space="0" w:color="auto"/>
          </w:divBdr>
          <w:divsChild>
            <w:div w:id="890968614">
              <w:marLeft w:val="0"/>
              <w:marRight w:val="0"/>
              <w:marTop w:val="0"/>
              <w:marBottom w:val="0"/>
              <w:divBdr>
                <w:top w:val="none" w:sz="0" w:space="0" w:color="auto"/>
                <w:left w:val="none" w:sz="0" w:space="0" w:color="auto"/>
                <w:bottom w:val="none" w:sz="0" w:space="0" w:color="auto"/>
                <w:right w:val="none" w:sz="0" w:space="0" w:color="auto"/>
              </w:divBdr>
            </w:div>
            <w:div w:id="787895389">
              <w:marLeft w:val="0"/>
              <w:marRight w:val="0"/>
              <w:marTop w:val="0"/>
              <w:marBottom w:val="0"/>
              <w:divBdr>
                <w:top w:val="none" w:sz="0" w:space="0" w:color="auto"/>
                <w:left w:val="none" w:sz="0" w:space="0" w:color="auto"/>
                <w:bottom w:val="none" w:sz="0" w:space="0" w:color="auto"/>
                <w:right w:val="none" w:sz="0" w:space="0" w:color="auto"/>
              </w:divBdr>
            </w:div>
            <w:div w:id="397289179">
              <w:marLeft w:val="0"/>
              <w:marRight w:val="0"/>
              <w:marTop w:val="0"/>
              <w:marBottom w:val="0"/>
              <w:divBdr>
                <w:top w:val="none" w:sz="0" w:space="0" w:color="auto"/>
                <w:left w:val="none" w:sz="0" w:space="0" w:color="auto"/>
                <w:bottom w:val="none" w:sz="0" w:space="0" w:color="auto"/>
                <w:right w:val="none" w:sz="0" w:space="0" w:color="auto"/>
              </w:divBdr>
            </w:div>
            <w:div w:id="743914756">
              <w:marLeft w:val="0"/>
              <w:marRight w:val="0"/>
              <w:marTop w:val="0"/>
              <w:marBottom w:val="0"/>
              <w:divBdr>
                <w:top w:val="none" w:sz="0" w:space="0" w:color="auto"/>
                <w:left w:val="none" w:sz="0" w:space="0" w:color="auto"/>
                <w:bottom w:val="none" w:sz="0" w:space="0" w:color="auto"/>
                <w:right w:val="none" w:sz="0" w:space="0" w:color="auto"/>
              </w:divBdr>
            </w:div>
          </w:divsChild>
        </w:div>
        <w:div w:id="1449467441">
          <w:marLeft w:val="0"/>
          <w:marRight w:val="0"/>
          <w:marTop w:val="0"/>
          <w:marBottom w:val="0"/>
          <w:divBdr>
            <w:top w:val="none" w:sz="0" w:space="0" w:color="auto"/>
            <w:left w:val="none" w:sz="0" w:space="0" w:color="auto"/>
            <w:bottom w:val="none" w:sz="0" w:space="0" w:color="auto"/>
            <w:right w:val="none" w:sz="0" w:space="0" w:color="auto"/>
          </w:divBdr>
        </w:div>
      </w:divsChild>
    </w:div>
    <w:div w:id="158499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eyLordJustice\AppData\Roaming\JudgmentTemplate\ca_judg2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8D71330B0C2549B31E9CAA61AC1BC3" ma:contentTypeVersion="14" ma:contentTypeDescription="Create a new document." ma:contentTypeScope="" ma:versionID="5abad6cfbd559da2a5b11ddf71e5196e">
  <xsd:schema xmlns:xsd="http://www.w3.org/2001/XMLSchema" xmlns:xs="http://www.w3.org/2001/XMLSchema" xmlns:p="http://schemas.microsoft.com/office/2006/metadata/properties" xmlns:ns3="a43c54ca-90c5-4eb2-9b56-d69f0a03b442" xmlns:ns4="36d64681-489a-459f-a53c-1f862f465b6d" targetNamespace="http://schemas.microsoft.com/office/2006/metadata/properties" ma:root="true" ma:fieldsID="5593f50ac585be1d329da433bc69e62f" ns3:_="" ns4:_="">
    <xsd:import namespace="a43c54ca-90c5-4eb2-9b56-d69f0a03b442"/>
    <xsd:import namespace="36d64681-489a-459f-a53c-1f862f465b6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3c54ca-90c5-4eb2-9b56-d69f0a03b4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d64681-489a-459f-a53c-1f862f465b6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CC651-099A-49C8-BFAC-76257DE516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3c54ca-90c5-4eb2-9b56-d69f0a03b442"/>
    <ds:schemaRef ds:uri="36d64681-489a-459f-a53c-1f862f465b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9DF970-722D-4012-B9E7-C54C4BC1CC74}">
  <ds:schemaRefs>
    <ds:schemaRef ds:uri="http://schemas.microsoft.com/sharepoint/v3/contenttype/forms"/>
  </ds:schemaRefs>
</ds:datastoreItem>
</file>

<file path=customXml/itemProps3.xml><?xml version="1.0" encoding="utf-8"?>
<ds:datastoreItem xmlns:ds="http://schemas.openxmlformats.org/officeDocument/2006/customXml" ds:itemID="{20C853CB-5E04-4F61-B70E-F443AFEAD2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DDEEE8-F75A-4259-A11A-D755E981E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ca_judg2k.dot</Template>
  <TotalTime>5</TotalTime>
  <Pages>12</Pages>
  <Words>4357</Words>
  <Characters>24840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Court of Appeal Judgment Template</vt:lpstr>
    </vt:vector>
  </TitlesOfParts>
  <Company>RCJ - In House Applications</Company>
  <LinksUpToDate>false</LinksUpToDate>
  <CharactersWithSpaces>29139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Court of Appeal Judgment Template</dc:title>
  <dc:subject/>
  <dc:creator>Newey, Lord Justice</dc:creator>
  <cp:keywords/>
  <dc:description/>
  <cp:lastModifiedBy>Johnson, Cathy</cp:lastModifiedBy>
  <cp:revision>7</cp:revision>
  <cp:lastPrinted>2021-12-02T17:22:00Z</cp:lastPrinted>
  <dcterms:created xsi:type="dcterms:W3CDTF">2021-12-09T16:23:00Z</dcterms:created>
  <dcterms:modified xsi:type="dcterms:W3CDTF">2021-12-09T16:27:00Z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CA</vt:lpwstr>
  </property>
  <property fmtid="{D5CDD505-2E9C-101B-9397-08002B2CF9AE}" pid="4" name="Division">
    <vt:lpwstr>CIVIL</vt:lpwstr>
  </property>
  <property fmtid="{D5CDD505-2E9C-101B-9397-08002B2CF9AE}" pid="5" name="SubDivision">
    <vt:lpwstr/>
  </property>
  <property fmtid="{D5CDD505-2E9C-101B-9397-08002B2CF9AE}" pid="6" name="ApprovedStage">
    <vt:lpwstr>Approved</vt:lpwstr>
  </property>
  <property fmtid="{D5CDD505-2E9C-101B-9397-08002B2CF9AE}" pid="7" name="NCDiv">
    <vt:lpwstr>Civ</vt:lpwstr>
  </property>
  <property fmtid="{D5CDD505-2E9C-101B-9397-08002B2CF9AE}" pid="8" name="NCCaseNum">
    <vt:lpwstr>B2/2021/0515</vt:lpwstr>
  </property>
  <property fmtid="{D5CDD505-2E9C-101B-9397-08002B2CF9AE}" pid="9" name="NCCaseTitle">
    <vt:lpwstr>Termhouse (Clarendon Court) Management Ltd v Al-Bahaa</vt:lpwstr>
  </property>
  <property fmtid="{D5CDD505-2E9C-101B-9397-08002B2CF9AE}" pid="10" name="ContentTypeId">
    <vt:lpwstr>0x010100838D71330B0C2549B31E9CAA61AC1BC3</vt:lpwstr>
  </property>
  <property fmtid="{D5CDD505-2E9C-101B-9397-08002B2CF9AE}" pid="11" name="NCJudgeDate">
    <vt:lpwstr>10/12/2021</vt:lpwstr>
  </property>
  <property fmtid="{D5CDD505-2E9C-101B-9397-08002B2CF9AE}" pid="12" name="NCNumber">
    <vt:lpwstr>[2021] EWCA Civ 1881</vt:lpwstr>
  </property>
</Properties>
</file>