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Times New Roman" w:hAnsi="Times New Roman" w:cs="Times New Roman"/>
          <w:b/>
          <w:szCs w:val="24"/>
          <w:lang w:eastAsia="en-US"/>
        </w:rPr>
      </w:pPr>
      <w:r>
        <w:rPr>
          <w:rFonts w:cs="Times New Roman" w:ascii="Times New Roman" w:hAnsi="Times New Roman"/>
          <w:b/>
          <w:szCs w:val="24"/>
          <w:lang w:eastAsia="en-US"/>
        </w:rPr>
        <w:t>EXPLANATORY MEMORANDUM TO</w:t>
      </w:r>
    </w:p>
    <w:p>
      <w:pPr>
        <w:pStyle w:val="Normal"/>
        <w:rPr>
          <w:rFonts w:ascii="Times New Roman" w:hAnsi="Times New Roman" w:cs="Times New Roman"/>
          <w:b/>
          <w:sz w:val="24"/>
          <w:szCs w:val="24"/>
          <w:lang w:eastAsia="en-US"/>
        </w:rPr>
      </w:pPr>
      <w:r>
        <w:rPr>
          <w:rFonts w:cs="Times New Roman" w:ascii="Times New Roman" w:hAnsi="Times New Roman"/>
          <w:b/>
          <w:sz w:val="24"/>
          <w:szCs w:val="24"/>
          <w:lang w:eastAsia="en-US"/>
        </w:rPr>
      </w:r>
    </w:p>
    <w:p>
      <w:pPr>
        <w:pStyle w:val="Normal"/>
        <w:jc w:val="center"/>
        <w:rPr>
          <w:rFonts w:ascii="Times New Roman" w:hAnsi="Times New Roman" w:cs="Times New Roman"/>
          <w:b/>
          <w:sz w:val="24"/>
          <w:szCs w:val="24"/>
          <w:lang w:eastAsia="en-US"/>
        </w:rPr>
      </w:pPr>
      <w:r>
        <w:rPr>
          <w:rFonts w:cs="Times New Roman" w:ascii="Times New Roman" w:hAnsi="Times New Roman"/>
          <w:b/>
          <w:sz w:val="24"/>
          <w:szCs w:val="24"/>
          <w:lang w:eastAsia="en-US"/>
        </w:rPr>
        <w:t>THE LOCAL GOVERNMENT FINANCE ACT 1988 (NON-DOMESTIC RATING MULTIPLIERS) (ENGLAND) ORDER 2015</w:t>
      </w:r>
    </w:p>
    <w:p>
      <w:pPr>
        <w:pStyle w:val="Normal"/>
        <w:jc w:val="center"/>
        <w:rPr>
          <w:rFonts w:ascii="Times New Roman" w:hAnsi="Times New Roman" w:cs="Times New Roman"/>
          <w:b/>
          <w:sz w:val="24"/>
          <w:szCs w:val="24"/>
          <w:lang w:eastAsia="en-US"/>
        </w:rPr>
      </w:pPr>
      <w:r>
        <w:rPr>
          <w:rFonts w:cs="Times New Roman" w:ascii="Times New Roman" w:hAnsi="Times New Roman"/>
          <w:b/>
          <w:sz w:val="24"/>
          <w:szCs w:val="24"/>
          <w:lang w:eastAsia="en-US"/>
        </w:rPr>
        <w:t>2015 No. 135</w:t>
      </w:r>
    </w:p>
    <w:p>
      <w:pPr>
        <w:pStyle w:val="Normal"/>
        <w:ind w:hanging="720" w:left="720" w:right="0"/>
        <w:rPr/>
      </w:pPr>
      <w:r>
        <w:rPr>
          <w:rFonts w:cs="Times New Roman" w:ascii="Times New Roman" w:hAnsi="Times New Roman"/>
          <w:b/>
          <w:sz w:val="24"/>
          <w:szCs w:val="24"/>
          <w:lang w:eastAsia="en-US"/>
        </w:rPr>
        <w:t>1</w:t>
      </w:r>
      <w:r>
        <w:rPr>
          <w:rFonts w:cs="Times New Roman" w:ascii="Times New Roman" w:hAnsi="Times New Roman"/>
          <w:sz w:val="24"/>
          <w:szCs w:val="24"/>
          <w:lang w:eastAsia="en-US"/>
        </w:rPr>
        <w:t>.</w:t>
        <w:tab/>
        <w:t>This explanatory memorandum has been prepared by HM Treasury and is laid the House of Commons by Command of Her Majesty.</w:t>
      </w:r>
    </w:p>
    <w:p>
      <w:pPr>
        <w:pStyle w:val="Normal"/>
        <w:rPr>
          <w:rFonts w:ascii="Times New Roman" w:hAnsi="Times New Roman" w:cs="Times New Roman"/>
          <w:sz w:val="24"/>
          <w:szCs w:val="24"/>
          <w:lang w:eastAsia="en-US"/>
        </w:rPr>
      </w:pPr>
      <w:r>
        <w:rPr>
          <w:rFonts w:cs="Times New Roman" w:ascii="Times New Roman" w:hAnsi="Times New Roman"/>
          <w:b/>
          <w:sz w:val="24"/>
          <w:szCs w:val="24"/>
          <w:lang w:eastAsia="en-US"/>
        </w:rPr>
        <w:t>2.</w:t>
      </w:r>
      <w:r>
        <w:rPr>
          <w:rFonts w:cs="Times New Roman" w:ascii="Times New Roman" w:hAnsi="Times New Roman"/>
          <w:sz w:val="24"/>
          <w:szCs w:val="24"/>
          <w:lang w:eastAsia="en-US"/>
        </w:rPr>
        <w:t xml:space="preserve"> </w:t>
        <w:tab/>
      </w:r>
      <w:r>
        <w:rPr>
          <w:rFonts w:cs="Times New Roman" w:ascii="Times New Roman" w:hAnsi="Times New Roman"/>
          <w:b/>
          <w:sz w:val="24"/>
          <w:szCs w:val="24"/>
          <w:lang w:eastAsia="en-US"/>
        </w:rPr>
        <w:t>Purpose of the instrument</w:t>
      </w:r>
    </w:p>
    <w:p>
      <w:pPr>
        <w:pStyle w:val="Normal"/>
        <w:ind w:hanging="720" w:left="1440" w:right="0"/>
        <w:rPr>
          <w:rFonts w:ascii="Times New Roman" w:hAnsi="Times New Roman" w:cs="Times New Roman"/>
          <w:b/>
          <w:sz w:val="24"/>
          <w:szCs w:val="24"/>
          <w:lang w:eastAsia="en-US"/>
        </w:rPr>
      </w:pPr>
      <w:r>
        <w:rPr>
          <w:rFonts w:cs="Times New Roman" w:ascii="Times New Roman" w:hAnsi="Times New Roman"/>
          <w:sz w:val="24"/>
          <w:szCs w:val="24"/>
          <w:lang w:eastAsia="en-US"/>
        </w:rPr>
        <w:t>2.1</w:t>
        <w:tab/>
        <w:t>These Regulations make an order in exercise of the powers conferred by paragraph 5(3) of Schedule 7 to the Local Government Finance Act 1988(</w:t>
      </w:r>
      <w:r>
        <w:rPr>
          <w:rStyle w:val="FootnoteReference"/>
          <w:rFonts w:cs="Times New Roman" w:ascii="Times New Roman" w:hAnsi="Times New Roman"/>
          <w:sz w:val="24"/>
          <w:szCs w:val="24"/>
          <w:lang w:eastAsia="en-US"/>
        </w:rPr>
        <w:footnoteReference w:id="2"/>
      </w:r>
      <w:r>
        <w:rPr>
          <w:rFonts w:cs="Times New Roman" w:ascii="Times New Roman" w:hAnsi="Times New Roman"/>
          <w:sz w:val="24"/>
          <w:szCs w:val="24"/>
          <w:lang w:eastAsia="en-US"/>
        </w:rPr>
        <w:t>).</w:t>
      </w:r>
    </w:p>
    <w:p>
      <w:pPr>
        <w:pStyle w:val="Normal"/>
        <w:ind w:hanging="720" w:left="720" w:right="0"/>
        <w:rPr>
          <w:rFonts w:ascii="Times New Roman" w:hAnsi="Times New Roman" w:cs="Times New Roman"/>
          <w:b/>
          <w:sz w:val="24"/>
          <w:szCs w:val="24"/>
          <w:lang w:eastAsia="en-US"/>
        </w:rPr>
      </w:pPr>
      <w:r>
        <w:rPr>
          <w:rFonts w:cs="Times New Roman" w:ascii="Times New Roman" w:hAnsi="Times New Roman"/>
          <w:b/>
          <w:sz w:val="24"/>
          <w:szCs w:val="24"/>
          <w:lang w:eastAsia="en-US"/>
        </w:rPr>
        <w:t>3.</w:t>
        <w:tab/>
        <w:t>Matters of special interest to the Select Committee on Statutory Instruments</w:t>
      </w:r>
    </w:p>
    <w:p>
      <w:pPr>
        <w:pStyle w:val="Normal"/>
        <w:ind w:hanging="720" w:left="720" w:right="0"/>
        <w:rPr>
          <w:rFonts w:ascii="Times New Roman" w:hAnsi="Times New Roman" w:cs="Times New Roman"/>
          <w:sz w:val="24"/>
          <w:szCs w:val="24"/>
          <w:lang w:eastAsia="en-US"/>
        </w:rPr>
      </w:pPr>
      <w:r>
        <w:rPr>
          <w:rFonts w:cs="Times New Roman" w:ascii="Times New Roman" w:hAnsi="Times New Roman"/>
          <w:sz w:val="24"/>
          <w:szCs w:val="24"/>
          <w:lang w:eastAsia="en-US"/>
        </w:rPr>
        <w:tab/>
        <w:t xml:space="preserve">3.1 </w:t>
        <w:tab/>
        <w:t>None</w:t>
      </w:r>
    </w:p>
    <w:p>
      <w:pPr>
        <w:pStyle w:val="Normal"/>
        <w:ind w:hanging="720" w:left="720" w:right="0"/>
        <w:rPr>
          <w:rFonts w:ascii="Times New Roman" w:hAnsi="Times New Roman" w:cs="Times New Roman"/>
          <w:sz w:val="24"/>
          <w:szCs w:val="24"/>
          <w:lang w:eastAsia="en-US"/>
        </w:rPr>
      </w:pPr>
      <w:r>
        <w:rPr>
          <w:rFonts w:cs="Times New Roman" w:ascii="Times New Roman" w:hAnsi="Times New Roman"/>
          <w:b/>
          <w:sz w:val="24"/>
          <w:szCs w:val="24"/>
          <w:lang w:eastAsia="en-US"/>
        </w:rPr>
        <w:t>4</w:t>
      </w:r>
      <w:r>
        <w:rPr>
          <w:rFonts w:cs="Times New Roman" w:ascii="Times New Roman" w:hAnsi="Times New Roman"/>
          <w:sz w:val="24"/>
          <w:szCs w:val="24"/>
          <w:lang w:eastAsia="en-US"/>
        </w:rPr>
        <w:t>.</w:t>
        <w:tab/>
      </w:r>
      <w:r>
        <w:rPr>
          <w:rFonts w:cs="Times New Roman" w:ascii="Times New Roman" w:hAnsi="Times New Roman"/>
          <w:b/>
          <w:sz w:val="24"/>
          <w:szCs w:val="24"/>
          <w:lang w:eastAsia="en-US"/>
        </w:rPr>
        <w:t>Legislative Context</w:t>
      </w:r>
    </w:p>
    <w:p>
      <w:pPr>
        <w:pStyle w:val="Normal"/>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4.1</w:t>
        <w:tab/>
        <w:t>Schedule 7 to the Local Government Finance Act 1988 establishes a procedure to determine the non-domestic rating multiplier for each chargeable financial year. This procedure includes a calculation, set out in paragraph 3, with a variable referred to as “B”. Unless a Treasury order is issued that says otherwise, B is the retail prices index for September of the financial year preceding the year concerned. For the financial year beginning on 1st April 2015 B would be the retail prices index for September 2014, which is 257.6</w:t>
      </w:r>
    </w:p>
    <w:p>
      <w:pPr>
        <w:pStyle w:val="Normal"/>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 xml:space="preserve">4.2 </w:t>
        <w:tab/>
        <w:t>Paragraph 5(3) of Schedule 7 to the Local Government Finance Act 1988 establishes that if the Treasury so provide by order in relation to the year concerned, then B shall equal a figure which is less than that index and which is specified in the order, in place of that index.</w:t>
      </w:r>
    </w:p>
    <w:p>
      <w:pPr>
        <w:pStyle w:val="Normal"/>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 xml:space="preserve">4.3 </w:t>
        <w:tab/>
        <w:t>The Local Government Finance Act 1988 (Non-Domestic Rating Multipliers) (England) Order sets out that for the purposes of paragraph 3 of Schedule 7 to the Local Government Finance Act 1988, in the financial year beginning on 1st April 2015, B is specified as 256.9.</w:t>
      </w:r>
    </w:p>
    <w:p>
      <w:pPr>
        <w:pStyle w:val="Normal"/>
        <w:ind w:hanging="720" w:left="720" w:right="0"/>
        <w:rPr>
          <w:rFonts w:ascii="Times New Roman" w:hAnsi="Times New Roman" w:cs="Times New Roman"/>
          <w:sz w:val="24"/>
          <w:szCs w:val="24"/>
          <w:lang w:eastAsia="en-US"/>
        </w:rPr>
      </w:pPr>
      <w:r>
        <w:rPr>
          <w:rFonts w:cs="Times New Roman" w:ascii="Times New Roman" w:hAnsi="Times New Roman"/>
          <w:b/>
          <w:sz w:val="24"/>
          <w:szCs w:val="24"/>
          <w:lang w:eastAsia="en-US"/>
        </w:rPr>
        <w:t>5.</w:t>
      </w:r>
      <w:r>
        <w:rPr>
          <w:rFonts w:cs="Times New Roman" w:ascii="Times New Roman" w:hAnsi="Times New Roman"/>
          <w:sz w:val="24"/>
          <w:szCs w:val="24"/>
          <w:lang w:eastAsia="en-US"/>
        </w:rPr>
        <w:tab/>
      </w:r>
      <w:r>
        <w:rPr>
          <w:rFonts w:cs="Times New Roman" w:ascii="Times New Roman" w:hAnsi="Times New Roman"/>
          <w:b/>
          <w:sz w:val="24"/>
          <w:szCs w:val="24"/>
          <w:lang w:eastAsia="en-US"/>
        </w:rPr>
        <w:t>Territorial Extent and Application</w:t>
      </w:r>
    </w:p>
    <w:p>
      <w:pPr>
        <w:pStyle w:val="Normal"/>
        <w:ind w:hanging="720" w:left="720" w:right="0"/>
        <w:rPr>
          <w:rFonts w:ascii="Times New Roman" w:hAnsi="Times New Roman" w:cs="Times New Roman"/>
          <w:sz w:val="24"/>
          <w:szCs w:val="24"/>
          <w:lang w:eastAsia="en-US"/>
        </w:rPr>
      </w:pPr>
      <w:r>
        <w:rPr>
          <w:rFonts w:cs="Times New Roman" w:ascii="Times New Roman" w:hAnsi="Times New Roman"/>
          <w:sz w:val="24"/>
          <w:szCs w:val="24"/>
          <w:lang w:eastAsia="en-US"/>
        </w:rPr>
        <w:tab/>
        <w:t>5.1</w:t>
        <w:tab/>
        <w:t xml:space="preserve">This instrument applies to England.  </w:t>
      </w:r>
    </w:p>
    <w:p>
      <w:pPr>
        <w:pStyle w:val="Normal"/>
        <w:ind w:hanging="720" w:left="720" w:right="0"/>
        <w:rPr>
          <w:rFonts w:ascii="Times New Roman" w:hAnsi="Times New Roman" w:cs="Times New Roman"/>
          <w:sz w:val="24"/>
          <w:szCs w:val="24"/>
          <w:lang w:eastAsia="en-US"/>
        </w:rPr>
      </w:pPr>
      <w:r>
        <w:rPr>
          <w:rFonts w:cs="Times New Roman" w:ascii="Times New Roman" w:hAnsi="Times New Roman"/>
          <w:b/>
          <w:sz w:val="24"/>
          <w:szCs w:val="24"/>
          <w:lang w:eastAsia="en-US"/>
        </w:rPr>
        <w:t>6</w:t>
      </w:r>
      <w:r>
        <w:rPr>
          <w:rFonts w:cs="Times New Roman" w:ascii="Times New Roman" w:hAnsi="Times New Roman"/>
          <w:sz w:val="24"/>
          <w:szCs w:val="24"/>
          <w:lang w:eastAsia="en-US"/>
        </w:rPr>
        <w:t>.</w:t>
        <w:tab/>
      </w:r>
      <w:r>
        <w:rPr>
          <w:rFonts w:cs="Times New Roman" w:ascii="Times New Roman" w:hAnsi="Times New Roman"/>
          <w:b/>
          <w:sz w:val="24"/>
          <w:szCs w:val="24"/>
          <w:lang w:eastAsia="en-US"/>
        </w:rPr>
        <w:t>European Convention on Human Rights</w:t>
      </w:r>
    </w:p>
    <w:p>
      <w:pPr>
        <w:pStyle w:val="Normal"/>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 xml:space="preserve">6.1 </w:t>
        <w:tab/>
        <w:t>The Financial Secretary to the Treasury has made the following statement regarding Human Rights:</w:t>
      </w:r>
    </w:p>
    <w:p>
      <w:pPr>
        <w:pStyle w:val="Normal"/>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6.2</w:t>
        <w:tab/>
        <w:t xml:space="preserve">In my view the provisions of the Local Government Finance Act 1988 (Non-Domestic Rating Multipliers) (England) Order 2015 are compatible with the Convention rights. </w:t>
      </w:r>
    </w:p>
    <w:p>
      <w:pPr>
        <w:pStyle w:val="Normal"/>
        <w:ind w:hanging="720" w:left="720" w:right="0"/>
        <w:rPr>
          <w:rFonts w:ascii="Times New Roman" w:hAnsi="Times New Roman" w:cs="Times New Roman"/>
          <w:sz w:val="24"/>
          <w:szCs w:val="24"/>
          <w:lang w:eastAsia="en-US"/>
        </w:rPr>
      </w:pPr>
      <w:r>
        <w:rPr>
          <w:rFonts w:cs="Times New Roman" w:ascii="Times New Roman" w:hAnsi="Times New Roman"/>
          <w:b/>
          <w:sz w:val="24"/>
          <w:szCs w:val="24"/>
          <w:lang w:eastAsia="en-US"/>
        </w:rPr>
        <w:t>7.</w:t>
      </w:r>
      <w:r>
        <w:rPr>
          <w:rFonts w:cs="Times New Roman" w:ascii="Times New Roman" w:hAnsi="Times New Roman"/>
          <w:sz w:val="24"/>
          <w:szCs w:val="24"/>
          <w:lang w:eastAsia="en-US"/>
        </w:rPr>
        <w:tab/>
      </w:r>
      <w:r>
        <w:rPr>
          <w:rFonts w:cs="Times New Roman" w:ascii="Times New Roman" w:hAnsi="Times New Roman"/>
          <w:b/>
          <w:sz w:val="24"/>
          <w:szCs w:val="24"/>
          <w:lang w:eastAsia="en-US"/>
        </w:rPr>
        <w:t>Policy background</w:t>
      </w:r>
    </w:p>
    <w:p>
      <w:pPr>
        <w:pStyle w:val="Normal"/>
        <w:tabs>
          <w:tab w:val="clear" w:pos="720"/>
          <w:tab w:val="left" w:pos="0" w:leader="none"/>
        </w:tabs>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7.1</w:t>
        <w:tab/>
        <w:t>National non-domestic rates are calculated as the product of a hereditament’s rateable value, as determined by the independent Valuation Office Agency, and the non-domestic rating multiplier.</w:t>
      </w:r>
    </w:p>
    <w:p>
      <w:pPr>
        <w:pStyle w:val="Normal"/>
        <w:tabs>
          <w:tab w:val="clear" w:pos="720"/>
          <w:tab w:val="left" w:pos="0" w:leader="none"/>
        </w:tabs>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 xml:space="preserve">7.2. </w:t>
        <w:tab/>
        <w:t>Unless HM Treasury exercises its Order making power, the non-domestic multiplier will be adjusted each year by the 12 month percentage change in the retail prices index for the preceding September. For the financial year beginning on 1st April 2015 this figure would have been 2.3%.</w:t>
      </w:r>
    </w:p>
    <w:p>
      <w:pPr>
        <w:pStyle w:val="Normal"/>
        <w:tabs>
          <w:tab w:val="clear" w:pos="720"/>
          <w:tab w:val="left" w:pos="0" w:leader="none"/>
        </w:tabs>
        <w:ind w:hanging="720" w:left="1440" w:right="0"/>
        <w:rPr/>
      </w:pPr>
      <w:r>
        <w:rPr>
          <w:rFonts w:cs="Times New Roman" w:ascii="Times New Roman" w:hAnsi="Times New Roman"/>
          <w:sz w:val="24"/>
          <w:szCs w:val="24"/>
          <w:lang w:eastAsia="en-US"/>
        </w:rPr>
        <w:t>7.3</w:t>
        <w:tab/>
        <w:t xml:space="preserve">In order to reduce the burden of national non-domestic rates on all ratepayers the annual increase of the non-domestic rating multiplier will be capped at 2% for the financial year beginning on 1st April 2015. This was announced by the Chancellor of the Exchequer at Autumn Statement 2014. </w:t>
      </w:r>
    </w:p>
    <w:p>
      <w:pPr>
        <w:pStyle w:val="Normal"/>
        <w:tabs>
          <w:tab w:val="clear" w:pos="720"/>
          <w:tab w:val="left" w:pos="0" w:leader="none"/>
        </w:tabs>
        <w:ind w:hanging="709" w:left="1418" w:right="0"/>
        <w:rPr>
          <w:rFonts w:ascii="Times New Roman" w:hAnsi="Times New Roman" w:cs="Times New Roman"/>
          <w:sz w:val="24"/>
          <w:szCs w:val="24"/>
          <w:lang w:eastAsia="en-US"/>
        </w:rPr>
      </w:pPr>
      <w:r>
        <w:rPr>
          <w:rFonts w:cs="Times New Roman" w:ascii="Times New Roman" w:hAnsi="Times New Roman"/>
          <w:sz w:val="24"/>
          <w:szCs w:val="24"/>
          <w:lang w:eastAsia="en-US"/>
        </w:rPr>
        <w:t>7.4</w:t>
        <w:tab/>
        <w:t>These regulations set out the figures to be used to set the non-domestic rating multiplier for the financial year beginning on 1st April 2015 such that the non-domestic rating multiplier is increased by a percentage figure lower than 2% yet as close as possible to 2%.</w:t>
      </w:r>
    </w:p>
    <w:p>
      <w:pPr>
        <w:pStyle w:val="Normal"/>
        <w:tabs>
          <w:tab w:val="clear" w:pos="720"/>
          <w:tab w:val="left" w:pos="0" w:leader="none"/>
        </w:tabs>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7.5</w:t>
        <w:tab/>
        <w:t xml:space="preserve">The business rates non-domestic rating multiplier is the small business non-domestic multiplier plus an adjustment to fund the estimated cost of the small business rate relief scheme. The Secretary of State for Communities and Local Government has estimated that the supplement to fund small business rate relief should be 1.3p for 2015-16. </w:t>
      </w:r>
    </w:p>
    <w:p>
      <w:pPr>
        <w:pStyle w:val="Normal"/>
        <w:rPr>
          <w:rFonts w:ascii="Times New Roman" w:hAnsi="Times New Roman" w:cs="Times New Roman"/>
          <w:sz w:val="24"/>
          <w:szCs w:val="24"/>
          <w:lang w:eastAsia="en-US"/>
        </w:rPr>
      </w:pPr>
      <w:r>
        <w:rPr>
          <w:rFonts w:cs="Times New Roman" w:ascii="Times New Roman" w:hAnsi="Times New Roman"/>
          <w:b/>
          <w:sz w:val="24"/>
          <w:szCs w:val="24"/>
          <w:lang w:eastAsia="en-US"/>
        </w:rPr>
        <w:t>8.</w:t>
      </w:r>
      <w:r>
        <w:rPr>
          <w:rFonts w:cs="Times New Roman" w:ascii="Times New Roman" w:hAnsi="Times New Roman"/>
          <w:sz w:val="24"/>
          <w:szCs w:val="24"/>
          <w:lang w:eastAsia="en-US"/>
        </w:rPr>
        <w:t xml:space="preserve"> </w:t>
        <w:tab/>
      </w:r>
      <w:r>
        <w:rPr>
          <w:rFonts w:cs="Times New Roman" w:ascii="Times New Roman" w:hAnsi="Times New Roman"/>
          <w:b/>
          <w:sz w:val="24"/>
          <w:szCs w:val="24"/>
          <w:lang w:eastAsia="en-US"/>
        </w:rPr>
        <w:t>Consultation outcome</w:t>
      </w:r>
    </w:p>
    <w:p>
      <w:pPr>
        <w:pStyle w:val="Normal"/>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8.1</w:t>
        <w:tab/>
        <w:t>No consultation has been carried out prior to this Treasury Order being made.</w:t>
      </w:r>
    </w:p>
    <w:p>
      <w:pPr>
        <w:pStyle w:val="Normal"/>
        <w:ind w:hanging="720" w:left="720" w:right="0"/>
        <w:rPr>
          <w:rFonts w:ascii="Times New Roman" w:hAnsi="Times New Roman" w:cs="Times New Roman"/>
          <w:sz w:val="24"/>
          <w:szCs w:val="24"/>
          <w:lang w:eastAsia="en-US"/>
        </w:rPr>
      </w:pPr>
      <w:r>
        <w:rPr>
          <w:rFonts w:cs="Times New Roman" w:ascii="Times New Roman" w:hAnsi="Times New Roman"/>
          <w:b/>
          <w:sz w:val="24"/>
          <w:szCs w:val="24"/>
          <w:lang w:eastAsia="en-US"/>
        </w:rPr>
        <w:t>9</w:t>
      </w:r>
      <w:r>
        <w:rPr>
          <w:rFonts w:cs="Times New Roman" w:ascii="Times New Roman" w:hAnsi="Times New Roman"/>
          <w:sz w:val="24"/>
          <w:szCs w:val="24"/>
          <w:lang w:eastAsia="en-US"/>
        </w:rPr>
        <w:t>.</w:t>
        <w:tab/>
      </w:r>
      <w:r>
        <w:rPr>
          <w:rFonts w:cs="Times New Roman" w:ascii="Times New Roman" w:hAnsi="Times New Roman"/>
          <w:b/>
          <w:sz w:val="24"/>
          <w:szCs w:val="24"/>
          <w:lang w:eastAsia="en-US"/>
        </w:rPr>
        <w:t>Guidance</w:t>
      </w:r>
    </w:p>
    <w:p>
      <w:pPr>
        <w:pStyle w:val="Normal"/>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9.1</w:t>
        <w:tab/>
        <w:t>Guidance on business rates in general can be found on the Department for Communities and Local Government (DCLG) website.</w:t>
      </w:r>
    </w:p>
    <w:p>
      <w:pPr>
        <w:pStyle w:val="Normal"/>
        <w:ind w:hanging="720" w:left="720" w:right="0"/>
        <w:rPr>
          <w:rFonts w:ascii="Times New Roman" w:hAnsi="Times New Roman" w:cs="Times New Roman"/>
          <w:sz w:val="24"/>
          <w:szCs w:val="24"/>
          <w:lang w:eastAsia="en-US"/>
        </w:rPr>
      </w:pPr>
      <w:r>
        <w:rPr>
          <w:rFonts w:cs="Times New Roman" w:ascii="Times New Roman" w:hAnsi="Times New Roman"/>
          <w:b/>
          <w:sz w:val="24"/>
          <w:szCs w:val="24"/>
          <w:lang w:eastAsia="en-US"/>
        </w:rPr>
        <w:t>10.</w:t>
      </w:r>
      <w:r>
        <w:rPr>
          <w:rFonts w:cs="Times New Roman" w:ascii="Times New Roman" w:hAnsi="Times New Roman"/>
          <w:sz w:val="24"/>
          <w:szCs w:val="24"/>
          <w:lang w:eastAsia="en-US"/>
        </w:rPr>
        <w:tab/>
      </w:r>
      <w:r>
        <w:rPr>
          <w:rFonts w:cs="Times New Roman" w:ascii="Times New Roman" w:hAnsi="Times New Roman"/>
          <w:b/>
          <w:sz w:val="24"/>
          <w:szCs w:val="24"/>
          <w:lang w:eastAsia="en-US"/>
        </w:rPr>
        <w:t>Impact</w:t>
      </w:r>
    </w:p>
    <w:p>
      <w:pPr>
        <w:pStyle w:val="Normal"/>
        <w:ind w:hanging="720" w:left="1440" w:right="0"/>
        <w:rPr/>
      </w:pPr>
      <w:r>
        <w:rPr>
          <w:rFonts w:cs="Times New Roman" w:ascii="Times New Roman" w:hAnsi="Times New Roman"/>
          <w:sz w:val="24"/>
          <w:szCs w:val="24"/>
          <w:lang w:eastAsia="en-US"/>
        </w:rPr>
        <w:t>10.1</w:t>
        <w:tab/>
        <w:t>The Local Government Finance Act 1988 (Non-Domestic Rating Multipliers) (England) Order 2015 is covered by the full impact assessments produced by DCLG of the national non-domestic rating system.</w:t>
      </w:r>
    </w:p>
    <w:p>
      <w:pPr>
        <w:pStyle w:val="Normal"/>
        <w:numPr>
          <w:ilvl w:val="0"/>
          <w:numId w:val="5"/>
        </w:numPr>
        <w:spacing w:lineRule="auto" w:line="240" w:before="0" w:after="0"/>
        <w:rPr>
          <w:rFonts w:ascii="Times New Roman" w:hAnsi="Times New Roman" w:cs="Times New Roman"/>
          <w:b/>
          <w:sz w:val="24"/>
          <w:szCs w:val="24"/>
          <w:lang w:eastAsia="en-US"/>
        </w:rPr>
      </w:pPr>
      <w:r>
        <w:rPr>
          <w:rFonts w:cs="Times New Roman" w:ascii="Times New Roman" w:hAnsi="Times New Roman"/>
          <w:b/>
          <w:sz w:val="24"/>
          <w:szCs w:val="24"/>
          <w:lang w:eastAsia="en-US"/>
        </w:rPr>
        <w:t>Regulating small business</w:t>
      </w:r>
    </w:p>
    <w:p>
      <w:pPr>
        <w:pStyle w:val="Normal"/>
        <w:spacing w:lineRule="auto" w:line="240" w:before="0" w:after="0"/>
        <w:ind w:left="720" w:right="0"/>
        <w:rPr>
          <w:rFonts w:ascii="Times New Roman" w:hAnsi="Times New Roman" w:cs="Times New Roman"/>
          <w:b/>
          <w:sz w:val="24"/>
          <w:szCs w:val="24"/>
          <w:lang w:eastAsia="en-US"/>
        </w:rPr>
      </w:pPr>
      <w:r>
        <w:rPr>
          <w:rFonts w:cs="Times New Roman" w:ascii="Times New Roman" w:hAnsi="Times New Roman"/>
          <w:b/>
          <w:sz w:val="24"/>
          <w:szCs w:val="24"/>
          <w:lang w:eastAsia="en-US"/>
        </w:rPr>
      </w:r>
    </w:p>
    <w:p>
      <w:pPr>
        <w:pStyle w:val="Normal"/>
        <w:ind w:hanging="709" w:left="1418" w:right="0"/>
        <w:jc w:val="both"/>
        <w:rPr>
          <w:rFonts w:ascii="Times New Roman" w:hAnsi="Times New Roman" w:cs="Times New Roman"/>
          <w:sz w:val="24"/>
          <w:szCs w:val="24"/>
          <w:lang w:eastAsia="en-US"/>
        </w:rPr>
      </w:pPr>
      <w:r>
        <w:rPr>
          <w:rFonts w:cs="Times New Roman" w:ascii="Times New Roman" w:hAnsi="Times New Roman"/>
          <w:sz w:val="24"/>
          <w:szCs w:val="24"/>
          <w:lang w:eastAsia="en-US"/>
        </w:rPr>
        <w:t xml:space="preserve">11.1 </w:t>
        <w:tab/>
        <w:t>This legislation applies to all businesses paying business rates. There will be no specific regulation of small business.</w:t>
      </w:r>
    </w:p>
    <w:p>
      <w:pPr>
        <w:pStyle w:val="Normal"/>
        <w:numPr>
          <w:ilvl w:val="0"/>
          <w:numId w:val="4"/>
        </w:numPr>
        <w:spacing w:lineRule="auto" w:line="240" w:before="0" w:after="0"/>
        <w:rPr>
          <w:rFonts w:ascii="Times New Roman" w:hAnsi="Times New Roman" w:cs="Times New Roman"/>
          <w:b/>
          <w:sz w:val="24"/>
          <w:szCs w:val="24"/>
          <w:lang w:eastAsia="en-US"/>
        </w:rPr>
      </w:pPr>
      <w:r>
        <w:rPr>
          <w:rFonts w:cs="Times New Roman" w:ascii="Times New Roman" w:hAnsi="Times New Roman"/>
          <w:b/>
          <w:sz w:val="24"/>
          <w:szCs w:val="24"/>
          <w:lang w:eastAsia="en-US"/>
        </w:rPr>
        <w:t>Monitoring &amp; review</w:t>
      </w:r>
    </w:p>
    <w:p>
      <w:pPr>
        <w:pStyle w:val="Normal"/>
        <w:spacing w:lineRule="auto" w:line="240" w:before="0" w:after="0"/>
        <w:ind w:left="720" w:right="0"/>
        <w:rPr>
          <w:rFonts w:ascii="Times New Roman" w:hAnsi="Times New Roman" w:cs="Times New Roman"/>
          <w:b/>
          <w:sz w:val="24"/>
          <w:szCs w:val="24"/>
          <w:lang w:eastAsia="en-US"/>
        </w:rPr>
      </w:pPr>
      <w:r>
        <w:rPr>
          <w:rFonts w:cs="Times New Roman" w:ascii="Times New Roman" w:hAnsi="Times New Roman"/>
          <w:b/>
          <w:sz w:val="24"/>
          <w:szCs w:val="24"/>
          <w:lang w:eastAsia="en-US"/>
        </w:rPr>
      </w:r>
    </w:p>
    <w:p>
      <w:pPr>
        <w:pStyle w:val="Normal"/>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12.1</w:t>
        <w:tab/>
        <w:t xml:space="preserve">The operation of these Regulations will be monitored and reviewed as part of the operation of the national non-domestic rates system as a whole. </w:t>
      </w:r>
    </w:p>
    <w:p>
      <w:pPr>
        <w:pStyle w:val="Normal"/>
        <w:ind w:hanging="720" w:left="720" w:right="0"/>
        <w:rPr>
          <w:rFonts w:ascii="Times New Roman" w:hAnsi="Times New Roman" w:cs="Times New Roman"/>
          <w:sz w:val="24"/>
          <w:szCs w:val="24"/>
          <w:lang w:eastAsia="en-US"/>
        </w:rPr>
      </w:pPr>
      <w:r>
        <w:rPr>
          <w:rFonts w:cs="Times New Roman" w:ascii="Times New Roman" w:hAnsi="Times New Roman"/>
          <w:b/>
          <w:sz w:val="24"/>
          <w:szCs w:val="24"/>
          <w:lang w:eastAsia="en-US"/>
        </w:rPr>
        <w:t>13</w:t>
      </w:r>
      <w:r>
        <w:rPr>
          <w:rFonts w:cs="Times New Roman" w:ascii="Times New Roman" w:hAnsi="Times New Roman"/>
          <w:sz w:val="24"/>
          <w:szCs w:val="24"/>
          <w:lang w:eastAsia="en-US"/>
        </w:rPr>
        <w:t xml:space="preserve">. </w:t>
        <w:tab/>
      </w:r>
      <w:r>
        <w:rPr>
          <w:rFonts w:cs="Times New Roman" w:ascii="Times New Roman" w:hAnsi="Times New Roman"/>
          <w:b/>
          <w:sz w:val="24"/>
          <w:szCs w:val="24"/>
          <w:lang w:eastAsia="en-US"/>
        </w:rPr>
        <w:t>Contact</w:t>
      </w:r>
    </w:p>
    <w:p>
      <w:pPr>
        <w:pStyle w:val="Normal"/>
        <w:ind w:hanging="720" w:left="1440" w:right="0"/>
        <w:rPr>
          <w:rFonts w:ascii="Times New Roman" w:hAnsi="Times New Roman" w:cs="Times New Roman"/>
          <w:sz w:val="24"/>
          <w:szCs w:val="24"/>
          <w:lang w:eastAsia="en-US"/>
        </w:rPr>
      </w:pPr>
      <w:r>
        <w:rPr>
          <w:rFonts w:cs="Times New Roman" w:ascii="Times New Roman" w:hAnsi="Times New Roman"/>
          <w:sz w:val="24"/>
          <w:szCs w:val="24"/>
          <w:lang w:eastAsia="en-US"/>
        </w:rPr>
        <w:t>13.1</w:t>
        <w:tab/>
        <w:t>Matthew Ahmed at HM Treasury (Tel: 0207 270 1708 or email: matthew.ahmed@hmtreasury.gsi.gov.uk) can answer any queries regarding the instrument.</w:t>
      </w:r>
    </w:p>
    <w:p>
      <w:pPr>
        <w:pStyle w:val="NoSpacing"/>
        <w:jc w:val="both"/>
        <w:rPr>
          <w:rFonts w:ascii="Times New Roman" w:hAnsi="Times New Roman" w:cs="Times New Roman"/>
          <w:sz w:val="21"/>
          <w:szCs w:val="20"/>
          <w:lang w:eastAsia="en-US"/>
        </w:rPr>
      </w:pPr>
      <w:r>
        <w:rPr>
          <w:rFonts w:cs="Times New Roman" w:ascii="Times New Roman" w:hAnsi="Times New Roman"/>
          <w:sz w:val="21"/>
          <w:szCs w:val="20"/>
          <w:lang w:eastAsia="en-US"/>
        </w:rPr>
      </w:r>
    </w:p>
    <w:sectPr>
      <w:headerReference w:type="default" r:id="rId2"/>
      <w:footerReference w:type="default" r:id="rId3"/>
      <w:footnotePr>
        <w:numFmt w:val="decimal"/>
      </w:footnotePr>
      <w:type w:val="nextPage"/>
      <w:pgSz w:w="11906" w:h="16838"/>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Humnst777 BT">
    <w:altName w:val="Lucida Sans Unicode"/>
    <w:charset w:val="00"/>
    <w:family w:val="swiss"/>
    <w:pitch w:val="variable"/>
  </w:font>
  <w:font w:name="Humnst777 Lt BT">
    <w:altName w:val="Lucida Sans Unicode"/>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Humnst777 Lt BT;Lucida Sans Unicode" w:hAnsi="Humnst777 Lt BT;Lucida Sans Unicode" w:cs="Humnst777 Lt BT;Lucida Sans Unicode"/>
      </w:rPr>
    </w:pPr>
    <w:r>
      <w:rPr>
        <w:rFonts w:cs="Humnst777 Lt BT;Lucida Sans Unicode" w:ascii="Humnst777 Lt BT;Lucida Sans Unicode" w:hAnsi="Humnst777 Lt BT;Lucida Sans Unicode"/>
      </w:rPr>
      <w:fldChar w:fldCharType="begin"/>
    </w:r>
    <w:r>
      <w:rPr>
        <w:rFonts w:cs="Humnst777 Lt BT;Lucida Sans Unicode" w:ascii="Humnst777 Lt BT;Lucida Sans Unicode" w:hAnsi="Humnst777 Lt BT;Lucida Sans Unicode"/>
      </w:rPr>
      <w:instrText xml:space="preserve"> PAGE </w:instrText>
    </w:r>
    <w:r>
      <w:rPr>
        <w:rFonts w:cs="Humnst777 Lt BT;Lucida Sans Unicode" w:ascii="Humnst777 Lt BT;Lucida Sans Unicode" w:hAnsi="Humnst777 Lt BT;Lucida Sans Unicode"/>
      </w:rPr>
      <w:fldChar w:fldCharType="separate"/>
    </w:r>
    <w:r>
      <w:rPr>
        <w:rFonts w:cs="Humnst777 Lt BT;Lucida Sans Unicode" w:ascii="Humnst777 Lt BT;Lucida Sans Unicode" w:hAnsi="Humnst777 Lt BT;Lucida Sans Unicode"/>
      </w:rPr>
      <w:t>3</w:t>
    </w:r>
    <w:r>
      <w:rPr>
        <w:rFonts w:cs="Humnst777 Lt BT;Lucida Sans Unicode" w:ascii="Humnst777 Lt BT;Lucida Sans Unicode" w:hAnsi="Humnst777 Lt BT;Lucida Sans Unicode"/>
      </w:rPr>
      <w:fldChar w:fldCharType="end"/>
    </w:r>
  </w:p>
  <w:p>
    <w:pPr>
      <w:pStyle w:val="Footer"/>
      <w:rPr>
        <w:rFonts w:ascii="Humnst777 Lt BT;Lucida Sans Unicode" w:hAnsi="Humnst777 Lt BT;Lucida Sans Unicode" w:cs="Humnst777 Lt BT;Lucida Sans Unicode"/>
      </w:rPr>
    </w:pPr>
    <w:r>
      <w:rPr>
        <w:rFonts w:cs="Humnst777 Lt BT;Lucida Sans Unicode" w:ascii="Humnst777 Lt BT;Lucida Sans Unicode" w:hAnsi="Humnst777 Lt BT;Lucida Sans Unicode"/>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w:t>
      </w:r>
      <w:r>
        <w:rPr>
          <w:rStyle w:val="FootnoteCharacters"/>
        </w:rPr>
        <w:t>?</w:t>
      </w:r>
      <w:r>
        <w:rPr/>
        <w:t>)</w:t>
        <w:tab/>
        <w:t>1988 c.41.</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Humnst777 Lt BT;Lucida Sans Unicode" w:hAnsi="Humnst777 Lt BT;Lucida Sans Unicode" w:cs="Humnst777 Lt BT;Lucida Sans Unicode"/>
      </w:rPr>
    </w:pPr>
    <w:r>
      <w:rPr>
        <w:rFonts w:cs="Humnst777 Lt BT;Lucida Sans Unicode" w:ascii="Humnst777 Lt BT;Lucida Sans Unicode" w:hAnsi="Humnst777 Lt BT;Lucida Sans Unicod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rPr/>
    </w:lvl>
    <w:lvl w:ilvl="1">
      <w:start w:val="1"/>
      <w:numFmt w:val="bullet"/>
      <w:lvlText w:val=""/>
      <w:lvlJc w:val="left"/>
      <w:pPr>
        <w:tabs>
          <w:tab w:val="num" w:pos="0"/>
        </w:tabs>
        <w:ind w:left="720" w:hanging="360"/>
      </w:pPr>
      <w:rPr>
        <w:rFonts w:ascii="Symbol" w:hAnsi="Symbol" w:cs="Symbol" w:hint="default"/>
      </w:r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
    <w:lvl w:ilvl="0">
      <w:start w:val="1"/>
      <w:numFmt w:val="decimal"/>
      <w:suff w:val="nothing"/>
      <w:lvlText w:val="%1."/>
      <w:lvlJc w:val="left"/>
      <w:pPr>
        <w:tabs>
          <w:tab w:val="num" w:pos="0"/>
        </w:tabs>
        <w:ind w:left="0" w:firstLine="170"/>
      </w:pPr>
      <w:rPr>
        <w:b/>
      </w:rPr>
    </w:lvl>
    <w:lvl w:ilvl="1">
      <w:start w:val="1"/>
      <w:numFmt w:val="decimal"/>
      <w:suff w:val="space"/>
      <w:lvlText w:val="(%2)"/>
      <w:lvlJc w:val="left"/>
      <w:pPr>
        <w:tabs>
          <w:tab w:val="num" w:pos="0"/>
        </w:tabs>
        <w:ind w:left="0" w:firstLine="170"/>
      </w:p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1"/>
      <w:numFmt w:val="lowerLetter"/>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lvl w:ilvl="0">
      <w:start w:val="11"/>
      <w:numFmt w:val="decimal"/>
      <w:lvlText w:val="%1."/>
      <w:lvlJc w:val="left"/>
      <w:pPr>
        <w:tabs>
          <w:tab w:val="num" w:pos="720"/>
        </w:tabs>
        <w:ind w:left="720" w:hanging="720"/>
      </w:pPr>
      <w:rPr>
        <w:rFonts w:cs="Times New Roman"/>
      </w:rPr>
    </w:lvl>
  </w:abstractNum>
  <w:num w:numId="1">
    <w:abstractNumId w:val="1"/>
  </w:num>
  <w:num w:numId="2">
    <w:abstractNumId w:val="2"/>
  </w:num>
  <w:num w:numId="3">
    <w:abstractNumId w:val="3"/>
  </w:num>
  <w:num w:numId="4">
    <w:abstractNumId w:val="4"/>
  </w:num>
  <w:num w:numId="5">
    <w:abstractNumId w:val="4"/>
    <w:lvlOverride w:ilvl="0">
      <w:startOverride w:val="11"/>
    </w:lvlOverride>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6z0">
    <w:name w:val="WW8Num6z0"/>
    <w:qFormat/>
    <w:rPr/>
  </w:style>
  <w:style w:type="character" w:styleId="WW8Num6z1">
    <w:name w:val="WW8Num6z1"/>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8z1">
    <w:name w:val="WW8Num8z1"/>
    <w:qFormat/>
    <w:rPr>
      <w:rFonts w:ascii="Symbol" w:hAnsi="Symbol" w:cs="Symbol"/>
    </w:rPr>
  </w:style>
  <w:style w:type="character" w:styleId="WW8Num9z0">
    <w:name w:val="WW8Num9z0"/>
    <w:qFormat/>
    <w:rPr>
      <w:b/>
    </w:rPr>
  </w:style>
  <w:style w:type="character" w:styleId="WW8Num10z0">
    <w:name w:val="WW8Num10z0"/>
    <w:qFormat/>
    <w:rPr>
      <w:b/>
      <w:i w:val="false"/>
    </w:rPr>
  </w:style>
  <w:style w:type="character" w:styleId="WW8Num10z1">
    <w:name w:val="WW8Num10z1"/>
    <w:qFormat/>
    <w:rPr>
      <w:b w:val="false"/>
      <w:i w:val="false"/>
    </w:rPr>
  </w:style>
  <w:style w:type="character" w:styleId="WW8Num10z2">
    <w:name w:val="WW8Num10z2"/>
    <w:qFormat/>
    <w:rPr/>
  </w:style>
  <w:style w:type="character" w:styleId="WW8Num11z0">
    <w:name w:val="WW8Num11z0"/>
    <w:qFormat/>
    <w:rPr>
      <w:rFonts w:cs="Times New Roman"/>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yperlink">
    <w:name w:val="Hyperlink"/>
    <w:rPr>
      <w:color w:val="0000FF"/>
      <w:u w:val="single"/>
    </w:rPr>
  </w:style>
  <w:style w:type="character" w:styleId="BulletedparaChar">
    <w:name w:val="Bulleted para. Char"/>
    <w:qFormat/>
    <w:rPr>
      <w:rFonts w:ascii="Humnst777 BT;Lucida Sans Unicode" w:hAnsi="Humnst777 BT;Lucida Sans Unicode" w:cs="Humnst777 BT;Lucida Sans Unicode"/>
      <w:sz w:val="24"/>
      <w:szCs w:val="24"/>
    </w:rPr>
  </w:style>
  <w:style w:type="character" w:styleId="Tableheading1Char">
    <w:name w:val="Table heading 1 Char"/>
    <w:qFormat/>
    <w:rPr>
      <w:rFonts w:ascii="Arial" w:hAnsi="Arial" w:eastAsia="Times New Roman" w:cs="Arial"/>
      <w:b/>
      <w:bCs/>
      <w:i/>
      <w:iCs/>
      <w:sz w:val="28"/>
      <w:szCs w:val="24"/>
    </w:rPr>
  </w:style>
  <w:style w:type="character" w:styleId="Tableheading2Char">
    <w:name w:val="Table heading 2 Char"/>
    <w:qFormat/>
    <w:rPr>
      <w:rFonts w:ascii="Arial" w:hAnsi="Arial" w:eastAsia="Times New Roman" w:cs="Arial"/>
      <w:b/>
      <w:bCs/>
      <w:i/>
      <w:iCs/>
      <w:sz w:val="24"/>
      <w:szCs w:val="22"/>
    </w:rPr>
  </w:style>
  <w:style w:type="character" w:styleId="Tableheading3Char">
    <w:name w:val="Table heading 3 Char"/>
    <w:qFormat/>
    <w:rPr>
      <w:rFonts w:ascii="Humnst777 BT;Lucida Sans Unicode" w:hAnsi="Humnst777 BT;Lucida Sans Unicode" w:cs="Humnst777 BT;Lucida Sans Unicode"/>
      <w:b/>
      <w:sz w:val="22"/>
      <w:szCs w:val="22"/>
    </w:rPr>
  </w:style>
  <w:style w:type="character" w:styleId="Heading2Char">
    <w:name w:val="Heading 2 Char"/>
    <w:qFormat/>
    <w:rPr>
      <w:rFonts w:ascii="Cambria" w:hAnsi="Cambria" w:eastAsia="Times New Roman" w:cs="Times New Roman"/>
      <w:b/>
      <w:bCs/>
      <w:i/>
      <w:iCs/>
      <w:sz w:val="28"/>
      <w:szCs w:val="28"/>
    </w:rPr>
  </w:style>
  <w:style w:type="character" w:styleId="Heading1Char">
    <w:name w:val="Heading 1 Char"/>
    <w:qFormat/>
    <w:rPr>
      <w:rFonts w:ascii="Cambria" w:hAnsi="Cambria" w:eastAsia="Times New Roman" w:cs="Times New Roman"/>
      <w:b/>
      <w:bCs/>
      <w:kern w:val="2"/>
      <w:sz w:val="32"/>
      <w:szCs w:val="32"/>
    </w:rPr>
  </w:style>
  <w:style w:type="character" w:styleId="ListParagraphChar">
    <w:name w:val="List Paragraph Char"/>
    <w:qFormat/>
    <w:rPr>
      <w:sz w:val="22"/>
      <w:szCs w:val="22"/>
    </w:rPr>
  </w:style>
  <w:style w:type="character" w:styleId="FootnoteTextChar">
    <w:name w:val="Footnote Text Char"/>
    <w:qFormat/>
    <w:rPr>
      <w:rFonts w:ascii="Times New Roman" w:hAnsi="Times New Roman" w:cs="Times New Roman"/>
      <w:sz w:val="16"/>
    </w:rPr>
  </w:style>
  <w:style w:type="character" w:styleId="FootnoteCharacters">
    <w:name w:val="Footnote Characters"/>
    <w:qFormat/>
    <w:rPr>
      <w:rFonts w:ascii="Times New Roman" w:hAnsi="Times New Roman" w:cs="Times New Roman"/>
      <w:b/>
      <w:position w:val="0"/>
      <w:sz w:val="24"/>
      <w:vertAlign w:val="baseline"/>
    </w:rPr>
  </w:style>
  <w:style w:type="character" w:styleId="MadeChar">
    <w:name w:val="Made Char"/>
    <w:qFormat/>
    <w:rPr>
      <w:rFonts w:ascii="Times New Roman" w:hAnsi="Times New Roman" w:cs="Times New Roman"/>
      <w:i/>
      <w:sz w:val="21"/>
    </w:rPr>
  </w:style>
  <w:style w:type="character" w:styleId="SigDate">
    <w:name w:val="Sig_Date"/>
    <w:qFormat/>
    <w:rPr/>
  </w:style>
  <w:style w:type="character" w:styleId="SigSignee">
    <w:name w:val="Sig_Signee"/>
    <w:qFormat/>
    <w:rPr>
      <w:i/>
    </w:rPr>
  </w:style>
  <w:style w:type="character" w:styleId="Sigtitle">
    <w:name w:val="Sig_title"/>
    <w:qFormat/>
    <w:rPr/>
  </w:style>
  <w:style w:type="character" w:styleId="TitleChar">
    <w:name w:val="Title Char"/>
    <w:qFormat/>
    <w:rPr>
      <w:rFonts w:ascii="Times New Roman" w:hAnsi="Times New Roman" w:cs="Times New Roman"/>
      <w:kern w:val="2"/>
      <w:sz w:val="32"/>
    </w:rPr>
  </w:style>
  <w:style w:type="character" w:styleId="BodyTextChar">
    <w:name w:val="Body Text Char"/>
    <w:qFormat/>
    <w:rPr>
      <w:rFonts w:ascii="Arial" w:hAnsi="Arial" w:cs="Arial"/>
      <w:sz w:val="24"/>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lineRule="auto" w:line="240" w:before="0" w:after="600"/>
      <w:jc w:val="center"/>
    </w:pPr>
    <w:rPr>
      <w:rFonts w:ascii="Times New Roman" w:hAnsi="Times New Roman" w:cs="Times New Roman"/>
      <w:kern w:val="2"/>
      <w:sz w:val="32"/>
      <w:szCs w:val="20"/>
    </w:rPr>
  </w:style>
  <w:style w:type="paragraph" w:styleId="BodyText">
    <w:name w:val="Body Text"/>
    <w:basedOn w:val="Normal"/>
    <w:pPr>
      <w:spacing w:lineRule="auto" w:line="240" w:before="0" w:after="0"/>
    </w:pPr>
    <w:rPr>
      <w:rFonts w:ascii="Arial" w:hAnsi="Arial" w:cs="Arial"/>
      <w:sz w:val="24"/>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Numberedpara">
    <w:name w:val="Numbered para"/>
    <w:basedOn w:val="Normal"/>
    <w:qFormat/>
    <w:pPr>
      <w:numPr>
        <w:ilvl w:val="0"/>
        <w:numId w:val="2"/>
      </w:numPr>
      <w:spacing w:lineRule="auto" w:line="240" w:before="0" w:after="120"/>
    </w:pPr>
    <w:rPr>
      <w:rFonts w:ascii="Humnst777 BT;Lucida Sans Unicode" w:hAnsi="Humnst777 BT;Lucida Sans Unicode" w:cs="Humnst777 BT;Lucida Sans Unicode"/>
      <w:sz w:val="24"/>
      <w:szCs w:val="24"/>
    </w:rPr>
  </w:style>
  <w:style w:type="paragraph" w:styleId="Tableheading1">
    <w:name w:val="Table heading 1"/>
    <w:basedOn w:val="Heading2"/>
    <w:qFormat/>
    <w:pPr>
      <w:numPr>
        <w:ilvl w:val="0"/>
        <w:numId w:val="0"/>
      </w:numPr>
      <w:spacing w:lineRule="auto" w:line="240" w:before="120" w:after="240"/>
      <w:outlineLvl w:val="9"/>
    </w:pPr>
    <w:rPr>
      <w:rFonts w:ascii="Arial" w:hAnsi="Arial" w:eastAsia="Times New Roman" w:cs="Arial"/>
      <w:bCs w:val="false"/>
      <w:i w:val="false"/>
      <w:iCs w:val="false"/>
      <w:szCs w:val="24"/>
    </w:rPr>
  </w:style>
  <w:style w:type="paragraph" w:styleId="Bulletedpara">
    <w:name w:val="Bulleted para."/>
    <w:basedOn w:val="Numberedpara"/>
    <w:qFormat/>
    <w:pPr>
      <w:numPr>
        <w:ilvl w:val="0"/>
        <w:numId w:val="2"/>
      </w:numPr>
      <w:ind w:hanging="170" w:left="340" w:right="0"/>
    </w:pPr>
    <w:rPr/>
  </w:style>
  <w:style w:type="paragraph" w:styleId="Tableheading2">
    <w:name w:val="Table heading 2"/>
    <w:basedOn w:val="Tableheading1"/>
    <w:qFormat/>
    <w:pPr>
      <w:spacing w:before="120" w:after="120"/>
    </w:pPr>
    <w:rPr>
      <w:sz w:val="24"/>
      <w:szCs w:val="22"/>
    </w:rPr>
  </w:style>
  <w:style w:type="paragraph" w:styleId="Tableheading3">
    <w:name w:val="Table heading 3"/>
    <w:basedOn w:val="Normal"/>
    <w:qFormat/>
    <w:pPr>
      <w:spacing w:lineRule="auto" w:line="240" w:before="0" w:after="120"/>
    </w:pPr>
    <w:rPr>
      <w:rFonts w:ascii="Humnst777 BT;Lucida Sans Unicode" w:hAnsi="Humnst777 BT;Lucida Sans Unicode" w:cs="Humnst777 BT;Lucida Sans Unicode"/>
      <w:b/>
    </w:rPr>
  </w:style>
  <w:style w:type="paragraph" w:styleId="NoSpacing">
    <w:name w:val="No Spacing"/>
    <w:qFormat/>
    <w:pPr>
      <w:widowControl/>
      <w:bidi w:val="0"/>
    </w:pPr>
    <w:rPr>
      <w:rFonts w:ascii="Calibri" w:hAnsi="Calibri" w:eastAsia="Times New Roman" w:cs="Times New Roman"/>
      <w:color w:val="auto"/>
      <w:sz w:val="22"/>
      <w:szCs w:val="22"/>
      <w:lang w:val="en-GB" w:bidi="ar-SA" w:eastAsia="zh-CN"/>
    </w:rPr>
  </w:style>
  <w:style w:type="paragraph" w:styleId="linespace">
    <w:name w:val="linespace"/>
    <w:qFormat/>
    <w:pPr>
      <w:widowControl/>
      <w:bidi w:val="0"/>
      <w:spacing w:lineRule="exact" w:line="240"/>
    </w:pPr>
    <w:rPr>
      <w:rFonts w:ascii="Times New Roman" w:hAnsi="Times New Roman" w:eastAsia="Times New Roman" w:cs="Times New Roman"/>
      <w:color w:val="auto"/>
      <w:sz w:val="20"/>
      <w:szCs w:val="20"/>
      <w:lang w:val="en-GB" w:eastAsia="en-GB" w:bidi="ar-SA"/>
    </w:rPr>
  </w:style>
  <w:style w:type="paragraph" w:styleId="Banner">
    <w:name w:val="Banner"/>
    <w:next w:val="Number"/>
    <w:qFormat/>
    <w:pPr>
      <w:widowControl/>
      <w:pBdr>
        <w:top w:val="single" w:sz="12" w:space="8" w:color="000000"/>
        <w:bottom w:val="single" w:sz="12" w:space="8" w:color="000000"/>
      </w:pBdr>
      <w:bidi w:val="0"/>
      <w:spacing w:lineRule="exact" w:line="230" w:before="0" w:after="480"/>
      <w:jc w:val="center"/>
    </w:pPr>
    <w:rPr>
      <w:rFonts w:ascii="Times New Roman" w:hAnsi="Times New Roman" w:eastAsia="Times New Roman" w:cs="Times New Roman"/>
      <w:caps/>
      <w:color w:val="auto"/>
      <w:spacing w:val="74"/>
      <w:sz w:val="22"/>
      <w:szCs w:val="20"/>
      <w:lang w:val="en-GB" w:bidi="ar-SA" w:eastAsia="zh-CN"/>
    </w:rPr>
  </w:style>
  <w:style w:type="paragraph" w:styleId="Number">
    <w:name w:val="Number"/>
    <w:basedOn w:val="Normal"/>
    <w:next w:val="subject"/>
    <w:qFormat/>
    <w:pPr>
      <w:spacing w:lineRule="auto" w:line="240" w:before="0" w:after="320"/>
      <w:jc w:val="center"/>
    </w:pPr>
    <w:rPr>
      <w:rFonts w:ascii="Times New Roman" w:hAnsi="Times New Roman" w:cs="Times New Roman"/>
      <w:b/>
      <w:sz w:val="32"/>
      <w:szCs w:val="20"/>
    </w:rPr>
  </w:style>
  <w:style w:type="paragraph" w:styleId="subject">
    <w:name w:val="subject"/>
    <w:basedOn w:val="Normal"/>
    <w:next w:val="Normal"/>
    <w:qFormat/>
    <w:pPr>
      <w:spacing w:lineRule="auto" w:line="240" w:before="0" w:after="320"/>
      <w:jc w:val="center"/>
    </w:pPr>
    <w:rPr>
      <w:rFonts w:ascii="Times New Roman" w:hAnsi="Times New Roman" w:cs="Times New Roman"/>
      <w:b/>
      <w:caps/>
      <w:sz w:val="32"/>
      <w:szCs w:val="20"/>
    </w:rPr>
  </w:style>
  <w:style w:type="paragraph" w:styleId="Coming">
    <w:name w:val="Coming"/>
    <w:basedOn w:val="Normal"/>
    <w:next w:val="Pre"/>
    <w:qFormat/>
    <w:pPr>
      <w:tabs>
        <w:tab w:val="clear" w:pos="720"/>
        <w:tab w:val="left" w:pos="3232" w:leader="none"/>
        <w:tab w:val="left" w:pos="3629" w:leader="none"/>
        <w:tab w:val="right" w:pos="6804" w:leader="none"/>
      </w:tabs>
      <w:spacing w:lineRule="atLeast" w:line="220" w:before="0" w:after="0"/>
      <w:ind w:hanging="170" w:left="1711" w:right="1541"/>
      <w:jc w:val="both"/>
    </w:pPr>
    <w:rPr>
      <w:rFonts w:ascii="Times New Roman" w:hAnsi="Times New Roman" w:cs="Times New Roman"/>
      <w:i/>
      <w:sz w:val="21"/>
      <w:szCs w:val="20"/>
    </w:rPr>
  </w:style>
  <w:style w:type="paragraph" w:styleId="Pre">
    <w:name w:val="Pre"/>
    <w:basedOn w:val="Normal"/>
    <w:qFormat/>
    <w:pPr>
      <w:spacing w:lineRule="atLeast" w:line="220" w:before="360" w:after="0"/>
      <w:jc w:val="both"/>
    </w:pPr>
    <w:rPr>
      <w:rFonts w:ascii="Times New Roman" w:hAnsi="Times New Roman" w:cs="Times New Roman"/>
      <w:sz w:val="21"/>
      <w:szCs w:val="20"/>
    </w:rPr>
  </w:style>
  <w:style w:type="paragraph" w:styleId="FootnoteText">
    <w:name w:val="footnote text"/>
    <w:basedOn w:val="Normal"/>
    <w:next w:val="Normal"/>
    <w:pPr>
      <w:spacing w:lineRule="exact" w:line="180" w:before="0" w:after="0"/>
      <w:ind w:hanging="340" w:left="340" w:right="0"/>
      <w:jc w:val="both"/>
    </w:pPr>
    <w:rPr>
      <w:rFonts w:ascii="Times New Roman" w:hAnsi="Times New Roman" w:cs="Times New Roman"/>
      <w:sz w:val="16"/>
      <w:szCs w:val="20"/>
    </w:rPr>
  </w:style>
  <w:style w:type="paragraph" w:styleId="H1">
    <w:name w:val="H1"/>
    <w:basedOn w:val="Normal"/>
    <w:next w:val="N1"/>
    <w:qFormat/>
    <w:pPr>
      <w:keepNext w:val="true"/>
      <w:spacing w:lineRule="atLeast" w:line="220" w:before="320" w:after="0"/>
      <w:jc w:val="both"/>
    </w:pPr>
    <w:rPr>
      <w:rFonts w:ascii="Times New Roman" w:hAnsi="Times New Roman" w:cs="Times New Roman"/>
      <w:b/>
      <w:sz w:val="21"/>
      <w:szCs w:val="20"/>
    </w:rPr>
  </w:style>
  <w:style w:type="paragraph" w:styleId="N1">
    <w:name w:val="N1"/>
    <w:basedOn w:val="Normal"/>
    <w:qFormat/>
    <w:pPr>
      <w:numPr>
        <w:ilvl w:val="0"/>
        <w:numId w:val="3"/>
      </w:numPr>
      <w:spacing w:lineRule="atLeast" w:line="220" w:before="160" w:after="0"/>
      <w:jc w:val="both"/>
    </w:pPr>
    <w:rPr>
      <w:rFonts w:ascii="Times New Roman" w:hAnsi="Times New Roman" w:cs="Times New Roman"/>
      <w:sz w:val="21"/>
      <w:szCs w:val="20"/>
    </w:rPr>
  </w:style>
  <w:style w:type="paragraph" w:styleId="N2">
    <w:name w:val="N2"/>
    <w:basedOn w:val="N1"/>
    <w:qFormat/>
    <w:pPr>
      <w:numPr>
        <w:ilvl w:val="0"/>
        <w:numId w:val="3"/>
      </w:numPr>
      <w:spacing w:before="80" w:after="0"/>
    </w:pPr>
    <w:rPr/>
  </w:style>
  <w:style w:type="paragraph" w:styleId="N3">
    <w:name w:val="N3"/>
    <w:basedOn w:val="N2"/>
    <w:qFormat/>
    <w:pPr>
      <w:numPr>
        <w:ilvl w:val="0"/>
        <w:numId w:val="3"/>
      </w:numPr>
    </w:pPr>
    <w:rPr/>
  </w:style>
  <w:style w:type="paragraph" w:styleId="Laid">
    <w:name w:val="Laid"/>
    <w:basedOn w:val="Normal"/>
    <w:next w:val="Coming"/>
    <w:qFormat/>
    <w:pPr>
      <w:tabs>
        <w:tab w:val="clear" w:pos="720"/>
        <w:tab w:val="right" w:pos="6804" w:leader="none"/>
      </w:tabs>
      <w:spacing w:lineRule="atLeast" w:line="220" w:before="0" w:after="160"/>
      <w:ind w:hanging="0" w:left="1541" w:right="1541"/>
      <w:jc w:val="both"/>
    </w:pPr>
    <w:rPr>
      <w:rFonts w:ascii="Times New Roman" w:hAnsi="Times New Roman" w:cs="Times New Roman"/>
      <w:i/>
      <w:sz w:val="21"/>
      <w:szCs w:val="20"/>
    </w:rPr>
  </w:style>
  <w:style w:type="paragraph" w:styleId="Made">
    <w:name w:val="Made"/>
    <w:basedOn w:val="Normal"/>
    <w:next w:val="Laid"/>
    <w:qFormat/>
    <w:pPr>
      <w:tabs>
        <w:tab w:val="clear" w:pos="720"/>
        <w:tab w:val="left" w:pos="2438" w:leader="none"/>
        <w:tab w:val="left" w:pos="2835" w:leader="none"/>
        <w:tab w:val="left" w:pos="3232" w:leader="none"/>
        <w:tab w:val="left" w:pos="3629" w:leader="none"/>
        <w:tab w:val="right" w:pos="6804" w:leader="none"/>
      </w:tabs>
      <w:spacing w:lineRule="atLeast" w:line="220" w:before="0" w:after="160"/>
      <w:ind w:hanging="0" w:left="1541" w:right="1541"/>
      <w:jc w:val="both"/>
    </w:pPr>
    <w:rPr>
      <w:rFonts w:ascii="Times New Roman" w:hAnsi="Times New Roman" w:cs="Times New Roman"/>
      <w:i/>
      <w:sz w:val="21"/>
      <w:szCs w:val="20"/>
    </w:rPr>
  </w:style>
  <w:style w:type="paragraph" w:styleId="N4">
    <w:name w:val="N4"/>
    <w:basedOn w:val="N3"/>
    <w:qFormat/>
    <w:pPr>
      <w:numPr>
        <w:ilvl w:val="0"/>
        <w:numId w:val="3"/>
      </w:numPr>
    </w:pPr>
    <w:rPr/>
  </w:style>
  <w:style w:type="paragraph" w:styleId="N5">
    <w:name w:val="N5"/>
    <w:basedOn w:val="N4"/>
    <w:qFormat/>
    <w:pPr>
      <w:numPr>
        <w:ilvl w:val="0"/>
        <w:numId w:val="3"/>
      </w:numPr>
    </w:pPr>
    <w:rPr/>
  </w:style>
  <w:style w:type="paragraph" w:styleId="SigBlock">
    <w:name w:val="SigBlock"/>
    <w:basedOn w:val="Normal"/>
    <w:qFormat/>
    <w:pPr>
      <w:keepLines/>
      <w:tabs>
        <w:tab w:val="clear" w:pos="720"/>
        <w:tab w:val="right" w:pos="8280" w:leader="none"/>
      </w:tabs>
      <w:spacing w:lineRule="atLeast" w:line="220" w:before="0" w:after="0"/>
    </w:pPr>
    <w:rPr>
      <w:rFonts w:ascii="Times New Roman" w:hAnsi="Times New Roman" w:cs="Times New Roman"/>
      <w:sz w:val="21"/>
      <w:szCs w:val="20"/>
    </w:rPr>
  </w:style>
  <w:style w:type="paragraph" w:styleId="XNote">
    <w:name w:val="X_Note"/>
    <w:basedOn w:val="Normal"/>
    <w:qFormat/>
    <w:pPr>
      <w:keepNext w:val="true"/>
      <w:spacing w:lineRule="atLeast" w:line="220" w:before="0" w:after="120"/>
      <w:jc w:val="center"/>
    </w:pPr>
    <w:rPr>
      <w:rFonts w:ascii="Times New Roman" w:hAnsi="Times New Roman" w:cs="Times New Roman"/>
      <w:b/>
      <w:sz w:val="21"/>
      <w:szCs w:val="20"/>
    </w:rPr>
  </w:style>
  <w:style w:type="paragraph" w:styleId="XNotenote">
    <w:name w:val="X_Note_note"/>
    <w:basedOn w:val="Normal"/>
    <w:next w:val="Normal"/>
    <w:qFormat/>
    <w:pPr>
      <w:keepNext w:val="true"/>
      <w:spacing w:lineRule="atLeast" w:line="220" w:before="0" w:after="120"/>
      <w:jc w:val="center"/>
    </w:pPr>
    <w:rPr>
      <w:rFonts w:ascii="Times New Roman" w:hAnsi="Times New Roman" w:cs="Times New Roman"/>
      <w:i/>
      <w:sz w:val="21"/>
      <w:szCs w:val="20"/>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GB" w:bidi="ar-SA" w:eastAsia="zh-CN"/>
    </w:rPr>
  </w:style>
  <w:style w:type="paragraph" w:styleId="Draft">
    <w:name w:val="Draft"/>
    <w:basedOn w:val="Normal"/>
    <w:qFormat/>
    <w:pPr>
      <w:spacing w:lineRule="atLeast" w:line="220" w:before="0" w:after="240"/>
      <w:jc w:val="both"/>
    </w:pPr>
    <w:rPr>
      <w:rFonts w:ascii="Times New Roman" w:hAnsi="Times New Roman" w:cs="Times New Roman"/>
      <w:i/>
      <w:sz w:val="21"/>
      <w:szCs w:val="20"/>
    </w:rPr>
  </w:style>
  <w:style w:type="paragraph" w:styleId="T1">
    <w:name w:val="T1"/>
    <w:basedOn w:val="Normal"/>
    <w:qFormat/>
    <w:pPr>
      <w:spacing w:lineRule="atLeast" w:line="220" w:before="160" w:after="0"/>
      <w:jc w:val="both"/>
    </w:pPr>
    <w:rPr>
      <w:rFonts w:ascii="Times New Roman" w:hAnsi="Times New Roman" w:cs="Times New Roman"/>
      <w:sz w:val="21"/>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D3411B32</Template>
  <TotalTime>0</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2015-02-05T12:30:00Z</dcterms:created>
  <dc:creator>Matthew Ahmed</dc:creator>
  <dc:description/>
  <dc:language>en-GB</dc:language>
  <cp:lastModifiedBy>Hall, David</cp:lastModifiedBy>
  <dcterms:modified xsi:type="dcterms:W3CDTF">2015-02-05T12:30:00Z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Security Label">
    <vt:lpwstr>UNCLASSIFIED</vt:lpwstr>
  </property>
  <property fmtid="{D5CDD505-2E9C-101B-9397-08002B2CF9AE}" pid="3" name="bjDocumentSecurityLabel">
    <vt:lpwstr>UNCLASSIFIED</vt:lpwstr>
  </property>
  <property fmtid="{D5CDD505-2E9C-101B-9397-08002B2CF9AE}" pid="4" name="bjDocumentSecurityPolicyProp">
    <vt:lpwstr>UK</vt:lpwstr>
  </property>
  <property fmtid="{D5CDD505-2E9C-101B-9397-08002B2CF9AE}" pid="5" name="bjDocumentSecurityPolicyPropID">
    <vt:lpwstr>id_newpolicy</vt:lpwstr>
  </property>
  <property fmtid="{D5CDD505-2E9C-101B-9397-08002B2CF9AE}" pid="6" name="bjDocumentSecurityProp1">
    <vt:lpwstr>UNCLASSIFIED</vt:lpwstr>
  </property>
  <property fmtid="{D5CDD505-2E9C-101B-9397-08002B2CF9AE}" pid="7" name="bjDocumentSecurityProp2">
    <vt:lpwstr/>
  </property>
  <property fmtid="{D5CDD505-2E9C-101B-9397-08002B2CF9AE}" pid="8" name="bjDocumentSecurityProp3">
    <vt:lpwstr/>
  </property>
  <property fmtid="{D5CDD505-2E9C-101B-9397-08002B2CF9AE}" pid="9" name="bjDocumentSecurityXML">
    <vt:lpwstr>&lt;label version="1.0"&gt;&lt;element uid="id_unclassified"/&gt;&lt;element uid="id_newpolicy" value=""/&gt;&lt;/label&gt;</vt:lpwstr>
  </property>
  <property fmtid="{D5CDD505-2E9C-101B-9397-08002B2CF9AE}" pid="10" name="bjSecLabelProp1ID">
    <vt:lpwstr>id_unclassified</vt:lpwstr>
  </property>
  <property fmtid="{D5CDD505-2E9C-101B-9397-08002B2CF9AE}" pid="11" name="bjSecLabelProp2ID">
    <vt:lpwstr/>
  </property>
  <property fmtid="{D5CDD505-2E9C-101B-9397-08002B2CF9AE}" pid="12" name="bjSecLabelProp3ID">
    <vt:lpwstr/>
  </property>
  <property fmtid="{D5CDD505-2E9C-101B-9397-08002B2CF9AE}" pid="13" name="docIndexRef">
    <vt:lpwstr>665cda43-2252-4713-be95-29bb5b95b862</vt:lpwstr>
  </property>
  <property fmtid="{D5CDD505-2E9C-101B-9397-08002B2CF9AE}" pid="14" name="eGMS.protectiveMarking">
    <vt:lpwstr/>
  </property>
</Properties>
</file>