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8"/>
          <w:szCs w:val="28"/>
        </w:rPr>
      </w:pPr>
      <w:r>
        <w:rPr>
          <w:b/>
          <w:sz w:val="28"/>
          <w:szCs w:val="28"/>
        </w:rPr>
        <w:t>HM TREASURY</w:t>
      </w:r>
    </w:p>
    <w:p>
      <w:pPr>
        <w:pStyle w:val="Normal"/>
        <w:rPr>
          <w:b/>
          <w:sz w:val="28"/>
          <w:szCs w:val="28"/>
        </w:rPr>
      </w:pPr>
      <w:r>
        <w:rPr>
          <w:b/>
          <w:sz w:val="28"/>
          <w:szCs w:val="28"/>
        </w:rPr>
        <w:t>HM REVENUE &amp; CUSTOMS</w:t>
      </w:r>
    </w:p>
    <w:p>
      <w:pPr>
        <w:pStyle w:val="Normal"/>
        <w:rPr>
          <w:b/>
          <w:sz w:val="28"/>
          <w:szCs w:val="28"/>
        </w:rPr>
      </w:pPr>
      <w:r>
        <w:rPr>
          <w:b/>
          <w:sz w:val="28"/>
          <w:szCs w:val="28"/>
        </w:rPr>
      </w:r>
    </w:p>
    <w:p>
      <w:pPr>
        <w:pStyle w:val="Normal"/>
        <w:rPr>
          <w:b/>
          <w:sz w:val="28"/>
          <w:szCs w:val="28"/>
        </w:rPr>
      </w:pPr>
      <w:r>
        <w:rPr>
          <w:b/>
          <w:sz w:val="28"/>
          <w:szCs w:val="28"/>
        </w:rPr>
      </w:r>
    </w:p>
    <w:p>
      <w:pPr>
        <w:pStyle w:val="Normal"/>
        <w:spacing w:lineRule="auto" w:line="360"/>
        <w:rPr>
          <w:b/>
          <w:sz w:val="32"/>
          <w:szCs w:val="32"/>
        </w:rPr>
      </w:pPr>
      <w:r>
        <w:rPr>
          <w:b/>
          <w:sz w:val="32"/>
          <w:szCs w:val="32"/>
        </w:rPr>
        <w:t>2018-2019 Annual Report from the Commissioners for Revenue and Customs to the Treasury on Tax Credits under Section 40 of the Tax Credits Act 2002</w:t>
      </w:r>
    </w:p>
    <w:p>
      <w:pPr>
        <w:pStyle w:val="Normal"/>
        <w:rPr>
          <w:b/>
          <w:sz w:val="32"/>
          <w:szCs w:val="32"/>
        </w:rPr>
      </w:pPr>
      <w:r>
        <w:rPr>
          <w:b/>
          <w:sz w:val="32"/>
          <w:szCs w:val="32"/>
        </w:rPr>
      </w:r>
    </w:p>
    <w:p>
      <w:pPr>
        <w:pStyle w:val="Normal"/>
        <w:rPr>
          <w:b/>
          <w:sz w:val="32"/>
          <w:szCs w:val="32"/>
        </w:rPr>
      </w:pPr>
      <w:r>
        <w:rPr>
          <w:b/>
          <w:sz w:val="32"/>
          <w:szCs w:val="32"/>
        </w:rPr>
      </w:r>
    </w:p>
    <w:p>
      <w:pPr>
        <w:pStyle w:val="Normal"/>
        <w:rPr>
          <w:b/>
          <w:sz w:val="32"/>
          <w:szCs w:val="32"/>
        </w:rPr>
      </w:pPr>
      <w:r>
        <w:rPr>
          <w:b/>
          <w:sz w:val="32"/>
          <w:szCs w:val="32"/>
        </w:rPr>
      </w:r>
    </w:p>
    <w:p>
      <w:pPr>
        <w:pStyle w:val="Normal"/>
        <w:rPr>
          <w:b/>
          <w:sz w:val="32"/>
          <w:szCs w:val="32"/>
        </w:rPr>
      </w:pPr>
      <w:r>
        <w:rPr>
          <w:b/>
          <w:sz w:val="32"/>
          <w:szCs w:val="32"/>
        </w:rPr>
      </w:r>
    </w:p>
    <w:p>
      <w:pPr>
        <w:pStyle w:val="Normal"/>
        <w:rPr>
          <w:b/>
          <w:sz w:val="32"/>
          <w:szCs w:val="32"/>
        </w:rPr>
      </w:pPr>
      <w:r>
        <w:rPr>
          <w:b/>
          <w:sz w:val="32"/>
          <w:szCs w:val="32"/>
        </w:rPr>
      </w:r>
    </w:p>
    <w:p>
      <w:pPr>
        <w:pStyle w:val="Normal"/>
        <w:rPr>
          <w:b/>
          <w:sz w:val="32"/>
          <w:szCs w:val="32"/>
        </w:rPr>
      </w:pPr>
      <w:r>
        <w:rPr>
          <w:b/>
          <w:sz w:val="32"/>
          <w:szCs w:val="32"/>
        </w:rPr>
      </w:r>
    </w:p>
    <w:p>
      <w:pPr>
        <w:pStyle w:val="Normal"/>
        <w:rPr>
          <w:b/>
          <w:sz w:val="32"/>
          <w:szCs w:val="32"/>
        </w:rPr>
      </w:pPr>
      <w:r>
        <w:rPr>
          <w:b/>
          <w:sz w:val="32"/>
          <w:szCs w:val="32"/>
        </w:rPr>
      </w:r>
    </w:p>
    <w:p>
      <w:pPr>
        <w:pStyle w:val="Normal"/>
        <w:rPr/>
      </w:pPr>
      <w:r>
        <w:rPr>
          <w:b/>
          <w:sz w:val="24"/>
          <w:szCs w:val="24"/>
        </w:rPr>
        <w:t>Presented to Parliament pursuant to Section 40(2) of the Tax Credits Act 2002</w:t>
      </w:r>
    </w:p>
    <w:p>
      <w:pPr>
        <w:pStyle w:val="Normal"/>
        <w:rPr>
          <w:b/>
          <w:sz w:val="24"/>
          <w:szCs w:val="24"/>
        </w:rPr>
      </w:pPr>
      <w:r>
        <w:rPr>
          <w:b/>
          <w:sz w:val="24"/>
          <w:szCs w:val="24"/>
        </w:rPr>
      </w:r>
    </w:p>
    <w:p>
      <w:pPr>
        <w:pStyle w:val="Normal"/>
        <w:rPr>
          <w:b/>
          <w:sz w:val="24"/>
          <w:szCs w:val="24"/>
        </w:rPr>
      </w:pPr>
      <w:r>
        <w:rPr>
          <w:b/>
          <w:sz w:val="24"/>
          <w:szCs w:val="24"/>
        </w:rPr>
      </w:r>
    </w:p>
    <w:p>
      <w:pPr>
        <w:pStyle w:val="Normal"/>
        <w:rPr>
          <w:b/>
          <w:sz w:val="24"/>
          <w:szCs w:val="24"/>
        </w:rPr>
      </w:pPr>
      <w:r>
        <w:rPr>
          <w:b/>
          <w:sz w:val="24"/>
          <w:szCs w:val="24"/>
        </w:rPr>
      </w:r>
    </w:p>
    <w:p>
      <w:pPr>
        <w:pStyle w:val="Normal"/>
        <w:rPr>
          <w:b/>
          <w:sz w:val="24"/>
          <w:szCs w:val="24"/>
        </w:rPr>
      </w:pPr>
      <w:r>
        <w:rPr>
          <w:b/>
          <w:sz w:val="24"/>
          <w:szCs w:val="24"/>
        </w:rPr>
      </w:r>
    </w:p>
    <w:p>
      <w:pPr>
        <w:pStyle w:val="Normal"/>
        <w:rPr>
          <w:b/>
          <w:sz w:val="24"/>
          <w:szCs w:val="24"/>
        </w:rPr>
      </w:pPr>
      <w:r>
        <w:rPr>
          <w:b/>
          <w:sz w:val="24"/>
          <w:szCs w:val="24"/>
        </w:rPr>
      </w:r>
    </w:p>
    <w:p>
      <w:pPr>
        <w:pStyle w:val="Normal"/>
        <w:rPr>
          <w:b/>
          <w:sz w:val="24"/>
          <w:szCs w:val="24"/>
        </w:rPr>
      </w:pPr>
      <w:r>
        <w:rPr>
          <w:b/>
          <w:sz w:val="24"/>
          <w:szCs w:val="24"/>
        </w:rPr>
      </w:r>
    </w:p>
    <w:p>
      <w:pPr>
        <w:pStyle w:val="Normal"/>
        <w:rPr>
          <w:b/>
          <w:sz w:val="24"/>
          <w:szCs w:val="24"/>
        </w:rPr>
      </w:pPr>
      <w:r>
        <w:rPr>
          <w:b/>
          <w:sz w:val="24"/>
          <w:szCs w:val="24"/>
        </w:rPr>
      </w:r>
    </w:p>
    <w:p>
      <w:pPr>
        <w:pStyle w:val="Normal"/>
        <w:rPr>
          <w:b/>
          <w:sz w:val="24"/>
          <w:szCs w:val="24"/>
        </w:rPr>
      </w:pPr>
      <w:r>
        <w:rPr>
          <w:b/>
          <w:sz w:val="24"/>
          <w:szCs w:val="24"/>
        </w:rPr>
        <w:tab/>
        <w:tab/>
        <w:tab/>
        <w:tab/>
        <w:tab/>
        <w:tab/>
        <w:tab/>
        <w:tab/>
        <w:tab/>
        <w:tab/>
      </w:r>
    </w:p>
    <w:p>
      <w:pPr>
        <w:pStyle w:val="Normal"/>
        <w:rPr>
          <w:b/>
          <w:sz w:val="24"/>
          <w:szCs w:val="24"/>
        </w:rPr>
      </w:pPr>
      <w:r>
        <w:rPr>
          <w:b/>
          <w:sz w:val="24"/>
          <w:szCs w:val="24"/>
        </w:rPr>
      </w:r>
    </w:p>
    <w:p>
      <w:pPr>
        <w:pStyle w:val="Normal"/>
        <w:rPr>
          <w:b/>
          <w:sz w:val="24"/>
          <w:szCs w:val="24"/>
        </w:rPr>
      </w:pPr>
      <w:r>
        <w:rPr>
          <w:b/>
          <w:sz w:val="24"/>
          <w:szCs w:val="24"/>
        </w:rPr>
      </w:r>
    </w:p>
    <w:p>
      <w:pPr>
        <w:pStyle w:val="Normal"/>
        <w:ind w:left="7200" w:right="0"/>
        <w:rPr>
          <w:b/>
          <w:sz w:val="24"/>
          <w:szCs w:val="24"/>
        </w:rPr>
      </w:pPr>
      <w:r>
        <w:rPr>
          <w:b/>
          <w:sz w:val="24"/>
          <w:szCs w:val="24"/>
        </w:rPr>
        <w:t>January 2020</w:t>
      </w:r>
      <w:r>
        <w:br w:type="page"/>
      </w:r>
    </w:p>
    <w:p>
      <w:pPr>
        <w:pStyle w:val="Normal"/>
        <w:ind w:left="7200" w:right="0"/>
        <w:rPr>
          <w:b/>
          <w:sz w:val="28"/>
          <w:szCs w:val="28"/>
        </w:rPr>
      </w:pPr>
      <w:r>
        <w:rPr>
          <w:b/>
          <w:sz w:val="28"/>
          <w:szCs w:val="28"/>
        </w:rPr>
      </w:r>
      <w:r>
        <w:br w:type="page"/>
      </w:r>
    </w:p>
    <w:p>
      <w:pPr>
        <w:pStyle w:val="Normal"/>
        <w:rPr>
          <w:b/>
          <w:sz w:val="28"/>
          <w:szCs w:val="28"/>
        </w:rPr>
      </w:pPr>
      <w:r>
        <w:rPr>
          <w:b/>
          <w:sz w:val="28"/>
          <w:szCs w:val="28"/>
        </w:rPr>
        <w:t>REPORT REQUIRED UNDER SECTION 40 OF THE TAX CREDITS ACT 2002</w:t>
      </w:r>
    </w:p>
    <w:p>
      <w:pPr>
        <w:pStyle w:val="Normal"/>
        <w:rPr/>
      </w:pPr>
      <w:r>
        <w:rPr>
          <w:sz w:val="24"/>
          <w:szCs w:val="24"/>
        </w:rPr>
        <w:t>Section 40(1) of the Tax Credits Act 2002 (as amended by the Commissioners for Revenue and Customs Act 2005) requires the Commissioners for Revenue and Customs to make to the Treasury an annual Report about:</w:t>
      </w:r>
    </w:p>
    <w:p>
      <w:pPr>
        <w:pStyle w:val="Normal"/>
        <w:numPr>
          <w:ilvl w:val="0"/>
          <w:numId w:val="3"/>
        </w:numPr>
        <w:rPr>
          <w:sz w:val="24"/>
          <w:szCs w:val="24"/>
        </w:rPr>
      </w:pPr>
      <w:r>
        <w:rPr>
          <w:sz w:val="24"/>
          <w:szCs w:val="24"/>
        </w:rPr>
        <w:t>The number of awards of each tax credit made in the year;</w:t>
      </w:r>
    </w:p>
    <w:p>
      <w:pPr>
        <w:pStyle w:val="Normal"/>
        <w:numPr>
          <w:ilvl w:val="0"/>
          <w:numId w:val="3"/>
        </w:numPr>
        <w:rPr>
          <w:sz w:val="24"/>
          <w:szCs w:val="24"/>
        </w:rPr>
      </w:pPr>
      <w:r>
        <w:rPr>
          <w:sz w:val="24"/>
          <w:szCs w:val="24"/>
        </w:rPr>
        <w:t>The number of enquiries conducted under section 19;</w:t>
      </w:r>
    </w:p>
    <w:p>
      <w:pPr>
        <w:pStyle w:val="Normal"/>
        <w:numPr>
          <w:ilvl w:val="0"/>
          <w:numId w:val="3"/>
        </w:numPr>
        <w:rPr>
          <w:sz w:val="24"/>
          <w:szCs w:val="24"/>
        </w:rPr>
      </w:pPr>
      <w:r>
        <w:rPr>
          <w:sz w:val="24"/>
          <w:szCs w:val="24"/>
        </w:rPr>
        <w:t>The number of penalties imposed; and</w:t>
      </w:r>
    </w:p>
    <w:p>
      <w:pPr>
        <w:pStyle w:val="Normal"/>
        <w:numPr>
          <w:ilvl w:val="0"/>
          <w:numId w:val="3"/>
        </w:numPr>
        <w:rPr>
          <w:sz w:val="24"/>
          <w:szCs w:val="24"/>
        </w:rPr>
      </w:pPr>
      <w:r>
        <w:rPr>
          <w:sz w:val="24"/>
          <w:szCs w:val="24"/>
        </w:rPr>
        <w:t>The number of prosecutions and convictions for offences connected with tax credits.</w:t>
      </w:r>
    </w:p>
    <w:p>
      <w:pPr>
        <w:pStyle w:val="Normal"/>
        <w:rPr>
          <w:sz w:val="24"/>
          <w:szCs w:val="24"/>
        </w:rPr>
      </w:pPr>
      <w:r>
        <w:rPr>
          <w:sz w:val="24"/>
          <w:szCs w:val="24"/>
        </w:rPr>
        <w:t>Section 40(2) requires the Treasury to publish the annual Report and lay a copy before both Houses of Parliament.</w:t>
      </w:r>
    </w:p>
    <w:p>
      <w:pPr>
        <w:pStyle w:val="Normal"/>
        <w:rPr>
          <w:sz w:val="24"/>
          <w:szCs w:val="24"/>
        </w:rPr>
      </w:pPr>
      <w:r>
        <w:rPr>
          <w:sz w:val="24"/>
          <w:szCs w:val="24"/>
        </w:rPr>
        <w:t>The table overleaf shows:</w:t>
      </w:r>
    </w:p>
    <w:p>
      <w:pPr>
        <w:pStyle w:val="Normal"/>
        <w:numPr>
          <w:ilvl w:val="0"/>
          <w:numId w:val="2"/>
        </w:numPr>
        <w:rPr>
          <w:sz w:val="24"/>
          <w:szCs w:val="24"/>
        </w:rPr>
      </w:pPr>
      <w:r>
        <w:rPr>
          <w:sz w:val="24"/>
          <w:szCs w:val="24"/>
        </w:rPr>
        <w:t>The number of awards of tax credits.</w:t>
      </w:r>
    </w:p>
    <w:p>
      <w:pPr>
        <w:pStyle w:val="Normal"/>
        <w:numPr>
          <w:ilvl w:val="0"/>
          <w:numId w:val="2"/>
        </w:numPr>
        <w:rPr>
          <w:color w:val="000000"/>
          <w:sz w:val="24"/>
          <w:szCs w:val="24"/>
        </w:rPr>
      </w:pPr>
      <w:r>
        <w:rPr>
          <w:color w:val="000000"/>
          <w:sz w:val="24"/>
          <w:szCs w:val="24"/>
        </w:rPr>
        <w:t xml:space="preserve">This is based on information processed by 2 April 2019. Not all information for 2018-19 is yet finalised at the time of production of this report.  The average number of recipients in the year, based on this final information, is planned for publication by July 2020. The figures quoted in this report were published in HMRC’s Child and Working Tax Credits (WTC) statistics in July 2019, and relate to provisional awards as at 2 April 2019.  </w:t>
      </w:r>
    </w:p>
    <w:p>
      <w:pPr>
        <w:pStyle w:val="Normal"/>
        <w:ind w:left="720" w:right="0"/>
        <w:rPr/>
      </w:pPr>
      <w:r>
        <w:rPr>
          <w:sz w:val="24"/>
          <w:szCs w:val="24"/>
        </w:rPr>
        <w:t>The figures include out of work families with children receiving Child Tax Credit (CTC), but does not include families receiving ‘family support’ through the benefits administered by the Department for Work and Pensions (i.e. Universal Credit, Income Support, and income based Jobseekers Allowance).</w:t>
      </w:r>
    </w:p>
    <w:p>
      <w:pPr>
        <w:pStyle w:val="Normal"/>
        <w:numPr>
          <w:ilvl w:val="0"/>
          <w:numId w:val="2"/>
        </w:numPr>
        <w:rPr>
          <w:sz w:val="24"/>
          <w:szCs w:val="24"/>
        </w:rPr>
      </w:pPr>
      <w:r>
        <w:rPr>
          <w:sz w:val="24"/>
          <w:szCs w:val="24"/>
        </w:rPr>
        <w:t>Number of enquiries conducted under section 19.</w:t>
      </w:r>
    </w:p>
    <w:p>
      <w:pPr>
        <w:pStyle w:val="Normal"/>
        <w:ind w:left="720" w:right="0"/>
        <w:rPr>
          <w:sz w:val="24"/>
          <w:szCs w:val="24"/>
        </w:rPr>
      </w:pPr>
      <w:r>
        <w:rPr>
          <w:sz w:val="24"/>
          <w:szCs w:val="24"/>
        </w:rPr>
        <w:t xml:space="preserve">Section 19 of the Tax Credits Act 2002 allows the Board to carry out enquiries into awards after the end of the year, once they have been finalised. There were 13,572 enquiries conducted in 2018-19. In the previous year (2017-18) there were 16,210 enquiries.  </w:t>
      </w:r>
    </w:p>
    <w:p>
      <w:pPr>
        <w:pStyle w:val="Normal"/>
        <w:numPr>
          <w:ilvl w:val="0"/>
          <w:numId w:val="2"/>
        </w:numPr>
        <w:rPr>
          <w:sz w:val="24"/>
          <w:szCs w:val="24"/>
        </w:rPr>
      </w:pPr>
      <w:r>
        <w:rPr>
          <w:sz w:val="24"/>
          <w:szCs w:val="24"/>
        </w:rPr>
        <w:t>Number of penalties imposed.</w:t>
      </w:r>
    </w:p>
    <w:p>
      <w:pPr>
        <w:pStyle w:val="Normal"/>
        <w:ind w:left="720" w:right="0"/>
        <w:rPr>
          <w:sz w:val="24"/>
          <w:szCs w:val="24"/>
        </w:rPr>
      </w:pPr>
      <w:r>
        <w:rPr>
          <w:sz w:val="24"/>
          <w:szCs w:val="24"/>
        </w:rPr>
        <w:t>In 2018-19 there were 11,793 cases where a penalty was imposed for tax credit related offences.  This compares with 11,524 cases in 2017-18.  HMRC collects data on the number of individual penalties imposed: for 2018-19 there were 12,766 individual penalties, compared with 12,752 in 2017-18.  Where a case or award is a joint or household claim, two penalty notices can be given, split equally between the couple (individual penalties).</w:t>
      </w:r>
    </w:p>
    <w:p>
      <w:pPr>
        <w:pStyle w:val="Normal"/>
        <w:numPr>
          <w:ilvl w:val="0"/>
          <w:numId w:val="2"/>
        </w:numPr>
        <w:rPr>
          <w:sz w:val="24"/>
          <w:szCs w:val="24"/>
        </w:rPr>
      </w:pPr>
      <w:r>
        <w:rPr>
          <w:sz w:val="24"/>
          <w:szCs w:val="24"/>
        </w:rPr>
        <w:t>Number of prosecutions and convictions for offences connected with tax credits.</w:t>
      </w:r>
    </w:p>
    <w:p>
      <w:pPr>
        <w:pStyle w:val="Normal"/>
        <w:ind w:left="720" w:right="0"/>
        <w:rPr>
          <w:sz w:val="24"/>
          <w:szCs w:val="24"/>
        </w:rPr>
      </w:pPr>
      <w:r>
        <w:rPr>
          <w:sz w:val="24"/>
          <w:szCs w:val="24"/>
        </w:rPr>
        <w:t>For serious offences, HMRC continues to adopt a policy of selective prosecutions and publicises the results. There were 160 prosecutions and 156 convictions for tax credits in 2018-19 compared to 311 prosecutions and 303 convictions for tax credits in 2017-18.</w:t>
      </w:r>
    </w:p>
    <w:p>
      <w:pPr>
        <w:sectPr>
          <w:type w:val="nextPage"/>
          <w:pgSz w:w="11906" w:h="16838"/>
          <w:pgMar w:left="1440" w:right="1440" w:gutter="0" w:header="0" w:top="1440" w:footer="0" w:bottom="1440"/>
          <w:pgNumType w:fmt="decimal"/>
          <w:formProt w:val="false"/>
          <w:textDirection w:val="lrTb"/>
          <w:docGrid w:type="default" w:linePitch="360" w:charSpace="0"/>
        </w:sectPr>
        <w:pStyle w:val="Normal"/>
        <w:ind w:left="720" w:right="0"/>
        <w:rPr>
          <w:sz w:val="24"/>
          <w:szCs w:val="24"/>
        </w:rPr>
      </w:pPr>
      <w:r>
        <w:rPr>
          <w:sz w:val="24"/>
          <w:szCs w:val="24"/>
        </w:rPr>
      </w:r>
    </w:p>
    <w:p>
      <w:pPr>
        <w:pStyle w:val="Normal"/>
        <w:ind w:left="720" w:right="0"/>
        <w:rPr>
          <w:b/>
          <w:sz w:val="28"/>
          <w:szCs w:val="28"/>
        </w:rPr>
      </w:pPr>
      <w:r>
        <w:rPr>
          <w:b/>
          <w:sz w:val="28"/>
          <w:szCs w:val="28"/>
        </w:rPr>
        <w:t>REPORT REQUIRED UNDER SECTION 40 OF THE TAX CREDITS ACT 2002 FOR THE TAX YEAR 2018-2019</w:t>
      </w:r>
    </w:p>
    <w:p>
      <w:pPr>
        <w:pStyle w:val="Normal"/>
        <w:ind w:left="720" w:right="0"/>
        <w:rPr>
          <w:b/>
          <w:sz w:val="28"/>
          <w:szCs w:val="28"/>
        </w:rPr>
      </w:pPr>
      <w:r>
        <w:rPr>
          <w:b/>
          <w:sz w:val="28"/>
          <w:szCs w:val="28"/>
        </w:rPr>
      </w:r>
    </w:p>
    <w:tbl>
      <w:tblPr>
        <w:tblW w:w="13422" w:type="dxa"/>
        <w:jc w:val="left"/>
        <w:tblInd w:w="720" w:type="dxa"/>
        <w:tblLayout w:type="fixed"/>
        <w:tblCellMar>
          <w:top w:w="0" w:type="dxa"/>
          <w:left w:w="108" w:type="dxa"/>
          <w:bottom w:w="0" w:type="dxa"/>
          <w:right w:w="108" w:type="dxa"/>
        </w:tblCellMar>
      </w:tblPr>
      <w:tblGrid>
        <w:gridCol w:w="8602"/>
        <w:gridCol w:w="1701"/>
        <w:gridCol w:w="1559"/>
        <w:gridCol w:w="1560"/>
      </w:tblGrid>
      <w:tr>
        <w:trPr/>
        <w:tc>
          <w:tcPr>
            <w:tcW w:w="8602"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60"/>
              <w:rPr>
                <w:sz w:val="24"/>
                <w:szCs w:val="24"/>
              </w:rPr>
            </w:pPr>
            <w:r>
              <w:rPr>
                <w:sz w:val="24"/>
                <w:szCs w:val="24"/>
              </w:rPr>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before="0" w:after="160"/>
              <w:rPr>
                <w:b/>
                <w:sz w:val="24"/>
                <w:szCs w:val="24"/>
              </w:rPr>
            </w:pPr>
            <w:r>
              <w:rPr>
                <w:b/>
                <w:sz w:val="24"/>
                <w:szCs w:val="24"/>
              </w:rPr>
              <w:t>Working Tax Credit</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before="0" w:after="160"/>
              <w:rPr>
                <w:b/>
                <w:sz w:val="24"/>
                <w:szCs w:val="24"/>
              </w:rPr>
            </w:pPr>
            <w:r>
              <w:rPr>
                <w:b/>
                <w:sz w:val="24"/>
                <w:szCs w:val="24"/>
              </w:rPr>
              <w:t xml:space="preserve">Child Tax Credit </w:t>
            </w:r>
          </w:p>
        </w:tc>
        <w:tc>
          <w:tcPr>
            <w:tcW w:w="1560" w:type="dxa"/>
            <w:tcBorders>
              <w:top w:val="single" w:sz="4" w:space="0" w:color="000000"/>
              <w:left w:val="single" w:sz="4" w:space="0" w:color="000000"/>
              <w:bottom w:val="single" w:sz="4" w:space="0" w:color="000000"/>
              <w:right w:val="single" w:sz="4" w:space="0" w:color="000000"/>
            </w:tcBorders>
          </w:tcPr>
          <w:p>
            <w:pPr>
              <w:pStyle w:val="Normal"/>
              <w:spacing w:before="0" w:after="160"/>
              <w:rPr>
                <w:b/>
                <w:sz w:val="24"/>
                <w:szCs w:val="24"/>
              </w:rPr>
            </w:pPr>
            <w:r>
              <w:rPr>
                <w:b/>
                <w:sz w:val="24"/>
                <w:szCs w:val="24"/>
              </w:rPr>
              <w:t>Total</w:t>
            </w:r>
          </w:p>
        </w:tc>
      </w:tr>
      <w:tr>
        <w:trPr/>
        <w:tc>
          <w:tcPr>
            <w:tcW w:w="8602" w:type="dxa"/>
            <w:tcBorders>
              <w:top w:val="single" w:sz="4" w:space="0" w:color="000000"/>
              <w:left w:val="single" w:sz="4" w:space="0" w:color="000000"/>
              <w:bottom w:val="single" w:sz="4" w:space="0" w:color="000000"/>
              <w:right w:val="single" w:sz="4" w:space="0" w:color="000000"/>
            </w:tcBorders>
          </w:tcPr>
          <w:p>
            <w:pPr>
              <w:pStyle w:val="Normal"/>
              <w:numPr>
                <w:ilvl w:val="0"/>
                <w:numId w:val="1"/>
              </w:numPr>
              <w:spacing w:before="0" w:after="160"/>
              <w:rPr>
                <w:sz w:val="24"/>
                <w:szCs w:val="24"/>
              </w:rPr>
            </w:pPr>
            <w:r>
              <w:rPr>
                <w:sz w:val="24"/>
                <w:szCs w:val="24"/>
              </w:rPr>
              <w:t>The number of awards of tax credits (thousands)</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t>1,615</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t>2,826</w:t>
            </w:r>
          </w:p>
        </w:tc>
        <w:tc>
          <w:tcPr>
            <w:tcW w:w="156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7" w:before="0" w:after="160"/>
              <w:rPr>
                <w:sz w:val="24"/>
                <w:szCs w:val="24"/>
              </w:rPr>
            </w:pPr>
            <w:r>
              <w:rPr>
                <w:sz w:val="24"/>
                <w:szCs w:val="24"/>
              </w:rPr>
              <w:t>3,102</w:t>
            </w:r>
            <w:r>
              <w:rPr>
                <w:rStyle w:val="FootnoteCharacters"/>
                <w:rStyle w:val="FootnoteReference"/>
                <w:sz w:val="24"/>
                <w:szCs w:val="24"/>
              </w:rPr>
              <w:footnoteReference w:id="2"/>
            </w:r>
          </w:p>
        </w:tc>
      </w:tr>
      <w:tr>
        <w:trPr/>
        <w:tc>
          <w:tcPr>
            <w:tcW w:w="8602" w:type="dxa"/>
            <w:tcBorders>
              <w:top w:val="single" w:sz="4" w:space="0" w:color="000000"/>
              <w:left w:val="single" w:sz="4" w:space="0" w:color="000000"/>
              <w:bottom w:val="single" w:sz="4" w:space="0" w:color="000000"/>
              <w:right w:val="single" w:sz="4" w:space="0" w:color="000000"/>
            </w:tcBorders>
          </w:tcPr>
          <w:p>
            <w:pPr>
              <w:pStyle w:val="Normal"/>
              <w:numPr>
                <w:ilvl w:val="0"/>
                <w:numId w:val="1"/>
              </w:numPr>
              <w:spacing w:before="0" w:after="160"/>
              <w:rPr>
                <w:sz w:val="24"/>
                <w:szCs w:val="24"/>
              </w:rPr>
            </w:pPr>
            <w:r>
              <w:rPr>
                <w:sz w:val="24"/>
                <w:szCs w:val="24"/>
              </w:rPr>
              <w:t>Number of enquiries conducted under section 19</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60"/>
              <w:rPr>
                <w:sz w:val="24"/>
                <w:szCs w:val="24"/>
              </w:rPr>
            </w:pPr>
            <w:r>
              <w:rPr>
                <w:sz w:val="24"/>
                <w:szCs w:val="24"/>
              </w:rPr>
            </w:r>
          </w:p>
        </w:tc>
        <w:tc>
          <w:tcPr>
            <w:tcW w:w="155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60"/>
              <w:rPr>
                <w:sz w:val="24"/>
                <w:szCs w:val="24"/>
              </w:rPr>
            </w:pPr>
            <w:r>
              <w:rPr>
                <w:sz w:val="24"/>
                <w:szCs w:val="24"/>
              </w:rPr>
            </w:r>
          </w:p>
        </w:tc>
        <w:tc>
          <w:tcPr>
            <w:tcW w:w="156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7" w:before="0" w:after="160"/>
              <w:rPr>
                <w:sz w:val="24"/>
                <w:szCs w:val="24"/>
              </w:rPr>
            </w:pPr>
            <w:r>
              <w:rPr>
                <w:sz w:val="24"/>
                <w:szCs w:val="24"/>
              </w:rPr>
              <w:t xml:space="preserve">13,572 </w:t>
            </w:r>
            <w:r>
              <w:rPr>
                <w:rStyle w:val="FootnoteCharacters"/>
                <w:rStyle w:val="FootnoteReference"/>
                <w:sz w:val="24"/>
                <w:szCs w:val="24"/>
              </w:rPr>
              <w:footnoteReference w:id="3"/>
            </w:r>
          </w:p>
        </w:tc>
      </w:tr>
      <w:tr>
        <w:trPr/>
        <w:tc>
          <w:tcPr>
            <w:tcW w:w="8602" w:type="dxa"/>
            <w:tcBorders>
              <w:top w:val="single" w:sz="4" w:space="0" w:color="000000"/>
              <w:left w:val="single" w:sz="4" w:space="0" w:color="000000"/>
              <w:bottom w:val="single" w:sz="4" w:space="0" w:color="000000"/>
              <w:right w:val="single" w:sz="4" w:space="0" w:color="000000"/>
            </w:tcBorders>
          </w:tcPr>
          <w:p>
            <w:pPr>
              <w:pStyle w:val="Normal"/>
              <w:numPr>
                <w:ilvl w:val="0"/>
                <w:numId w:val="1"/>
              </w:numPr>
              <w:spacing w:before="0" w:after="160"/>
              <w:rPr>
                <w:sz w:val="24"/>
                <w:szCs w:val="24"/>
              </w:rPr>
            </w:pPr>
            <w:r>
              <w:rPr>
                <w:sz w:val="24"/>
                <w:szCs w:val="24"/>
              </w:rPr>
              <w:t>Number of penalties imposed (cases)</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60"/>
              <w:rPr>
                <w:sz w:val="24"/>
                <w:szCs w:val="24"/>
              </w:rPr>
            </w:pPr>
            <w:r>
              <w:rPr>
                <w:sz w:val="24"/>
                <w:szCs w:val="24"/>
              </w:rPr>
            </w:r>
          </w:p>
        </w:tc>
        <w:tc>
          <w:tcPr>
            <w:tcW w:w="155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60"/>
              <w:rPr>
                <w:sz w:val="24"/>
                <w:szCs w:val="24"/>
              </w:rPr>
            </w:pPr>
            <w:r>
              <w:rPr>
                <w:sz w:val="24"/>
                <w:szCs w:val="24"/>
              </w:rPr>
            </w:r>
          </w:p>
        </w:tc>
        <w:tc>
          <w:tcPr>
            <w:tcW w:w="156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7" w:before="0" w:after="160"/>
              <w:rPr>
                <w:sz w:val="24"/>
                <w:szCs w:val="24"/>
              </w:rPr>
            </w:pPr>
            <w:r>
              <w:rPr>
                <w:sz w:val="24"/>
                <w:szCs w:val="24"/>
              </w:rPr>
              <w:t xml:space="preserve">11,793 </w:t>
            </w:r>
            <w:r>
              <w:rPr>
                <w:rStyle w:val="FootnoteCharacters"/>
                <w:rStyle w:val="FootnoteReference"/>
                <w:sz w:val="24"/>
                <w:szCs w:val="24"/>
              </w:rPr>
              <w:footnoteReference w:id="4"/>
            </w:r>
          </w:p>
        </w:tc>
      </w:tr>
    </w:tbl>
    <w:p>
      <w:pPr>
        <w:pStyle w:val="Normal"/>
        <w:ind w:left="720" w:right="0"/>
        <w:rPr>
          <w:sz w:val="24"/>
          <w:szCs w:val="24"/>
        </w:rPr>
      </w:pPr>
      <w:r>
        <w:rPr>
          <w:sz w:val="24"/>
          <w:szCs w:val="24"/>
        </w:rPr>
      </w:r>
    </w:p>
    <w:p>
      <w:pPr>
        <w:pStyle w:val="Normal"/>
        <w:ind w:left="720" w:right="0"/>
        <w:rPr>
          <w:sz w:val="24"/>
          <w:szCs w:val="24"/>
        </w:rPr>
      </w:pPr>
      <w:r>
        <w:rPr>
          <w:sz w:val="24"/>
          <w:szCs w:val="24"/>
        </w:rPr>
      </w:r>
    </w:p>
    <w:tbl>
      <w:tblPr>
        <w:tblW w:w="13454" w:type="dxa"/>
        <w:jc w:val="left"/>
        <w:tblInd w:w="720" w:type="dxa"/>
        <w:tblLayout w:type="fixed"/>
        <w:tblCellMar>
          <w:top w:w="0" w:type="dxa"/>
          <w:left w:w="108" w:type="dxa"/>
          <w:bottom w:w="0" w:type="dxa"/>
          <w:right w:w="108" w:type="dxa"/>
        </w:tblCellMar>
      </w:tblPr>
      <w:tblGrid>
        <w:gridCol w:w="7752"/>
        <w:gridCol w:w="2835"/>
        <w:gridCol w:w="2867"/>
      </w:tblGrid>
      <w:tr>
        <w:trPr/>
        <w:tc>
          <w:tcPr>
            <w:tcW w:w="7752"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60"/>
              <w:rPr>
                <w:sz w:val="24"/>
                <w:szCs w:val="24"/>
              </w:rPr>
            </w:pPr>
            <w:r>
              <w:rPr>
                <w:sz w:val="24"/>
                <w:szCs w:val="24"/>
              </w:rPr>
            </w:r>
          </w:p>
        </w:tc>
        <w:tc>
          <w:tcPr>
            <w:tcW w:w="2835" w:type="dxa"/>
            <w:tcBorders>
              <w:top w:val="single" w:sz="4" w:space="0" w:color="000000"/>
              <w:left w:val="single" w:sz="4" w:space="0" w:color="000000"/>
              <w:bottom w:val="single" w:sz="4" w:space="0" w:color="000000"/>
              <w:right w:val="single" w:sz="4" w:space="0" w:color="000000"/>
            </w:tcBorders>
          </w:tcPr>
          <w:p>
            <w:pPr>
              <w:pStyle w:val="Normal"/>
              <w:spacing w:before="0" w:after="160"/>
              <w:rPr>
                <w:b/>
                <w:sz w:val="24"/>
                <w:szCs w:val="24"/>
              </w:rPr>
            </w:pPr>
            <w:r>
              <w:rPr>
                <w:b/>
                <w:sz w:val="24"/>
                <w:szCs w:val="24"/>
              </w:rPr>
              <w:t>Prosecutions</w:t>
            </w:r>
          </w:p>
        </w:tc>
        <w:tc>
          <w:tcPr>
            <w:tcW w:w="2867" w:type="dxa"/>
            <w:tcBorders>
              <w:top w:val="single" w:sz="4" w:space="0" w:color="000000"/>
              <w:left w:val="single" w:sz="4" w:space="0" w:color="000000"/>
              <w:bottom w:val="single" w:sz="4" w:space="0" w:color="000000"/>
              <w:right w:val="single" w:sz="4" w:space="0" w:color="000000"/>
            </w:tcBorders>
          </w:tcPr>
          <w:p>
            <w:pPr>
              <w:pStyle w:val="Normal"/>
              <w:spacing w:before="0" w:after="160"/>
              <w:rPr>
                <w:b/>
                <w:sz w:val="24"/>
                <w:szCs w:val="24"/>
              </w:rPr>
            </w:pPr>
            <w:r>
              <w:rPr>
                <w:b/>
                <w:sz w:val="24"/>
                <w:szCs w:val="24"/>
              </w:rPr>
              <w:t>Convictions</w:t>
            </w:r>
          </w:p>
        </w:tc>
      </w:tr>
      <w:tr>
        <w:trPr/>
        <w:tc>
          <w:tcPr>
            <w:tcW w:w="7752" w:type="dxa"/>
            <w:tcBorders>
              <w:top w:val="single" w:sz="4" w:space="0" w:color="000000"/>
              <w:left w:val="single" w:sz="4" w:space="0" w:color="000000"/>
              <w:bottom w:val="single" w:sz="4" w:space="0" w:color="000000"/>
              <w:right w:val="single" w:sz="4" w:space="0" w:color="000000"/>
            </w:tcBorders>
          </w:tcPr>
          <w:p>
            <w:pPr>
              <w:pStyle w:val="Normal"/>
              <w:numPr>
                <w:ilvl w:val="0"/>
                <w:numId w:val="1"/>
              </w:numPr>
              <w:spacing w:before="0" w:after="160"/>
              <w:rPr>
                <w:sz w:val="24"/>
                <w:szCs w:val="24"/>
              </w:rPr>
            </w:pPr>
            <w:r>
              <w:rPr>
                <w:sz w:val="24"/>
                <w:szCs w:val="24"/>
              </w:rPr>
              <w:t>Number of prosecutions and convictions for offences connected with tax credits</w:t>
            </w:r>
          </w:p>
        </w:tc>
        <w:tc>
          <w:tcPr>
            <w:tcW w:w="283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t>160</w:t>
            </w:r>
          </w:p>
        </w:tc>
        <w:tc>
          <w:tcPr>
            <w:tcW w:w="286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t>156</w:t>
            </w:r>
          </w:p>
        </w:tc>
      </w:tr>
    </w:tbl>
    <w:p>
      <w:pPr>
        <w:pStyle w:val="Normal"/>
        <w:rPr>
          <w:sz w:val="24"/>
          <w:szCs w:val="24"/>
        </w:rPr>
      </w:pPr>
      <w:r>
        <w:rPr>
          <w:sz w:val="24"/>
          <w:szCs w:val="24"/>
        </w:rPr>
      </w:r>
    </w:p>
    <w:p>
      <w:pPr>
        <w:pStyle w:val="Normal"/>
        <w:spacing w:before="0" w:after="160"/>
        <w:rPr>
          <w:sz w:val="24"/>
          <w:szCs w:val="24"/>
        </w:rPr>
      </w:pPr>
      <w:r>
        <w:rPr>
          <w:sz w:val="24"/>
          <w:szCs w:val="24"/>
        </w:rPr>
      </w:r>
    </w:p>
    <w:sectPr>
      <w:footnotePr>
        <w:numFmt w:val="decimal"/>
      </w:footnotePr>
      <w:type w:val="nextPage"/>
      <w:pgSz w:orient="landscape" w:w="16838" w:h="11906"/>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Symbol">
    <w:altName w:val="Times New Roman"/>
    <w:charset w:val="02"/>
    <w:family w:val="roman"/>
    <w:pitch w:val="variable"/>
  </w:font>
  <w:font w:name="Courier New">
    <w:charset w:val="00"/>
    <w:family w:val="modern"/>
    <w:pitch w:val="default"/>
  </w:font>
  <w:font w:name="Wingdings">
    <w:altName w:val="Wingdings 2"/>
    <w:charset w:val="02"/>
    <w:family w:val="auto"/>
    <w:pitch w:val="variable"/>
  </w:font>
  <w:font w:name="Segoe UI">
    <w:charset w:val="00"/>
    <w:family w:val="swiss"/>
    <w:pitch w:val="variable"/>
  </w:font>
  <w:font w:name="Liberation Sans">
    <w:altName w:val="Arial"/>
    <w:charset w:val="00"/>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160"/>
        <w:rPr/>
      </w:pPr>
      <w:r>
        <w:rPr>
          <w:rStyle w:val="FootnoteCharacters"/>
        </w:rPr>
        <w:footnoteRef/>
      </w:r>
      <w:r>
        <w:rPr/>
        <w:t xml:space="preserve"> </w:t>
      </w:r>
      <w:r>
        <w:rPr/>
        <w:t>Awards with positive amounts for both WTC and/or CTC are included in each of the first two columns but counted only once in the final column. These figures are published in HMRC’s Child and Working Tax Credit statistics for April 2019.</w:t>
      </w:r>
    </w:p>
  </w:footnote>
  <w:footnote w:id="3">
    <w:p>
      <w:pPr>
        <w:pStyle w:val="FootnoteText"/>
        <w:spacing w:before="0" w:after="160"/>
        <w:rPr/>
      </w:pPr>
      <w:r>
        <w:rPr>
          <w:rStyle w:val="FootnoteCharacters"/>
        </w:rPr>
        <w:footnoteRef/>
      </w:r>
      <w:r>
        <w:rPr/>
        <w:t xml:space="preserve"> </w:t>
      </w:r>
      <w:r>
        <w:rPr/>
        <w:t>The total figure cannot be broken down into CTC and WTC because a case may involve both. This figure also includes Section 20 enquiries (where an enquiry is made twelve months or more from the end of the relevant tax year).  This figure cannot be broken down to show Section 19 separately.</w:t>
      </w:r>
    </w:p>
  </w:footnote>
  <w:footnote w:id="4">
    <w:p>
      <w:pPr>
        <w:pStyle w:val="FootnoteText"/>
        <w:spacing w:before="0" w:after="160"/>
        <w:rPr/>
      </w:pPr>
      <w:r>
        <w:rPr>
          <w:rStyle w:val="FootnoteCharacters"/>
        </w:rPr>
        <w:footnoteRef/>
      </w:r>
      <w:r>
        <w:rPr/>
        <w:t xml:space="preserve"> </w:t>
      </w:r>
      <w:r>
        <w:rPr/>
        <w:t>The total figure cannot be broken down into CTC and WTC because a case may involve both.</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lvl>
  </w:abstractNum>
  <w:abstractNum w:abstractNumId="2">
    <w:lvl w:ilvl="0">
      <w:start w:val="1"/>
      <w:numFmt w:val="lowerLetter"/>
      <w:lvlText w:val="%1)"/>
      <w:lvlJc w:val="left"/>
      <w:pPr>
        <w:tabs>
          <w:tab w:val="num" w:pos="0"/>
        </w:tabs>
        <w:ind w:left="720" w:hanging="360"/>
      </w:pPr>
    </w:lvl>
  </w:abstractNum>
  <w:abstractNum w:abstractNumId="3">
    <w:lvl w:ilvl="0">
      <w:start w:val="1"/>
      <w:numFmt w:val="bullet"/>
      <w:lvlText w:val=""/>
      <w:lvlJc w:val="left"/>
      <w:pPr>
        <w:tabs>
          <w:tab w:val="num" w:pos="0"/>
        </w:tabs>
        <w:ind w:left="720" w:hanging="36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revisionView w:insDel="0" w:formatting="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Times"/>
      <w:color w:val="auto"/>
      <w:sz w:val="22"/>
      <w:szCs w:val="22"/>
      <w:lang w:val="en-GB" w:bidi="ar-SA"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Symbol;Times New Roman" w:hAnsi="Symbol;Times New Roman" w:cs="Symbol;Times New Roman"/>
    </w:rPr>
  </w:style>
  <w:style w:type="character" w:styleId="WW8Num5z1">
    <w:name w:val="WW8Num5z1"/>
    <w:qFormat/>
    <w:rPr>
      <w:rFonts w:ascii="Courier New;Courier New" w:hAnsi="Courier New;Courier New" w:cs="Courier New;Courier New"/>
    </w:rPr>
  </w:style>
  <w:style w:type="character" w:styleId="WW8Num5z2">
    <w:name w:val="WW8Num5z2"/>
    <w:qFormat/>
    <w:rPr>
      <w:rFonts w:ascii="Wingdings;Wingdings 2" w:hAnsi="Wingdings;Wingdings 2" w:cs="Wingdings;Wingdings 2"/>
    </w:rPr>
  </w:style>
  <w:style w:type="character" w:styleId="WW8Num6z0">
    <w:name w:val="WW8Num6z0"/>
    <w:qFormat/>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rPr>
  </w:style>
  <w:style w:type="character" w:styleId="FootnoteTextChar">
    <w:name w:val="Footnote Text Char"/>
    <w:qFormat/>
    <w:rPr/>
  </w:style>
  <w:style w:type="character" w:styleId="FootnoteCharacters">
    <w:name w:val="Footnote Characters"/>
    <w:qFormat/>
    <w:rPr>
      <w:vertAlign w:val="superscript"/>
    </w:rPr>
  </w:style>
  <w:style w:type="character" w:styleId="CommentReference">
    <w:name w:val="Comment Reference"/>
    <w:qFormat/>
    <w:rPr>
      <w:sz w:val="16"/>
      <w:szCs w:val="16"/>
    </w:rPr>
  </w:style>
  <w:style w:type="character" w:styleId="CommentTextChar">
    <w:name w:val="Comment Text Char"/>
    <w:qFormat/>
    <w:rPr/>
  </w:style>
  <w:style w:type="character" w:styleId="CommentSubjectChar">
    <w:name w:val="Comment Subject Char"/>
    <w:qFormat/>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spacing w:lineRule="auto" w:line="240" w:before="0" w:after="0"/>
    </w:pPr>
    <w:rPr>
      <w:rFonts w:ascii="Segoe UI" w:hAnsi="Segoe UI" w:cs="Segoe UI"/>
      <w:sz w:val="18"/>
      <w:szCs w:val="18"/>
    </w:rPr>
  </w:style>
  <w:style w:type="paragraph" w:styleId="FootnoteText">
    <w:name w:val="footnote text"/>
    <w:basedOn w:val="Normal"/>
    <w:pPr/>
    <w:rPr>
      <w:sz w:val="20"/>
      <w:szCs w:val="20"/>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Calibri" w:hAnsi="Calibri" w:eastAsia="Calibri" w:cs="Times New Roman; Times"/>
      <w:color w:val="auto"/>
      <w:sz w:val="22"/>
      <w:szCs w:val="22"/>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2020-01-28T15:57:00Z</dcterms:created>
  <dc:creator>Jacqueline Latter</dc:creator>
  <dc:description/>
  <cp:keywords/>
  <dc:language>en-GB</dc:language>
  <cp:lastModifiedBy>Hastick, Andrea - HMT</cp:lastModifiedBy>
  <cp:lastPrinted>2020-01-28T15:00:00Z</cp:lastPrinted>
  <dcterms:modified xsi:type="dcterms:W3CDTF">2020-01-28T15:57:00Z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0x010100672A3FCA98991645BE083C320B7539B70073E2331C55A74AA0969608FB8C0629F600CBDDE69890E4AE49814FA43CD554EF51</vt:lpwstr>
  </property>
  <property fmtid="{D5CDD505-2E9C-101B-9397-08002B2CF9AE}" pid="3" name="HMT_ArchivedBy">
    <vt:lpwstr/>
  </property>
  <property fmtid="{D5CDD505-2E9C-101B-9397-08002B2CF9AE}" pid="4" name="HMT_ArchivedOn">
    <vt:lpwstr/>
  </property>
  <property fmtid="{D5CDD505-2E9C-101B-9397-08002B2CF9AE}" pid="5" name="HMT_Audit">
    <vt:lpwstr/>
  </property>
  <property fmtid="{D5CDD505-2E9C-101B-9397-08002B2CF9AE}" pid="6" name="HMT_Category">
    <vt:lpwstr>4;#Policy Document Types|bd4325a7-7f6a-48f9-b0dc-cc3aef626e65</vt:lpwstr>
  </property>
  <property fmtid="{D5CDD505-2E9C-101B-9397-08002B2CF9AE}" pid="7" name="HMT_CategoryHTField0">
    <vt:lpwstr>Policy Document Types|bd4325a7-7f6a-48f9-b0dc-cc3aef626e65</vt:lpwstr>
  </property>
  <property fmtid="{D5CDD505-2E9C-101B-9397-08002B2CF9AE}" pid="8" name="HMT_Classification">
    <vt:lpwstr>8;#Official|0c3401bb-744b-4660-997f-fc50d910db48</vt:lpwstr>
  </property>
  <property fmtid="{D5CDD505-2E9C-101B-9397-08002B2CF9AE}" pid="9" name="HMT_ClosedArchive">
    <vt:lpwstr>0</vt:lpwstr>
  </property>
  <property fmtid="{D5CDD505-2E9C-101B-9397-08002B2CF9AE}" pid="10" name="HMT_ClosedBy">
    <vt:lpwstr/>
  </property>
  <property fmtid="{D5CDD505-2E9C-101B-9397-08002B2CF9AE}" pid="11" name="HMT_ClosedOn">
    <vt:lpwstr/>
  </property>
  <property fmtid="{D5CDD505-2E9C-101B-9397-08002B2CF9AE}" pid="12" name="HMT_ClosedOnOrig">
    <vt:lpwstr/>
  </property>
  <property fmtid="{D5CDD505-2E9C-101B-9397-08002B2CF9AE}" pid="13" name="HMT_ClosedbyOrig">
    <vt:lpwstr/>
  </property>
  <property fmtid="{D5CDD505-2E9C-101B-9397-08002B2CF9AE}" pid="14" name="HMT_DeletedOn">
    <vt:lpwstr/>
  </property>
  <property fmtid="{D5CDD505-2E9C-101B-9397-08002B2CF9AE}" pid="15" name="HMT_DocumentType">
    <vt:lpwstr>1;#Other|c235b5c2-f697-427b-a70a-43d69599f998</vt:lpwstr>
  </property>
  <property fmtid="{D5CDD505-2E9C-101B-9397-08002B2CF9AE}" pid="16" name="HMT_DocumentTypeHTField0">
    <vt:lpwstr>Other|c235b5c2-f697-427b-a70a-43d69599f998</vt:lpwstr>
  </property>
  <property fmtid="{D5CDD505-2E9C-101B-9397-08002B2CF9AE}" pid="17" name="HMT_Group">
    <vt:lpwstr>2;#Ministerial and Communications|9d8fc5c3-f187-4cdc-9b2e-d03a5d5367ae</vt:lpwstr>
  </property>
  <property fmtid="{D5CDD505-2E9C-101B-9397-08002B2CF9AE}" pid="18" name="HMT_GroupHTField0">
    <vt:lpwstr>Ministerial and Communications|9d8fc5c3-f187-4cdc-9b2e-d03a5d5367ae</vt:lpwstr>
  </property>
  <property fmtid="{D5CDD505-2E9C-101B-9397-08002B2CF9AE}" pid="19" name="HMT_LegacyCreatedBy">
    <vt:lpwstr/>
  </property>
  <property fmtid="{D5CDD505-2E9C-101B-9397-08002B2CF9AE}" pid="20" name="HMT_LegacyExtRef">
    <vt:lpwstr/>
  </property>
  <property fmtid="{D5CDD505-2E9C-101B-9397-08002B2CF9AE}" pid="21" name="HMT_LegacyItemID">
    <vt:lpwstr/>
  </property>
  <property fmtid="{D5CDD505-2E9C-101B-9397-08002B2CF9AE}" pid="22" name="HMT_LegacyModifiedBy">
    <vt:lpwstr/>
  </property>
  <property fmtid="{D5CDD505-2E9C-101B-9397-08002B2CF9AE}" pid="23" name="HMT_LegacyOrigSource">
    <vt:lpwstr/>
  </property>
  <property fmtid="{D5CDD505-2E9C-101B-9397-08002B2CF9AE}" pid="24" name="HMT_LegacyRecord">
    <vt:lpwstr>0</vt:lpwstr>
  </property>
  <property fmtid="{D5CDD505-2E9C-101B-9397-08002B2CF9AE}" pid="25" name="HMT_LegacySensitive">
    <vt:lpwstr>0</vt:lpwstr>
  </property>
  <property fmtid="{D5CDD505-2E9C-101B-9397-08002B2CF9AE}" pid="26" name="HMT_Record">
    <vt:lpwstr>1</vt:lpwstr>
  </property>
  <property fmtid="{D5CDD505-2E9C-101B-9397-08002B2CF9AE}" pid="27" name="HMT_Review">
    <vt:lpwstr>0</vt:lpwstr>
  </property>
  <property fmtid="{D5CDD505-2E9C-101B-9397-08002B2CF9AE}" pid="28" name="HMT_SubTeam">
    <vt:lpwstr/>
  </property>
  <property fmtid="{D5CDD505-2E9C-101B-9397-08002B2CF9AE}" pid="29" name="HMT_SubTeamHTField0">
    <vt:lpwstr/>
  </property>
  <property fmtid="{D5CDD505-2E9C-101B-9397-08002B2CF9AE}" pid="30" name="HMT_SubTopic">
    <vt:lpwstr>D10 2020 SI Case files</vt:lpwstr>
  </property>
  <property fmtid="{D5CDD505-2E9C-101B-9397-08002B2CF9AE}" pid="31" name="HMT_Team">
    <vt:lpwstr>106;#Parliamentary Unit|7fdf7b1f-fd4d-43a8-bb24-982a1fad54f4</vt:lpwstr>
  </property>
  <property fmtid="{D5CDD505-2E9C-101B-9397-08002B2CF9AE}" pid="32" name="HMT_TeamHTField0">
    <vt:lpwstr>Parliamentary Unit|7fdf7b1f-fd4d-43a8-bb24-982a1fad54f4</vt:lpwstr>
  </property>
  <property fmtid="{D5CDD505-2E9C-101B-9397-08002B2CF9AE}" pid="33" name="HMT_Theme">
    <vt:lpwstr>Parliamentary Unit</vt:lpwstr>
  </property>
  <property fmtid="{D5CDD505-2E9C-101B-9397-08002B2CF9AE}" pid="34" name="HMT_Topic">
    <vt:lpwstr>D-Secondary Legislation</vt:lpwstr>
  </property>
  <property fmtid="{D5CDD505-2E9C-101B-9397-08002B2CF9AE}" pid="35" name="TaxCatchAll">
    <vt:lpwstr>8;#Official|0c3401bb-744b-4660-997f-fc50d910db48;#106;#Parliamentary Unit|7fdf7b1f-fd4d-43a8-bb24-982a1fad54f4;#2;#Ministerial and Communications|9d8fc5c3-f187-4cdc-9b2e-d03a5d5367ae;#1;#Other|c235b5c2-f697-427b-a70a-43d69599f998;#4;#Policy Document Types</vt:lpwstr>
  </property>
  <property fmtid="{D5CDD505-2E9C-101B-9397-08002B2CF9AE}" pid="36" name="b9c42a306c8b47fcbaf8a41a71352f3a">
    <vt:lpwstr>Official|0c3401bb-744b-4660-997f-fc50d910db48</vt:lpwstr>
  </property>
  <property fmtid="{D5CDD505-2E9C-101B-9397-08002B2CF9AE}" pid="37" name="dlc_EmailBCC">
    <vt:lpwstr/>
  </property>
  <property fmtid="{D5CDD505-2E9C-101B-9397-08002B2CF9AE}" pid="38" name="dlc_EmailCC">
    <vt:lpwstr/>
  </property>
  <property fmtid="{D5CDD505-2E9C-101B-9397-08002B2CF9AE}" pid="39" name="dlc_EmailFrom">
    <vt:lpwstr/>
  </property>
  <property fmtid="{D5CDD505-2E9C-101B-9397-08002B2CF9AE}" pid="40" name="dlc_EmailMailbox">
    <vt:lpwstr/>
  </property>
  <property fmtid="{D5CDD505-2E9C-101B-9397-08002B2CF9AE}" pid="41" name="dlc_EmailReceivedUTC">
    <vt:lpwstr/>
  </property>
  <property fmtid="{D5CDD505-2E9C-101B-9397-08002B2CF9AE}" pid="42" name="dlc_EmailSentUTC">
    <vt:lpwstr/>
  </property>
  <property fmtid="{D5CDD505-2E9C-101B-9397-08002B2CF9AE}" pid="43" name="dlc_EmailSubject">
    <vt:lpwstr/>
  </property>
  <property fmtid="{D5CDD505-2E9C-101B-9397-08002B2CF9AE}" pid="44" name="dlc_EmailTo">
    <vt:lpwstr/>
  </property>
</Properties>
</file>