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autoSpaceDE w:val="false"/>
        <w:jc w:val="center"/>
        <w:rPr>
          <w:rFonts w:ascii="TimesNewRomanPS-BoldMT" w:hAnsi="TimesNewRomanPS-BoldMT" w:cs="TimesNewRomanPS-BoldMT"/>
          <w:b/>
          <w:bCs/>
        </w:rPr>
      </w:pPr>
      <w:r>
        <w:rPr>
          <w:rFonts w:cs="TimesNewRomanPS-BoldMT" w:ascii="TimesNewRomanPS-BoldMT" w:hAnsi="TimesNewRomanPS-BoldMT"/>
          <w:b/>
          <w:bCs/>
        </w:rPr>
        <w:t>DEPARTMENT FOR INFRASTRUCTURE</w:t>
      </w:r>
    </w:p>
    <w:p>
      <w:pPr>
        <w:pStyle w:val="Normal"/>
        <w:autoSpaceDE w:val="false"/>
        <w:jc w:val="center"/>
        <w:rPr>
          <w:rFonts w:ascii="TimesNewRomanPS-BoldMT" w:hAnsi="TimesNewRomanPS-BoldMT" w:cs="TimesNewRomanPS-BoldMT"/>
          <w:b/>
          <w:bCs/>
        </w:rPr>
      </w:pPr>
      <w:r>
        <w:rPr>
          <w:rFonts w:cs="TimesNewRomanPS-BoldMT" w:ascii="TimesNewRomanPS-BoldMT" w:hAnsi="TimesNewRomanPS-BoldMT"/>
          <w:b/>
          <w:bCs/>
        </w:rPr>
      </w:r>
    </w:p>
    <w:p>
      <w:pPr>
        <w:pStyle w:val="Normal"/>
        <w:autoSpaceDE w:val="false"/>
        <w:jc w:val="center"/>
        <w:rPr>
          <w:rFonts w:ascii="TimesNewRomanPS-BoldMT" w:hAnsi="TimesNewRomanPS-BoldMT" w:cs="TimesNewRomanPS-BoldMT"/>
          <w:b/>
          <w:bCs/>
        </w:rPr>
      </w:pPr>
      <w:r>
        <w:rPr>
          <w:rFonts w:cs="TimesNewRomanPS-BoldMT" w:ascii="TimesNewRomanPS-BoldMT" w:hAnsi="TimesNewRomanPS-BoldMT"/>
          <w:b/>
          <w:bCs/>
        </w:rPr>
      </w:r>
    </w:p>
    <w:p>
      <w:pPr>
        <w:pStyle w:val="Normal"/>
        <w:autoSpaceDE w:val="false"/>
        <w:jc w:val="center"/>
        <w:rPr>
          <w:rFonts w:ascii="TimesNewRomanPS-BoldMT" w:hAnsi="TimesNewRomanPS-BoldMT" w:cs="TimesNewRomanPS-BoldMT"/>
          <w:b/>
          <w:bCs/>
        </w:rPr>
      </w:pPr>
      <w:r>
        <w:rPr>
          <w:rFonts w:cs="TimesNewRomanPS-BoldMT" w:ascii="TimesNewRomanPS-BoldMT" w:hAnsi="TimesNewRomanPS-BoldMT"/>
          <w:b/>
          <w:bCs/>
        </w:rPr>
        <w:t>TRANSPOSITION NOTE</w:t>
      </w:r>
    </w:p>
    <w:p>
      <w:pPr>
        <w:pStyle w:val="Normal"/>
        <w:autoSpaceDE w:val="false"/>
        <w:rPr>
          <w:rFonts w:ascii="TimesNewRomanPS-BoldMT" w:hAnsi="TimesNewRomanPS-BoldMT" w:cs="TimesNewRomanPS-BoldMT"/>
          <w:b/>
          <w:bCs/>
        </w:rPr>
      </w:pPr>
      <w:r>
        <w:rPr>
          <w:rFonts w:cs="TimesNewRomanPS-BoldMT" w:ascii="TimesNewRomanPS-BoldMT" w:hAnsi="TimesNewRomanPS-BoldMT"/>
          <w:b/>
          <w:bCs/>
        </w:rPr>
      </w:r>
    </w:p>
    <w:p>
      <w:pPr>
        <w:pStyle w:val="Normal"/>
        <w:autoSpaceDE w:val="false"/>
        <w:rPr>
          <w:rFonts w:ascii="TimesNewRomanPS-BoldMT" w:hAnsi="TimesNewRomanPS-BoldMT" w:cs="TimesNewRomanPS-BoldMT"/>
          <w:b/>
          <w:bCs/>
        </w:rPr>
      </w:pPr>
      <w:r>
        <w:rPr>
          <w:rFonts w:cs="TimesNewRomanPS-BoldMT" w:ascii="TimesNewRomanPS-BoldMT" w:hAnsi="TimesNewRomanPS-BoldMT"/>
          <w:b/>
          <w:bCs/>
        </w:rPr>
      </w:r>
    </w:p>
    <w:p>
      <w:pPr>
        <w:pStyle w:val="Normal"/>
        <w:autoSpaceDE w:val="false"/>
        <w:jc w:val="center"/>
        <w:rPr/>
      </w:pPr>
      <w:r>
        <w:rPr>
          <w:b/>
        </w:rPr>
        <w:t>REGULATION (EU) NO. 165/2014 OF THE EUROPEAN PARLIAMENT AND OF THE COUNCIL of 4 FEBRUARY 2014</w:t>
      </w:r>
    </w:p>
    <w:p>
      <w:pPr>
        <w:pStyle w:val="Normal"/>
        <w:autoSpaceDE w:val="false"/>
        <w:jc w:val="center"/>
        <w:rPr>
          <w:b/>
        </w:rPr>
      </w:pPr>
      <w:r>
        <w:rPr>
          <w:b/>
        </w:rPr>
      </w:r>
    </w:p>
    <w:p>
      <w:pPr>
        <w:pStyle w:val="Normal"/>
        <w:autoSpaceDE w:val="false"/>
        <w:jc w:val="center"/>
        <w:rPr/>
      </w:pPr>
      <w:r>
        <w:rPr>
          <w:b/>
        </w:rPr>
        <w:t xml:space="preserve"> </w:t>
      </w:r>
      <w:r>
        <w:rPr>
          <w:b/>
        </w:rPr>
        <w:t>on tachographs in road transport, repealing Council Regulation (EEC) No. 3821/85 on recording equipment in road transport and amending Regulation (EC) No. 561/2006 of the European Parliament and of the Council on the harmonisation of certain social legislation relating to road transport.</w:t>
      </w:r>
    </w:p>
    <w:p>
      <w:pPr>
        <w:pStyle w:val="Normal"/>
        <w:autoSpaceDE w:val="false"/>
        <w:jc w:val="center"/>
        <w:rPr>
          <w:rFonts w:ascii="TimesNewRomanPS-BoldMT" w:hAnsi="TimesNewRomanPS-BoldMT" w:cs="TimesNewRomanPS-BoldMT"/>
          <w:b/>
          <w:bCs/>
        </w:rPr>
      </w:pPr>
      <w:r>
        <w:rPr>
          <w:rFonts w:cs="TimesNewRomanPS-BoldMT" w:ascii="TimesNewRomanPS-BoldMT" w:hAnsi="TimesNewRomanPS-BoldMT"/>
          <w:b/>
          <w:bCs/>
        </w:rPr>
      </w:r>
    </w:p>
    <w:p>
      <w:pPr>
        <w:pStyle w:val="Normal"/>
        <w:autoSpaceDE w:val="false"/>
        <w:rPr>
          <w:rFonts w:ascii="TimesNewRomanPS-BoldMT" w:hAnsi="TimesNewRomanPS-BoldMT" w:cs="TimesNewRomanPS-BoldMT"/>
          <w:b/>
          <w:bCs/>
        </w:rPr>
      </w:pPr>
      <w:r>
        <w:rPr>
          <w:rFonts w:cs="TimesNewRomanPS-BoldMT" w:ascii="TimesNewRomanPS-BoldMT" w:hAnsi="TimesNewRomanPS-BoldMT"/>
          <w:b/>
          <w:bCs/>
        </w:rPr>
      </w:r>
    </w:p>
    <w:p>
      <w:pPr>
        <w:pStyle w:val="Normal"/>
        <w:autoSpaceDE w:val="false"/>
        <w:jc w:val="both"/>
        <w:rPr>
          <w:bCs/>
        </w:rPr>
      </w:pPr>
      <w:r>
        <w:rPr>
          <w:bCs/>
        </w:rPr>
        <w:t>The Passenger and Goods Vehicles (Tachographs) (Amendment) Regulations (Northern Ireland) 2016 do what is necessary to implement the above mentioned EU Regulation, by making consequential changes to domestic legislation to ensure its coherence in the area to which the EU Regulation applies.</w:t>
      </w:r>
    </w:p>
    <w:p>
      <w:pPr>
        <w:pStyle w:val="Normal"/>
        <w:autoSpaceDE w:val="false"/>
        <w:rPr>
          <w:rFonts w:ascii="TimesNewRomanPSMT" w:hAnsi="TimesNewRomanPSMT" w:cs="TimesNewRomanPSMT"/>
          <w:bCs/>
        </w:rPr>
      </w:pPr>
      <w:r>
        <w:rPr>
          <w:rFonts w:cs="TimesNewRomanPSMT" w:ascii="TimesNewRomanPSMT" w:hAnsi="TimesNewRomanPSMT"/>
          <w:bCs/>
        </w:rPr>
      </w:r>
    </w:p>
    <w:p>
      <w:pPr>
        <w:pStyle w:val="Normal"/>
        <w:autoSpaceDE w:val="false"/>
        <w:rPr>
          <w:rFonts w:ascii="TimesNewRomanPSMT" w:hAnsi="TimesNewRomanPSMT" w:cs="TimesNewRomanPSMT"/>
        </w:rPr>
      </w:pPr>
      <w:r>
        <w:rPr>
          <w:rFonts w:cs="TimesNewRomanPSMT" w:ascii="TimesNewRomanPSMT" w:hAnsi="TimesNewRomanPSMT"/>
        </w:rPr>
      </w:r>
    </w:p>
    <w:tbl>
      <w:tblPr>
        <w:tblW w:w="8856" w:type="dxa"/>
        <w:jc w:val="left"/>
        <w:tblInd w:w="0" w:type="dxa"/>
        <w:tblLayout w:type="fixed"/>
        <w:tblCellMar>
          <w:top w:w="0" w:type="dxa"/>
          <w:left w:w="108" w:type="dxa"/>
          <w:bottom w:w="0" w:type="dxa"/>
          <w:right w:w="108" w:type="dxa"/>
        </w:tblCellMar>
      </w:tblPr>
      <w:tblGrid>
        <w:gridCol w:w="1368"/>
        <w:gridCol w:w="3135"/>
        <w:gridCol w:w="2445"/>
        <w:gridCol w:w="1908"/>
      </w:tblGrid>
      <w:tr>
        <w:trPr/>
        <w:tc>
          <w:tcPr>
            <w:tcW w:w="1368"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BoldMT" w:ascii="TimesNewRomanPS-BoldMT" w:hAnsi="TimesNewRomanPS-BoldMT"/>
                <w:b/>
                <w:bCs/>
              </w:rPr>
              <w:t>Articles</w:t>
            </w:r>
          </w:p>
        </w:tc>
        <w:tc>
          <w:tcPr>
            <w:tcW w:w="3135"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BoldMT" w:ascii="TimesNewRomanPS-BoldMT" w:hAnsi="TimesNewRomanPS-BoldMT"/>
                <w:b/>
                <w:bCs/>
              </w:rPr>
              <w:t>Purpose</w:t>
            </w:r>
          </w:p>
        </w:tc>
        <w:tc>
          <w:tcPr>
            <w:tcW w:w="2445"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BoldMT" w:ascii="TimesNewRomanPS-BoldMT" w:hAnsi="TimesNewRomanPS-BoldMT"/>
                <w:b/>
                <w:bCs/>
              </w:rPr>
              <w:t>Implementation</w:t>
            </w:r>
          </w:p>
        </w:tc>
        <w:tc>
          <w:tcPr>
            <w:tcW w:w="1908"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BoldMT" w:hAnsi="TimesNewRomanPS-BoldMT" w:cs="TimesNewRomanPS-BoldMT"/>
                <w:b/>
                <w:bCs/>
              </w:rPr>
            </w:pPr>
            <w:r>
              <w:rPr>
                <w:rFonts w:cs="TimesNewRomanPS-BoldMT" w:ascii="TimesNewRomanPS-BoldMT" w:hAnsi="TimesNewRomanPS-BoldMT"/>
                <w:b/>
                <w:bCs/>
              </w:rPr>
              <w:t>Responsibility</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Article 3</w:t>
            </w:r>
          </w:p>
        </w:tc>
        <w:tc>
          <w:tcPr>
            <w:tcW w:w="3135"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Enables Member States to exempt from the application certain vehicles referred to in Regulation (EC) No 561/2006</w:t>
            </w:r>
          </w:p>
        </w:tc>
        <w:tc>
          <w:tcPr>
            <w:tcW w:w="2445"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Regulation 5</w:t>
            </w:r>
          </w:p>
        </w:tc>
        <w:tc>
          <w:tcPr>
            <w:tcW w:w="1908"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Department for Infrastructure</w:t>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Article 21</w:t>
            </w:r>
          </w:p>
          <w:p>
            <w:pPr>
              <w:pStyle w:val="Normal"/>
              <w:autoSpaceDE w:val="false"/>
              <w:rPr>
                <w:rFonts w:ascii="TimesNewRomanPSMT" w:hAnsi="TimesNewRomanPSMT" w:cs="TimesNewRomanPSMT"/>
              </w:rPr>
            </w:pPr>
            <w:r>
              <w:rPr>
                <w:rFonts w:cs="TimesNewRomanPSMT" w:ascii="TimesNewRomanPSMT" w:hAnsi="TimesNewRomanPSMT"/>
              </w:rPr>
            </w:r>
          </w:p>
        </w:tc>
        <w:tc>
          <w:tcPr>
            <w:tcW w:w="3135"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Enables Member States to authorise field tests of tachographs which have not yet been type-approved</w:t>
            </w:r>
          </w:p>
        </w:tc>
        <w:tc>
          <w:tcPr>
            <w:tcW w:w="2445"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Regulation 3(4)</w:t>
            </w:r>
          </w:p>
        </w:tc>
        <w:tc>
          <w:tcPr>
            <w:tcW w:w="1908"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Department for Infrastructure</w:t>
            </w:r>
          </w:p>
          <w:p>
            <w:pPr>
              <w:pStyle w:val="Normal"/>
              <w:autoSpaceDE w:val="false"/>
              <w:rPr>
                <w:rFonts w:ascii="TimesNewRomanPSMT" w:hAnsi="TimesNewRomanPSMT" w:cs="TimesNewRomanPSMT"/>
              </w:rPr>
            </w:pPr>
            <w:r>
              <w:rPr>
                <w:rFonts w:cs="TimesNewRomanPSMT" w:ascii="TimesNewRomanPSMT" w:hAnsi="TimesNewRomanPSMT"/>
              </w:rPr>
            </w:r>
          </w:p>
        </w:tc>
      </w:tr>
      <w:tr>
        <w:trPr/>
        <w:tc>
          <w:tcPr>
            <w:tcW w:w="1368"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Article 41</w:t>
            </w:r>
          </w:p>
          <w:p>
            <w:pPr>
              <w:pStyle w:val="Normal"/>
              <w:autoSpaceDE w:val="false"/>
              <w:rPr>
                <w:rFonts w:ascii="TimesNewRomanPSMT" w:hAnsi="TimesNewRomanPSMT" w:cs="TimesNewRomanPSMT"/>
              </w:rPr>
            </w:pPr>
            <w:r>
              <w:rPr>
                <w:rFonts w:cs="TimesNewRomanPSMT" w:ascii="TimesNewRomanPSMT" w:hAnsi="TimesNewRomanPSMT"/>
              </w:rPr>
            </w:r>
          </w:p>
        </w:tc>
        <w:tc>
          <w:tcPr>
            <w:tcW w:w="3135"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 xml:space="preserve">Requires Member States to lay down rules on penalties applicable to infringements of Regulation (EU) No. 165/2014 and take all measures necessary to ensure that they are implemented. Those penalties shall be effective, proportionate, dissuasive and non-discriminatory and shall be in compliance with the categories of infringements set out in Directive 2006/22/EC. </w:t>
            </w:r>
          </w:p>
        </w:tc>
        <w:tc>
          <w:tcPr>
            <w:tcW w:w="2445"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Regulations 2-13</w:t>
            </w:r>
          </w:p>
        </w:tc>
        <w:tc>
          <w:tcPr>
            <w:tcW w:w="1908" w:type="dxa"/>
            <w:tcBorders>
              <w:top w:val="single" w:sz="4" w:space="0" w:color="000000"/>
              <w:left w:val="single" w:sz="4" w:space="0" w:color="000000"/>
              <w:bottom w:val="single" w:sz="4" w:space="0" w:color="000000"/>
              <w:right w:val="single" w:sz="4" w:space="0" w:color="000000"/>
            </w:tcBorders>
          </w:tcPr>
          <w:p>
            <w:pPr>
              <w:pStyle w:val="Normal"/>
              <w:autoSpaceDE w:val="false"/>
              <w:rPr>
                <w:rFonts w:ascii="TimesNewRomanPSMT" w:hAnsi="TimesNewRomanPSMT" w:cs="TimesNewRomanPSMT"/>
              </w:rPr>
            </w:pPr>
            <w:r>
              <w:rPr>
                <w:rFonts w:cs="TimesNewRomanPSMT" w:ascii="TimesNewRomanPSMT" w:hAnsi="TimesNewRomanPSMT"/>
              </w:rPr>
              <w:t>Department for Infrastructure</w:t>
            </w:r>
          </w:p>
          <w:p>
            <w:pPr>
              <w:pStyle w:val="Normal"/>
              <w:autoSpaceDE w:val="false"/>
              <w:rPr>
                <w:rFonts w:ascii="TimesNewRomanPSMT" w:hAnsi="TimesNewRomanPSMT" w:cs="TimesNewRomanPSMT"/>
              </w:rPr>
            </w:pPr>
            <w:r>
              <w:rPr>
                <w:rFonts w:cs="TimesNewRomanPSMT" w:ascii="TimesNewRomanPSMT" w:hAnsi="TimesNewRomanPSMT"/>
              </w:rPr>
            </w:r>
          </w:p>
        </w:tc>
      </w:tr>
    </w:tbl>
    <w:p>
      <w:pPr>
        <w:pStyle w:val="Normal"/>
        <w:rPr/>
      </w:pPr>
      <w:r>
        <w:rPr/>
      </w:r>
    </w:p>
    <w:sectPr>
      <w:type w:val="nextPage"/>
      <w:pgSz w:w="12240" w:h="15840"/>
      <w:pgMar w:left="1800" w:right="1800" w:gutter="0" w:header="0" w:top="1135"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NewRomanPS-BoldMT">
    <w:charset w:val="00"/>
    <w:family w:val="roman"/>
    <w:pitch w:val="default"/>
  </w:font>
  <w:font w:name="TimesNewRomanPSMT">
    <w:charset w:val="00"/>
    <w:family w:val="roman"/>
    <w:pitch w:val="default"/>
  </w:font>
</w:fonts>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character" w:styleId="HeaderChar">
    <w:name w:val="Header Char"/>
    <w:basedOn w:val="DefaultParagraphFont"/>
    <w:qFormat/>
    <w:rPr>
      <w:sz w:val="24"/>
      <w:szCs w:val="24"/>
    </w:rPr>
  </w:style>
  <w:style w:type="character" w:styleId="FooterChar">
    <w:name w:val="Footer Char"/>
    <w:basedOn w:val="DefaultParagraphFont"/>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68</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2007-05-23T10:22:00Z</dcterms:created>
  <dc:creator>henryk</dc:creator>
  <dc:description/>
  <cp:keywords/>
  <dc:language>en-GB</dc:language>
  <cp:lastModifiedBy>Caroline Graham</cp:lastModifiedBy>
  <cp:lastPrinted>2016-07-08T14:10:00Z</cp:lastPrinted>
  <dcterms:modified xsi:type="dcterms:W3CDTF">2016-09-09T09:49:00Z</dcterms:modified>
  <cp:revision>12</cp:revision>
  <dc:subject/>
  <dc:title>DEPARTMENT for TRANSPORT</dc:title>
</cp:coreProperties>
</file>