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tbl>
      <w:tblPr>
        <w:tblW w:w="8522" w:type="dxa"/>
        <w:jc w:val="left"/>
        <w:tblInd w:w="-5" w:type="dxa"/>
        <w:tblLayout w:type="fixed"/>
        <w:tblCellMar>
          <w:top w:w="0" w:type="dxa"/>
          <w:left w:w="0" w:type="dxa"/>
          <w:bottom w:w="0" w:type="dxa"/>
          <w:right w:w="0" w:type="dxa"/>
        </w:tblCellMar>
      </w:tblPr>
      <w:tblGrid>
        <w:gridCol w:w="998"/>
        <w:gridCol w:w="3827"/>
        <w:gridCol w:w="3697"/>
      </w:tblGrid>
      <w:tr>
        <w:trPr/>
        <w:tc>
          <w:tcPr>
            <w:tcW w:w="8522" w:type="dxa"/>
            <w:gridSpan w:val="3"/>
            <w:tcBorders>
              <w:top w:val="single" w:sz="4" w:space="0" w:color="000000"/>
              <w:left w:val="single" w:sz="4" w:space="0" w:color="000000"/>
              <w:bottom w:val="single" w:sz="4" w:space="0" w:color="000000"/>
              <w:right w:val="single" w:sz="4" w:space="0" w:color="000000"/>
            </w:tcBorders>
            <w:shd w:fill="E6E6E6" w:val="clear"/>
          </w:tcPr>
          <w:p>
            <w:pPr>
              <w:pStyle w:val="Subhead-First"/>
              <w:spacing w:before="240" w:after="300"/>
              <w:jc w:val="center"/>
              <w:rPr>
                <w:rFonts w:ascii="Arial" w:hAnsi="Arial" w:cs="Arial"/>
              </w:rPr>
            </w:pPr>
            <w:r>
              <w:rPr>
                <w:rFonts w:cs="Arial" w:ascii="Arial" w:hAnsi="Arial"/>
              </w:rPr>
              <w:t>Transposition note</w:t>
            </w:r>
          </w:p>
          <w:p>
            <w:pPr>
              <w:pStyle w:val="Heading1"/>
              <w:numPr>
                <w:ilvl w:val="0"/>
                <w:numId w:val="0"/>
              </w:numPr>
              <w:ind w:hanging="0" w:left="0"/>
              <w:jc w:val="center"/>
              <w:rPr>
                <w:rFonts w:ascii="Arial" w:hAnsi="Arial" w:cs="Arial"/>
                <w:b/>
                <w:bCs/>
              </w:rPr>
            </w:pPr>
            <w:r>
              <w:rPr>
                <w:rStyle w:val="Strong"/>
                <w:rFonts w:cs="Arial" w:ascii="Arial" w:hAnsi="Arial"/>
              </w:rPr>
              <w:t>Directive 2014/67/EU on the enforcement of Directive 96/71/EC concerning the posting of workers in the framework of the provision of services</w:t>
            </w:r>
          </w:p>
          <w:p>
            <w:pPr>
              <w:pStyle w:val="Table"/>
              <w:spacing w:before="120" w:after="120"/>
              <w:rPr>
                <w:rFonts w:ascii="Arial" w:hAnsi="Arial" w:cs="Arial"/>
                <w:b/>
                <w:bCs/>
              </w:rPr>
            </w:pPr>
            <w:r>
              <w:rPr>
                <w:rFonts w:cs="Arial" w:ascii="Arial" w:hAnsi="Arial"/>
                <w:b/>
                <w:bCs/>
              </w:rPr>
            </w:r>
          </w:p>
        </w:tc>
      </w:tr>
      <w:tr>
        <w:trPr/>
        <w:tc>
          <w:tcPr>
            <w:tcW w:w="998" w:type="dxa"/>
            <w:tcBorders>
              <w:top w:val="single" w:sz="4" w:space="0" w:color="000000"/>
              <w:left w:val="single" w:sz="4" w:space="0" w:color="000000"/>
              <w:bottom w:val="single" w:sz="4" w:space="0" w:color="000000"/>
              <w:right w:val="single" w:sz="4" w:space="0" w:color="000000"/>
            </w:tcBorders>
            <w:shd w:fill="E6E6E6" w:val="clear"/>
          </w:tcPr>
          <w:p>
            <w:pPr>
              <w:pStyle w:val="Table"/>
              <w:spacing w:before="120" w:after="120"/>
              <w:rPr>
                <w:rFonts w:ascii="Arial" w:hAnsi="Arial" w:cs="Arial"/>
                <w:b/>
                <w:bCs/>
              </w:rPr>
            </w:pPr>
            <w:r>
              <w:rPr>
                <w:rFonts w:cs="Arial" w:ascii="Arial" w:hAnsi="Arial"/>
                <w:b/>
                <w:bCs/>
              </w:rPr>
              <w:t>Article</w:t>
            </w:r>
          </w:p>
        </w:tc>
        <w:tc>
          <w:tcPr>
            <w:tcW w:w="3827" w:type="dxa"/>
            <w:tcBorders>
              <w:top w:val="single" w:sz="4" w:space="0" w:color="000000"/>
              <w:left w:val="single" w:sz="4" w:space="0" w:color="000000"/>
              <w:bottom w:val="single" w:sz="4" w:space="0" w:color="000000"/>
              <w:right w:val="single" w:sz="4" w:space="0" w:color="000000"/>
            </w:tcBorders>
            <w:shd w:fill="E6E6E6" w:val="clear"/>
          </w:tcPr>
          <w:p>
            <w:pPr>
              <w:pStyle w:val="Table"/>
              <w:spacing w:before="120" w:after="120"/>
              <w:rPr>
                <w:rFonts w:ascii="Arial" w:hAnsi="Arial" w:cs="Arial"/>
                <w:b/>
                <w:bCs/>
              </w:rPr>
            </w:pPr>
            <w:r>
              <w:rPr>
                <w:rFonts w:cs="Arial" w:ascii="Arial" w:hAnsi="Arial"/>
                <w:b/>
                <w:bCs/>
              </w:rPr>
              <w:t>Objective</w:t>
            </w:r>
          </w:p>
        </w:tc>
        <w:tc>
          <w:tcPr>
            <w:tcW w:w="3697" w:type="dxa"/>
            <w:tcBorders>
              <w:top w:val="single" w:sz="4" w:space="0" w:color="000000"/>
              <w:left w:val="single" w:sz="4" w:space="0" w:color="000000"/>
              <w:bottom w:val="single" w:sz="4" w:space="0" w:color="000000"/>
              <w:right w:val="single" w:sz="4" w:space="0" w:color="000000"/>
            </w:tcBorders>
            <w:shd w:fill="E6E6E6" w:val="clear"/>
          </w:tcPr>
          <w:p>
            <w:pPr>
              <w:pStyle w:val="Table"/>
              <w:spacing w:before="120" w:after="120"/>
              <w:rPr>
                <w:rFonts w:ascii="Arial" w:hAnsi="Arial" w:cs="Arial"/>
                <w:b/>
                <w:bCs/>
              </w:rPr>
            </w:pPr>
            <w:r>
              <w:rPr>
                <w:rFonts w:cs="Arial" w:ascii="Arial" w:hAnsi="Arial"/>
                <w:b/>
                <w:bCs/>
              </w:rPr>
              <w:t>Implementation</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Cs/>
              </w:rPr>
            </w:pPr>
            <w:r>
              <w:rPr>
                <w:rFonts w:cs="Arial" w:ascii="Arial" w:hAnsi="Arial"/>
                <w:bCs/>
              </w:rPr>
              <w:t>CHAPTER 1: GENERAL PROVISIONS</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1: Subject matter</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Sets out the subject matter of Directive.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explicitly. </w:t>
            </w:r>
          </w:p>
          <w:p>
            <w:pPr>
              <w:pStyle w:val="Table"/>
              <w:spacing w:before="120" w:after="120"/>
              <w:rPr>
                <w:rFonts w:ascii="Arial" w:hAnsi="Arial" w:cs="Arial"/>
              </w:rPr>
            </w:pPr>
            <w:r>
              <w:rPr>
                <w:rFonts w:cs="Arial" w:ascii="Arial" w:hAnsi="Arial"/>
              </w:rPr>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 Definitions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Definitions of key terms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The Posted Workers (Enforcement of Employment Rights) Regulations (Northern Ireland) 2016 reproduce definition 2(a) at regulation 8. Definitions at 2(b) and (c) are not required to be specifically implemented. </w:t>
            </w:r>
          </w:p>
          <w:p>
            <w:pPr>
              <w:pStyle w:val="Table"/>
              <w:spacing w:before="120" w:after="120"/>
              <w:rPr>
                <w:rFonts w:ascii="Arial" w:hAnsi="Arial" w:cs="Arial"/>
              </w:rPr>
            </w:pPr>
            <w:r>
              <w:rPr>
                <w:rFonts w:cs="Arial" w:ascii="Arial" w:hAnsi="Arial"/>
              </w:rPr>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3: Competent authorities and liaison offices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Designating competent authorities and liaison offices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explicitly.  The obligation shall be satisfied by communicating the contact details of the designated competent authorities to the Commission and other Member States.  </w:t>
            </w:r>
          </w:p>
          <w:p>
            <w:pPr>
              <w:pStyle w:val="Table"/>
              <w:spacing w:before="120" w:after="120"/>
              <w:rPr>
                <w:rFonts w:ascii="Arial" w:hAnsi="Arial" w:cs="Arial"/>
              </w:rPr>
            </w:pPr>
            <w:r>
              <w:rPr>
                <w:rFonts w:cs="Arial" w:ascii="Arial" w:hAnsi="Arial"/>
              </w:rPr>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4: Identification of a genuine posting and prevention of abuse and circumvention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Identification of a genuine posting and prevention of abuse and circumvention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 further implementation beyond present arrangements is required.   The obligation shall be implemented by the relevant competent authority assessing whether the post is genuine, in line with the Directive.</w:t>
            </w:r>
          </w:p>
          <w:p>
            <w:pPr>
              <w:pStyle w:val="Table"/>
              <w:spacing w:before="120" w:after="120"/>
              <w:ind w:left="0" w:right="113"/>
              <w:rPr>
                <w:rFonts w:ascii="Arial" w:hAnsi="Arial" w:cs="Arial"/>
              </w:rPr>
            </w:pPr>
            <w:r>
              <w:rPr>
                <w:rFonts w:cs="Arial" w:ascii="Arial" w:hAnsi="Arial"/>
              </w:rPr>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Cs/>
              </w:rPr>
            </w:pPr>
            <w:r>
              <w:rPr>
                <w:rFonts w:cs="Arial" w:ascii="Arial" w:hAnsi="Arial"/>
                <w:bCs/>
              </w:rPr>
              <w:t>CHAPTER 2: ACCESS TO INFORMATION</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5: Improved access to information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Access to information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Unnecessary to incorporate specific implementing measures into domestic</w:t>
            </w:r>
            <w:r>
              <w:rPr>
                <w:rFonts w:cs="Arial" w:ascii="Arial" w:hAnsi="Arial"/>
                <w:highlight w:val="yellow"/>
              </w:rPr>
              <w:t xml:space="preserve"> </w:t>
            </w:r>
            <w:r>
              <w:rPr>
                <w:rFonts w:cs="Arial" w:ascii="Arial" w:hAnsi="Arial"/>
              </w:rPr>
              <w:t>legislation. The relevant information on posted workers in Northern Ireland as well as elsewhere in the UK will be available online and in a translated format where appropriate.</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Cs/>
              </w:rPr>
            </w:pPr>
            <w:r>
              <w:rPr>
                <w:rFonts w:cs="Arial" w:ascii="Arial" w:hAnsi="Arial"/>
                <w:bCs/>
              </w:rPr>
              <w:t>CHAPTER 3: ADMINISTRATIVE COOPERATION</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6: Mutual assistance – general principles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Cooperation and provision of mutual assistance without undue delay between Member States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incorporate specific implementing measures into domestic legislation. Great Britain and Northern Ireland will implement this by cooperating with other Member States and providing mutual assistance without undue delay as required and as specified below.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Cooperation includes replying to reasoned requests for information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 xml:space="preserve">The Northern Ireland and GB competent authorities will work with the competent authorities in other Member States within the framework set out in the Directive. The measures referred to in this Article will be handled by the relevant UK competent authorities in line with existing enforcement practices </w:t>
            </w:r>
          </w:p>
          <w:p>
            <w:pPr>
              <w:pStyle w:val="Table"/>
              <w:rPr>
                <w:rFonts w:ascii="Arial" w:hAnsi="Arial" w:cs="Arial"/>
              </w:rPr>
            </w:pPr>
            <w:r>
              <w:rPr>
                <w:rFonts w:cs="Arial" w:ascii="Arial" w:hAnsi="Arial"/>
              </w:rPr>
              <w:t>Information will be exchanged between competent authorities using the Internal Market Information System (IMI).  No new legislation is, therefore, required to implement this article and an information sharing gateway has been created by Her Majesty’s Revenue and Customs.</w:t>
            </w:r>
          </w:p>
          <w:p>
            <w:pPr>
              <w:pStyle w:val="Table"/>
              <w:spacing w:before="120" w:after="120"/>
              <w:rPr>
                <w:rFonts w:ascii="Arial" w:hAnsi="Arial" w:cs="Arial"/>
              </w:rPr>
            </w:pPr>
            <w:r>
              <w:rPr>
                <w:rFonts w:cs="Arial" w:ascii="Arial" w:hAnsi="Arial"/>
              </w:rPr>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Cooperation includes sending and service of documents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The relevant competent authority will handle these matters in line with IMI practices and no new domestic legislation is, therefore, required to implement this Article.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6.4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Compliance of service providers with national laws requiring the provision of information necessary to supervise their activities in compliance with national laws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further implementation required. Legislation already requires service providers to provide information to check their activities are in compliance with national laws. </w:t>
            </w:r>
          </w:p>
          <w:p>
            <w:pPr>
              <w:pStyle w:val="Table"/>
              <w:spacing w:before="120" w:after="120"/>
              <w:rPr>
                <w:rFonts w:ascii="Arial" w:hAnsi="Arial" w:cs="Arial"/>
              </w:rPr>
            </w:pPr>
            <w:r>
              <w:rPr>
                <w:rFonts w:cs="Arial" w:ascii="Arial" w:hAnsi="Arial"/>
              </w:rPr>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6.5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Delays in responding to requests for information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Unnecessary to implement in Northern Ireland legislation. A Memorandum of Understanding has been agreed between the competent authorities in the UK (including those in Northern Ireland) which includes provision to notify the requesting Member State via IMI as soon as possible.</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6.6</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Provision of time limits for responding to requests for information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ldomestic legislation. The designated competent authorities will comply with requirements.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6.7</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Consultation of registers by equivalent competent authorities of other Member States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
              </w:rPr>
            </w:pPr>
            <w:r>
              <w:rPr>
                <w:rFonts w:cs="Arial" w:ascii="Arial" w:hAnsi="Arial"/>
              </w:rPr>
              <w:t xml:space="preserve">The public registers are already available and no new legislation is required to implement.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6.8</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Information exchanged only to be used for matter for which it was requested</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The UK competent authorities (including those in Northern Ireland) are already bound by these conditions under existing legislation.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6.9</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Mutual cooperation shall be provided free of charge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The UK competent authorities (including those in Northern Ireland) will carry out any work related to the Directive as part of their remit and free of charge.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6.10</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Request for information shall not preclude domestic competent authorities taking action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specific implementation necessary. The competent authorities will continue to enforce under their existing remit and powers.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7: Role of the Member States in the framework of administrative cooperation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Responsibility for inspection of terms and conditions is the responsibility of the authorities of the host Member State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Competent authorities will undertake inspection in accordance with existing practice.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Member State of establishment of the service provider shall continue to monitor those workers posted to another Member State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The UK designated competent authorities (including those in Northern Ireland) will carry out their activities in accordance with existing practice.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Member State of establishment of the service provider to provide assistance to host Member State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The competent authorities will comply with requests as set out in the Memorandum of Understanding as far as existing information constraints permit.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Member State to communicate with the Member State concerned on any possible irregularities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w:t>
            </w:r>
            <w:r>
              <w:rPr>
                <w:rFonts w:cs="Arial" w:ascii="Arial" w:hAnsi="Arial"/>
                <w:color w:val="FF0000"/>
              </w:rPr>
              <w:t xml:space="preserve"> </w:t>
            </w:r>
            <w:r>
              <w:rPr>
                <w:rFonts w:cs="Arial" w:ascii="Arial" w:hAnsi="Arial"/>
              </w:rPr>
              <w:t xml:space="preserve"> The UK designated competent authorities (including those in Northern Ireland) will communicate relevant information to the Member State concerned where irregularities are identified.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 of establishment to provide host Member State with information of legality of service provider’s establishment</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Further implementation unnecessary.  This information is already available through the Companies House public register.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7.6</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 duty on Member State of establishment to carry out checks on service provider in host Member State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further implementation necessary. The competent authorities will continue to act in line with domestic laws and practices.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8: Accompanying measures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8.1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Accompanying measures to promote exchange between officials of mutual assistance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Officials in the competent authorities will contribute to the development of processes and cooperate with other Member States and the Commission accordingly.</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8.2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Commission assess need for financial support to improve administrative cooperation</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It is not necessary to implement this obligation because it is an obligation on the European Commission.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8.3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Support for initiatives of social partners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No specific implementation required.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CHAPTER 4: MONITORING COMPLIANCE</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9: Administrative requirements and control measures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9.1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Administrative requirements and control measures which Member States may introduce for monitoring purposes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It is not necessary to implement this requirement further. Current domestic laws impose certain administrative requirements and control measures. </w:t>
            </w:r>
          </w:p>
          <w:p>
            <w:pPr>
              <w:pStyle w:val="Table"/>
              <w:spacing w:before="120" w:after="120"/>
              <w:rPr>
                <w:rFonts w:ascii="Arial" w:hAnsi="Arial" w:cs="Arial"/>
              </w:rPr>
            </w:pPr>
            <w:r>
              <w:rPr>
                <w:rFonts w:cs="Arial" w:ascii="Arial" w:hAnsi="Arial"/>
              </w:rPr>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9.2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Imposition of further administrative requirements if necessary</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 specific implementation required. The competent authorities will operate using existing measures but will keep under review the effectiveness of this approach.</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9.3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No prejudice to other obligations regarding the protection or employment of workers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new domestic legislation required to implement.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9.4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Procedures for administrative requirements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Unnecessary to implement in domestic legislation. The competent authorities provide information, advice and processes for undertakings to comply with administrative processes through the government information portals.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9.5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Communication to the Commission of administrative requirements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Northern Ireland and Great Britain will comply with this article by notifying the Commission and service providers if it applies or implements any of the measures in articles 9.1 and 9.2. The other obligations in this article are obligations on the Commission and are therefore not necessary to implement.  </w:t>
            </w:r>
          </w:p>
          <w:p>
            <w:pPr>
              <w:pStyle w:val="Table"/>
              <w:spacing w:before="120" w:after="120"/>
              <w:rPr>
                <w:rFonts w:ascii="Arial" w:hAnsi="Arial" w:cs="Arial"/>
              </w:rPr>
            </w:pPr>
            <w:r>
              <w:rPr>
                <w:rFonts w:eastAsia="Arial" w:cs="Arial" w:ascii="Arial" w:hAnsi="Arial"/>
              </w:rPr>
              <w:t xml:space="preserve">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10: Inspections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10.1 </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Cs/>
              </w:rPr>
            </w:pPr>
            <w:r>
              <w:rPr>
                <w:rFonts w:cs="Arial" w:ascii="Arial" w:hAnsi="Arial"/>
              </w:rPr>
              <w:t>Checks, monitoring and inspections in accordance with national law and practice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 xml:space="preserve">No further implementation necessary.  Northern Ireland and Great Britain have existing monitoring regimes for employment rights. </w:t>
            </w:r>
          </w:p>
          <w:p>
            <w:pPr>
              <w:pStyle w:val="Table"/>
              <w:spacing w:before="120" w:after="120"/>
              <w:ind w:hanging="0" w:left="113" w:right="113"/>
              <w:jc w:val="left"/>
              <w:rPr>
                <w:rFonts w:ascii="Arial" w:hAnsi="Arial" w:cs="Arial"/>
              </w:rPr>
            </w:pPr>
            <w:r>
              <w:rPr>
                <w:rFonts w:cs="Arial" w:ascii="Arial" w:hAnsi="Arial"/>
              </w:rPr>
              <w:t>Relevant competent authorities will investigate complaints regarding employment rights in line with existing domestic legislation.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10.2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Non-discriminatory/non disproportionate inspections and controls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 further implementation required. Existing codes of conduct for UK competent authorities require all inspections to comply with non-discriminatory principles.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10.3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Members States cooperate in sharing of information pursuant to inspections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It is not necessary to implement this obligation specifically. Implementation measures in relation to the sharing of information and cooperation are set out under articles 6 and 7.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10.4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States may monitor application of relevant terms and conditions of employment of posted workers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The competent authorities will continue to monitor terms and conditions of employment in line with existing risk-based protocols, particularly in relation to the national minimum wage.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10.5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Labour inspectorates in Member States    may modify practices for control and monitoring of working conditions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cs="Arial" w:ascii="Arial" w:hAnsi="Arial"/>
              </w:rPr>
              <w:t xml:space="preserve">It is not currently the intention to modify practices. The competent authorities will continue to evaluate the efficacy of their risk-based approach to monitoring terms and conditions of employment and make modifications in response to emerging threats.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CHAPTER 5: ENFORCEMENT</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Article 11: Defence of rights, facilitation of complaints, back-payments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11.1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Ensure mechanisms for posted workers to enforce their statutory rights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further implementation necessary.  Current domestic laws allow for workers posted to the UK to enforce their rights through the informal and formal mechanisms.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 xml:space="preserve">11.2 </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No prejudice to jurisdiction of courts in Member States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11.3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Trade unions and third parties can engage on behalf of posted workers or employers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is already allowable under current processes and legislation and no further implementation is necessary.</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11.4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Articles 11.1 – 11.3 apply without prejudice to national rules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into domestic legislation.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11.5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Posted workers bringing proceedings protected against unfavourable treatment by their employer</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
              </w:rPr>
            </w:pPr>
            <w:r>
              <w:rPr>
                <w:rFonts w:cs="Arial" w:ascii="Arial" w:hAnsi="Arial"/>
              </w:rPr>
              <w:t xml:space="preserve">No further implementation necessary.  Workers bringing proceedings in Northern Ireland are protected against unfavourable treatment under existing domestic laws.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11.6</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Employer liability for contractual entitlements due to posted workers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further implementation necessary.  Such liability on the employer already exists under domestic laws.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Article 12: Subcontracting liability</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12.1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Member States may take additional measures against contractors to tackle fraud and abuse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Following consultation and evidence gathering it has been decided not to take extended measures.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12.2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Member States must provide for subcontracting liability for posted workers in construction sector</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will be effected by Part 2 of the Posted Workers (Enforcement of Employment Rights) Regulations (Northern Ireland) 2016.</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12.3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Liability of subcontractor limited to worker’s rights acquired under contractual relationship</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will be effected by Part 2 of the Posted Workers (Enforcement of Employment Rights) Regulations (Northern Ireland) 2016.</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12.4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States may provide for more stringent liability on scope of subcontracting liability</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Following consultation and evidence gathering it has been decided not to take extended measures.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12.5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Due diligence defence for contractors is permitted</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will be effected by Regulation 5(3) of the Posted Workers (Enforcement of Employment Rights) Regulations (Northern Ireland) 2016.</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12.6</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Other appropriate enforcement measures may be taken against contractors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Following consultation and evidence gathering it has been decided not to take extended measures.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eastAsia="Arial" w:cs="Arial" w:ascii="Arial" w:hAnsi="Arial"/>
              </w:rPr>
              <w:t xml:space="preserve"> </w:t>
            </w:r>
            <w:r>
              <w:rPr>
                <w:rFonts w:cs="Arial" w:ascii="Arial" w:hAnsi="Arial"/>
              </w:rPr>
              <w:t>12.7</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Member States to inform the Commission of measures taken under this Article.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
              </w:rPr>
            </w:pPr>
            <w:r>
              <w:rPr>
                <w:rFonts w:cs="Arial" w:ascii="Arial" w:hAnsi="Arial"/>
              </w:rPr>
              <w:t xml:space="preserve">This obligation will be satisfied by providing any such information that is requested, subject to information constraints. </w:t>
            </w:r>
            <w:r>
              <w:rPr>
                <w:rFonts w:cs="Arial" w:ascii="Arial" w:hAnsi="Arial"/>
                <w:b/>
              </w:rPr>
              <w:t xml:space="preserv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12.8</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Commission monitoring application of this Article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It is not necessary to implement this obligation because it is an obligation on the European Commission.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CHAPTER 6: CROSS-BORDER ENFORCEMENT OF FINANCIAL ADMINISTRATIVE    PENALTIES AND/OR FINES</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Article 13: Scope</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13.1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Mutual assistance includes cross-border enforcement of financial administrative penalties and/or fines imposed on service providers established in a Member State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specific implementation required. The Posted Workers (Enforcement of Employment Rights) Regulations (Northern Ireland) 2016 reflect the scope of this article.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13.2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Application of Chapter 6</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specific implementation required.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Article 14: Designation of the competent authorities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Notification through IMI of relevant authorities for this Chapter</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The relevant competent authorities as designated are party to notification via IMI notifications as set out in the Memorandum of Understanding.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 xml:space="preserve">Article 15: General principles – mutual assistance and recognition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15.1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Requested authority shall recover penalty/fine or notify decision imposing penalty/fine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will be effected by Regulation 8 of the Posted Workers (Enforcement of Employment Rights) Regulations (Northern Ireland) 2016 and implementation by administrative means.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15.2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Requirements on requesting authority before making request for recovery</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explicitly. These are administrative measures and will be complied with as set out in the IMI administration protocol.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15.3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rPr>
            </w:pPr>
            <w:r>
              <w:rPr>
                <w:rFonts w:eastAsia="Arial" w:cs="Arial" w:ascii="Arial" w:hAnsi="Arial"/>
              </w:rPr>
              <w:t xml:space="preserve"> </w:t>
            </w:r>
            <w:r>
              <w:rPr>
                <w:rFonts w:cs="Arial" w:ascii="Arial" w:hAnsi="Arial"/>
              </w:rPr>
              <w:t>Requested authority take necessary measures to recover penalty/fine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This will be effected by Regulation 8 of the Posted Workers (Enforcement of Employment Rights) Regulations (Northern Ireland) 2016 and implementation by administrative means.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15.4</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For recovery/notification of penalty/fine, requested authority to act in accordance with national laws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ind w:left="0" w:right="113"/>
              <w:rPr>
                <w:rFonts w:ascii="Arial" w:hAnsi="Arial" w:cs="Arial"/>
                <w:b/>
              </w:rPr>
            </w:pPr>
            <w:r>
              <w:rPr>
                <w:rFonts w:eastAsia="Arial" w:cs="Arial" w:ascii="Arial" w:hAnsi="Arial"/>
              </w:rPr>
              <w:t xml:space="preserve"> </w:t>
            </w:r>
            <w:r>
              <w:rPr>
                <w:rFonts w:cs="Arial" w:ascii="Arial" w:hAnsi="Arial"/>
                <w:b/>
              </w:rPr>
              <w:t>Article 16: Request for recovery or notification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16.1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Requirements for detail for request or notification of penalty/fine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The requirement shall be implemented as and when a request is made.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16.2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Further notification requirements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Unnecessary to implement in domestic legislation. The requirement shall be implemented as and when a request is made.</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16.3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Requested authority take necessary steps to notify service provider and inform requesting authority</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Regulation 8 of the Posted Workers (Enforcement of Employment Rights) Regulations (Northern Ireland) 2016. Also implemented by the competent authorities notifying the requested authorities of action taken or grounds of refusal.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17: Grounds for refusal</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17</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Grounds for refusal by requested authority for recovery/notification of penalty/fine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as it will be implemented by the competent authorities only refusing a request on these grounds.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18: Suspension of the procedure</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18.1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Suspension of recovery or notification if underlying claim challenged or appealed by service provider</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
              </w:rPr>
            </w:pPr>
            <w:r>
              <w:rPr>
                <w:rFonts w:cs="Arial" w:ascii="Arial" w:hAnsi="Arial"/>
              </w:rPr>
              <w:t xml:space="preserve">Unnecessary to implement in domestic legislation. This is an administrative requirement which the competent authorities will comply with.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18.2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Handling of disputes concerning enforcement measures in requested Member State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No further implementation required. Existing domestic national laws and practice set out appeal processes.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19: Costs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19.1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Amounts recovered shall accrue to the requested authority. </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b/>
              </w:rPr>
            </w:pPr>
            <w:r>
              <w:rPr>
                <w:rFonts w:cs="Arial" w:ascii="Arial" w:hAnsi="Arial"/>
              </w:rPr>
              <w:t xml:space="preserve">Regulation 8(4) of the Posted Workers (Enforcement of Employment Rights) Regulations (Northern Ireland) 2016.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19.2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States will not claim costs from each other arising from mutual assistance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explicitly implement in domestic laws. The obligation shall be complied with by UK competent authorities.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CHAPTER 7: FINAL PROVISIONS</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20: Penalties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20</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States prescribe rules on penalties for infringements of national provisions adopted pursuant to the Directive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No further implementation required.  Domestic legislation already provides for penalties for an employer’s failure to pay the minimum wage.</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21: Internal Market Information System</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21.1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Administrative cooperation in Articles 6, 7, 10(3) and 14-18 implemented through IMI</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Unnecessary to implement in domestic legislation. The UK competent authorities will use the IMI as set out in the Memorandum of Understanding.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21.2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Provision of bilateral agreements for cooperation between competent authorities in Member States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left="142" w:right="113"/>
              <w:rPr>
                <w:rFonts w:ascii="Arial" w:hAnsi="Arial" w:cs="Arial"/>
                <w:b/>
              </w:rPr>
            </w:pPr>
            <w:r>
              <w:rPr>
                <w:rFonts w:cs="Arial" w:ascii="Arial" w:hAnsi="Arial"/>
              </w:rPr>
              <w:t xml:space="preserve">The UK does not currently have any bilateral agreements in place but will consider putting these in place if deemed necessary. If it does so it shall notify the Commission in accordance with the obligation.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21.3</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Use IMI in context of any bilateral agreements</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The UK has no such agreements and has no current plans to put any in place. No new legislation required to implement.</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22: Amendment to Regulation (EU) No 1024/2012</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Amendment to Regulation (EU) No 1024/2012</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It is not necessary to implement this obligation as it operates at EU level. No new legislation required to implement.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23: Transposition</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23.1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Member States bring into force laws and administrative provisions to implement the Directive by 18 June 2016</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It is not necessary to implement this obligation explicitly. The obligation is satisfied by implementing on time. The Posted Workers (Enforcement of Employment Rights) Regulations (Northern Ireland) 2016 come into operation on 18 June 2016.</w:t>
            </w:r>
          </w:p>
          <w:p>
            <w:pPr>
              <w:pStyle w:val="Table"/>
              <w:spacing w:before="120" w:after="120"/>
              <w:rPr>
                <w:rFonts w:ascii="Arial" w:hAnsi="Arial" w:cs="Arial"/>
                <w:b/>
              </w:rPr>
            </w:pPr>
            <w:r>
              <w:rPr>
                <w:rFonts w:cs="Arial" w:ascii="Arial" w:hAnsi="Arial"/>
                <w:b/>
              </w:rPr>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pPr>
            <w:r>
              <w:rPr>
                <w:rFonts w:cs="Arial" w:ascii="Arial" w:hAnsi="Arial"/>
              </w:rPr>
              <w:t>23.2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Communication with Commission of measures of national law</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 xml:space="preserve">It is not necessary to implement this obligation explicitly. This obligation shall be satisfied by notifying the Commission of the Posted Workers (Enforcement of Employment Rights) Regulations (Northern Ireland) 2016.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24: Review</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24.1</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Commission to review Directive no later than 18 June 2019</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Unnecessary to implement as this is an obligation on the Commission. </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ind w:hanging="0" w:left="113" w:right="113"/>
              <w:jc w:val="left"/>
              <w:rPr>
                <w:rFonts w:ascii="Arial" w:hAnsi="Arial" w:cs="Arial"/>
              </w:rPr>
            </w:pPr>
            <w:r>
              <w:rPr>
                <w:rFonts w:cs="Arial" w:ascii="Arial" w:hAnsi="Arial"/>
              </w:rPr>
              <w:t>24.2</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Content of Commission’s review</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Unnecessary to implement as this is an obligation on the Commission.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25: Entry into force</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25</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Entry into force of Directive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rPr>
              <w:t xml:space="preserve">It is not necessary to implement this obligation as it operates at EU level. </w:t>
            </w:r>
          </w:p>
        </w:tc>
      </w:tr>
      <w:tr>
        <w:trPr/>
        <w:tc>
          <w:tcPr>
            <w:tcW w:w="8522" w:type="dxa"/>
            <w:gridSpan w:val="3"/>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b/>
              </w:rPr>
            </w:pPr>
            <w:r>
              <w:rPr>
                <w:rFonts w:cs="Arial" w:ascii="Arial" w:hAnsi="Arial"/>
                <w:b/>
              </w:rPr>
              <w:t>Article 26: Addressees</w:t>
            </w:r>
          </w:p>
        </w:tc>
      </w:tr>
      <w:tr>
        <w:trPr/>
        <w:tc>
          <w:tcPr>
            <w:tcW w:w="998"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26</w:t>
            </w:r>
          </w:p>
        </w:tc>
        <w:tc>
          <w:tcPr>
            <w:tcW w:w="382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Addressees of Directive</w:t>
            </w:r>
          </w:p>
        </w:tc>
        <w:tc>
          <w:tcPr>
            <w:tcW w:w="3697" w:type="dxa"/>
            <w:tcBorders>
              <w:top w:val="single" w:sz="4" w:space="0" w:color="000000"/>
              <w:left w:val="single" w:sz="4" w:space="0" w:color="000000"/>
              <w:bottom w:val="single" w:sz="4" w:space="0" w:color="000000"/>
              <w:right w:val="single" w:sz="4" w:space="0" w:color="000000"/>
            </w:tcBorders>
          </w:tcPr>
          <w:p>
            <w:pPr>
              <w:pStyle w:val="Table"/>
              <w:spacing w:before="120" w:after="120"/>
              <w:rPr>
                <w:rFonts w:ascii="Arial" w:hAnsi="Arial" w:cs="Arial"/>
              </w:rPr>
            </w:pPr>
            <w:r>
              <w:rPr>
                <w:rFonts w:cs="Arial" w:ascii="Arial" w:hAnsi="Arial"/>
              </w:rPr>
              <w:t xml:space="preserve">It is not necessary to implement this provision. </w:t>
            </w:r>
          </w:p>
        </w:tc>
      </w:tr>
    </w:tbl>
    <w:p>
      <w:pPr>
        <w:pStyle w:val="BodyText"/>
        <w:jc w:val="left"/>
        <w:rPr>
          <w:rFonts w:ascii="Arial" w:hAnsi="Arial" w:cs="Arial"/>
          <w:i/>
          <w:i/>
          <w:iCs/>
        </w:rPr>
      </w:pPr>
      <w:r>
        <w:rPr>
          <w:rFonts w:cs="Arial" w:ascii="Arial" w:hAnsi="Arial"/>
          <w:i/>
          <w:iCs/>
        </w:rPr>
      </w:r>
    </w:p>
    <w:p>
      <w:pPr>
        <w:pStyle w:val="BodyText"/>
        <w:spacing w:before="0" w:after="300"/>
        <w:jc w:val="left"/>
        <w:rPr/>
      </w:pPr>
      <w:r>
        <w:rPr>
          <w:rFonts w:cs="Arial" w:ascii="Arial" w:hAnsi="Arial"/>
          <w:b/>
          <w:iCs/>
        </w:rPr>
        <w:t>Department for the Economy</w:t>
      </w:r>
    </w:p>
    <w:sectPr>
      <w:footerReference w:type="default" r:id="rId2"/>
      <w:type w:val="nextPage"/>
      <w:pgSz w:w="11906" w:h="16838"/>
      <w:pgMar w:left="1797" w:right="1797" w:gutter="0" w:header="0" w:top="1560" w:footer="6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imes New (W1)">
    <w:altName w:val="Times New Roman"/>
    <w:charset w:val="00"/>
    <w:family w:val="roman"/>
    <w:pitch w:val="variable"/>
  </w:font>
  <w:font w:name="Univers 55">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00"/>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r>
      <mc:AlternateContent>
        <mc:Choice Requires="wps">
          <w:drawing>
            <wp:anchor behindDoc="0" distT="0" distB="0" distL="0" distR="0" simplePos="0" locked="0" layoutInCell="0" allowOverlap="1" relativeHeight="10">
              <wp:simplePos x="0" y="0"/>
              <wp:positionH relativeFrom="page">
                <wp:posOffset>3749675</wp:posOffset>
              </wp:positionH>
              <wp:positionV relativeFrom="paragraph">
                <wp:posOffset>-157480</wp:posOffset>
              </wp:positionV>
              <wp:extent cx="1460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75260"/>
                      </a:xfrm>
                      <a:prstGeom prst="rect"/>
                      <a:solidFill>
                        <a:srgbClr val="FFFFFF">
                          <a:alpha val="0"/>
                        </a:srgbClr>
                      </a:solidFill>
                    </wps:spPr>
                    <wps:txbx>
                      <w:txbxContent>
                        <w:p>
                          <w:pPr>
                            <w:pStyle w:val="Footer"/>
                            <w:spacing w:before="0" w:after="300"/>
                            <w:rPr/>
                          </w:pPr>
                          <w:r>
                            <w:rPr/>
                          </w:r>
                        </w:p>
                      </w:txbxContent>
                    </wps:txbx>
                    <wps:bodyPr anchor="t" lIns="0" tIns="0" rIns="0" bIns="0">
                      <a:noAutofit/>
                    </wps:bodyPr>
                  </wps:wsp>
                </a:graphicData>
              </a:graphic>
            </wp:anchor>
          </w:drawing>
        </mc:Choice>
        <mc:Fallback>
          <w:pict>
            <v:rect fillcolor="#FFFFFF" style="position:absolute;rotation:-0;width:1.15pt;height:13.8pt;mso-wrap-distance-left:0pt;mso-wrap-distance-right:0pt;mso-wrap-distance-top:0pt;mso-wrap-distance-bottom:0pt;margin-top:-12.4pt;mso-position-vertical-relative:text;margin-left:295.25pt;mso-position-horizontal-relative:page">
              <v:fill opacity="0f"/>
              <v:textbox inset="0in,0in,0in,0in">
                <w:txbxContent>
                  <w:p>
                    <w:pPr>
                      <w:pStyle w:val="Footer"/>
                      <w:spacing w:before="0" w:after="300"/>
                      <w:rPr/>
                    </w:pPr>
                    <w:r>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0" w:hanging="720"/>
      </w:pPr>
    </w:lvl>
    <w:lvl w:ilvl="1">
      <w:start w:val="1"/>
      <w:pStyle w:val="Heading2"/>
      <w:numFmt w:val="lowerLetter"/>
      <w:lvlText w:val="%2)"/>
      <w:lvlJc w:val="left"/>
      <w:pPr>
        <w:tabs>
          <w:tab w:val="num" w:pos="0"/>
        </w:tabs>
        <w:ind w:left="1474" w:hanging="0"/>
      </w:pPr>
    </w:lvl>
    <w:lvl w:ilvl="2">
      <w:start w:val="1"/>
      <w:pStyle w:val="Heading3"/>
      <w:numFmt w:val="decimal"/>
      <w:lvlText w:val="%2)%3."/>
      <w:lvlJc w:val="left"/>
      <w:pPr>
        <w:tabs>
          <w:tab w:val="num" w:pos="720"/>
        </w:tabs>
        <w:ind w:left="1440" w:hanging="720"/>
      </w:pPr>
    </w:lvl>
    <w:lvl w:ilvl="3">
      <w:start w:val="1"/>
      <w:pStyle w:val="Heading4"/>
      <w:numFmt w:val="decimal"/>
      <w:lvlText w:val="%2)%3.%4."/>
      <w:lvlJc w:val="left"/>
      <w:pPr>
        <w:tabs>
          <w:tab w:val="num" w:pos="720"/>
        </w:tabs>
        <w:ind w:left="2160" w:hanging="720"/>
      </w:pPr>
    </w:lvl>
    <w:lvl w:ilvl="4">
      <w:start w:val="1"/>
      <w:pStyle w:val="Heading5"/>
      <w:numFmt w:val="decimal"/>
      <w:lvlText w:val="%2)%3.%4.%5."/>
      <w:lvlJc w:val="left"/>
      <w:pPr>
        <w:tabs>
          <w:tab w:val="num" w:pos="720"/>
        </w:tabs>
        <w:ind w:left="2880" w:hanging="720"/>
      </w:pPr>
    </w:lvl>
    <w:lvl w:ilvl="5">
      <w:start w:val="1"/>
      <w:pStyle w:val="Heading6"/>
      <w:numFmt w:val="decimal"/>
      <w:lvlText w:val="%2)%3.%4.%5.%6."/>
      <w:lvlJc w:val="left"/>
      <w:pPr>
        <w:tabs>
          <w:tab w:val="num" w:pos="720"/>
        </w:tabs>
        <w:ind w:left="3600" w:hanging="720"/>
      </w:pPr>
    </w:lvl>
    <w:lvl w:ilvl="6">
      <w:start w:val="1"/>
      <w:pStyle w:val="Heading7"/>
      <w:numFmt w:val="decimal"/>
      <w:lvlText w:val="%2)%3.%4.%5.%6.%7."/>
      <w:lvlJc w:val="left"/>
      <w:pPr>
        <w:tabs>
          <w:tab w:val="num" w:pos="720"/>
        </w:tabs>
        <w:ind w:left="4320" w:hanging="720"/>
      </w:pPr>
    </w:lvl>
    <w:lvl w:ilvl="7">
      <w:start w:val="1"/>
      <w:pStyle w:val="Heading8"/>
      <w:numFmt w:val="decimal"/>
      <w:lvlText w:val="%2)%3.%4.%5.%6.%7.%8."/>
      <w:lvlJc w:val="left"/>
      <w:pPr>
        <w:tabs>
          <w:tab w:val="num" w:pos="720"/>
        </w:tabs>
        <w:ind w:left="5040" w:hanging="720"/>
      </w:pPr>
    </w:lvl>
    <w:lvl w:ilvl="8">
      <w:start w:val="1"/>
      <w:pStyle w:val="Heading9"/>
      <w:numFmt w:val="decimal"/>
      <w:lvlText w:val="%2)%3.%4.%5.%6.%7.%8.%9."/>
      <w:lvlJc w:val="left"/>
      <w:pPr>
        <w:tabs>
          <w:tab w:val="num" w:pos="720"/>
        </w:tabs>
        <w:ind w:left="5760" w:hanging="720"/>
      </w:pPr>
    </w:lvl>
  </w:abstractNum>
  <w:abstractNum w:abstractNumId="2">
    <w:lvl w:ilvl="0">
      <w:start w:val="1"/>
      <w:numFmt w:val="bullet"/>
      <w:lvlText w:val=""/>
      <w:lvlJc w:val="left"/>
      <w:pPr>
        <w:tabs>
          <w:tab w:val="num" w:pos="397"/>
        </w:tabs>
        <w:ind w:left="1077" w:hanging="283"/>
      </w:pPr>
      <w:rPr>
        <w:rFonts w:ascii="Symbol" w:hAnsi="Symbol" w:cs="Symbol" w:hint="default"/>
        <w:sz w:val="20"/>
        <w:color w:val="000000"/>
      </w:rPr>
    </w:lvl>
  </w:abstractNum>
  <w:abstractNum w:abstractNumId="3">
    <w:lvl w:ilvl="0">
      <w:start w:val="1"/>
      <w:numFmt w:val="lowerRoman"/>
      <w:lvlText w:val="%1."/>
      <w:lvlJc w:val="left"/>
      <w:pPr>
        <w:tabs>
          <w:tab w:val="num" w:pos="833"/>
        </w:tabs>
        <w:ind w:left="454" w:hanging="341"/>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trackRevisions/>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tabs>
        <w:tab w:val="left" w:pos="720" w:leader="none"/>
      </w:tabs>
      <w:bidi w:val="0"/>
      <w:spacing w:before="0" w:after="300"/>
      <w:jc w:val="both"/>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BodyText"/>
    <w:qFormat/>
    <w:pPr>
      <w:numPr>
        <w:ilvl w:val="0"/>
        <w:numId w:val="1"/>
      </w:numPr>
      <w:ind w:hanging="0" w:left="0" w:right="0"/>
      <w:outlineLvl w:val="0"/>
    </w:pPr>
    <w:rPr/>
  </w:style>
  <w:style w:type="paragraph" w:styleId="Heading2">
    <w:name w:val="heading 2"/>
    <w:basedOn w:val="BodyText"/>
    <w:next w:val="BodyTextExtra"/>
    <w:qFormat/>
    <w:pPr>
      <w:numPr>
        <w:ilvl w:val="1"/>
        <w:numId w:val="1"/>
      </w:numPr>
      <w:spacing w:before="0" w:after="0"/>
      <w:ind w:hanging="340" w:left="0" w:right="0"/>
      <w:outlineLvl w:val="1"/>
    </w:pPr>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rPr>
  </w:style>
  <w:style w:type="paragraph" w:styleId="Heading5">
    <w:name w:val="heading 5"/>
    <w:basedOn w:val="Normal"/>
    <w:next w:val="Normal"/>
    <w:qFormat/>
    <w:pPr>
      <w:numPr>
        <w:ilvl w:val="4"/>
        <w:numId w:val="1"/>
      </w:numPr>
      <w:spacing w:before="240" w:after="60"/>
      <w:outlineLvl w:val="4"/>
    </w:pPr>
    <w:rPr>
      <w:rFonts w:ascii="Arial" w:hAnsi="Arial" w:cs="Arial"/>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cs="Arial"/>
      <w:sz w:val="20"/>
    </w:rPr>
  </w:style>
  <w:style w:type="paragraph" w:styleId="Heading8">
    <w:name w:val="heading 8"/>
    <w:basedOn w:val="Normal"/>
    <w:next w:val="Normal"/>
    <w:qFormat/>
    <w:pPr>
      <w:numPr>
        <w:ilvl w:val="7"/>
        <w:numId w:val="1"/>
      </w:numPr>
      <w:spacing w:before="240" w:after="60"/>
      <w:outlineLvl w:val="7"/>
    </w:pPr>
    <w:rPr>
      <w:rFonts w:ascii="Arial" w:hAnsi="Arial" w:cs="Arial"/>
      <w:i/>
      <w:sz w:val="20"/>
    </w:rPr>
  </w:style>
  <w:style w:type="paragraph" w:styleId="Heading9">
    <w:name w:val="heading 9"/>
    <w:basedOn w:val="Normal"/>
    <w:next w:val="Normal"/>
    <w:qFormat/>
    <w:pPr>
      <w:numPr>
        <w:ilvl w:val="8"/>
        <w:numId w:val="1"/>
      </w:numPr>
      <w:spacing w:before="240" w:after="60"/>
      <w:outlineLvl w:val="8"/>
    </w:pPr>
    <w:rPr>
      <w:rFonts w:ascii="Arial" w:hAnsi="Arial" w:cs="Arial"/>
      <w:b/>
      <w:i/>
      <w:sz w:val="18"/>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color w:val="000000"/>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1">
    <w:name w:val="WW8Num13z1"/>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8z1">
    <w:name w:val="WW8Num18z1"/>
    <w:qFormat/>
    <w:rPr>
      <w:rFonts w:ascii="Times New Roman" w:hAnsi="Times New Roman" w:eastAsia="Times New Roman" w:cs="Times New Roman"/>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St2z0">
    <w:name w:val="WW8NumSt2z0"/>
    <w:qFormat/>
    <w:rPr>
      <w:rFonts w:ascii="Arial" w:hAnsi="Arial" w:cs="Arial"/>
      <w:sz w:val="20"/>
    </w:rPr>
  </w:style>
  <w:style w:type="character" w:styleId="WW8NumSt6z0">
    <w:name w:val="WW8NumSt6z0"/>
    <w:qFormat/>
    <w:rPr>
      <w:rFonts w:ascii="Arial" w:hAnsi="Arial" w:cs="Arial"/>
    </w:rPr>
  </w:style>
  <w:style w:type="character" w:styleId="DefaultParagraphFont">
    <w:name w:val="Default Paragraph Font"/>
    <w:qFormat/>
    <w:rPr/>
  </w:style>
  <w:style w:type="character" w:styleId="PageNumber">
    <w:name w:val="page number"/>
    <w:basedOn w:val="DefaultParagraphFont"/>
    <w:rPr/>
  </w:style>
  <w:style w:type="character" w:styleId="Strong">
    <w:name w:val="Strong"/>
    <w:qFormat/>
    <w:rPr>
      <w:b/>
      <w:bCs/>
    </w:rPr>
  </w:style>
  <w:style w:type="character" w:styleId="FootnoteCharacters">
    <w:name w:val="Footnote Characters"/>
    <w:qFormat/>
    <w:rPr>
      <w:vertAlign w:val="superscript"/>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before="0" w:after="0"/>
      <w:jc w:val="center"/>
    </w:pPr>
    <w:rPr>
      <w:i/>
      <w:sz w:val="22"/>
    </w:rPr>
  </w:style>
  <w:style w:type="paragraph" w:styleId="Footer">
    <w:name w:val="footer"/>
    <w:basedOn w:val="Normal"/>
    <w:pPr/>
    <w:rPr/>
  </w:style>
  <w:style w:type="paragraph" w:styleId="BodyTextIndent">
    <w:name w:val="Body Text Indent"/>
    <w:basedOn w:val="Normal"/>
    <w:pPr>
      <w:spacing w:before="0" w:after="0"/>
      <w:ind w:hanging="360" w:left="360" w:right="0"/>
      <w:jc w:val="left"/>
    </w:pPr>
    <w:rPr>
      <w:rFonts w:ascii="Arial" w:hAnsi="Arial" w:cs="Arial"/>
      <w:sz w:val="20"/>
      <w:szCs w:val="24"/>
    </w:rPr>
  </w:style>
  <w:style w:type="paragraph" w:styleId="Subhead-Third">
    <w:name w:val="Subhead - Third"/>
    <w:basedOn w:val="Normal"/>
    <w:next w:val="BodyText"/>
    <w:qFormat/>
    <w:pPr>
      <w:spacing w:before="0" w:after="0"/>
    </w:pPr>
    <w:rPr>
      <w:b/>
      <w:i/>
    </w:rPr>
  </w:style>
  <w:style w:type="paragraph" w:styleId="Subhead-First">
    <w:name w:val="Subhead - First"/>
    <w:basedOn w:val="Normal"/>
    <w:next w:val="BodyText"/>
    <w:qFormat/>
    <w:pPr>
      <w:spacing w:before="240" w:after="300"/>
    </w:pPr>
    <w:rPr>
      <w:b/>
      <w:caps/>
    </w:rPr>
  </w:style>
  <w:style w:type="paragraph" w:styleId="Subhead-Second">
    <w:name w:val="Subhead - Second"/>
    <w:basedOn w:val="Normal"/>
    <w:next w:val="BodyText"/>
    <w:qFormat/>
    <w:pPr>
      <w:spacing w:before="0" w:after="0"/>
    </w:pPr>
    <w:rPr>
      <w:b/>
    </w:rPr>
  </w:style>
  <w:style w:type="paragraph" w:styleId="Quote-hang">
    <w:name w:val="Quote - hang"/>
    <w:basedOn w:val="Normal"/>
    <w:next w:val="BodyText"/>
    <w:qFormat/>
    <w:pPr>
      <w:ind w:hanging="284" w:left="1021" w:right="0"/>
    </w:pPr>
    <w:rPr>
      <w:sz w:val="19"/>
    </w:rPr>
  </w:style>
  <w:style w:type="paragraph" w:styleId="TOC1">
    <w:name w:val="toc 1"/>
    <w:basedOn w:val="Normal"/>
    <w:next w:val="Normal"/>
    <w:pPr/>
    <w:rPr/>
  </w:style>
  <w:style w:type="paragraph" w:styleId="Indent-bullet">
    <w:name w:val="Indent - bullet"/>
    <w:basedOn w:val="BodyText"/>
    <w:next w:val="BodyText"/>
    <w:qFormat/>
    <w:pPr>
      <w:numPr>
        <w:ilvl w:val="0"/>
        <w:numId w:val="2"/>
      </w:numPr>
      <w:ind w:hanging="284" w:left="681" w:right="0"/>
    </w:pPr>
    <w:rPr/>
  </w:style>
  <w:style w:type="paragraph" w:styleId="Table">
    <w:name w:val="Table"/>
    <w:basedOn w:val="Normal"/>
    <w:qFormat/>
    <w:pPr>
      <w:spacing w:before="120" w:after="120"/>
      <w:ind w:hanging="0" w:left="113" w:right="113"/>
      <w:jc w:val="left"/>
    </w:pPr>
    <w:rPr>
      <w:rFonts w:ascii="Times New (W1);Times New Roman" w:hAnsi="Times New (W1);Times New Roman" w:cs="Times New (W1);Times New Roman"/>
      <w:sz w:val="20"/>
    </w:rPr>
  </w:style>
  <w:style w:type="paragraph" w:styleId="tablelist">
    <w:name w:val="table list"/>
    <w:basedOn w:val="Table"/>
    <w:qFormat/>
    <w:pPr>
      <w:numPr>
        <w:ilvl w:val="0"/>
        <w:numId w:val="3"/>
      </w:numPr>
      <w:spacing w:before="60" w:after="60"/>
    </w:pPr>
    <w:rPr/>
  </w:style>
  <w:style w:type="paragraph" w:styleId="Indent-dash">
    <w:name w:val="Indent - dash"/>
    <w:basedOn w:val="BodyText"/>
    <w:next w:val="BodyTextExtra"/>
    <w:qFormat/>
    <w:pPr>
      <w:spacing w:before="0" w:after="0"/>
      <w:ind w:hanging="284" w:left="1078" w:right="0"/>
    </w:pPr>
    <w:rPr/>
  </w:style>
  <w:style w:type="paragraph" w:styleId="ExplanatoryNotes">
    <w:name w:val="Explanatory Notes"/>
    <w:basedOn w:val="Normal"/>
    <w:next w:val="BodyText"/>
    <w:qFormat/>
    <w:pPr>
      <w:jc w:val="center"/>
    </w:pPr>
    <w:rPr>
      <w:b/>
      <w:caps/>
      <w:sz w:val="28"/>
    </w:rPr>
  </w:style>
  <w:style w:type="paragraph" w:styleId="Name">
    <w:name w:val="Name"/>
    <w:basedOn w:val="Normal"/>
    <w:next w:val="BodyText"/>
    <w:qFormat/>
    <w:pPr>
      <w:spacing w:before="0" w:after="180"/>
      <w:jc w:val="center"/>
    </w:pPr>
    <w:rPr>
      <w:b/>
      <w:caps/>
      <w:sz w:val="36"/>
    </w:rPr>
  </w:style>
  <w:style w:type="paragraph" w:styleId="ExtractHead">
    <w:name w:val="Extract Head"/>
    <w:basedOn w:val="Normal"/>
    <w:next w:val="ExtractsBodyText"/>
    <w:qFormat/>
    <w:pPr>
      <w:jc w:val="center"/>
    </w:pPr>
    <w:rPr>
      <w:b/>
      <w:i/>
      <w:sz w:val="20"/>
    </w:rPr>
  </w:style>
  <w:style w:type="paragraph" w:styleId="ExtractSubhead-First">
    <w:name w:val="Extract Subhead - First"/>
    <w:basedOn w:val="Normal"/>
    <w:next w:val="ExtractsBodyText"/>
    <w:qFormat/>
    <w:pPr>
      <w:spacing w:before="0" w:after="260"/>
      <w:ind w:firstLine="567" w:left="0" w:right="0"/>
    </w:pPr>
    <w:rPr>
      <w:b/>
      <w:sz w:val="20"/>
    </w:rPr>
  </w:style>
  <w:style w:type="paragraph" w:styleId="ExtractSubhead-Second">
    <w:name w:val="Extract Subhead - Second"/>
    <w:basedOn w:val="Normal"/>
    <w:next w:val="ExtractsBodyText"/>
    <w:qFormat/>
    <w:pPr>
      <w:spacing w:before="0" w:after="260"/>
      <w:ind w:firstLine="567" w:left="0" w:right="0"/>
    </w:pPr>
    <w:rPr>
      <w:b/>
      <w:sz w:val="20"/>
    </w:rPr>
  </w:style>
  <w:style w:type="paragraph" w:styleId="ExtractsBodyText">
    <w:name w:val="Extracts Body Text"/>
    <w:basedOn w:val="Normal"/>
    <w:qFormat/>
    <w:pPr>
      <w:spacing w:before="0" w:after="260"/>
      <w:ind w:firstLine="567" w:left="0" w:right="0"/>
    </w:pPr>
    <w:rPr>
      <w:sz w:val="20"/>
    </w:rPr>
  </w:style>
  <w:style w:type="paragraph" w:styleId="Quote-indent">
    <w:name w:val="Quote - indent"/>
    <w:basedOn w:val="Quote-hang"/>
    <w:next w:val="BodyText"/>
    <w:qFormat/>
    <w:pPr>
      <w:ind w:hanging="0" w:left="737" w:right="0"/>
    </w:pPr>
    <w:rPr/>
  </w:style>
  <w:style w:type="paragraph" w:styleId="Indentblank">
    <w:name w:val="Indent blank"/>
    <w:basedOn w:val="Normal"/>
    <w:next w:val="BodyText"/>
    <w:qFormat/>
    <w:pPr>
      <w:spacing w:before="300" w:after="300"/>
      <w:ind w:hanging="0" w:left="680" w:right="0"/>
    </w:pPr>
    <w:rPr/>
  </w:style>
  <w:style w:type="paragraph" w:styleId="Quote">
    <w:name w:val="Quote"/>
    <w:basedOn w:val="Quote-indent"/>
    <w:next w:val="BodyText"/>
    <w:qFormat/>
    <w:pPr>
      <w:ind w:hanging="0" w:left="454" w:right="0"/>
    </w:pPr>
    <w:rPr/>
  </w:style>
  <w:style w:type="paragraph" w:styleId="BodyTextExtra">
    <w:name w:val="Body Text Extra"/>
    <w:basedOn w:val="BodyText"/>
    <w:next w:val="BodyText"/>
    <w:qFormat/>
    <w:pPr>
      <w:spacing w:before="60" w:after="0"/>
    </w:pPr>
    <w:rPr/>
  </w:style>
  <w:style w:type="paragraph" w:styleId="BodyText2">
    <w:name w:val="Body Text 2"/>
    <w:basedOn w:val="Normal"/>
    <w:qFormat/>
    <w:pPr>
      <w:spacing w:before="0" w:after="0"/>
      <w:jc w:val="left"/>
    </w:pPr>
    <w:rPr>
      <w:sz w:val="28"/>
      <w:u w:val="single"/>
    </w:rPr>
  </w:style>
  <w:style w:type="paragraph" w:styleId="DtiLtrHeadBody">
    <w:name w:val="DtiLtrHeadBody"/>
    <w:basedOn w:val="Normal"/>
    <w:qFormat/>
    <w:pPr>
      <w:widowControl w:val="false"/>
      <w:spacing w:before="0" w:after="0"/>
      <w:jc w:val="left"/>
    </w:pPr>
    <w:rPr>
      <w:rFonts w:ascii="Univers 55" w:hAnsi="Univers 55" w:cs="Univers 55"/>
    </w:rPr>
  </w:style>
  <w:style w:type="paragraph" w:styleId="FootnoteText">
    <w:name w:val="footnote text"/>
    <w:basedOn w:val="Normal"/>
    <w:pPr/>
    <w:rPr>
      <w:sz w:val="2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lang w:val="en-GB"/>
    </w:rPr>
  </w:style>
  <w:style w:type="paragraph" w:styleId="CommentSubject">
    <w:name w:val="Comment Subject"/>
    <w:basedOn w:val="CommentText"/>
    <w:next w:val="CommentText"/>
    <w:qFormat/>
    <w:pPr/>
    <w:rPr>
      <w:b/>
      <w:bCs/>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Exnote</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2016-06-13T09:39:00Z</dcterms:created>
  <dc:creator>dthornel</dc:creator>
  <dc:description>Release 1.1</dc:description>
  <cp:keywords/>
  <dc:language>en-GB</dc:language>
  <cp:lastModifiedBy>Margaret Wilson</cp:lastModifiedBy>
  <cp:lastPrinted>2016-05-31T11:08:00Z</cp:lastPrinted>
  <dcterms:modified xsi:type="dcterms:W3CDTF">2016-06-13T09:39:00Z</dcterms:modified>
  <cp:revision>2</cp:revision>
  <dc:subject/>
  <dc:title>Explanatory Note Template for Word 8</dc:title>
</cp:coreProperties>
</file>