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2E4BCA" w:rsidP="0067758B">
      <w:pPr>
        <w:pStyle w:val="StyleENBilltitleText1"/>
        <w:rPr>
          <w:color w:val="auto"/>
          <w:lang w:val="en-GB"/>
        </w:rPr>
      </w:pPr>
      <w:r>
        <w:rPr>
          <w:rStyle w:val="PlaceholderText"/>
          <w:color w:val="auto"/>
          <w:lang w:val="en-GB"/>
        </w:rPr>
        <w:t>National citizen service act 2017</w:t>
      </w:r>
      <w:r w:rsidR="00630235">
        <w:rPr>
          <w:color w:val="auto"/>
          <w:lang w:val="en-GB"/>
        </w:rPr>
        <w:t xml:space="preserve"> </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r w:rsidR="002E4BCA">
        <w:rPr>
          <w:rFonts w:eastAsia="Palatino Linotype" w:cs="Palatino Linotype"/>
          <w:color w:val="000000"/>
          <w:szCs w:val="20"/>
        </w:rPr>
        <w:t xml:space="preserve">National Citizen Service Act 2017 (c. </w:t>
      </w:r>
      <w:r w:rsidR="002D59C2">
        <w:rPr>
          <w:rFonts w:eastAsia="Palatino Linotype" w:cs="Palatino Linotype"/>
          <w:color w:val="000000"/>
          <w:szCs w:val="20"/>
        </w:rPr>
        <w:t>15</w:t>
      </w:r>
      <w:r w:rsidR="002E4BCA">
        <w:rPr>
          <w:rFonts w:eastAsia="Palatino Linotype" w:cs="Palatino Linotype"/>
          <w:color w:val="000000"/>
          <w:szCs w:val="20"/>
        </w:rPr>
        <w:t>) which received Royal Assent on 27 April</w:t>
      </w:r>
      <w:r w:rsidR="002E4BCA">
        <w:rPr>
          <w:color w:val="auto"/>
        </w:rPr>
        <w:t xml:space="preserve"> 2017</w:t>
      </w:r>
      <w:r w:rsidR="00782D13" w:rsidRPr="007879DF">
        <w:rPr>
          <w:color w:val="auto"/>
        </w:rPr>
        <w:t>.</w:t>
      </w:r>
      <w:r w:rsidR="005F4902" w:rsidRPr="007879DF">
        <w:rPr>
          <w:color w:val="auto"/>
        </w:rPr>
        <w:t xml:space="preserve"> </w:t>
      </w:r>
    </w:p>
    <w:p w:rsidR="00E718E1" w:rsidRPr="00AE5693" w:rsidRDefault="00E718E1" w:rsidP="002E4BCA">
      <w:pPr>
        <w:pStyle w:val="StyleENIntroTextBulletedLatinPalatinoLinotype-Roman"/>
      </w:pPr>
      <w:r w:rsidRPr="007879DF">
        <w:rPr>
          <w:color w:val="auto"/>
        </w:rPr>
        <w:t xml:space="preserve">These Explanatory Notes have been </w:t>
      </w:r>
      <w:r w:rsidR="002E4BCA" w:rsidRPr="002E4BCA">
        <w:rPr>
          <w:rStyle w:val="StylePlaceholderTextLatinPalatinoLinotype-Roman10pt"/>
          <w:color w:val="auto"/>
        </w:rPr>
        <w:t>prepared by the Department for Culture, Media and Sport in order to assist the reader in understanding the Act. They do not form part of the Act 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2E4BCA">
        <w:t>Act</w:t>
      </w:r>
      <w:r w:rsidR="00F4644B" w:rsidRPr="00146FE0">
        <w:t xml:space="preserve"> </w:t>
      </w:r>
      <w:r w:rsidR="00FD6AE0" w:rsidRPr="00146FE0">
        <w:t xml:space="preserve">will mean in practice; provide background information on the development of policy; and provide additional information on how the </w:t>
      </w:r>
      <w:r w:rsidR="002E4BCA">
        <w:t>Act</w:t>
      </w:r>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2E4BCA">
        <w:t>Act</w:t>
      </w:r>
      <w:r w:rsidRPr="00146FE0">
        <w:t xml:space="preserve">. They are not, and are not intended to be, a comprehensive description of the </w:t>
      </w:r>
      <w:r w:rsidR="002E4BCA">
        <w:t>Act</w:t>
      </w:r>
      <w:r w:rsidR="005D36BD" w:rsidRPr="00146FE0">
        <w:t>.</w:t>
      </w:r>
    </w:p>
    <w:p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bookmarkStart w:id="0" w:name="_GoBack"/>
    <w:bookmarkEnd w:id="0"/>
    <w:p w:rsidR="009B7656"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31192423" w:history="1">
        <w:r w:rsidR="009B7656" w:rsidRPr="00705B38">
          <w:rPr>
            <w:rStyle w:val="Hyperlink"/>
            <w:noProof/>
          </w:rPr>
          <w:t>Overview of the Act</w:t>
        </w:r>
        <w:r w:rsidR="009B7656">
          <w:rPr>
            <w:noProof/>
            <w:webHidden/>
          </w:rPr>
          <w:tab/>
        </w:r>
        <w:r w:rsidR="009B7656">
          <w:rPr>
            <w:noProof/>
            <w:webHidden/>
          </w:rPr>
          <w:fldChar w:fldCharType="begin"/>
        </w:r>
        <w:r w:rsidR="009B7656">
          <w:rPr>
            <w:noProof/>
            <w:webHidden/>
          </w:rPr>
          <w:instrText xml:space="preserve"> PAGEREF _Toc31192423 \h </w:instrText>
        </w:r>
        <w:r w:rsidR="009B7656">
          <w:rPr>
            <w:noProof/>
            <w:webHidden/>
          </w:rPr>
        </w:r>
        <w:r w:rsidR="009B7656">
          <w:rPr>
            <w:noProof/>
            <w:webHidden/>
          </w:rPr>
          <w:fldChar w:fldCharType="separate"/>
        </w:r>
        <w:r w:rsidR="009B7656">
          <w:rPr>
            <w:noProof/>
            <w:webHidden/>
          </w:rPr>
          <w:t>2</w:t>
        </w:r>
        <w:r w:rsidR="009B7656">
          <w:rPr>
            <w:noProof/>
            <w:webHidden/>
          </w:rPr>
          <w:fldChar w:fldCharType="end"/>
        </w:r>
      </w:hyperlink>
    </w:p>
    <w:p w:rsidR="009B7656" w:rsidRDefault="009B7656">
      <w:pPr>
        <w:pStyle w:val="TOC1"/>
        <w:rPr>
          <w:rFonts w:asciiTheme="minorHAnsi" w:eastAsiaTheme="minorEastAsia" w:hAnsiTheme="minorHAnsi" w:cstheme="minorBidi"/>
          <w:b w:val="0"/>
          <w:bCs w:val="0"/>
          <w:noProof/>
          <w:sz w:val="22"/>
          <w:szCs w:val="22"/>
          <w:lang w:eastAsia="en-GB" w:bidi="ar-SA"/>
        </w:rPr>
      </w:pPr>
      <w:hyperlink w:anchor="_Toc31192424" w:history="1">
        <w:r w:rsidRPr="00705B38">
          <w:rPr>
            <w:rStyle w:val="Hyperlink"/>
            <w:noProof/>
          </w:rPr>
          <w:t>Policy background</w:t>
        </w:r>
        <w:r>
          <w:rPr>
            <w:noProof/>
            <w:webHidden/>
          </w:rPr>
          <w:tab/>
        </w:r>
        <w:r>
          <w:rPr>
            <w:noProof/>
            <w:webHidden/>
          </w:rPr>
          <w:fldChar w:fldCharType="begin"/>
        </w:r>
        <w:r>
          <w:rPr>
            <w:noProof/>
            <w:webHidden/>
          </w:rPr>
          <w:instrText xml:space="preserve"> PAGEREF _Toc31192424 \h </w:instrText>
        </w:r>
        <w:r>
          <w:rPr>
            <w:noProof/>
            <w:webHidden/>
          </w:rPr>
        </w:r>
        <w:r>
          <w:rPr>
            <w:noProof/>
            <w:webHidden/>
          </w:rPr>
          <w:fldChar w:fldCharType="separate"/>
        </w:r>
        <w:r>
          <w:rPr>
            <w:noProof/>
            <w:webHidden/>
          </w:rPr>
          <w:t>2</w:t>
        </w:r>
        <w:r>
          <w:rPr>
            <w:noProof/>
            <w:webHidden/>
          </w:rPr>
          <w:fldChar w:fldCharType="end"/>
        </w:r>
      </w:hyperlink>
    </w:p>
    <w:p w:rsidR="009B7656" w:rsidRDefault="009B7656">
      <w:pPr>
        <w:pStyle w:val="TOC1"/>
        <w:rPr>
          <w:rFonts w:asciiTheme="minorHAnsi" w:eastAsiaTheme="minorEastAsia" w:hAnsiTheme="minorHAnsi" w:cstheme="minorBidi"/>
          <w:b w:val="0"/>
          <w:bCs w:val="0"/>
          <w:noProof/>
          <w:sz w:val="22"/>
          <w:szCs w:val="22"/>
          <w:lang w:eastAsia="en-GB" w:bidi="ar-SA"/>
        </w:rPr>
      </w:pPr>
      <w:hyperlink w:anchor="_Toc31192425" w:history="1">
        <w:r w:rsidRPr="00705B38">
          <w:rPr>
            <w:rStyle w:val="Hyperlink"/>
            <w:noProof/>
          </w:rPr>
          <w:t>Legal background</w:t>
        </w:r>
        <w:r>
          <w:rPr>
            <w:noProof/>
            <w:webHidden/>
          </w:rPr>
          <w:tab/>
        </w:r>
        <w:r>
          <w:rPr>
            <w:noProof/>
            <w:webHidden/>
          </w:rPr>
          <w:fldChar w:fldCharType="begin"/>
        </w:r>
        <w:r>
          <w:rPr>
            <w:noProof/>
            <w:webHidden/>
          </w:rPr>
          <w:instrText xml:space="preserve"> PAGEREF _Toc31192425 \h </w:instrText>
        </w:r>
        <w:r>
          <w:rPr>
            <w:noProof/>
            <w:webHidden/>
          </w:rPr>
        </w:r>
        <w:r>
          <w:rPr>
            <w:noProof/>
            <w:webHidden/>
          </w:rPr>
          <w:fldChar w:fldCharType="separate"/>
        </w:r>
        <w:r>
          <w:rPr>
            <w:noProof/>
            <w:webHidden/>
          </w:rPr>
          <w:t>3</w:t>
        </w:r>
        <w:r>
          <w:rPr>
            <w:noProof/>
            <w:webHidden/>
          </w:rPr>
          <w:fldChar w:fldCharType="end"/>
        </w:r>
      </w:hyperlink>
    </w:p>
    <w:p w:rsidR="009B7656" w:rsidRDefault="009B7656">
      <w:pPr>
        <w:pStyle w:val="TOC1"/>
        <w:rPr>
          <w:rFonts w:asciiTheme="minorHAnsi" w:eastAsiaTheme="minorEastAsia" w:hAnsiTheme="minorHAnsi" w:cstheme="minorBidi"/>
          <w:b w:val="0"/>
          <w:bCs w:val="0"/>
          <w:noProof/>
          <w:sz w:val="22"/>
          <w:szCs w:val="22"/>
          <w:lang w:eastAsia="en-GB" w:bidi="ar-SA"/>
        </w:rPr>
      </w:pPr>
      <w:hyperlink w:anchor="_Toc31192426" w:history="1">
        <w:r w:rsidRPr="00705B38">
          <w:rPr>
            <w:rStyle w:val="Hyperlink"/>
            <w:noProof/>
          </w:rPr>
          <w:t>Territorial extent and application</w:t>
        </w:r>
        <w:r>
          <w:rPr>
            <w:noProof/>
            <w:webHidden/>
          </w:rPr>
          <w:tab/>
        </w:r>
        <w:r>
          <w:rPr>
            <w:noProof/>
            <w:webHidden/>
          </w:rPr>
          <w:fldChar w:fldCharType="begin"/>
        </w:r>
        <w:r>
          <w:rPr>
            <w:noProof/>
            <w:webHidden/>
          </w:rPr>
          <w:instrText xml:space="preserve"> PAGEREF _Toc31192426 \h </w:instrText>
        </w:r>
        <w:r>
          <w:rPr>
            <w:noProof/>
            <w:webHidden/>
          </w:rPr>
        </w:r>
        <w:r>
          <w:rPr>
            <w:noProof/>
            <w:webHidden/>
          </w:rPr>
          <w:fldChar w:fldCharType="separate"/>
        </w:r>
        <w:r>
          <w:rPr>
            <w:noProof/>
            <w:webHidden/>
          </w:rPr>
          <w:t>3</w:t>
        </w:r>
        <w:r>
          <w:rPr>
            <w:noProof/>
            <w:webHidden/>
          </w:rPr>
          <w:fldChar w:fldCharType="end"/>
        </w:r>
      </w:hyperlink>
    </w:p>
    <w:p w:rsidR="009B7656" w:rsidRDefault="009B7656">
      <w:pPr>
        <w:pStyle w:val="TOC1"/>
        <w:rPr>
          <w:rFonts w:asciiTheme="minorHAnsi" w:eastAsiaTheme="minorEastAsia" w:hAnsiTheme="minorHAnsi" w:cstheme="minorBidi"/>
          <w:b w:val="0"/>
          <w:bCs w:val="0"/>
          <w:noProof/>
          <w:sz w:val="22"/>
          <w:szCs w:val="22"/>
          <w:lang w:eastAsia="en-GB" w:bidi="ar-SA"/>
        </w:rPr>
      </w:pPr>
      <w:hyperlink w:anchor="_Toc31192427" w:history="1">
        <w:r w:rsidRPr="00705B38">
          <w:rPr>
            <w:rStyle w:val="Hyperlink"/>
            <w:noProof/>
          </w:rPr>
          <w:t>Commentary on provisions of Act</w:t>
        </w:r>
        <w:r>
          <w:rPr>
            <w:noProof/>
            <w:webHidden/>
          </w:rPr>
          <w:tab/>
        </w:r>
        <w:r>
          <w:rPr>
            <w:noProof/>
            <w:webHidden/>
          </w:rPr>
          <w:fldChar w:fldCharType="begin"/>
        </w:r>
        <w:r>
          <w:rPr>
            <w:noProof/>
            <w:webHidden/>
          </w:rPr>
          <w:instrText xml:space="preserve"> PAGEREF _Toc31192427 \h </w:instrText>
        </w:r>
        <w:r>
          <w:rPr>
            <w:noProof/>
            <w:webHidden/>
          </w:rPr>
        </w:r>
        <w:r>
          <w:rPr>
            <w:noProof/>
            <w:webHidden/>
          </w:rPr>
          <w:fldChar w:fldCharType="separate"/>
        </w:r>
        <w:r>
          <w:rPr>
            <w:noProof/>
            <w:webHidden/>
          </w:rPr>
          <w:t>4</w:t>
        </w:r>
        <w:r>
          <w:rPr>
            <w:noProof/>
            <w:webHidden/>
          </w:rPr>
          <w:fldChar w:fldCharType="end"/>
        </w:r>
      </w:hyperlink>
    </w:p>
    <w:p w:rsidR="009B7656" w:rsidRDefault="009B7656">
      <w:pPr>
        <w:pStyle w:val="TOC2"/>
        <w:tabs>
          <w:tab w:val="right" w:pos="9061"/>
        </w:tabs>
        <w:rPr>
          <w:rFonts w:asciiTheme="minorHAnsi" w:eastAsiaTheme="minorEastAsia" w:hAnsiTheme="minorHAnsi" w:cstheme="minorBidi"/>
          <w:noProof/>
          <w:sz w:val="22"/>
          <w:szCs w:val="22"/>
          <w:lang w:eastAsia="en-GB" w:bidi="ar-SA"/>
        </w:rPr>
      </w:pPr>
      <w:hyperlink w:anchor="_Toc31192428" w:history="1">
        <w:r w:rsidRPr="00705B38">
          <w:rPr>
            <w:rStyle w:val="Hyperlink"/>
            <w:noProof/>
          </w:rPr>
          <w:t>Part 1: National Citizen Service Trust</w:t>
        </w:r>
        <w:r>
          <w:rPr>
            <w:noProof/>
            <w:webHidden/>
          </w:rPr>
          <w:tab/>
        </w:r>
        <w:r>
          <w:rPr>
            <w:noProof/>
            <w:webHidden/>
          </w:rPr>
          <w:fldChar w:fldCharType="begin"/>
        </w:r>
        <w:r>
          <w:rPr>
            <w:noProof/>
            <w:webHidden/>
          </w:rPr>
          <w:instrText xml:space="preserve"> PAGEREF _Toc31192428 \h </w:instrText>
        </w:r>
        <w:r>
          <w:rPr>
            <w:noProof/>
            <w:webHidden/>
          </w:rPr>
        </w:r>
        <w:r>
          <w:rPr>
            <w:noProof/>
            <w:webHidden/>
          </w:rPr>
          <w:fldChar w:fldCharType="separate"/>
        </w:r>
        <w:r>
          <w:rPr>
            <w:noProof/>
            <w:webHidden/>
          </w:rPr>
          <w:t>4</w:t>
        </w:r>
        <w:r>
          <w:rPr>
            <w:noProof/>
            <w:webHidden/>
          </w:rPr>
          <w:fldChar w:fldCharType="end"/>
        </w:r>
      </w:hyperlink>
    </w:p>
    <w:p w:rsidR="009B7656" w:rsidRDefault="009B7656">
      <w:pPr>
        <w:pStyle w:val="TOC4"/>
        <w:tabs>
          <w:tab w:val="right" w:pos="9061"/>
        </w:tabs>
        <w:rPr>
          <w:rFonts w:asciiTheme="minorHAnsi" w:eastAsiaTheme="minorEastAsia" w:hAnsiTheme="minorHAnsi" w:cstheme="minorBidi"/>
          <w:noProof/>
          <w:sz w:val="22"/>
          <w:szCs w:val="22"/>
          <w:lang w:eastAsia="en-GB" w:bidi="ar-SA"/>
        </w:rPr>
      </w:pPr>
      <w:hyperlink w:anchor="_Toc31192429" w:history="1">
        <w:r w:rsidRPr="00705B38">
          <w:rPr>
            <w:rStyle w:val="Hyperlink"/>
            <w:noProof/>
          </w:rPr>
          <w:t>Section 1: National Citizen Service Trust</w:t>
        </w:r>
        <w:r>
          <w:rPr>
            <w:noProof/>
            <w:webHidden/>
          </w:rPr>
          <w:tab/>
        </w:r>
        <w:r>
          <w:rPr>
            <w:noProof/>
            <w:webHidden/>
          </w:rPr>
          <w:fldChar w:fldCharType="begin"/>
        </w:r>
        <w:r>
          <w:rPr>
            <w:noProof/>
            <w:webHidden/>
          </w:rPr>
          <w:instrText xml:space="preserve"> PAGEREF _Toc31192429 \h </w:instrText>
        </w:r>
        <w:r>
          <w:rPr>
            <w:noProof/>
            <w:webHidden/>
          </w:rPr>
        </w:r>
        <w:r>
          <w:rPr>
            <w:noProof/>
            <w:webHidden/>
          </w:rPr>
          <w:fldChar w:fldCharType="separate"/>
        </w:r>
        <w:r>
          <w:rPr>
            <w:noProof/>
            <w:webHidden/>
          </w:rPr>
          <w:t>4</w:t>
        </w:r>
        <w:r>
          <w:rPr>
            <w:noProof/>
            <w:webHidden/>
          </w:rPr>
          <w:fldChar w:fldCharType="end"/>
        </w:r>
      </w:hyperlink>
    </w:p>
    <w:p w:rsidR="009B7656" w:rsidRDefault="009B7656">
      <w:pPr>
        <w:pStyle w:val="TOC4"/>
        <w:tabs>
          <w:tab w:val="right" w:pos="9061"/>
        </w:tabs>
        <w:rPr>
          <w:rFonts w:asciiTheme="minorHAnsi" w:eastAsiaTheme="minorEastAsia" w:hAnsiTheme="minorHAnsi" w:cstheme="minorBidi"/>
          <w:noProof/>
          <w:sz w:val="22"/>
          <w:szCs w:val="22"/>
          <w:lang w:eastAsia="en-GB" w:bidi="ar-SA"/>
        </w:rPr>
      </w:pPr>
      <w:hyperlink w:anchor="_Toc31192430" w:history="1">
        <w:r w:rsidRPr="00705B38">
          <w:rPr>
            <w:rStyle w:val="Hyperlink"/>
            <w:noProof/>
          </w:rPr>
          <w:t>Section 2 and Schedule 1: Transfer schemes</w:t>
        </w:r>
        <w:r>
          <w:rPr>
            <w:noProof/>
            <w:webHidden/>
          </w:rPr>
          <w:tab/>
        </w:r>
        <w:r>
          <w:rPr>
            <w:noProof/>
            <w:webHidden/>
          </w:rPr>
          <w:fldChar w:fldCharType="begin"/>
        </w:r>
        <w:r>
          <w:rPr>
            <w:noProof/>
            <w:webHidden/>
          </w:rPr>
          <w:instrText xml:space="preserve"> PAGEREF _Toc31192430 \h </w:instrText>
        </w:r>
        <w:r>
          <w:rPr>
            <w:noProof/>
            <w:webHidden/>
          </w:rPr>
        </w:r>
        <w:r>
          <w:rPr>
            <w:noProof/>
            <w:webHidden/>
          </w:rPr>
          <w:fldChar w:fldCharType="separate"/>
        </w:r>
        <w:r>
          <w:rPr>
            <w:noProof/>
            <w:webHidden/>
          </w:rPr>
          <w:t>4</w:t>
        </w:r>
        <w:r>
          <w:rPr>
            <w:noProof/>
            <w:webHidden/>
          </w:rPr>
          <w:fldChar w:fldCharType="end"/>
        </w:r>
      </w:hyperlink>
    </w:p>
    <w:p w:rsidR="009B7656" w:rsidRDefault="009B7656">
      <w:pPr>
        <w:pStyle w:val="TOC4"/>
        <w:tabs>
          <w:tab w:val="right" w:pos="9061"/>
        </w:tabs>
        <w:rPr>
          <w:rFonts w:asciiTheme="minorHAnsi" w:eastAsiaTheme="minorEastAsia" w:hAnsiTheme="minorHAnsi" w:cstheme="minorBidi"/>
          <w:noProof/>
          <w:sz w:val="22"/>
          <w:szCs w:val="22"/>
          <w:lang w:eastAsia="en-GB" w:bidi="ar-SA"/>
        </w:rPr>
      </w:pPr>
      <w:hyperlink w:anchor="_Toc31192431" w:history="1">
        <w:r w:rsidRPr="00705B38">
          <w:rPr>
            <w:rStyle w:val="Hyperlink"/>
            <w:noProof/>
          </w:rPr>
          <w:t>Section 3: Finance</w:t>
        </w:r>
        <w:r>
          <w:rPr>
            <w:noProof/>
            <w:webHidden/>
          </w:rPr>
          <w:tab/>
        </w:r>
        <w:r>
          <w:rPr>
            <w:noProof/>
            <w:webHidden/>
          </w:rPr>
          <w:fldChar w:fldCharType="begin"/>
        </w:r>
        <w:r>
          <w:rPr>
            <w:noProof/>
            <w:webHidden/>
          </w:rPr>
          <w:instrText xml:space="preserve"> PAGEREF _Toc31192431 \h </w:instrText>
        </w:r>
        <w:r>
          <w:rPr>
            <w:noProof/>
            <w:webHidden/>
          </w:rPr>
        </w:r>
        <w:r>
          <w:rPr>
            <w:noProof/>
            <w:webHidden/>
          </w:rPr>
          <w:fldChar w:fldCharType="separate"/>
        </w:r>
        <w:r>
          <w:rPr>
            <w:noProof/>
            <w:webHidden/>
          </w:rPr>
          <w:t>4</w:t>
        </w:r>
        <w:r>
          <w:rPr>
            <w:noProof/>
            <w:webHidden/>
          </w:rPr>
          <w:fldChar w:fldCharType="end"/>
        </w:r>
      </w:hyperlink>
    </w:p>
    <w:p w:rsidR="009B7656" w:rsidRDefault="009B7656">
      <w:pPr>
        <w:pStyle w:val="TOC1"/>
        <w:rPr>
          <w:rFonts w:asciiTheme="minorHAnsi" w:eastAsiaTheme="minorEastAsia" w:hAnsiTheme="minorHAnsi" w:cstheme="minorBidi"/>
          <w:b w:val="0"/>
          <w:bCs w:val="0"/>
          <w:noProof/>
          <w:sz w:val="22"/>
          <w:szCs w:val="22"/>
          <w:lang w:eastAsia="en-GB" w:bidi="ar-SA"/>
        </w:rPr>
      </w:pPr>
      <w:hyperlink w:anchor="_Toc31192432" w:history="1">
        <w:r w:rsidRPr="00705B38">
          <w:rPr>
            <w:rStyle w:val="Hyperlink"/>
            <w:noProof/>
          </w:rPr>
          <w:t>Commencement</w:t>
        </w:r>
        <w:r>
          <w:rPr>
            <w:noProof/>
            <w:webHidden/>
          </w:rPr>
          <w:tab/>
        </w:r>
        <w:r>
          <w:rPr>
            <w:noProof/>
            <w:webHidden/>
          </w:rPr>
          <w:fldChar w:fldCharType="begin"/>
        </w:r>
        <w:r>
          <w:rPr>
            <w:noProof/>
            <w:webHidden/>
          </w:rPr>
          <w:instrText xml:space="preserve"> PAGEREF _Toc31192432 \h </w:instrText>
        </w:r>
        <w:r>
          <w:rPr>
            <w:noProof/>
            <w:webHidden/>
          </w:rPr>
        </w:r>
        <w:r>
          <w:rPr>
            <w:noProof/>
            <w:webHidden/>
          </w:rPr>
          <w:fldChar w:fldCharType="separate"/>
        </w:r>
        <w:r>
          <w:rPr>
            <w:noProof/>
            <w:webHidden/>
          </w:rPr>
          <w:t>6</w:t>
        </w:r>
        <w:r>
          <w:rPr>
            <w:noProof/>
            <w:webHidden/>
          </w:rPr>
          <w:fldChar w:fldCharType="end"/>
        </w:r>
      </w:hyperlink>
    </w:p>
    <w:p w:rsidR="009B7656" w:rsidRDefault="009B7656">
      <w:pPr>
        <w:pStyle w:val="TOC1"/>
        <w:rPr>
          <w:rFonts w:asciiTheme="minorHAnsi" w:eastAsiaTheme="minorEastAsia" w:hAnsiTheme="minorHAnsi" w:cstheme="minorBidi"/>
          <w:b w:val="0"/>
          <w:bCs w:val="0"/>
          <w:noProof/>
          <w:sz w:val="22"/>
          <w:szCs w:val="22"/>
          <w:lang w:eastAsia="en-GB" w:bidi="ar-SA"/>
        </w:rPr>
      </w:pPr>
      <w:hyperlink w:anchor="_Toc31192433" w:history="1">
        <w:r w:rsidRPr="00705B38">
          <w:rPr>
            <w:rStyle w:val="Hyperlink"/>
            <w:noProof/>
          </w:rPr>
          <w:t>Related documents</w:t>
        </w:r>
        <w:r>
          <w:rPr>
            <w:noProof/>
            <w:webHidden/>
          </w:rPr>
          <w:tab/>
        </w:r>
        <w:r>
          <w:rPr>
            <w:noProof/>
            <w:webHidden/>
          </w:rPr>
          <w:fldChar w:fldCharType="begin"/>
        </w:r>
        <w:r>
          <w:rPr>
            <w:noProof/>
            <w:webHidden/>
          </w:rPr>
          <w:instrText xml:space="preserve"> PAGEREF _Toc31192433 \h </w:instrText>
        </w:r>
        <w:r>
          <w:rPr>
            <w:noProof/>
            <w:webHidden/>
          </w:rPr>
        </w:r>
        <w:r>
          <w:rPr>
            <w:noProof/>
            <w:webHidden/>
          </w:rPr>
          <w:fldChar w:fldCharType="separate"/>
        </w:r>
        <w:r>
          <w:rPr>
            <w:noProof/>
            <w:webHidden/>
          </w:rPr>
          <w:t>6</w:t>
        </w:r>
        <w:r>
          <w:rPr>
            <w:noProof/>
            <w:webHidden/>
          </w:rPr>
          <w:fldChar w:fldCharType="end"/>
        </w:r>
      </w:hyperlink>
    </w:p>
    <w:p w:rsidR="009B7656" w:rsidRDefault="009B7656">
      <w:pPr>
        <w:pStyle w:val="TOC1"/>
        <w:rPr>
          <w:rFonts w:asciiTheme="minorHAnsi" w:eastAsiaTheme="minorEastAsia" w:hAnsiTheme="minorHAnsi" w:cstheme="minorBidi"/>
          <w:b w:val="0"/>
          <w:bCs w:val="0"/>
          <w:noProof/>
          <w:sz w:val="22"/>
          <w:szCs w:val="22"/>
          <w:lang w:eastAsia="en-GB" w:bidi="ar-SA"/>
        </w:rPr>
      </w:pPr>
      <w:hyperlink w:anchor="_Toc31192434" w:history="1">
        <w:r w:rsidRPr="00705B38">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_Toc31192434 \h </w:instrText>
        </w:r>
        <w:r>
          <w:rPr>
            <w:noProof/>
            <w:webHidden/>
          </w:rPr>
        </w:r>
        <w:r>
          <w:rPr>
            <w:noProof/>
            <w:webHidden/>
          </w:rPr>
          <w:fldChar w:fldCharType="separate"/>
        </w:r>
        <w:r>
          <w:rPr>
            <w:noProof/>
            <w:webHidden/>
          </w:rPr>
          <w:t>7</w:t>
        </w:r>
        <w:r>
          <w:rPr>
            <w:noProof/>
            <w:webHidden/>
          </w:rPr>
          <w:fldChar w:fldCharType="end"/>
        </w:r>
      </w:hyperlink>
    </w:p>
    <w:p w:rsidR="009B7656" w:rsidRDefault="009B7656">
      <w:pPr>
        <w:pStyle w:val="TOC1"/>
        <w:rPr>
          <w:rFonts w:asciiTheme="minorHAnsi" w:eastAsiaTheme="minorEastAsia" w:hAnsiTheme="minorHAnsi" w:cstheme="minorBidi"/>
          <w:b w:val="0"/>
          <w:bCs w:val="0"/>
          <w:noProof/>
          <w:sz w:val="22"/>
          <w:szCs w:val="22"/>
          <w:lang w:eastAsia="en-GB" w:bidi="ar-SA"/>
        </w:rPr>
      </w:pPr>
      <w:hyperlink w:anchor="_Toc31192435" w:history="1">
        <w:r w:rsidRPr="00705B38">
          <w:rPr>
            <w:rStyle w:val="Hyperlink"/>
            <w:noProof/>
          </w:rPr>
          <w:t>Annex B - Hansard References</w:t>
        </w:r>
        <w:r>
          <w:rPr>
            <w:noProof/>
            <w:webHidden/>
          </w:rPr>
          <w:tab/>
        </w:r>
        <w:r>
          <w:rPr>
            <w:noProof/>
            <w:webHidden/>
          </w:rPr>
          <w:fldChar w:fldCharType="begin"/>
        </w:r>
        <w:r>
          <w:rPr>
            <w:noProof/>
            <w:webHidden/>
          </w:rPr>
          <w:instrText xml:space="preserve"> PAGEREF _Toc31192435 \h </w:instrText>
        </w:r>
        <w:r>
          <w:rPr>
            <w:noProof/>
            <w:webHidden/>
          </w:rPr>
        </w:r>
        <w:r>
          <w:rPr>
            <w:noProof/>
            <w:webHidden/>
          </w:rPr>
          <w:fldChar w:fldCharType="separate"/>
        </w:r>
        <w:r>
          <w:rPr>
            <w:noProof/>
            <w:webHidden/>
          </w:rPr>
          <w:t>7</w:t>
        </w:r>
        <w:r>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1" w:name="_Toc410653883"/>
      <w:bookmarkStart w:id="2" w:name="_Toc416612126"/>
      <w:bookmarkStart w:id="3" w:name="_Toc417648111"/>
      <w:bookmarkStart w:id="4" w:name="_Toc418587917"/>
      <w:bookmarkStart w:id="5" w:name="_Toc31192423"/>
      <w:r w:rsidR="00E718E1" w:rsidRPr="00CA4237">
        <w:lastRenderedPageBreak/>
        <w:t xml:space="preserve">Overview of the </w:t>
      </w:r>
      <w:bookmarkEnd w:id="1"/>
      <w:r w:rsidR="00CE2ABF" w:rsidRPr="00645B5D">
        <w:t>Act</w:t>
      </w:r>
      <w:bookmarkEnd w:id="2"/>
      <w:bookmarkEnd w:id="3"/>
      <w:bookmarkEnd w:id="4"/>
      <w:bookmarkEnd w:id="5"/>
    </w:p>
    <w:p w:rsidR="0035622C" w:rsidRPr="002E4BCA" w:rsidRDefault="002E4BCA" w:rsidP="002E4BCA">
      <w:pPr>
        <w:pStyle w:val="ParaNumbered"/>
        <w:rPr>
          <w:lang w:val="en-GB"/>
        </w:rPr>
      </w:pPr>
      <w:r w:rsidRPr="002E4BCA">
        <w:rPr>
          <w:lang w:val="en-GB"/>
        </w:rPr>
        <w:t>This Act will create a statutory framework for the National Citizen Service (‘NCS’), with the aim of ensuring proper oversight of the management of public funding for the service. It should be read alongside the Royal Charter (‘the Charter’) that incorporates the body that will deliver NCS, to be known as the NCS Trust. The Act and the Charter work together, and the Act makes provision about the NCS Trus</w:t>
      </w:r>
      <w:r>
        <w:rPr>
          <w:lang w:val="en-GB"/>
        </w:rPr>
        <w:t>t.</w:t>
      </w:r>
    </w:p>
    <w:p w:rsidR="00E718E1" w:rsidRPr="00CA4237" w:rsidRDefault="00E718E1" w:rsidP="005E1288">
      <w:pPr>
        <w:pStyle w:val="Heading1"/>
        <w:keepNext/>
      </w:pPr>
      <w:bookmarkStart w:id="6" w:name="_Toc416612127"/>
      <w:bookmarkStart w:id="7" w:name="_Toc410653884"/>
      <w:bookmarkStart w:id="8" w:name="_Toc417648112"/>
      <w:bookmarkStart w:id="9" w:name="_Toc418587918"/>
      <w:bookmarkStart w:id="10" w:name="_Toc31192424"/>
      <w:r w:rsidRPr="00CA4237">
        <w:t>Policy background</w:t>
      </w:r>
      <w:bookmarkEnd w:id="6"/>
      <w:bookmarkEnd w:id="7"/>
      <w:bookmarkEnd w:id="8"/>
      <w:bookmarkEnd w:id="9"/>
      <w:bookmarkEnd w:id="10"/>
    </w:p>
    <w:p w:rsidR="0035622C" w:rsidRDefault="00B3771E" w:rsidP="00B3771E">
      <w:pPr>
        <w:pStyle w:val="ParaNumbered"/>
        <w:rPr>
          <w:lang w:val="en-GB"/>
        </w:rPr>
      </w:pPr>
      <w:r>
        <w:rPr>
          <w:rFonts w:eastAsia="Palatino Linotype" w:cs="Palatino Linotype"/>
          <w:szCs w:val="20"/>
        </w:rPr>
        <w:t>The NCS has been available since 2011, and consists of courses for young people in England and Northern Ireland, mostly aged 16 and 17. The courses take place during school holidays and are partly residential. They comprise a mixture of activities – adventures, life skills and social action – which encourage young people to engage with their community and develop for the future</w:t>
      </w:r>
      <w:r>
        <w:rPr>
          <w:lang w:val="en-GB"/>
        </w:rPr>
        <w:t>.</w:t>
      </w:r>
    </w:p>
    <w:p w:rsidR="00B3771E" w:rsidRPr="00B3771E" w:rsidRDefault="00B3771E" w:rsidP="00B3771E">
      <w:pPr>
        <w:pStyle w:val="ParaNumbered"/>
        <w:rPr>
          <w:lang w:val="en-GB"/>
        </w:rPr>
      </w:pPr>
      <w:r>
        <w:rPr>
          <w:rFonts w:eastAsia="Palatino Linotype" w:cs="Palatino Linotype"/>
          <w:szCs w:val="20"/>
        </w:rPr>
        <w:t>The programme is currently administered by a community interest company, also called the NCS Trust (company registration number 08235117, ‘the Company’). The Company contracts with providers in different parts of England to deliver the programme. The Company is grant-funded on an annual basis by the Cabinet Office.</w:t>
      </w:r>
    </w:p>
    <w:p w:rsidR="00B3771E" w:rsidRPr="00B3771E" w:rsidRDefault="00B3771E" w:rsidP="00B3771E">
      <w:pPr>
        <w:pStyle w:val="ParaNumbered"/>
        <w:rPr>
          <w:lang w:val="en-GB"/>
        </w:rPr>
      </w:pPr>
      <w:r>
        <w:rPr>
          <w:rFonts w:eastAsia="Palatino Linotype" w:cs="Palatino Linotype"/>
          <w:szCs w:val="20"/>
        </w:rPr>
        <w:t>The NCS is intended to enable the young people who attend to meet people from different backgrounds, enhancing their life skills and increasing their employability. It is also intended to encourage community cohesion. An increase in funding for the NCS was announced in the 2015 spending review to fulfil the government's aspiration that attendance on the NCS become a ‘rite of passage’ for all young people.</w:t>
      </w:r>
    </w:p>
    <w:p w:rsidR="00B3771E" w:rsidRPr="00B3771E" w:rsidRDefault="00B3771E" w:rsidP="00B3771E">
      <w:pPr>
        <w:pStyle w:val="ParaNumbered"/>
        <w:rPr>
          <w:lang w:val="en-GB"/>
        </w:rPr>
      </w:pPr>
      <w:r>
        <w:rPr>
          <w:rFonts w:eastAsia="Palatino Linotype" w:cs="Palatino Linotype"/>
          <w:szCs w:val="20"/>
        </w:rPr>
        <w:t>The Act aims to help fulfil the government’s objectives in two ways. First, the Act (in combination with the Charter) will reform the legal framework for the NCS. In particular the combination of the Act and Charter:</w:t>
      </w:r>
    </w:p>
    <w:p w:rsidR="00B3771E" w:rsidRDefault="00B3771E" w:rsidP="00B3771E">
      <w:pPr>
        <w:widowControl w:val="0"/>
        <w:numPr>
          <w:ilvl w:val="0"/>
          <w:numId w:val="26"/>
        </w:numPr>
        <w:pBdr>
          <w:top w:val="nil"/>
          <w:left w:val="nil"/>
          <w:bottom w:val="nil"/>
          <w:right w:val="nil"/>
          <w:between w:val="nil"/>
        </w:pBdr>
        <w:spacing w:after="150" w:line="288" w:lineRule="auto"/>
      </w:pPr>
      <w:r>
        <w:rPr>
          <w:rFonts w:ascii="Palatino Linotype" w:eastAsia="Palatino Linotype" w:hAnsi="Palatino Linotype" w:cs="Palatino Linotype"/>
          <w:color w:val="000000"/>
          <w:sz w:val="20"/>
          <w:szCs w:val="20"/>
        </w:rPr>
        <w:t>Incorporates the new NCS Trust as a Charter body and creates a legislative mechanism to transfer the business of the Company to the new Trust. This creates a legislative framework for the NCS, with the aim of making it a national institution while preserving its independent ethos;</w:t>
      </w:r>
    </w:p>
    <w:p w:rsidR="00B3771E" w:rsidRDefault="00B3771E" w:rsidP="00B3771E">
      <w:pPr>
        <w:widowControl w:val="0"/>
        <w:numPr>
          <w:ilvl w:val="0"/>
          <w:numId w:val="26"/>
        </w:numPr>
        <w:pBdr>
          <w:top w:val="nil"/>
          <w:left w:val="nil"/>
          <w:bottom w:val="nil"/>
          <w:right w:val="nil"/>
          <w:between w:val="nil"/>
        </w:pBdr>
        <w:spacing w:after="150" w:line="288" w:lineRule="auto"/>
      </w:pPr>
      <w:r>
        <w:rPr>
          <w:rFonts w:ascii="Palatino Linotype" w:eastAsia="Palatino Linotype" w:hAnsi="Palatino Linotype" w:cs="Palatino Linotype"/>
          <w:color w:val="000000"/>
          <w:sz w:val="20"/>
          <w:szCs w:val="20"/>
        </w:rPr>
        <w:t>Aims to secure that the administrative and funding arrangements for the NCS Trust are appropriate for the increased level of public funds the Trust will manage, with proper accountability to government and Parliament; and</w:t>
      </w:r>
    </w:p>
    <w:p w:rsidR="00B3771E" w:rsidRPr="00B3771E" w:rsidRDefault="00B3771E" w:rsidP="00B3771E">
      <w:pPr>
        <w:pStyle w:val="ParaBulleted"/>
      </w:pPr>
      <w:r>
        <w:rPr>
          <w:rFonts w:eastAsia="Palatino Linotype" w:cs="Palatino Linotype"/>
          <w:szCs w:val="20"/>
        </w:rPr>
        <w:t>Aims to impose on the NCS Trust an appropriate level of government control for a body in receipt of public funds.</w:t>
      </w:r>
    </w:p>
    <w:p w:rsidR="00B3771E" w:rsidRDefault="00B3771E" w:rsidP="00B3771E">
      <w:pPr>
        <w:pStyle w:val="ParaNumbered"/>
      </w:pPr>
      <w:r>
        <w:rPr>
          <w:rFonts w:eastAsia="Palatino Linotype"/>
        </w:rPr>
        <w:t xml:space="preserve">Secondly, the Act enables HMRC to send information about the Trust and its work to those young people who are eligible for NCS (and their parents and carers) and invite them to take part in the NCS. This will allow HMRC to assist the Trust to promote its programmes. </w:t>
      </w:r>
    </w:p>
    <w:p w:rsidR="00B3771E" w:rsidRPr="00B3771E" w:rsidRDefault="00B3771E" w:rsidP="00B3771E">
      <w:pPr>
        <w:pStyle w:val="ParaNumbered"/>
      </w:pPr>
      <w:r>
        <w:rPr>
          <w:rFonts w:eastAsia="Palatino Linotype" w:cs="Palatino Linotype"/>
          <w:szCs w:val="20"/>
        </w:rPr>
        <w:t>Detailed provisions on the constitution, procedure and powers of the NCS Trust are contained in the Charter. These include matters such as: the Trust’s functions and objectives; the methods by which its members and chief executive are to be appointed; remuneration of members and employees; delegation of functions; regulation of procedure; and the powers of the Trust, for example, to enter into agreements, invest money and accept gifts.</w:t>
      </w:r>
    </w:p>
    <w:p w:rsidR="00E718E1" w:rsidRPr="00CA4237" w:rsidRDefault="00E718E1" w:rsidP="005E1288">
      <w:pPr>
        <w:pStyle w:val="Heading1"/>
        <w:keepNext/>
      </w:pPr>
      <w:bookmarkStart w:id="11" w:name="_Toc416612128"/>
      <w:bookmarkStart w:id="12" w:name="_Toc410653885"/>
      <w:bookmarkStart w:id="13" w:name="_Toc417648113"/>
      <w:bookmarkStart w:id="14" w:name="_Toc418587922"/>
      <w:bookmarkStart w:id="15" w:name="_Toc31192425"/>
      <w:r w:rsidRPr="00CA4237">
        <w:lastRenderedPageBreak/>
        <w:t>Legal background</w:t>
      </w:r>
      <w:bookmarkEnd w:id="11"/>
      <w:bookmarkEnd w:id="12"/>
      <w:bookmarkEnd w:id="13"/>
      <w:bookmarkEnd w:id="14"/>
      <w:bookmarkEnd w:id="15"/>
    </w:p>
    <w:p w:rsidR="00B3771E" w:rsidRDefault="00B3771E" w:rsidP="00B3771E">
      <w:pPr>
        <w:pStyle w:val="ParaNumbered"/>
      </w:pPr>
      <w:r>
        <w:rPr>
          <w:rFonts w:eastAsia="Palatino Linotype"/>
        </w:rPr>
        <w:t xml:space="preserve">The majority of the relevant legal background is explained in the policy background section of these notes. </w:t>
      </w:r>
    </w:p>
    <w:p w:rsidR="00096150" w:rsidRPr="00B3771E" w:rsidRDefault="00B3771E" w:rsidP="00B3771E">
      <w:pPr>
        <w:pStyle w:val="ParaNumbered"/>
      </w:pPr>
      <w:r>
        <w:rPr>
          <w:rFonts w:eastAsia="Palatino Linotype"/>
        </w:rPr>
        <w:t>As explained in that section, the NCS is currently administered by the Company. The Company was incorporated in October 2012 under the name NCS Trust. As a community interest company it is subject to the provisions of the Companies (Audit, Investigations and Community Enterprise) Act 2004.</w:t>
      </w:r>
      <w:r w:rsidRPr="00B3771E">
        <w:rPr>
          <w:lang w:val="en-GB"/>
        </w:rPr>
        <w:t xml:space="preserve"> </w:t>
      </w:r>
    </w:p>
    <w:p w:rsidR="00E718E1" w:rsidRPr="00B3771E" w:rsidRDefault="00E718E1" w:rsidP="00B3771E">
      <w:pPr>
        <w:pStyle w:val="Heading1"/>
      </w:pPr>
      <w:bookmarkStart w:id="16" w:name="_Toc416612130"/>
      <w:bookmarkStart w:id="17" w:name="_Toc410653886"/>
      <w:bookmarkStart w:id="18" w:name="_Toc417648115"/>
      <w:bookmarkStart w:id="19" w:name="_Toc418587924"/>
      <w:bookmarkStart w:id="20" w:name="_Toc31192426"/>
      <w:r w:rsidRPr="00CA4237">
        <w:t>Territorial extent and application</w:t>
      </w:r>
      <w:bookmarkEnd w:id="16"/>
      <w:bookmarkEnd w:id="17"/>
      <w:bookmarkEnd w:id="18"/>
      <w:bookmarkEnd w:id="19"/>
      <w:bookmarkEnd w:id="20"/>
    </w:p>
    <w:p w:rsidR="00B3771E" w:rsidRDefault="00B3771E" w:rsidP="00B3771E">
      <w:pPr>
        <w:pStyle w:val="ParaNumbered"/>
      </w:pPr>
      <w:r>
        <w:rPr>
          <w:rFonts w:eastAsia="Palatino Linotype"/>
        </w:rPr>
        <w:t>Section 13 sets out the territorial extent of the Act; that is, the jurisdictions of which the Act forms part of the law. The extent of an Act can be different from its application. Application is about where an Act produces a practical effect.</w:t>
      </w:r>
    </w:p>
    <w:p w:rsidR="00B3771E" w:rsidRDefault="00B3771E" w:rsidP="00B3771E">
      <w:pPr>
        <w:pStyle w:val="ParaNumbered"/>
      </w:pPr>
      <w:r>
        <w:rPr>
          <w:rFonts w:eastAsia="Palatino Linotype"/>
        </w:rPr>
        <w:t>This Act extends to England and Wales but applies in England only (except for consequential amendments to other enactments, which have the same extent as the provisions being amended).</w:t>
      </w:r>
    </w:p>
    <w:p w:rsidR="00B3771E" w:rsidRDefault="00B3771E" w:rsidP="00B3771E">
      <w:pPr>
        <w:pStyle w:val="ParaNumbered"/>
      </w:pPr>
      <w:r>
        <w:rPr>
          <w:rFonts w:eastAsia="Palatino Linotype"/>
        </w:rPr>
        <w:t>There is a convention that Westminster will not normally legislate with regard to matters that are within the legislative competence of the Scottish Parliament, the National Assembly for Wales or the Northern Ireland Assembly without the consent of the legislature concerned.</w:t>
      </w:r>
    </w:p>
    <w:p w:rsidR="00B3771E" w:rsidRDefault="00B3771E" w:rsidP="00B3771E">
      <w:pPr>
        <w:pStyle w:val="ParaNumbered"/>
      </w:pPr>
      <w:r>
        <w:rPr>
          <w:rFonts w:eastAsia="Palatino Linotype"/>
        </w:rPr>
        <w:t xml:space="preserve">While the Act includes provisions that are within the legislative competence of the Scottish Parliament, the National Assembly for Wales and the Northern Ireland Assembly, the Act applies in England only, so no legislative consent motion is being sought in relation to any provision of the Act. </w:t>
      </w:r>
    </w:p>
    <w:p w:rsidR="0035622C" w:rsidRPr="00F77218" w:rsidRDefault="009B7656" w:rsidP="00B3771E">
      <w:pPr>
        <w:pStyle w:val="ParaNumbered"/>
        <w:rPr>
          <w:lang w:val="en-GB"/>
        </w:rPr>
      </w:pPr>
      <w:r>
        <w:rPr>
          <w:rFonts w:eastAsia="Palatino Linotype"/>
        </w:rPr>
        <w:t xml:space="preserve">See </w:t>
      </w:r>
      <w:r w:rsidR="00B3771E">
        <w:rPr>
          <w:rFonts w:eastAsia="Palatino Linotype"/>
        </w:rPr>
        <w:t>Annex A for a summary of the position regarding territorial extent and application in the United Kingdom</w:t>
      </w:r>
    </w:p>
    <w:p w:rsidR="0035622C" w:rsidRPr="00AE5693" w:rsidRDefault="0035622C">
      <w:pPr>
        <w:rPr>
          <w:rStyle w:val="StyleLatinPalatinoLinotype10ptBlack"/>
        </w:rPr>
      </w:pPr>
      <w:r w:rsidRPr="00CA4237">
        <w:br w:type="page"/>
      </w:r>
    </w:p>
    <w:p w:rsidR="00E718E1" w:rsidRPr="00CA4237" w:rsidRDefault="00E718E1" w:rsidP="005E1288">
      <w:pPr>
        <w:pStyle w:val="Heading1"/>
        <w:keepNext/>
      </w:pPr>
      <w:bookmarkStart w:id="21" w:name="_Toc416612131"/>
      <w:bookmarkStart w:id="22" w:name="_Toc410653887"/>
      <w:bookmarkStart w:id="23" w:name="_Toc417648116"/>
      <w:bookmarkStart w:id="24" w:name="_Toc418587925"/>
      <w:bookmarkStart w:id="25" w:name="_Toc31192427"/>
      <w:r w:rsidRPr="00CA4237">
        <w:t xml:space="preserve">Commentary on provisions of </w:t>
      </w:r>
      <w:r w:rsidR="00CE2ABF" w:rsidRPr="00645B5D">
        <w:t>Act</w:t>
      </w:r>
      <w:r w:rsidRPr="00CA4237">
        <w:t> </w:t>
      </w:r>
      <w:bookmarkEnd w:id="21"/>
      <w:bookmarkEnd w:id="22"/>
      <w:bookmarkEnd w:id="23"/>
      <w:bookmarkEnd w:id="24"/>
      <w:bookmarkEnd w:id="25"/>
    </w:p>
    <w:p w:rsidR="00E2209B" w:rsidRPr="00CA4237" w:rsidRDefault="00912915" w:rsidP="001208B2">
      <w:pPr>
        <w:pStyle w:val="HSubheading2"/>
      </w:pPr>
      <w:bookmarkStart w:id="26" w:name="_Toc416612132"/>
      <w:bookmarkStart w:id="27" w:name="_Toc417648117"/>
      <w:bookmarkStart w:id="28" w:name="_Toc418587926"/>
      <w:bookmarkStart w:id="29" w:name="_Toc31192428"/>
      <w:r w:rsidRPr="00CA4237">
        <w:t>Part 1:</w:t>
      </w:r>
      <w:bookmarkEnd w:id="26"/>
      <w:bookmarkEnd w:id="27"/>
      <w:bookmarkEnd w:id="28"/>
      <w:r w:rsidR="00B3771E">
        <w:t xml:space="preserve"> National Citizen Service Trust</w:t>
      </w:r>
      <w:bookmarkEnd w:id="29"/>
    </w:p>
    <w:p w:rsidR="00E718E1" w:rsidRPr="00CA4237" w:rsidRDefault="00B3771E" w:rsidP="001208B2">
      <w:pPr>
        <w:pStyle w:val="HSubheading4"/>
      </w:pPr>
      <w:bookmarkStart w:id="30" w:name="_Toc410653889"/>
      <w:bookmarkStart w:id="31" w:name="_Toc416612134"/>
      <w:bookmarkStart w:id="32" w:name="_Toc417648119"/>
      <w:bookmarkStart w:id="33" w:name="_Toc418587928"/>
      <w:bookmarkStart w:id="34" w:name="_Toc31192429"/>
      <w:r>
        <w:t>Section</w:t>
      </w:r>
      <w:r w:rsidR="00ED18AB" w:rsidRPr="00CA4237">
        <w:t xml:space="preserve"> </w:t>
      </w:r>
      <w:r>
        <w:t>1</w:t>
      </w:r>
      <w:r w:rsidR="00ED18AB" w:rsidRPr="00CA4237">
        <w:t xml:space="preserve">: </w:t>
      </w:r>
      <w:bookmarkEnd w:id="30"/>
      <w:bookmarkEnd w:id="31"/>
      <w:bookmarkEnd w:id="32"/>
      <w:bookmarkEnd w:id="33"/>
      <w:r>
        <w:t>National Citizen Service Trust</w:t>
      </w:r>
      <w:bookmarkEnd w:id="34"/>
    </w:p>
    <w:p w:rsidR="0035622C" w:rsidRPr="00B3771E" w:rsidRDefault="00B3771E" w:rsidP="0035622C">
      <w:pPr>
        <w:pStyle w:val="ParaNumbered"/>
        <w:rPr>
          <w:lang w:val="en-GB"/>
        </w:rPr>
      </w:pPr>
      <w:r>
        <w:rPr>
          <w:rFonts w:eastAsia="Palatino Linotype" w:cs="Palatino Linotype"/>
          <w:szCs w:val="20"/>
        </w:rPr>
        <w:t>Section 1 refers to the NCS Trust, the body that will be established by the Charter. It describes the Trust’s functions, which are the functions to be conferred on it by article 3 of the Charter</w:t>
      </w:r>
      <w:r>
        <w:rPr>
          <w:lang w:val="en-GB"/>
        </w:rPr>
        <w:t>.</w:t>
      </w:r>
      <w:bookmarkStart w:id="35" w:name="_Toc410653890"/>
      <w:bookmarkStart w:id="36" w:name="_Toc416612135"/>
      <w:bookmarkStart w:id="37" w:name="_Toc417648120"/>
    </w:p>
    <w:p w:rsidR="0092700D" w:rsidRPr="00CA4237" w:rsidRDefault="00B3771E" w:rsidP="001208B2">
      <w:pPr>
        <w:pStyle w:val="HSubheading4"/>
      </w:pPr>
      <w:bookmarkStart w:id="38" w:name="_Toc418587930"/>
      <w:bookmarkStart w:id="39" w:name="_Toc31192430"/>
      <w:r>
        <w:t>Section 2 and Schedule 1</w:t>
      </w:r>
      <w:r w:rsidR="00ED18AB" w:rsidRPr="00CA4237">
        <w:t xml:space="preserve">: </w:t>
      </w:r>
      <w:bookmarkEnd w:id="35"/>
      <w:bookmarkEnd w:id="36"/>
      <w:bookmarkEnd w:id="37"/>
      <w:bookmarkEnd w:id="38"/>
      <w:r>
        <w:t>Transfer schemes</w:t>
      </w:r>
      <w:bookmarkEnd w:id="39"/>
    </w:p>
    <w:p w:rsidR="00B3771E" w:rsidRDefault="00B3771E" w:rsidP="00B3771E">
      <w:pPr>
        <w:pStyle w:val="ParaNumbered"/>
      </w:pPr>
      <w:r>
        <w:rPr>
          <w:rFonts w:eastAsia="Palatino Linotype"/>
        </w:rPr>
        <w:t xml:space="preserve">Section 2 introduces Schedule 1, which confers power on the Secretary of State to make a scheme providing for the transfer of the staff, property, rights and liabilities of the Company to the NCS Trust. This allows the Secretary of State, once the Trust has come into existence, to transfer the business and assets of the Company to the Trust. This is intended to allow an orderly transfer, which will preserve continuity and, where appropriate, protect the rights of NCS staff and interested third parties. </w:t>
      </w:r>
    </w:p>
    <w:p w:rsidR="0044491F" w:rsidRPr="00CA4237" w:rsidRDefault="00B3771E" w:rsidP="00B3771E">
      <w:pPr>
        <w:pStyle w:val="ParaNumbered"/>
        <w:rPr>
          <w:lang w:val="en-GB"/>
        </w:rPr>
      </w:pPr>
      <w:r>
        <w:rPr>
          <w:rFonts w:eastAsia="Palatino Linotype"/>
        </w:rPr>
        <w:t>Under paragraph 5 of Schedule 1 the Secretary of State must consult those likely to be affected by a transfer scheme and have regard to the results of the consultation</w:t>
      </w:r>
      <w:bookmarkStart w:id="40" w:name="_Toc410653892"/>
      <w:r>
        <w:rPr>
          <w:lang w:val="en-GB"/>
        </w:rPr>
        <w:t>.</w:t>
      </w:r>
    </w:p>
    <w:p w:rsidR="0096299C" w:rsidRPr="00CA4237" w:rsidRDefault="00B3771E" w:rsidP="001208B2">
      <w:pPr>
        <w:pStyle w:val="HSubheading4"/>
      </w:pPr>
      <w:bookmarkStart w:id="41" w:name="_Toc416612136"/>
      <w:bookmarkStart w:id="42" w:name="_Toc417648121"/>
      <w:bookmarkStart w:id="43" w:name="_Toc418587931"/>
      <w:bookmarkStart w:id="44" w:name="_Toc31192431"/>
      <w:r>
        <w:t>Section</w:t>
      </w:r>
      <w:r w:rsidR="00CE3859" w:rsidRPr="00CA4237">
        <w:t xml:space="preserve"> </w:t>
      </w:r>
      <w:r>
        <w:t>3</w:t>
      </w:r>
      <w:r w:rsidR="00ED18AB" w:rsidRPr="00CA4237">
        <w:t xml:space="preserve">: </w:t>
      </w:r>
      <w:bookmarkEnd w:id="41"/>
      <w:bookmarkEnd w:id="42"/>
      <w:bookmarkEnd w:id="43"/>
      <w:r>
        <w:t>Finance</w:t>
      </w:r>
      <w:bookmarkEnd w:id="44"/>
      <w:r w:rsidR="00781869" w:rsidRPr="00CA4237">
        <w:t xml:space="preserve"> </w:t>
      </w:r>
    </w:p>
    <w:p w:rsidR="009B662C" w:rsidRPr="00CA4237" w:rsidRDefault="00B3771E" w:rsidP="009B662C">
      <w:pPr>
        <w:pStyle w:val="ParaNumbered"/>
        <w:rPr>
          <w:lang w:val="en-GB"/>
        </w:rPr>
      </w:pPr>
      <w:r>
        <w:rPr>
          <w:rFonts w:eastAsia="Palatino Linotype" w:cs="Palatino Linotype"/>
          <w:szCs w:val="20"/>
        </w:rPr>
        <w:t>Section 3 gives the Secretary of State the power to fund the NCS Trust through grants out of money provided by Parliament</w:t>
      </w:r>
      <w:r>
        <w:rPr>
          <w:lang w:val="en-GB"/>
        </w:rPr>
        <w:t>.</w:t>
      </w:r>
    </w:p>
    <w:p w:rsidR="00B3771E" w:rsidRDefault="00B3771E" w:rsidP="00B3771E">
      <w:pPr>
        <w:pBdr>
          <w:top w:val="nil"/>
          <w:left w:val="nil"/>
          <w:bottom w:val="nil"/>
          <w:right w:val="nil"/>
          <w:between w:val="nil"/>
        </w:pBdr>
        <w:spacing w:before="120" w:after="0"/>
        <w:rPr>
          <w:rFonts w:ascii="Palatino Linotype" w:eastAsia="Palatino Linotype" w:hAnsi="Palatino Linotype" w:cs="Palatino Linotype"/>
          <w:color w:val="0070C0"/>
          <w:sz w:val="24"/>
          <w:szCs w:val="24"/>
        </w:rPr>
      </w:pPr>
      <w:bookmarkStart w:id="45" w:name="_Toc416612144"/>
      <w:bookmarkStart w:id="46" w:name="_Toc410653894"/>
      <w:bookmarkEnd w:id="40"/>
      <w:r>
        <w:rPr>
          <w:rFonts w:ascii="Palatino Linotype" w:eastAsia="Palatino Linotype" w:hAnsi="Palatino Linotype" w:cs="Palatino Linotype"/>
          <w:color w:val="0070C0"/>
          <w:sz w:val="24"/>
          <w:szCs w:val="24"/>
        </w:rPr>
        <w:t xml:space="preserve">Section 4: Accounts and audit </w:t>
      </w:r>
    </w:p>
    <w:p w:rsidR="00B3771E" w:rsidRDefault="00B3771E" w:rsidP="00B3771E">
      <w:pPr>
        <w:pStyle w:val="ParaNumbered"/>
      </w:pPr>
      <w:r w:rsidRPr="00B3771E">
        <w:rPr>
          <w:rFonts w:eastAsia="Palatino Linotype"/>
        </w:rPr>
        <w:t>Section 4 sets out the accounting and audit requirements to which the NCS Trust is subject. It requires that the Trust’s accounts must be examined by the National Audit Office and laid before Parliament</w:t>
      </w:r>
      <w:r>
        <w:rPr>
          <w:rFonts w:eastAsia="Palatino Linotype" w:cs="Palatino Linotype"/>
          <w:szCs w:val="20"/>
        </w:rPr>
        <w:t xml:space="preserve">. </w:t>
      </w:r>
    </w:p>
    <w:p w:rsidR="00B3771E" w:rsidRDefault="00B3771E" w:rsidP="00B3771E">
      <w:pPr>
        <w:pBdr>
          <w:top w:val="nil"/>
          <w:left w:val="nil"/>
          <w:bottom w:val="nil"/>
          <w:right w:val="nil"/>
          <w:between w:val="nil"/>
        </w:pBdr>
        <w:spacing w:before="120" w:after="0"/>
        <w:rPr>
          <w:rFonts w:ascii="Palatino Linotype" w:eastAsia="Palatino Linotype" w:hAnsi="Palatino Linotype" w:cs="Palatino Linotype"/>
          <w:color w:val="0070C0"/>
          <w:sz w:val="24"/>
          <w:szCs w:val="24"/>
        </w:rPr>
      </w:pPr>
      <w:bookmarkStart w:id="47" w:name="_26in1rg" w:colFirst="0" w:colLast="0"/>
      <w:bookmarkEnd w:id="47"/>
      <w:r>
        <w:rPr>
          <w:rFonts w:ascii="Palatino Linotype" w:eastAsia="Palatino Linotype" w:hAnsi="Palatino Linotype" w:cs="Palatino Linotype"/>
          <w:color w:val="0070C0"/>
          <w:sz w:val="24"/>
          <w:szCs w:val="24"/>
        </w:rPr>
        <w:t>Section 5: Business plan</w:t>
      </w:r>
    </w:p>
    <w:p w:rsidR="00B3771E" w:rsidRDefault="00B3771E" w:rsidP="00B3771E">
      <w:pPr>
        <w:pStyle w:val="ParaNumbered"/>
        <w:rPr>
          <w:rFonts w:eastAsia="Palatino Linotype" w:cs="Palatino Linotype"/>
          <w:szCs w:val="20"/>
        </w:rPr>
      </w:pPr>
      <w:r w:rsidRPr="00B3771E">
        <w:rPr>
          <w:rFonts w:eastAsia="Palatino Linotype"/>
        </w:rPr>
        <w:t>Section 5 places a requirement on the NCS Trust to publish and lay before Parliament an annual business plan setting out its main priorities and activities for the year ahead. This will provide a yardstick against which government, Parliament and the public can assess the Trust’s performance</w:t>
      </w:r>
      <w:r>
        <w:rPr>
          <w:rFonts w:eastAsia="Palatino Linotype" w:cs="Palatino Linotype"/>
          <w:szCs w:val="20"/>
        </w:rPr>
        <w:t xml:space="preserve">. </w:t>
      </w:r>
    </w:p>
    <w:p w:rsidR="00B3771E" w:rsidRDefault="00B3771E" w:rsidP="00B3771E">
      <w:pPr>
        <w:pBdr>
          <w:top w:val="nil"/>
          <w:left w:val="nil"/>
          <w:bottom w:val="nil"/>
          <w:right w:val="nil"/>
          <w:between w:val="nil"/>
        </w:pBdr>
        <w:spacing w:before="120" w:after="0"/>
        <w:rPr>
          <w:rFonts w:ascii="Palatino Linotype" w:eastAsia="Palatino Linotype" w:hAnsi="Palatino Linotype" w:cs="Palatino Linotype"/>
          <w:color w:val="0070C0"/>
          <w:sz w:val="24"/>
          <w:szCs w:val="24"/>
        </w:rPr>
      </w:pPr>
      <w:bookmarkStart w:id="48" w:name="_lnxbz9" w:colFirst="0" w:colLast="0"/>
      <w:bookmarkEnd w:id="48"/>
      <w:r>
        <w:rPr>
          <w:rFonts w:ascii="Palatino Linotype" w:eastAsia="Palatino Linotype" w:hAnsi="Palatino Linotype" w:cs="Palatino Linotype"/>
          <w:color w:val="0070C0"/>
          <w:sz w:val="24"/>
          <w:szCs w:val="24"/>
        </w:rPr>
        <w:t>Section 6: Annual report</w:t>
      </w:r>
    </w:p>
    <w:p w:rsidR="00B3771E" w:rsidRDefault="00B3771E" w:rsidP="00B3771E">
      <w:pPr>
        <w:pStyle w:val="ParaNumbered"/>
        <w:rPr>
          <w:rFonts w:eastAsia="Palatino Linotype" w:cs="Palatino Linotype"/>
          <w:szCs w:val="20"/>
        </w:rPr>
      </w:pPr>
      <w:r>
        <w:rPr>
          <w:rFonts w:eastAsia="Palatino Linotype" w:cs="Palatino Linotype"/>
          <w:szCs w:val="20"/>
        </w:rPr>
        <w:t xml:space="preserve">Section 6 requires the NCS Trust to give the Secretary of State an annual report, detailing the extent </w:t>
      </w:r>
      <w:r w:rsidRPr="00B3771E">
        <w:rPr>
          <w:rFonts w:eastAsia="Palatino Linotype"/>
        </w:rPr>
        <w:t>to which it has met its strategic priorities for the year. The annual report must also address the quality of the Trust’s programmes, amongst other matters. This is intended to enable effective monitoring of the Trust’s performance from one year to the next. Combined with the business</w:t>
      </w:r>
      <w:r>
        <w:rPr>
          <w:rFonts w:eastAsia="Palatino Linotype" w:cs="Palatino Linotype"/>
          <w:szCs w:val="20"/>
        </w:rPr>
        <w:t xml:space="preserve"> plan, this ensures government, Parliament and the public have oversight of how far the Trust has achieved its objectives for the year. </w:t>
      </w:r>
    </w:p>
    <w:p w:rsidR="00B3771E" w:rsidRDefault="00B3771E" w:rsidP="00B3771E">
      <w:pPr>
        <w:pBdr>
          <w:top w:val="nil"/>
          <w:left w:val="nil"/>
          <w:bottom w:val="nil"/>
          <w:right w:val="nil"/>
          <w:between w:val="nil"/>
        </w:pBdr>
        <w:spacing w:before="120" w:after="0"/>
        <w:rPr>
          <w:rFonts w:ascii="Palatino Linotype" w:eastAsia="Palatino Linotype" w:hAnsi="Palatino Linotype" w:cs="Palatino Linotype"/>
          <w:color w:val="0070C0"/>
          <w:sz w:val="24"/>
          <w:szCs w:val="24"/>
        </w:rPr>
      </w:pPr>
      <w:bookmarkStart w:id="49" w:name="_35nkun2" w:colFirst="0" w:colLast="0"/>
      <w:bookmarkEnd w:id="49"/>
      <w:r>
        <w:rPr>
          <w:rFonts w:ascii="Palatino Linotype" w:eastAsia="Palatino Linotype" w:hAnsi="Palatino Linotype" w:cs="Palatino Linotype"/>
          <w:color w:val="0070C0"/>
          <w:sz w:val="24"/>
          <w:szCs w:val="24"/>
        </w:rPr>
        <w:t>Section 7: Notification of financial difficulties and criminal conduct</w:t>
      </w:r>
    </w:p>
    <w:p w:rsidR="00B3771E" w:rsidRDefault="00B3771E" w:rsidP="00B3771E">
      <w:pPr>
        <w:pStyle w:val="ParaNumbered"/>
      </w:pPr>
      <w:r>
        <w:rPr>
          <w:rFonts w:eastAsia="Palatino Linotype"/>
        </w:rPr>
        <w:t xml:space="preserve">Section 7 </w:t>
      </w:r>
      <w:r w:rsidRPr="00B3771E">
        <w:rPr>
          <w:rFonts w:eastAsia="Palatino Linotype"/>
        </w:rPr>
        <w:t>requires the NCS Trust to notify the Secretary of State promptly if: (a) anyone supplying the</w:t>
      </w:r>
      <w:r>
        <w:rPr>
          <w:rFonts w:eastAsia="Palatino Linotype"/>
        </w:rPr>
        <w:t xml:space="preserve"> Trust with goods or services to support the Trust’s main functions is in serious financial difficulty or in breach of contract with serious consequences for the Trust; (b) a member of staff of the Trust or one of its suppliers commits fraud or is in breach of his or her employment contract with serious consequences for the Trust, or (c) there is a police </w:t>
      </w:r>
      <w:r>
        <w:rPr>
          <w:rFonts w:eastAsia="Palatino Linotype"/>
        </w:rPr>
        <w:lastRenderedPageBreak/>
        <w:t xml:space="preserve">investigation into an allegation of criminal conduct by a member of staff of the NCS Trust or one of its providers, where that investigation could have serious consequences for the NCS Trust. </w:t>
      </w:r>
    </w:p>
    <w:p w:rsidR="00B3771E" w:rsidRDefault="00B3771E" w:rsidP="00B3771E">
      <w:pPr>
        <w:pStyle w:val="ParaNumbered"/>
      </w:pPr>
      <w:r>
        <w:rPr>
          <w:rFonts w:eastAsia="Palatino Linotype"/>
        </w:rPr>
        <w:t xml:space="preserve">This is intended to ensure the government is kept informed of anything that poses a serious risk to delivery of the programme or the performance of the Trust. It does not require notification of, for example, minor breaches of contract or breaches of contract by suppliers providing goods or services that do not directly support the Trust’s main functions, such as cleaning or stationery providers. </w:t>
      </w:r>
    </w:p>
    <w:p w:rsidR="00B3771E" w:rsidRDefault="00B3771E" w:rsidP="00B3771E">
      <w:pPr>
        <w:pBdr>
          <w:top w:val="nil"/>
          <w:left w:val="nil"/>
          <w:bottom w:val="nil"/>
          <w:right w:val="nil"/>
          <w:between w:val="nil"/>
        </w:pBdr>
        <w:spacing w:before="120" w:after="0"/>
        <w:rPr>
          <w:rFonts w:ascii="Palatino Linotype" w:eastAsia="Palatino Linotype" w:hAnsi="Palatino Linotype" w:cs="Palatino Linotype"/>
          <w:color w:val="0070C0"/>
          <w:sz w:val="24"/>
          <w:szCs w:val="24"/>
        </w:rPr>
      </w:pPr>
      <w:bookmarkStart w:id="50" w:name="_1ksv4uv" w:colFirst="0" w:colLast="0"/>
      <w:bookmarkEnd w:id="50"/>
      <w:r>
        <w:rPr>
          <w:rFonts w:ascii="Palatino Linotype" w:eastAsia="Palatino Linotype" w:hAnsi="Palatino Linotype" w:cs="Palatino Linotype"/>
          <w:color w:val="0070C0"/>
          <w:sz w:val="24"/>
          <w:szCs w:val="24"/>
        </w:rPr>
        <w:t>Section 8: Fees</w:t>
      </w:r>
    </w:p>
    <w:p w:rsidR="00B3771E" w:rsidRDefault="00B3771E" w:rsidP="00F87356">
      <w:pPr>
        <w:pStyle w:val="ParaNumbered"/>
      </w:pPr>
      <w:r>
        <w:rPr>
          <w:rFonts w:eastAsia="Palatino Linotype"/>
        </w:rPr>
        <w:t xml:space="preserve">The Company currently charges a small fee for attendance on its programmes. The fee does not represent the cost of the programmes; it is an incentive to ensure attendance. Section 8 enables the NCS Trust to continue this practice if appropriate. </w:t>
      </w:r>
    </w:p>
    <w:p w:rsidR="00B3771E" w:rsidRDefault="00B3771E" w:rsidP="00B3771E">
      <w:pPr>
        <w:pBdr>
          <w:top w:val="nil"/>
          <w:left w:val="nil"/>
          <w:bottom w:val="nil"/>
          <w:right w:val="nil"/>
          <w:between w:val="nil"/>
        </w:pBdr>
        <w:spacing w:before="120" w:after="0"/>
        <w:rPr>
          <w:rFonts w:ascii="Palatino Linotype" w:eastAsia="Palatino Linotype" w:hAnsi="Palatino Linotype" w:cs="Palatino Linotype"/>
          <w:color w:val="0070C0"/>
          <w:sz w:val="24"/>
          <w:szCs w:val="24"/>
        </w:rPr>
      </w:pPr>
      <w:bookmarkStart w:id="51" w:name="_44sinio" w:colFirst="0" w:colLast="0"/>
      <w:bookmarkEnd w:id="51"/>
      <w:r>
        <w:rPr>
          <w:rFonts w:ascii="Palatino Linotype" w:eastAsia="Palatino Linotype" w:hAnsi="Palatino Linotype" w:cs="Palatino Linotype"/>
          <w:color w:val="0070C0"/>
          <w:sz w:val="24"/>
          <w:szCs w:val="24"/>
        </w:rPr>
        <w:t>Section 9: HMRC functions</w:t>
      </w:r>
    </w:p>
    <w:p w:rsidR="00B3771E" w:rsidRDefault="00B3771E" w:rsidP="00F87356">
      <w:pPr>
        <w:pStyle w:val="ParaNumbered"/>
        <w:rPr>
          <w:rFonts w:eastAsia="Palatino Linotype"/>
        </w:rPr>
      </w:pPr>
      <w:r>
        <w:rPr>
          <w:rFonts w:eastAsia="Palatino Linotype"/>
        </w:rPr>
        <w:t>Section 9 allows HMRC to assist the NCS Trust in performing its function of promoting its programmes by sending out communications to young people and their parents and carers. The communications may contain information about the Trust’s work and invite the young people concerned to participate in NCS programmes. The Trust must determine the content of the communications. This is intended to help the Trust get its message across to the majority of eligible young people.</w:t>
      </w:r>
    </w:p>
    <w:p w:rsidR="00B3771E" w:rsidRDefault="00B3771E" w:rsidP="00B3771E">
      <w:pPr>
        <w:pBdr>
          <w:top w:val="nil"/>
          <w:left w:val="nil"/>
          <w:bottom w:val="nil"/>
          <w:right w:val="nil"/>
          <w:between w:val="nil"/>
        </w:pBdr>
        <w:spacing w:before="240" w:after="0"/>
        <w:rPr>
          <w:rFonts w:ascii="Arial" w:eastAsia="Arial" w:hAnsi="Arial" w:cs="Arial"/>
          <w:b/>
          <w:color w:val="0070C0"/>
          <w:sz w:val="32"/>
          <w:szCs w:val="32"/>
        </w:rPr>
      </w:pPr>
      <w:bookmarkStart w:id="52" w:name="_2jxsxqh" w:colFirst="0" w:colLast="0"/>
      <w:bookmarkEnd w:id="52"/>
      <w:r>
        <w:rPr>
          <w:rFonts w:ascii="Arial" w:eastAsia="Arial" w:hAnsi="Arial" w:cs="Arial"/>
          <w:b/>
          <w:color w:val="0070C0"/>
          <w:sz w:val="32"/>
          <w:szCs w:val="32"/>
        </w:rPr>
        <w:t>Part 2: General</w:t>
      </w:r>
    </w:p>
    <w:p w:rsidR="00B3771E" w:rsidRDefault="00B3771E" w:rsidP="00B3771E">
      <w:pPr>
        <w:pBdr>
          <w:top w:val="nil"/>
          <w:left w:val="nil"/>
          <w:bottom w:val="nil"/>
          <w:right w:val="nil"/>
          <w:between w:val="nil"/>
        </w:pBdr>
        <w:spacing w:before="120" w:after="0"/>
        <w:rPr>
          <w:rFonts w:ascii="Palatino Linotype" w:eastAsia="Palatino Linotype" w:hAnsi="Palatino Linotype" w:cs="Palatino Linotype"/>
          <w:color w:val="0070C0"/>
          <w:sz w:val="24"/>
          <w:szCs w:val="24"/>
        </w:rPr>
      </w:pPr>
      <w:bookmarkStart w:id="53" w:name="_z337ya" w:colFirst="0" w:colLast="0"/>
      <w:bookmarkEnd w:id="53"/>
      <w:r>
        <w:rPr>
          <w:rFonts w:ascii="Palatino Linotype" w:eastAsia="Palatino Linotype" w:hAnsi="Palatino Linotype" w:cs="Palatino Linotype"/>
          <w:color w:val="0070C0"/>
          <w:sz w:val="24"/>
          <w:szCs w:val="24"/>
        </w:rPr>
        <w:t>Sections 10 to 15 and Schedule 2: miscellaneous provisions</w:t>
      </w:r>
    </w:p>
    <w:p w:rsidR="00B3771E" w:rsidRDefault="00B3771E" w:rsidP="00F87356">
      <w:pPr>
        <w:pStyle w:val="ParaNumbered"/>
      </w:pPr>
      <w:r>
        <w:rPr>
          <w:rFonts w:eastAsia="Palatino Linotype"/>
        </w:rPr>
        <w:t>Sections 10 to 15 make provision relating to definitions; consequential amendments; transitional arrangements; extent; commencement; and short title.</w:t>
      </w:r>
    </w:p>
    <w:p w:rsidR="00B3771E" w:rsidRPr="00F87356" w:rsidRDefault="00B3771E" w:rsidP="00F87356">
      <w:pPr>
        <w:pStyle w:val="ParaNumbered"/>
      </w:pPr>
      <w:r>
        <w:rPr>
          <w:rFonts w:eastAsia="Palatino Linotype"/>
        </w:rPr>
        <w:t>Section 11 introduces Schedule 2, which makes consequential amendments to other legislation in relation to the NCS Trust. The consequential amendments mean that the chair of the Trust is disqualified from standing for election to the House of Commons, and that the Trust is subject to the requirements of the Public Records Act 1958, the Freedom of Information Act 2000 and the Equality Act 2010.</w:t>
      </w:r>
    </w:p>
    <w:p w:rsidR="00F87356" w:rsidRDefault="00F87356" w:rsidP="00F87356">
      <w:pPr>
        <w:pStyle w:val="ParaNumbered"/>
      </w:pPr>
      <w:r>
        <w:rPr>
          <w:rFonts w:eastAsia="Palatino Linotype"/>
        </w:rPr>
        <w:t>Paragraph 1 of Schedule 2 concerns eligibility for election to the House of Commons. In the government’s view it therefore does not fall within the legislative competence of the Scottish Parliament, the National Assembly for Wales or the Northern Ireland Assembly. Schedule 2 to the Act does not, therefore, deal solely with devolved matters.</w:t>
      </w:r>
    </w:p>
    <w:p w:rsidR="00A24CCB" w:rsidRPr="00AE5693" w:rsidRDefault="00A24CCB" w:rsidP="00F87356">
      <w:pPr>
        <w:pStyle w:val="ParaNumbered"/>
        <w:numPr>
          <w:ilvl w:val="0"/>
          <w:numId w:val="0"/>
        </w:numPr>
        <w:ind w:left="714"/>
        <w:rPr>
          <w:rStyle w:val="StyleLatinArial"/>
        </w:rPr>
      </w:pPr>
      <w:r w:rsidRPr="00CA4237">
        <w:br w:type="page"/>
      </w:r>
    </w:p>
    <w:p w:rsidR="00E718E1" w:rsidRPr="00CA4237" w:rsidRDefault="00E718E1" w:rsidP="005E1288">
      <w:pPr>
        <w:pStyle w:val="Heading1"/>
        <w:keepNext/>
      </w:pPr>
      <w:bookmarkStart w:id="54" w:name="_Toc417648129"/>
      <w:bookmarkStart w:id="55" w:name="_Toc418587938"/>
      <w:bookmarkStart w:id="56" w:name="_Toc31192432"/>
      <w:r w:rsidRPr="00CA4237">
        <w:t>Commencement</w:t>
      </w:r>
      <w:bookmarkEnd w:id="45"/>
      <w:bookmarkEnd w:id="46"/>
      <w:bookmarkEnd w:id="54"/>
      <w:bookmarkEnd w:id="55"/>
      <w:bookmarkEnd w:id="56"/>
    </w:p>
    <w:p w:rsidR="00E718E1" w:rsidRPr="00CA4237" w:rsidRDefault="00F87356" w:rsidP="00B76227">
      <w:pPr>
        <w:pStyle w:val="ParaNumbered"/>
        <w:rPr>
          <w:lang w:val="en-GB"/>
        </w:rPr>
      </w:pPr>
      <w:r>
        <w:rPr>
          <w:rFonts w:eastAsia="Palatino Linotype" w:cs="Palatino Linotype"/>
          <w:szCs w:val="20"/>
        </w:rPr>
        <w:t>The provisions of the Act will come into force as provided for by section 14 of the Act. Section 14 itself (Commencement) comes into force on Royal Assent. Sections 1 (National Citizen Service Trust), 10 (Definitions), 12 (Transitional Provision), 13 (Extent) and 15 (Short title) also come into force on Royal Assent. The remaining measures in the Act will be brought into force by regulations.</w:t>
      </w:r>
    </w:p>
    <w:p w:rsidR="00E718E1" w:rsidRDefault="00E26988" w:rsidP="005E1288">
      <w:pPr>
        <w:pStyle w:val="Heading1"/>
        <w:keepNext/>
      </w:pPr>
      <w:bookmarkStart w:id="57" w:name="_Toc416612147"/>
      <w:bookmarkStart w:id="58" w:name="_Toc417648132"/>
      <w:bookmarkStart w:id="59" w:name="_Toc418587941"/>
      <w:bookmarkStart w:id="60" w:name="_Toc31192433"/>
      <w:r w:rsidRPr="00CA4237">
        <w:t>Related documents</w:t>
      </w:r>
      <w:bookmarkEnd w:id="57"/>
      <w:bookmarkEnd w:id="58"/>
      <w:bookmarkEnd w:id="59"/>
      <w:bookmarkEnd w:id="60"/>
    </w:p>
    <w:p w:rsidR="00E83AC8" w:rsidRPr="00E83AC8" w:rsidRDefault="00E83AC8" w:rsidP="00E83AC8">
      <w:pPr>
        <w:pStyle w:val="ParaNumbered"/>
      </w:pPr>
      <w:r>
        <w:t>The following</w:t>
      </w:r>
      <w:r w:rsidR="00F87356">
        <w:t xml:space="preserve"> documents are relevant to the Act</w:t>
      </w:r>
      <w:r>
        <w:t xml:space="preserve"> and can be read at the stated locations:</w:t>
      </w:r>
    </w:p>
    <w:p w:rsidR="00F87356" w:rsidRDefault="00F87356" w:rsidP="00F87356">
      <w:pPr>
        <w:pStyle w:val="ParaBulleted"/>
      </w:pPr>
      <w:bookmarkStart w:id="61" w:name="_Toc416612148"/>
      <w:bookmarkStart w:id="62" w:name="_Toc417648133"/>
      <w:r>
        <w:rPr>
          <w:rFonts w:eastAsia="Palatino Linotype" w:cs="Palatino Linotype"/>
          <w:i/>
          <w:szCs w:val="20"/>
        </w:rPr>
        <w:t>The Conservative Party Manifesto 2015</w:t>
      </w:r>
      <w:r>
        <w:rPr>
          <w:rFonts w:eastAsia="Palatino Linotype" w:cs="Palatino Linotype"/>
          <w:szCs w:val="20"/>
        </w:rPr>
        <w:t>, April 2015</w:t>
      </w:r>
      <w:r>
        <w:rPr>
          <w:rFonts w:eastAsia="Palatino Linotype" w:cs="Palatino Linotype"/>
          <w:szCs w:val="20"/>
        </w:rPr>
        <w:br/>
      </w:r>
      <w:hyperlink r:id="rId9" w:history="1">
        <w:r>
          <w:rPr>
            <w:rStyle w:val="Hyperlink"/>
          </w:rPr>
          <w:t>https://web.archive.org/web/20150615055241/https://www.conservatives.com/manifesto</w:t>
        </w:r>
      </w:hyperlink>
    </w:p>
    <w:p w:rsidR="00F87356" w:rsidRDefault="00F87356" w:rsidP="00F87356">
      <w:pPr>
        <w:widowControl w:val="0"/>
        <w:numPr>
          <w:ilvl w:val="0"/>
          <w:numId w:val="26"/>
        </w:numPr>
        <w:pBdr>
          <w:top w:val="nil"/>
          <w:left w:val="nil"/>
          <w:bottom w:val="nil"/>
          <w:right w:val="nil"/>
          <w:between w:val="nil"/>
        </w:pBdr>
        <w:spacing w:after="150" w:line="288" w:lineRule="auto"/>
      </w:pPr>
      <w:r>
        <w:rPr>
          <w:rFonts w:ascii="Palatino Linotype" w:eastAsia="Palatino Linotype" w:hAnsi="Palatino Linotype" w:cs="Palatino Linotype"/>
          <w:color w:val="000000"/>
          <w:sz w:val="20"/>
          <w:szCs w:val="20"/>
        </w:rPr>
        <w:t>Queen’s Speech, May 2016</w:t>
      </w:r>
      <w:r>
        <w:rPr>
          <w:rFonts w:ascii="Palatino Linotype" w:eastAsia="Palatino Linotype" w:hAnsi="Palatino Linotype" w:cs="Palatino Linotype"/>
          <w:color w:val="000000"/>
          <w:sz w:val="20"/>
          <w:szCs w:val="20"/>
        </w:rPr>
        <w:br/>
      </w:r>
      <w:hyperlink r:id="rId10">
        <w:r>
          <w:rPr>
            <w:rFonts w:ascii="Palatino Linotype" w:eastAsia="Palatino Linotype" w:hAnsi="Palatino Linotype" w:cs="Palatino Linotype"/>
            <w:color w:val="0070C0"/>
            <w:sz w:val="20"/>
            <w:szCs w:val="20"/>
            <w:u w:val="single"/>
          </w:rPr>
          <w:t>https://www.gov.uk/government/speec</w:t>
        </w:r>
        <w:r>
          <w:rPr>
            <w:rFonts w:ascii="Palatino Linotype" w:eastAsia="Palatino Linotype" w:hAnsi="Palatino Linotype" w:cs="Palatino Linotype"/>
            <w:color w:val="0070C0"/>
            <w:sz w:val="20"/>
            <w:szCs w:val="20"/>
            <w:u w:val="single"/>
          </w:rPr>
          <w:t>h</w:t>
        </w:r>
        <w:r>
          <w:rPr>
            <w:rFonts w:ascii="Palatino Linotype" w:eastAsia="Palatino Linotype" w:hAnsi="Palatino Linotype" w:cs="Palatino Linotype"/>
            <w:color w:val="0070C0"/>
            <w:sz w:val="20"/>
            <w:szCs w:val="20"/>
            <w:u w:val="single"/>
          </w:rPr>
          <w:t>es/queens-speech-2016</w:t>
        </w:r>
      </w:hyperlink>
    </w:p>
    <w:p w:rsidR="002A02DD" w:rsidRPr="00AE5693" w:rsidRDefault="00F87356" w:rsidP="00F87356">
      <w:pPr>
        <w:pStyle w:val="ParaBulleted"/>
        <w:rPr>
          <w:rStyle w:val="StyleLatinArial"/>
        </w:rPr>
      </w:pPr>
      <w:bookmarkStart w:id="63" w:name="_2xcytpi" w:colFirst="0" w:colLast="0"/>
      <w:bookmarkEnd w:id="63"/>
      <w:r>
        <w:rPr>
          <w:rFonts w:eastAsia="Palatino Linotype"/>
        </w:rPr>
        <w:t>Prime Minister’s speech on life chances, January 2016</w:t>
      </w:r>
      <w:r>
        <w:rPr>
          <w:rFonts w:eastAsia="Palatino Linotype"/>
        </w:rPr>
        <w:br/>
      </w:r>
      <w:hyperlink r:id="rId11">
        <w:r>
          <w:rPr>
            <w:rFonts w:eastAsia="Palatino Linotype"/>
            <w:color w:val="0070C0"/>
            <w:u w:val="single"/>
          </w:rPr>
          <w:t>https://www.gov.u</w:t>
        </w:r>
        <w:r>
          <w:rPr>
            <w:rFonts w:eastAsia="Palatino Linotype"/>
            <w:color w:val="0070C0"/>
            <w:u w:val="single"/>
          </w:rPr>
          <w:t>k</w:t>
        </w:r>
        <w:r>
          <w:rPr>
            <w:rFonts w:eastAsia="Palatino Linotype"/>
            <w:color w:val="0070C0"/>
            <w:u w:val="single"/>
          </w:rPr>
          <w:t>/government/speeches/prime-ministers-speech-on-life-chances</w:t>
        </w:r>
      </w:hyperlink>
      <w:r>
        <w:rPr>
          <w:rFonts w:eastAsia="Palatino Linotype"/>
        </w:rPr>
        <w:t xml:space="preserve"> </w:t>
      </w:r>
      <w:r w:rsidR="002A02DD" w:rsidRPr="00CA4237">
        <w:br w:type="page"/>
      </w:r>
    </w:p>
    <w:p w:rsidR="002A02DD" w:rsidRPr="00CA4237" w:rsidRDefault="002A02DD" w:rsidP="005E1288">
      <w:pPr>
        <w:pStyle w:val="Heading1"/>
        <w:keepNext/>
      </w:pPr>
      <w:bookmarkStart w:id="64" w:name="_Toc410653897"/>
      <w:bookmarkStart w:id="65" w:name="_Toc416612149"/>
      <w:bookmarkStart w:id="66" w:name="_Toc417648134"/>
      <w:bookmarkStart w:id="67" w:name="_Toc418587943"/>
      <w:bookmarkStart w:id="68" w:name="_Toc31192434"/>
      <w:r w:rsidRPr="00CA4237">
        <w:t xml:space="preserve">Annex </w:t>
      </w:r>
      <w:bookmarkEnd w:id="64"/>
      <w:bookmarkEnd w:id="65"/>
      <w:r w:rsidRPr="00CA4237">
        <w:t xml:space="preserve">A - </w:t>
      </w:r>
      <w:bookmarkEnd w:id="66"/>
      <w:bookmarkEnd w:id="67"/>
      <w:r w:rsidR="00A46160" w:rsidRPr="00A46160">
        <w:t>Territorial extent and application in the United Kingdom</w:t>
      </w:r>
      <w:bookmarkEnd w:id="68"/>
    </w:p>
    <w:p w:rsidR="00B42FA6" w:rsidRPr="00B42FA6" w:rsidRDefault="00F87356" w:rsidP="00F87356">
      <w:pPr>
        <w:pStyle w:val="ParaNumbered"/>
      </w:pPr>
      <w:r>
        <w:rPr>
          <w:rFonts w:eastAsia="Palatino Linotype"/>
        </w:rPr>
        <w:t>The Act extends to England and Wales but applies in England only, save for the consequential amendments to other enactments, which have the same extent as the provisions being amended</w:t>
      </w:r>
      <w:r w:rsidR="00E43DDF" w:rsidRPr="00E43DDF">
        <w:t>.</w:t>
      </w:r>
    </w:p>
    <w:p w:rsidR="00644999" w:rsidRPr="00CA4237" w:rsidRDefault="002A02DD" w:rsidP="005E1288">
      <w:pPr>
        <w:pStyle w:val="Heading1"/>
        <w:keepNext/>
      </w:pPr>
      <w:bookmarkStart w:id="69" w:name="_Toc418587944"/>
      <w:bookmarkStart w:id="70" w:name="_Toc31192435"/>
      <w:r w:rsidRPr="00CA4237">
        <w:t xml:space="preserve">Annex B - </w:t>
      </w:r>
      <w:r w:rsidR="00644999" w:rsidRPr="00CA4237">
        <w:t>Hansard References</w:t>
      </w:r>
      <w:bookmarkEnd w:id="61"/>
      <w:bookmarkEnd w:id="62"/>
      <w:bookmarkEnd w:id="69"/>
      <w:bookmarkEnd w:id="70"/>
    </w:p>
    <w:p w:rsidR="00C8763D" w:rsidRPr="00CC55AB" w:rsidRDefault="00644999" w:rsidP="00CC55AB">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4643"/>
      </w:tblGrid>
      <w:tr w:rsidR="00C8763D" w:rsidRPr="00A64BF2" w:rsidTr="00A64BF2">
        <w:trPr>
          <w:tblHeader/>
        </w:trPr>
        <w:tc>
          <w:tcPr>
            <w:tcW w:w="251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Commons</w:t>
            </w:r>
          </w:p>
        </w:tc>
      </w:tr>
      <w:tr w:rsidR="00323BD3" w:rsidRPr="00A64BF2" w:rsidTr="00A64BF2">
        <w:tc>
          <w:tcPr>
            <w:tcW w:w="2518" w:type="dxa"/>
            <w:shd w:val="clear" w:color="auto" w:fill="auto"/>
          </w:tcPr>
          <w:p w:rsidR="00323BD3" w:rsidRPr="00A64BF2" w:rsidRDefault="00323BD3" w:rsidP="00323BD3">
            <w:pPr>
              <w:pStyle w:val="TTableText"/>
              <w:rPr>
                <w:lang w:val="en-GB"/>
              </w:rPr>
            </w:pPr>
            <w:r w:rsidRPr="00A64BF2">
              <w:rPr>
                <w:lang w:val="en-GB"/>
              </w:rPr>
              <w:t>Introduction</w:t>
            </w:r>
          </w:p>
        </w:tc>
        <w:tc>
          <w:tcPr>
            <w:tcW w:w="2126" w:type="dxa"/>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14 December 2016</w:t>
            </w:r>
          </w:p>
        </w:tc>
        <w:tc>
          <w:tcPr>
            <w:tcW w:w="4643" w:type="dxa"/>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sz w:val="16"/>
                <w:szCs w:val="16"/>
              </w:rPr>
              <w:t>N</w:t>
            </w:r>
            <w:r>
              <w:rPr>
                <w:rFonts w:ascii="Arial" w:eastAsia="Arial" w:hAnsi="Arial" w:cs="Arial"/>
                <w:color w:val="000000"/>
                <w:sz w:val="16"/>
                <w:szCs w:val="16"/>
              </w:rPr>
              <w:t>/</w:t>
            </w:r>
            <w:r>
              <w:rPr>
                <w:rFonts w:ascii="Arial" w:eastAsia="Arial" w:hAnsi="Arial" w:cs="Arial"/>
                <w:sz w:val="16"/>
                <w:szCs w:val="16"/>
              </w:rPr>
              <w:t>A</w:t>
            </w:r>
          </w:p>
        </w:tc>
      </w:tr>
      <w:tr w:rsidR="00323BD3" w:rsidRPr="00A64BF2" w:rsidTr="00A64BF2">
        <w:tc>
          <w:tcPr>
            <w:tcW w:w="2518" w:type="dxa"/>
            <w:shd w:val="clear" w:color="auto" w:fill="auto"/>
          </w:tcPr>
          <w:p w:rsidR="00323BD3" w:rsidRPr="00A64BF2" w:rsidRDefault="00323BD3" w:rsidP="00323BD3">
            <w:pPr>
              <w:pStyle w:val="TTableText"/>
              <w:rPr>
                <w:lang w:val="en-GB"/>
              </w:rPr>
            </w:pPr>
            <w:r w:rsidRPr="00A64BF2">
              <w:rPr>
                <w:lang w:val="en-GB"/>
              </w:rPr>
              <w:t>Second Reading</w:t>
            </w:r>
          </w:p>
        </w:tc>
        <w:tc>
          <w:tcPr>
            <w:tcW w:w="2126" w:type="dxa"/>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16 January 2017</w:t>
            </w:r>
          </w:p>
        </w:tc>
        <w:tc>
          <w:tcPr>
            <w:tcW w:w="4643" w:type="dxa"/>
            <w:shd w:val="clear" w:color="auto" w:fill="auto"/>
          </w:tcPr>
          <w:p w:rsidR="00323BD3" w:rsidRDefault="009B7656"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2" w:anchor="contribution-0EBCC82F-38E6-4997-B689-481CB7ED0195" w:history="1">
              <w:r w:rsidR="00323BD3" w:rsidRPr="00572A94">
                <w:rPr>
                  <w:rStyle w:val="Hyperlink"/>
                  <w:rFonts w:ascii="Arial" w:eastAsia="Arial" w:hAnsi="Arial" w:cs="Arial"/>
                  <w:sz w:val="16"/>
                  <w:szCs w:val="16"/>
                </w:rPr>
                <w:t>Vol. 619 Col. 687</w:t>
              </w:r>
            </w:hyperlink>
          </w:p>
        </w:tc>
      </w:tr>
      <w:tr w:rsidR="00323BD3" w:rsidRPr="00A64BF2" w:rsidTr="00A64BF2">
        <w:tc>
          <w:tcPr>
            <w:tcW w:w="2518" w:type="dxa"/>
            <w:shd w:val="clear" w:color="auto" w:fill="auto"/>
          </w:tcPr>
          <w:p w:rsidR="00323BD3" w:rsidRPr="00A64BF2" w:rsidRDefault="00323BD3" w:rsidP="00323BD3">
            <w:pPr>
              <w:pStyle w:val="TTableText"/>
              <w:rPr>
                <w:lang w:val="en-GB"/>
              </w:rPr>
            </w:pPr>
            <w:r w:rsidRPr="00A64BF2">
              <w:rPr>
                <w:lang w:val="en-GB"/>
              </w:rPr>
              <w:t>Public Bill Committee</w:t>
            </w:r>
          </w:p>
        </w:tc>
        <w:tc>
          <w:tcPr>
            <w:tcW w:w="2126" w:type="dxa"/>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24 January 2017</w:t>
            </w:r>
          </w:p>
        </w:tc>
        <w:tc>
          <w:tcPr>
            <w:tcW w:w="4643" w:type="dxa"/>
            <w:shd w:val="clear" w:color="auto" w:fill="auto"/>
          </w:tcPr>
          <w:p w:rsidR="00323BD3" w:rsidRDefault="009B7656"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3" w:anchor="contribution-20B1B259-CD7A-479D-A3E5-7E23C7F7FCD2" w:history="1">
              <w:r w:rsidR="00323BD3" w:rsidRPr="00572A94">
                <w:rPr>
                  <w:rStyle w:val="Hyperlink"/>
                  <w:rFonts w:ascii="Arial" w:eastAsia="Arial" w:hAnsi="Arial" w:cs="Arial"/>
                  <w:sz w:val="16"/>
                  <w:szCs w:val="16"/>
                </w:rPr>
                <w:t>Col. 1</w:t>
              </w:r>
            </w:hyperlink>
          </w:p>
        </w:tc>
      </w:tr>
      <w:tr w:rsidR="00323BD3" w:rsidRPr="00A64BF2" w:rsidTr="00A64BF2">
        <w:tc>
          <w:tcPr>
            <w:tcW w:w="2518" w:type="dxa"/>
            <w:shd w:val="clear" w:color="auto" w:fill="auto"/>
          </w:tcPr>
          <w:p w:rsidR="00323BD3" w:rsidRPr="00A64BF2" w:rsidRDefault="00323BD3" w:rsidP="00323BD3">
            <w:pPr>
              <w:pStyle w:val="TTableText"/>
              <w:rPr>
                <w:lang w:val="en-GB"/>
              </w:rPr>
            </w:pPr>
            <w:r w:rsidRPr="00A64BF2">
              <w:rPr>
                <w:lang w:val="en-GB"/>
              </w:rPr>
              <w:t>Report and Third Reading</w:t>
            </w:r>
          </w:p>
        </w:tc>
        <w:tc>
          <w:tcPr>
            <w:tcW w:w="2126" w:type="dxa"/>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15 March 2017</w:t>
            </w:r>
          </w:p>
        </w:tc>
        <w:tc>
          <w:tcPr>
            <w:tcW w:w="4643" w:type="dxa"/>
            <w:shd w:val="clear" w:color="auto" w:fill="auto"/>
          </w:tcPr>
          <w:p w:rsidR="00323BD3" w:rsidRDefault="009B7656"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4" w:anchor="contribution-CBBAFF0B-AC67-4A41-9A9B-206375B82531" w:history="1">
              <w:r w:rsidR="00323BD3" w:rsidRPr="00572A94">
                <w:rPr>
                  <w:rStyle w:val="Hyperlink"/>
                  <w:rFonts w:ascii="Arial" w:eastAsia="Arial" w:hAnsi="Arial" w:cs="Arial"/>
                  <w:sz w:val="16"/>
                  <w:szCs w:val="16"/>
                </w:rPr>
                <w:t>Vol. 623 Col. 444</w:t>
              </w:r>
            </w:hyperlink>
          </w:p>
        </w:tc>
      </w:tr>
      <w:tr w:rsidR="00323BD3" w:rsidRPr="00A64BF2" w:rsidTr="00A64BF2">
        <w:tc>
          <w:tcPr>
            <w:tcW w:w="9287" w:type="dxa"/>
            <w:gridSpan w:val="3"/>
            <w:shd w:val="clear" w:color="auto" w:fill="auto"/>
          </w:tcPr>
          <w:p w:rsidR="00323BD3" w:rsidRPr="00A64BF2" w:rsidRDefault="00323BD3" w:rsidP="00323BD3">
            <w:pPr>
              <w:pStyle w:val="TTableText"/>
              <w:rPr>
                <w:rStyle w:val="CItalic"/>
                <w:lang w:val="en-GB"/>
              </w:rPr>
            </w:pPr>
            <w:r w:rsidRPr="00A64BF2">
              <w:rPr>
                <w:rStyle w:val="CItalic"/>
                <w:lang w:val="en-GB"/>
              </w:rPr>
              <w:t>House of Lords</w:t>
            </w:r>
          </w:p>
        </w:tc>
      </w:tr>
      <w:tr w:rsidR="00323BD3" w:rsidRPr="00A64BF2" w:rsidTr="00A64BF2">
        <w:tc>
          <w:tcPr>
            <w:tcW w:w="2518" w:type="dxa"/>
            <w:shd w:val="clear" w:color="auto" w:fill="auto"/>
          </w:tcPr>
          <w:p w:rsidR="00323BD3" w:rsidRPr="00A64BF2" w:rsidRDefault="00323BD3" w:rsidP="00323BD3">
            <w:pPr>
              <w:pStyle w:val="TTableText"/>
              <w:rPr>
                <w:lang w:val="en-GB"/>
              </w:rPr>
            </w:pPr>
            <w:r w:rsidRPr="00A64BF2">
              <w:rPr>
                <w:lang w:val="en-GB"/>
              </w:rPr>
              <w:t>Introduction</w:t>
            </w:r>
          </w:p>
        </w:tc>
        <w:tc>
          <w:tcPr>
            <w:tcW w:w="2126" w:type="dxa"/>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11 October 2016</w:t>
            </w:r>
          </w:p>
        </w:tc>
        <w:tc>
          <w:tcPr>
            <w:tcW w:w="4643" w:type="dxa"/>
            <w:shd w:val="clear" w:color="auto" w:fill="auto"/>
          </w:tcPr>
          <w:p w:rsidR="00323BD3" w:rsidRDefault="009B7656"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5" w:history="1">
              <w:r w:rsidR="00323BD3" w:rsidRPr="00572A94">
                <w:rPr>
                  <w:rStyle w:val="Hyperlink"/>
                  <w:rFonts w:ascii="Arial" w:eastAsia="Arial" w:hAnsi="Arial" w:cs="Arial"/>
                  <w:sz w:val="16"/>
                  <w:szCs w:val="16"/>
                </w:rPr>
                <w:t>Vol. 774 Col. 1779</w:t>
              </w:r>
            </w:hyperlink>
          </w:p>
        </w:tc>
      </w:tr>
      <w:tr w:rsidR="00323BD3" w:rsidRPr="00A64BF2" w:rsidTr="00A64BF2">
        <w:tc>
          <w:tcPr>
            <w:tcW w:w="2518" w:type="dxa"/>
            <w:shd w:val="clear" w:color="auto" w:fill="auto"/>
          </w:tcPr>
          <w:p w:rsidR="00323BD3" w:rsidRPr="00A64BF2" w:rsidRDefault="00323BD3" w:rsidP="00323BD3">
            <w:pPr>
              <w:pStyle w:val="TTableText"/>
              <w:rPr>
                <w:lang w:val="en-GB"/>
              </w:rPr>
            </w:pPr>
            <w:r w:rsidRPr="00A64BF2">
              <w:rPr>
                <w:lang w:val="en-GB"/>
              </w:rPr>
              <w:t>Second Reading</w:t>
            </w:r>
          </w:p>
        </w:tc>
        <w:tc>
          <w:tcPr>
            <w:tcW w:w="2126" w:type="dxa"/>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25 October 2016</w:t>
            </w:r>
          </w:p>
        </w:tc>
        <w:tc>
          <w:tcPr>
            <w:tcW w:w="4643" w:type="dxa"/>
            <w:shd w:val="clear" w:color="auto" w:fill="auto"/>
          </w:tcPr>
          <w:p w:rsidR="00323BD3" w:rsidRDefault="009B7656"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6" w:history="1">
              <w:r w:rsidR="00323BD3" w:rsidRPr="00572A94">
                <w:rPr>
                  <w:rStyle w:val="Hyperlink"/>
                  <w:rFonts w:ascii="Arial" w:eastAsia="Arial" w:hAnsi="Arial" w:cs="Arial"/>
                  <w:sz w:val="16"/>
                  <w:szCs w:val="16"/>
                </w:rPr>
                <w:t>Vol. 776 Col. 112</w:t>
              </w:r>
            </w:hyperlink>
          </w:p>
        </w:tc>
      </w:tr>
      <w:tr w:rsidR="00323BD3" w:rsidRPr="00A64BF2" w:rsidTr="00A64BF2">
        <w:tc>
          <w:tcPr>
            <w:tcW w:w="2518" w:type="dxa"/>
            <w:shd w:val="clear" w:color="auto" w:fill="auto"/>
          </w:tcPr>
          <w:p w:rsidR="00323BD3" w:rsidRPr="00A64BF2" w:rsidRDefault="00323BD3" w:rsidP="00323BD3">
            <w:pPr>
              <w:pStyle w:val="TTableText"/>
              <w:rPr>
                <w:lang w:val="en-GB"/>
              </w:rPr>
            </w:pPr>
            <w:r w:rsidRPr="00A64BF2">
              <w:rPr>
                <w:lang w:val="en-GB"/>
              </w:rPr>
              <w:t>Grand Committee</w:t>
            </w:r>
          </w:p>
        </w:tc>
        <w:tc>
          <w:tcPr>
            <w:tcW w:w="2126" w:type="dxa"/>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16 November 2016</w:t>
            </w:r>
          </w:p>
        </w:tc>
        <w:tc>
          <w:tcPr>
            <w:tcW w:w="4643" w:type="dxa"/>
            <w:shd w:val="clear" w:color="auto" w:fill="auto"/>
          </w:tcPr>
          <w:p w:rsidR="00323BD3" w:rsidRDefault="009B7656"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7" w:history="1">
              <w:r w:rsidR="00323BD3" w:rsidRPr="00C90023">
                <w:rPr>
                  <w:rStyle w:val="Hyperlink"/>
                  <w:rFonts w:ascii="Arial" w:eastAsia="Arial" w:hAnsi="Arial" w:cs="Arial"/>
                  <w:sz w:val="16"/>
                  <w:szCs w:val="16"/>
                </w:rPr>
                <w:t>Vol. 776 Col. 119GC</w:t>
              </w:r>
            </w:hyperlink>
          </w:p>
        </w:tc>
      </w:tr>
      <w:tr w:rsidR="00323BD3" w:rsidRPr="00A64BF2" w:rsidTr="00A64BF2">
        <w:tc>
          <w:tcPr>
            <w:tcW w:w="2518" w:type="dxa"/>
            <w:shd w:val="clear" w:color="auto" w:fill="auto"/>
          </w:tcPr>
          <w:p w:rsidR="00323BD3" w:rsidRPr="00A64BF2" w:rsidRDefault="00323BD3" w:rsidP="00323BD3">
            <w:pPr>
              <w:pStyle w:val="TTableText"/>
              <w:rPr>
                <w:lang w:val="en-GB"/>
              </w:rPr>
            </w:pPr>
            <w:r w:rsidRPr="00A64BF2">
              <w:rPr>
                <w:lang w:val="en-GB"/>
              </w:rPr>
              <w:t xml:space="preserve">Report </w:t>
            </w:r>
          </w:p>
        </w:tc>
        <w:tc>
          <w:tcPr>
            <w:tcW w:w="2126" w:type="dxa"/>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7 December 2016</w:t>
            </w:r>
          </w:p>
        </w:tc>
        <w:tc>
          <w:tcPr>
            <w:tcW w:w="4643" w:type="dxa"/>
            <w:shd w:val="clear" w:color="auto" w:fill="auto"/>
          </w:tcPr>
          <w:p w:rsidR="00323BD3" w:rsidRDefault="009B7656"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8" w:history="1">
              <w:r w:rsidR="00323BD3" w:rsidRPr="00C90023">
                <w:rPr>
                  <w:rStyle w:val="Hyperlink"/>
                  <w:rFonts w:ascii="Arial" w:eastAsia="Arial" w:hAnsi="Arial" w:cs="Arial"/>
                  <w:sz w:val="16"/>
                  <w:szCs w:val="16"/>
                </w:rPr>
                <w:t>Vol. 777 Col. 727</w:t>
              </w:r>
            </w:hyperlink>
          </w:p>
        </w:tc>
      </w:tr>
      <w:tr w:rsidR="00323BD3" w:rsidRPr="00A64BF2" w:rsidTr="00A64BF2">
        <w:tc>
          <w:tcPr>
            <w:tcW w:w="2518" w:type="dxa"/>
            <w:shd w:val="clear" w:color="auto" w:fill="auto"/>
          </w:tcPr>
          <w:p w:rsidR="00323BD3" w:rsidRPr="00A64BF2" w:rsidRDefault="00323BD3" w:rsidP="00323BD3">
            <w:pPr>
              <w:pStyle w:val="TTableText"/>
              <w:rPr>
                <w:lang w:val="en-GB"/>
              </w:rPr>
            </w:pPr>
            <w:r w:rsidRPr="00A64BF2">
              <w:rPr>
                <w:lang w:val="en-GB"/>
              </w:rPr>
              <w:t>Third Reading</w:t>
            </w:r>
          </w:p>
        </w:tc>
        <w:tc>
          <w:tcPr>
            <w:tcW w:w="2126" w:type="dxa"/>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14 December 2016</w:t>
            </w:r>
          </w:p>
        </w:tc>
        <w:tc>
          <w:tcPr>
            <w:tcW w:w="4643" w:type="dxa"/>
            <w:shd w:val="clear" w:color="auto" w:fill="auto"/>
          </w:tcPr>
          <w:p w:rsidR="00323BD3" w:rsidRDefault="009B7656"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9" w:history="1">
              <w:r w:rsidR="00323BD3" w:rsidRPr="00C90023">
                <w:rPr>
                  <w:rStyle w:val="Hyperlink"/>
                  <w:rFonts w:ascii="Arial" w:eastAsia="Arial" w:hAnsi="Arial" w:cs="Arial"/>
                  <w:sz w:val="16"/>
                  <w:szCs w:val="16"/>
                </w:rPr>
                <w:t>Vol. 777 Col. 1247</w:t>
              </w:r>
            </w:hyperlink>
          </w:p>
        </w:tc>
      </w:tr>
      <w:tr w:rsidR="00323BD3" w:rsidRPr="00A64BF2" w:rsidTr="00A64BF2">
        <w:tc>
          <w:tcPr>
            <w:tcW w:w="2518" w:type="dxa"/>
            <w:shd w:val="clear" w:color="auto" w:fill="auto"/>
          </w:tcPr>
          <w:p w:rsidR="00323BD3" w:rsidRPr="00A64BF2" w:rsidRDefault="00323BD3" w:rsidP="00323BD3">
            <w:pPr>
              <w:pStyle w:val="TTableText"/>
              <w:rPr>
                <w:lang w:val="en-GB"/>
              </w:rPr>
            </w:pPr>
            <w:r w:rsidRPr="00A64BF2">
              <w:rPr>
                <w:lang w:val="en-GB"/>
              </w:rPr>
              <w:t>Commons Consideration of Lords Amendments</w:t>
            </w:r>
          </w:p>
        </w:tc>
        <w:tc>
          <w:tcPr>
            <w:tcW w:w="2126" w:type="dxa"/>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4 April 2017</w:t>
            </w:r>
          </w:p>
        </w:tc>
        <w:tc>
          <w:tcPr>
            <w:tcW w:w="4643" w:type="dxa"/>
            <w:shd w:val="clear" w:color="auto" w:fill="auto"/>
          </w:tcPr>
          <w:p w:rsidR="00323BD3" w:rsidRDefault="009B7656"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0" w:history="1">
              <w:r w:rsidR="00323BD3" w:rsidRPr="00C90023">
                <w:rPr>
                  <w:rStyle w:val="Hyperlink"/>
                  <w:rFonts w:ascii="Arial" w:eastAsia="Arial" w:hAnsi="Arial" w:cs="Arial"/>
                  <w:sz w:val="16"/>
                  <w:szCs w:val="16"/>
                </w:rPr>
                <w:t>Vol. 782 Col. 935</w:t>
              </w:r>
            </w:hyperlink>
          </w:p>
        </w:tc>
      </w:tr>
      <w:tr w:rsidR="00323BD3" w:rsidRPr="00A64BF2" w:rsidTr="00A64BF2">
        <w:tc>
          <w:tcPr>
            <w:tcW w:w="2518" w:type="dxa"/>
            <w:vMerge w:val="restart"/>
            <w:shd w:val="clear" w:color="auto" w:fill="auto"/>
          </w:tcPr>
          <w:p w:rsidR="00323BD3" w:rsidRPr="00A64BF2" w:rsidRDefault="00323BD3" w:rsidP="00323BD3">
            <w:pPr>
              <w:pStyle w:val="TTableText"/>
              <w:rPr>
                <w:lang w:val="en-GB"/>
              </w:rPr>
            </w:pPr>
            <w:r w:rsidRPr="00A64BF2">
              <w:rPr>
                <w:lang w:val="en-GB"/>
              </w:rPr>
              <w:t>Royal Assent</w:t>
            </w:r>
          </w:p>
        </w:tc>
        <w:tc>
          <w:tcPr>
            <w:tcW w:w="2126" w:type="dxa"/>
            <w:vMerge w:val="restart"/>
            <w:shd w:val="clear" w:color="auto" w:fill="auto"/>
          </w:tcPr>
          <w:p w:rsidR="00323BD3" w:rsidRDefault="00323BD3"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27 April 2017</w:t>
            </w:r>
          </w:p>
        </w:tc>
        <w:tc>
          <w:tcPr>
            <w:tcW w:w="4643" w:type="dxa"/>
            <w:shd w:val="clear" w:color="auto" w:fill="auto"/>
          </w:tcPr>
          <w:p w:rsidR="00323BD3" w:rsidRDefault="009B7656"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1" w:anchor="contribution-20D4011E-7F23-4C0A-957E-5AD39C686931" w:history="1">
              <w:r w:rsidRPr="009B7656">
                <w:rPr>
                  <w:rStyle w:val="Hyperlink"/>
                  <w:rFonts w:ascii="Arial" w:eastAsia="Arial" w:hAnsi="Arial" w:cs="Arial"/>
                  <w:sz w:val="16"/>
                  <w:szCs w:val="16"/>
                </w:rPr>
                <w:t>House of Commons Vol. 624 Col. 1230</w:t>
              </w:r>
            </w:hyperlink>
          </w:p>
        </w:tc>
      </w:tr>
      <w:tr w:rsidR="00323BD3" w:rsidRPr="00A64BF2" w:rsidTr="00A64BF2">
        <w:tc>
          <w:tcPr>
            <w:tcW w:w="2518" w:type="dxa"/>
            <w:vMerge/>
            <w:shd w:val="clear" w:color="auto" w:fill="auto"/>
          </w:tcPr>
          <w:p w:rsidR="00323BD3" w:rsidRPr="00A64BF2" w:rsidRDefault="00323BD3" w:rsidP="00323BD3">
            <w:pPr>
              <w:pStyle w:val="TTableText"/>
              <w:rPr>
                <w:lang w:val="en-GB"/>
              </w:rPr>
            </w:pPr>
          </w:p>
        </w:tc>
        <w:tc>
          <w:tcPr>
            <w:tcW w:w="2126" w:type="dxa"/>
            <w:vMerge/>
            <w:shd w:val="clear" w:color="auto" w:fill="auto"/>
          </w:tcPr>
          <w:p w:rsidR="00323BD3" w:rsidRPr="00A64BF2" w:rsidRDefault="00323BD3" w:rsidP="00323BD3">
            <w:pPr>
              <w:pStyle w:val="TTableText"/>
              <w:rPr>
                <w:lang w:val="en-GB"/>
              </w:rPr>
            </w:pPr>
          </w:p>
        </w:tc>
        <w:tc>
          <w:tcPr>
            <w:tcW w:w="4643" w:type="dxa"/>
            <w:shd w:val="clear" w:color="auto" w:fill="auto"/>
          </w:tcPr>
          <w:p w:rsidR="00323BD3" w:rsidRDefault="009B7656" w:rsidP="00323BD3">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2" w:history="1">
              <w:r w:rsidR="00323BD3" w:rsidRPr="00C90023">
                <w:rPr>
                  <w:rStyle w:val="Hyperlink"/>
                  <w:rFonts w:ascii="Arial" w:eastAsia="Arial" w:hAnsi="Arial" w:cs="Arial"/>
                  <w:sz w:val="16"/>
                  <w:szCs w:val="16"/>
                </w:rPr>
                <w:t>House of Lords Vol. 782 Col. 1528</w:t>
              </w:r>
            </w:hyperlink>
          </w:p>
        </w:tc>
      </w:tr>
    </w:tbl>
    <w:p w:rsidR="00641A9A" w:rsidRPr="00CA4237" w:rsidRDefault="00323BD3" w:rsidP="00323BD3">
      <w:pPr>
        <w:pStyle w:val="Heading1"/>
      </w:pPr>
      <w:r w:rsidRPr="00CA4237">
        <w:t xml:space="preserve"> </w:t>
      </w:r>
    </w:p>
    <w:p w:rsidR="005F6F2A" w:rsidRPr="00CA4237" w:rsidRDefault="005F6F2A" w:rsidP="00A27BF0">
      <w:pPr>
        <w:pStyle w:val="ParaMainText"/>
        <w:rPr>
          <w:lang w:val="en-GB"/>
        </w:rPr>
      </w:pPr>
    </w:p>
    <w:sectPr w:rsidR="005F6F2A" w:rsidRPr="00CA4237" w:rsidSect="00323BD3">
      <w:headerReference w:type="even" r:id="rId23"/>
      <w:headerReference w:type="default" r:id="rId24"/>
      <w:footerReference w:type="even" r:id="rId25"/>
      <w:footerReference w:type="default" r:id="rId26"/>
      <w:headerReference w:type="first" r:id="rId27"/>
      <w:footerReference w:type="first" r:id="rId28"/>
      <w:type w:val="evenPage"/>
      <w:pgSz w:w="11906" w:h="16838" w:code="9"/>
      <w:pgMar w:top="1134" w:right="1134" w:bottom="1673" w:left="1701"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A58" w:rsidRDefault="00983A58">
      <w:r>
        <w:separator/>
      </w:r>
    </w:p>
    <w:p w:rsidR="00983A58" w:rsidRDefault="00983A58"/>
    <w:p w:rsidR="00983A58" w:rsidRDefault="00983A58"/>
  </w:endnote>
  <w:endnote w:type="continuationSeparator" w:id="0">
    <w:p w:rsidR="00983A58" w:rsidRDefault="00983A58">
      <w:r>
        <w:continuationSeparator/>
      </w:r>
    </w:p>
    <w:p w:rsidR="00983A58" w:rsidRDefault="00983A58"/>
    <w:p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9B7656">
      <w:rPr>
        <w:noProof/>
      </w:rPr>
      <w:t>7</w:t>
    </w:r>
    <w:r>
      <w:rPr>
        <w:noProof/>
      </w:rPr>
      <w:fldChar w:fldCharType="end"/>
    </w:r>
  </w:p>
  <w:p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9B7656">
      <w:rPr>
        <w:noProof/>
      </w:rPr>
      <w:t>7</w:t>
    </w:r>
    <w:r>
      <w:rPr>
        <w:noProof/>
      </w:rPr>
      <w:fldChar w:fldCharType="end"/>
    </w:r>
  </w:p>
  <w:p w:rsidR="00AE5693" w:rsidRPr="00DE0805" w:rsidRDefault="00AE5693" w:rsidP="00AE7634">
    <w:pPr>
      <w:pStyle w:val="Footer"/>
      <w:rPr>
        <w:rStyle w:val="FooterText"/>
      </w:rPr>
    </w:pPr>
    <w:r w:rsidRPr="00DE0805">
      <w:rPr>
        <w:rStyle w:val="FooterText"/>
      </w:rPr>
      <w:t>These</w:t>
    </w:r>
    <w:r w:rsidR="002E4BCA">
      <w:rPr>
        <w:rStyle w:val="FooterText"/>
      </w:rPr>
      <w:t xml:space="preserve"> Explanatory Notes relate to the Nationa</w:t>
    </w:r>
    <w:r w:rsidR="002D59C2">
      <w:rPr>
        <w:rStyle w:val="FooterText"/>
      </w:rPr>
      <w:t>l Citizen Service Act 2017 (c.</w:t>
    </w:r>
    <w:r w:rsidR="009B7656">
      <w:rPr>
        <w:rStyle w:val="FooterText"/>
      </w:rPr>
      <w:t xml:space="preserve"> </w:t>
    </w:r>
    <w:r w:rsidR="002D59C2">
      <w:rPr>
        <w:rStyle w:val="FooterText"/>
      </w:rPr>
      <w:t>15</w:t>
    </w:r>
    <w:r w:rsidR="002E4BCA">
      <w:rPr>
        <w:rStyle w:val="FooterText"/>
      </w:rPr>
      <w:t>) which received Royal Assent on 27 April 2017</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tblGrid>
    <w:tr w:rsidR="002E4BCA" w:rsidRPr="00A64BF2" w:rsidTr="00A64BF2">
      <w:tc>
        <w:tcPr>
          <w:tcW w:w="4076" w:type="dxa"/>
          <w:shd w:val="clear" w:color="auto" w:fill="auto"/>
        </w:tcPr>
        <w:p w:rsidR="002E4BCA" w:rsidRPr="00A64BF2" w:rsidRDefault="002E4BCA" w:rsidP="001E3774">
          <w:pPr>
            <w:pStyle w:val="Footer"/>
          </w:pPr>
          <w:r>
            <w:t>c</w:t>
          </w:r>
          <w:r w:rsidR="002D59C2">
            <w:t>.15</w:t>
          </w:r>
          <w:r w:rsidRPr="00A64BF2">
            <w:t>–EN</w:t>
          </w:r>
        </w:p>
      </w:tc>
    </w:tr>
  </w:tbl>
  <w:p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A58" w:rsidRDefault="00983A58">
      <w:r>
        <w:separator/>
      </w:r>
    </w:p>
    <w:p w:rsidR="00983A58" w:rsidRDefault="00983A58"/>
    <w:p w:rsidR="00983A58" w:rsidRDefault="00983A58"/>
  </w:footnote>
  <w:footnote w:type="continuationSeparator" w:id="0">
    <w:p w:rsidR="00983A58" w:rsidRDefault="00983A58">
      <w:r>
        <w:continuationSeparator/>
      </w:r>
    </w:p>
    <w:p w:rsidR="00983A58" w:rsidRDefault="00983A58"/>
    <w:p w:rsidR="00983A58" w:rsidRDefault="00983A5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1BD359B"/>
    <w:multiLevelType w:val="multilevel"/>
    <w:tmpl w:val="61624540"/>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68A6396"/>
    <w:multiLevelType w:val="multilevel"/>
    <w:tmpl w:val="810C0A98"/>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4"/>
  </w:num>
  <w:num w:numId="2">
    <w:abstractNumId w:val="19"/>
  </w:num>
  <w:num w:numId="3">
    <w:abstractNumId w:val="22"/>
  </w:num>
  <w:num w:numId="4">
    <w:abstractNumId w:val="21"/>
  </w:num>
  <w:num w:numId="5">
    <w:abstractNumId w:val="17"/>
  </w:num>
  <w:num w:numId="6">
    <w:abstractNumId w:val="23"/>
  </w:num>
  <w:num w:numId="7">
    <w:abstractNumId w:val="11"/>
  </w:num>
  <w:num w:numId="8">
    <w:abstractNumId w:val="15"/>
  </w:num>
  <w:num w:numId="9">
    <w:abstractNumId w:val="20"/>
  </w:num>
  <w:num w:numId="10">
    <w:abstractNumId w:val="18"/>
  </w:num>
  <w:num w:numId="11">
    <w:abstractNumId w:val="24"/>
  </w:num>
  <w:num w:numId="12">
    <w:abstractNumId w:val="17"/>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6"/>
  </w:num>
  <w:num w:numId="24">
    <w:abstractNumId w:val="21"/>
    <w:lvlOverride w:ilvl="0">
      <w:startOverride w:val="1"/>
    </w:lvlOverride>
  </w:num>
  <w:num w:numId="25">
    <w:abstractNumId w:val="10"/>
  </w:num>
  <w:num w:numId="26">
    <w:abstractNumId w:val="13"/>
  </w:num>
  <w:num w:numId="2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59C2"/>
    <w:rsid w:val="002D6CFF"/>
    <w:rsid w:val="002E0272"/>
    <w:rsid w:val="002E0461"/>
    <w:rsid w:val="002E0B3C"/>
    <w:rsid w:val="002E4BCA"/>
    <w:rsid w:val="002E67F4"/>
    <w:rsid w:val="002F0561"/>
    <w:rsid w:val="002F25E0"/>
    <w:rsid w:val="002F7BD6"/>
    <w:rsid w:val="003039D2"/>
    <w:rsid w:val="00311764"/>
    <w:rsid w:val="00312E5F"/>
    <w:rsid w:val="00323BD3"/>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B7656"/>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3771E"/>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C55AB"/>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87356"/>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1"/>
    <o:shapelayout v:ext="edit">
      <o:idmap v:ext="edit" data="1"/>
    </o:shapelayout>
  </w:shapeDefaults>
  <w:decimalSymbol w:val="."/>
  <w:listSeparator w:val=","/>
  <w14:docId w14:val="04891953"/>
  <w15:docId w15:val="{8076D250-A30A-427F-9592-18804D24F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17-01-24/debates/9438844b-5d0d-4b96-bbd0-68cee1ef8ce6/NationalCitizenServiceBill(Lords)(FirstSitting)" TargetMode="External"/><Relationship Id="rId18" Type="http://schemas.openxmlformats.org/officeDocument/2006/relationships/hyperlink" Target="https://hansard.parliament.uk/lords/2016-12-07/debates/8EB273DC-438C-4C52-8820-D055A5A8D524/NationalCitizenServiceBill(HL)"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hansard.parliament.uk/Commons/2017-04-27/debates/106E08CF-AF3A-4A3C-AE8E-1C7364A3C4D3/RoyalAssent?highlight=national%20citizen%20service%20act%20assent" TargetMode="External"/><Relationship Id="rId7" Type="http://schemas.openxmlformats.org/officeDocument/2006/relationships/footnotes" Target="footnotes.xml"/><Relationship Id="rId12" Type="http://schemas.openxmlformats.org/officeDocument/2006/relationships/hyperlink" Target="https://hansard.parliament.uk/Commons/2017-01-16/debates/694D3D6B-7045-4740-B836-0BE2611DD608/NationalCitizenServiceBill(Lords)?highlight=national%20citizen%20service%20act" TargetMode="External"/><Relationship Id="rId17" Type="http://schemas.openxmlformats.org/officeDocument/2006/relationships/hyperlink" Target="https://hansard.parliament.uk/lords/2016-11-16/debates/97DFD628-08E5-4E74-91D8-057B00EAC308/NationalCitizenServiceBill(H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hansard.parliament.uk/lords/2016-10-25/debates/852502E1-03E9-405D-A9FE-A7E0105936E3/NationalCitizenServiceBill(HL)" TargetMode="External"/><Relationship Id="rId20" Type="http://schemas.openxmlformats.org/officeDocument/2006/relationships/hyperlink" Target="https://hansard.parliament.uk/lords/2017-04-04/debates/CF60212C-4BF6-4B14-9F90-A3701113E7DA/NationalCitizenServiceBill(H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uk/government/speeches/prime-ministers-speech-on-life-chances" TargetMode="Externa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hansard.parliament.uk/lords/2016-10-11/debates/CF7ECD70-9415-4E3F-976D-C3B1730B7B08/NationalCitizenServiceBill(HL)"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gov.uk/government/speeches/queens-speech-2016" TargetMode="External"/><Relationship Id="rId19" Type="http://schemas.openxmlformats.org/officeDocument/2006/relationships/hyperlink" Target="https://hansard.parliament.uk/lords/2016-12-14/debates/01894F1D-AAF8-403E-BAEA-980606DFF952/NationalCitizenServiceBill(HL)" TargetMode="External"/><Relationship Id="rId4" Type="http://schemas.openxmlformats.org/officeDocument/2006/relationships/styles" Target="styles.xml"/><Relationship Id="rId9" Type="http://schemas.openxmlformats.org/officeDocument/2006/relationships/hyperlink" Target="https://web.archive.org/web/20150615055241/https:/www.conservatives.com/manifesto" TargetMode="External"/><Relationship Id="rId14" Type="http://schemas.openxmlformats.org/officeDocument/2006/relationships/hyperlink" Target="https://hansard.parliament.uk/Commons/2017-03-15/debates/5EB4877A-6E51-4136-8523-BC1B793FBE73/NationalCitizenServiceBill(Lords)?highlight=national%20citizen%20service%20act" TargetMode="External"/><Relationship Id="rId22" Type="http://schemas.openxmlformats.org/officeDocument/2006/relationships/hyperlink" Target="https://hansard.parliament.uk/lords/2017-04-27/debates/D2F2B78C-6AFC-499A-A386-3804E0141713/RoyalAssent"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F0D3CF-B8B2-446F-BCB3-DF300F932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2131</Words>
  <Characters>13959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16058</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4</cp:revision>
  <cp:lastPrinted>2016-01-06T10:34:00Z</cp:lastPrinted>
  <dcterms:created xsi:type="dcterms:W3CDTF">2020-01-29T12:02:00Z</dcterms:created>
  <dcterms:modified xsi:type="dcterms:W3CDTF">2020-01-29T12:13:00Z</dcterms:modified>
  <cp:category/>
  <cp:contentStatus/>
</cp:coreProperties>
</file>