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word/document.xml" ContentType="application/vnd.openxmlformats-officedocument.wordprocessingml.document.main+xml"/>
  <Override PartName="/word/footer1.xml" ContentType="application/vnd.openxmlformats-officedocument.wordprocessingml.footer+xml"/>
  <Override PartName="/word/styles.xml" ContentType="application/vnd.openxmlformats-officedocument.wordprocessingml.styles+xml"/>
  <Override PartName="/word/header1.xml" ContentType="application/vnd.openxmlformats-officedocument.wordprocessingml.header+xml"/>
  <Override PartName="/word/header2.xml" ContentType="application/vnd.openxmlformats-officedocument.wordprocessingml.header+xml"/>
  <Override PartName="/word/footer2.xml" ContentType="application/vnd.openxmlformats-officedocument.wordprocessingml.footer+xml"/>
  <Override PartName="/word/numbering.xml" ContentType="application/vnd.openxmlformats-officedocument.wordprocessingml.numbering+xml"/>
  <Override PartName="/word/fontTable.xml" ContentType="application/vnd.openxmlformats-officedocument.wordprocessingml.fontTable+xml"/>
  <Override PartName="/word/settings.xml" ContentType="application/vnd.openxmlformats-officedocument.wordprocessingml.settings+xml"/>
  <Override PartName="/word/theme/theme1.xml" ContentType="application/vnd.openxmlformats-officedocument.theme+xml"/>
  <Override PartName="/word/_rels/document.xml.rels" ContentType="application/vnd.openxmlformats-package.relationship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StyleENBilltitleText1"/>
        <w:rPr>
          <w:color w:val="000000"/>
          <w:lang w:val="en-GB"/>
        </w:rPr>
      </w:pPr>
      <w:r>
        <w:rPr>
          <w:color w:val="000000"/>
          <w:lang w:val="en-GB"/>
        </w:rPr>
        <w:t>CHILDREN ACT 1989 (AMENDMENT) (FEMALE GENITAL MUTILATION) ACT 2019</w:t>
      </w:r>
      <w:r>
        <w:rPr>
          <w:rFonts w:cs="Arial"/>
          <w:bCs w:val="false"/>
          <w:lang w:val="en-GB"/>
        </w:rPr>
        <w:t xml:space="preserve"> </w:t>
      </w:r>
    </w:p>
    <w:p>
      <w:pPr>
        <w:pStyle w:val="ENnotestitle"/>
        <w:rPr/>
      </w:pPr>
      <w:r>
        <w:rPr>
          <w:rFonts w:cs="Arial"/>
          <w:lang w:val="en-GB"/>
        </w:rPr>
        <w:t>EXPLANATORY NOTES</w:t>
      </w:r>
    </w:p>
    <w:p>
      <w:pPr>
        <w:pStyle w:val="ENHeading1Unindexed"/>
        <w:rPr>
          <w:lang w:val="en-GB"/>
        </w:rPr>
      </w:pPr>
      <w:r>
        <w:rPr>
          <w:lang w:val="en-GB"/>
        </w:rPr>
        <w:t>What these notes do </w:t>
      </w:r>
    </w:p>
    <w:p>
      <w:pPr>
        <w:pStyle w:val="StyleStyleENIntroTextLatinPalatinoLinotype-RomanBackg"/>
        <w:rPr/>
      </w:pPr>
      <w:r>
        <w:rPr>
          <w:color w:val="000000"/>
        </w:rPr>
        <w:t xml:space="preserve">These Explanatory Notes relate to the </w:t>
      </w:r>
      <w:r>
        <w:rPr>
          <w:rStyle w:val="ENIntroTextChar"/>
          <w:color w:val="000000"/>
        </w:rPr>
        <w:t>Children Act 1989 (Amendment) (Female Genital Mutilation) Act 2019</w:t>
      </w:r>
      <w:r>
        <w:rPr>
          <w:color w:val="000000"/>
        </w:rPr>
        <w:t xml:space="preserve"> (c. 10) which received Royal Assent on </w:t>
      </w:r>
      <w:r>
        <w:rPr>
          <w:color w:val="000000"/>
          <w:lang w:val="en-GB"/>
        </w:rPr>
        <w:t>15 March 2019</w:t>
      </w:r>
      <w:r>
        <w:rPr>
          <w:color w:val="000000"/>
        </w:rPr>
        <w:t>.</w:t>
      </w:r>
    </w:p>
    <w:p>
      <w:pPr>
        <w:pStyle w:val="StyleENIntroTextBulletedLatinPalatinoLinotype-Roman"/>
        <w:numPr>
          <w:ilvl w:val="0"/>
          <w:numId w:val="6"/>
        </w:numPr>
        <w:ind w:hanging="357" w:left="357"/>
        <w:rPr>
          <w:color w:val="000000"/>
        </w:rPr>
      </w:pPr>
      <w:r>
        <w:rPr>
          <w:color w:val="000000"/>
        </w:rPr>
        <w:t>These Explanatory Notes have been provided by the Ministry of Justice to assist the reader of the Act.  They do not form part of the Act and have not been endorsed by Parliament.</w:t>
      </w:r>
    </w:p>
    <w:p>
      <w:pPr>
        <w:pStyle w:val="StyleENIntroTextBulletedLatinPalatinoLinotype-Roman"/>
        <w:numPr>
          <w:ilvl w:val="0"/>
          <w:numId w:val="6"/>
        </w:numPr>
        <w:ind w:hanging="357" w:left="357"/>
        <w:rPr>
          <w:color w:val="000000"/>
        </w:rPr>
      </w:pPr>
      <w:r>
        <w:rPr>
          <w:color w:val="000000"/>
        </w:rPr>
        <w:t>These Explanatory Notes explain what each part of the Act will mean in practice; provide background information on the development of policy; and provide additional information on how the Act will affect existing legislation in this area.</w:t>
      </w:r>
    </w:p>
    <w:p>
      <w:pPr>
        <w:pStyle w:val="StyleENIntroTextBulletedLatinPalatinoLinotype-Roman"/>
        <w:numPr>
          <w:ilvl w:val="0"/>
          <w:numId w:val="6"/>
        </w:numPr>
        <w:ind w:hanging="357" w:left="357"/>
        <w:rPr>
          <w:color w:val="000000"/>
        </w:rPr>
      </w:pPr>
      <w:r>
        <w:rPr>
          <w:color w:val="000000"/>
        </w:rPr>
        <w:t>These Explanatory Notes might best be read alongside the Act. They are not, and are not intended to be, a comprehensive description of the Act.</w:t>
      </w:r>
      <w:r>
        <w:br w:type="page"/>
      </w:r>
    </w:p>
    <w:p>
      <w:pPr>
        <w:pStyle w:val="ENHeading1Unindexed"/>
        <w:rPr>
          <w:lang w:val="en-GB"/>
        </w:rPr>
      </w:pPr>
      <w:r>
        <w:rPr>
          <w:lang w:val="en-GB"/>
        </w:rPr>
        <w:t>Table of Contents</w:t>
      </w:r>
    </w:p>
    <w:tbl>
      <w:tblPr>
        <w:tblW w:w="9287" w:type="dxa"/>
        <w:jc w:val="left"/>
        <w:tblInd w:w="0" w:type="dxa"/>
        <w:tblLayout w:type="fixed"/>
        <w:tblCellMar>
          <w:top w:w="0" w:type="dxa"/>
          <w:left w:w="108" w:type="dxa"/>
          <w:bottom w:w="0" w:type="dxa"/>
          <w:right w:w="108" w:type="dxa"/>
        </w:tblCellMar>
      </w:tblPr>
      <w:tblGrid>
        <w:gridCol w:w="4643"/>
        <w:gridCol w:w="4644"/>
      </w:tblGrid>
      <w:tr>
        <w:trPr/>
        <w:tc>
          <w:tcPr>
            <w:tcW w:w="4643" w:type="dxa"/>
            <w:tcBorders/>
          </w:tcPr>
          <w:p>
            <w:pPr>
              <w:pStyle w:val="StyleTOC1Bold"/>
              <w:spacing w:before="120" w:after="120"/>
              <w:jc w:val="left"/>
              <w:rPr>
                <w:b/>
              </w:rPr>
            </w:pPr>
            <w:r>
              <w:rPr>
                <w:b/>
              </w:rPr>
              <w:t>Subject</w:t>
            </w:r>
          </w:p>
        </w:tc>
        <w:tc>
          <w:tcPr>
            <w:tcW w:w="4644" w:type="dxa"/>
            <w:tcBorders/>
          </w:tcPr>
          <w:p>
            <w:pPr>
              <w:pStyle w:val="StyleTOC1BoldRight"/>
              <w:spacing w:before="120" w:after="120"/>
              <w:rPr>
                <w:b/>
              </w:rPr>
            </w:pPr>
            <w:r>
              <w:rPr>
                <w:b/>
              </w:rPr>
              <w:t>Page of these Notes</w:t>
            </w:r>
          </w:p>
        </w:tc>
      </w:tr>
    </w:tbl>
    <w:sdt>
      <w:sdtPr>
        <w:docPartObj>
          <w:docPartGallery w:val="Table of Contents"/>
          <w:docPartUnique w:val="true"/>
        </w:docPartObj>
      </w:sdtPr>
      <w:sdtContent>
        <w:p>
          <w:pPr>
            <w:pStyle w:val="TOC1"/>
            <w:rPr>
              <w:rFonts w:ascii="Calibri" w:hAnsi="Calibri" w:cs="Calibri"/>
              <w:b w:val="false"/>
              <w:bCs w:val="false"/>
              <w:sz w:val="22"/>
              <w:szCs w:val="22"/>
              <w:lang w:val="en-GB" w:eastAsia="en-GB" w:bidi="ar-SA"/>
            </w:rPr>
          </w:pPr>
          <w:r>
            <w:fldChar w:fldCharType="begin"/>
          </w:r>
          <w:r>
            <w:rPr>
              <w:rStyle w:val="IndexLink"/>
              <w:lang w:val="en-GB" w:eastAsia="en-GB"/>
            </w:rPr>
            <w:instrText xml:space="preserve"> TOC \o "1-3" \h \z \t "Heading 4,4,Heading 5,5,H: Subheading 4,4,Section Heading,4,H: Subheading 5,5" </w:instrText>
          </w:r>
          <w:r>
            <w:rPr>
              <w:rStyle w:val="IndexLink"/>
              <w:lang w:val="en-GB" w:eastAsia="en-GB"/>
            </w:rPr>
            <w:fldChar w:fldCharType="separate"/>
          </w:r>
          <w:hyperlink w:anchor="__RefHeading___Toc3802662">
            <w:r>
              <w:rPr>
                <w:rStyle w:val="IndexLink"/>
                <w:lang w:val="en-GB" w:eastAsia="en-GB"/>
              </w:rPr>
              <w:t>Overview of the Act</w:t>
              <w:tab/>
              <w:t>2</w:t>
            </w:r>
          </w:hyperlink>
        </w:p>
        <w:p>
          <w:pPr>
            <w:pStyle w:val="TOC5"/>
            <w:tabs>
              <w:tab w:val="clear" w:pos="720"/>
              <w:tab w:val="right" w:pos="9061" w:leader="none"/>
            </w:tabs>
            <w:rPr>
              <w:sz w:val="22"/>
              <w:szCs w:val="22"/>
              <w:lang w:val="en-GB" w:eastAsia="en-GB" w:bidi="ar-SA"/>
            </w:rPr>
          </w:pPr>
          <w:hyperlink w:anchor="__RefHeading___Toc3802663">
            <w:r>
              <w:rPr>
                <w:rStyle w:val="IndexLink"/>
                <w:lang w:val="en-GB" w:eastAsia="en-GB"/>
              </w:rPr>
              <w:t>Purpose and effect of the Act</w:t>
              <w:tab/>
              <w:t>2</w:t>
            </w:r>
          </w:hyperlink>
        </w:p>
        <w:p>
          <w:pPr>
            <w:pStyle w:val="TOC1"/>
            <w:rPr>
              <w:rFonts w:ascii="Calibri" w:hAnsi="Calibri" w:cs="Calibri"/>
              <w:b w:val="false"/>
              <w:bCs w:val="false"/>
              <w:sz w:val="22"/>
              <w:szCs w:val="22"/>
              <w:lang w:val="en-GB" w:eastAsia="en-GB" w:bidi="ar-SA"/>
            </w:rPr>
          </w:pPr>
          <w:hyperlink w:anchor="__RefHeading___Toc3802664">
            <w:r>
              <w:rPr>
                <w:rStyle w:val="IndexLink"/>
                <w:lang w:val="en-GB" w:eastAsia="en-GB"/>
              </w:rPr>
              <w:t>Policy background</w:t>
              <w:tab/>
              <w:t>2</w:t>
            </w:r>
          </w:hyperlink>
        </w:p>
        <w:p>
          <w:pPr>
            <w:pStyle w:val="TOC1"/>
            <w:rPr>
              <w:rFonts w:ascii="Calibri" w:hAnsi="Calibri" w:cs="Calibri"/>
              <w:b w:val="false"/>
              <w:bCs w:val="false"/>
              <w:sz w:val="22"/>
              <w:szCs w:val="22"/>
              <w:lang w:val="en-GB" w:eastAsia="en-GB" w:bidi="ar-SA"/>
            </w:rPr>
          </w:pPr>
          <w:hyperlink w:anchor="__RefHeading___Toc3802665">
            <w:r>
              <w:rPr>
                <w:rStyle w:val="IndexLink"/>
                <w:lang w:val="en-GB" w:eastAsia="en-GB"/>
              </w:rPr>
              <w:t>Legal background</w:t>
              <w:tab/>
              <w:t>2</w:t>
            </w:r>
          </w:hyperlink>
        </w:p>
        <w:p>
          <w:pPr>
            <w:pStyle w:val="TOC1"/>
            <w:rPr>
              <w:rFonts w:ascii="Calibri" w:hAnsi="Calibri" w:cs="Calibri"/>
              <w:b w:val="false"/>
              <w:bCs w:val="false"/>
              <w:sz w:val="22"/>
              <w:szCs w:val="22"/>
              <w:lang w:val="en-GB" w:eastAsia="en-GB" w:bidi="ar-SA"/>
            </w:rPr>
          </w:pPr>
          <w:hyperlink w:anchor="__RefHeading___Toc3802666">
            <w:r>
              <w:rPr>
                <w:rStyle w:val="IndexLink"/>
                <w:lang w:val="en-GB" w:eastAsia="en-GB"/>
              </w:rPr>
              <w:t>Territorial extent and application</w:t>
              <w:tab/>
              <w:t>2</w:t>
            </w:r>
          </w:hyperlink>
        </w:p>
        <w:p>
          <w:pPr>
            <w:pStyle w:val="TOC1"/>
            <w:rPr>
              <w:rFonts w:ascii="Calibri" w:hAnsi="Calibri" w:cs="Calibri"/>
              <w:b w:val="false"/>
              <w:bCs w:val="false"/>
              <w:sz w:val="22"/>
              <w:szCs w:val="22"/>
              <w:lang w:val="en-GB" w:eastAsia="en-GB" w:bidi="ar-SA"/>
            </w:rPr>
          </w:pPr>
          <w:hyperlink w:anchor="__RefHeading___Toc3802667">
            <w:r>
              <w:rPr>
                <w:rStyle w:val="IndexLink"/>
                <w:lang w:val="en-GB" w:eastAsia="en-GB"/>
              </w:rPr>
              <w:t>Commentary on provisions of Bill/Act</w:t>
              <w:tab/>
              <w:t>3</w:t>
            </w:r>
          </w:hyperlink>
        </w:p>
        <w:p>
          <w:pPr>
            <w:pStyle w:val="TOC4"/>
            <w:tabs>
              <w:tab w:val="clear" w:pos="720"/>
              <w:tab w:val="right" w:pos="9061" w:leader="none"/>
            </w:tabs>
            <w:rPr>
              <w:sz w:val="22"/>
              <w:szCs w:val="22"/>
              <w:lang w:val="en-GB" w:eastAsia="en-GB" w:bidi="ar-SA"/>
            </w:rPr>
          </w:pPr>
          <w:hyperlink w:anchor="__RefHeading___Toc3802668">
            <w:r>
              <w:rPr>
                <w:rStyle w:val="IndexLink"/>
                <w:lang w:val="en-GB" w:eastAsia="en-GB"/>
              </w:rPr>
              <w:t>Section 1: Amendment to the Children Act 1989</w:t>
              <w:tab/>
              <w:t>3</w:t>
            </w:r>
          </w:hyperlink>
        </w:p>
        <w:p>
          <w:pPr>
            <w:pStyle w:val="TOC4"/>
            <w:tabs>
              <w:tab w:val="clear" w:pos="720"/>
              <w:tab w:val="right" w:pos="9061" w:leader="none"/>
            </w:tabs>
            <w:rPr>
              <w:sz w:val="22"/>
              <w:szCs w:val="22"/>
              <w:lang w:val="en-GB" w:eastAsia="en-GB" w:bidi="ar-SA"/>
            </w:rPr>
          </w:pPr>
          <w:hyperlink w:anchor="__RefHeading___Toc3802669">
            <w:r>
              <w:rPr>
                <w:rStyle w:val="IndexLink"/>
                <w:lang w:val="en-GB" w:eastAsia="en-GB"/>
              </w:rPr>
              <w:t>Section 2: Extent, commencement and short title</w:t>
              <w:tab/>
              <w:t>3</w:t>
            </w:r>
          </w:hyperlink>
        </w:p>
        <w:p>
          <w:pPr>
            <w:pStyle w:val="TOC1"/>
            <w:rPr>
              <w:rFonts w:ascii="Calibri" w:hAnsi="Calibri" w:cs="Calibri"/>
              <w:b w:val="false"/>
              <w:bCs w:val="false"/>
              <w:sz w:val="22"/>
              <w:szCs w:val="22"/>
              <w:lang w:val="en-GB" w:eastAsia="en-GB" w:bidi="ar-SA"/>
            </w:rPr>
          </w:pPr>
          <w:hyperlink w:anchor="__RefHeading___Toc3802670">
            <w:r>
              <w:rPr>
                <w:rStyle w:val="IndexLink"/>
                <w:lang w:val="en-GB" w:eastAsia="en-GB"/>
              </w:rPr>
              <w:t>Commencement</w:t>
              <w:tab/>
              <w:t>4</w:t>
            </w:r>
          </w:hyperlink>
        </w:p>
        <w:p>
          <w:pPr>
            <w:pStyle w:val="TOC1"/>
            <w:rPr>
              <w:rFonts w:ascii="Calibri" w:hAnsi="Calibri" w:cs="Calibri"/>
              <w:b w:val="false"/>
              <w:bCs w:val="false"/>
              <w:sz w:val="22"/>
              <w:szCs w:val="22"/>
              <w:lang w:val="en-GB" w:eastAsia="en-GB" w:bidi="ar-SA"/>
            </w:rPr>
          </w:pPr>
          <w:hyperlink w:anchor="__RefHeading___Toc3802671">
            <w:r>
              <w:rPr>
                <w:rStyle w:val="IndexLink"/>
                <w:lang w:val="en-GB" w:eastAsia="en-GB"/>
              </w:rPr>
              <w:t>Financial implications of the Act</w:t>
              <w:tab/>
              <w:t>4</w:t>
            </w:r>
          </w:hyperlink>
        </w:p>
        <w:p>
          <w:pPr>
            <w:pStyle w:val="TOC1"/>
            <w:rPr>
              <w:rFonts w:ascii="Calibri" w:hAnsi="Calibri" w:cs="Calibri"/>
              <w:b w:val="false"/>
              <w:bCs w:val="false"/>
              <w:sz w:val="22"/>
              <w:szCs w:val="22"/>
              <w:lang w:val="en-GB" w:eastAsia="en-GB" w:bidi="ar-SA"/>
            </w:rPr>
          </w:pPr>
          <w:hyperlink w:anchor="__RefHeading___Toc3802672">
            <w:r>
              <w:rPr>
                <w:rStyle w:val="IndexLink"/>
                <w:lang w:val="en-GB" w:eastAsia="en-GB"/>
              </w:rPr>
              <w:t>Subject matter and legislative competence of devolved legislatures</w:t>
              <w:tab/>
              <w:t>4</w:t>
            </w:r>
          </w:hyperlink>
        </w:p>
        <w:p>
          <w:pPr>
            <w:pStyle w:val="TOC1"/>
            <w:rPr>
              <w:rFonts w:ascii="Calibri" w:hAnsi="Calibri" w:cs="Calibri"/>
              <w:b w:val="false"/>
              <w:bCs w:val="false"/>
              <w:sz w:val="22"/>
              <w:szCs w:val="22"/>
              <w:lang w:val="en-GB" w:eastAsia="en-GB" w:bidi="ar-SA"/>
            </w:rPr>
          </w:pPr>
          <w:hyperlink w:anchor="__RefHeading___Toc3802673">
            <w:r>
              <w:rPr>
                <w:rStyle w:val="IndexLink"/>
                <w:rFonts w:eastAsia="Calibri"/>
                <w:lang w:val="en-GB" w:eastAsia="en-GB"/>
              </w:rPr>
              <w:t>Annex A – Glossary</w:t>
            </w:r>
            <w:r>
              <w:rPr>
                <w:rStyle w:val="IndexLink"/>
                <w:lang w:val="en-GB" w:eastAsia="en-GB"/>
              </w:rPr>
              <w:tab/>
              <w:t>5</w:t>
            </w:r>
          </w:hyperlink>
        </w:p>
        <w:p>
          <w:pPr>
            <w:pStyle w:val="TOC1"/>
            <w:rPr>
              <w:rFonts w:ascii="Calibri" w:hAnsi="Calibri" w:cs="Calibri"/>
              <w:b w:val="false"/>
              <w:bCs w:val="false"/>
              <w:sz w:val="22"/>
              <w:szCs w:val="22"/>
              <w:lang w:val="en-GB" w:eastAsia="en-GB" w:bidi="ar-SA"/>
            </w:rPr>
          </w:pPr>
          <w:hyperlink w:anchor="__RefHeading___Toc3802674">
            <w:r>
              <w:rPr>
                <w:rStyle w:val="IndexLink"/>
                <w:rFonts w:eastAsia="Calibri"/>
                <w:lang w:val="en-GB" w:eastAsia="en-GB"/>
              </w:rPr>
              <w:t>Annex B – Hansard references</w:t>
            </w:r>
            <w:r>
              <w:rPr>
                <w:rStyle w:val="IndexLink"/>
                <w:lang w:val="en-GB" w:eastAsia="en-GB"/>
              </w:rPr>
              <w:tab/>
              <w:t>6</w:t>
            </w:r>
          </w:hyperlink>
          <w:r>
            <w:rPr>
              <w:rStyle w:val="IndexLink"/>
              <w:lang w:val="en-GB" w:eastAsia="en-GB"/>
            </w:rPr>
            <w:fldChar w:fldCharType="end"/>
          </w:r>
        </w:p>
      </w:sdtContent>
    </w:sdt>
    <w:p>
      <w:pPr>
        <w:pStyle w:val="Heading1"/>
        <w:keepNext w:val="true"/>
        <w:numPr>
          <w:ilvl w:val="0"/>
          <w:numId w:val="0"/>
        </w:numPr>
        <w:rPr>
          <w:rFonts w:ascii="Calibri" w:hAnsi="Calibri" w:cs="Calibri"/>
          <w:b w:val="false"/>
          <w:bCs w:val="false"/>
          <w:sz w:val="22"/>
          <w:szCs w:val="22"/>
          <w:lang w:val="en-GB" w:eastAsia="en-GB" w:bidi="ar-SA"/>
        </w:rPr>
      </w:pPr>
      <w:r>
        <w:rPr>
          <w:rFonts w:cs="Calibri" w:ascii="Calibri" w:hAnsi="Calibri"/>
          <w:b w:val="false"/>
          <w:bCs w:val="false"/>
          <w:sz w:val="22"/>
          <w:szCs w:val="22"/>
          <w:lang w:val="en-GB" w:eastAsia="en-GB" w:bidi="ar-SA"/>
        </w:rPr>
      </w:r>
      <w:r>
        <w:br w:type="page"/>
      </w:r>
    </w:p>
    <w:p>
      <w:pPr>
        <w:pStyle w:val="Heading1"/>
        <w:keepNext w:val="true"/>
        <w:ind w:hanging="0" w:left="0"/>
        <w:rPr/>
      </w:pPr>
      <w:bookmarkStart w:id="0" w:name="__RefHeading___Toc3802662"/>
      <w:bookmarkEnd w:id="0"/>
      <w:r>
        <w:rPr/>
        <w:t>Overview of the Act</w:t>
      </w:r>
    </w:p>
    <w:p>
      <w:pPr>
        <w:pStyle w:val="HSubheading5"/>
        <w:rPr/>
      </w:pPr>
      <w:bookmarkStart w:id="1" w:name="__RefHeading___Toc3802663"/>
      <w:bookmarkEnd w:id="1"/>
      <w:r>
        <w:rPr/>
        <w:t>Purpose and effect of the Act</w:t>
      </w:r>
    </w:p>
    <w:p>
      <w:pPr>
        <w:pStyle w:val="ParaNumbered"/>
        <w:numPr>
          <w:ilvl w:val="0"/>
          <w:numId w:val="3"/>
        </w:numPr>
        <w:rPr>
          <w:rFonts w:eastAsia="Calibri"/>
        </w:rPr>
      </w:pPr>
      <w:r>
        <w:rPr>
          <w:rFonts w:eastAsia="Calibri"/>
        </w:rPr>
        <w:t>The Act amends section 8(4) of the Children Act 1989 (“the 1989 Act”) to add proceedings for Female Genital Mutilation Protection Orders (“FGMPOs”) in England and Wales, under Section 5A of, and Schedule 2 to, the Female Genital Mutilation Act 2003, to the list of proceedings which are “family proceedings” for the purpose of the 1989 Act.</w:t>
      </w:r>
    </w:p>
    <w:p>
      <w:pPr>
        <w:pStyle w:val="ParaNumbered"/>
        <w:numPr>
          <w:ilvl w:val="0"/>
          <w:numId w:val="3"/>
        </w:numPr>
        <w:rPr/>
      </w:pPr>
      <w:r>
        <w:rPr>
          <w:rFonts w:eastAsia="Calibri"/>
        </w:rPr>
        <w:t xml:space="preserve">The effect of the amendment proposed by the Act would be to allow an applicant for an FGMPO to also apply for a care or supervision order (or other such appropriate order under the 1989 Act) as part of the same proceedings, rather than having to make separate applications for such orders as at present. </w:t>
      </w:r>
      <w:r>
        <w:rPr/>
        <w:t xml:space="preserve"> It will also mean that when a court is dealing with a FGMPO, it will also have powers available under the Children Act 1989 to make other orders regarding the welfare of the child. This will increase the ability of the court to protect children at risk. </w:t>
      </w:r>
    </w:p>
    <w:p>
      <w:pPr>
        <w:pStyle w:val="Heading1"/>
        <w:keepNext w:val="true"/>
        <w:ind w:hanging="0" w:left="0"/>
        <w:rPr/>
      </w:pPr>
      <w:bookmarkStart w:id="2" w:name="__RefHeading___Toc3802664"/>
      <w:bookmarkEnd w:id="2"/>
      <w:r>
        <w:rPr/>
        <w:t>Policy background</w:t>
      </w:r>
    </w:p>
    <w:p>
      <w:pPr>
        <w:pStyle w:val="ParaNumbered"/>
        <w:numPr>
          <w:ilvl w:val="0"/>
          <w:numId w:val="3"/>
        </w:numPr>
        <w:rPr/>
      </w:pPr>
      <w:r>
        <w:rPr/>
        <w:t xml:space="preserve">Female Genital Mutilation (FGM) is an extremely painful and harmful practice that blights the lives of many girls and women.  The Government condemns this abusive practice and seeks to eradicate FGM in this country and abroad. </w:t>
      </w:r>
    </w:p>
    <w:p>
      <w:pPr>
        <w:pStyle w:val="ParaNumbered"/>
        <w:numPr>
          <w:ilvl w:val="0"/>
          <w:numId w:val="3"/>
        </w:numPr>
        <w:rPr/>
      </w:pPr>
      <w:r>
        <w:rPr/>
        <w:t>FGM has been a specific criminal offence in this country since 1985. Other powers are available to the courts including Female Genital Mutilation Protection Orders (FGMPO) which is a civil law measure, designed to protect those at risk of FGM.</w:t>
      </w:r>
    </w:p>
    <w:p>
      <w:pPr>
        <w:pStyle w:val="Heading1"/>
        <w:keepNext w:val="true"/>
        <w:ind w:hanging="0" w:left="0"/>
        <w:rPr/>
      </w:pPr>
      <w:bookmarkStart w:id="3" w:name="__RefHeading___Toc3802665"/>
      <w:bookmarkEnd w:id="3"/>
      <w:r>
        <w:rPr/>
        <w:t>Legal background</w:t>
      </w:r>
    </w:p>
    <w:p>
      <w:pPr>
        <w:pStyle w:val="ParaNumbered"/>
        <w:numPr>
          <w:ilvl w:val="0"/>
          <w:numId w:val="3"/>
        </w:numPr>
        <w:rPr/>
      </w:pPr>
      <w:r>
        <w:rPr/>
        <w:t xml:space="preserve">The legislation relating to the FGM is contained in the Female Genital Mutilation Act 2003, as amended, in relation to FGMPOs, by the Serious Crime Act 2015. </w:t>
      </w:r>
    </w:p>
    <w:p>
      <w:pPr>
        <w:pStyle w:val="Heading1"/>
        <w:keepNext w:val="true"/>
        <w:ind w:hanging="0" w:left="0"/>
        <w:rPr/>
      </w:pPr>
      <w:bookmarkStart w:id="4" w:name="__RefHeading___Toc3802666"/>
      <w:bookmarkEnd w:id="4"/>
      <w:r>
        <w:rPr/>
        <w:t>Territorial extent and application</w:t>
      </w:r>
    </w:p>
    <w:p>
      <w:pPr>
        <w:pStyle w:val="ParaNumbered"/>
        <w:numPr>
          <w:ilvl w:val="0"/>
          <w:numId w:val="3"/>
        </w:numPr>
        <w:rPr/>
      </w:pPr>
      <w:r>
        <w:rPr/>
        <w:t>The Act extends to England and Wales only, as does section 8 of the 1989 Act which it seeks to amend. The subject matter of the Act is clearly reserved under paragraphs 8 and 179 (and also under paragraphs 177 and 178) of Schedule 7A to the Government of Wales Act 2006 (inserted by the Wales Act 2017). </w:t>
      </w:r>
      <w:r>
        <w:br w:type="page"/>
      </w:r>
    </w:p>
    <w:p>
      <w:pPr>
        <w:pStyle w:val="Heading1"/>
        <w:ind w:hanging="0" w:left="0"/>
        <w:rPr/>
      </w:pPr>
      <w:bookmarkStart w:id="5" w:name="__RefHeading___Toc3802667"/>
      <w:bookmarkEnd w:id="5"/>
      <w:r>
        <w:rPr/>
        <w:t>Commentary on provisions of Bill/Act</w:t>
      </w:r>
    </w:p>
    <w:p>
      <w:pPr>
        <w:pStyle w:val="HSubheading4"/>
        <w:rPr/>
      </w:pPr>
      <w:bookmarkStart w:id="6" w:name="__RefHeading___Toc3802668"/>
      <w:bookmarkEnd w:id="6"/>
      <w:r>
        <w:rPr/>
        <w:t>Section 1: Amendment to the Children Act 1989</w:t>
      </w:r>
    </w:p>
    <w:p>
      <w:pPr>
        <w:pStyle w:val="ParaNumbered"/>
        <w:numPr>
          <w:ilvl w:val="0"/>
          <w:numId w:val="3"/>
        </w:numPr>
        <w:rPr/>
      </w:pPr>
      <w:r>
        <w:rPr/>
        <w:t xml:space="preserve">Section 1 amends section 8 of the Children Act 1989 by inserting a reference to Part 1 of Schedule 2 to the Female Genital Mutilation Act 2003 (other than paragraph 3 of that Schedule). </w:t>
      </w:r>
    </w:p>
    <w:p>
      <w:pPr>
        <w:pStyle w:val="ParaNumbered"/>
        <w:numPr>
          <w:ilvl w:val="0"/>
          <w:numId w:val="3"/>
        </w:numPr>
        <w:rPr/>
      </w:pPr>
      <w:r>
        <w:rPr/>
        <w:t>Schedule 2 to the 2003 Act (at Part 2) makes provision for FGMPOs in Northern Ireland, but the Bill only extends to England and Wales and so it refers only to Part 1 of Schedule 2, the Part which makes provision for FGMPOs in England and Wales.</w:t>
      </w:r>
    </w:p>
    <w:p>
      <w:pPr>
        <w:pStyle w:val="ParaNumbered"/>
        <w:numPr>
          <w:ilvl w:val="0"/>
          <w:numId w:val="3"/>
        </w:numPr>
        <w:rPr/>
      </w:pPr>
      <w:r>
        <w:rPr/>
        <w:t xml:space="preserve">Paragraph 3 of Schedule 2 to the 2003 Act provides for circumstances in which FGMPOs may be made by the court during criminal proceedings.  The exception in relation to paragraph 3 of Schedule 2 is to make clear that such criminal proceedings are not to be defined as “family proceedings” for the purpose of the 1989 Act.   </w:t>
      </w:r>
    </w:p>
    <w:p>
      <w:pPr>
        <w:pStyle w:val="HSubheading4"/>
        <w:rPr/>
      </w:pPr>
      <w:bookmarkStart w:id="7" w:name="__RefHeading___Toc3802669"/>
      <w:bookmarkEnd w:id="7"/>
      <w:r>
        <w:rPr/>
        <w:t>Section 2: Extent, commencement and short title</w:t>
      </w:r>
    </w:p>
    <w:p>
      <w:pPr>
        <w:pStyle w:val="ParaNumbered"/>
        <w:numPr>
          <w:ilvl w:val="0"/>
          <w:numId w:val="3"/>
        </w:numPr>
        <w:rPr/>
      </w:pPr>
      <w:r>
        <w:rPr/>
        <w:t xml:space="preserve">Section 2 provides that the extent of the Bill is England and Wales only. </w:t>
      </w:r>
      <w:r>
        <w:br w:type="page"/>
      </w:r>
    </w:p>
    <w:p>
      <w:pPr>
        <w:pStyle w:val="Heading1"/>
        <w:ind w:hanging="0" w:left="0"/>
        <w:rPr/>
      </w:pPr>
      <w:bookmarkStart w:id="8" w:name="__RefHeading___Toc3802670"/>
      <w:bookmarkEnd w:id="8"/>
      <w:r>
        <w:rPr/>
        <w:t>Commencement</w:t>
      </w:r>
    </w:p>
    <w:p>
      <w:pPr>
        <w:pStyle w:val="ParaNumbered"/>
        <w:numPr>
          <w:ilvl w:val="0"/>
          <w:numId w:val="3"/>
        </w:numPr>
        <w:rPr/>
      </w:pPr>
      <w:r>
        <w:rPr/>
        <w:t>The Act will come into force on the day on which it is passed.</w:t>
      </w:r>
    </w:p>
    <w:p>
      <w:pPr>
        <w:pStyle w:val="ParaNumbered"/>
        <w:numPr>
          <w:ilvl w:val="0"/>
          <w:numId w:val="3"/>
        </w:numPr>
        <w:rPr/>
      </w:pPr>
      <w:r>
        <w:rPr/>
        <w:t>The policy and public interest justification for proposing that the Bill should come into force on Royal Assent is to ensure that, if any FGMPO proceedings were ongoing at the time that the legislation was passed, the Family Court and the High Court would have the power to make care and supervision orders in those proceedings, without separate applications having to be made, so that the level of immediately available protection given to any children at risk of significant harm could be increased. </w:t>
      </w:r>
    </w:p>
    <w:p>
      <w:pPr>
        <w:pStyle w:val="Heading1"/>
        <w:keepNext w:val="true"/>
        <w:ind w:hanging="0" w:left="0"/>
        <w:rPr/>
      </w:pPr>
      <w:bookmarkStart w:id="9" w:name="__RefHeading___Toc3802671"/>
      <w:bookmarkEnd w:id="9"/>
      <w:r>
        <w:rPr/>
        <w:t>Financial implications of the Act</w:t>
      </w:r>
    </w:p>
    <w:p>
      <w:pPr>
        <w:pStyle w:val="ParaNumbered"/>
        <w:numPr>
          <w:ilvl w:val="0"/>
          <w:numId w:val="3"/>
        </w:numPr>
        <w:rPr/>
      </w:pPr>
      <w:r>
        <w:rPr/>
        <w:t xml:space="preserve">FGM protection orders were introduced on 17 July 2015. Since then, family courts have dealt with a relatively small frequency of FGM cases each year. </w:t>
      </w:r>
    </w:p>
    <w:p>
      <w:pPr>
        <w:pStyle w:val="ParaNumbered"/>
        <w:numPr>
          <w:ilvl w:val="0"/>
          <w:numId w:val="3"/>
        </w:numPr>
        <w:rPr/>
      </w:pPr>
      <w:r>
        <w:rPr/>
        <w:t>It is not known how many cases currently need to be adjourned for care proceedings to commence in the family court. In the 12 months to September 2016, 63 FGMPOs were made, in the 12 months to September 2017, 98 FGMPOs were made and in the 12 months to September 2018, 117 orders were made. It is not possible to estimate the proportion of FGM cases that would be impacted by this policy. However, the relatively low frequency of cases does imply, that regardless of the proportion of these cases impacted by care proceedings, the overall volume of cases impacted is likely to be small.</w:t>
      </w:r>
    </w:p>
    <w:p>
      <w:pPr>
        <w:pStyle w:val="ParaNumbered"/>
        <w:numPr>
          <w:ilvl w:val="0"/>
          <w:numId w:val="3"/>
        </w:numPr>
        <w:rPr/>
      </w:pPr>
      <w:r>
        <w:rPr/>
        <w:t>We expect that there will be one-off familiarisation costs for the agencies involved in FGM cases in family courts (Local Authorities, LAA, Cafcass, HMCTS, Judges, as well as others involved in FGMPO proceedings).</w:t>
      </w:r>
    </w:p>
    <w:p>
      <w:pPr>
        <w:pStyle w:val="ParaNumbered"/>
        <w:numPr>
          <w:ilvl w:val="0"/>
          <w:numId w:val="3"/>
        </w:numPr>
        <w:rPr/>
      </w:pPr>
      <w:r>
        <w:rPr/>
        <w:t>For those cases in which this applies, it is expected that family court hearings would be reduced as care proceedings would now be able to be heard alongside FGMPO hearings. This could reduce adjournments and improve timeliness in these cases</w:t>
      </w:r>
    </w:p>
    <w:p>
      <w:pPr>
        <w:pStyle w:val="ParaNumbered"/>
        <w:numPr>
          <w:ilvl w:val="0"/>
          <w:numId w:val="3"/>
        </w:numPr>
        <w:rPr/>
      </w:pPr>
      <w:r>
        <w:rPr/>
        <w:t>Overall, it is expected that the overall financial impact of this policy is likely to be minimal, given the relatively low frequency of FGMPO cases in family courts.</w:t>
      </w:r>
    </w:p>
    <w:p>
      <w:pPr>
        <w:pStyle w:val="Heading1"/>
        <w:ind w:hanging="0" w:left="0"/>
        <w:rPr/>
      </w:pPr>
      <w:bookmarkStart w:id="10" w:name="__RefHeading___Toc3802672"/>
      <w:r>
        <w:rPr/>
        <w:t>Subject matter and legislative competence of devolved legislatures</w:t>
      </w:r>
      <w:bookmarkEnd w:id="10"/>
      <w:r>
        <w:rPr/>
        <w:t xml:space="preserve"> </w:t>
      </w:r>
    </w:p>
    <w:p>
      <w:pPr>
        <w:pStyle w:val="ParaNumbered"/>
        <w:numPr>
          <w:ilvl w:val="0"/>
          <w:numId w:val="3"/>
        </w:numPr>
        <w:rPr/>
      </w:pPr>
      <w:r>
        <w:rPr/>
        <w:t>The subject matter of the Act is clearly reserved under paragraphs 8 and 179 (and also under paragraphs 177 and 178) of Schedule 7A to the Government of Wales Act 2006 (inserted by the Wales Act 2017). </w:t>
      </w:r>
    </w:p>
    <w:p>
      <w:pPr>
        <w:pStyle w:val="ParaNumbered"/>
        <w:numPr>
          <w:ilvl w:val="0"/>
          <w:numId w:val="3"/>
        </w:numPr>
        <w:rPr/>
      </w:pPr>
      <w:r>
        <w:rPr/>
        <w:t>The subject matter of the Act is also devolved in Scotland and Northern Ireland. </w:t>
      </w:r>
      <w:r>
        <w:br w:type="page"/>
      </w:r>
    </w:p>
    <w:p>
      <w:pPr>
        <w:pStyle w:val="Heading1"/>
        <w:ind w:hanging="0" w:left="0"/>
        <w:rPr/>
      </w:pPr>
      <w:bookmarkStart w:id="11" w:name="__RefHeading___Toc3802673"/>
      <w:r>
        <w:rPr/>
        <w:t>Annex A – Glossary</w:t>
      </w:r>
      <w:bookmarkEnd w:id="11"/>
      <w:r>
        <w:rPr/>
        <w:br/>
      </w:r>
    </w:p>
    <w:tbl>
      <w:tblPr>
        <w:tblW w:w="9061" w:type="dxa"/>
        <w:jc w:val="left"/>
        <w:tblInd w:w="0" w:type="dxa"/>
        <w:tblLayout w:type="fixed"/>
        <w:tblCellMar>
          <w:top w:w="0" w:type="dxa"/>
          <w:left w:w="108" w:type="dxa"/>
          <w:bottom w:w="0" w:type="dxa"/>
          <w:right w:w="108" w:type="dxa"/>
        </w:tblCellMar>
      </w:tblPr>
      <w:tblGrid>
        <w:gridCol w:w="4530"/>
        <w:gridCol w:w="4531"/>
      </w:tblGrid>
      <w:tr>
        <w:trPr/>
        <w:tc>
          <w:tcPr>
            <w:tcW w:w="4530" w:type="dxa"/>
            <w:tcBorders>
              <w:top w:val="single" w:sz="4" w:space="0" w:color="000000"/>
              <w:left w:val="single" w:sz="4" w:space="0" w:color="000000"/>
              <w:bottom w:val="single" w:sz="4" w:space="0" w:color="000000"/>
              <w:right w:val="single" w:sz="4" w:space="0" w:color="000000"/>
            </w:tcBorders>
          </w:tcPr>
          <w:p>
            <w:pPr>
              <w:pStyle w:val="TTableText"/>
              <w:spacing w:before="0" w:after="120"/>
              <w:rPr>
                <w:rFonts w:ascii="Palatino Linotype" w:hAnsi="Palatino Linotype" w:eastAsia="Calibri" w:cs="Palatino Linotype"/>
                <w:lang w:bidi="ar-SA"/>
              </w:rPr>
            </w:pPr>
            <w:r>
              <w:rPr>
                <w:rFonts w:eastAsia="Calibri" w:cs="Palatino Linotype" w:ascii="Palatino Linotype" w:hAnsi="Palatino Linotype"/>
                <w:lang w:bidi="ar-SA"/>
              </w:rPr>
              <w:t>CAFCASS</w:t>
            </w:r>
          </w:p>
        </w:tc>
        <w:tc>
          <w:tcPr>
            <w:tcW w:w="4531" w:type="dxa"/>
            <w:tcBorders>
              <w:top w:val="single" w:sz="4" w:space="0" w:color="000000"/>
              <w:left w:val="single" w:sz="4" w:space="0" w:color="000000"/>
              <w:bottom w:val="single" w:sz="4" w:space="0" w:color="000000"/>
              <w:right w:val="single" w:sz="4" w:space="0" w:color="000000"/>
            </w:tcBorders>
          </w:tcPr>
          <w:p>
            <w:pPr>
              <w:pStyle w:val="TTableText"/>
              <w:spacing w:before="0" w:after="120"/>
              <w:rPr>
                <w:rFonts w:ascii="Palatino Linotype" w:hAnsi="Palatino Linotype" w:eastAsia="Calibri" w:cs="Palatino Linotype"/>
                <w:lang w:bidi="ar-SA"/>
              </w:rPr>
            </w:pPr>
            <w:r>
              <w:rPr>
                <w:rFonts w:eastAsia="Calibri" w:cs="Palatino Linotype" w:ascii="Palatino Linotype" w:hAnsi="Palatino Linotype"/>
                <w:lang w:bidi="ar-SA"/>
              </w:rPr>
              <w:t>Children &amp; Family Court Advisory and Support Service</w:t>
            </w:r>
          </w:p>
        </w:tc>
      </w:tr>
      <w:tr>
        <w:trPr/>
        <w:tc>
          <w:tcPr>
            <w:tcW w:w="4530" w:type="dxa"/>
            <w:tcBorders>
              <w:top w:val="single" w:sz="4" w:space="0" w:color="000000"/>
              <w:left w:val="single" w:sz="4" w:space="0" w:color="000000"/>
              <w:bottom w:val="single" w:sz="4" w:space="0" w:color="000000"/>
              <w:right w:val="single" w:sz="4" w:space="0" w:color="000000"/>
            </w:tcBorders>
          </w:tcPr>
          <w:p>
            <w:pPr>
              <w:pStyle w:val="TTableText"/>
              <w:spacing w:before="0" w:after="120"/>
              <w:rPr>
                <w:rFonts w:ascii="Palatino Linotype" w:hAnsi="Palatino Linotype" w:eastAsia="Calibri" w:cs="Palatino Linotype"/>
                <w:lang w:bidi="ar-SA"/>
              </w:rPr>
            </w:pPr>
            <w:r>
              <w:rPr>
                <w:rFonts w:eastAsia="Calibri" w:cs="Palatino Linotype" w:ascii="Palatino Linotype" w:hAnsi="Palatino Linotype"/>
                <w:lang w:bidi="ar-SA"/>
              </w:rPr>
              <w:t>FGM</w:t>
            </w:r>
          </w:p>
        </w:tc>
        <w:tc>
          <w:tcPr>
            <w:tcW w:w="4531" w:type="dxa"/>
            <w:tcBorders>
              <w:top w:val="single" w:sz="4" w:space="0" w:color="000000"/>
              <w:left w:val="single" w:sz="4" w:space="0" w:color="000000"/>
              <w:bottom w:val="single" w:sz="4" w:space="0" w:color="000000"/>
              <w:right w:val="single" w:sz="4" w:space="0" w:color="000000"/>
            </w:tcBorders>
          </w:tcPr>
          <w:p>
            <w:pPr>
              <w:pStyle w:val="TTableText"/>
              <w:spacing w:before="0" w:after="120"/>
              <w:rPr>
                <w:rFonts w:ascii="Palatino Linotype" w:hAnsi="Palatino Linotype" w:eastAsia="Calibri" w:cs="Palatino Linotype"/>
                <w:lang w:bidi="ar-SA"/>
              </w:rPr>
            </w:pPr>
            <w:r>
              <w:rPr>
                <w:rFonts w:eastAsia="Calibri" w:cs="Palatino Linotype" w:ascii="Palatino Linotype" w:hAnsi="Palatino Linotype"/>
                <w:lang w:bidi="ar-SA"/>
              </w:rPr>
              <w:t>Female genital mutilation</w:t>
            </w:r>
          </w:p>
        </w:tc>
      </w:tr>
      <w:tr>
        <w:trPr/>
        <w:tc>
          <w:tcPr>
            <w:tcW w:w="4530" w:type="dxa"/>
            <w:tcBorders>
              <w:top w:val="single" w:sz="4" w:space="0" w:color="000000"/>
              <w:left w:val="single" w:sz="4" w:space="0" w:color="000000"/>
              <w:bottom w:val="single" w:sz="4" w:space="0" w:color="000000"/>
              <w:right w:val="single" w:sz="4" w:space="0" w:color="000000"/>
            </w:tcBorders>
          </w:tcPr>
          <w:p>
            <w:pPr>
              <w:pStyle w:val="TTableText"/>
              <w:spacing w:before="0" w:after="120"/>
              <w:rPr>
                <w:rFonts w:ascii="Palatino Linotype" w:hAnsi="Palatino Linotype" w:eastAsia="Calibri" w:cs="Palatino Linotype"/>
                <w:lang w:bidi="ar-SA"/>
              </w:rPr>
            </w:pPr>
            <w:r>
              <w:rPr>
                <w:rFonts w:eastAsia="Calibri" w:cs="Palatino Linotype" w:ascii="Palatino Linotype" w:hAnsi="Palatino Linotype"/>
                <w:lang w:bidi="ar-SA"/>
              </w:rPr>
              <w:t>FGMPO</w:t>
            </w:r>
          </w:p>
        </w:tc>
        <w:tc>
          <w:tcPr>
            <w:tcW w:w="4531" w:type="dxa"/>
            <w:tcBorders>
              <w:top w:val="single" w:sz="4" w:space="0" w:color="000000"/>
              <w:left w:val="single" w:sz="4" w:space="0" w:color="000000"/>
              <w:bottom w:val="single" w:sz="4" w:space="0" w:color="000000"/>
              <w:right w:val="single" w:sz="4" w:space="0" w:color="000000"/>
            </w:tcBorders>
          </w:tcPr>
          <w:p>
            <w:pPr>
              <w:pStyle w:val="TTableText"/>
              <w:spacing w:before="0" w:after="120"/>
              <w:rPr>
                <w:rFonts w:ascii="Palatino Linotype" w:hAnsi="Palatino Linotype" w:eastAsia="Calibri" w:cs="Palatino Linotype"/>
                <w:lang w:bidi="ar-SA"/>
              </w:rPr>
            </w:pPr>
            <w:r>
              <w:rPr>
                <w:rFonts w:eastAsia="Calibri" w:cs="Palatino Linotype" w:ascii="Palatino Linotype" w:hAnsi="Palatino Linotype"/>
                <w:lang w:bidi="ar-SA"/>
              </w:rPr>
              <w:t>Female genital mutilation protection order</w:t>
            </w:r>
          </w:p>
        </w:tc>
      </w:tr>
      <w:tr>
        <w:trPr/>
        <w:tc>
          <w:tcPr>
            <w:tcW w:w="4530" w:type="dxa"/>
            <w:tcBorders>
              <w:top w:val="single" w:sz="4" w:space="0" w:color="000000"/>
              <w:left w:val="single" w:sz="4" w:space="0" w:color="000000"/>
              <w:bottom w:val="single" w:sz="4" w:space="0" w:color="000000"/>
              <w:right w:val="single" w:sz="4" w:space="0" w:color="000000"/>
            </w:tcBorders>
          </w:tcPr>
          <w:p>
            <w:pPr>
              <w:pStyle w:val="TTableText"/>
              <w:spacing w:before="0" w:after="120"/>
              <w:rPr>
                <w:rFonts w:ascii="Palatino Linotype" w:hAnsi="Palatino Linotype" w:eastAsia="Calibri" w:cs="Palatino Linotype"/>
                <w:lang w:bidi="ar-SA"/>
              </w:rPr>
            </w:pPr>
            <w:r>
              <w:rPr>
                <w:rFonts w:eastAsia="Calibri" w:cs="Palatino Linotype" w:ascii="Palatino Linotype" w:hAnsi="Palatino Linotype"/>
                <w:lang w:bidi="ar-SA"/>
              </w:rPr>
              <w:t>HMCTS</w:t>
            </w:r>
          </w:p>
        </w:tc>
        <w:tc>
          <w:tcPr>
            <w:tcW w:w="4531" w:type="dxa"/>
            <w:tcBorders>
              <w:top w:val="single" w:sz="4" w:space="0" w:color="000000"/>
              <w:left w:val="single" w:sz="4" w:space="0" w:color="000000"/>
              <w:bottom w:val="single" w:sz="4" w:space="0" w:color="000000"/>
              <w:right w:val="single" w:sz="4" w:space="0" w:color="000000"/>
            </w:tcBorders>
          </w:tcPr>
          <w:p>
            <w:pPr>
              <w:pStyle w:val="TTableText"/>
              <w:spacing w:before="0" w:after="120"/>
              <w:rPr>
                <w:rFonts w:ascii="Palatino Linotype" w:hAnsi="Palatino Linotype" w:eastAsia="Calibri" w:cs="Palatino Linotype"/>
                <w:lang w:bidi="ar-SA"/>
              </w:rPr>
            </w:pPr>
            <w:r>
              <w:rPr>
                <w:rFonts w:eastAsia="Calibri" w:cs="Palatino Linotype" w:ascii="Palatino Linotype" w:hAnsi="Palatino Linotype"/>
                <w:lang w:bidi="ar-SA"/>
              </w:rPr>
              <w:t>Her Majesty's Courts &amp; Tribunals Service</w:t>
            </w:r>
          </w:p>
        </w:tc>
      </w:tr>
      <w:tr>
        <w:trPr/>
        <w:tc>
          <w:tcPr>
            <w:tcW w:w="4530" w:type="dxa"/>
            <w:tcBorders>
              <w:top w:val="single" w:sz="4" w:space="0" w:color="000000"/>
              <w:left w:val="single" w:sz="4" w:space="0" w:color="000000"/>
              <w:bottom w:val="single" w:sz="4" w:space="0" w:color="000000"/>
              <w:right w:val="single" w:sz="4" w:space="0" w:color="000000"/>
            </w:tcBorders>
          </w:tcPr>
          <w:p>
            <w:pPr>
              <w:pStyle w:val="TTableText"/>
              <w:spacing w:before="0" w:after="120"/>
              <w:rPr>
                <w:rFonts w:ascii="Palatino Linotype" w:hAnsi="Palatino Linotype" w:eastAsia="Calibri" w:cs="Palatino Linotype"/>
                <w:lang w:bidi="ar-SA"/>
              </w:rPr>
            </w:pPr>
            <w:r>
              <w:rPr>
                <w:rFonts w:eastAsia="Calibri" w:cs="Palatino Linotype" w:ascii="Palatino Linotype" w:hAnsi="Palatino Linotype"/>
                <w:lang w:bidi="ar-SA"/>
              </w:rPr>
              <w:t>LAA</w:t>
            </w:r>
          </w:p>
        </w:tc>
        <w:tc>
          <w:tcPr>
            <w:tcW w:w="4531" w:type="dxa"/>
            <w:tcBorders>
              <w:top w:val="single" w:sz="4" w:space="0" w:color="000000"/>
              <w:left w:val="single" w:sz="4" w:space="0" w:color="000000"/>
              <w:bottom w:val="single" w:sz="4" w:space="0" w:color="000000"/>
              <w:right w:val="single" w:sz="4" w:space="0" w:color="000000"/>
            </w:tcBorders>
          </w:tcPr>
          <w:p>
            <w:pPr>
              <w:pStyle w:val="TTableText"/>
              <w:spacing w:before="0" w:after="120"/>
              <w:rPr>
                <w:rFonts w:ascii="Palatino Linotype" w:hAnsi="Palatino Linotype" w:eastAsia="Calibri" w:cs="Palatino Linotype"/>
                <w:lang w:bidi="ar-SA"/>
              </w:rPr>
            </w:pPr>
            <w:r>
              <w:rPr>
                <w:rFonts w:eastAsia="Calibri" w:cs="Palatino Linotype" w:ascii="Palatino Linotype" w:hAnsi="Palatino Linotype"/>
                <w:lang w:bidi="ar-SA"/>
              </w:rPr>
              <w:t>Legal Aid Agency</w:t>
            </w:r>
          </w:p>
        </w:tc>
      </w:tr>
      <w:tr>
        <w:trPr/>
        <w:tc>
          <w:tcPr>
            <w:tcW w:w="4530" w:type="dxa"/>
            <w:tcBorders>
              <w:top w:val="single" w:sz="4" w:space="0" w:color="000000"/>
              <w:left w:val="single" w:sz="4" w:space="0" w:color="000000"/>
              <w:bottom w:val="single" w:sz="4" w:space="0" w:color="000000"/>
              <w:right w:val="single" w:sz="4" w:space="0" w:color="000000"/>
            </w:tcBorders>
          </w:tcPr>
          <w:p>
            <w:pPr>
              <w:pStyle w:val="TTableText"/>
              <w:spacing w:before="0" w:after="120"/>
              <w:rPr>
                <w:rFonts w:ascii="Palatino Linotype" w:hAnsi="Palatino Linotype" w:eastAsia="Calibri" w:cs="Palatino Linotype"/>
                <w:lang w:bidi="ar-SA"/>
              </w:rPr>
            </w:pPr>
            <w:r>
              <w:rPr>
                <w:rFonts w:eastAsia="Calibri" w:cs="Palatino Linotype" w:ascii="Palatino Linotype" w:hAnsi="Palatino Linotype"/>
                <w:lang w:bidi="ar-SA"/>
              </w:rPr>
              <w:t>1989 Act</w:t>
            </w:r>
          </w:p>
        </w:tc>
        <w:tc>
          <w:tcPr>
            <w:tcW w:w="4531" w:type="dxa"/>
            <w:tcBorders>
              <w:top w:val="single" w:sz="4" w:space="0" w:color="000000"/>
              <w:left w:val="single" w:sz="4" w:space="0" w:color="000000"/>
              <w:bottom w:val="single" w:sz="4" w:space="0" w:color="000000"/>
              <w:right w:val="single" w:sz="4" w:space="0" w:color="000000"/>
            </w:tcBorders>
          </w:tcPr>
          <w:p>
            <w:pPr>
              <w:pStyle w:val="TTableText"/>
              <w:spacing w:before="0" w:after="120"/>
              <w:rPr>
                <w:rFonts w:ascii="Palatino Linotype" w:hAnsi="Palatino Linotype" w:eastAsia="Calibri" w:cs="Palatino Linotype"/>
                <w:lang w:bidi="ar-SA"/>
              </w:rPr>
            </w:pPr>
            <w:r>
              <w:rPr>
                <w:rFonts w:eastAsia="Calibri" w:cs="Palatino Linotype" w:ascii="Palatino Linotype" w:hAnsi="Palatino Linotype"/>
                <w:lang w:bidi="ar-SA"/>
              </w:rPr>
              <w:t>Children Act 1989</w:t>
            </w:r>
          </w:p>
        </w:tc>
      </w:tr>
      <w:tr>
        <w:trPr/>
        <w:tc>
          <w:tcPr>
            <w:tcW w:w="4530" w:type="dxa"/>
            <w:tcBorders>
              <w:top w:val="single" w:sz="4" w:space="0" w:color="000000"/>
              <w:left w:val="single" w:sz="4" w:space="0" w:color="000000"/>
              <w:bottom w:val="single" w:sz="4" w:space="0" w:color="000000"/>
              <w:right w:val="single" w:sz="4" w:space="0" w:color="000000"/>
            </w:tcBorders>
          </w:tcPr>
          <w:p>
            <w:pPr>
              <w:pStyle w:val="TTableText"/>
              <w:spacing w:before="0" w:after="120"/>
              <w:rPr>
                <w:rFonts w:ascii="Palatino Linotype" w:hAnsi="Palatino Linotype" w:eastAsia="Calibri" w:cs="Palatino Linotype"/>
                <w:lang w:bidi="ar-SA"/>
              </w:rPr>
            </w:pPr>
            <w:r>
              <w:rPr>
                <w:rFonts w:eastAsia="Calibri" w:cs="Palatino Linotype" w:ascii="Palatino Linotype" w:hAnsi="Palatino Linotype"/>
                <w:lang w:bidi="ar-SA"/>
              </w:rPr>
              <w:t>2003 Act</w:t>
            </w:r>
          </w:p>
        </w:tc>
        <w:tc>
          <w:tcPr>
            <w:tcW w:w="4531" w:type="dxa"/>
            <w:tcBorders>
              <w:top w:val="single" w:sz="4" w:space="0" w:color="000000"/>
              <w:left w:val="single" w:sz="4" w:space="0" w:color="000000"/>
              <w:bottom w:val="single" w:sz="4" w:space="0" w:color="000000"/>
              <w:right w:val="single" w:sz="4" w:space="0" w:color="000000"/>
            </w:tcBorders>
          </w:tcPr>
          <w:p>
            <w:pPr>
              <w:pStyle w:val="TTableText"/>
              <w:spacing w:before="0" w:after="120"/>
              <w:rPr>
                <w:rFonts w:ascii="Palatino Linotype" w:hAnsi="Palatino Linotype" w:eastAsia="Calibri" w:cs="Palatino Linotype"/>
                <w:lang w:bidi="ar-SA"/>
              </w:rPr>
            </w:pPr>
            <w:r>
              <w:rPr>
                <w:rFonts w:eastAsia="Calibri" w:cs="Palatino Linotype" w:ascii="Palatino Linotype" w:hAnsi="Palatino Linotype"/>
                <w:lang w:bidi="ar-SA"/>
              </w:rPr>
              <w:t>Female Genital Mutilation Act 2003</w:t>
            </w:r>
          </w:p>
        </w:tc>
      </w:tr>
    </w:tbl>
    <w:p>
      <w:pPr>
        <w:pStyle w:val="Heading1"/>
        <w:ind w:hanging="0" w:left="0"/>
        <w:rPr>
          <w:rFonts w:eastAsia="Calibri"/>
        </w:rPr>
      </w:pPr>
      <w:r>
        <w:br w:type="page"/>
      </w:r>
      <w:bookmarkStart w:id="12" w:name="__RefHeading___Toc3802674"/>
      <w:bookmarkEnd w:id="12"/>
      <w:r>
        <w:rPr>
          <w:rFonts w:eastAsia="Calibri"/>
        </w:rPr>
        <w:t>Annex B – Hansard references</w:t>
      </w:r>
    </w:p>
    <w:p>
      <w:pPr>
        <w:pStyle w:val="ParaNumbered"/>
        <w:numPr>
          <w:ilvl w:val="0"/>
          <w:numId w:val="3"/>
        </w:numPr>
        <w:rPr>
          <w:rFonts w:eastAsia="Calibri"/>
          <w:lang w:bidi="ar-SA"/>
        </w:rPr>
      </w:pPr>
      <w:r>
        <w:rPr>
          <w:rFonts w:eastAsia="Calibri"/>
          <w:lang w:bidi="ar-SA"/>
        </w:rPr>
        <w:t>The following table sets out the dates and Hansard references for each stage of the Act’s passage through</w:t>
      </w:r>
      <w:r>
        <w:rPr/>
        <w:t xml:space="preserve"> Parliament.</w:t>
      </w:r>
    </w:p>
    <w:tbl>
      <w:tblPr>
        <w:tblW w:w="9061" w:type="dxa"/>
        <w:jc w:val="left"/>
        <w:tblInd w:w="0" w:type="dxa"/>
        <w:tblLayout w:type="fixed"/>
        <w:tblCellMar>
          <w:top w:w="0" w:type="dxa"/>
          <w:left w:w="108" w:type="dxa"/>
          <w:bottom w:w="0" w:type="dxa"/>
          <w:right w:w="108" w:type="dxa"/>
        </w:tblCellMar>
      </w:tblPr>
      <w:tblGrid>
        <w:gridCol w:w="3114"/>
        <w:gridCol w:w="2410"/>
        <w:gridCol w:w="3537"/>
      </w:tblGrid>
      <w:tr>
        <w:trPr/>
        <w:tc>
          <w:tcPr>
            <w:tcW w:w="3114" w:type="dxa"/>
            <w:tcBorders>
              <w:top w:val="single" w:sz="4" w:space="0" w:color="000000"/>
              <w:left w:val="single" w:sz="4" w:space="0" w:color="000000"/>
              <w:bottom w:val="single" w:sz="4" w:space="0" w:color="000000"/>
              <w:right w:val="single" w:sz="4" w:space="0" w:color="000000"/>
            </w:tcBorders>
          </w:tcPr>
          <w:p>
            <w:pPr>
              <w:pStyle w:val="TTableText"/>
              <w:spacing w:before="0" w:after="120"/>
              <w:rPr/>
            </w:pPr>
            <w:r>
              <w:rPr>
                <w:rStyle w:val="TTableHeadings"/>
                <w:rFonts w:eastAsia="Calibri"/>
              </w:rPr>
              <w:t>Stage</w:t>
            </w:r>
          </w:p>
        </w:tc>
        <w:tc>
          <w:tcPr>
            <w:tcW w:w="2410" w:type="dxa"/>
            <w:tcBorders>
              <w:top w:val="single" w:sz="4" w:space="0" w:color="000000"/>
              <w:left w:val="single" w:sz="4" w:space="0" w:color="000000"/>
              <w:bottom w:val="single" w:sz="4" w:space="0" w:color="000000"/>
              <w:right w:val="single" w:sz="4" w:space="0" w:color="000000"/>
            </w:tcBorders>
          </w:tcPr>
          <w:p>
            <w:pPr>
              <w:pStyle w:val="TTableText"/>
              <w:spacing w:before="0" w:after="120"/>
              <w:rPr/>
            </w:pPr>
            <w:r>
              <w:rPr>
                <w:rStyle w:val="TTableHeadings"/>
                <w:rFonts w:eastAsia="Calibri"/>
              </w:rPr>
              <w:t>Date</w:t>
            </w:r>
          </w:p>
        </w:tc>
        <w:tc>
          <w:tcPr>
            <w:tcW w:w="3537" w:type="dxa"/>
            <w:tcBorders>
              <w:top w:val="single" w:sz="4" w:space="0" w:color="000000"/>
              <w:left w:val="single" w:sz="4" w:space="0" w:color="000000"/>
              <w:bottom w:val="single" w:sz="4" w:space="0" w:color="000000"/>
              <w:right w:val="single" w:sz="4" w:space="0" w:color="000000"/>
            </w:tcBorders>
          </w:tcPr>
          <w:p>
            <w:pPr>
              <w:pStyle w:val="TTableText"/>
              <w:spacing w:before="0" w:after="120"/>
              <w:rPr/>
            </w:pPr>
            <w:r>
              <w:rPr>
                <w:rStyle w:val="TTableHeadings"/>
                <w:rFonts w:eastAsia="Calibri" w:cs="Arial"/>
                <w:szCs w:val="16"/>
              </w:rPr>
              <w:t>Hansard Reference</w:t>
            </w:r>
          </w:p>
        </w:tc>
      </w:tr>
      <w:tr>
        <w:trPr/>
        <w:tc>
          <w:tcPr>
            <w:tcW w:w="9061" w:type="dxa"/>
            <w:gridSpan w:val="3"/>
            <w:tcBorders>
              <w:top w:val="single" w:sz="4" w:space="0" w:color="000000"/>
              <w:left w:val="single" w:sz="4" w:space="0" w:color="000000"/>
              <w:bottom w:val="single" w:sz="4" w:space="0" w:color="000000"/>
              <w:right w:val="single" w:sz="4" w:space="0" w:color="000000"/>
            </w:tcBorders>
          </w:tcPr>
          <w:p>
            <w:pPr>
              <w:pStyle w:val="TTableText"/>
              <w:spacing w:before="0" w:after="120"/>
              <w:rPr/>
            </w:pPr>
            <w:r>
              <w:rPr>
                <w:rStyle w:val="CItalic"/>
                <w:rFonts w:eastAsia="Calibri" w:cs="Arial"/>
                <w:szCs w:val="16"/>
              </w:rPr>
              <w:t>House of Lords</w:t>
            </w:r>
          </w:p>
        </w:tc>
      </w:tr>
      <w:tr>
        <w:trPr/>
        <w:tc>
          <w:tcPr>
            <w:tcW w:w="3114" w:type="dxa"/>
            <w:tcBorders>
              <w:top w:val="single" w:sz="4" w:space="0" w:color="000000"/>
              <w:left w:val="single" w:sz="4" w:space="0" w:color="000000"/>
              <w:bottom w:val="single" w:sz="4" w:space="0" w:color="000000"/>
              <w:right w:val="single" w:sz="4" w:space="0" w:color="000000"/>
            </w:tcBorders>
          </w:tcPr>
          <w:p>
            <w:pPr>
              <w:pStyle w:val="TTableText"/>
              <w:spacing w:before="0" w:after="120"/>
              <w:rPr/>
            </w:pPr>
            <w:r>
              <w:rPr>
                <w:rFonts w:eastAsia="Calibri"/>
                <w:lang w:bidi="ar-SA"/>
              </w:rPr>
              <w:t>Introduction</w:t>
            </w:r>
          </w:p>
        </w:tc>
        <w:tc>
          <w:tcPr>
            <w:tcW w:w="2410" w:type="dxa"/>
            <w:tcBorders>
              <w:top w:val="single" w:sz="4" w:space="0" w:color="000000"/>
              <w:left w:val="single" w:sz="4" w:space="0" w:color="000000"/>
              <w:bottom w:val="single" w:sz="4" w:space="0" w:color="000000"/>
              <w:right w:val="single" w:sz="4" w:space="0" w:color="000000"/>
            </w:tcBorders>
          </w:tcPr>
          <w:p>
            <w:pPr>
              <w:pStyle w:val="TTableText"/>
              <w:spacing w:before="0" w:after="120"/>
              <w:rPr>
                <w:rFonts w:eastAsia="Calibri"/>
                <w:lang w:bidi="ar-SA"/>
              </w:rPr>
            </w:pPr>
            <w:r>
              <w:rPr>
                <w:rFonts w:eastAsia="Calibri"/>
                <w:lang w:bidi="ar-SA"/>
              </w:rPr>
              <w:t>3 July 2017</w:t>
            </w:r>
          </w:p>
        </w:tc>
        <w:tc>
          <w:tcPr>
            <w:tcW w:w="3537" w:type="dxa"/>
            <w:tcBorders>
              <w:top w:val="single" w:sz="4" w:space="0" w:color="000000"/>
              <w:left w:val="single" w:sz="4" w:space="0" w:color="000000"/>
              <w:bottom w:val="single" w:sz="4" w:space="0" w:color="000000"/>
              <w:right w:val="single" w:sz="4" w:space="0" w:color="000000"/>
            </w:tcBorders>
          </w:tcPr>
          <w:p>
            <w:pPr>
              <w:pStyle w:val="TTableText"/>
              <w:spacing w:before="0" w:after="120"/>
              <w:rPr/>
            </w:pPr>
            <w:hyperlink r:id="rId2">
              <w:r>
                <w:rPr>
                  <w:rStyle w:val="Hyperlink"/>
                  <w:rFonts w:eastAsia="Calibri" w:cs="Arial"/>
                  <w:szCs w:val="16"/>
                  <w:lang w:bidi="ar-SA"/>
                </w:rPr>
                <w:t>Vol 783, Col 679 Bill HL 28</w:t>
              </w:r>
            </w:hyperlink>
            <w:r>
              <w:rPr>
                <w:rFonts w:eastAsia="Calibri" w:cs="Arial"/>
                <w:szCs w:val="16"/>
                <w:lang w:bidi="ar-SA"/>
              </w:rPr>
              <w:t xml:space="preserve">                            (as introduced)</w:t>
            </w:r>
          </w:p>
        </w:tc>
      </w:tr>
      <w:tr>
        <w:trPr>
          <w:trHeight w:val="365" w:hRule="atLeast"/>
        </w:trPr>
        <w:tc>
          <w:tcPr>
            <w:tcW w:w="3114" w:type="dxa"/>
            <w:tcBorders>
              <w:top w:val="single" w:sz="4" w:space="0" w:color="000000"/>
              <w:left w:val="single" w:sz="4" w:space="0" w:color="000000"/>
              <w:bottom w:val="single" w:sz="4" w:space="0" w:color="000000"/>
              <w:right w:val="single" w:sz="4" w:space="0" w:color="000000"/>
            </w:tcBorders>
          </w:tcPr>
          <w:p>
            <w:pPr>
              <w:pStyle w:val="TTableText"/>
              <w:spacing w:before="0" w:after="120"/>
              <w:rPr>
                <w:rFonts w:eastAsia="Calibri"/>
                <w:lang w:bidi="ar-SA"/>
              </w:rPr>
            </w:pPr>
            <w:r>
              <w:rPr>
                <w:rFonts w:eastAsia="Calibri"/>
                <w:lang w:bidi="ar-SA"/>
              </w:rPr>
              <w:t>2nd Reading</w:t>
            </w:r>
          </w:p>
        </w:tc>
        <w:tc>
          <w:tcPr>
            <w:tcW w:w="2410" w:type="dxa"/>
            <w:tcBorders>
              <w:top w:val="single" w:sz="4" w:space="0" w:color="000000"/>
              <w:left w:val="single" w:sz="4" w:space="0" w:color="000000"/>
              <w:bottom w:val="single" w:sz="4" w:space="0" w:color="000000"/>
              <w:right w:val="single" w:sz="4" w:space="0" w:color="000000"/>
            </w:tcBorders>
          </w:tcPr>
          <w:p>
            <w:pPr>
              <w:pStyle w:val="TTableText"/>
              <w:spacing w:before="0" w:after="120"/>
              <w:rPr>
                <w:rFonts w:eastAsia="Calibri"/>
                <w:lang w:bidi="ar-SA"/>
              </w:rPr>
            </w:pPr>
            <w:r>
              <w:rPr>
                <w:rFonts w:eastAsia="Calibri"/>
                <w:lang w:bidi="ar-SA"/>
              </w:rPr>
              <w:t>20 July 2018</w:t>
            </w:r>
          </w:p>
        </w:tc>
        <w:tc>
          <w:tcPr>
            <w:tcW w:w="3537" w:type="dxa"/>
            <w:tcBorders>
              <w:top w:val="single" w:sz="4" w:space="0" w:color="000000"/>
              <w:left w:val="single" w:sz="4" w:space="0" w:color="000000"/>
              <w:bottom w:val="single" w:sz="4" w:space="0" w:color="000000"/>
              <w:right w:val="single" w:sz="4" w:space="0" w:color="000000"/>
            </w:tcBorders>
          </w:tcPr>
          <w:p>
            <w:pPr>
              <w:pStyle w:val="TTableText"/>
              <w:spacing w:before="0" w:after="120"/>
              <w:rPr>
                <w:rFonts w:eastAsia="Calibri" w:cs="Arial"/>
                <w:szCs w:val="16"/>
                <w:lang w:bidi="ar-SA"/>
              </w:rPr>
            </w:pPr>
            <w:hyperlink r:id="rId3">
              <w:r>
                <w:rPr>
                  <w:rStyle w:val="Hyperlink"/>
                  <w:rFonts w:eastAsia="Calibri" w:cs="Arial"/>
                  <w:szCs w:val="16"/>
                  <w:lang w:bidi="ar-SA"/>
                </w:rPr>
                <w:t>Vol 792, Col 1416</w:t>
              </w:r>
            </w:hyperlink>
            <w:r>
              <w:rPr>
                <w:rFonts w:cs="Arial"/>
                <w:szCs w:val="16"/>
              </w:rPr>
              <w:t xml:space="preserve"> </w:t>
            </w:r>
          </w:p>
        </w:tc>
      </w:tr>
      <w:tr>
        <w:trPr/>
        <w:tc>
          <w:tcPr>
            <w:tcW w:w="3114" w:type="dxa"/>
            <w:tcBorders>
              <w:top w:val="single" w:sz="4" w:space="0" w:color="000000"/>
              <w:left w:val="single" w:sz="4" w:space="0" w:color="000000"/>
              <w:bottom w:val="single" w:sz="4" w:space="0" w:color="000000"/>
              <w:right w:val="single" w:sz="4" w:space="0" w:color="000000"/>
            </w:tcBorders>
          </w:tcPr>
          <w:p>
            <w:pPr>
              <w:pStyle w:val="TTableText"/>
              <w:spacing w:before="0" w:after="120"/>
              <w:rPr>
                <w:rFonts w:eastAsia="Calibri"/>
                <w:lang w:bidi="ar-SA"/>
              </w:rPr>
            </w:pPr>
            <w:r>
              <w:rPr>
                <w:rFonts w:eastAsia="Calibri"/>
                <w:lang w:bidi="ar-SA"/>
              </w:rPr>
              <w:t xml:space="preserve">Committee </w:t>
            </w:r>
          </w:p>
        </w:tc>
        <w:tc>
          <w:tcPr>
            <w:tcW w:w="2410" w:type="dxa"/>
            <w:tcBorders>
              <w:top w:val="single" w:sz="4" w:space="0" w:color="000000"/>
              <w:left w:val="single" w:sz="4" w:space="0" w:color="000000"/>
              <w:bottom w:val="single" w:sz="4" w:space="0" w:color="000000"/>
              <w:right w:val="single" w:sz="4" w:space="0" w:color="000000"/>
            </w:tcBorders>
          </w:tcPr>
          <w:p>
            <w:pPr>
              <w:pStyle w:val="TTableText"/>
              <w:spacing w:before="0" w:after="120"/>
              <w:rPr>
                <w:rFonts w:eastAsia="Calibri"/>
                <w:lang w:bidi="ar-SA"/>
              </w:rPr>
            </w:pPr>
            <w:r>
              <w:rPr>
                <w:rFonts w:eastAsia="Calibri"/>
                <w:lang w:bidi="ar-SA"/>
              </w:rPr>
              <w:t>26 October 2018</w:t>
            </w:r>
          </w:p>
        </w:tc>
        <w:tc>
          <w:tcPr>
            <w:tcW w:w="3537" w:type="dxa"/>
            <w:tcBorders>
              <w:top w:val="single" w:sz="4" w:space="0" w:color="000000"/>
              <w:left w:val="single" w:sz="4" w:space="0" w:color="000000"/>
              <w:bottom w:val="single" w:sz="4" w:space="0" w:color="000000"/>
              <w:right w:val="single" w:sz="4" w:space="0" w:color="000000"/>
            </w:tcBorders>
          </w:tcPr>
          <w:p>
            <w:pPr>
              <w:pStyle w:val="TTableText"/>
              <w:rPr/>
            </w:pPr>
            <w:hyperlink r:id="rId4">
              <w:r>
                <w:rPr>
                  <w:rStyle w:val="Hyperlink"/>
                  <w:rFonts w:eastAsia="Calibri" w:cs="Arial"/>
                  <w:szCs w:val="16"/>
                  <w:lang w:bidi="ar-SA"/>
                </w:rPr>
                <w:t>Vol 793, Col 1107</w:t>
              </w:r>
            </w:hyperlink>
            <w:r>
              <w:rPr>
                <w:rFonts w:eastAsia="Calibri" w:cs="Arial"/>
                <w:szCs w:val="16"/>
                <w:lang w:bidi="ar-SA"/>
              </w:rPr>
              <w:t xml:space="preserve">  </w:t>
            </w:r>
          </w:p>
          <w:p>
            <w:pPr>
              <w:pStyle w:val="TTableText"/>
              <w:spacing w:before="0" w:after="120"/>
              <w:rPr>
                <w:rFonts w:eastAsia="Calibri" w:cs="Arial"/>
                <w:szCs w:val="16"/>
                <w:lang w:bidi="ar-SA"/>
              </w:rPr>
            </w:pPr>
            <w:r>
              <w:rPr>
                <w:rFonts w:eastAsia="Calibri" w:cs="Arial"/>
                <w:szCs w:val="16"/>
                <w:lang w:bidi="ar-SA"/>
              </w:rPr>
              <w:t>(Amended in Committee)</w:t>
            </w:r>
          </w:p>
        </w:tc>
      </w:tr>
      <w:tr>
        <w:trPr/>
        <w:tc>
          <w:tcPr>
            <w:tcW w:w="3114" w:type="dxa"/>
            <w:tcBorders>
              <w:top w:val="single" w:sz="4" w:space="0" w:color="000000"/>
              <w:left w:val="single" w:sz="4" w:space="0" w:color="000000"/>
              <w:bottom w:val="single" w:sz="4" w:space="0" w:color="000000"/>
              <w:right w:val="single" w:sz="4" w:space="0" w:color="000000"/>
            </w:tcBorders>
          </w:tcPr>
          <w:p>
            <w:pPr>
              <w:pStyle w:val="TTableText"/>
              <w:spacing w:before="0" w:after="120"/>
              <w:rPr>
                <w:rFonts w:eastAsia="Calibri"/>
                <w:lang w:bidi="ar-SA"/>
              </w:rPr>
            </w:pPr>
            <w:r>
              <w:rPr>
                <w:rFonts w:eastAsia="Calibri"/>
                <w:lang w:bidi="ar-SA"/>
              </w:rPr>
              <w:t xml:space="preserve">Report Stage </w:t>
            </w:r>
          </w:p>
        </w:tc>
        <w:tc>
          <w:tcPr>
            <w:tcW w:w="2410" w:type="dxa"/>
            <w:tcBorders>
              <w:top w:val="single" w:sz="4" w:space="0" w:color="000000"/>
              <w:left w:val="single" w:sz="4" w:space="0" w:color="000000"/>
              <w:bottom w:val="single" w:sz="4" w:space="0" w:color="000000"/>
              <w:right w:val="single" w:sz="4" w:space="0" w:color="000000"/>
            </w:tcBorders>
          </w:tcPr>
          <w:p>
            <w:pPr>
              <w:pStyle w:val="TTableText"/>
              <w:spacing w:before="0" w:after="120"/>
              <w:rPr>
                <w:rFonts w:eastAsia="Calibri"/>
                <w:lang w:bidi="ar-SA"/>
              </w:rPr>
            </w:pPr>
            <w:r>
              <w:rPr>
                <w:rFonts w:eastAsia="Calibri"/>
                <w:lang w:bidi="ar-SA"/>
              </w:rPr>
              <w:t>12 November 2018</w:t>
            </w:r>
          </w:p>
        </w:tc>
        <w:tc>
          <w:tcPr>
            <w:tcW w:w="3537" w:type="dxa"/>
            <w:tcBorders>
              <w:top w:val="single" w:sz="4" w:space="0" w:color="000000"/>
              <w:left w:val="single" w:sz="4" w:space="0" w:color="000000"/>
              <w:bottom w:val="single" w:sz="4" w:space="0" w:color="000000"/>
              <w:right w:val="single" w:sz="4" w:space="0" w:color="000000"/>
            </w:tcBorders>
          </w:tcPr>
          <w:p>
            <w:pPr>
              <w:pStyle w:val="TTableText"/>
              <w:spacing w:before="0" w:after="120"/>
              <w:rPr>
                <w:rFonts w:eastAsia="Calibri" w:cs="Arial"/>
                <w:szCs w:val="16"/>
                <w:lang w:bidi="ar-SA"/>
              </w:rPr>
            </w:pPr>
            <w:hyperlink r:id="rId5">
              <w:r>
                <w:rPr>
                  <w:rStyle w:val="Hyperlink"/>
                  <w:rFonts w:eastAsia="Calibri" w:cs="Arial"/>
                  <w:szCs w:val="16"/>
                  <w:lang w:bidi="ar-SA"/>
                </w:rPr>
                <w:t>Vol 793, Col 1697</w:t>
              </w:r>
            </w:hyperlink>
          </w:p>
        </w:tc>
      </w:tr>
      <w:tr>
        <w:trPr/>
        <w:tc>
          <w:tcPr>
            <w:tcW w:w="3114" w:type="dxa"/>
            <w:tcBorders>
              <w:top w:val="single" w:sz="4" w:space="0" w:color="000000"/>
              <w:left w:val="single" w:sz="4" w:space="0" w:color="000000"/>
              <w:bottom w:val="single" w:sz="4" w:space="0" w:color="000000"/>
              <w:right w:val="single" w:sz="4" w:space="0" w:color="000000"/>
            </w:tcBorders>
          </w:tcPr>
          <w:p>
            <w:pPr>
              <w:pStyle w:val="TTableText"/>
              <w:spacing w:before="0" w:after="120"/>
              <w:rPr>
                <w:rFonts w:eastAsia="Calibri"/>
                <w:lang w:bidi="ar-SA"/>
              </w:rPr>
            </w:pPr>
            <w:r>
              <w:rPr>
                <w:rFonts w:eastAsia="Calibri"/>
                <w:lang w:bidi="ar-SA"/>
              </w:rPr>
              <w:t>3rd Reading</w:t>
            </w:r>
          </w:p>
        </w:tc>
        <w:tc>
          <w:tcPr>
            <w:tcW w:w="2410" w:type="dxa"/>
            <w:tcBorders>
              <w:top w:val="single" w:sz="4" w:space="0" w:color="000000"/>
              <w:left w:val="single" w:sz="4" w:space="0" w:color="000000"/>
              <w:bottom w:val="single" w:sz="4" w:space="0" w:color="000000"/>
              <w:right w:val="single" w:sz="4" w:space="0" w:color="000000"/>
            </w:tcBorders>
          </w:tcPr>
          <w:p>
            <w:pPr>
              <w:pStyle w:val="TTableText"/>
              <w:spacing w:before="0" w:after="120"/>
              <w:rPr>
                <w:rFonts w:eastAsia="Calibri"/>
                <w:lang w:bidi="ar-SA"/>
              </w:rPr>
            </w:pPr>
            <w:r>
              <w:rPr>
                <w:rFonts w:eastAsia="Calibri"/>
                <w:lang w:bidi="ar-SA"/>
              </w:rPr>
              <w:t>19 November 2018</w:t>
            </w:r>
          </w:p>
        </w:tc>
        <w:tc>
          <w:tcPr>
            <w:tcW w:w="3537" w:type="dxa"/>
            <w:tcBorders>
              <w:top w:val="single" w:sz="4" w:space="0" w:color="000000"/>
              <w:left w:val="single" w:sz="4" w:space="0" w:color="000000"/>
              <w:bottom w:val="single" w:sz="4" w:space="0" w:color="000000"/>
              <w:right w:val="single" w:sz="4" w:space="0" w:color="000000"/>
            </w:tcBorders>
          </w:tcPr>
          <w:p>
            <w:pPr>
              <w:pStyle w:val="TTableText"/>
              <w:spacing w:before="0" w:after="120"/>
              <w:rPr>
                <w:rFonts w:eastAsia="Calibri" w:cs="Arial"/>
                <w:szCs w:val="16"/>
                <w:lang w:bidi="ar-SA"/>
              </w:rPr>
            </w:pPr>
            <w:hyperlink r:id="rId6">
              <w:r>
                <w:rPr>
                  <w:rStyle w:val="Hyperlink"/>
                  <w:rFonts w:eastAsia="Calibri" w:cs="Arial"/>
                  <w:szCs w:val="16"/>
                  <w:lang w:bidi="ar-SA"/>
                </w:rPr>
                <w:t>Vol 794, Col 12</w:t>
              </w:r>
            </w:hyperlink>
          </w:p>
        </w:tc>
      </w:tr>
      <w:tr>
        <w:trPr/>
        <w:tc>
          <w:tcPr>
            <w:tcW w:w="3114" w:type="dxa"/>
            <w:tcBorders>
              <w:top w:val="single" w:sz="4" w:space="0" w:color="000000"/>
              <w:left w:val="single" w:sz="4" w:space="0" w:color="000000"/>
              <w:bottom w:val="single" w:sz="4" w:space="0" w:color="000000"/>
              <w:right w:val="single" w:sz="4" w:space="0" w:color="000000"/>
            </w:tcBorders>
          </w:tcPr>
          <w:p>
            <w:pPr>
              <w:pStyle w:val="TTableText"/>
              <w:snapToGrid w:val="false"/>
              <w:spacing w:before="0" w:after="120"/>
              <w:rPr>
                <w:rFonts w:eastAsia="Calibri" w:cs="Arial"/>
                <w:szCs w:val="16"/>
                <w:lang w:bidi="ar-SA"/>
              </w:rPr>
            </w:pPr>
            <w:r>
              <w:rPr>
                <w:rFonts w:eastAsia="Calibri" w:cs="Arial"/>
                <w:szCs w:val="16"/>
                <w:lang w:bidi="ar-SA"/>
              </w:rPr>
            </w:r>
          </w:p>
        </w:tc>
        <w:tc>
          <w:tcPr>
            <w:tcW w:w="2410" w:type="dxa"/>
            <w:tcBorders>
              <w:top w:val="single" w:sz="4" w:space="0" w:color="000000"/>
              <w:left w:val="single" w:sz="4" w:space="0" w:color="000000"/>
              <w:bottom w:val="single" w:sz="4" w:space="0" w:color="000000"/>
              <w:right w:val="single" w:sz="4" w:space="0" w:color="000000"/>
            </w:tcBorders>
          </w:tcPr>
          <w:p>
            <w:pPr>
              <w:pStyle w:val="TTableText"/>
              <w:snapToGrid w:val="false"/>
              <w:spacing w:before="0" w:after="120"/>
              <w:rPr>
                <w:rFonts w:eastAsia="Calibri"/>
                <w:lang w:bidi="ar-SA"/>
              </w:rPr>
            </w:pPr>
            <w:r>
              <w:rPr>
                <w:rFonts w:eastAsia="Calibri"/>
                <w:lang w:bidi="ar-SA"/>
              </w:rPr>
            </w:r>
          </w:p>
        </w:tc>
        <w:tc>
          <w:tcPr>
            <w:tcW w:w="3537" w:type="dxa"/>
            <w:tcBorders>
              <w:top w:val="single" w:sz="4" w:space="0" w:color="000000"/>
              <w:left w:val="single" w:sz="4" w:space="0" w:color="000000"/>
              <w:bottom w:val="single" w:sz="4" w:space="0" w:color="000000"/>
              <w:right w:val="single" w:sz="4" w:space="0" w:color="000000"/>
            </w:tcBorders>
          </w:tcPr>
          <w:p>
            <w:pPr>
              <w:pStyle w:val="TTableText"/>
              <w:snapToGrid w:val="false"/>
              <w:spacing w:before="0" w:after="120"/>
              <w:rPr>
                <w:rFonts w:eastAsia="Calibri" w:cs="Arial"/>
                <w:szCs w:val="16"/>
                <w:lang w:bidi="ar-SA"/>
              </w:rPr>
            </w:pPr>
            <w:r>
              <w:rPr>
                <w:rFonts w:eastAsia="Calibri" w:cs="Arial"/>
                <w:szCs w:val="16"/>
                <w:lang w:bidi="ar-SA"/>
              </w:rPr>
            </w:r>
          </w:p>
        </w:tc>
      </w:tr>
      <w:tr>
        <w:trPr/>
        <w:tc>
          <w:tcPr>
            <w:tcW w:w="9061" w:type="dxa"/>
            <w:gridSpan w:val="3"/>
            <w:tcBorders>
              <w:top w:val="single" w:sz="4" w:space="0" w:color="000000"/>
              <w:left w:val="single" w:sz="4" w:space="0" w:color="000000"/>
              <w:bottom w:val="single" w:sz="4" w:space="0" w:color="000000"/>
              <w:right w:val="single" w:sz="4" w:space="0" w:color="000000"/>
            </w:tcBorders>
          </w:tcPr>
          <w:p>
            <w:pPr>
              <w:pStyle w:val="TTableText"/>
              <w:spacing w:before="0" w:after="120"/>
              <w:rPr/>
            </w:pPr>
            <w:r>
              <w:rPr>
                <w:rStyle w:val="CItalic"/>
                <w:rFonts w:eastAsia="Calibri" w:cs="Arial"/>
                <w:szCs w:val="16"/>
              </w:rPr>
              <w:t>House of Commons</w:t>
            </w:r>
          </w:p>
        </w:tc>
      </w:tr>
      <w:tr>
        <w:trPr/>
        <w:tc>
          <w:tcPr>
            <w:tcW w:w="3114" w:type="dxa"/>
            <w:tcBorders>
              <w:top w:val="single" w:sz="4" w:space="0" w:color="000000"/>
              <w:left w:val="single" w:sz="4" w:space="0" w:color="000000"/>
              <w:bottom w:val="single" w:sz="4" w:space="0" w:color="000000"/>
              <w:right w:val="single" w:sz="4" w:space="0" w:color="000000"/>
            </w:tcBorders>
          </w:tcPr>
          <w:p>
            <w:pPr>
              <w:pStyle w:val="TTableText"/>
              <w:spacing w:before="0" w:after="120"/>
              <w:rPr/>
            </w:pPr>
            <w:r>
              <w:rPr>
                <w:rFonts w:eastAsia="Calibri"/>
                <w:lang w:bidi="ar-SA"/>
              </w:rPr>
              <w:t>Introduction</w:t>
            </w:r>
          </w:p>
        </w:tc>
        <w:tc>
          <w:tcPr>
            <w:tcW w:w="2410" w:type="dxa"/>
            <w:tcBorders>
              <w:top w:val="single" w:sz="4" w:space="0" w:color="000000"/>
              <w:left w:val="single" w:sz="4" w:space="0" w:color="000000"/>
              <w:bottom w:val="single" w:sz="4" w:space="0" w:color="000000"/>
              <w:right w:val="single" w:sz="4" w:space="0" w:color="000000"/>
            </w:tcBorders>
          </w:tcPr>
          <w:p>
            <w:pPr>
              <w:pStyle w:val="TTableText"/>
              <w:spacing w:before="0" w:after="120"/>
              <w:rPr>
                <w:rFonts w:eastAsia="Calibri"/>
                <w:lang w:bidi="ar-SA"/>
              </w:rPr>
            </w:pPr>
            <w:r>
              <w:rPr>
                <w:rFonts w:eastAsia="Calibri"/>
                <w:lang w:bidi="ar-SA"/>
              </w:rPr>
              <w:t>20 November 2018</w:t>
            </w:r>
          </w:p>
        </w:tc>
        <w:tc>
          <w:tcPr>
            <w:tcW w:w="3537" w:type="dxa"/>
            <w:tcBorders>
              <w:top w:val="single" w:sz="4" w:space="0" w:color="000000"/>
              <w:left w:val="single" w:sz="4" w:space="0" w:color="000000"/>
              <w:bottom w:val="single" w:sz="4" w:space="0" w:color="000000"/>
              <w:right w:val="single" w:sz="4" w:space="0" w:color="000000"/>
            </w:tcBorders>
          </w:tcPr>
          <w:p>
            <w:pPr>
              <w:pStyle w:val="TTableText"/>
              <w:rPr>
                <w:rFonts w:eastAsia="Calibri" w:cs="Arial"/>
                <w:szCs w:val="16"/>
                <w:lang w:bidi="ar-SA"/>
              </w:rPr>
            </w:pPr>
            <w:r>
              <w:rPr>
                <w:rFonts w:eastAsia="Calibri" w:cs="Arial"/>
                <w:szCs w:val="16"/>
                <w:lang w:bidi="ar-SA"/>
              </w:rPr>
              <w:t xml:space="preserve">No debate - HC Bill 294 </w:t>
            </w:r>
          </w:p>
          <w:p>
            <w:pPr>
              <w:pStyle w:val="TTableText"/>
              <w:spacing w:before="0" w:after="120"/>
              <w:rPr>
                <w:rFonts w:eastAsia="Calibri" w:cs="Arial"/>
                <w:szCs w:val="16"/>
                <w:lang w:bidi="ar-SA"/>
              </w:rPr>
            </w:pPr>
            <w:r>
              <w:rPr>
                <w:rFonts w:eastAsia="Calibri" w:cs="Arial"/>
                <w:szCs w:val="16"/>
                <w:lang w:bidi="ar-SA"/>
              </w:rPr>
              <w:t>(as introduced)</w:t>
            </w:r>
          </w:p>
        </w:tc>
      </w:tr>
      <w:tr>
        <w:trPr/>
        <w:tc>
          <w:tcPr>
            <w:tcW w:w="3114" w:type="dxa"/>
            <w:tcBorders>
              <w:top w:val="single" w:sz="4" w:space="0" w:color="000000"/>
              <w:left w:val="single" w:sz="4" w:space="0" w:color="000000"/>
              <w:bottom w:val="single" w:sz="4" w:space="0" w:color="000000"/>
              <w:right w:val="single" w:sz="4" w:space="0" w:color="000000"/>
            </w:tcBorders>
          </w:tcPr>
          <w:p>
            <w:pPr>
              <w:pStyle w:val="TTableText"/>
              <w:rPr>
                <w:rFonts w:eastAsia="Calibri"/>
                <w:lang w:bidi="ar-SA"/>
              </w:rPr>
            </w:pPr>
            <w:r>
              <w:rPr>
                <w:rFonts w:eastAsia="Calibri"/>
                <w:lang w:bidi="ar-SA"/>
              </w:rPr>
              <w:t xml:space="preserve">Public Bill Committee - </w:t>
            </w:r>
          </w:p>
          <w:p>
            <w:pPr>
              <w:pStyle w:val="TTableText"/>
              <w:spacing w:before="0" w:after="120"/>
              <w:rPr>
                <w:rFonts w:eastAsia="Calibri"/>
                <w:lang w:bidi="ar-SA"/>
              </w:rPr>
            </w:pPr>
            <w:r>
              <w:rPr>
                <w:rFonts w:eastAsia="Calibri"/>
                <w:lang w:bidi="ar-SA"/>
              </w:rPr>
              <w:t>1st sitting</w:t>
            </w:r>
          </w:p>
        </w:tc>
        <w:tc>
          <w:tcPr>
            <w:tcW w:w="2410" w:type="dxa"/>
            <w:tcBorders>
              <w:top w:val="single" w:sz="4" w:space="0" w:color="000000"/>
              <w:left w:val="single" w:sz="4" w:space="0" w:color="000000"/>
              <w:bottom w:val="single" w:sz="4" w:space="0" w:color="000000"/>
              <w:right w:val="single" w:sz="4" w:space="0" w:color="000000"/>
            </w:tcBorders>
          </w:tcPr>
          <w:p>
            <w:pPr>
              <w:pStyle w:val="TTableText"/>
              <w:spacing w:before="0" w:after="120"/>
              <w:rPr>
                <w:rFonts w:eastAsia="Calibri"/>
                <w:lang w:bidi="ar-SA"/>
              </w:rPr>
            </w:pPr>
            <w:r>
              <w:rPr>
                <w:rFonts w:eastAsia="Calibri"/>
                <w:lang w:bidi="ar-SA"/>
              </w:rPr>
              <w:t>25 February 2019</w:t>
            </w:r>
          </w:p>
        </w:tc>
        <w:tc>
          <w:tcPr>
            <w:tcW w:w="3537" w:type="dxa"/>
            <w:tcBorders>
              <w:top w:val="single" w:sz="4" w:space="0" w:color="000000"/>
              <w:left w:val="single" w:sz="4" w:space="0" w:color="000000"/>
              <w:bottom w:val="single" w:sz="4" w:space="0" w:color="000000"/>
              <w:right w:val="single" w:sz="4" w:space="0" w:color="000000"/>
            </w:tcBorders>
          </w:tcPr>
          <w:p>
            <w:pPr>
              <w:pStyle w:val="TTableText"/>
              <w:spacing w:before="0" w:after="120"/>
              <w:rPr>
                <w:rFonts w:eastAsia="Calibri" w:cs="Arial"/>
                <w:szCs w:val="16"/>
                <w:lang w:bidi="ar-SA"/>
              </w:rPr>
            </w:pPr>
            <w:hyperlink r:id="rId7">
              <w:r>
                <w:rPr>
                  <w:rStyle w:val="Hyperlink"/>
                  <w:rFonts w:eastAsia="Calibri" w:cs="Arial"/>
                  <w:szCs w:val="16"/>
                  <w:lang w:bidi="ar-SA"/>
                </w:rPr>
                <w:t>Vol 655, Col 1</w:t>
              </w:r>
            </w:hyperlink>
          </w:p>
        </w:tc>
      </w:tr>
      <w:tr>
        <w:trPr/>
        <w:tc>
          <w:tcPr>
            <w:tcW w:w="3114" w:type="dxa"/>
            <w:tcBorders>
              <w:top w:val="single" w:sz="4" w:space="0" w:color="000000"/>
              <w:left w:val="single" w:sz="4" w:space="0" w:color="000000"/>
              <w:bottom w:val="single" w:sz="4" w:space="0" w:color="000000"/>
              <w:right w:val="single" w:sz="4" w:space="0" w:color="000000"/>
            </w:tcBorders>
          </w:tcPr>
          <w:p>
            <w:pPr>
              <w:pStyle w:val="TTableText"/>
              <w:rPr>
                <w:rFonts w:eastAsia="Calibri"/>
                <w:lang w:bidi="ar-SA"/>
              </w:rPr>
            </w:pPr>
            <w:r>
              <w:rPr>
                <w:rFonts w:eastAsia="Calibri"/>
                <w:lang w:bidi="ar-SA"/>
              </w:rPr>
              <w:t xml:space="preserve">Public Bill Committee - </w:t>
            </w:r>
          </w:p>
          <w:p>
            <w:pPr>
              <w:pStyle w:val="TTableText"/>
              <w:spacing w:before="0" w:after="120"/>
              <w:rPr>
                <w:rFonts w:eastAsia="Calibri"/>
                <w:lang w:bidi="ar-SA"/>
              </w:rPr>
            </w:pPr>
            <w:r>
              <w:rPr>
                <w:rFonts w:eastAsia="Calibri"/>
                <w:lang w:bidi="ar-SA"/>
              </w:rPr>
              <w:t xml:space="preserve">2nd sitting </w:t>
            </w:r>
          </w:p>
        </w:tc>
        <w:tc>
          <w:tcPr>
            <w:tcW w:w="2410" w:type="dxa"/>
            <w:tcBorders>
              <w:top w:val="single" w:sz="4" w:space="0" w:color="000000"/>
              <w:left w:val="single" w:sz="4" w:space="0" w:color="000000"/>
              <w:bottom w:val="single" w:sz="4" w:space="0" w:color="000000"/>
              <w:right w:val="single" w:sz="4" w:space="0" w:color="000000"/>
            </w:tcBorders>
          </w:tcPr>
          <w:p>
            <w:pPr>
              <w:pStyle w:val="TTableText"/>
              <w:spacing w:before="0" w:after="120"/>
              <w:rPr>
                <w:rFonts w:eastAsia="Calibri"/>
                <w:lang w:bidi="ar-SA"/>
              </w:rPr>
            </w:pPr>
            <w:r>
              <w:rPr>
                <w:rFonts w:eastAsia="Calibri"/>
                <w:lang w:bidi="ar-SA"/>
              </w:rPr>
              <w:t>26 February 2019</w:t>
            </w:r>
          </w:p>
        </w:tc>
        <w:tc>
          <w:tcPr>
            <w:tcW w:w="3537" w:type="dxa"/>
            <w:tcBorders>
              <w:top w:val="single" w:sz="4" w:space="0" w:color="000000"/>
              <w:left w:val="single" w:sz="4" w:space="0" w:color="000000"/>
              <w:bottom w:val="single" w:sz="4" w:space="0" w:color="000000"/>
              <w:right w:val="single" w:sz="4" w:space="0" w:color="000000"/>
            </w:tcBorders>
          </w:tcPr>
          <w:p>
            <w:pPr>
              <w:pStyle w:val="TTableText"/>
              <w:spacing w:before="0" w:after="120"/>
              <w:rPr>
                <w:rFonts w:eastAsia="Calibri" w:cs="Arial"/>
                <w:szCs w:val="16"/>
                <w:lang w:bidi="ar-SA"/>
              </w:rPr>
            </w:pPr>
            <w:r>
              <w:fldChar w:fldCharType="begin"/>
            </w:r>
            <w:r>
              <w:rPr>
                <w:rStyle w:val="Hyperlink"/>
                <w:szCs w:val="16"/>
                <w:rFonts w:eastAsia="Calibri" w:cs="Arial"/>
                <w:lang w:bidi="ar-SA"/>
              </w:rPr>
              <w:instrText xml:space="preserve"> HYPERLINK "https://hansard.parliament.uk/commons/2019-02-26/debates/7AF56966-95B8-49D2-B007-21A8ADECD61C/BusinessWithoutDebate" \l "debate-3705910"</w:instrText>
            </w:r>
            <w:r>
              <w:rPr>
                <w:rStyle w:val="Hyperlink"/>
                <w:szCs w:val="16"/>
                <w:rFonts w:eastAsia="Calibri" w:cs="Arial"/>
                <w:lang w:bidi="ar-SA"/>
              </w:rPr>
              <w:fldChar w:fldCharType="separate"/>
            </w:r>
            <w:r>
              <w:rPr>
                <w:rStyle w:val="Hyperlink"/>
                <w:rFonts w:eastAsia="Calibri" w:cs="Arial"/>
                <w:szCs w:val="16"/>
                <w:lang w:bidi="ar-SA"/>
              </w:rPr>
              <w:t>Vol 655, Col 304</w:t>
            </w:r>
            <w:r>
              <w:rPr>
                <w:rStyle w:val="Hyperlink"/>
                <w:szCs w:val="16"/>
                <w:rFonts w:eastAsia="Calibri" w:cs="Arial"/>
                <w:lang w:bidi="ar-SA"/>
              </w:rPr>
              <w:fldChar w:fldCharType="end"/>
            </w:r>
          </w:p>
        </w:tc>
      </w:tr>
      <w:tr>
        <w:trPr/>
        <w:tc>
          <w:tcPr>
            <w:tcW w:w="3114" w:type="dxa"/>
            <w:tcBorders>
              <w:top w:val="single" w:sz="4" w:space="0" w:color="000000"/>
              <w:left w:val="single" w:sz="4" w:space="0" w:color="000000"/>
              <w:bottom w:val="single" w:sz="4" w:space="0" w:color="000000"/>
              <w:right w:val="single" w:sz="4" w:space="0" w:color="000000"/>
            </w:tcBorders>
          </w:tcPr>
          <w:p>
            <w:pPr>
              <w:pStyle w:val="TTableText"/>
              <w:rPr>
                <w:rFonts w:eastAsia="Calibri"/>
                <w:lang w:bidi="ar-SA"/>
              </w:rPr>
            </w:pPr>
            <w:r>
              <w:rPr>
                <w:rFonts w:eastAsia="Calibri"/>
                <w:lang w:bidi="ar-SA"/>
              </w:rPr>
              <w:t xml:space="preserve">Public Bill Committee - </w:t>
            </w:r>
          </w:p>
          <w:p>
            <w:pPr>
              <w:pStyle w:val="TTableText"/>
              <w:spacing w:before="0" w:after="120"/>
              <w:rPr>
                <w:rFonts w:eastAsia="Calibri"/>
                <w:lang w:bidi="ar-SA"/>
              </w:rPr>
            </w:pPr>
            <w:r>
              <w:rPr>
                <w:rFonts w:eastAsia="Calibri"/>
                <w:lang w:bidi="ar-SA"/>
              </w:rPr>
              <w:t>3rd sitting</w:t>
            </w:r>
          </w:p>
        </w:tc>
        <w:tc>
          <w:tcPr>
            <w:tcW w:w="2410" w:type="dxa"/>
            <w:tcBorders>
              <w:top w:val="single" w:sz="4" w:space="0" w:color="000000"/>
              <w:left w:val="single" w:sz="4" w:space="0" w:color="000000"/>
              <w:bottom w:val="single" w:sz="4" w:space="0" w:color="000000"/>
              <w:right w:val="single" w:sz="4" w:space="0" w:color="000000"/>
            </w:tcBorders>
          </w:tcPr>
          <w:p>
            <w:pPr>
              <w:pStyle w:val="TTableText"/>
              <w:spacing w:before="0" w:after="120"/>
              <w:rPr>
                <w:rFonts w:eastAsia="Calibri"/>
                <w:lang w:bidi="ar-SA"/>
              </w:rPr>
            </w:pPr>
            <w:r>
              <w:rPr>
                <w:rFonts w:eastAsia="Calibri"/>
                <w:lang w:bidi="ar-SA"/>
              </w:rPr>
              <w:t>5 March 2019</w:t>
            </w:r>
          </w:p>
        </w:tc>
        <w:tc>
          <w:tcPr>
            <w:tcW w:w="3537" w:type="dxa"/>
            <w:tcBorders>
              <w:top w:val="single" w:sz="4" w:space="0" w:color="000000"/>
              <w:left w:val="single" w:sz="4" w:space="0" w:color="000000"/>
              <w:bottom w:val="single" w:sz="4" w:space="0" w:color="000000"/>
              <w:right w:val="single" w:sz="4" w:space="0" w:color="000000"/>
            </w:tcBorders>
          </w:tcPr>
          <w:p>
            <w:pPr>
              <w:pStyle w:val="TTableText"/>
              <w:spacing w:before="0" w:after="120"/>
              <w:rPr>
                <w:rFonts w:eastAsia="Calibri" w:cs="Arial"/>
                <w:szCs w:val="16"/>
                <w:lang w:bidi="ar-SA"/>
              </w:rPr>
            </w:pPr>
            <w:hyperlink r:id="rId8">
              <w:r>
                <w:rPr>
                  <w:rStyle w:val="Hyperlink"/>
                  <w:rFonts w:eastAsia="Calibri" w:cs="Arial"/>
                  <w:szCs w:val="16"/>
                  <w:lang w:bidi="ar-SA"/>
                </w:rPr>
                <w:t>Vol 655, Col 1</w:t>
              </w:r>
            </w:hyperlink>
          </w:p>
        </w:tc>
      </w:tr>
      <w:tr>
        <w:trPr>
          <w:trHeight w:val="64" w:hRule="atLeast"/>
        </w:trPr>
        <w:tc>
          <w:tcPr>
            <w:tcW w:w="3114" w:type="dxa"/>
            <w:tcBorders>
              <w:top w:val="single" w:sz="4" w:space="0" w:color="000000"/>
              <w:left w:val="single" w:sz="4" w:space="0" w:color="000000"/>
              <w:bottom w:val="single" w:sz="4" w:space="0" w:color="000000"/>
              <w:right w:val="single" w:sz="4" w:space="0" w:color="000000"/>
            </w:tcBorders>
          </w:tcPr>
          <w:p>
            <w:pPr>
              <w:pStyle w:val="TTableText"/>
              <w:spacing w:before="0" w:after="120"/>
              <w:rPr>
                <w:rFonts w:eastAsia="Calibri"/>
                <w:lang w:bidi="ar-SA"/>
              </w:rPr>
            </w:pPr>
            <w:r>
              <w:rPr>
                <w:rFonts w:eastAsia="Calibri"/>
                <w:lang w:bidi="ar-SA"/>
              </w:rPr>
              <w:t>Report and Third Reading</w:t>
            </w:r>
          </w:p>
        </w:tc>
        <w:tc>
          <w:tcPr>
            <w:tcW w:w="2410" w:type="dxa"/>
            <w:tcBorders>
              <w:top w:val="single" w:sz="4" w:space="0" w:color="000000"/>
              <w:left w:val="single" w:sz="4" w:space="0" w:color="000000"/>
              <w:bottom w:val="single" w:sz="4" w:space="0" w:color="000000"/>
              <w:right w:val="single" w:sz="4" w:space="0" w:color="000000"/>
            </w:tcBorders>
          </w:tcPr>
          <w:p>
            <w:pPr>
              <w:pStyle w:val="TTableText"/>
              <w:spacing w:before="0" w:after="120"/>
              <w:rPr>
                <w:rFonts w:eastAsia="Calibri"/>
                <w:lang w:bidi="ar-SA"/>
              </w:rPr>
            </w:pPr>
            <w:r>
              <w:rPr>
                <w:rFonts w:eastAsia="Calibri"/>
                <w:lang w:bidi="ar-SA"/>
              </w:rPr>
              <w:t>11 March 2019</w:t>
            </w:r>
          </w:p>
        </w:tc>
        <w:tc>
          <w:tcPr>
            <w:tcW w:w="3537" w:type="dxa"/>
            <w:tcBorders>
              <w:top w:val="single" w:sz="4" w:space="0" w:color="000000"/>
              <w:left w:val="single" w:sz="4" w:space="0" w:color="000000"/>
              <w:bottom w:val="single" w:sz="4" w:space="0" w:color="000000"/>
              <w:right w:val="single" w:sz="4" w:space="0" w:color="000000"/>
            </w:tcBorders>
          </w:tcPr>
          <w:p>
            <w:pPr>
              <w:pStyle w:val="TTableText"/>
              <w:spacing w:before="0" w:after="120"/>
              <w:rPr>
                <w:rFonts w:eastAsia="Calibri" w:cs="Arial"/>
                <w:szCs w:val="16"/>
                <w:lang w:bidi="ar-SA"/>
              </w:rPr>
            </w:pPr>
            <w:hyperlink r:id="rId9">
              <w:r>
                <w:rPr>
                  <w:rStyle w:val="Hyperlink"/>
                  <w:rFonts w:eastAsia="Calibri" w:cs="Arial"/>
                  <w:szCs w:val="16"/>
                  <w:lang w:bidi="ar-SA"/>
                </w:rPr>
                <w:t>Vol 656, Col 91</w:t>
              </w:r>
            </w:hyperlink>
          </w:p>
        </w:tc>
      </w:tr>
      <w:tr>
        <w:trPr/>
        <w:tc>
          <w:tcPr>
            <w:tcW w:w="3114" w:type="dxa"/>
            <w:tcBorders>
              <w:top w:val="single" w:sz="4" w:space="0" w:color="000000"/>
              <w:left w:val="single" w:sz="4" w:space="0" w:color="000000"/>
              <w:bottom w:val="single" w:sz="4" w:space="0" w:color="000000"/>
              <w:right w:val="single" w:sz="4" w:space="0" w:color="000000"/>
            </w:tcBorders>
          </w:tcPr>
          <w:p>
            <w:pPr>
              <w:pStyle w:val="TTableText"/>
              <w:spacing w:before="0" w:after="120"/>
              <w:rPr>
                <w:rFonts w:eastAsia="Calibri"/>
                <w:lang w:bidi="ar-SA"/>
              </w:rPr>
            </w:pPr>
            <w:r>
              <w:rPr>
                <w:rFonts w:eastAsia="Calibri"/>
                <w:lang w:bidi="ar-SA"/>
              </w:rPr>
              <w:t>Royal Assent</w:t>
            </w:r>
          </w:p>
        </w:tc>
        <w:tc>
          <w:tcPr>
            <w:tcW w:w="2410" w:type="dxa"/>
            <w:tcBorders>
              <w:top w:val="single" w:sz="4" w:space="0" w:color="000000"/>
              <w:left w:val="single" w:sz="4" w:space="0" w:color="000000"/>
              <w:bottom w:val="single" w:sz="4" w:space="0" w:color="000000"/>
              <w:right w:val="single" w:sz="4" w:space="0" w:color="000000"/>
            </w:tcBorders>
          </w:tcPr>
          <w:p>
            <w:pPr>
              <w:pStyle w:val="TTableText"/>
              <w:spacing w:before="0" w:after="120"/>
              <w:rPr>
                <w:rFonts w:eastAsia="Calibri"/>
                <w:lang w:bidi="ar-SA"/>
              </w:rPr>
            </w:pPr>
            <w:r>
              <w:rPr>
                <w:rFonts w:eastAsia="Calibri"/>
                <w:lang w:bidi="ar-SA"/>
              </w:rPr>
              <w:t>15 March 2019</w:t>
            </w:r>
          </w:p>
        </w:tc>
        <w:tc>
          <w:tcPr>
            <w:tcW w:w="3537" w:type="dxa"/>
            <w:tcBorders>
              <w:top w:val="single" w:sz="4" w:space="0" w:color="000000"/>
              <w:left w:val="single" w:sz="4" w:space="0" w:color="000000"/>
              <w:bottom w:val="single" w:sz="4" w:space="0" w:color="000000"/>
              <w:right w:val="single" w:sz="4" w:space="0" w:color="000000"/>
            </w:tcBorders>
          </w:tcPr>
          <w:p>
            <w:pPr>
              <w:pStyle w:val="TTableText"/>
              <w:spacing w:before="0" w:after="120"/>
              <w:rPr>
                <w:rFonts w:eastAsia="Calibri" w:cs="Arial"/>
                <w:szCs w:val="16"/>
                <w:lang w:bidi="ar-SA"/>
              </w:rPr>
            </w:pPr>
            <w:r>
              <w:fldChar w:fldCharType="begin"/>
            </w:r>
            <w:r>
              <w:rPr>
                <w:rStyle w:val="Hyperlink"/>
                <w:szCs w:val="16"/>
                <w:rFonts w:eastAsia="Calibri" w:cs="Arial"/>
                <w:lang w:bidi="ar-SA"/>
              </w:rPr>
              <w:instrText xml:space="preserve"> HYPERLINK "https://hansard.parliament.uk/Commons/2019-03-15/debates/FE8474F0-3B39-47A0-B3D3-9530C18AD1A7/Speaker%E2%80%99SStatementNewZealandTerrorAttacks" \l "contribution-9F640DAB-6774-4868-A642-905B6AF9D219"</w:instrText>
            </w:r>
            <w:r>
              <w:rPr>
                <w:rStyle w:val="Hyperlink"/>
                <w:szCs w:val="16"/>
                <w:rFonts w:eastAsia="Calibri" w:cs="Arial"/>
                <w:lang w:bidi="ar-SA"/>
              </w:rPr>
              <w:fldChar w:fldCharType="separate"/>
            </w:r>
            <w:r>
              <w:rPr>
                <w:rStyle w:val="Hyperlink"/>
                <w:rFonts w:eastAsia="Calibri" w:cs="Arial"/>
                <w:szCs w:val="16"/>
                <w:lang w:bidi="ar-SA"/>
              </w:rPr>
              <w:t>Vol 656, Col 665</w:t>
            </w:r>
            <w:r>
              <w:rPr>
                <w:rStyle w:val="Hyperlink"/>
                <w:szCs w:val="16"/>
                <w:rFonts w:eastAsia="Calibri" w:cs="Arial"/>
                <w:lang w:bidi="ar-SA"/>
              </w:rPr>
              <w:fldChar w:fldCharType="end"/>
            </w:r>
          </w:p>
        </w:tc>
      </w:tr>
    </w:tbl>
    <w:p>
      <w:pPr>
        <w:pStyle w:val="Heading1"/>
        <w:ind w:hanging="0" w:left="0"/>
        <w:rPr/>
      </w:pPr>
      <w:r>
        <w:rPr/>
      </w:r>
    </w:p>
    <w:sectPr>
      <w:headerReference w:type="default" r:id="rId10"/>
      <w:headerReference w:type="first" r:id="rId11"/>
      <w:footerReference w:type="default" r:id="rId12"/>
      <w:footerReference w:type="first" r:id="rId13"/>
      <w:type w:val="nextPage"/>
      <w:pgSz w:w="11906" w:h="16838"/>
      <w:pgMar w:left="1701" w:right="1134" w:gutter="0" w:header="720" w:top="1134" w:footer="720" w:bottom="1673"/>
      <w:pgNumType w:start="0" w:fmt="decimal"/>
      <w:formProt w:val="false"/>
      <w:titlePg/>
      <w:textDirection w:val="lrTb"/>
      <w:docGrid w:type="default" w:linePitch="299" w:charSpace="0"/>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0"/>
    <w:family w:val="roman"/>
    <w:pitch w:val="variable"/>
  </w:font>
  <w:font w:name="Calibri">
    <w:charset w:val="00"/>
    <w:family w:val="swiss"/>
    <w:pitch w:val="variable"/>
  </w:font>
  <w:font w:name="Palatino Linotype">
    <w:charset w:val="00"/>
    <w:family w:val="roman"/>
    <w:pitch w:val="variable"/>
  </w:font>
  <w:font w:name="Cambria">
    <w:charset w:val="00"/>
    <w:family w:val="roman"/>
    <w:pitch w:val="variable"/>
  </w:font>
  <w:font w:name="Courier New">
    <w:charset w:val="00"/>
    <w:family w:val="modern"/>
    <w:pitch w:val="default"/>
  </w:font>
  <w:font w:name="Wingdings">
    <w:charset w:val="02"/>
    <w:family w:val="auto"/>
    <w:pitch w:val="variable"/>
  </w:font>
  <w:font w:name="Tahoma">
    <w:charset w:val="00"/>
    <w:family w:val="swiss"/>
    <w:pitch w:val="variable"/>
  </w:font>
  <w:font w:name="HelveticaNeue-Bold">
    <w:altName w:val="Arial"/>
    <w:charset w:val="00"/>
    <w:family w:val="swiss"/>
    <w:pitch w:val="default"/>
  </w:font>
  <w:font w:name="RdgSwift-Regular">
    <w:altName w:val="Times New Roman"/>
    <w:charset w:val="00"/>
    <w:family w:val="auto"/>
    <w:pitch w:val="variable"/>
  </w:font>
  <w:font w:name="PalatinoLinotype-Bold">
    <w:altName w:val="Palatino Linotype"/>
    <w:charset w:val="00"/>
    <w:family w:val="auto"/>
    <w:pitch w:val="default"/>
  </w:font>
  <w:font w:name="PalatinoLinotype-Roman">
    <w:altName w:val="Palatino Linotype"/>
    <w:charset w:val="00"/>
    <w:family w:val="auto"/>
    <w:pitch w:val="default"/>
  </w:font>
  <w:font w:name="Helvetica Neue">
    <w:altName w:val="Times New Roman"/>
    <w:charset w:val="00"/>
    <w:family w:val="swiss"/>
    <w:pitch w:val="default"/>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spacing w:before="0" w:after="200"/>
      <w:rPr/>
    </w:pPr>
    <w:r>
      <w:rPr>
        <w:rStyle w:val="FooterText"/>
      </w:rPr>
      <w:t>These Explanatory Notes relate to the</w:t>
    </w:r>
    <w:r>
      <w:rPr/>
      <w:t xml:space="preserve"> </w:t>
    </w:r>
    <w:r>
      <w:rPr>
        <w:rStyle w:val="FooterText"/>
      </w:rPr>
      <w:t>Children Act 1989 (Amendment) (Female Genital Mutilation) Act 2019 (c. 10) which received Royal Assent on 15 March 2019</w:t>
    </w:r>
    <w:r>
      <mc:AlternateContent>
        <mc:Choice Requires="wps">
          <w:drawing>
            <wp:anchor behindDoc="0" distT="0" distB="0" distL="0" distR="0" simplePos="0" locked="0" layoutInCell="0" allowOverlap="1" relativeHeight="7">
              <wp:simplePos x="0" y="0"/>
              <wp:positionH relativeFrom="page">
                <wp:posOffset>3726815</wp:posOffset>
              </wp:positionH>
              <wp:positionV relativeFrom="paragraph">
                <wp:posOffset>444500</wp:posOffset>
              </wp:positionV>
              <wp:extent cx="280035" cy="197485"/>
              <wp:effectExtent l="0" t="0" r="0" b="0"/>
              <wp:wrapSquare wrapText="bothSides"/>
              <wp:docPr id="1" name="Frame1"/>
              <a:graphic xmlns:a="http://schemas.openxmlformats.org/drawingml/2006/main">
                <a:graphicData uri="http://schemas.microsoft.com/office/word/2010/wordprocessingShape">
                  <wps:wsp>
                    <wps:cNvSpPr txBox="1"/>
                    <wps:spPr>
                      <a:xfrm>
                        <a:off x="0" y="0"/>
                        <a:ext cx="280035" cy="197485"/>
                      </a:xfrm>
                      <a:prstGeom prst="rect"/>
                      <a:solidFill>
                        <a:srgbClr val="FFFFFF">
                          <a:alpha val="0"/>
                        </a:srgbClr>
                      </a:solidFill>
                    </wps:spPr>
                    <wps:txbx>
                      <w:txbxContent>
                        <w:p>
                          <w:pPr>
                            <w:pStyle w:val="Footer"/>
                            <w:jc w:val="center"/>
                            <w:rPr/>
                          </w:pPr>
                          <w:r>
                            <w:rPr/>
                            <w:fldChar w:fldCharType="begin"/>
                          </w:r>
                          <w:r>
                            <w:rPr/>
                            <w:instrText xml:space="preserve"> PAGE </w:instrText>
                          </w:r>
                          <w:r>
                            <w:rPr/>
                            <w:fldChar w:fldCharType="separate"/>
                          </w:r>
                          <w:r>
                            <w:rPr/>
                            <w:t>6</w:t>
                          </w:r>
                          <w:r>
                            <w:rPr/>
                            <w:fldChar w:fldCharType="end"/>
                          </w:r>
                        </w:p>
                        <w:p>
                          <w:pPr>
                            <w:pStyle w:val="Footer"/>
                            <w:spacing w:before="0" w:after="200"/>
                            <w:jc w:val="right"/>
                            <w:rPr>
                              <w:rStyle w:val="PageNumber"/>
                              <w:rFonts w:ascii="Helvetica Neue;Times New Roman" w:hAnsi="Helvetica Neue;Times New Roman" w:cs="Helvetica Neue;Times New Roman"/>
                            </w:rPr>
                          </w:pPr>
                          <w:r>
                            <w:rPr/>
                            <w:fldChar w:fldCharType="begin"/>
                          </w:r>
                          <w:r>
                            <w:rPr/>
                            <w:instrText xml:space="preserve"> PAGE </w:instrText>
                          </w:r>
                          <w:r>
                            <w:rPr/>
                            <w:fldChar w:fldCharType="separate"/>
                          </w:r>
                          <w:r>
                            <w:rPr/>
                            <w:t>6</w:t>
                          </w:r>
                          <w:r>
                            <w:rPr/>
                            <w:fldChar w:fldCharType="end"/>
                          </w:r>
                        </w:p>
                      </w:txbxContent>
                    </wps:txbx>
                    <wps:bodyPr anchor="t" lIns="0" tIns="0" rIns="0" bIns="0">
                      <a:noAutofit/>
                    </wps:bodyPr>
                  </wps:wsp>
                </a:graphicData>
              </a:graphic>
            </wp:anchor>
          </w:drawing>
        </mc:Choice>
        <mc:Fallback>
          <w:pict>
            <v:rect fillcolor="#FFFFFF" style="position:absolute;rotation:-0;width:22.05pt;height:15.55pt;mso-wrap-distance-left:0pt;mso-wrap-distance-right:0pt;mso-wrap-distance-top:0pt;mso-wrap-distance-bottom:0pt;margin-top:35pt;mso-position-vertical-relative:text;margin-left:293.45pt;mso-position-horizontal-relative:page">
              <v:fill opacity="0f"/>
              <v:textbox inset="0in,0in,0in,0in">
                <w:txbxContent>
                  <w:p>
                    <w:pPr>
                      <w:pStyle w:val="Footer"/>
                      <w:jc w:val="center"/>
                      <w:rPr/>
                    </w:pPr>
                    <w:r>
                      <w:rPr/>
                      <w:fldChar w:fldCharType="begin"/>
                    </w:r>
                    <w:r>
                      <w:rPr/>
                      <w:instrText xml:space="preserve"> PAGE </w:instrText>
                    </w:r>
                    <w:r>
                      <w:rPr/>
                      <w:fldChar w:fldCharType="separate"/>
                    </w:r>
                    <w:r>
                      <w:rPr/>
                      <w:t>6</w:t>
                    </w:r>
                    <w:r>
                      <w:rPr/>
                      <w:fldChar w:fldCharType="end"/>
                    </w:r>
                  </w:p>
                  <w:p>
                    <w:pPr>
                      <w:pStyle w:val="Footer"/>
                      <w:spacing w:before="0" w:after="200"/>
                      <w:jc w:val="right"/>
                      <w:rPr>
                        <w:rStyle w:val="PageNumber"/>
                        <w:rFonts w:ascii="Helvetica Neue;Times New Roman" w:hAnsi="Helvetica Neue;Times New Roman" w:cs="Helvetica Neue;Times New Roman"/>
                      </w:rPr>
                    </w:pPr>
                    <w:r>
                      <w:rPr/>
                      <w:fldChar w:fldCharType="begin"/>
                    </w:r>
                    <w:r>
                      <w:rPr/>
                      <w:instrText xml:space="preserve"> PAGE </w:instrText>
                    </w:r>
                    <w:r>
                      <w:rPr/>
                      <w:fldChar w:fldCharType="separate"/>
                    </w:r>
                    <w:r>
                      <w:rPr/>
                      <w:t>6</w:t>
                    </w:r>
                    <w:r>
                      <w:rPr/>
                      <w:fldChar w:fldCharType="end"/>
                    </w:r>
                  </w:p>
                </w:txbxContent>
              </v:textbox>
              <w10:wrap type="square"/>
            </v:rect>
          </w:pict>
        </mc:Fallback>
      </mc:AlternateContent>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tbl>
    <w:tblPr>
      <w:tblW w:w="7905" w:type="dxa"/>
      <w:jc w:val="left"/>
      <w:tblInd w:w="0" w:type="dxa"/>
      <w:tblLayout w:type="fixed"/>
      <w:tblCellMar>
        <w:top w:w="0" w:type="dxa"/>
        <w:left w:w="108" w:type="dxa"/>
        <w:bottom w:w="0" w:type="dxa"/>
        <w:right w:w="108" w:type="dxa"/>
      </w:tblCellMar>
    </w:tblPr>
    <w:tblGrid>
      <w:gridCol w:w="4076"/>
      <w:gridCol w:w="3829"/>
    </w:tblGrid>
    <w:tr>
      <w:trPr/>
      <w:tc>
        <w:tcPr>
          <w:tcW w:w="4076" w:type="dxa"/>
          <w:tcBorders/>
        </w:tcPr>
        <w:p>
          <w:pPr>
            <w:pStyle w:val="Footer"/>
            <w:spacing w:before="0" w:after="200"/>
            <w:rPr/>
          </w:pPr>
          <w:r>
            <w:rPr/>
            <w:t>c.10-EN</w:t>
          </w:r>
        </w:p>
      </w:tc>
      <w:tc>
        <w:tcPr>
          <w:tcW w:w="3829" w:type="dxa"/>
          <w:tcBorders/>
        </w:tcPr>
        <w:p>
          <w:pPr>
            <w:pStyle w:val="Footer"/>
            <w:snapToGrid w:val="false"/>
            <w:spacing w:before="0" w:after="200"/>
            <w:jc w:val="right"/>
            <w:rPr/>
          </w:pPr>
          <w:r>
            <w:rPr/>
          </w:r>
        </w:p>
      </w:tc>
    </w:tr>
  </w:tbl>
  <w:p>
    <w:pPr>
      <w:pStyle w:val="Footer"/>
      <w:spacing w:before="0" w:after="200"/>
      <w:jc w:val="both"/>
      <w:rPr/>
    </w:pPr>
    <w:r>
      <w:rPr/>
    </w:r>
  </w:p>
</w:ftr>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spacing w:lineRule="auto" w:line="240" w:before="0" w:after="0"/>
      <w:rPr/>
    </w:pPr>
    <w:r>
      <w:rPr/>
    </w:r>
  </w:p>
</w:hdr>
</file>

<file path=word/header2.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spacing w:lineRule="auto" w:line="240" w:before="0" w:after="0"/>
      <w:rPr/>
    </w:pPr>
    <w:r>
      <w:rPr/>
    </w:r>
  </w:p>
</w:hd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pStyle w:val="Heading1"/>
      <w:numFmt w:val="none"/>
      <w:suff w:val="nothing"/>
      <w:lvlText w:val=""/>
      <w:lvlJc w:val="left"/>
      <w:pPr>
        <w:tabs>
          <w:tab w:val="num" w:pos="0"/>
        </w:tabs>
        <w:ind w:left="0" w:hanging="0"/>
      </w:pPr>
    </w:lvl>
    <w:lvl w:ilvl="1">
      <w:start w:val="1"/>
      <w:pStyle w:val="Heading2"/>
      <w:numFmt w:val="none"/>
      <w:suff w:val="nothing"/>
      <w:lvlText w:val=""/>
      <w:lvlJc w:val="left"/>
      <w:pPr>
        <w:tabs>
          <w:tab w:val="num" w:pos="0"/>
        </w:tabs>
        <w:ind w:left="0" w:hanging="0"/>
      </w:pPr>
    </w:lvl>
    <w:lvl w:ilvl="2">
      <w:start w:val="1"/>
      <w:pStyle w:val="Heading3"/>
      <w:numFmt w:val="none"/>
      <w:suff w:val="nothing"/>
      <w:lvlText w:val=""/>
      <w:lvlJc w:val="left"/>
      <w:pPr>
        <w:tabs>
          <w:tab w:val="num" w:pos="0"/>
        </w:tabs>
        <w:ind w:left="0" w:hanging="0"/>
      </w:pPr>
    </w:lvl>
    <w:lvl w:ilvl="3">
      <w:start w:val="1"/>
      <w:pStyle w:val="Heading4"/>
      <w:numFmt w:val="none"/>
      <w:suff w:val="nothing"/>
      <w:lvlText w:val=""/>
      <w:lvlJc w:val="left"/>
      <w:pPr>
        <w:tabs>
          <w:tab w:val="num" w:pos="0"/>
        </w:tabs>
        <w:ind w:left="0" w:hanging="0"/>
      </w:pPr>
    </w:lvl>
    <w:lvl w:ilvl="4">
      <w:start w:val="1"/>
      <w:pStyle w:val="Heading5"/>
      <w:numFmt w:val="none"/>
      <w:suff w:val="nothing"/>
      <w:lvlText w:val=""/>
      <w:lvlJc w:val="left"/>
      <w:pPr>
        <w:tabs>
          <w:tab w:val="num" w:pos="0"/>
        </w:tabs>
        <w:ind w:left="0" w:hanging="0"/>
      </w:pPr>
    </w:lvl>
    <w:lvl w:ilvl="5">
      <w:start w:val="1"/>
      <w:pStyle w:val="Heading6"/>
      <w:numFmt w:val="none"/>
      <w:suff w:val="nothing"/>
      <w:lvlText w:val=""/>
      <w:lvlJc w:val="left"/>
      <w:pPr>
        <w:tabs>
          <w:tab w:val="num" w:pos="0"/>
        </w:tabs>
        <w:ind w:left="0" w:hanging="0"/>
      </w:pPr>
    </w:lvl>
    <w:lvl w:ilvl="6">
      <w:start w:val="1"/>
      <w:pStyle w:val="Heading7"/>
      <w:numFmt w:val="none"/>
      <w:suff w:val="nothing"/>
      <w:lvlText w:val=""/>
      <w:lvlJc w:val="left"/>
      <w:pPr>
        <w:tabs>
          <w:tab w:val="num" w:pos="0"/>
        </w:tabs>
        <w:ind w:left="0" w:hanging="0"/>
      </w:pPr>
    </w:lvl>
    <w:lvl w:ilvl="7">
      <w:start w:val="1"/>
      <w:pStyle w:val="Heading8"/>
      <w:numFmt w:val="none"/>
      <w:suff w:val="nothing"/>
      <w:lvlText w:val=""/>
      <w:lvlJc w:val="left"/>
      <w:pPr>
        <w:tabs>
          <w:tab w:val="num" w:pos="0"/>
        </w:tabs>
        <w:ind w:left="0" w:hanging="0"/>
      </w:pPr>
    </w:lvl>
    <w:lvl w:ilvl="8">
      <w:start w:val="1"/>
      <w:pStyle w:val="Heading9"/>
      <w:numFmt w:val="none"/>
      <w:suff w:val="nothing"/>
      <w:lvlText w:val=""/>
      <w:lvlJc w:val="left"/>
      <w:pPr>
        <w:tabs>
          <w:tab w:val="num" w:pos="0"/>
        </w:tabs>
        <w:ind w:left="0" w:hanging="0"/>
      </w:pPr>
    </w:lvl>
  </w:abstractNum>
  <w:abstractNum w:abstractNumId="2">
    <w:lvl w:ilvl="0">
      <w:start w:val="1"/>
      <w:numFmt w:val="bullet"/>
      <w:lvlText w:val=""/>
      <w:lvlJc w:val="left"/>
      <w:pPr>
        <w:tabs>
          <w:tab w:val="num" w:pos="0"/>
        </w:tabs>
        <w:ind w:left="2880" w:hanging="360"/>
      </w:pPr>
      <w:rPr>
        <w:rFonts w:ascii="Symbol" w:hAnsi="Symbol" w:cs="Symbol" w:hint="default"/>
        <w:color w:val="4F81BD"/>
      </w:rPr>
    </w:lvl>
  </w:abstractNum>
  <w:abstractNum w:abstractNumId="3">
    <w:lvl w:ilvl="0">
      <w:start w:val="1"/>
      <w:numFmt w:val="decimal"/>
      <w:lvlText w:val="%1 "/>
      <w:lvlJc w:val="left"/>
      <w:pPr>
        <w:tabs>
          <w:tab w:val="num" w:pos="0"/>
        </w:tabs>
        <w:ind w:left="720" w:hanging="360"/>
      </w:pPr>
      <w:rPr/>
    </w:lvl>
  </w:abstractNum>
  <w:abstractNum w:abstractNumId="4">
    <w:lvl w:ilvl="0">
      <w:start w:val="1"/>
      <w:numFmt w:val="decimal"/>
      <w:lvlText w:val="Section %1: "/>
      <w:lvlJc w:val="left"/>
      <w:pPr>
        <w:tabs>
          <w:tab w:val="num" w:pos="0"/>
        </w:tabs>
        <w:ind w:left="720" w:hanging="360"/>
      </w:pPr>
      <w:rPr/>
    </w:lvl>
  </w:abstractNum>
  <w:abstractNum w:abstractNumId="5">
    <w:lvl w:ilvl="0">
      <w:start w:val="1"/>
      <w:numFmt w:val="bullet"/>
      <w:lvlText w:val=""/>
      <w:lvlJc w:val="left"/>
      <w:pPr>
        <w:tabs>
          <w:tab w:val="num" w:pos="907"/>
        </w:tabs>
        <w:ind w:left="907" w:hanging="306"/>
      </w:pPr>
      <w:rPr>
        <w:rFonts w:ascii="Symbol" w:hAnsi="Symbol" w:cs="Symbol" w:hint="default"/>
        <w:color w:val="4F81BD"/>
      </w:rPr>
    </w:lvl>
  </w:abstractNum>
  <w:abstractNum w:abstractNumId="6">
    <w:lvl w:ilvl="0">
      <w:start w:val="1"/>
      <w:numFmt w:val="bullet"/>
      <w:lvlText w:val=""/>
      <w:lvlJc w:val="left"/>
      <w:pPr>
        <w:tabs>
          <w:tab w:val="num" w:pos="0"/>
        </w:tabs>
        <w:ind w:left="720" w:hanging="360"/>
      </w:pPr>
      <w:rPr>
        <w:rFonts w:ascii="Symbol" w:hAnsi="Symbol" w:cs="Symbol" w:hint="default"/>
        <w:sz w:val="32"/>
        <w:color w:val="548DD4"/>
      </w:rPr>
    </w:lvl>
  </w:abstractNum>
  <w:abstractNum w:abstractNumId="7">
    <w:lvl w:ilvl="0">
      <w:start w:val="1"/>
      <w:numFmt w:val="bullet"/>
      <w:lvlText w:val=""/>
      <w:lvlJc w:val="left"/>
      <w:pPr>
        <w:tabs>
          <w:tab w:val="num" w:pos="794"/>
        </w:tabs>
        <w:ind w:left="794" w:hanging="454"/>
      </w:pPr>
      <w:rPr>
        <w:rFonts w:ascii="Symbol" w:hAnsi="Symbol" w:cs="Symbol" w:hint="default"/>
        <w:color w:val="4F81BD"/>
      </w:rPr>
    </w:lvl>
  </w:abstractNum>
  <w:abstractNum w:abstractNumId="8">
    <w:lvl w:ilvl="0">
      <w:start w:val="1"/>
      <w:numFmt w:val="decimal"/>
      <w:lvlText w:val="Schedule %1: "/>
      <w:lvlJc w:val="left"/>
      <w:pPr>
        <w:tabs>
          <w:tab w:val="num" w:pos="0"/>
        </w:tabs>
        <w:ind w:left="720" w:hanging="360"/>
      </w:pPr>
      <w:rPr/>
    </w:lvl>
  </w:abstractNum>
  <w:abstractNum w:abstractNumId="9">
    <w:lvl w:ilvl="0">
      <w:start w:val="1"/>
      <w:numFmt w:val="bullet"/>
      <w:lvlText w:val=""/>
      <w:lvlJc w:val="left"/>
      <w:pPr>
        <w:tabs>
          <w:tab w:val="num" w:pos="0"/>
        </w:tabs>
        <w:ind w:left="1854" w:hanging="360"/>
      </w:pPr>
      <w:rPr>
        <w:rFonts w:ascii="Symbol" w:hAnsi="Symbol" w:cs="Symbol" w:hint="default"/>
        <w:sz w:val="32"/>
        <w:color w:val="4F81BD"/>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bering>
</file>

<file path=word/settings.xml><?xml version="1.0" encoding="utf-8"?>
<w:settings xmlns:w="http://schemas.openxmlformats.org/wordprocessingml/2006/main">
  <w:zoom w:percent="150"/>
  <w:mirrorMargins/>
  <w:defaultTabStop w:val="720"/>
  <w:autoHyphenation w:val="true"/>
  <w:hyphenationZone w:val="0"/>
  <w:compat>
    <w:doNotExpandShiftReturn/>
    <w:compatSetting w:name="compatibilityMode" w:uri="http://schemas.microsoft.com/office/word" w:val="1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NSimSun" w:cs="Lucida Sans"/>
        <w:sz w:val="24"/>
        <w:szCs w:val="24"/>
        <w:lang w:val="en-GB" w:eastAsia="zh-CN" w:bidi="hi-IN"/>
      </w:rPr>
    </w:rPrDefault>
    <w:pPrDefault>
      <w:pPr>
        <w:suppressAutoHyphens w:val="true"/>
      </w:pPr>
    </w:pPrDefault>
  </w:docDefaults>
  <w:style w:type="paragraph" w:styleId="Normal">
    <w:name w:val="Normal"/>
    <w:qFormat/>
    <w:pPr>
      <w:widowControl/>
      <w:bidi w:val="0"/>
      <w:spacing w:lineRule="auto" w:line="276" w:before="0" w:after="200"/>
    </w:pPr>
    <w:rPr>
      <w:rFonts w:ascii="Calibri" w:hAnsi="Calibri" w:eastAsia="Times New Roman" w:cs="Times New Roman"/>
      <w:color w:val="auto"/>
      <w:sz w:val="22"/>
      <w:szCs w:val="22"/>
      <w:lang w:val="en-GB" w:bidi="en-US" w:eastAsia="zh-CN"/>
    </w:rPr>
  </w:style>
  <w:style w:type="paragraph" w:styleId="Heading1">
    <w:name w:val="heading 1"/>
    <w:basedOn w:val="Normal"/>
    <w:next w:val="ParaNumbered"/>
    <w:qFormat/>
    <w:pPr>
      <w:numPr>
        <w:ilvl w:val="0"/>
        <w:numId w:val="1"/>
      </w:numPr>
      <w:spacing w:before="480" w:after="0"/>
      <w:contextualSpacing/>
      <w:outlineLvl w:val="0"/>
    </w:pPr>
    <w:rPr>
      <w:rFonts w:ascii="Arial" w:hAnsi="Arial" w:eastAsia="Times New Roman" w:cs="Times New Roman"/>
      <w:b/>
      <w:bCs/>
      <w:color w:val="0070C0"/>
      <w:sz w:val="36"/>
      <w:szCs w:val="28"/>
    </w:rPr>
  </w:style>
  <w:style w:type="paragraph" w:styleId="Heading2">
    <w:name w:val="heading 2"/>
    <w:basedOn w:val="Heading1"/>
    <w:next w:val="ParaNumbered"/>
    <w:qFormat/>
    <w:pPr>
      <w:numPr>
        <w:ilvl w:val="1"/>
        <w:numId w:val="1"/>
      </w:numPr>
      <w:spacing w:before="240" w:after="0"/>
      <w:contextualSpacing/>
      <w:outlineLvl w:val="1"/>
    </w:pPr>
    <w:rPr>
      <w:sz w:val="32"/>
      <w:szCs w:val="32"/>
    </w:rPr>
  </w:style>
  <w:style w:type="paragraph" w:styleId="Heading3">
    <w:name w:val="heading 3"/>
    <w:basedOn w:val="Heading2"/>
    <w:next w:val="ParaNumbered"/>
    <w:qFormat/>
    <w:pPr>
      <w:numPr>
        <w:ilvl w:val="2"/>
        <w:numId w:val="1"/>
      </w:numPr>
      <w:spacing w:before="180" w:after="0"/>
      <w:ind w:firstLine="1" w:left="0" w:right="0"/>
      <w:contextualSpacing/>
      <w:outlineLvl w:val="2"/>
    </w:pPr>
    <w:rPr>
      <w:sz w:val="28"/>
    </w:rPr>
  </w:style>
  <w:style w:type="paragraph" w:styleId="Heading4">
    <w:name w:val="heading 4"/>
    <w:basedOn w:val="Heading3"/>
    <w:next w:val="ParaNumbered"/>
    <w:qFormat/>
    <w:pPr>
      <w:numPr>
        <w:ilvl w:val="3"/>
        <w:numId w:val="1"/>
      </w:numPr>
      <w:spacing w:before="120" w:after="0"/>
      <w:ind w:hanging="0" w:left="0" w:right="0"/>
      <w:contextualSpacing/>
      <w:outlineLvl w:val="3"/>
    </w:pPr>
    <w:rPr>
      <w:rFonts w:ascii="Palatino Linotype" w:hAnsi="Palatino Linotype" w:cs="Palatino Linotype"/>
      <w:b w:val="false"/>
      <w:sz w:val="24"/>
    </w:rPr>
  </w:style>
  <w:style w:type="paragraph" w:styleId="Heading5">
    <w:name w:val="heading 5"/>
    <w:basedOn w:val="Heading4"/>
    <w:next w:val="ParaNumbered"/>
    <w:qFormat/>
    <w:pPr>
      <w:numPr>
        <w:ilvl w:val="4"/>
        <w:numId w:val="1"/>
      </w:numPr>
      <w:spacing w:before="200" w:after="0"/>
      <w:contextualSpacing/>
      <w:outlineLvl w:val="4"/>
    </w:pPr>
    <w:rPr>
      <w:b/>
      <w:color w:val="000000"/>
      <w:sz w:val="22"/>
      <w:u w:val="single"/>
    </w:rPr>
  </w:style>
  <w:style w:type="paragraph" w:styleId="Heading6">
    <w:name w:val="heading 6"/>
    <w:basedOn w:val="Normal"/>
    <w:next w:val="Normal"/>
    <w:qFormat/>
    <w:pPr>
      <w:numPr>
        <w:ilvl w:val="5"/>
        <w:numId w:val="1"/>
      </w:numPr>
      <w:spacing w:lineRule="auto" w:line="269" w:before="0" w:after="0"/>
      <w:outlineLvl w:val="5"/>
    </w:pPr>
    <w:rPr>
      <w:rFonts w:ascii="Cambria" w:hAnsi="Cambria" w:eastAsia="Times New Roman" w:cs="Times New Roman"/>
      <w:b/>
      <w:bCs/>
      <w:i/>
      <w:iCs/>
      <w:color w:val="7F7F7F"/>
    </w:rPr>
  </w:style>
  <w:style w:type="paragraph" w:styleId="Heading7">
    <w:name w:val="heading 7"/>
    <w:basedOn w:val="Normal"/>
    <w:next w:val="Normal"/>
    <w:qFormat/>
    <w:pPr>
      <w:numPr>
        <w:ilvl w:val="6"/>
        <w:numId w:val="1"/>
      </w:numPr>
      <w:spacing w:before="0" w:after="0"/>
      <w:outlineLvl w:val="6"/>
    </w:pPr>
    <w:rPr>
      <w:rFonts w:ascii="Cambria" w:hAnsi="Cambria" w:eastAsia="Times New Roman" w:cs="Times New Roman"/>
      <w:i/>
      <w:iCs/>
    </w:rPr>
  </w:style>
  <w:style w:type="paragraph" w:styleId="Heading8">
    <w:name w:val="heading 8"/>
    <w:basedOn w:val="Normal"/>
    <w:next w:val="Normal"/>
    <w:qFormat/>
    <w:pPr>
      <w:numPr>
        <w:ilvl w:val="7"/>
        <w:numId w:val="1"/>
      </w:numPr>
      <w:spacing w:before="0" w:after="0"/>
      <w:outlineLvl w:val="7"/>
    </w:pPr>
    <w:rPr>
      <w:rFonts w:ascii="Cambria" w:hAnsi="Cambria" w:eastAsia="Times New Roman" w:cs="Times New Roman"/>
      <w:sz w:val="20"/>
      <w:szCs w:val="20"/>
    </w:rPr>
  </w:style>
  <w:style w:type="paragraph" w:styleId="Heading9">
    <w:name w:val="heading 9"/>
    <w:basedOn w:val="Normal"/>
    <w:next w:val="Normal"/>
    <w:qFormat/>
    <w:pPr>
      <w:numPr>
        <w:ilvl w:val="8"/>
        <w:numId w:val="1"/>
      </w:numPr>
      <w:spacing w:before="0" w:after="0"/>
      <w:outlineLvl w:val="8"/>
    </w:pPr>
    <w:rPr>
      <w:rFonts w:ascii="Cambria" w:hAnsi="Cambria" w:eastAsia="Times New Roman" w:cs="Times New Roman"/>
      <w:i/>
      <w:iCs/>
      <w:spacing w:val="5"/>
      <w:sz w:val="20"/>
      <w:szCs w:val="20"/>
    </w:rPr>
  </w:style>
  <w:style w:type="character" w:styleId="WW8Num5z0">
    <w:name w:val="WW8Num5z0"/>
    <w:qFormat/>
    <w:rPr>
      <w:rFonts w:ascii="Symbol" w:hAnsi="Symbol" w:cs="Symbol"/>
    </w:rPr>
  </w:style>
  <w:style w:type="character" w:styleId="WW8Num6z0">
    <w:name w:val="WW8Num6z0"/>
    <w:qFormat/>
    <w:rPr>
      <w:rFonts w:ascii="Symbol" w:hAnsi="Symbol" w:cs="Symbol"/>
    </w:rPr>
  </w:style>
  <w:style w:type="character" w:styleId="WW8Num7z0">
    <w:name w:val="WW8Num7z0"/>
    <w:qFormat/>
    <w:rPr>
      <w:rFonts w:ascii="Symbol" w:hAnsi="Symbol" w:cs="Symbol"/>
    </w:rPr>
  </w:style>
  <w:style w:type="character" w:styleId="WW8Num8z0">
    <w:name w:val="WW8Num8z0"/>
    <w:qFormat/>
    <w:rPr>
      <w:rFonts w:ascii="Symbol" w:hAnsi="Symbol" w:cs="Symbol"/>
    </w:rPr>
  </w:style>
  <w:style w:type="character" w:styleId="WW8Num10z0">
    <w:name w:val="WW8Num10z0"/>
    <w:qFormat/>
    <w:rPr>
      <w:rFonts w:ascii="Symbol" w:hAnsi="Symbol" w:cs="Symbol"/>
    </w:rPr>
  </w:style>
  <w:style w:type="character" w:styleId="WW8Num11z0">
    <w:name w:val="WW8Num11z0"/>
    <w:qFormat/>
    <w:rPr>
      <w:rFonts w:ascii="Symbol" w:hAnsi="Symbol" w:cs="Symbol"/>
      <w:color w:val="4F81BD"/>
      <w:sz w:val="32"/>
    </w:rPr>
  </w:style>
  <w:style w:type="character" w:styleId="WW8Num11z1">
    <w:name w:val="WW8Num11z1"/>
    <w:qFormat/>
    <w:rPr>
      <w:rFonts w:ascii="Courier New" w:hAnsi="Courier New" w:cs="Courier New"/>
    </w:rPr>
  </w:style>
  <w:style w:type="character" w:styleId="WW8Num11z2">
    <w:name w:val="WW8Num11z2"/>
    <w:qFormat/>
    <w:rPr>
      <w:rFonts w:ascii="Wingdings" w:hAnsi="Wingdings" w:cs="Wingdings"/>
      <w:color w:val="000000"/>
      <w:sz w:val="20"/>
    </w:rPr>
  </w:style>
  <w:style w:type="character" w:styleId="WW8Num11z3">
    <w:name w:val="WW8Num11z3"/>
    <w:qFormat/>
    <w:rPr>
      <w:rFonts w:ascii="Symbol" w:hAnsi="Symbol" w:cs="Symbol"/>
    </w:rPr>
  </w:style>
  <w:style w:type="character" w:styleId="WW8Num11z5">
    <w:name w:val="WW8Num11z5"/>
    <w:qFormat/>
    <w:rPr>
      <w:rFonts w:ascii="Wingdings" w:hAnsi="Wingdings" w:cs="Wingdings"/>
    </w:rPr>
  </w:style>
  <w:style w:type="character" w:styleId="WW8Num12z0">
    <w:name w:val="WW8Num12z0"/>
    <w:qFormat/>
    <w:rPr/>
  </w:style>
  <w:style w:type="character" w:styleId="WW8Num13z0">
    <w:name w:val="WW8Num13z0"/>
    <w:qFormat/>
    <w:rPr>
      <w:rFonts w:ascii="Palatino Linotype" w:hAnsi="Palatino Linotype" w:cs="Times New Roman"/>
      <w:b w:val="false"/>
      <w:i w:val="false"/>
      <w:color w:val="000000"/>
      <w:sz w:val="20"/>
      <w:szCs w:val="22"/>
    </w:rPr>
  </w:style>
  <w:style w:type="character" w:styleId="WW8Num13z2">
    <w:name w:val="WW8Num13z2"/>
    <w:qFormat/>
    <w:rPr>
      <w:rFonts w:ascii="Palatino Linotype" w:hAnsi="Palatino Linotype" w:eastAsia="Times New Roman" w:cs="Arial"/>
    </w:rPr>
  </w:style>
  <w:style w:type="character" w:styleId="WW8Num14z0">
    <w:name w:val="WW8Num14z0"/>
    <w:qFormat/>
    <w:rPr>
      <w:rFonts w:ascii="Symbol" w:hAnsi="Symbol" w:cs="Symbol"/>
      <w:color w:val="4F81BD"/>
    </w:rPr>
  </w:style>
  <w:style w:type="character" w:styleId="WW8Num14z1">
    <w:name w:val="WW8Num14z1"/>
    <w:qFormat/>
    <w:rPr>
      <w:rFonts w:ascii="Courier New" w:hAnsi="Courier New" w:cs="Courier New"/>
    </w:rPr>
  </w:style>
  <w:style w:type="character" w:styleId="WW8Num14z2">
    <w:name w:val="WW8Num14z2"/>
    <w:qFormat/>
    <w:rPr>
      <w:rFonts w:ascii="Wingdings" w:hAnsi="Wingdings" w:cs="Wingdings"/>
    </w:rPr>
  </w:style>
  <w:style w:type="character" w:styleId="WW8Num14z3">
    <w:name w:val="WW8Num14z3"/>
    <w:qFormat/>
    <w:rPr>
      <w:rFonts w:ascii="Symbol" w:hAnsi="Symbol" w:cs="Symbol"/>
    </w:rPr>
  </w:style>
  <w:style w:type="character" w:styleId="WW8Num15z0">
    <w:name w:val="WW8Num15z0"/>
    <w:qFormat/>
    <w:rPr/>
  </w:style>
  <w:style w:type="character" w:styleId="WW8Num16z0">
    <w:name w:val="WW8Num16z0"/>
    <w:qFormat/>
    <w:rPr>
      <w:rFonts w:ascii="Symbol" w:hAnsi="Symbol" w:cs="Symbol"/>
      <w:color w:val="548DD4"/>
      <w:sz w:val="32"/>
    </w:rPr>
  </w:style>
  <w:style w:type="character" w:styleId="WW8Num16z1">
    <w:name w:val="WW8Num16z1"/>
    <w:qFormat/>
    <w:rPr>
      <w:rFonts w:ascii="Courier New" w:hAnsi="Courier New" w:cs="Courier New"/>
    </w:rPr>
  </w:style>
  <w:style w:type="character" w:styleId="WW8Num16z2">
    <w:name w:val="WW8Num16z2"/>
    <w:qFormat/>
    <w:rPr>
      <w:rFonts w:ascii="Wingdings" w:hAnsi="Wingdings" w:cs="Wingdings"/>
    </w:rPr>
  </w:style>
  <w:style w:type="character" w:styleId="WW8Num16z3">
    <w:name w:val="WW8Num16z3"/>
    <w:qFormat/>
    <w:rPr>
      <w:rFonts w:ascii="Symbol" w:hAnsi="Symbol" w:cs="Symbol"/>
    </w:rPr>
  </w:style>
  <w:style w:type="character" w:styleId="WW8Num17z0">
    <w:name w:val="WW8Num17z0"/>
    <w:qFormat/>
    <w:rPr/>
  </w:style>
  <w:style w:type="character" w:styleId="WW8Num18z0">
    <w:name w:val="WW8Num18z0"/>
    <w:qFormat/>
    <w:rPr/>
  </w:style>
  <w:style w:type="character" w:styleId="WW8Num19z0">
    <w:name w:val="WW8Num19z0"/>
    <w:qFormat/>
    <w:rPr>
      <w:rFonts w:ascii="Symbol" w:hAnsi="Symbol" w:cs="Symbol"/>
      <w:color w:val="4F81BD"/>
    </w:rPr>
  </w:style>
  <w:style w:type="character" w:styleId="WW8Num19z1">
    <w:name w:val="WW8Num19z1"/>
    <w:qFormat/>
    <w:rPr>
      <w:rFonts w:ascii="Courier New" w:hAnsi="Courier New" w:cs="Courier New"/>
    </w:rPr>
  </w:style>
  <w:style w:type="character" w:styleId="WW8Num19z2">
    <w:name w:val="WW8Num19z2"/>
    <w:qFormat/>
    <w:rPr>
      <w:rFonts w:ascii="Wingdings" w:hAnsi="Wingdings" w:cs="Wingdings"/>
    </w:rPr>
  </w:style>
  <w:style w:type="character" w:styleId="WW8Num19z3">
    <w:name w:val="WW8Num19z3"/>
    <w:qFormat/>
    <w:rPr>
      <w:rFonts w:ascii="Symbol" w:hAnsi="Symbol" w:cs="Symbol"/>
    </w:rPr>
  </w:style>
  <w:style w:type="character" w:styleId="WW8Num20z0">
    <w:name w:val="WW8Num20z0"/>
    <w:qFormat/>
    <w:rPr/>
  </w:style>
  <w:style w:type="character" w:styleId="WW8Num21z0">
    <w:name w:val="WW8Num21z0"/>
    <w:qFormat/>
    <w:rPr>
      <w:rFonts w:ascii="Symbol" w:hAnsi="Symbol" w:cs="Symbol"/>
      <w:color w:val="548DD4"/>
      <w:sz w:val="32"/>
    </w:rPr>
  </w:style>
  <w:style w:type="character" w:styleId="WW8Num21z1">
    <w:name w:val="WW8Num21z1"/>
    <w:qFormat/>
    <w:rPr>
      <w:rFonts w:ascii="Courier New" w:hAnsi="Courier New" w:cs="Courier New"/>
    </w:rPr>
  </w:style>
  <w:style w:type="character" w:styleId="WW8Num21z2">
    <w:name w:val="WW8Num21z2"/>
    <w:qFormat/>
    <w:rPr>
      <w:rFonts w:ascii="Wingdings" w:hAnsi="Wingdings" w:cs="Wingdings"/>
    </w:rPr>
  </w:style>
  <w:style w:type="character" w:styleId="WW8Num21z3">
    <w:name w:val="WW8Num21z3"/>
    <w:qFormat/>
    <w:rPr>
      <w:rFonts w:ascii="Symbol" w:hAnsi="Symbol" w:cs="Symbol"/>
    </w:rPr>
  </w:style>
  <w:style w:type="character" w:styleId="WW8Num22z0">
    <w:name w:val="WW8Num22z0"/>
    <w:qFormat/>
    <w:rPr>
      <w:rFonts w:ascii="Symbol" w:hAnsi="Symbol" w:cs="Symbol"/>
      <w:color w:val="4F81BD"/>
    </w:rPr>
  </w:style>
  <w:style w:type="character" w:styleId="WW8Num22z1">
    <w:name w:val="WW8Num22z1"/>
    <w:qFormat/>
    <w:rPr>
      <w:rFonts w:ascii="Courier New" w:hAnsi="Courier New" w:cs="Courier New"/>
    </w:rPr>
  </w:style>
  <w:style w:type="character" w:styleId="WW8Num22z2">
    <w:name w:val="WW8Num22z2"/>
    <w:qFormat/>
    <w:rPr>
      <w:rFonts w:ascii="Wingdings" w:hAnsi="Wingdings" w:cs="Wingdings"/>
    </w:rPr>
  </w:style>
  <w:style w:type="character" w:styleId="WW8Num22z3">
    <w:name w:val="WW8Num22z3"/>
    <w:qFormat/>
    <w:rPr>
      <w:rFonts w:ascii="Symbol" w:hAnsi="Symbol" w:cs="Symbol"/>
    </w:rPr>
  </w:style>
  <w:style w:type="character" w:styleId="WW8Num24z0">
    <w:name w:val="WW8Num24z0"/>
    <w:qFormat/>
    <w:rPr/>
  </w:style>
  <w:style w:type="character" w:styleId="WW8Num25z0">
    <w:name w:val="WW8Num25z0"/>
    <w:qFormat/>
    <w:rPr>
      <w:rFonts w:ascii="Symbol" w:hAnsi="Symbol" w:cs="Symbol"/>
      <w:color w:val="4F81BD"/>
      <w:sz w:val="32"/>
    </w:rPr>
  </w:style>
  <w:style w:type="character" w:styleId="WW8Num25z1">
    <w:name w:val="WW8Num25z1"/>
    <w:qFormat/>
    <w:rPr>
      <w:rFonts w:ascii="Courier New" w:hAnsi="Courier New" w:cs="Courier New"/>
    </w:rPr>
  </w:style>
  <w:style w:type="character" w:styleId="WW8Num25z2">
    <w:name w:val="WW8Num25z2"/>
    <w:qFormat/>
    <w:rPr>
      <w:rFonts w:ascii="Wingdings" w:hAnsi="Wingdings" w:cs="Wingdings"/>
    </w:rPr>
  </w:style>
  <w:style w:type="character" w:styleId="WW8Num25z3">
    <w:name w:val="WW8Num25z3"/>
    <w:qFormat/>
    <w:rPr>
      <w:rFonts w:ascii="Symbol" w:hAnsi="Symbol" w:cs="Symbol"/>
    </w:rPr>
  </w:style>
  <w:style w:type="character" w:styleId="DefaultParagraphFont">
    <w:name w:val="Default Paragraph Font"/>
    <w:qFormat/>
    <w:rPr/>
  </w:style>
  <w:style w:type="character" w:styleId="ENbodyboldemphasis">
    <w:name w:val="EN body bold emphasis"/>
    <w:qFormat/>
    <w:rPr>
      <w:rFonts w:ascii="Palatino Linotype" w:hAnsi="Palatino Linotype" w:cs="PalatinoLinotype-Bold;Palatino Linotype"/>
      <w:b/>
      <w:bCs/>
    </w:rPr>
  </w:style>
  <w:style w:type="character" w:styleId="footnotenumber">
    <w:name w:val="footnote number"/>
    <w:qFormat/>
    <w:rPr>
      <w:rFonts w:ascii="Arial" w:hAnsi="Arial" w:cs="HelveticaNeue;Arial"/>
      <w:sz w:val="28"/>
      <w:szCs w:val="19"/>
      <w:vertAlign w:val="superscript"/>
    </w:rPr>
  </w:style>
  <w:style w:type="character" w:styleId="Hyperlink">
    <w:name w:val="Hyperlink"/>
    <w:rPr>
      <w:color w:val="0070C0"/>
      <w:w w:val="100"/>
      <w:u w:val="single" w:color="0070C0"/>
    </w:rPr>
  </w:style>
  <w:style w:type="character" w:styleId="blue">
    <w:name w:val="blue"/>
    <w:qFormat/>
    <w:rPr>
      <w:color w:val="0076BF"/>
    </w:rPr>
  </w:style>
  <w:style w:type="character" w:styleId="FollowedHyperlink">
    <w:name w:val="FollowedHyperlink"/>
    <w:rPr>
      <w:color w:val="800080"/>
      <w:u w:val="single"/>
    </w:rPr>
  </w:style>
  <w:style w:type="character" w:styleId="FootnoteCharacters">
    <w:name w:val="Footnote Characters"/>
    <w:qFormat/>
    <w:rPr>
      <w:vertAlign w:val="superscript"/>
    </w:rPr>
  </w:style>
  <w:style w:type="character" w:styleId="HeaderChar">
    <w:name w:val="Header Char"/>
    <w:basedOn w:val="DefaultParagraphFont"/>
    <w:qFormat/>
    <w:rPr/>
  </w:style>
  <w:style w:type="character" w:styleId="FooterChar">
    <w:name w:val="Footer Char"/>
    <w:qFormat/>
    <w:rPr>
      <w:sz w:val="20"/>
      <w:lang w:val="en-GB"/>
    </w:rPr>
  </w:style>
  <w:style w:type="character" w:styleId="PageNumber">
    <w:name w:val="page number"/>
    <w:rPr/>
  </w:style>
  <w:style w:type="character" w:styleId="PlaceholderText">
    <w:name w:val="Placeholder Text"/>
    <w:qFormat/>
    <w:rPr>
      <w:color w:val="808080"/>
    </w:rPr>
  </w:style>
  <w:style w:type="character" w:styleId="BalloonTextChar">
    <w:name w:val="Balloon Text Char"/>
    <w:qFormat/>
    <w:rPr>
      <w:rFonts w:ascii="Tahoma" w:hAnsi="Tahoma" w:cs="Tahoma"/>
      <w:sz w:val="16"/>
      <w:szCs w:val="16"/>
    </w:rPr>
  </w:style>
  <w:style w:type="character" w:styleId="Heading1Char">
    <w:name w:val="Heading 1 Char"/>
    <w:qFormat/>
    <w:rPr>
      <w:rFonts w:ascii="Arial" w:hAnsi="Arial" w:eastAsia="Times New Roman" w:cs="Times New Roman"/>
      <w:b/>
      <w:bCs/>
      <w:color w:val="0070C0"/>
      <w:sz w:val="36"/>
      <w:szCs w:val="28"/>
    </w:rPr>
  </w:style>
  <w:style w:type="character" w:styleId="Heading2Char">
    <w:name w:val="Heading 2 Char"/>
    <w:qFormat/>
    <w:rPr>
      <w:rFonts w:ascii="HelveticaNeue-Bold;Arial" w:hAnsi="HelveticaNeue-Bold;Arial" w:eastAsia="Times New Roman" w:cs="Times New Roman"/>
      <w:b/>
      <w:bCs/>
      <w:color w:val="0070C0"/>
      <w:sz w:val="32"/>
      <w:szCs w:val="32"/>
    </w:rPr>
  </w:style>
  <w:style w:type="character" w:styleId="Heading3Char">
    <w:name w:val="Heading 3 Char"/>
    <w:qFormat/>
    <w:rPr>
      <w:rFonts w:ascii="HelveticaNeue-Bold;Arial" w:hAnsi="HelveticaNeue-Bold;Arial" w:eastAsia="Times New Roman" w:cs="Times New Roman"/>
      <w:b/>
      <w:bCs/>
      <w:color w:val="0070C0"/>
      <w:sz w:val="28"/>
      <w:szCs w:val="32"/>
    </w:rPr>
  </w:style>
  <w:style w:type="character" w:styleId="Heading4Char">
    <w:name w:val="Heading 4 Char"/>
    <w:qFormat/>
    <w:rPr>
      <w:rFonts w:ascii="Palatino Linotype" w:hAnsi="Palatino Linotype" w:eastAsia="Times New Roman" w:cs="Times New Roman"/>
      <w:bCs/>
      <w:color w:val="0070C0"/>
      <w:sz w:val="24"/>
      <w:szCs w:val="32"/>
      <w:lang w:val="en-GB"/>
    </w:rPr>
  </w:style>
  <w:style w:type="character" w:styleId="Heading5Char">
    <w:name w:val="Heading 5 Char"/>
    <w:qFormat/>
    <w:rPr>
      <w:rFonts w:ascii="Palatino Linotype" w:hAnsi="Palatino Linotype" w:eastAsia="Times New Roman" w:cs="Times New Roman"/>
      <w:b/>
      <w:bCs/>
      <w:color w:val="000000"/>
      <w:szCs w:val="32"/>
      <w:u w:val="single"/>
    </w:rPr>
  </w:style>
  <w:style w:type="character" w:styleId="Heading6Char">
    <w:name w:val="Heading 6 Char"/>
    <w:qFormat/>
    <w:rPr>
      <w:rFonts w:ascii="Cambria" w:hAnsi="Cambria" w:eastAsia="Times New Roman" w:cs="Times New Roman"/>
      <w:b/>
      <w:bCs/>
      <w:i/>
      <w:iCs/>
      <w:color w:val="7F7F7F"/>
    </w:rPr>
  </w:style>
  <w:style w:type="character" w:styleId="Heading7Char">
    <w:name w:val="Heading 7 Char"/>
    <w:qFormat/>
    <w:rPr>
      <w:rFonts w:ascii="Cambria" w:hAnsi="Cambria" w:eastAsia="Times New Roman" w:cs="Times New Roman"/>
      <w:i/>
      <w:iCs/>
    </w:rPr>
  </w:style>
  <w:style w:type="character" w:styleId="Heading8Char">
    <w:name w:val="Heading 8 Char"/>
    <w:qFormat/>
    <w:rPr>
      <w:rFonts w:ascii="Cambria" w:hAnsi="Cambria" w:eastAsia="Times New Roman" w:cs="Times New Roman"/>
      <w:sz w:val="20"/>
      <w:szCs w:val="20"/>
    </w:rPr>
  </w:style>
  <w:style w:type="character" w:styleId="Heading9Char">
    <w:name w:val="Heading 9 Char"/>
    <w:qFormat/>
    <w:rPr>
      <w:rFonts w:ascii="Cambria" w:hAnsi="Cambria" w:eastAsia="Times New Roman" w:cs="Times New Roman"/>
      <w:i/>
      <w:iCs/>
      <w:spacing w:val="5"/>
      <w:sz w:val="20"/>
      <w:szCs w:val="20"/>
    </w:rPr>
  </w:style>
  <w:style w:type="character" w:styleId="TitleChar">
    <w:name w:val="Title Char"/>
    <w:qFormat/>
    <w:rPr>
      <w:rFonts w:ascii="Cambria" w:hAnsi="Cambria" w:eastAsia="Times New Roman" w:cs="Times New Roman"/>
      <w:spacing w:val="5"/>
      <w:sz w:val="52"/>
      <w:szCs w:val="52"/>
    </w:rPr>
  </w:style>
  <w:style w:type="character" w:styleId="SubtitleChar">
    <w:name w:val="Subtitle Char"/>
    <w:qFormat/>
    <w:rPr>
      <w:rFonts w:ascii="Cambria" w:hAnsi="Cambria" w:eastAsia="Times New Roman" w:cs="Times New Roman"/>
      <w:i/>
      <w:iCs/>
      <w:spacing w:val="13"/>
      <w:sz w:val="24"/>
      <w:szCs w:val="24"/>
    </w:rPr>
  </w:style>
  <w:style w:type="character" w:styleId="Strong">
    <w:name w:val="Strong"/>
    <w:qFormat/>
    <w:rPr>
      <w:b/>
      <w:bCs/>
    </w:rPr>
  </w:style>
  <w:style w:type="character" w:styleId="Emphasis">
    <w:name w:val="Emphasis"/>
    <w:qFormat/>
    <w:rPr>
      <w:b/>
      <w:bCs/>
      <w:i/>
      <w:iCs/>
      <w:spacing w:val="10"/>
      <w:shd w:fill="auto" w:val="clear"/>
    </w:rPr>
  </w:style>
  <w:style w:type="character" w:styleId="NoSpacingChar">
    <w:name w:val="No Spacing Char"/>
    <w:basedOn w:val="DefaultParagraphFont"/>
    <w:qFormat/>
    <w:rPr/>
  </w:style>
  <w:style w:type="character" w:styleId="QuoteChar">
    <w:name w:val="Quote Char"/>
    <w:qFormat/>
    <w:rPr>
      <w:i/>
      <w:iCs/>
    </w:rPr>
  </w:style>
  <w:style w:type="character" w:styleId="IntenseQuoteChar">
    <w:name w:val="Intense Quote Char"/>
    <w:qFormat/>
    <w:rPr>
      <w:b/>
      <w:bCs/>
      <w:i/>
      <w:iCs/>
    </w:rPr>
  </w:style>
  <w:style w:type="character" w:styleId="SubtleEmphasis">
    <w:name w:val="Subtle Emphasis"/>
    <w:qFormat/>
    <w:rPr>
      <w:i/>
      <w:iCs/>
    </w:rPr>
  </w:style>
  <w:style w:type="character" w:styleId="IntenseEmphasis">
    <w:name w:val="Intense Emphasis"/>
    <w:qFormat/>
    <w:rPr>
      <w:b/>
      <w:bCs/>
    </w:rPr>
  </w:style>
  <w:style w:type="character" w:styleId="SubtleReference">
    <w:name w:val="Subtle Reference"/>
    <w:qFormat/>
    <w:rPr>
      <w:smallCaps/>
    </w:rPr>
  </w:style>
  <w:style w:type="character" w:styleId="IntenseReference">
    <w:name w:val="Intense Reference"/>
    <w:qFormat/>
    <w:rPr>
      <w:smallCaps/>
      <w:spacing w:val="5"/>
      <w:u w:val="single"/>
    </w:rPr>
  </w:style>
  <w:style w:type="character" w:styleId="BookTitle">
    <w:name w:val="Book Title"/>
    <w:qFormat/>
    <w:rPr>
      <w:i/>
      <w:iCs/>
      <w:smallCaps/>
      <w:spacing w:val="5"/>
    </w:rPr>
  </w:style>
  <w:style w:type="character" w:styleId="Style11">
    <w:name w:val="Style1"/>
    <w:qFormat/>
    <w:rPr>
      <w:caps/>
      <w:sz w:val="24"/>
    </w:rPr>
  </w:style>
  <w:style w:type="character" w:styleId="CapitalisedStyle">
    <w:name w:val="Capitalised Style"/>
    <w:qFormat/>
    <w:rPr>
      <w:caps/>
    </w:rPr>
  </w:style>
  <w:style w:type="character" w:styleId="CapitalisedStyle1">
    <w:name w:val="Capitalised Style 1"/>
    <w:qFormat/>
    <w:rPr>
      <w:caps/>
    </w:rPr>
  </w:style>
  <w:style w:type="character" w:styleId="Style21">
    <w:name w:val="Style2"/>
    <w:basedOn w:val="DefaultParagraphFont"/>
    <w:qFormat/>
    <w:rPr/>
  </w:style>
  <w:style w:type="character" w:styleId="FootnoteTextChar">
    <w:name w:val="Footnote Text Char"/>
    <w:qFormat/>
    <w:rPr>
      <w:sz w:val="18"/>
      <w:szCs w:val="20"/>
      <w:lang w:val="en-GB"/>
    </w:rPr>
  </w:style>
  <w:style w:type="character" w:styleId="NoParagraphStyleChar">
    <w:name w:val="[No Paragraph Style] Char"/>
    <w:qFormat/>
    <w:rPr>
      <w:rFonts w:ascii="RdgSwift-Regular;Times New Roman" w:hAnsi="RdgSwift-Regular;Times New Roman" w:cs="RdgSwift-Regular;Times New Roman"/>
      <w:color w:val="000000"/>
      <w:sz w:val="20"/>
      <w:szCs w:val="24"/>
    </w:rPr>
  </w:style>
  <w:style w:type="character" w:styleId="ENHeading1CategoryChar">
    <w:name w:val="EN Heading (1) : Category Char"/>
    <w:qFormat/>
    <w:rPr>
      <w:rFonts w:ascii="Arial" w:hAnsi="Arial" w:cs="HelveticaNeue-Bold;Arial"/>
      <w:b/>
      <w:bCs/>
      <w:color w:val="0076BF"/>
      <w:sz w:val="36"/>
      <w:szCs w:val="36"/>
    </w:rPr>
  </w:style>
  <w:style w:type="character" w:styleId="WhatthesenotesdoChar">
    <w:name w:val="Whatthesenotesdo Char"/>
    <w:qFormat/>
    <w:rPr>
      <w:rFonts w:ascii="Arial" w:hAnsi="Arial" w:cs="HelveticaNeue-Bold;Arial"/>
      <w:b/>
      <w:bCs/>
      <w:color w:val="0076BF"/>
      <w:sz w:val="32"/>
      <w:szCs w:val="36"/>
    </w:rPr>
  </w:style>
  <w:style w:type="character" w:styleId="ToCHeadingChar">
    <w:name w:val="ToC Heading Char"/>
    <w:qFormat/>
    <w:rPr>
      <w:rFonts w:ascii="HelveticaNeue-Bold;Arial" w:hAnsi="HelveticaNeue-Bold;Arial" w:cs="HelveticaNeue-Bold;Arial"/>
      <w:b/>
      <w:bCs/>
      <w:color w:val="0076BF"/>
      <w:sz w:val="36"/>
      <w:szCs w:val="36"/>
    </w:rPr>
  </w:style>
  <w:style w:type="character" w:styleId="Style31">
    <w:name w:val="Style3"/>
    <w:qFormat/>
    <w:rPr>
      <w:color w:val="808080"/>
    </w:rPr>
  </w:style>
  <w:style w:type="character" w:styleId="FooterText">
    <w:name w:val="Footer Text"/>
    <w:qFormat/>
    <w:rPr>
      <w:rFonts w:ascii="Calibri" w:hAnsi="Calibri" w:cs="Calibri"/>
      <w:i/>
      <w:color w:val="000000"/>
      <w:sz w:val="20"/>
    </w:rPr>
  </w:style>
  <w:style w:type="character" w:styleId="MinisterialSign-offNameChar">
    <w:name w:val="Ministerial Sign-off Name Char"/>
    <w:qFormat/>
    <w:rPr>
      <w:rFonts w:ascii="Palatino Linotype" w:hAnsi="Palatino Linotype" w:cs="PalatinoLinotype-Bold;Palatino Linotype"/>
      <w:b/>
      <w:bCs/>
      <w:color w:val="000000"/>
      <w:sz w:val="20"/>
      <w:szCs w:val="24"/>
    </w:rPr>
  </w:style>
  <w:style w:type="character" w:styleId="MinisterialSignoffChar">
    <w:name w:val="Ministerial Sign off Char"/>
    <w:qFormat/>
    <w:rPr>
      <w:rFonts w:ascii="PalatinoLinotype-Bold;Palatino Linotype" w:hAnsi="PalatinoLinotype-Bold;Palatino Linotype" w:cs="PalatinoLinotype-Bold;Palatino Linotype"/>
      <w:b/>
      <w:bCs/>
      <w:color w:val="000000"/>
      <w:sz w:val="20"/>
      <w:szCs w:val="24"/>
    </w:rPr>
  </w:style>
  <w:style w:type="character" w:styleId="ENBodyTextNumberedChar">
    <w:name w:val="EN Body Text + Numbered Char"/>
    <w:qFormat/>
    <w:rPr>
      <w:rFonts w:ascii="Palatino Linotype" w:hAnsi="Palatino Linotype" w:cs="PalatinoLinotype-Roman;Palatino Linotype"/>
      <w:color w:val="000000"/>
      <w:sz w:val="20"/>
      <w:szCs w:val="24"/>
    </w:rPr>
  </w:style>
  <w:style w:type="character" w:styleId="ParaNumberedChar">
    <w:name w:val="Para: Numbered Char"/>
    <w:qFormat/>
    <w:rPr>
      <w:rFonts w:ascii="PalatinoLinotype-Roman;Palatino Linotype" w:hAnsi="PalatinoLinotype-Roman;Palatino Linotype" w:cs="PalatinoLinotype-Roman;Palatino Linotype"/>
      <w:color w:val="000000"/>
      <w:sz w:val="20"/>
      <w:szCs w:val="24"/>
    </w:rPr>
  </w:style>
  <w:style w:type="character" w:styleId="ENBodyTextChar">
    <w:name w:val="EN Body Text Char"/>
    <w:qFormat/>
    <w:rPr>
      <w:rFonts w:ascii="Palatino Linotype" w:hAnsi="Palatino Linotype" w:cs="PalatinoLinotype-Roman;Palatino Linotype"/>
      <w:color w:val="000000"/>
      <w:sz w:val="20"/>
      <w:szCs w:val="24"/>
    </w:rPr>
  </w:style>
  <w:style w:type="character" w:styleId="MinisterialStatementTextChar">
    <w:name w:val="Ministerial Statement Text Char"/>
    <w:qFormat/>
    <w:rPr>
      <w:rFonts w:ascii="PalatinoLinotype-Roman;Palatino Linotype" w:hAnsi="PalatinoLinotype-Roman;Palatino Linotype" w:cs="PalatinoLinotype-Roman;Palatino Linotype"/>
      <w:color w:val="000000"/>
      <w:sz w:val="20"/>
      <w:szCs w:val="24"/>
    </w:rPr>
  </w:style>
  <w:style w:type="character" w:styleId="ParaMainTextChar">
    <w:name w:val="Para: Main Text Char"/>
    <w:qFormat/>
    <w:rPr>
      <w:rFonts w:ascii="Palatino Linotype" w:hAnsi="Palatino Linotype" w:cs="PalatinoLinotype-Roman;Palatino Linotype"/>
      <w:color w:val="000000"/>
      <w:sz w:val="20"/>
      <w:szCs w:val="24"/>
    </w:rPr>
  </w:style>
  <w:style w:type="character" w:styleId="ENIntroTextChar">
    <w:name w:val="EN Intro Text Char"/>
    <w:qFormat/>
    <w:rPr>
      <w:rFonts w:ascii="PalatinoLinotype-Roman;Palatino Linotype" w:hAnsi="PalatinoLinotype-Roman;Palatino Linotype" w:cs="PalatinoLinotype-Roman;Palatino Linotype"/>
      <w:color w:val="000000"/>
      <w:sz w:val="20"/>
      <w:szCs w:val="24"/>
    </w:rPr>
  </w:style>
  <w:style w:type="character" w:styleId="ENBodyTextBulletsChar">
    <w:name w:val="EN Body Text + Bullets Char"/>
    <w:qFormat/>
    <w:rPr>
      <w:rFonts w:ascii="Palatino Linotype" w:hAnsi="Palatino Linotype" w:cs="PalatinoLinotype-Roman;Palatino Linotype"/>
      <w:color w:val="000000"/>
      <w:sz w:val="20"/>
      <w:szCs w:val="24"/>
    </w:rPr>
  </w:style>
  <w:style w:type="character" w:styleId="ParaBulletedChar">
    <w:name w:val="Para: Bulleted Char"/>
    <w:qFormat/>
    <w:rPr>
      <w:rFonts w:ascii="PalatinoLinotype-Roman;Palatino Linotype" w:hAnsi="PalatinoLinotype-Roman;Palatino Linotype" w:cs="PalatinoLinotype-Roman;Palatino Linotype"/>
      <w:color w:val="000000"/>
      <w:sz w:val="20"/>
      <w:szCs w:val="24"/>
    </w:rPr>
  </w:style>
  <w:style w:type="character" w:styleId="TTableHeadings">
    <w:name w:val="T: Table Headings"/>
    <w:qFormat/>
    <w:rPr>
      <w:rFonts w:ascii="Arial" w:hAnsi="Arial" w:cs="PalatinoLinotype-Bold;Palatino Linotype"/>
      <w:b/>
      <w:bCs/>
      <w:color w:val="000000"/>
      <w:sz w:val="16"/>
    </w:rPr>
  </w:style>
  <w:style w:type="character" w:styleId="ENIntroTextBulletedChar">
    <w:name w:val="EN Intro Text (Bulleted) Char"/>
    <w:qFormat/>
    <w:rPr>
      <w:rFonts w:ascii="PalatinoLinotype-Roman;Palatino Linotype" w:hAnsi="PalatinoLinotype-Roman;Palatino Linotype" w:cs="PalatinoLinotype-Roman;Palatino Linotype"/>
      <w:color w:val="000000"/>
      <w:sz w:val="20"/>
      <w:szCs w:val="24"/>
    </w:rPr>
  </w:style>
  <w:style w:type="character" w:styleId="HSubheading4Char">
    <w:name w:val="H: Subheading 4 Char"/>
    <w:qFormat/>
    <w:rPr>
      <w:rFonts w:ascii="Palatino Linotype" w:hAnsi="Palatino Linotype" w:eastAsia="Times New Roman" w:cs="Times New Roman"/>
      <w:b w:val="false"/>
      <w:bCs/>
      <w:color w:val="0070C0"/>
      <w:sz w:val="24"/>
      <w:szCs w:val="24"/>
      <w:lang w:val="en-GB"/>
    </w:rPr>
  </w:style>
  <w:style w:type="character" w:styleId="ScheduleHeadingChar">
    <w:name w:val="Schedule Heading Char"/>
    <w:qFormat/>
    <w:rPr>
      <w:rFonts w:ascii="HelveticaNeue-Bold;Arial" w:hAnsi="HelveticaNeue-Bold;Arial" w:eastAsia="Times New Roman" w:cs="Times New Roman"/>
      <w:b/>
      <w:bCs/>
      <w:color w:val="0070C0"/>
      <w:sz w:val="28"/>
      <w:szCs w:val="32"/>
    </w:rPr>
  </w:style>
  <w:style w:type="character" w:styleId="HSubheading3Char">
    <w:name w:val="H: Subheading 3 Char"/>
    <w:qFormat/>
    <w:rPr>
      <w:rFonts w:ascii="HelveticaNeue-Bold;Arial" w:hAnsi="HelveticaNeue-Bold;Arial" w:eastAsia="Times New Roman" w:cs="Times New Roman"/>
      <w:b/>
      <w:bCs/>
      <w:color w:val="0070C0"/>
      <w:sz w:val="28"/>
      <w:szCs w:val="28"/>
    </w:rPr>
  </w:style>
  <w:style w:type="character" w:styleId="deletedsectionheadingChar">
    <w:name w:val="deleted section heading Char"/>
    <w:qFormat/>
    <w:rPr>
      <w:rFonts w:ascii="Palatino Linotype" w:hAnsi="Palatino Linotype" w:eastAsia="Times New Roman" w:cs="Times New Roman"/>
      <w:b/>
      <w:bCs/>
      <w:color w:val="0070C0"/>
      <w:sz w:val="24"/>
      <w:szCs w:val="24"/>
      <w:lang w:val="en-GB"/>
    </w:rPr>
  </w:style>
  <w:style w:type="character" w:styleId="HSubheading2Char">
    <w:name w:val="H: Subheading 2 Char"/>
    <w:qFormat/>
    <w:rPr>
      <w:rFonts w:ascii="HelveticaNeue-Bold;Arial" w:hAnsi="HelveticaNeue-Bold;Arial" w:eastAsia="Times New Roman" w:cs="Times New Roman"/>
      <w:b/>
      <w:bCs/>
      <w:color w:val="0070C0"/>
      <w:sz w:val="32"/>
      <w:szCs w:val="32"/>
    </w:rPr>
  </w:style>
  <w:style w:type="character" w:styleId="SectionHeadingChar">
    <w:name w:val="Section Heading Char"/>
    <w:qFormat/>
    <w:rPr>
      <w:rFonts w:ascii="PalatinoLinotype-Roman;Palatino Linotype" w:hAnsi="PalatinoLinotype-Roman;Palatino Linotype" w:eastAsia="Times New Roman" w:cs="Times New Roman"/>
      <w:b w:val="false"/>
      <w:bCs/>
      <w:color w:val="0070C0"/>
      <w:sz w:val="24"/>
      <w:szCs w:val="32"/>
      <w:lang w:val="en-GB"/>
    </w:rPr>
  </w:style>
  <w:style w:type="character" w:styleId="StylePlaceholderTextLatinHelveticaNeue-Bold22ptBoldT">
    <w:name w:val="Style Placeholder Text + (Latin) HelveticaNeue-Bold 22 pt Bold T..."/>
    <w:qFormat/>
    <w:rPr>
      <w:rFonts w:ascii="Arial" w:hAnsi="Arial" w:cs="Arial"/>
      <w:b/>
      <w:bCs/>
      <w:caps/>
      <w:color w:val="000000"/>
      <w:spacing w:val="2"/>
      <w:sz w:val="44"/>
    </w:rPr>
  </w:style>
  <w:style w:type="character" w:styleId="StylePlaceholderTextLatinPalatinoLinotype10ptAuto">
    <w:name w:val="Style Placeholder Text + (Latin) Palatino Linotype 10 pt Auto"/>
    <w:qFormat/>
    <w:rPr>
      <w:rFonts w:ascii="Palatino Linotype" w:hAnsi="Palatino Linotype" w:cs="Palatino Linotype"/>
      <w:color w:val="000000"/>
      <w:sz w:val="20"/>
    </w:rPr>
  </w:style>
  <w:style w:type="character" w:styleId="CDefault">
    <w:name w:val="C: Default"/>
    <w:basedOn w:val="DefaultParagraphFont"/>
    <w:qFormat/>
    <w:rPr/>
  </w:style>
  <w:style w:type="character" w:styleId="CBold">
    <w:name w:val="C: Bold"/>
    <w:qFormat/>
    <w:rPr>
      <w:b/>
    </w:rPr>
  </w:style>
  <w:style w:type="character" w:styleId="CItalic">
    <w:name w:val="C: Italic"/>
    <w:qFormat/>
    <w:rPr>
      <w:b w:val="false"/>
      <w:i/>
    </w:rPr>
  </w:style>
  <w:style w:type="character" w:styleId="CUnderlined">
    <w:name w:val="C: Underlined"/>
    <w:qFormat/>
    <w:rPr>
      <w:u w:val="single"/>
    </w:rPr>
  </w:style>
  <w:style w:type="character" w:styleId="CBoldItalic">
    <w:name w:val="C: BoldItalic"/>
    <w:qFormat/>
    <w:rPr>
      <w:b/>
      <w:i/>
    </w:rPr>
  </w:style>
  <w:style w:type="character" w:styleId="CBoldUnderlined">
    <w:name w:val="C: BoldUnderlined"/>
    <w:qFormat/>
    <w:rPr>
      <w:b/>
      <w:u w:val="single"/>
    </w:rPr>
  </w:style>
  <w:style w:type="character" w:styleId="CItalicUnderlined">
    <w:name w:val="C: ItalicUnderlined"/>
    <w:qFormat/>
    <w:rPr>
      <w:b w:val="false"/>
      <w:i/>
      <w:u w:val="single"/>
    </w:rPr>
  </w:style>
  <w:style w:type="character" w:styleId="HSubheading5Char">
    <w:name w:val="H: Subheading 5 Char"/>
    <w:qFormat/>
    <w:rPr>
      <w:rFonts w:ascii="Palatino Linotype" w:hAnsi="Palatino Linotype" w:eastAsia="Times New Roman" w:cs="Times New Roman"/>
      <w:b/>
      <w:bCs/>
      <w:color w:val="000000"/>
      <w:szCs w:val="32"/>
      <w:u w:val="single"/>
    </w:rPr>
  </w:style>
  <w:style w:type="character" w:styleId="ReferenceExampleChar">
    <w:name w:val="Reference/Example Char"/>
    <w:qFormat/>
    <w:rPr>
      <w:rFonts w:ascii="PalatinoLinotype-Roman;Palatino Linotype" w:hAnsi="PalatinoLinotype-Roman;Palatino Linotype" w:eastAsia="Times New Roman" w:cs="Times New Roman"/>
      <w:b/>
      <w:bCs/>
      <w:color w:val="0070C0"/>
      <w:sz w:val="24"/>
      <w:szCs w:val="24"/>
      <w:lang w:val="en-GB"/>
    </w:rPr>
  </w:style>
  <w:style w:type="character" w:styleId="BackPageTextChar">
    <w:name w:val="BackPageText Char"/>
    <w:qFormat/>
    <w:rPr>
      <w:lang w:val="en-GB"/>
    </w:rPr>
  </w:style>
  <w:style w:type="character" w:styleId="EndnoteCharacters">
    <w:name w:val="Endnote Characters"/>
    <w:qFormat/>
    <w:rPr>
      <w:vertAlign w:val="superscript"/>
    </w:rPr>
  </w:style>
  <w:style w:type="character" w:styleId="StyleLatinPalatinoLinotype-Roman10pt">
    <w:name w:val="Style (Latin) PalatinoLinotype-Roman 10 pt"/>
    <w:qFormat/>
    <w:rPr>
      <w:rFonts w:ascii="Palatino Linotype" w:hAnsi="Palatino Linotype" w:cs="Palatino Linotype"/>
      <w:sz w:val="20"/>
    </w:rPr>
  </w:style>
  <w:style w:type="character" w:styleId="StyleLatinPalatinoLinotype10ptBlack">
    <w:name w:val="Style (Latin) Palatino Linotype 10 pt Black"/>
    <w:qFormat/>
    <w:rPr>
      <w:rFonts w:ascii="Palatino Linotype" w:hAnsi="Palatino Linotype" w:cs="Palatino Linotype"/>
      <w:color w:val="000000"/>
      <w:sz w:val="20"/>
    </w:rPr>
  </w:style>
  <w:style w:type="character" w:styleId="StyleLatinArial">
    <w:name w:val="Style (Latin) Arial"/>
    <w:qFormat/>
    <w:rPr>
      <w:rFonts w:ascii="Arial" w:hAnsi="Arial" w:cs="Arial"/>
      <w:b/>
      <w:bCs/>
      <w:color w:val="0070C0"/>
      <w:sz w:val="36"/>
    </w:rPr>
  </w:style>
  <w:style w:type="character" w:styleId="StylePlaceholderTextLatinPalatinoLinotype-Roman10pt">
    <w:name w:val="Style Placeholder Text + (Latin) Palatino Linotype-Roman 10 pt"/>
    <w:qFormat/>
    <w:rPr>
      <w:rFonts w:ascii="Palatino Linotype" w:hAnsi="Palatino Linotype" w:cs="Palatino Linotype"/>
      <w:color w:val="808080"/>
      <w:sz w:val="20"/>
    </w:rPr>
  </w:style>
  <w:style w:type="character" w:styleId="IndexLink">
    <w:name w:val="Index Link"/>
    <w:qFormat/>
    <w:rPr/>
  </w:style>
  <w:style w:type="paragraph" w:styleId="Heading">
    <w:name w:val="Heading"/>
    <w:basedOn w:val="Normal"/>
    <w:next w:val="Normal"/>
    <w:qFormat/>
    <w:pPr>
      <w:pBdr>
        <w:bottom w:val="single" w:sz="4" w:space="1" w:color="000000"/>
      </w:pBdr>
      <w:spacing w:lineRule="auto" w:line="240" w:before="0" w:after="200"/>
      <w:contextualSpacing/>
    </w:pPr>
    <w:rPr>
      <w:rFonts w:ascii="Cambria" w:hAnsi="Cambria" w:eastAsia="Times New Roman" w:cs="Times New Roman"/>
      <w:spacing w:val="5"/>
      <w:sz w:val="52"/>
      <w:szCs w:val="52"/>
    </w:rPr>
  </w:style>
  <w:style w:type="paragraph" w:styleId="BodyText">
    <w:name w:val="Body Text"/>
    <w:basedOn w:val="Normal"/>
    <w:pPr>
      <w:spacing w:lineRule="auto" w:line="276" w:before="0" w:after="140"/>
    </w:pPr>
    <w:rPr/>
  </w:style>
  <w:style w:type="paragraph" w:styleId="List">
    <w:name w:val="List"/>
    <w:basedOn w:val="BodyText"/>
    <w:pPr/>
    <w:rPr>
      <w:rFonts w:cs="Lucida Sans"/>
    </w:rPr>
  </w:style>
  <w:style w:type="paragraph" w:styleId="Caption">
    <w:name w:val="caption"/>
    <w:basedOn w:val="Normal"/>
    <w:next w:val="Normal"/>
    <w:qFormat/>
    <w:pPr/>
    <w:rPr>
      <w:caps/>
      <w:spacing w:val="10"/>
      <w:sz w:val="18"/>
      <w:szCs w:val="18"/>
    </w:rPr>
  </w:style>
  <w:style w:type="paragraph" w:styleId="Index">
    <w:name w:val="Index"/>
    <w:basedOn w:val="Normal"/>
    <w:qFormat/>
    <w:pPr>
      <w:suppressLineNumbers/>
    </w:pPr>
    <w:rPr>
      <w:rFonts w:cs="Lucida Sans"/>
    </w:rPr>
  </w:style>
  <w:style w:type="paragraph" w:styleId="NoParagraphStyle">
    <w:name w:val="[No Paragraph Style]"/>
    <w:qFormat/>
    <w:pPr>
      <w:widowControl w:val="false"/>
      <w:autoSpaceDE w:val="false"/>
      <w:bidi w:val="0"/>
      <w:spacing w:lineRule="auto" w:line="288" w:before="0" w:after="200"/>
      <w:textAlignment w:val="center"/>
    </w:pPr>
    <w:rPr>
      <w:rFonts w:ascii="RdgSwift-Regular;Times New Roman" w:hAnsi="RdgSwift-Regular;Times New Roman" w:eastAsia="Times New Roman" w:cs="RdgSwift-Regular;Times New Roman"/>
      <w:color w:val="000000"/>
      <w:sz w:val="20"/>
      <w:szCs w:val="24"/>
      <w:lang w:val="en-US" w:bidi="en-US" w:eastAsia="zh-CN"/>
    </w:rPr>
  </w:style>
  <w:style w:type="paragraph" w:styleId="ENBilltitle">
    <w:name w:val="EN Bill title"/>
    <w:basedOn w:val="NoParagraphStyle"/>
    <w:qFormat/>
    <w:pPr>
      <w:suppressAutoHyphens w:val="true"/>
      <w:spacing w:lineRule="atLeast" w:line="480" w:before="0" w:after="240"/>
    </w:pPr>
    <w:rPr>
      <w:rFonts w:ascii="Arial" w:hAnsi="Arial" w:cs="HelveticaNeue-Bold;Arial"/>
      <w:b/>
      <w:bCs/>
      <w:caps/>
      <w:spacing w:val="2"/>
      <w:sz w:val="44"/>
      <w:szCs w:val="48"/>
    </w:rPr>
  </w:style>
  <w:style w:type="paragraph" w:styleId="ENnotestitle">
    <w:name w:val="EN notes title"/>
    <w:basedOn w:val="NoParagraphStyle"/>
    <w:qFormat/>
    <w:pPr>
      <w:suppressAutoHyphens w:val="true"/>
      <w:spacing w:lineRule="atLeast" w:line="480" w:before="0" w:after="720"/>
    </w:pPr>
    <w:rPr>
      <w:rFonts w:ascii="Arial" w:hAnsi="Arial" w:cs="HelveticaNeue;Arial"/>
      <w:caps/>
      <w:spacing w:val="2"/>
      <w:sz w:val="44"/>
      <w:szCs w:val="48"/>
    </w:rPr>
  </w:style>
  <w:style w:type="paragraph" w:styleId="ENHeading1Category">
    <w:name w:val="EN Heading (1) : Category"/>
    <w:basedOn w:val="NoParagraphStyle"/>
    <w:qFormat/>
    <w:pPr>
      <w:keepNext w:val="true"/>
      <w:keepLines/>
      <w:suppressAutoHyphens w:val="true"/>
      <w:spacing w:lineRule="atLeast" w:line="480" w:before="480" w:after="240"/>
    </w:pPr>
    <w:rPr>
      <w:rFonts w:ascii="Arial" w:hAnsi="Arial" w:cs="HelveticaNeue-Bold;Arial"/>
      <w:b/>
      <w:bCs/>
      <w:color w:val="0076BF"/>
      <w:sz w:val="36"/>
      <w:szCs w:val="36"/>
    </w:rPr>
  </w:style>
  <w:style w:type="paragraph" w:styleId="ENBodyText">
    <w:name w:val="EN Body Text"/>
    <w:basedOn w:val="NoParagraphStyle"/>
    <w:qFormat/>
    <w:pPr>
      <w:suppressAutoHyphens w:val="true"/>
      <w:spacing w:lineRule="atLeast" w:line="300" w:before="0" w:after="150"/>
    </w:pPr>
    <w:rPr>
      <w:rFonts w:ascii="Palatino Linotype" w:hAnsi="Palatino Linotype" w:cs="PalatinoLinotype-Roman;Palatino Linotype"/>
    </w:rPr>
  </w:style>
  <w:style w:type="paragraph" w:styleId="ENBodyTextBullets">
    <w:name w:val="EN Body Text + Bullets"/>
    <w:basedOn w:val="NoParagraphStyle"/>
    <w:qFormat/>
    <w:pPr>
      <w:numPr>
        <w:ilvl w:val="0"/>
        <w:numId w:val="2"/>
      </w:numPr>
      <w:suppressAutoHyphens w:val="true"/>
      <w:spacing w:lineRule="atLeast" w:line="300" w:before="0" w:after="150"/>
      <w:ind w:hanging="357" w:left="357" w:right="0"/>
    </w:pPr>
    <w:rPr>
      <w:rFonts w:ascii="Palatino Linotype" w:hAnsi="Palatino Linotype" w:cs="PalatinoLinotype-Roman;Palatino Linotype"/>
    </w:rPr>
  </w:style>
  <w:style w:type="paragraph" w:styleId="MinisterialSign-offName">
    <w:name w:val="Ministerial Sign-off Name"/>
    <w:basedOn w:val="NoParagraphStyle"/>
    <w:qFormat/>
    <w:pPr>
      <w:suppressAutoHyphens w:val="true"/>
      <w:spacing w:lineRule="atLeast" w:line="300" w:before="300" w:after="200"/>
    </w:pPr>
    <w:rPr>
      <w:rFonts w:ascii="Palatino Linotype" w:hAnsi="Palatino Linotype" w:cs="PalatinoLinotype-Bold;Palatino Linotype"/>
      <w:b/>
      <w:bCs/>
    </w:rPr>
  </w:style>
  <w:style w:type="paragraph" w:styleId="MinisterialSign-offTitleDate">
    <w:name w:val="Ministerial Sign-off Title+Date"/>
    <w:basedOn w:val="NoParagraphStyle"/>
    <w:qFormat/>
    <w:pPr>
      <w:suppressAutoHyphens w:val="true"/>
      <w:spacing w:lineRule="atLeast" w:line="300"/>
    </w:pPr>
    <w:rPr>
      <w:rFonts w:ascii="Palatino Linotype" w:hAnsi="Palatino Linotype" w:cs="PalatinoLinotype-Bold;Palatino Linotype"/>
      <w:b/>
      <w:bCs/>
    </w:rPr>
  </w:style>
  <w:style w:type="paragraph" w:styleId="ENBodyTextNumbered">
    <w:name w:val="EN Body Text + Numbered"/>
    <w:basedOn w:val="NoParagraphStyle"/>
    <w:qFormat/>
    <w:pPr>
      <w:suppressAutoHyphens w:val="true"/>
      <w:spacing w:lineRule="atLeast" w:line="300" w:before="0" w:after="150"/>
      <w:ind w:hanging="600" w:left="600" w:right="0"/>
    </w:pPr>
    <w:rPr>
      <w:rFonts w:ascii="Palatino Linotype" w:hAnsi="Palatino Linotype" w:cs="PalatinoLinotype-Roman;Palatino Linotype"/>
    </w:rPr>
  </w:style>
  <w:style w:type="paragraph" w:styleId="ENbodytextwithindentENmaintext">
    <w:name w:val="EN body text with indent (EN main text)"/>
    <w:basedOn w:val="NoParagraphStyle"/>
    <w:qFormat/>
    <w:pPr>
      <w:suppressAutoHyphens w:val="true"/>
      <w:spacing w:lineRule="atLeast" w:line="300" w:before="0" w:after="150"/>
      <w:ind w:hanging="0" w:left="600" w:right="0"/>
    </w:pPr>
    <w:rPr>
      <w:rFonts w:ascii="Palatino Linotype" w:hAnsi="Palatino Linotype" w:cs="PalatinoLinotype-Roman;Palatino Linotype"/>
    </w:rPr>
  </w:style>
  <w:style w:type="paragraph" w:styleId="ENbodytextsub-bulletENmaintext">
    <w:name w:val="EN body text sub-bullet (EN main text)"/>
    <w:basedOn w:val="NoParagraphStyle"/>
    <w:qFormat/>
    <w:pPr>
      <w:numPr>
        <w:ilvl w:val="0"/>
        <w:numId w:val="5"/>
      </w:numPr>
      <w:suppressAutoHyphens w:val="true"/>
      <w:spacing w:lineRule="atLeast" w:line="300" w:before="0" w:after="150"/>
    </w:pPr>
    <w:rPr>
      <w:rFonts w:ascii="Palatino Linotype" w:hAnsi="Palatino Linotype" w:cs="PalatinoLinotype-Roman;Palatino Linotype"/>
    </w:rPr>
  </w:style>
  <w:style w:type="paragraph" w:styleId="ENpartheading3ENHeadings">
    <w:name w:val="EN part heading 3 (EN Headings)"/>
    <w:basedOn w:val="NoParagraphStyle"/>
    <w:qFormat/>
    <w:pPr>
      <w:keepNext w:val="true"/>
      <w:keepLines/>
      <w:suppressAutoHyphens w:val="true"/>
      <w:spacing w:lineRule="atLeast" w:line="480" w:before="480" w:after="240"/>
    </w:pPr>
    <w:rPr>
      <w:rFonts w:ascii="Arial" w:hAnsi="Arial" w:cs="HelveticaNeue-Bold;Arial"/>
      <w:b/>
      <w:bCs/>
      <w:color w:val="0076BF"/>
      <w:sz w:val="32"/>
      <w:szCs w:val="32"/>
    </w:rPr>
  </w:style>
  <w:style w:type="paragraph" w:styleId="ENHeading3ClauseSchedule">
    <w:name w:val="EN Heading (3) : Clause + Schedule"/>
    <w:basedOn w:val="NoParagraphStyle"/>
    <w:qFormat/>
    <w:pPr>
      <w:keepNext w:val="true"/>
      <w:keepLines/>
      <w:suppressAutoHyphens w:val="true"/>
      <w:spacing w:lineRule="atLeast" w:line="360" w:before="180" w:after="180"/>
    </w:pPr>
    <w:rPr>
      <w:rFonts w:ascii="Arial" w:hAnsi="Arial" w:cs="HelveticaNeue-Bold;Arial"/>
      <w:b/>
      <w:bCs/>
      <w:color w:val="0076BF"/>
      <w:sz w:val="28"/>
      <w:szCs w:val="28"/>
    </w:rPr>
  </w:style>
  <w:style w:type="paragraph" w:styleId="ENtableheadingsTables">
    <w:name w:val="EN table headings (Tables"/>
    <w:basedOn w:val="NoParagraphStyle"/>
    <w:qFormat/>
    <w:pPr>
      <w:suppressAutoHyphens w:val="true"/>
      <w:spacing w:lineRule="atLeast" w:line="240" w:before="120" w:after="120"/>
    </w:pPr>
    <w:rPr>
      <w:rFonts w:ascii="Arial" w:hAnsi="Arial" w:cs="HelveticaNeue-Bold;Arial"/>
      <w:b/>
      <w:bCs/>
      <w:szCs w:val="20"/>
    </w:rPr>
  </w:style>
  <w:style w:type="paragraph" w:styleId="ENtabletext">
    <w:name w:val="EN table text"/>
    <w:basedOn w:val="NoParagraphStyle"/>
    <w:qFormat/>
    <w:pPr>
      <w:suppressAutoHyphens w:val="true"/>
      <w:spacing w:lineRule="atLeast" w:line="240" w:before="0" w:after="120"/>
    </w:pPr>
    <w:rPr>
      <w:rFonts w:ascii="Arial" w:hAnsi="Arial" w:cs="HelveticaNeue;Arial"/>
      <w:szCs w:val="20"/>
    </w:rPr>
  </w:style>
  <w:style w:type="paragraph" w:styleId="ENFootnotetextENotherfeatures">
    <w:name w:val="EN Footnote text (EN other features)"/>
    <w:basedOn w:val="Normal"/>
    <w:qFormat/>
    <w:pPr>
      <w:keepLines/>
      <w:suppressAutoHyphens w:val="true"/>
      <w:spacing w:lineRule="auto" w:line="240" w:before="0" w:after="80"/>
      <w:ind w:hanging="284" w:left="284" w:right="0"/>
    </w:pPr>
    <w:rPr>
      <w:rFonts w:ascii="Arial" w:hAnsi="Arial" w:cs="HelveticaNeue;Arial"/>
      <w:sz w:val="12"/>
      <w:szCs w:val="19"/>
    </w:rPr>
  </w:style>
  <w:style w:type="paragraph" w:styleId="ENtablenumberedtextTables">
    <w:name w:val="EN table numbered text (Tables"/>
    <w:basedOn w:val="NoParagraphStyle"/>
    <w:qFormat/>
    <w:pPr>
      <w:suppressAutoHyphens w:val="true"/>
      <w:spacing w:lineRule="atLeast" w:line="240" w:before="0" w:after="120"/>
      <w:ind w:hanging="360" w:left="360" w:right="0"/>
    </w:pPr>
    <w:rPr>
      <w:rFonts w:ascii="Arial" w:hAnsi="Arial" w:cs="HelveticaNeue;Arial"/>
      <w:szCs w:val="20"/>
    </w:rPr>
  </w:style>
  <w:style w:type="paragraph" w:styleId="ENtabletextsub-bulletsTables">
    <w:name w:val="EN table text sub-bullets (Tables"/>
    <w:basedOn w:val="NoParagraphStyle"/>
    <w:qFormat/>
    <w:pPr>
      <w:numPr>
        <w:ilvl w:val="0"/>
        <w:numId w:val="7"/>
      </w:numPr>
      <w:suppressAutoHyphens w:val="true"/>
      <w:spacing w:lineRule="atLeast" w:line="240" w:before="0" w:after="120"/>
    </w:pPr>
    <w:rPr>
      <w:rFonts w:ascii="Arial" w:hAnsi="Arial" w:cs="HelveticaNeue;Arial"/>
      <w:szCs w:val="20"/>
    </w:rPr>
  </w:style>
  <w:style w:type="paragraph" w:styleId="ENexampleheading5Tables">
    <w:name w:val="EN example heading 5 (Tables"/>
    <w:basedOn w:val="NoParagraphStyle"/>
    <w:qFormat/>
    <w:pPr>
      <w:keepNext w:val="true"/>
      <w:keepLines/>
      <w:suppressAutoHyphens w:val="true"/>
      <w:spacing w:lineRule="atLeast" w:line="300" w:before="180" w:after="180"/>
    </w:pPr>
    <w:rPr>
      <w:rFonts w:ascii="Arial" w:hAnsi="Arial" w:cs="HelveticaNeue;Arial"/>
      <w:color w:val="0076BF"/>
      <w:sz w:val="26"/>
      <w:szCs w:val="26"/>
    </w:rPr>
  </w:style>
  <w:style w:type="paragraph" w:styleId="HeaderandFooter">
    <w:name w:val="Header and Footer"/>
    <w:basedOn w:val="Normal"/>
    <w:qFormat/>
    <w:pPr>
      <w:suppressLineNumbers/>
      <w:tabs>
        <w:tab w:val="clear" w:pos="720"/>
        <w:tab w:val="center" w:pos="4819" w:leader="none"/>
        <w:tab w:val="right" w:pos="9638" w:leader="none"/>
      </w:tabs>
    </w:pPr>
    <w:rPr/>
  </w:style>
  <w:style w:type="paragraph" w:styleId="Header">
    <w:name w:val="header"/>
    <w:basedOn w:val="Normal"/>
    <w:pPr/>
    <w:rPr/>
  </w:style>
  <w:style w:type="paragraph" w:styleId="Footer">
    <w:name w:val="footer"/>
    <w:basedOn w:val="Normal"/>
    <w:pPr/>
    <w:rPr>
      <w:sz w:val="20"/>
    </w:rPr>
  </w:style>
  <w:style w:type="paragraph" w:styleId="ENRunningfooterENotherfeatures">
    <w:name w:val="EN Running footer (EN other features)"/>
    <w:basedOn w:val="NoParagraphStyle"/>
    <w:qFormat/>
    <w:pPr>
      <w:suppressAutoHyphens w:val="true"/>
      <w:spacing w:lineRule="atLeast" w:line="240" w:before="0" w:after="150"/>
    </w:pPr>
    <w:rPr>
      <w:rFonts w:ascii="Arial" w:hAnsi="Arial" w:cs="HelveticaNeue-Italic;Helvetica Neue"/>
      <w:i/>
      <w:iCs/>
      <w:sz w:val="18"/>
      <w:szCs w:val="18"/>
    </w:rPr>
  </w:style>
  <w:style w:type="paragraph" w:styleId="BalloonText">
    <w:name w:val="Balloon Text"/>
    <w:basedOn w:val="Normal"/>
    <w:qFormat/>
    <w:pPr/>
    <w:rPr>
      <w:rFonts w:ascii="Tahoma" w:hAnsi="Tahoma" w:cs="Tahoma"/>
      <w:sz w:val="16"/>
      <w:szCs w:val="16"/>
    </w:rPr>
  </w:style>
  <w:style w:type="paragraph" w:styleId="Subtitle">
    <w:name w:val="Subtitle"/>
    <w:basedOn w:val="Normal"/>
    <w:next w:val="Normal"/>
    <w:qFormat/>
    <w:pPr>
      <w:spacing w:before="0" w:after="600"/>
    </w:pPr>
    <w:rPr>
      <w:rFonts w:ascii="Cambria" w:hAnsi="Cambria" w:eastAsia="Times New Roman" w:cs="Times New Roman"/>
      <w:i/>
      <w:iCs/>
      <w:spacing w:val="13"/>
      <w:sz w:val="24"/>
      <w:szCs w:val="24"/>
    </w:rPr>
  </w:style>
  <w:style w:type="paragraph" w:styleId="NoSpacing">
    <w:name w:val="No Spacing"/>
    <w:basedOn w:val="Normal"/>
    <w:qFormat/>
    <w:pPr>
      <w:spacing w:lineRule="auto" w:line="240" w:before="0" w:after="0"/>
    </w:pPr>
    <w:rPr/>
  </w:style>
  <w:style w:type="paragraph" w:styleId="ListParagraph">
    <w:name w:val="List Paragraph"/>
    <w:basedOn w:val="Normal"/>
    <w:qFormat/>
    <w:pPr>
      <w:spacing w:before="0" w:after="200"/>
      <w:ind w:hanging="0" w:left="720" w:right="0"/>
      <w:contextualSpacing/>
    </w:pPr>
    <w:rPr/>
  </w:style>
  <w:style w:type="paragraph" w:styleId="Quote">
    <w:name w:val="Quote"/>
    <w:basedOn w:val="Normal"/>
    <w:next w:val="Normal"/>
    <w:qFormat/>
    <w:pPr>
      <w:spacing w:before="200" w:after="0"/>
      <w:ind w:hanging="0" w:left="360" w:right="360"/>
    </w:pPr>
    <w:rPr>
      <w:i/>
      <w:iCs/>
    </w:rPr>
  </w:style>
  <w:style w:type="paragraph" w:styleId="IntenseQuote">
    <w:name w:val="Intense Quote"/>
    <w:basedOn w:val="Normal"/>
    <w:next w:val="Normal"/>
    <w:qFormat/>
    <w:pPr>
      <w:pBdr>
        <w:bottom w:val="single" w:sz="4" w:space="1" w:color="000000"/>
      </w:pBdr>
      <w:spacing w:before="200" w:after="280"/>
      <w:ind w:hanging="0" w:left="1008" w:right="1152"/>
      <w:jc w:val="both"/>
    </w:pPr>
    <w:rPr>
      <w:b/>
      <w:bCs/>
      <w:i/>
      <w:iCs/>
    </w:rPr>
  </w:style>
  <w:style w:type="paragraph" w:styleId="TOCHeading">
    <w:name w:val="TOC Heading"/>
    <w:basedOn w:val="Heading1"/>
    <w:next w:val="Normal"/>
    <w:qFormat/>
    <w:pPr>
      <w:numPr>
        <w:ilvl w:val="0"/>
        <w:numId w:val="0"/>
      </w:numPr>
      <w:outlineLvl w:val="9"/>
    </w:pPr>
    <w:rPr/>
  </w:style>
  <w:style w:type="paragraph" w:styleId="FootnoteText">
    <w:name w:val="footnote text"/>
    <w:basedOn w:val="Normal"/>
    <w:pPr>
      <w:spacing w:lineRule="auto" w:line="240" w:before="0" w:after="120"/>
    </w:pPr>
    <w:rPr>
      <w:sz w:val="18"/>
      <w:szCs w:val="20"/>
    </w:rPr>
  </w:style>
  <w:style w:type="paragraph" w:styleId="TOC1">
    <w:name w:val="toc 1"/>
    <w:basedOn w:val="Normal"/>
    <w:next w:val="Normal"/>
    <w:pPr>
      <w:spacing w:before="120" w:after="120"/>
      <w:jc w:val="right"/>
    </w:pPr>
    <w:rPr>
      <w:rFonts w:ascii="Palatino Linotype" w:hAnsi="Palatino Linotype" w:cs="Palatino Linotype"/>
      <w:b/>
      <w:bCs/>
      <w:sz w:val="28"/>
      <w:szCs w:val="20"/>
    </w:rPr>
  </w:style>
  <w:style w:type="paragraph" w:styleId="TOC2">
    <w:name w:val="toc 2"/>
    <w:basedOn w:val="Normal"/>
    <w:next w:val="Normal"/>
    <w:pPr>
      <w:spacing w:before="0" w:after="0"/>
    </w:pPr>
    <w:rPr>
      <w:rFonts w:ascii="Palatino Linotype" w:hAnsi="Palatino Linotype" w:cs="Palatino Linotype"/>
      <w:sz w:val="24"/>
      <w:szCs w:val="20"/>
    </w:rPr>
  </w:style>
  <w:style w:type="paragraph" w:styleId="TOC3">
    <w:name w:val="toc 3"/>
    <w:basedOn w:val="Normal"/>
    <w:next w:val="Normal"/>
    <w:pPr>
      <w:spacing w:before="0" w:after="0"/>
    </w:pPr>
    <w:rPr>
      <w:rFonts w:ascii="Palatino Linotype" w:hAnsi="Palatino Linotype" w:cs="Palatino Linotype"/>
      <w:iCs/>
      <w:sz w:val="20"/>
      <w:szCs w:val="20"/>
    </w:rPr>
  </w:style>
  <w:style w:type="paragraph" w:styleId="TOC4">
    <w:name w:val="toc 4"/>
    <w:basedOn w:val="Normal"/>
    <w:next w:val="Normal"/>
    <w:pPr>
      <w:spacing w:before="0" w:after="0"/>
      <w:ind w:hanging="0" w:left="660" w:right="0"/>
    </w:pPr>
    <w:rPr>
      <w:sz w:val="18"/>
      <w:szCs w:val="18"/>
    </w:rPr>
  </w:style>
  <w:style w:type="paragraph" w:styleId="TOC5">
    <w:name w:val="toc 5"/>
    <w:basedOn w:val="Normal"/>
    <w:next w:val="Normal"/>
    <w:pPr>
      <w:spacing w:before="0" w:after="0"/>
      <w:ind w:hanging="0" w:left="880" w:right="0"/>
    </w:pPr>
    <w:rPr>
      <w:sz w:val="18"/>
      <w:szCs w:val="18"/>
    </w:rPr>
  </w:style>
  <w:style w:type="paragraph" w:styleId="TOC6">
    <w:name w:val="toc 6"/>
    <w:basedOn w:val="Normal"/>
    <w:next w:val="Normal"/>
    <w:pPr>
      <w:spacing w:before="0" w:after="0"/>
      <w:ind w:hanging="0" w:left="1100" w:right="0"/>
    </w:pPr>
    <w:rPr>
      <w:sz w:val="18"/>
      <w:szCs w:val="18"/>
    </w:rPr>
  </w:style>
  <w:style w:type="paragraph" w:styleId="TOC7">
    <w:name w:val="toc 7"/>
    <w:basedOn w:val="Normal"/>
    <w:next w:val="Normal"/>
    <w:pPr>
      <w:spacing w:before="0" w:after="0"/>
      <w:ind w:hanging="0" w:left="1320" w:right="0"/>
    </w:pPr>
    <w:rPr>
      <w:sz w:val="18"/>
      <w:szCs w:val="18"/>
    </w:rPr>
  </w:style>
  <w:style w:type="paragraph" w:styleId="TOC8">
    <w:name w:val="toc 8"/>
    <w:basedOn w:val="Normal"/>
    <w:next w:val="Normal"/>
    <w:pPr>
      <w:spacing w:before="0" w:after="0"/>
      <w:ind w:hanging="0" w:left="1540" w:right="0"/>
    </w:pPr>
    <w:rPr>
      <w:sz w:val="18"/>
      <w:szCs w:val="18"/>
    </w:rPr>
  </w:style>
  <w:style w:type="paragraph" w:styleId="TOC9">
    <w:name w:val="toc 9"/>
    <w:basedOn w:val="Normal"/>
    <w:next w:val="Normal"/>
    <w:pPr>
      <w:spacing w:before="0" w:after="0"/>
      <w:ind w:hanging="0" w:left="1760" w:right="0"/>
    </w:pPr>
    <w:rPr>
      <w:sz w:val="18"/>
      <w:szCs w:val="18"/>
    </w:rPr>
  </w:style>
  <w:style w:type="paragraph" w:styleId="ENHeading1Unindexed">
    <w:name w:val="EN Heading (1) : Unindexed"/>
    <w:basedOn w:val="ENHeading1Category"/>
    <w:qFormat/>
    <w:pPr/>
    <w:rPr>
      <w:sz w:val="32"/>
    </w:rPr>
  </w:style>
  <w:style w:type="paragraph" w:styleId="TOCHeading1">
    <w:name w:val="TOC Heading1"/>
    <w:basedOn w:val="ENHeading1Category"/>
    <w:qFormat/>
    <w:pPr/>
    <w:rPr/>
  </w:style>
  <w:style w:type="paragraph" w:styleId="TTableText">
    <w:name w:val="T: Table Text"/>
    <w:basedOn w:val="ENtabletext"/>
    <w:qFormat/>
    <w:pPr/>
    <w:rPr>
      <w:sz w:val="16"/>
    </w:rPr>
  </w:style>
  <w:style w:type="paragraph" w:styleId="MinisterialSignoff">
    <w:name w:val="Ministerial Sign off"/>
    <w:basedOn w:val="MinisterialSign-offName"/>
    <w:qFormat/>
    <w:pPr/>
    <w:rPr/>
  </w:style>
  <w:style w:type="paragraph" w:styleId="ParaMainText">
    <w:name w:val="Para: Main Text"/>
    <w:basedOn w:val="ENBodyText"/>
    <w:qFormat/>
    <w:pPr/>
    <w:rPr/>
  </w:style>
  <w:style w:type="paragraph" w:styleId="ParaNumbered">
    <w:name w:val="Para: Numbered"/>
    <w:basedOn w:val="ParaMainText"/>
    <w:qFormat/>
    <w:pPr>
      <w:numPr>
        <w:ilvl w:val="0"/>
        <w:numId w:val="3"/>
      </w:numPr>
      <w:spacing w:lineRule="atLeast" w:line="200"/>
      <w:ind w:hanging="357" w:left="714" w:right="0"/>
    </w:pPr>
    <w:rPr/>
  </w:style>
  <w:style w:type="paragraph" w:styleId="MinisterialStatementText">
    <w:name w:val="Ministerial Statement Text"/>
    <w:basedOn w:val="ENBodyText"/>
    <w:qFormat/>
    <w:pPr/>
    <w:rPr/>
  </w:style>
  <w:style w:type="paragraph" w:styleId="ENIntroText">
    <w:name w:val="EN Intro Text"/>
    <w:basedOn w:val="ENBodyText"/>
    <w:qFormat/>
    <w:pPr/>
    <w:rPr/>
  </w:style>
  <w:style w:type="paragraph" w:styleId="ParaBulleted">
    <w:name w:val="Para: Bulleted"/>
    <w:basedOn w:val="ParaMainText"/>
    <w:qFormat/>
    <w:pPr>
      <w:numPr>
        <w:ilvl w:val="0"/>
        <w:numId w:val="9"/>
      </w:numPr>
    </w:pPr>
    <w:rPr/>
  </w:style>
  <w:style w:type="paragraph" w:styleId="ENIntroTextBulleted">
    <w:name w:val="EN Intro Text (Bulleted)"/>
    <w:basedOn w:val="ENBodyTextBullets"/>
    <w:qFormat/>
    <w:pPr>
      <w:numPr>
        <w:ilvl w:val="0"/>
        <w:numId w:val="6"/>
      </w:numPr>
    </w:pPr>
    <w:rPr/>
  </w:style>
  <w:style w:type="paragraph" w:styleId="HSubheading4">
    <w:name w:val="H: Subheading 4"/>
    <w:basedOn w:val="Heading4"/>
    <w:next w:val="ParaNumbered"/>
    <w:qFormat/>
    <w:pPr>
      <w:numPr>
        <w:ilvl w:val="0"/>
        <w:numId w:val="0"/>
      </w:numPr>
      <w:ind w:hanging="0" w:left="0"/>
      <w:outlineLvl w:val="9"/>
    </w:pPr>
    <w:rPr>
      <w:szCs w:val="24"/>
    </w:rPr>
  </w:style>
  <w:style w:type="paragraph" w:styleId="ScheduleHeading">
    <w:name w:val="Schedule Heading"/>
    <w:basedOn w:val="Heading3"/>
    <w:qFormat/>
    <w:pPr>
      <w:numPr>
        <w:ilvl w:val="0"/>
        <w:numId w:val="8"/>
      </w:numPr>
      <w:ind w:hanging="1701" w:left="1701" w:right="0"/>
      <w:outlineLvl w:val="9"/>
    </w:pPr>
    <w:rPr/>
  </w:style>
  <w:style w:type="paragraph" w:styleId="HSubheading3">
    <w:name w:val="H: Subheading 3"/>
    <w:basedOn w:val="Heading3"/>
    <w:next w:val="ParaNumbered"/>
    <w:qFormat/>
    <w:pPr>
      <w:numPr>
        <w:ilvl w:val="0"/>
        <w:numId w:val="0"/>
      </w:numPr>
      <w:ind w:hanging="0" w:left="0" w:right="0"/>
      <w:outlineLvl w:val="9"/>
    </w:pPr>
    <w:rPr>
      <w:szCs w:val="28"/>
    </w:rPr>
  </w:style>
  <w:style w:type="paragraph" w:styleId="deletedsectionheading">
    <w:name w:val="deleted section heading"/>
    <w:basedOn w:val="HSubheading4"/>
    <w:qFormat/>
    <w:pPr/>
    <w:rPr>
      <w:b/>
    </w:rPr>
  </w:style>
  <w:style w:type="paragraph" w:styleId="HSubheading2">
    <w:name w:val="H: Subheading 2"/>
    <w:basedOn w:val="Heading2"/>
    <w:next w:val="ParaNumbered"/>
    <w:qFormat/>
    <w:pPr>
      <w:numPr>
        <w:ilvl w:val="0"/>
        <w:numId w:val="0"/>
      </w:numPr>
      <w:outlineLvl w:val="9"/>
    </w:pPr>
    <w:rPr/>
  </w:style>
  <w:style w:type="paragraph" w:styleId="SectionHeading">
    <w:name w:val="Section Heading"/>
    <w:basedOn w:val="Heading4"/>
    <w:qFormat/>
    <w:pPr>
      <w:numPr>
        <w:ilvl w:val="0"/>
        <w:numId w:val="4"/>
      </w:numPr>
      <w:ind w:hanging="1134" w:left="1134" w:right="0"/>
      <w:outlineLvl w:val="9"/>
    </w:pPr>
    <w:rPr/>
  </w:style>
  <w:style w:type="paragraph" w:styleId="StyleENBilltitleLatinPalatinoLinotype12ptNotBo">
    <w:name w:val="Style EN Bill title + (Latin) Palatino Linotype 12 pt Not Bo..."/>
    <w:basedOn w:val="ENBilltitle"/>
    <w:qFormat/>
    <w:pPr/>
    <w:rPr>
      <w:rFonts w:ascii="Palatino Linotype" w:hAnsi="Palatino Linotype" w:cs="Palatino Linotype"/>
      <w:b w:val="false"/>
      <w:bCs w:val="false"/>
      <w:caps w:val="false"/>
      <w:smallCaps w:val="false"/>
      <w:spacing w:val="0"/>
      <w:sz w:val="20"/>
    </w:rPr>
  </w:style>
  <w:style w:type="paragraph" w:styleId="StyleENBilltitleText1">
    <w:name w:val="Style EN Bill title + Text 1"/>
    <w:basedOn w:val="ENBilltitle"/>
    <w:qFormat/>
    <w:pPr/>
    <w:rPr>
      <w:color w:val="000000"/>
    </w:rPr>
  </w:style>
  <w:style w:type="paragraph" w:styleId="StyleENIntroTextBulletedText1">
    <w:name w:val="Style EN Intro Text (Bulleted) + Text 1"/>
    <w:basedOn w:val="ENIntroTextBulleted"/>
    <w:qFormat/>
    <w:pPr/>
    <w:rPr>
      <w:color w:val="000000"/>
    </w:rPr>
  </w:style>
  <w:style w:type="paragraph" w:styleId="StyleENIntroText16pt">
    <w:name w:val="Style EN Intro Text + 16 pt"/>
    <w:basedOn w:val="ENIntroText"/>
    <w:qFormat/>
    <w:pPr/>
    <w:rPr/>
  </w:style>
  <w:style w:type="paragraph" w:styleId="StyleENIntroTextLatinPalatinoLinotypeAuto">
    <w:name w:val="Style EN Intro Text + (Latin) Palatino Linotype Auto"/>
    <w:basedOn w:val="ENIntroText"/>
    <w:qFormat/>
    <w:pPr/>
    <w:rPr>
      <w:color w:val="000000"/>
    </w:rPr>
  </w:style>
  <w:style w:type="paragraph" w:styleId="StyleMainTextBoldAllcapsExpandedby01pt">
    <w:name w:val="Style Main Text + Bold All caps Expanded by  0.1 pt"/>
    <w:basedOn w:val="ParaMainText"/>
    <w:qFormat/>
    <w:pPr/>
    <w:rPr>
      <w:b/>
      <w:bCs/>
      <w:caps/>
      <w:spacing w:val="2"/>
    </w:rPr>
  </w:style>
  <w:style w:type="paragraph" w:styleId="StyleTOC112pt">
    <w:name w:val="Style TOC 1 + 12 pt"/>
    <w:basedOn w:val="TOC1"/>
    <w:qFormat/>
    <w:pPr/>
    <w:rPr>
      <w:bCs w:val="false"/>
      <w:sz w:val="20"/>
    </w:rPr>
  </w:style>
  <w:style w:type="paragraph" w:styleId="StyleTOC1Bold">
    <w:name w:val="Style TOC 1 + Bold"/>
    <w:basedOn w:val="TOC1"/>
    <w:qFormat/>
    <w:pPr/>
    <w:rPr>
      <w:b w:val="false"/>
      <w:sz w:val="24"/>
    </w:rPr>
  </w:style>
  <w:style w:type="paragraph" w:styleId="StyleTOC1BoldRight">
    <w:name w:val="Style TOC 1 + Bold Right"/>
    <w:basedOn w:val="TOC1"/>
    <w:qFormat/>
    <w:pPr/>
    <w:rPr>
      <w:rFonts w:eastAsia="Times New Roman" w:cs="Times New Roman"/>
      <w:b w:val="false"/>
      <w:sz w:val="24"/>
    </w:rPr>
  </w:style>
  <w:style w:type="paragraph" w:styleId="HSubheading5">
    <w:name w:val="H: Subheading 5"/>
    <w:basedOn w:val="Heading5"/>
    <w:next w:val="ParaNumbered"/>
    <w:qFormat/>
    <w:pPr>
      <w:numPr>
        <w:ilvl w:val="0"/>
        <w:numId w:val="0"/>
      </w:numPr>
      <w:ind w:hanging="0" w:left="0"/>
      <w:outlineLvl w:val="9"/>
    </w:pPr>
    <w:rPr/>
  </w:style>
  <w:style w:type="paragraph" w:styleId="ReferenceExample">
    <w:name w:val="Reference/Example"/>
    <w:basedOn w:val="HSubheading4"/>
    <w:next w:val="ParaMainText"/>
    <w:qFormat/>
    <w:pPr>
      <w:spacing w:lineRule="auto" w:line="240"/>
    </w:pPr>
    <w:rPr/>
  </w:style>
  <w:style w:type="paragraph" w:styleId="BackPageText">
    <w:name w:val="BackPageText"/>
    <w:basedOn w:val="Normal"/>
    <w:qFormat/>
    <w:pPr/>
    <w:rPr/>
  </w:style>
  <w:style w:type="paragraph" w:styleId="StyleLatinPalatinoLinotype10ptFirstline127cm">
    <w:name w:val="Style (Latin) Palatino Linotype 10 pt First line:  1.27 cm"/>
    <w:basedOn w:val="Normal"/>
    <w:qFormat/>
    <w:pPr>
      <w:ind w:firstLine="720" w:left="0" w:right="0"/>
    </w:pPr>
    <w:rPr>
      <w:rFonts w:ascii="Palatino Linotype" w:hAnsi="Palatino Linotype" w:eastAsia="Times New Roman" w:cs="Times New Roman"/>
      <w:sz w:val="20"/>
      <w:szCs w:val="20"/>
    </w:rPr>
  </w:style>
  <w:style w:type="paragraph" w:styleId="StyleENIntroTextBulletedLatinPalatinoLinotype-Roman">
    <w:name w:val="Style EN Intro Text (Bulleted) + (Latin) Palatino Linotype-Roman"/>
    <w:basedOn w:val="ENIntroTextBulleted"/>
    <w:qFormat/>
    <w:pPr/>
    <w:rPr/>
  </w:style>
  <w:style w:type="paragraph" w:styleId="StyleENIntroTextLatinPalatinoLinotype-Roman">
    <w:name w:val="Style EN Intro Text + (Latin) Palatino Linotype-Roman"/>
    <w:basedOn w:val="ENIntroText"/>
    <w:qFormat/>
    <w:pPr/>
    <w:rPr/>
  </w:style>
  <w:style w:type="paragraph" w:styleId="StyleStyleENIntroTextLatinPalatinoLinotype-RomanBackg">
    <w:name w:val="Style Style EN Intro Text + (Latin) Palatino Linotype-Roman + Backg..."/>
    <w:basedOn w:val="StyleENIntroTextLatinPalatinoLinotype-Roman"/>
    <w:qFormat/>
    <w:pPr/>
    <w:rPr>
      <w:color w:val="808080"/>
    </w:rPr>
  </w:style>
  <w:style w:type="paragraph" w:styleId="TableContents">
    <w:name w:val="Table Contents"/>
    <w:basedOn w:val="Normal"/>
    <w:qFormat/>
    <w:pPr>
      <w:widowControl w:val="false"/>
      <w:suppressLineNumbers/>
    </w:pPr>
    <w:rPr/>
  </w:style>
  <w:style w:type="paragraph" w:styleId="TableHeading">
    <w:name w:val="Table Heading"/>
    <w:basedOn w:val="TableContents"/>
    <w:qFormat/>
    <w:pPr>
      <w:suppressLineNumbers/>
      <w:jc w:val="center"/>
    </w:pPr>
    <w:rPr>
      <w:b/>
      <w:bCs/>
    </w:rPr>
  </w:style>
  <w:style w:type="paragraph" w:styleId="FrameContents">
    <w:name w:val="Frame Contents"/>
    <w:basedOn w:val="Normal"/>
    <w:qFormat/>
    <w:pPr/>
    <w:rPr/>
  </w:style>
  <w:style w:type="numbering" w:styleId="WW8Num1">
    <w:name w:val="WW8Num1"/>
    <w:qFormat/>
  </w:style>
  <w:style w:type="numbering" w:styleId="WW8Num2">
    <w:name w:val="WW8Num2"/>
    <w:qFormat/>
  </w:style>
  <w:style w:type="numbering" w:styleId="WW8Num3">
    <w:name w:val="WW8Num3"/>
    <w:qFormat/>
  </w:style>
  <w:style w:type="numbering" w:styleId="WW8Num4">
    <w:name w:val="WW8Num4"/>
    <w:qFormat/>
  </w:style>
  <w:style w:type="numbering" w:styleId="WW8Num5">
    <w:name w:val="WW8Num5"/>
    <w:qFormat/>
  </w:style>
  <w:style w:type="numbering" w:styleId="WW8Num6">
    <w:name w:val="WW8Num6"/>
    <w:qFormat/>
  </w:style>
  <w:style w:type="numbering" w:styleId="WW8Num7">
    <w:name w:val="WW8Num7"/>
    <w:qFormat/>
  </w:style>
  <w:style w:type="numbering" w:styleId="WW8Num8">
    <w:name w:val="WW8Num8"/>
    <w:qFormat/>
  </w:style>
  <w:style w:type="numbering" w:styleId="WW8Num9">
    <w:name w:val="WW8Num9"/>
    <w:qFormat/>
  </w:style>
  <w:style w:type="numbering" w:styleId="WW8Num10">
    <w:name w:val="WW8Num10"/>
    <w:qFormat/>
  </w:style>
  <w:style w:type="numbering" w:styleId="WW8Num11">
    <w:name w:val="WW8Num11"/>
    <w:qFormat/>
  </w:style>
  <w:style w:type="numbering" w:styleId="WW8Num12">
    <w:name w:val="WW8Num12"/>
    <w:qFormat/>
  </w:style>
  <w:style w:type="numbering" w:styleId="WW8Num13">
    <w:name w:val="WW8Num13"/>
    <w:qFormat/>
  </w:style>
  <w:style w:type="numbering" w:styleId="WW8Num14">
    <w:name w:val="WW8Num14"/>
    <w:qFormat/>
  </w:style>
  <w:style w:type="numbering" w:styleId="WW8Num15">
    <w:name w:val="WW8Num15"/>
    <w:qFormat/>
  </w:style>
  <w:style w:type="numbering" w:styleId="WW8Num16">
    <w:name w:val="WW8Num16"/>
    <w:qFormat/>
  </w:style>
  <w:style w:type="numbering" w:styleId="WW8Num17">
    <w:name w:val="WW8Num17"/>
    <w:qFormat/>
  </w:style>
  <w:style w:type="numbering" w:styleId="WW8Num18">
    <w:name w:val="WW8Num18"/>
    <w:qFormat/>
  </w:style>
  <w:style w:type="numbering" w:styleId="WW8Num19">
    <w:name w:val="WW8Num19"/>
    <w:qFormat/>
  </w:style>
  <w:style w:type="numbering" w:styleId="WW8Num20">
    <w:name w:val="WW8Num20"/>
    <w:qFormat/>
  </w:style>
  <w:style w:type="numbering" w:styleId="WW8Num21">
    <w:name w:val="WW8Num21"/>
    <w:qFormat/>
  </w:style>
  <w:style w:type="numbering" w:styleId="WW8Num22">
    <w:name w:val="WW8Num22"/>
    <w:qFormat/>
  </w:style>
  <w:style w:type="numbering" w:styleId="WW8Num23">
    <w:name w:val="WW8Num23"/>
    <w:qFormat/>
  </w:style>
  <w:style w:type="numbering" w:styleId="WW8Num24">
    <w:name w:val="WW8Num24"/>
    <w:qFormat/>
  </w:style>
  <w:style w:type="numbering" w:styleId="WW8Num25">
    <w:name w:val="WW8Num25"/>
    <w:qFormat/>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hyperlink" Target="https://hansard.parliament.uk/lords/2017-07-03/debates/07FB0872-4F27-496E-B539-4C3C1EF7456E/ChildrenAct1989(Amendment)(FemaleGenitalMutilation)Bill(HL)" TargetMode="External"/><Relationship Id="rId3" Type="http://schemas.openxmlformats.org/officeDocument/2006/relationships/hyperlink" Target="https://hansard.parliament.uk/lords/2018-07-20/debates/DFDB9E26-055F-4B93-8098-F854EDB3F1FD/ChildrenAct1989(Amendment)(FemaleGenitalMutilation)Bill(HL)" TargetMode="External"/><Relationship Id="rId4" Type="http://schemas.openxmlformats.org/officeDocument/2006/relationships/hyperlink" Target="https://hansard.parliament.uk/Lords/2018-10-26/debates/DDE17518-575B-47AB-A011-30FD17E0BFFC/ChildrenAct1989(Amendment)(FemaleGenitalMutilation)Bill(HL)" TargetMode="External"/><Relationship Id="rId5" Type="http://schemas.openxmlformats.org/officeDocument/2006/relationships/hyperlink" Target="https://hansard.parliament.uk/Lords/2018-11-12/debates/D4F6315B-C410-48DD-AE2B-302978E16597/ChildrenAct1989(Amendment)(FemaleGenitalMutilation)Bill(HL)" TargetMode="External"/><Relationship Id="rId6" Type="http://schemas.openxmlformats.org/officeDocument/2006/relationships/hyperlink" Target="https://hansard.parliament.uk/Lords/2018-11-19/debates/705F1F05-EDB8-4D7C-ADBD-527BEFB91BEC/ChildrenAct1989(Amendment)(FemaleGenitalMutilation)Bill(HL)" TargetMode="External"/><Relationship Id="rId7" Type="http://schemas.openxmlformats.org/officeDocument/2006/relationships/hyperlink" Target="https://hansard.parliament.uk/Commons/2019-02-25/debates/af5dd9d2-224a-430a-9c58-67c0b1942c66/ChildrenAct1989(Amendment)(FemaleGenitalMutilation)Bill(Lords)" TargetMode="External"/><Relationship Id="rId8" Type="http://schemas.openxmlformats.org/officeDocument/2006/relationships/hyperlink" Target="https://hansard.parliament.uk/Commons/2019-03-05/debates/6f63dbaf-fddb-4514-a05f-41c00bf6376d/ChildrenAct1989(Amendment)(FemaleGenitalMutilation)Bill(Lords)(FirstSitting)" TargetMode="External"/><Relationship Id="rId9" Type="http://schemas.openxmlformats.org/officeDocument/2006/relationships/hyperlink" Target="https://hansard.parliament.uk/commons/2019-03-11/debates/A5AEF02E-19BF-4569-AF50-0A7F3102BEA7/ChildrenAct1989(Amendment)(FemaleGenitalMutilation)Bill(Lords)" TargetMode="External"/><Relationship Id="rId10" Type="http://schemas.openxmlformats.org/officeDocument/2006/relationships/header" Target="header1.xml"/><Relationship Id="rId11" Type="http://schemas.openxmlformats.org/officeDocument/2006/relationships/header" Target="header2.xml"/><Relationship Id="rId12" Type="http://schemas.openxmlformats.org/officeDocument/2006/relationships/footer" Target="footer1.xml"/><Relationship Id="rId13" Type="http://schemas.openxmlformats.org/officeDocument/2006/relationships/footer" Target="footer2.xml"/><Relationship Id="rId14" Type="http://schemas.openxmlformats.org/officeDocument/2006/relationships/numbering" Target="numbering.xml"/><Relationship Id="rId15" Type="http://schemas.openxmlformats.org/officeDocument/2006/relationships/fontTable" Target="fontTable.xml"/><Relationship Id="rId16" Type="http://schemas.openxmlformats.org/officeDocument/2006/relationships/settings" Target="settings.xml"/><Relationship Id="rId17"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Normal.dotm</Template>
  <TotalTime>118</TotalTime>
  <Application>LibreOffice/25.2.7.2$Windows_X86_64 LibreOffice_project/5cbfd1ab6520636bb5f7b99185aa69bd7456825d</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2019-03-18T12:58:00Z</dcterms:created>
  <dc:creator>Guidance</dc:creator>
  <dc:description>Template last amended 01/02/2016</dc:description>
  <cp:keywords>v.1.5.2</cp:keywords>
  <dc:language>en-GB</dc:language>
  <cp:lastModifiedBy>Eaglesfield, Jack</cp:lastModifiedBy>
  <cp:lastPrinted>2016-01-06T10:34:00Z</cp:lastPrinted>
  <dcterms:modified xsi:type="dcterms:W3CDTF">2019-03-18T14:55:00Z</dcterms:modified>
  <cp:revision>3</cp:revision>
  <dc:subject/>
  <dc:title/>
</cp:coreProperties>
</file>