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6544EF" w:rsidP="0067758B">
      <w:pPr>
        <w:pStyle w:val="StyleENBilltitleText1"/>
        <w:rPr>
          <w:color w:val="auto"/>
          <w:lang w:val="en-GB"/>
        </w:rPr>
      </w:pPr>
      <w:r>
        <w:rPr>
          <w:rStyle w:val="PlaceholderText"/>
          <w:color w:val="auto"/>
          <w:lang w:val="en-GB"/>
        </w:rPr>
        <w:t>Holocaust (return of cultural objects) (Amendment) Act 2019</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6544EF">
        <w:rPr>
          <w:color w:val="auto"/>
        </w:rPr>
        <w:t xml:space="preserve"> Holocaust (Return of Cultural Objects) (Amendment) Act 2019 (c. 20) which received Royal Assent on 4 July 2019.</w:t>
      </w:r>
      <w:r w:rsidR="005F4902" w:rsidRPr="007879DF">
        <w:rPr>
          <w:color w:val="auto"/>
        </w:rPr>
        <w:t xml:space="preserve"> </w:t>
      </w:r>
    </w:p>
    <w:p w:rsidR="00E718E1" w:rsidRPr="00AE5693" w:rsidRDefault="00E718E1" w:rsidP="00146FE0">
      <w:pPr>
        <w:pStyle w:val="StyleENIntroTextBulletedLatinPalatinoLinotype-Roman"/>
      </w:pPr>
      <w:r w:rsidRPr="007879DF">
        <w:rPr>
          <w:color w:val="auto"/>
        </w:rPr>
        <w:t xml:space="preserve">These Explanatory Notes have been </w:t>
      </w:r>
      <w:r w:rsidR="00253AC7">
        <w:rPr>
          <w:rStyle w:val="StylePlaceholderTextLatinPalatinoLinotype-Roman10pt"/>
          <w:color w:val="auto"/>
        </w:rPr>
        <w:t>Department for Digital, C</w:t>
      </w:r>
      <w:r w:rsidR="006544EF">
        <w:rPr>
          <w:rStyle w:val="StylePlaceholderTextLatinPalatinoLinotype-Roman10pt"/>
          <w:color w:val="auto"/>
        </w:rPr>
        <w:t>ulture, Media and Sport</w:t>
      </w:r>
      <w:r w:rsidRPr="007879DF">
        <w:rPr>
          <w:color w:val="auto"/>
        </w:rPr>
        <w:t xml:space="preserve"> in order to assist the reader </w:t>
      </w:r>
      <w:r w:rsidR="006544EF">
        <w:t>in understanding the Act</w:t>
      </w:r>
      <w:r w:rsidRPr="007879DF">
        <w:rPr>
          <w:color w:val="auto"/>
        </w:rPr>
        <w:t>. They do not form part of the</w:t>
      </w:r>
      <w:r w:rsidRPr="00146FE0">
        <w:t xml:space="preserve"> </w:t>
      </w:r>
      <w:r w:rsidR="006544EF">
        <w:t>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6544EF">
        <w:t>Act</w:t>
      </w:r>
      <w:r w:rsidR="00F4644B" w:rsidRPr="00146FE0">
        <w:t xml:space="preserve"> </w:t>
      </w:r>
      <w:r w:rsidR="00FD6AE0" w:rsidRPr="00146FE0">
        <w:t xml:space="preserve">will mean in practice; provide background information on the development of policy; and provide additional information on how the </w:t>
      </w:r>
      <w:r w:rsidR="006544EF">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6544EF">
        <w:t>Act</w:t>
      </w:r>
      <w:r w:rsidRPr="00146FE0">
        <w:t xml:space="preserve">. They are not, and are not intended to be, a comprehensive description of the </w:t>
      </w:r>
      <w:r w:rsidR="006544EF">
        <w:t>Act</w:t>
      </w:r>
      <w:r w:rsidR="005D36BD" w:rsidRPr="00146FE0">
        <w:t>.</w:t>
      </w:r>
    </w:p>
    <w:p w:rsidR="00C54216" w:rsidRPr="00CA4237" w:rsidRDefault="000815DA" w:rsidP="00EC4FF9">
      <w:pPr>
        <w:pStyle w:val="ENHeading1Unindexed"/>
        <w:rPr>
          <w:lang w:val="en-GB"/>
        </w:rPr>
      </w:pPr>
      <w:r w:rsidRPr="006544EF">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FB1836"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22286223" w:history="1">
        <w:r w:rsidR="00FB1836" w:rsidRPr="00A166CD">
          <w:rPr>
            <w:rStyle w:val="Hyperlink"/>
            <w:noProof/>
          </w:rPr>
          <w:t>Overview of the Act</w:t>
        </w:r>
        <w:r w:rsidR="00FB1836">
          <w:rPr>
            <w:noProof/>
            <w:webHidden/>
          </w:rPr>
          <w:tab/>
        </w:r>
        <w:r w:rsidR="00FB1836">
          <w:rPr>
            <w:noProof/>
            <w:webHidden/>
          </w:rPr>
          <w:fldChar w:fldCharType="begin"/>
        </w:r>
        <w:r w:rsidR="00FB1836">
          <w:rPr>
            <w:noProof/>
            <w:webHidden/>
          </w:rPr>
          <w:instrText xml:space="preserve"> PAGEREF _Toc22286223 \h </w:instrText>
        </w:r>
        <w:r w:rsidR="00FB1836">
          <w:rPr>
            <w:noProof/>
            <w:webHidden/>
          </w:rPr>
        </w:r>
        <w:r w:rsidR="00FB1836">
          <w:rPr>
            <w:noProof/>
            <w:webHidden/>
          </w:rPr>
          <w:fldChar w:fldCharType="separate"/>
        </w:r>
        <w:r w:rsidR="00FB1836">
          <w:rPr>
            <w:noProof/>
            <w:webHidden/>
          </w:rPr>
          <w:t>3</w:t>
        </w:r>
        <w:r w:rsidR="00FB1836">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24" w:history="1">
        <w:r w:rsidRPr="00A166CD">
          <w:rPr>
            <w:rStyle w:val="Hyperlink"/>
            <w:noProof/>
          </w:rPr>
          <w:t>Policy background</w:t>
        </w:r>
        <w:r>
          <w:rPr>
            <w:noProof/>
            <w:webHidden/>
          </w:rPr>
          <w:tab/>
        </w:r>
        <w:r>
          <w:rPr>
            <w:noProof/>
            <w:webHidden/>
          </w:rPr>
          <w:fldChar w:fldCharType="begin"/>
        </w:r>
        <w:r>
          <w:rPr>
            <w:noProof/>
            <w:webHidden/>
          </w:rPr>
          <w:instrText xml:space="preserve"> PAGEREF _Toc22286224 \h </w:instrText>
        </w:r>
        <w:r>
          <w:rPr>
            <w:noProof/>
            <w:webHidden/>
          </w:rPr>
        </w:r>
        <w:r>
          <w:rPr>
            <w:noProof/>
            <w:webHidden/>
          </w:rPr>
          <w:fldChar w:fldCharType="separate"/>
        </w:r>
        <w:r>
          <w:rPr>
            <w:noProof/>
            <w:webHidden/>
          </w:rPr>
          <w:t>3</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25" w:history="1">
        <w:r w:rsidRPr="00A166CD">
          <w:rPr>
            <w:rStyle w:val="Hyperlink"/>
            <w:noProof/>
          </w:rPr>
          <w:t>Legal background</w:t>
        </w:r>
        <w:r>
          <w:rPr>
            <w:noProof/>
            <w:webHidden/>
          </w:rPr>
          <w:tab/>
        </w:r>
        <w:r>
          <w:rPr>
            <w:noProof/>
            <w:webHidden/>
          </w:rPr>
          <w:fldChar w:fldCharType="begin"/>
        </w:r>
        <w:r>
          <w:rPr>
            <w:noProof/>
            <w:webHidden/>
          </w:rPr>
          <w:instrText xml:space="preserve"> PAGEREF _Toc22286225 \h </w:instrText>
        </w:r>
        <w:r>
          <w:rPr>
            <w:noProof/>
            <w:webHidden/>
          </w:rPr>
        </w:r>
        <w:r>
          <w:rPr>
            <w:noProof/>
            <w:webHidden/>
          </w:rPr>
          <w:fldChar w:fldCharType="separate"/>
        </w:r>
        <w:r>
          <w:rPr>
            <w:noProof/>
            <w:webHidden/>
          </w:rPr>
          <w:t>3</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26" w:history="1">
        <w:r w:rsidRPr="00A166CD">
          <w:rPr>
            <w:rStyle w:val="Hyperlink"/>
            <w:noProof/>
          </w:rPr>
          <w:t>Territorial extent and application</w:t>
        </w:r>
        <w:r>
          <w:rPr>
            <w:noProof/>
            <w:webHidden/>
          </w:rPr>
          <w:tab/>
        </w:r>
        <w:r>
          <w:rPr>
            <w:noProof/>
            <w:webHidden/>
          </w:rPr>
          <w:fldChar w:fldCharType="begin"/>
        </w:r>
        <w:r>
          <w:rPr>
            <w:noProof/>
            <w:webHidden/>
          </w:rPr>
          <w:instrText xml:space="preserve"> PAGEREF _Toc22286226 \h </w:instrText>
        </w:r>
        <w:r>
          <w:rPr>
            <w:noProof/>
            <w:webHidden/>
          </w:rPr>
        </w:r>
        <w:r>
          <w:rPr>
            <w:noProof/>
            <w:webHidden/>
          </w:rPr>
          <w:fldChar w:fldCharType="separate"/>
        </w:r>
        <w:r>
          <w:rPr>
            <w:noProof/>
            <w:webHidden/>
          </w:rPr>
          <w:t>4</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27" w:history="1">
        <w:r w:rsidRPr="00A166CD">
          <w:rPr>
            <w:rStyle w:val="Hyperlink"/>
            <w:noProof/>
          </w:rPr>
          <w:t>Commentary on provisions of Act</w:t>
        </w:r>
        <w:r>
          <w:rPr>
            <w:noProof/>
            <w:webHidden/>
          </w:rPr>
          <w:tab/>
        </w:r>
        <w:r>
          <w:rPr>
            <w:noProof/>
            <w:webHidden/>
          </w:rPr>
          <w:fldChar w:fldCharType="begin"/>
        </w:r>
        <w:r>
          <w:rPr>
            <w:noProof/>
            <w:webHidden/>
          </w:rPr>
          <w:instrText xml:space="preserve"> PAGEREF _Toc22286227 \h </w:instrText>
        </w:r>
        <w:r>
          <w:rPr>
            <w:noProof/>
            <w:webHidden/>
          </w:rPr>
        </w:r>
        <w:r>
          <w:rPr>
            <w:noProof/>
            <w:webHidden/>
          </w:rPr>
          <w:fldChar w:fldCharType="separate"/>
        </w:r>
        <w:r>
          <w:rPr>
            <w:noProof/>
            <w:webHidden/>
          </w:rPr>
          <w:t>5</w:t>
        </w:r>
        <w:r>
          <w:rPr>
            <w:noProof/>
            <w:webHidden/>
          </w:rPr>
          <w:fldChar w:fldCharType="end"/>
        </w:r>
      </w:hyperlink>
    </w:p>
    <w:p w:rsidR="00FB1836" w:rsidRDefault="00FB1836">
      <w:pPr>
        <w:pStyle w:val="TOC2"/>
        <w:tabs>
          <w:tab w:val="right" w:pos="9061"/>
        </w:tabs>
        <w:rPr>
          <w:rFonts w:asciiTheme="minorHAnsi" w:eastAsiaTheme="minorEastAsia" w:hAnsiTheme="minorHAnsi" w:cstheme="minorBidi"/>
          <w:noProof/>
          <w:sz w:val="22"/>
          <w:szCs w:val="22"/>
          <w:lang w:eastAsia="en-GB" w:bidi="ar-SA"/>
        </w:rPr>
      </w:pPr>
      <w:hyperlink w:anchor="_Toc22286228" w:history="1">
        <w:r w:rsidRPr="00A166CD">
          <w:rPr>
            <w:rStyle w:val="Hyperlink"/>
            <w:noProof/>
          </w:rPr>
          <w:t>Section 1: Repeal of Sunset Provision in the Holocaust (Return of Cultural Objects) Act 2009</w:t>
        </w:r>
        <w:r>
          <w:rPr>
            <w:noProof/>
            <w:webHidden/>
          </w:rPr>
          <w:tab/>
        </w:r>
        <w:r>
          <w:rPr>
            <w:noProof/>
            <w:webHidden/>
          </w:rPr>
          <w:fldChar w:fldCharType="begin"/>
        </w:r>
        <w:r>
          <w:rPr>
            <w:noProof/>
            <w:webHidden/>
          </w:rPr>
          <w:instrText xml:space="preserve"> PAGEREF _Toc22286228 \h </w:instrText>
        </w:r>
        <w:r>
          <w:rPr>
            <w:noProof/>
            <w:webHidden/>
          </w:rPr>
        </w:r>
        <w:r>
          <w:rPr>
            <w:noProof/>
            <w:webHidden/>
          </w:rPr>
          <w:fldChar w:fldCharType="separate"/>
        </w:r>
        <w:r>
          <w:rPr>
            <w:noProof/>
            <w:webHidden/>
          </w:rPr>
          <w:t>5</w:t>
        </w:r>
        <w:r>
          <w:rPr>
            <w:noProof/>
            <w:webHidden/>
          </w:rPr>
          <w:fldChar w:fldCharType="end"/>
        </w:r>
      </w:hyperlink>
    </w:p>
    <w:p w:rsidR="00FB1836" w:rsidRDefault="00FB1836">
      <w:pPr>
        <w:pStyle w:val="TOC2"/>
        <w:tabs>
          <w:tab w:val="right" w:pos="9061"/>
        </w:tabs>
        <w:rPr>
          <w:rFonts w:asciiTheme="minorHAnsi" w:eastAsiaTheme="minorEastAsia" w:hAnsiTheme="minorHAnsi" w:cstheme="minorBidi"/>
          <w:noProof/>
          <w:sz w:val="22"/>
          <w:szCs w:val="22"/>
          <w:lang w:eastAsia="en-GB" w:bidi="ar-SA"/>
        </w:rPr>
      </w:pPr>
      <w:hyperlink w:anchor="_Toc22286229" w:history="1">
        <w:r w:rsidRPr="00A166CD">
          <w:rPr>
            <w:rStyle w:val="Hyperlink"/>
            <w:noProof/>
          </w:rPr>
          <w:t>Section 2: Extent, Commencement and Short Title</w:t>
        </w:r>
        <w:r>
          <w:rPr>
            <w:noProof/>
            <w:webHidden/>
          </w:rPr>
          <w:tab/>
        </w:r>
        <w:r>
          <w:rPr>
            <w:noProof/>
            <w:webHidden/>
          </w:rPr>
          <w:fldChar w:fldCharType="begin"/>
        </w:r>
        <w:r>
          <w:rPr>
            <w:noProof/>
            <w:webHidden/>
          </w:rPr>
          <w:instrText xml:space="preserve"> PAGEREF _Toc22286229 \h </w:instrText>
        </w:r>
        <w:r>
          <w:rPr>
            <w:noProof/>
            <w:webHidden/>
          </w:rPr>
        </w:r>
        <w:r>
          <w:rPr>
            <w:noProof/>
            <w:webHidden/>
          </w:rPr>
          <w:fldChar w:fldCharType="separate"/>
        </w:r>
        <w:r>
          <w:rPr>
            <w:noProof/>
            <w:webHidden/>
          </w:rPr>
          <w:t>5</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30" w:history="1">
        <w:r w:rsidRPr="00A166CD">
          <w:rPr>
            <w:rStyle w:val="Hyperlink"/>
            <w:noProof/>
          </w:rPr>
          <w:t>Commencement</w:t>
        </w:r>
        <w:r>
          <w:rPr>
            <w:noProof/>
            <w:webHidden/>
          </w:rPr>
          <w:tab/>
        </w:r>
        <w:r>
          <w:rPr>
            <w:noProof/>
            <w:webHidden/>
          </w:rPr>
          <w:fldChar w:fldCharType="begin"/>
        </w:r>
        <w:r>
          <w:rPr>
            <w:noProof/>
            <w:webHidden/>
          </w:rPr>
          <w:instrText xml:space="preserve"> PAGEREF _Toc22286230 \h </w:instrText>
        </w:r>
        <w:r>
          <w:rPr>
            <w:noProof/>
            <w:webHidden/>
          </w:rPr>
        </w:r>
        <w:r>
          <w:rPr>
            <w:noProof/>
            <w:webHidden/>
          </w:rPr>
          <w:fldChar w:fldCharType="separate"/>
        </w:r>
        <w:r>
          <w:rPr>
            <w:noProof/>
            <w:webHidden/>
          </w:rPr>
          <w:t>6</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31" w:history="1">
        <w:r w:rsidRPr="00A166CD">
          <w:rPr>
            <w:rStyle w:val="Hyperlink"/>
            <w:noProof/>
          </w:rPr>
          <w:t>Financial implications of the Act</w:t>
        </w:r>
        <w:r>
          <w:rPr>
            <w:noProof/>
            <w:webHidden/>
          </w:rPr>
          <w:tab/>
        </w:r>
        <w:r>
          <w:rPr>
            <w:noProof/>
            <w:webHidden/>
          </w:rPr>
          <w:fldChar w:fldCharType="begin"/>
        </w:r>
        <w:r>
          <w:rPr>
            <w:noProof/>
            <w:webHidden/>
          </w:rPr>
          <w:instrText xml:space="preserve"> PAGEREF _Toc22286231 \h </w:instrText>
        </w:r>
        <w:r>
          <w:rPr>
            <w:noProof/>
            <w:webHidden/>
          </w:rPr>
        </w:r>
        <w:r>
          <w:rPr>
            <w:noProof/>
            <w:webHidden/>
          </w:rPr>
          <w:fldChar w:fldCharType="separate"/>
        </w:r>
        <w:r>
          <w:rPr>
            <w:noProof/>
            <w:webHidden/>
          </w:rPr>
          <w:t>6</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32" w:history="1">
        <w:r w:rsidRPr="00A166CD">
          <w:rPr>
            <w:rStyle w:val="Hyperlink"/>
            <w:noProof/>
          </w:rPr>
          <w:t>Compatibility with the European Convention on Human Rights</w:t>
        </w:r>
        <w:r>
          <w:rPr>
            <w:noProof/>
            <w:webHidden/>
          </w:rPr>
          <w:tab/>
        </w:r>
        <w:r>
          <w:rPr>
            <w:noProof/>
            <w:webHidden/>
          </w:rPr>
          <w:fldChar w:fldCharType="begin"/>
        </w:r>
        <w:r>
          <w:rPr>
            <w:noProof/>
            <w:webHidden/>
          </w:rPr>
          <w:instrText xml:space="preserve"> PAGEREF _Toc22286232 \h </w:instrText>
        </w:r>
        <w:r>
          <w:rPr>
            <w:noProof/>
            <w:webHidden/>
          </w:rPr>
        </w:r>
        <w:r>
          <w:rPr>
            <w:noProof/>
            <w:webHidden/>
          </w:rPr>
          <w:fldChar w:fldCharType="separate"/>
        </w:r>
        <w:r>
          <w:rPr>
            <w:noProof/>
            <w:webHidden/>
          </w:rPr>
          <w:t>6</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33" w:history="1">
        <w:r w:rsidRPr="00A166CD">
          <w:rPr>
            <w:rStyle w:val="Hyperlink"/>
            <w:noProof/>
          </w:rPr>
          <w:t>Related documents</w:t>
        </w:r>
        <w:r>
          <w:rPr>
            <w:noProof/>
            <w:webHidden/>
          </w:rPr>
          <w:tab/>
        </w:r>
        <w:r>
          <w:rPr>
            <w:noProof/>
            <w:webHidden/>
          </w:rPr>
          <w:fldChar w:fldCharType="begin"/>
        </w:r>
        <w:r>
          <w:rPr>
            <w:noProof/>
            <w:webHidden/>
          </w:rPr>
          <w:instrText xml:space="preserve"> PAGEREF _Toc22286233 \h </w:instrText>
        </w:r>
        <w:r>
          <w:rPr>
            <w:noProof/>
            <w:webHidden/>
          </w:rPr>
        </w:r>
        <w:r>
          <w:rPr>
            <w:noProof/>
            <w:webHidden/>
          </w:rPr>
          <w:fldChar w:fldCharType="separate"/>
        </w:r>
        <w:r>
          <w:rPr>
            <w:noProof/>
            <w:webHidden/>
          </w:rPr>
          <w:t>7</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34" w:history="1">
        <w:r w:rsidRPr="00A166CD">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_Toc22286234 \h </w:instrText>
        </w:r>
        <w:r>
          <w:rPr>
            <w:noProof/>
            <w:webHidden/>
          </w:rPr>
        </w:r>
        <w:r>
          <w:rPr>
            <w:noProof/>
            <w:webHidden/>
          </w:rPr>
          <w:fldChar w:fldCharType="separate"/>
        </w:r>
        <w:r>
          <w:rPr>
            <w:noProof/>
            <w:webHidden/>
          </w:rPr>
          <w:t>8</w:t>
        </w:r>
        <w:r>
          <w:rPr>
            <w:noProof/>
            <w:webHidden/>
          </w:rPr>
          <w:fldChar w:fldCharType="end"/>
        </w:r>
      </w:hyperlink>
    </w:p>
    <w:p w:rsidR="00FB1836" w:rsidRDefault="00FB1836">
      <w:pPr>
        <w:pStyle w:val="TOC1"/>
        <w:rPr>
          <w:rFonts w:asciiTheme="minorHAnsi" w:eastAsiaTheme="minorEastAsia" w:hAnsiTheme="minorHAnsi" w:cstheme="minorBidi"/>
          <w:b w:val="0"/>
          <w:bCs w:val="0"/>
          <w:noProof/>
          <w:sz w:val="22"/>
          <w:szCs w:val="22"/>
          <w:lang w:eastAsia="en-GB" w:bidi="ar-SA"/>
        </w:rPr>
      </w:pPr>
      <w:hyperlink w:anchor="_Toc22286235" w:history="1">
        <w:r w:rsidRPr="00A166CD">
          <w:rPr>
            <w:rStyle w:val="Hyperlink"/>
            <w:noProof/>
          </w:rPr>
          <w:t>Annex B - Hansard References</w:t>
        </w:r>
        <w:r>
          <w:rPr>
            <w:noProof/>
            <w:webHidden/>
          </w:rPr>
          <w:tab/>
        </w:r>
        <w:r>
          <w:rPr>
            <w:noProof/>
            <w:webHidden/>
          </w:rPr>
          <w:fldChar w:fldCharType="begin"/>
        </w:r>
        <w:r>
          <w:rPr>
            <w:noProof/>
            <w:webHidden/>
          </w:rPr>
          <w:instrText xml:space="preserve"> PAGEREF _Toc22286235 \h </w:instrText>
        </w:r>
        <w:r>
          <w:rPr>
            <w:noProof/>
            <w:webHidden/>
          </w:rPr>
        </w:r>
        <w:r>
          <w:rPr>
            <w:noProof/>
            <w:webHidden/>
          </w:rPr>
          <w:fldChar w:fldCharType="separate"/>
        </w:r>
        <w:r>
          <w:rPr>
            <w:noProof/>
            <w:webHidden/>
          </w:rPr>
          <w:t>9</w:t>
        </w:r>
        <w:r>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22286223"/>
      <w:r w:rsidR="00E718E1" w:rsidRPr="00CA4237">
        <w:lastRenderedPageBreak/>
        <w:t xml:space="preserve">Overview of the </w:t>
      </w:r>
      <w:bookmarkEnd w:id="0"/>
      <w:r w:rsidR="00CE2ABF" w:rsidRPr="00645B5D">
        <w:t>Act</w:t>
      </w:r>
      <w:bookmarkEnd w:id="1"/>
      <w:bookmarkEnd w:id="2"/>
      <w:bookmarkEnd w:id="3"/>
      <w:bookmarkEnd w:id="4"/>
    </w:p>
    <w:p w:rsidR="006544EF" w:rsidRDefault="006544EF" w:rsidP="006544EF">
      <w:pPr>
        <w:pStyle w:val="ParaNumbered"/>
        <w:rPr>
          <w:lang w:val="en-GB"/>
        </w:rPr>
      </w:pPr>
      <w:r w:rsidRPr="006544EF">
        <w:rPr>
          <w:lang w:val="en-GB"/>
        </w:rPr>
        <w:t>The Act amends the Holocaust (Return of Cultural Objects) Act 2009 (the “2009 Act”) to prevent it from expiring on 11 November 2019</w:t>
      </w:r>
      <w:r>
        <w:rPr>
          <w:lang w:val="en-GB"/>
        </w:rPr>
        <w:t>.</w:t>
      </w:r>
    </w:p>
    <w:p w:rsidR="006544EF" w:rsidRDefault="006544EF" w:rsidP="006544EF">
      <w:pPr>
        <w:pStyle w:val="ParaNumbered"/>
        <w:rPr>
          <w:lang w:val="en-GB"/>
        </w:rPr>
      </w:pPr>
      <w:r w:rsidRPr="006544EF">
        <w:rPr>
          <w:lang w:val="en-GB"/>
        </w:rPr>
        <w:t xml:space="preserve">The 2009 Act received Royal Assent on 12 November 2009. Section 4(7) of the 2009 Act contains a sunset clause that causes the 2009 Act to expire 10 years from the day on which it was passed. However, </w:t>
      </w:r>
      <w:r w:rsidR="00210FD3">
        <w:rPr>
          <w:lang w:val="en-GB"/>
        </w:rPr>
        <w:t>this</w:t>
      </w:r>
      <w:r w:rsidRPr="006544EF">
        <w:rPr>
          <w:lang w:val="en-GB"/>
        </w:rPr>
        <w:t xml:space="preserve"> Act makes provision for the 2009 Act to continue to have effect indefinitely. To achieve this, </w:t>
      </w:r>
      <w:r w:rsidR="00210FD3">
        <w:rPr>
          <w:lang w:val="en-GB"/>
        </w:rPr>
        <w:t>this Act repeals the sunset clause in</w:t>
      </w:r>
      <w:r w:rsidRPr="006544EF">
        <w:rPr>
          <w:lang w:val="en-GB"/>
        </w:rPr>
        <w:t xml:space="preserve"> section 4(7) of the 2009 Act</w:t>
      </w:r>
      <w:r>
        <w:rPr>
          <w:lang w:val="en-GB"/>
        </w:rPr>
        <w:t>.</w:t>
      </w:r>
    </w:p>
    <w:p w:rsidR="006544EF" w:rsidRPr="00A77450" w:rsidRDefault="00A77450" w:rsidP="00A77450">
      <w:pPr>
        <w:pStyle w:val="ParaNumbered"/>
        <w:rPr>
          <w:lang w:val="en-GB"/>
        </w:rPr>
      </w:pPr>
      <w:r w:rsidRPr="00A77450">
        <w:rPr>
          <w:lang w:val="en-GB"/>
        </w:rPr>
        <w:t xml:space="preserve">The 2009 Act confers power on the national museums and galleries listed in section 1 (the “listed institutions”) to return certain cultural objects on grounds relating to events occurring during the Nazi era. It does so by enabling these institutions to give effect to recommendations made by the Spoliation Advisory Panel (the “Panel”) for the return of such objects. The Panel offers advice on claims for the return of cultural objects lost during the Nazi era (1933-1945) and which are now in UK national collections. </w:t>
      </w:r>
      <w:r w:rsidR="00210FD3">
        <w:rPr>
          <w:lang w:val="en-GB"/>
        </w:rPr>
        <w:t>This</w:t>
      </w:r>
      <w:r w:rsidRPr="00A77450">
        <w:rPr>
          <w:lang w:val="en-GB"/>
        </w:rPr>
        <w:t xml:space="preserve"> Act allows this power to continue indefinitely.</w:t>
      </w:r>
    </w:p>
    <w:p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22286224"/>
      <w:r w:rsidRPr="00CA4237">
        <w:t>Policy background</w:t>
      </w:r>
      <w:bookmarkEnd w:id="5"/>
      <w:bookmarkEnd w:id="6"/>
      <w:bookmarkEnd w:id="7"/>
      <w:bookmarkEnd w:id="8"/>
      <w:bookmarkEnd w:id="9"/>
    </w:p>
    <w:p w:rsidR="0035622C" w:rsidRDefault="00A77450" w:rsidP="00A77450">
      <w:pPr>
        <w:pStyle w:val="ParaNumbered"/>
        <w:rPr>
          <w:lang w:val="en-GB"/>
        </w:rPr>
      </w:pPr>
      <w:r w:rsidRPr="00A77450">
        <w:rPr>
          <w:lang w:val="en-GB"/>
        </w:rPr>
        <w:t>The Panel was established by the Government in 2000 to consider claims for the return of cultural objects in UK collections lost during the Nazi era. It offers non-binding advice to museums and claimants on what might be an appropriate solution in accordance with the Washington Principles on Nazi-Confiscated Art, adopted in 1998 by 44 states, including all EU member states. These Principles aim to encourage the resolution of issues relating to the return of cultural objects lost during the Nazi era. The Panel may also advise on claims for items in private ownership but only where this follows a joint request by the claimant and the owner.</w:t>
      </w:r>
    </w:p>
    <w:p w:rsidR="00A77450" w:rsidRDefault="00A77450" w:rsidP="00A77450">
      <w:pPr>
        <w:pStyle w:val="ParaNumbered"/>
        <w:rPr>
          <w:lang w:val="en-GB"/>
        </w:rPr>
      </w:pPr>
      <w:r w:rsidRPr="00A77450">
        <w:rPr>
          <w:lang w:val="en-GB"/>
        </w:rPr>
        <w:t>Prior to 2009, where the Panel found that the return of an item in a national museum or gallery was an appropriate solution, it was unable to recommend this because of legal restrictions in the governing legislation of these institutions. The statutory framework only allows the Board of Trustees of these institutions to dispose of items held in their collections in very limited circumstances, not including following a recommendation by the Panel.</w:t>
      </w:r>
    </w:p>
    <w:p w:rsidR="00A77450" w:rsidRPr="00A77450" w:rsidRDefault="00A77450" w:rsidP="00A77450">
      <w:pPr>
        <w:pStyle w:val="ParaNumbered"/>
        <w:rPr>
          <w:lang w:val="en-GB"/>
        </w:rPr>
      </w:pPr>
      <w:r w:rsidRPr="00A77450">
        <w:rPr>
          <w:lang w:val="en-GB"/>
        </w:rPr>
        <w:t>With the introduction of the Holocaust (Return of Cultural Objects) Act 2009, the 17 listed institutions are able to return items lost during the Nazi era, where this follows a recommendation by the Panel and the Secretary of State agrees. Scottish Ministers must consent before the Secretary of State can approve a recommendation that relates to an object in the collection of one of the Scottish listed institutions. The 2009 Act includes a sunset clause which means that it will cease to have effect after 11 November 2019.</w:t>
      </w:r>
    </w:p>
    <w:p w:rsidR="00E718E1" w:rsidRPr="00CA4237" w:rsidRDefault="00E718E1" w:rsidP="005E1288">
      <w:pPr>
        <w:pStyle w:val="Heading1"/>
        <w:keepNext/>
      </w:pPr>
      <w:bookmarkStart w:id="10" w:name="_Toc416612128"/>
      <w:bookmarkStart w:id="11" w:name="_Toc410653885"/>
      <w:bookmarkStart w:id="12" w:name="_Toc417648113"/>
      <w:bookmarkStart w:id="13" w:name="_Toc418587922"/>
      <w:bookmarkStart w:id="14" w:name="_Toc22286225"/>
      <w:r w:rsidRPr="00CA4237">
        <w:t>Legal background</w:t>
      </w:r>
      <w:bookmarkEnd w:id="10"/>
      <w:bookmarkEnd w:id="11"/>
      <w:bookmarkEnd w:id="12"/>
      <w:bookmarkEnd w:id="13"/>
      <w:bookmarkEnd w:id="14"/>
    </w:p>
    <w:p w:rsidR="00E718E1" w:rsidRPr="00CA4237" w:rsidRDefault="00A77450" w:rsidP="00A77450">
      <w:pPr>
        <w:pStyle w:val="ParaNumbered"/>
        <w:rPr>
          <w:lang w:val="en-GB"/>
        </w:rPr>
      </w:pPr>
      <w:r w:rsidRPr="00A77450">
        <w:rPr>
          <w:lang w:val="en-GB"/>
        </w:rPr>
        <w:t>The relevant legal background is explained in the policy background section of these Notes.</w:t>
      </w:r>
    </w:p>
    <w:p w:rsidR="00E718E1" w:rsidRPr="00253AC7" w:rsidRDefault="00BA33C6" w:rsidP="00253AC7">
      <w:pPr>
        <w:pStyle w:val="Heading1"/>
      </w:pPr>
      <w:bookmarkStart w:id="15" w:name="_Toc416612130"/>
      <w:bookmarkStart w:id="16" w:name="_Toc410653886"/>
      <w:r>
        <w:br w:type="page"/>
      </w:r>
      <w:bookmarkStart w:id="17" w:name="_Toc417648115"/>
      <w:bookmarkStart w:id="18" w:name="_Toc418587924"/>
      <w:bookmarkStart w:id="19" w:name="_Toc22286226"/>
      <w:r w:rsidR="00E718E1" w:rsidRPr="00CA4237">
        <w:lastRenderedPageBreak/>
        <w:t>Territorial extent and application</w:t>
      </w:r>
      <w:bookmarkEnd w:id="15"/>
      <w:bookmarkEnd w:id="16"/>
      <w:bookmarkEnd w:id="17"/>
      <w:bookmarkEnd w:id="18"/>
      <w:bookmarkEnd w:id="19"/>
    </w:p>
    <w:p w:rsidR="0035622C" w:rsidRDefault="00A77450" w:rsidP="00A77450">
      <w:pPr>
        <w:pStyle w:val="ParaNumbered"/>
        <w:rPr>
          <w:lang w:val="en-GB"/>
        </w:rPr>
      </w:pPr>
      <w:r w:rsidRPr="00A77450">
        <w:rPr>
          <w:lang w:val="en-GB"/>
        </w:rPr>
        <w:t>The provisions of the Act extend to England and Wales, and Scotland</w:t>
      </w:r>
      <w:r>
        <w:rPr>
          <w:lang w:val="en-GB"/>
        </w:rPr>
        <w:t>.</w:t>
      </w:r>
    </w:p>
    <w:p w:rsidR="00A77450" w:rsidRPr="00A77450" w:rsidRDefault="00A77450" w:rsidP="00A77450">
      <w:pPr>
        <w:pStyle w:val="ParaNumbered"/>
        <w:rPr>
          <w:lang w:val="en-GB"/>
        </w:rPr>
      </w:pPr>
      <w:r w:rsidRPr="00A77450">
        <w:rPr>
          <w:lang w:val="en-GB"/>
        </w:rPr>
        <w:t xml:space="preserve">The Act contains provisions that trigger the Sewel Convention that Westminster will not normally legislate with regard to devolved matters in Scotland without the consent of the Scottish Parliament. A legislative consent motion was agreed by the Scottish Parliament on 8 May 2018. </w:t>
      </w:r>
    </w:p>
    <w:p w:rsidR="00F77218" w:rsidRPr="00CA4237"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00253AC7">
        <w:rPr>
          <w:lang w:val="en-GB"/>
        </w:rPr>
        <w:t>.</w:t>
      </w:r>
    </w:p>
    <w:p w:rsidR="00E718E1" w:rsidRPr="00253AC7" w:rsidRDefault="0035622C" w:rsidP="00253AC7">
      <w:pPr>
        <w:pStyle w:val="Heading1"/>
      </w:pPr>
      <w:r w:rsidRPr="00CA4237">
        <w:br w:type="page"/>
      </w:r>
      <w:bookmarkStart w:id="20" w:name="_Toc416612131"/>
      <w:bookmarkStart w:id="21" w:name="_Toc410653887"/>
      <w:bookmarkStart w:id="22" w:name="_Toc417648116"/>
      <w:bookmarkStart w:id="23" w:name="_Toc418587925"/>
      <w:bookmarkStart w:id="24" w:name="_Toc22286227"/>
      <w:r w:rsidR="00E718E1" w:rsidRPr="00CA4237">
        <w:lastRenderedPageBreak/>
        <w:t xml:space="preserve">Commentary on provisions of </w:t>
      </w:r>
      <w:r w:rsidR="00CE2ABF" w:rsidRPr="00645B5D">
        <w:t>Act</w:t>
      </w:r>
      <w:bookmarkEnd w:id="20"/>
      <w:bookmarkEnd w:id="21"/>
      <w:bookmarkEnd w:id="22"/>
      <w:bookmarkEnd w:id="23"/>
      <w:bookmarkEnd w:id="24"/>
    </w:p>
    <w:p w:rsidR="00E2209B" w:rsidRPr="00CA4237" w:rsidRDefault="00A77450" w:rsidP="001208B2">
      <w:pPr>
        <w:pStyle w:val="HSubheading2"/>
      </w:pPr>
      <w:bookmarkStart w:id="25" w:name="_Toc416612132"/>
      <w:bookmarkStart w:id="26" w:name="_Toc417648117"/>
      <w:bookmarkStart w:id="27" w:name="_Toc418587926"/>
      <w:bookmarkStart w:id="28" w:name="_Toc22286228"/>
      <w:r>
        <w:t>Section</w:t>
      </w:r>
      <w:r w:rsidR="00912915" w:rsidRPr="00CA4237">
        <w:t xml:space="preserve"> 1:</w:t>
      </w:r>
      <w:bookmarkEnd w:id="25"/>
      <w:bookmarkEnd w:id="26"/>
      <w:bookmarkEnd w:id="27"/>
      <w:r>
        <w:t xml:space="preserve"> Repeal of Sunset Provision in the Holocaust (Return of Cultural Objects) Act 2009</w:t>
      </w:r>
      <w:bookmarkEnd w:id="28"/>
    </w:p>
    <w:p w:rsidR="00933688" w:rsidRPr="00A77450" w:rsidRDefault="00A77450" w:rsidP="00A77450">
      <w:pPr>
        <w:pStyle w:val="ParaNumbered"/>
        <w:rPr>
          <w:lang w:val="en-GB"/>
        </w:rPr>
      </w:pPr>
      <w:r w:rsidRPr="00CA4237">
        <w:rPr>
          <w:lang w:val="en-GB"/>
        </w:rPr>
        <w:t xml:space="preserve"> </w:t>
      </w:r>
      <w:r w:rsidRPr="00A77450">
        <w:rPr>
          <w:lang w:val="en-GB"/>
        </w:rPr>
        <w:t>Section 1 of the Act amends Section 4 of the 2009 Act to remove subsection (7), which states that the 2009 Act will expire 10 years from the day it is passed. This amendment will prevent the 2009 Act from expiring on 11 November 2019, and will allow it to operate indefinitely.</w:t>
      </w:r>
    </w:p>
    <w:p w:rsidR="00BC36D7" w:rsidRPr="00CA4237" w:rsidRDefault="00A77450" w:rsidP="00A77450">
      <w:pPr>
        <w:pStyle w:val="HSubheading2"/>
      </w:pPr>
      <w:bookmarkStart w:id="29" w:name="_Toc416612139"/>
      <w:bookmarkStart w:id="30" w:name="_Toc417648124"/>
      <w:bookmarkStart w:id="31" w:name="_Toc418587934"/>
      <w:bookmarkStart w:id="32" w:name="_Toc410653892"/>
      <w:bookmarkStart w:id="33" w:name="_Toc22286229"/>
      <w:r>
        <w:t>Section</w:t>
      </w:r>
      <w:r w:rsidR="00ED18AB" w:rsidRPr="00CA4237">
        <w:t xml:space="preserve"> 2: </w:t>
      </w:r>
      <w:bookmarkEnd w:id="29"/>
      <w:bookmarkEnd w:id="30"/>
      <w:bookmarkEnd w:id="31"/>
      <w:r>
        <w:t>Extent, Commencement and Short Title</w:t>
      </w:r>
      <w:bookmarkEnd w:id="33"/>
    </w:p>
    <w:p w:rsidR="002E0272" w:rsidRPr="00CA4237" w:rsidRDefault="00482C0F" w:rsidP="00A77450">
      <w:pPr>
        <w:pStyle w:val="ParaNumbered"/>
        <w:rPr>
          <w:lang w:val="en-GB"/>
        </w:rPr>
      </w:pPr>
      <w:r w:rsidRPr="00CA4237">
        <w:rPr>
          <w:lang w:val="en-GB"/>
        </w:rPr>
        <w:t xml:space="preserve"> </w:t>
      </w:r>
      <w:r w:rsidR="00A77450" w:rsidRPr="00A77450">
        <w:rPr>
          <w:lang w:val="en-GB"/>
        </w:rPr>
        <w:t xml:space="preserve">Section 2 describes the extent of the Act, </w:t>
      </w:r>
      <w:r w:rsidR="00253AC7">
        <w:rPr>
          <w:lang w:val="en-GB"/>
        </w:rPr>
        <w:t xml:space="preserve">its </w:t>
      </w:r>
      <w:r w:rsidR="00A77450" w:rsidRPr="00A77450">
        <w:rPr>
          <w:lang w:val="en-GB"/>
        </w:rPr>
        <w:t>commencement and short title</w:t>
      </w:r>
      <w:r w:rsidR="00A77450">
        <w:rPr>
          <w:lang w:val="en-GB"/>
        </w:rPr>
        <w:t>.</w:t>
      </w:r>
    </w:p>
    <w:p w:rsidR="00E718E1" w:rsidRPr="00253AC7" w:rsidRDefault="00A24CCB" w:rsidP="00253AC7">
      <w:pPr>
        <w:pStyle w:val="Heading1"/>
      </w:pPr>
      <w:bookmarkStart w:id="34" w:name="_Toc416612144"/>
      <w:bookmarkStart w:id="35" w:name="_Toc410653894"/>
      <w:bookmarkEnd w:id="32"/>
      <w:r w:rsidRPr="00CA4237">
        <w:br w:type="page"/>
      </w:r>
      <w:bookmarkStart w:id="36" w:name="_Toc417648129"/>
      <w:bookmarkStart w:id="37" w:name="_Toc418587938"/>
      <w:bookmarkStart w:id="38" w:name="_Toc22286230"/>
      <w:r w:rsidR="00E718E1" w:rsidRPr="00CA4237">
        <w:lastRenderedPageBreak/>
        <w:t>Commencement</w:t>
      </w:r>
      <w:bookmarkEnd w:id="34"/>
      <w:bookmarkEnd w:id="35"/>
      <w:bookmarkEnd w:id="36"/>
      <w:bookmarkEnd w:id="37"/>
      <w:bookmarkEnd w:id="38"/>
    </w:p>
    <w:p w:rsidR="00E718E1" w:rsidRPr="00CA4237" w:rsidRDefault="00A77450" w:rsidP="00A77450">
      <w:pPr>
        <w:pStyle w:val="ParaNumbered"/>
        <w:rPr>
          <w:lang w:val="en-GB"/>
        </w:rPr>
      </w:pPr>
      <w:r w:rsidRPr="00A77450">
        <w:rPr>
          <w:lang w:val="en-GB"/>
        </w:rPr>
        <w:t>Section 2 of the Act provides for commencement.  The provisions of the Act came into force on the day of Royal Assent, so nothing further needs to be done to commence the Act.</w:t>
      </w:r>
    </w:p>
    <w:p w:rsidR="00E26988" w:rsidRPr="00CA4237" w:rsidRDefault="00E26988" w:rsidP="005E1288">
      <w:pPr>
        <w:pStyle w:val="Heading1"/>
        <w:keepNext/>
      </w:pPr>
      <w:bookmarkStart w:id="39" w:name="_Toc410653895"/>
      <w:bookmarkStart w:id="40" w:name="_Toc416612145"/>
      <w:bookmarkStart w:id="41" w:name="_Toc417648130"/>
      <w:bookmarkStart w:id="42" w:name="_Toc418587939"/>
      <w:bookmarkStart w:id="43" w:name="_Toc22286231"/>
      <w:r w:rsidRPr="00CA4237">
        <w:t xml:space="preserve">Financial implications of the </w:t>
      </w:r>
      <w:bookmarkEnd w:id="39"/>
      <w:bookmarkEnd w:id="40"/>
      <w:bookmarkEnd w:id="41"/>
      <w:bookmarkEnd w:id="42"/>
      <w:r w:rsidR="00FB1836">
        <w:t>Act</w:t>
      </w:r>
      <w:bookmarkEnd w:id="43"/>
    </w:p>
    <w:p w:rsidR="00922B46" w:rsidRPr="00CA4237" w:rsidRDefault="00A77450" w:rsidP="00A77450">
      <w:pPr>
        <w:pStyle w:val="ParaNumbered"/>
        <w:rPr>
          <w:lang w:val="en-GB"/>
        </w:rPr>
      </w:pPr>
      <w:r w:rsidRPr="00A77450">
        <w:rPr>
          <w:lang w:val="en-GB"/>
        </w:rPr>
        <w:t>The Act has no financial implications. The 2009 Act provides a power for the listed institutions to transfer objects from their collection where the conditions specified in the 2009 Act are met. The Act removes the sunset clause to extend this power indefinitely.</w:t>
      </w:r>
    </w:p>
    <w:p w:rsidR="000A6A75" w:rsidRDefault="000A6A75" w:rsidP="005E1288">
      <w:pPr>
        <w:pStyle w:val="Heading1"/>
        <w:keepNext/>
      </w:pPr>
      <w:bookmarkStart w:id="44" w:name="_Toc22286232"/>
      <w:r>
        <w:t>Compatibility with the European Convention on Human Rights</w:t>
      </w:r>
      <w:bookmarkEnd w:id="44"/>
    </w:p>
    <w:p w:rsidR="000A6A75" w:rsidRDefault="00A77450" w:rsidP="00A77450">
      <w:pPr>
        <w:pStyle w:val="ParaNumbered"/>
        <w:rPr>
          <w:lang w:val="en-GB"/>
        </w:rPr>
      </w:pPr>
      <w:r w:rsidRPr="00A77450">
        <w:rPr>
          <w:lang w:val="en-GB"/>
        </w:rPr>
        <w:t>The Government proposes to make a statement that the provisions of the Act are compatible with the European Convention on Human Rights (the “Convention”). A formal statement under section 19(1)(a) of the Human Rights Act 1998 is not required because the Act began as a Private Member’s Bill. A statement of compatibility was also m</w:t>
      </w:r>
      <w:bookmarkStart w:id="45" w:name="_GoBack"/>
      <w:bookmarkEnd w:id="45"/>
      <w:r w:rsidRPr="00A77450">
        <w:rPr>
          <w:lang w:val="en-GB"/>
        </w:rPr>
        <w:t>ade for the 2009 Act, which stated that the 2009 Act engaged a number of Convention rights but strengthened their protection rather than interfering with them. These rights include the right to peaceful enjoyment of property (Article 1, Protocol 1), to a fair trial (Article 6), and to respect for private and family life (Article 8). That statement applies equally to the Act.</w:t>
      </w:r>
    </w:p>
    <w:p w:rsidR="00A77450" w:rsidRDefault="00A77450" w:rsidP="00A77450">
      <w:pPr>
        <w:pStyle w:val="ParaNumbered"/>
        <w:rPr>
          <w:lang w:val="en-GB"/>
        </w:rPr>
      </w:pPr>
      <w:r w:rsidRPr="00A77450">
        <w:rPr>
          <w:lang w:val="en-GB"/>
        </w:rPr>
        <w:t>The Act also engages the prohibition on discrimination (Article 14) in combination with the right to peaceful enjoyment of property (Article 1, Protocol 1) because it allows the listed institutions to return lost cultural objects to their owners and heirs but only in cases where the object was lost during the Nazi era. As a result, it treats owners of cultural objects deprived of the peaceful enjoyment of these objects during the Nazi era more favourably than owners of cultural objects outside this group. The Act has the same effect by extending the operation of the 2009 Act indefinitely.</w:t>
      </w:r>
    </w:p>
    <w:p w:rsidR="00253AC7" w:rsidRDefault="00A77450" w:rsidP="00A77450">
      <w:pPr>
        <w:pStyle w:val="ParaNumbered"/>
        <w:rPr>
          <w:lang w:val="en-GB"/>
        </w:rPr>
      </w:pPr>
      <w:r w:rsidRPr="00A77450">
        <w:rPr>
          <w:lang w:val="en-GB"/>
        </w:rPr>
        <w:t>On the passing of the 2009 Act, potential interference with Article 14 was considered to be objectively justified and reasonable as it recognised the particular obstacles faced by individuals seeking to recover items lost during the Nazi era and the need to promote special arrangements to assist them. The Government remains of the view that limiting the power of return to the Nazi era is justified. The widespread and systematic deprivation of property in this era and the problems faced by individuals seeking to recover their property have been recognised in international declarations as requiring particular measures to remedy, including the Washington Principles. The Act recognises the continued need to assist victims of Nazi expropriation and to give effect to international standards in this area.</w:t>
      </w:r>
    </w:p>
    <w:p w:rsidR="00E718E1" w:rsidRDefault="00253AC7" w:rsidP="00253AC7">
      <w:pPr>
        <w:pStyle w:val="Heading1"/>
      </w:pPr>
      <w:r>
        <w:br w:type="page"/>
      </w:r>
      <w:bookmarkStart w:id="46" w:name="_Toc416612147"/>
      <w:bookmarkStart w:id="47" w:name="_Toc417648132"/>
      <w:bookmarkStart w:id="48" w:name="_Toc418587941"/>
      <w:bookmarkStart w:id="49" w:name="_Toc22286233"/>
      <w:r w:rsidR="00E26988" w:rsidRPr="00CA4237">
        <w:lastRenderedPageBreak/>
        <w:t>Related documents</w:t>
      </w:r>
      <w:bookmarkEnd w:id="46"/>
      <w:bookmarkEnd w:id="47"/>
      <w:bookmarkEnd w:id="48"/>
      <w:bookmarkEnd w:id="49"/>
    </w:p>
    <w:p w:rsidR="00E83AC8" w:rsidRPr="00E83AC8" w:rsidRDefault="00E83AC8" w:rsidP="00E83AC8">
      <w:pPr>
        <w:pStyle w:val="ParaNumbered"/>
      </w:pPr>
      <w:r>
        <w:t>The following</w:t>
      </w:r>
      <w:r w:rsidR="00A77450">
        <w:t xml:space="preserve"> documents are relevant to the Act</w:t>
      </w:r>
      <w:r>
        <w:t xml:space="preserve"> and can be read at the stated locations:</w:t>
      </w:r>
    </w:p>
    <w:p w:rsidR="00A03145" w:rsidRPr="00A03145" w:rsidRDefault="00FB1836" w:rsidP="00A03145">
      <w:pPr>
        <w:pStyle w:val="ParaBulleted"/>
        <w:rPr>
          <w:lang w:val="en-GB"/>
        </w:rPr>
      </w:pPr>
      <w:hyperlink r:id="rId9">
        <w:r w:rsidR="00A03145" w:rsidRPr="00A03145">
          <w:rPr>
            <w:rStyle w:val="Hyperlink"/>
            <w:lang w:val="en-GB"/>
          </w:rPr>
          <w:t xml:space="preserve">Legislative Consent Motion from the Scottish Parliament </w:t>
        </w:r>
      </w:hyperlink>
    </w:p>
    <w:p w:rsidR="00A03145" w:rsidRPr="00A03145" w:rsidRDefault="00FB1836" w:rsidP="00A03145">
      <w:pPr>
        <w:pStyle w:val="ParaBulleted"/>
        <w:rPr>
          <w:lang w:val="en-GB"/>
        </w:rPr>
      </w:pPr>
      <w:hyperlink r:id="rId10">
        <w:r w:rsidR="00A03145" w:rsidRPr="00A03145">
          <w:rPr>
            <w:rStyle w:val="Hyperlink"/>
            <w:lang w:val="en-GB"/>
          </w:rPr>
          <w:t xml:space="preserve">Legislative Consent Memorandum from the Scottish Parliament </w:t>
        </w:r>
      </w:hyperlink>
    </w:p>
    <w:p w:rsidR="00A03145" w:rsidRPr="00A03145" w:rsidRDefault="00FB1836" w:rsidP="00A03145">
      <w:pPr>
        <w:pStyle w:val="ParaBulleted"/>
        <w:rPr>
          <w:lang w:val="en-GB"/>
        </w:rPr>
      </w:pPr>
      <w:hyperlink r:id="rId11">
        <w:r w:rsidR="00A03145" w:rsidRPr="00A03145">
          <w:rPr>
            <w:rStyle w:val="Hyperlink"/>
            <w:lang w:val="en-GB"/>
          </w:rPr>
          <w:t xml:space="preserve">House of Commons  Briefing Paper on the Bill  </w:t>
        </w:r>
      </w:hyperlink>
    </w:p>
    <w:p w:rsidR="00922B46" w:rsidRPr="00CA4237" w:rsidRDefault="00FB1836" w:rsidP="00A03145">
      <w:pPr>
        <w:pStyle w:val="ParaBulleted"/>
      </w:pPr>
      <w:hyperlink r:id="rId12">
        <w:r w:rsidR="00A03145" w:rsidRPr="00A03145">
          <w:rPr>
            <w:rStyle w:val="Hyperlink"/>
            <w:lang w:val="en-GB"/>
          </w:rPr>
          <w:t xml:space="preserve">Holocaust (Return of Cultural Objects) (Amendment) Bill: Briefing for Lords Stages </w:t>
        </w:r>
      </w:hyperlink>
    </w:p>
    <w:p w:rsidR="002A02DD" w:rsidRPr="00CA4237" w:rsidRDefault="001B581E" w:rsidP="00253AC7">
      <w:pPr>
        <w:pStyle w:val="Heading1"/>
      </w:pPr>
      <w:bookmarkStart w:id="50" w:name="_Toc416612148"/>
      <w:bookmarkStart w:id="51" w:name="_Toc417648133"/>
      <w:bookmarkStart w:id="52" w:name="_Toc410653897"/>
      <w:bookmarkStart w:id="53" w:name="_Toc416612149"/>
      <w:bookmarkStart w:id="54" w:name="_Toc417648134"/>
      <w:r w:rsidRPr="00CA4237">
        <w:br w:type="page"/>
      </w:r>
      <w:bookmarkStart w:id="55" w:name="_Toc418587943"/>
      <w:bookmarkStart w:id="56" w:name="_Toc22286234"/>
      <w:r w:rsidR="002A02DD" w:rsidRPr="00CA4237">
        <w:lastRenderedPageBreak/>
        <w:t xml:space="preserve">Annex </w:t>
      </w:r>
      <w:bookmarkEnd w:id="52"/>
      <w:bookmarkEnd w:id="53"/>
      <w:r w:rsidR="002A02DD" w:rsidRPr="00CA4237">
        <w:t xml:space="preserve">A - </w:t>
      </w:r>
      <w:bookmarkEnd w:id="54"/>
      <w:bookmarkEnd w:id="55"/>
      <w:r w:rsidR="00A46160" w:rsidRPr="00A46160">
        <w:t>Territorial extent and application in the United Kingdom</w:t>
      </w:r>
      <w:bookmarkEnd w:id="56"/>
    </w:p>
    <w:p w:rsidR="00B42FA6" w:rsidRPr="00B42FA6" w:rsidRDefault="00D93C97" w:rsidP="00D93C97">
      <w:pPr>
        <w:pStyle w:val="ParaNumbered"/>
      </w:pPr>
      <w:r w:rsidRPr="00D93C97">
        <w:t>The provisions of the Act extend to England and Wales, and S</w:t>
      </w:r>
      <w:r>
        <w:t>cotland.</w:t>
      </w:r>
    </w:p>
    <w:tbl>
      <w:tblPr>
        <w:tblW w:w="5440"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101"/>
        <w:gridCol w:w="992"/>
        <w:gridCol w:w="992"/>
        <w:gridCol w:w="992"/>
        <w:gridCol w:w="1363"/>
      </w:tblGrid>
      <w:tr w:rsidR="00253AC7" w:rsidRPr="00A64BF2" w:rsidTr="00253AC7">
        <w:trPr>
          <w:trHeight w:val="1153"/>
          <w:tblHeader/>
          <w:jc w:val="center"/>
        </w:trPr>
        <w:tc>
          <w:tcPr>
            <w:tcW w:w="1101" w:type="dxa"/>
            <w:shd w:val="clear" w:color="auto" w:fill="auto"/>
          </w:tcPr>
          <w:p w:rsidR="00253AC7" w:rsidRPr="00A64BF2" w:rsidRDefault="00253AC7" w:rsidP="005538D6">
            <w:pPr>
              <w:pStyle w:val="TTableText"/>
              <w:rPr>
                <w:rStyle w:val="TTableHeadings"/>
              </w:rPr>
            </w:pPr>
            <w:r w:rsidRPr="00A64BF2">
              <w:rPr>
                <w:rStyle w:val="TTableHeadings"/>
              </w:rPr>
              <w:t>Provision</w:t>
            </w:r>
          </w:p>
        </w:tc>
        <w:tc>
          <w:tcPr>
            <w:tcW w:w="992" w:type="dxa"/>
            <w:shd w:val="clear" w:color="auto" w:fill="auto"/>
          </w:tcPr>
          <w:p w:rsidR="00253AC7" w:rsidRPr="00A64BF2" w:rsidRDefault="00253AC7" w:rsidP="005538D6">
            <w:pPr>
              <w:pStyle w:val="TTableText"/>
              <w:rPr>
                <w:rStyle w:val="TTableHeadings"/>
              </w:rPr>
            </w:pPr>
            <w:r w:rsidRPr="00A64BF2">
              <w:rPr>
                <w:rStyle w:val="TTableHeadings"/>
              </w:rPr>
              <w:t>Extends to E &amp; W and applies to England?</w:t>
            </w:r>
          </w:p>
        </w:tc>
        <w:tc>
          <w:tcPr>
            <w:tcW w:w="992" w:type="dxa"/>
            <w:shd w:val="clear" w:color="auto" w:fill="auto"/>
          </w:tcPr>
          <w:p w:rsidR="00253AC7" w:rsidRPr="00A64BF2" w:rsidRDefault="00253AC7" w:rsidP="005538D6">
            <w:pPr>
              <w:pStyle w:val="TTableText"/>
              <w:rPr>
                <w:rStyle w:val="TTableHeadings"/>
              </w:rPr>
            </w:pPr>
            <w:r w:rsidRPr="00A64BF2">
              <w:rPr>
                <w:rStyle w:val="TTableHeadings"/>
              </w:rPr>
              <w:t>Extends to E &amp; W and applies to Wales?</w:t>
            </w:r>
          </w:p>
        </w:tc>
        <w:tc>
          <w:tcPr>
            <w:tcW w:w="992" w:type="dxa"/>
            <w:shd w:val="clear" w:color="auto" w:fill="auto"/>
          </w:tcPr>
          <w:p w:rsidR="00253AC7" w:rsidRPr="00A64BF2" w:rsidRDefault="00253AC7" w:rsidP="005538D6">
            <w:pPr>
              <w:pStyle w:val="TTableText"/>
              <w:rPr>
                <w:rStyle w:val="TTableHeadings"/>
              </w:rPr>
            </w:pPr>
            <w:r w:rsidRPr="00A64BF2">
              <w:rPr>
                <w:rStyle w:val="TTableHeadings"/>
              </w:rPr>
              <w:t>Extends and applies to Scotland?</w:t>
            </w:r>
          </w:p>
        </w:tc>
        <w:tc>
          <w:tcPr>
            <w:tcW w:w="1363" w:type="dxa"/>
            <w:shd w:val="clear" w:color="auto" w:fill="auto"/>
          </w:tcPr>
          <w:p w:rsidR="00253AC7" w:rsidRPr="00A64BF2" w:rsidRDefault="00253AC7" w:rsidP="005538D6">
            <w:pPr>
              <w:pStyle w:val="TTableText"/>
              <w:rPr>
                <w:rStyle w:val="TTableHeadings"/>
              </w:rPr>
            </w:pPr>
            <w:r w:rsidRPr="00A64BF2">
              <w:rPr>
                <w:rStyle w:val="TTableHeadings"/>
              </w:rPr>
              <w:t>Extends and applies to Northern Ireland?</w:t>
            </w:r>
          </w:p>
        </w:tc>
      </w:tr>
      <w:tr w:rsidR="00253AC7" w:rsidRPr="00A64BF2" w:rsidTr="00253AC7">
        <w:trPr>
          <w:trHeight w:val="376"/>
          <w:jc w:val="center"/>
        </w:trPr>
        <w:tc>
          <w:tcPr>
            <w:tcW w:w="1101" w:type="dxa"/>
            <w:shd w:val="clear" w:color="auto" w:fill="auto"/>
          </w:tcPr>
          <w:p w:rsidR="00253AC7" w:rsidRPr="00A64BF2" w:rsidRDefault="00253AC7" w:rsidP="005538D6">
            <w:pPr>
              <w:pStyle w:val="TTableText"/>
              <w:rPr>
                <w:lang w:val="en-GB"/>
              </w:rPr>
            </w:pPr>
            <w:r>
              <w:rPr>
                <w:lang w:val="en-GB"/>
              </w:rPr>
              <w:t>Section 1</w:t>
            </w:r>
          </w:p>
        </w:tc>
        <w:tc>
          <w:tcPr>
            <w:tcW w:w="992" w:type="dxa"/>
            <w:shd w:val="clear" w:color="auto" w:fill="auto"/>
          </w:tcPr>
          <w:p w:rsidR="00253AC7" w:rsidRPr="00A03145" w:rsidRDefault="00253AC7" w:rsidP="005538D6">
            <w:pPr>
              <w:pStyle w:val="TTableText"/>
            </w:pPr>
            <w:r w:rsidRPr="00A64BF2">
              <w:t>Yes</w:t>
            </w:r>
          </w:p>
        </w:tc>
        <w:tc>
          <w:tcPr>
            <w:tcW w:w="992" w:type="dxa"/>
            <w:shd w:val="clear" w:color="auto" w:fill="auto"/>
          </w:tcPr>
          <w:p w:rsidR="00253AC7" w:rsidRPr="00A64BF2" w:rsidRDefault="00253AC7" w:rsidP="005538D6">
            <w:pPr>
              <w:pStyle w:val="TTableText"/>
              <w:rPr>
                <w:lang w:val="en-GB"/>
              </w:rPr>
            </w:pPr>
            <w:r>
              <w:t>No</w:t>
            </w:r>
          </w:p>
        </w:tc>
        <w:tc>
          <w:tcPr>
            <w:tcW w:w="992" w:type="dxa"/>
            <w:shd w:val="clear" w:color="auto" w:fill="auto"/>
          </w:tcPr>
          <w:p w:rsidR="00253AC7" w:rsidRPr="00A03145" w:rsidRDefault="00253AC7" w:rsidP="005538D6">
            <w:pPr>
              <w:pStyle w:val="TTableText"/>
            </w:pPr>
            <w:r w:rsidRPr="00A64BF2">
              <w:t>Yes</w:t>
            </w:r>
          </w:p>
        </w:tc>
        <w:tc>
          <w:tcPr>
            <w:tcW w:w="1363" w:type="dxa"/>
            <w:shd w:val="clear" w:color="auto" w:fill="auto"/>
          </w:tcPr>
          <w:p w:rsidR="00253AC7" w:rsidRPr="00A03145" w:rsidRDefault="00253AC7" w:rsidP="005538D6">
            <w:pPr>
              <w:pStyle w:val="TTableText"/>
            </w:pPr>
            <w:r>
              <w:t>No</w:t>
            </w:r>
          </w:p>
        </w:tc>
      </w:tr>
      <w:tr w:rsidR="00253AC7" w:rsidRPr="00A64BF2" w:rsidTr="00253AC7">
        <w:trPr>
          <w:trHeight w:val="376"/>
          <w:jc w:val="center"/>
        </w:trPr>
        <w:tc>
          <w:tcPr>
            <w:tcW w:w="1101" w:type="dxa"/>
            <w:shd w:val="clear" w:color="auto" w:fill="auto"/>
          </w:tcPr>
          <w:p w:rsidR="00253AC7" w:rsidRPr="00A64BF2" w:rsidRDefault="00253AC7" w:rsidP="005538D6">
            <w:pPr>
              <w:pStyle w:val="TTableText"/>
              <w:rPr>
                <w:lang w:val="en-GB"/>
              </w:rPr>
            </w:pPr>
            <w:r>
              <w:rPr>
                <w:lang w:val="en-GB"/>
              </w:rPr>
              <w:t>Section 2</w:t>
            </w:r>
          </w:p>
        </w:tc>
        <w:tc>
          <w:tcPr>
            <w:tcW w:w="992" w:type="dxa"/>
            <w:shd w:val="clear" w:color="auto" w:fill="auto"/>
          </w:tcPr>
          <w:p w:rsidR="00253AC7" w:rsidRPr="00A64BF2" w:rsidRDefault="00253AC7" w:rsidP="005538D6">
            <w:pPr>
              <w:pStyle w:val="TTableText"/>
              <w:rPr>
                <w:lang w:val="en-GB"/>
              </w:rPr>
            </w:pPr>
            <w:r>
              <w:rPr>
                <w:lang w:val="en-GB"/>
              </w:rPr>
              <w:t>Yes</w:t>
            </w:r>
          </w:p>
        </w:tc>
        <w:tc>
          <w:tcPr>
            <w:tcW w:w="992" w:type="dxa"/>
            <w:shd w:val="clear" w:color="auto" w:fill="auto"/>
          </w:tcPr>
          <w:p w:rsidR="00253AC7" w:rsidRPr="00A64BF2" w:rsidRDefault="00253AC7" w:rsidP="005538D6">
            <w:pPr>
              <w:pStyle w:val="TTableText"/>
              <w:rPr>
                <w:lang w:val="en-GB"/>
              </w:rPr>
            </w:pPr>
            <w:r>
              <w:rPr>
                <w:lang w:val="en-GB"/>
              </w:rPr>
              <w:t>No</w:t>
            </w:r>
          </w:p>
        </w:tc>
        <w:tc>
          <w:tcPr>
            <w:tcW w:w="992" w:type="dxa"/>
            <w:shd w:val="clear" w:color="auto" w:fill="auto"/>
          </w:tcPr>
          <w:p w:rsidR="00253AC7" w:rsidRPr="00A64BF2" w:rsidRDefault="00253AC7" w:rsidP="005538D6">
            <w:pPr>
              <w:pStyle w:val="TTableText"/>
              <w:rPr>
                <w:lang w:val="en-GB"/>
              </w:rPr>
            </w:pPr>
            <w:r>
              <w:rPr>
                <w:lang w:val="en-GB"/>
              </w:rPr>
              <w:t>Yes</w:t>
            </w:r>
          </w:p>
        </w:tc>
        <w:tc>
          <w:tcPr>
            <w:tcW w:w="1363" w:type="dxa"/>
            <w:shd w:val="clear" w:color="auto" w:fill="auto"/>
          </w:tcPr>
          <w:p w:rsidR="00253AC7" w:rsidRPr="00A64BF2" w:rsidRDefault="00253AC7" w:rsidP="005538D6">
            <w:pPr>
              <w:pStyle w:val="TTableText"/>
              <w:rPr>
                <w:lang w:val="en-GB"/>
              </w:rPr>
            </w:pPr>
            <w:r>
              <w:rPr>
                <w:lang w:val="en-GB"/>
              </w:rPr>
              <w:t>No</w:t>
            </w:r>
          </w:p>
        </w:tc>
      </w:tr>
    </w:tbl>
    <w:p w:rsidR="00644999" w:rsidRPr="00CA4237" w:rsidRDefault="00E43DDF" w:rsidP="00253AC7">
      <w:pPr>
        <w:pStyle w:val="Heading1"/>
      </w:pPr>
      <w:r>
        <w:br w:type="page"/>
      </w:r>
      <w:bookmarkStart w:id="57" w:name="_Toc418587944"/>
      <w:bookmarkStart w:id="58" w:name="_Toc22286235"/>
      <w:r w:rsidR="002A02DD" w:rsidRPr="00CA4237">
        <w:lastRenderedPageBreak/>
        <w:t xml:space="preserve">Annex B - </w:t>
      </w:r>
      <w:r w:rsidR="00644999" w:rsidRPr="00CA4237">
        <w:t>Hansard References</w:t>
      </w:r>
      <w:bookmarkEnd w:id="50"/>
      <w:bookmarkEnd w:id="51"/>
      <w:bookmarkEnd w:id="57"/>
      <w:bookmarkEnd w:id="58"/>
    </w:p>
    <w:p w:rsidR="00C8763D" w:rsidRPr="00A03145" w:rsidRDefault="00644999" w:rsidP="00A03145">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Introduction</w:t>
            </w:r>
          </w:p>
        </w:tc>
        <w:tc>
          <w:tcPr>
            <w:tcW w:w="2126" w:type="dxa"/>
            <w:shd w:val="clear" w:color="auto" w:fill="auto"/>
          </w:tcPr>
          <w:p w:rsidR="00C8763D" w:rsidRPr="00A64BF2" w:rsidRDefault="007D6CF6" w:rsidP="007D6CF6">
            <w:pPr>
              <w:pStyle w:val="TTableText"/>
              <w:rPr>
                <w:lang w:val="en-GB"/>
              </w:rPr>
            </w:pPr>
            <w:r>
              <w:rPr>
                <w:lang w:val="en-GB"/>
              </w:rPr>
              <w:t>13</w:t>
            </w:r>
            <w:r w:rsidR="00855908" w:rsidRPr="00A64BF2">
              <w:rPr>
                <w:lang w:val="en-GB"/>
              </w:rPr>
              <w:t xml:space="preserve"> </w:t>
            </w:r>
            <w:r>
              <w:rPr>
                <w:lang w:val="en-GB"/>
              </w:rPr>
              <w:t>March</w:t>
            </w:r>
            <w:r w:rsidR="00855908" w:rsidRPr="00A64BF2">
              <w:rPr>
                <w:lang w:val="en-GB"/>
              </w:rPr>
              <w:t xml:space="preserve"> </w:t>
            </w:r>
            <w:r>
              <w:rPr>
                <w:lang w:val="en-GB"/>
              </w:rPr>
              <w:t>2018</w:t>
            </w:r>
          </w:p>
        </w:tc>
        <w:tc>
          <w:tcPr>
            <w:tcW w:w="4643" w:type="dxa"/>
            <w:shd w:val="clear" w:color="auto" w:fill="auto"/>
          </w:tcPr>
          <w:p w:rsidR="00C8763D" w:rsidRPr="00A64BF2" w:rsidRDefault="00FB1836" w:rsidP="007D6CF6">
            <w:pPr>
              <w:pStyle w:val="TTableText"/>
              <w:rPr>
                <w:lang w:val="en-GB"/>
              </w:rPr>
            </w:pPr>
            <w:hyperlink r:id="rId13" w:history="1">
              <w:r w:rsidR="007D6CF6" w:rsidRPr="00F95DA1">
                <w:rPr>
                  <w:rStyle w:val="Hyperlink"/>
                  <w:lang w:val="en-GB"/>
                </w:rPr>
                <w:t>Vol. 637 Col. 752</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7D6CF6" w:rsidP="007D6CF6">
            <w:pPr>
              <w:pStyle w:val="TTableText"/>
              <w:rPr>
                <w:lang w:val="en-GB"/>
              </w:rPr>
            </w:pPr>
            <w:r>
              <w:rPr>
                <w:lang w:val="en-GB"/>
              </w:rPr>
              <w:t>8</w:t>
            </w:r>
            <w:r w:rsidR="00855908" w:rsidRPr="00A64BF2">
              <w:rPr>
                <w:lang w:val="en-GB"/>
              </w:rPr>
              <w:t xml:space="preserve"> </w:t>
            </w:r>
            <w:r>
              <w:rPr>
                <w:lang w:val="en-GB"/>
              </w:rPr>
              <w:t>February</w:t>
            </w:r>
            <w:r w:rsidR="00855908" w:rsidRPr="00A64BF2">
              <w:rPr>
                <w:lang w:val="en-GB"/>
              </w:rPr>
              <w:t xml:space="preserve"> </w:t>
            </w:r>
            <w:r>
              <w:rPr>
                <w:lang w:val="en-GB"/>
              </w:rPr>
              <w:t>2019</w:t>
            </w:r>
          </w:p>
        </w:tc>
        <w:tc>
          <w:tcPr>
            <w:tcW w:w="4643" w:type="dxa"/>
            <w:shd w:val="clear" w:color="auto" w:fill="auto"/>
          </w:tcPr>
          <w:p w:rsidR="00C8763D" w:rsidRPr="00A64BF2" w:rsidRDefault="00FB1836" w:rsidP="007E1048">
            <w:pPr>
              <w:pStyle w:val="TTableText"/>
              <w:rPr>
                <w:lang w:val="en-GB"/>
              </w:rPr>
            </w:pPr>
            <w:hyperlink r:id="rId14" w:history="1">
              <w:r w:rsidR="007E1048" w:rsidRPr="00F95DA1">
                <w:rPr>
                  <w:rStyle w:val="Hyperlink"/>
                  <w:lang w:val="en-GB"/>
                </w:rPr>
                <w:t>Vol. 654 Col. 556</w:t>
              </w:r>
            </w:hyperlink>
          </w:p>
        </w:tc>
      </w:tr>
      <w:tr w:rsidR="00C8763D" w:rsidRPr="00A64BF2" w:rsidTr="00A64BF2">
        <w:tc>
          <w:tcPr>
            <w:tcW w:w="2518" w:type="dxa"/>
            <w:shd w:val="clear" w:color="auto" w:fill="auto"/>
          </w:tcPr>
          <w:p w:rsidR="00C8763D" w:rsidRPr="00A64BF2" w:rsidRDefault="002A02DD" w:rsidP="00C8763D">
            <w:pPr>
              <w:pStyle w:val="TTableText"/>
              <w:rPr>
                <w:lang w:val="en-GB"/>
              </w:rPr>
            </w:pPr>
            <w:r w:rsidRPr="00A64BF2">
              <w:rPr>
                <w:lang w:val="en-GB"/>
              </w:rPr>
              <w:t xml:space="preserve">Public Bill </w:t>
            </w:r>
            <w:r w:rsidR="00C8763D" w:rsidRPr="00A64BF2">
              <w:rPr>
                <w:lang w:val="en-GB"/>
              </w:rPr>
              <w:t>Committee</w:t>
            </w:r>
          </w:p>
        </w:tc>
        <w:tc>
          <w:tcPr>
            <w:tcW w:w="2126" w:type="dxa"/>
            <w:shd w:val="clear" w:color="auto" w:fill="auto"/>
          </w:tcPr>
          <w:p w:rsidR="00C8763D" w:rsidRPr="00A64BF2" w:rsidRDefault="007D6CF6" w:rsidP="007D6CF6">
            <w:pPr>
              <w:pStyle w:val="TTableText"/>
              <w:rPr>
                <w:lang w:val="en-GB"/>
              </w:rPr>
            </w:pPr>
            <w:r>
              <w:rPr>
                <w:lang w:val="en-GB"/>
              </w:rPr>
              <w:t>27</w:t>
            </w:r>
            <w:r w:rsidR="00855908" w:rsidRPr="00A64BF2">
              <w:rPr>
                <w:lang w:val="en-GB"/>
              </w:rPr>
              <w:t xml:space="preserve"> </w:t>
            </w:r>
            <w:r>
              <w:rPr>
                <w:lang w:val="en-GB"/>
              </w:rPr>
              <w:t>February</w:t>
            </w:r>
            <w:r w:rsidR="00855908" w:rsidRPr="00A64BF2">
              <w:rPr>
                <w:lang w:val="en-GB"/>
              </w:rPr>
              <w:t xml:space="preserve"> </w:t>
            </w:r>
            <w:r>
              <w:rPr>
                <w:lang w:val="en-GB"/>
              </w:rPr>
              <w:t>2019</w:t>
            </w:r>
          </w:p>
        </w:tc>
        <w:tc>
          <w:tcPr>
            <w:tcW w:w="4643" w:type="dxa"/>
            <w:shd w:val="clear" w:color="auto" w:fill="auto"/>
          </w:tcPr>
          <w:p w:rsidR="00C8763D" w:rsidRPr="00A64BF2" w:rsidRDefault="00FB1836" w:rsidP="007E1048">
            <w:pPr>
              <w:pStyle w:val="TTableText"/>
              <w:rPr>
                <w:lang w:val="en-GB"/>
              </w:rPr>
            </w:pPr>
            <w:hyperlink r:id="rId15" w:history="1">
              <w:r w:rsidR="007E1048" w:rsidRPr="00F95DA1">
                <w:rPr>
                  <w:rStyle w:val="Hyperlink"/>
                  <w:lang w:val="en-GB"/>
                </w:rPr>
                <w:t>Col 1</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Report and Third Reading</w:t>
            </w:r>
          </w:p>
        </w:tc>
        <w:tc>
          <w:tcPr>
            <w:tcW w:w="2126" w:type="dxa"/>
            <w:shd w:val="clear" w:color="auto" w:fill="auto"/>
          </w:tcPr>
          <w:p w:rsidR="00C8763D" w:rsidRPr="00A64BF2" w:rsidRDefault="007D6CF6" w:rsidP="007D6CF6">
            <w:pPr>
              <w:pStyle w:val="TTableText"/>
              <w:rPr>
                <w:lang w:val="en-GB"/>
              </w:rPr>
            </w:pPr>
            <w:r>
              <w:rPr>
                <w:lang w:val="en-GB"/>
              </w:rPr>
              <w:t>15</w:t>
            </w:r>
            <w:r w:rsidR="00855908" w:rsidRPr="00A64BF2">
              <w:rPr>
                <w:lang w:val="en-GB"/>
              </w:rPr>
              <w:t xml:space="preserve"> </w:t>
            </w:r>
            <w:r>
              <w:rPr>
                <w:lang w:val="en-GB"/>
              </w:rPr>
              <w:t>March</w:t>
            </w:r>
            <w:r w:rsidR="00855908" w:rsidRPr="00A64BF2">
              <w:rPr>
                <w:lang w:val="en-GB"/>
              </w:rPr>
              <w:t xml:space="preserve"> </w:t>
            </w:r>
            <w:r>
              <w:rPr>
                <w:lang w:val="en-GB"/>
              </w:rPr>
              <w:t>2019</w:t>
            </w:r>
          </w:p>
        </w:tc>
        <w:tc>
          <w:tcPr>
            <w:tcW w:w="4643" w:type="dxa"/>
            <w:shd w:val="clear" w:color="auto" w:fill="auto"/>
          </w:tcPr>
          <w:p w:rsidR="00C8763D" w:rsidRPr="00A64BF2" w:rsidRDefault="00FB1836" w:rsidP="007E1048">
            <w:pPr>
              <w:pStyle w:val="TTableText"/>
              <w:rPr>
                <w:lang w:val="en-GB"/>
              </w:rPr>
            </w:pPr>
            <w:hyperlink r:id="rId16" w:history="1">
              <w:r w:rsidR="007E1048" w:rsidRPr="00F95DA1">
                <w:rPr>
                  <w:rStyle w:val="Hyperlink"/>
                  <w:lang w:val="en-GB"/>
                </w:rPr>
                <w:t>Vol. 656 Col. 694</w:t>
              </w:r>
            </w:hyperlink>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Introduction</w:t>
            </w:r>
          </w:p>
        </w:tc>
        <w:tc>
          <w:tcPr>
            <w:tcW w:w="2126" w:type="dxa"/>
            <w:shd w:val="clear" w:color="auto" w:fill="auto"/>
          </w:tcPr>
          <w:p w:rsidR="00C8763D" w:rsidRPr="00A64BF2" w:rsidRDefault="007D6CF6" w:rsidP="007D6CF6">
            <w:pPr>
              <w:pStyle w:val="TTableText"/>
              <w:rPr>
                <w:lang w:val="en-GB"/>
              </w:rPr>
            </w:pPr>
            <w:r>
              <w:rPr>
                <w:lang w:val="en-GB"/>
              </w:rPr>
              <w:t>18</w:t>
            </w:r>
            <w:r w:rsidR="00855908" w:rsidRPr="00A64BF2">
              <w:rPr>
                <w:lang w:val="en-GB"/>
              </w:rPr>
              <w:t xml:space="preserve"> </w:t>
            </w:r>
            <w:r>
              <w:rPr>
                <w:lang w:val="en-GB"/>
              </w:rPr>
              <w:t>March</w:t>
            </w:r>
            <w:r w:rsidR="00855908" w:rsidRPr="00A64BF2">
              <w:rPr>
                <w:lang w:val="en-GB"/>
              </w:rPr>
              <w:t xml:space="preserve"> </w:t>
            </w:r>
            <w:r>
              <w:rPr>
                <w:lang w:val="en-GB"/>
              </w:rPr>
              <w:t>2019</w:t>
            </w:r>
          </w:p>
        </w:tc>
        <w:tc>
          <w:tcPr>
            <w:tcW w:w="4643" w:type="dxa"/>
            <w:shd w:val="clear" w:color="auto" w:fill="auto"/>
          </w:tcPr>
          <w:p w:rsidR="00C8763D" w:rsidRPr="00A64BF2" w:rsidRDefault="00FB1836" w:rsidP="007E1048">
            <w:pPr>
              <w:pStyle w:val="TTableText"/>
              <w:rPr>
                <w:lang w:val="en-GB"/>
              </w:rPr>
            </w:pPr>
            <w:hyperlink r:id="rId17" w:history="1">
              <w:r w:rsidR="007E1048" w:rsidRPr="00F95DA1">
                <w:rPr>
                  <w:rStyle w:val="Hyperlink"/>
                  <w:lang w:val="en-GB"/>
                </w:rPr>
                <w:t>Vol. 796</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7D6CF6" w:rsidP="007D6CF6">
            <w:pPr>
              <w:pStyle w:val="TTableText"/>
              <w:rPr>
                <w:lang w:val="en-GB"/>
              </w:rPr>
            </w:pPr>
            <w:r>
              <w:rPr>
                <w:lang w:val="en-GB"/>
              </w:rPr>
              <w:t>12 June</w:t>
            </w:r>
            <w:r w:rsidR="00855908" w:rsidRPr="00A64BF2">
              <w:rPr>
                <w:lang w:val="en-GB"/>
              </w:rPr>
              <w:t xml:space="preserve"> </w:t>
            </w:r>
            <w:r>
              <w:rPr>
                <w:lang w:val="en-GB"/>
              </w:rPr>
              <w:t>2019</w:t>
            </w:r>
          </w:p>
        </w:tc>
        <w:tc>
          <w:tcPr>
            <w:tcW w:w="4643" w:type="dxa"/>
            <w:shd w:val="clear" w:color="auto" w:fill="auto"/>
          </w:tcPr>
          <w:p w:rsidR="00C8763D" w:rsidRPr="00A64BF2" w:rsidRDefault="00FB1836" w:rsidP="007E1048">
            <w:pPr>
              <w:pStyle w:val="TTableText"/>
              <w:rPr>
                <w:lang w:val="en-GB"/>
              </w:rPr>
            </w:pPr>
            <w:hyperlink r:id="rId18" w:history="1">
              <w:r w:rsidR="007E1048" w:rsidRPr="00F95DA1">
                <w:rPr>
                  <w:rStyle w:val="Hyperlink"/>
                  <w:lang w:val="en-GB"/>
                </w:rPr>
                <w:t>Vol. 798</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Third Reading</w:t>
            </w:r>
          </w:p>
        </w:tc>
        <w:tc>
          <w:tcPr>
            <w:tcW w:w="2126" w:type="dxa"/>
            <w:shd w:val="clear" w:color="auto" w:fill="auto"/>
          </w:tcPr>
          <w:p w:rsidR="00855908" w:rsidRPr="00A64BF2" w:rsidRDefault="007E1048" w:rsidP="00855908">
            <w:pPr>
              <w:pStyle w:val="TTableText"/>
              <w:rPr>
                <w:lang w:val="en-GB"/>
              </w:rPr>
            </w:pPr>
            <w:r>
              <w:rPr>
                <w:lang w:val="en-GB"/>
              </w:rPr>
              <w:t>2 July 2019</w:t>
            </w:r>
          </w:p>
        </w:tc>
        <w:tc>
          <w:tcPr>
            <w:tcW w:w="4643" w:type="dxa"/>
            <w:shd w:val="clear" w:color="auto" w:fill="auto"/>
          </w:tcPr>
          <w:p w:rsidR="00855908" w:rsidRPr="00A64BF2" w:rsidRDefault="00FB1836" w:rsidP="007E1048">
            <w:pPr>
              <w:pStyle w:val="TTableText"/>
              <w:rPr>
                <w:lang w:val="en-GB"/>
              </w:rPr>
            </w:pPr>
            <w:hyperlink r:id="rId19" w:history="1">
              <w:r w:rsidR="007E1048" w:rsidRPr="00D93C97">
                <w:rPr>
                  <w:rStyle w:val="Hyperlink"/>
                  <w:lang w:val="en-GB"/>
                </w:rPr>
                <w:t>Vol. 798</w:t>
              </w:r>
            </w:hyperlink>
          </w:p>
        </w:tc>
      </w:tr>
      <w:tr w:rsidR="002E0272" w:rsidRPr="00A64BF2" w:rsidTr="00A64BF2">
        <w:tc>
          <w:tcPr>
            <w:tcW w:w="2518" w:type="dxa"/>
            <w:vMerge w:val="restart"/>
            <w:shd w:val="clear" w:color="auto" w:fill="auto"/>
          </w:tcPr>
          <w:p w:rsidR="002E0272" w:rsidRPr="00A64BF2" w:rsidRDefault="002E0272" w:rsidP="00855908">
            <w:pPr>
              <w:pStyle w:val="TTableText"/>
              <w:rPr>
                <w:lang w:val="en-GB"/>
              </w:rPr>
            </w:pPr>
            <w:r w:rsidRPr="00A64BF2">
              <w:rPr>
                <w:lang w:val="en-GB"/>
              </w:rPr>
              <w:t>Royal Assent</w:t>
            </w:r>
          </w:p>
        </w:tc>
        <w:tc>
          <w:tcPr>
            <w:tcW w:w="2126" w:type="dxa"/>
            <w:vMerge w:val="restart"/>
            <w:shd w:val="clear" w:color="auto" w:fill="auto"/>
          </w:tcPr>
          <w:p w:rsidR="002E0272" w:rsidRPr="00A64BF2" w:rsidRDefault="007E1048" w:rsidP="007E1048">
            <w:pPr>
              <w:pStyle w:val="TTableText"/>
              <w:rPr>
                <w:lang w:val="en-GB"/>
              </w:rPr>
            </w:pPr>
            <w:r>
              <w:rPr>
                <w:lang w:val="en-GB"/>
              </w:rPr>
              <w:t>4 July 2019</w:t>
            </w:r>
          </w:p>
        </w:tc>
        <w:tc>
          <w:tcPr>
            <w:tcW w:w="4643" w:type="dxa"/>
            <w:shd w:val="clear" w:color="auto" w:fill="auto"/>
          </w:tcPr>
          <w:p w:rsidR="002E0272" w:rsidRPr="00A64BF2" w:rsidRDefault="00F95DA1" w:rsidP="00F95DA1">
            <w:pPr>
              <w:pStyle w:val="TTableText"/>
              <w:rPr>
                <w:lang w:val="en-GB"/>
              </w:rPr>
            </w:pPr>
            <w:r>
              <w:rPr>
                <w:lang w:val="en-GB"/>
              </w:rPr>
              <w:t xml:space="preserve">House of Commons </w:t>
            </w:r>
            <w:hyperlink r:id="rId20" w:anchor="contribution-80F1634F-1CC3-4FC6-8FE7-E60EF9FE4184" w:history="1">
              <w:r w:rsidRPr="00F95DA1">
                <w:rPr>
                  <w:rStyle w:val="Hyperlink"/>
                  <w:lang w:val="en-GB"/>
                </w:rPr>
                <w:t>Vol. 662 Col. 1347</w:t>
              </w:r>
            </w:hyperlink>
          </w:p>
        </w:tc>
      </w:tr>
      <w:tr w:rsidR="002E0272" w:rsidRPr="00A64BF2" w:rsidTr="00A64BF2">
        <w:tc>
          <w:tcPr>
            <w:tcW w:w="2518" w:type="dxa"/>
            <w:vMerge/>
            <w:shd w:val="clear" w:color="auto" w:fill="auto"/>
          </w:tcPr>
          <w:p w:rsidR="002E0272" w:rsidRPr="00A64BF2" w:rsidRDefault="002E0272" w:rsidP="00855908">
            <w:pPr>
              <w:pStyle w:val="TTableText"/>
              <w:rPr>
                <w:lang w:val="en-GB"/>
              </w:rPr>
            </w:pPr>
          </w:p>
        </w:tc>
        <w:tc>
          <w:tcPr>
            <w:tcW w:w="2126" w:type="dxa"/>
            <w:vMerge/>
            <w:shd w:val="clear" w:color="auto" w:fill="auto"/>
          </w:tcPr>
          <w:p w:rsidR="002E0272" w:rsidRPr="00A64BF2" w:rsidRDefault="002E0272" w:rsidP="00855908">
            <w:pPr>
              <w:pStyle w:val="TTableText"/>
              <w:rPr>
                <w:lang w:val="en-GB"/>
              </w:rPr>
            </w:pPr>
          </w:p>
        </w:tc>
        <w:tc>
          <w:tcPr>
            <w:tcW w:w="4643" w:type="dxa"/>
            <w:shd w:val="clear" w:color="auto" w:fill="auto"/>
          </w:tcPr>
          <w:p w:rsidR="002E0272" w:rsidRPr="00A64BF2" w:rsidRDefault="002E0272" w:rsidP="007E1048">
            <w:pPr>
              <w:pStyle w:val="TTableText"/>
              <w:rPr>
                <w:lang w:val="en-GB"/>
              </w:rPr>
            </w:pPr>
            <w:r w:rsidRPr="00A64BF2">
              <w:rPr>
                <w:lang w:val="en-GB"/>
              </w:rPr>
              <w:t>House of</w:t>
            </w:r>
            <w:r w:rsidR="007E1048">
              <w:rPr>
                <w:lang w:val="en-GB"/>
              </w:rPr>
              <w:t xml:space="preserve"> Lords </w:t>
            </w:r>
            <w:hyperlink r:id="rId21" w:history="1">
              <w:r w:rsidR="007E1048" w:rsidRPr="00F95DA1">
                <w:rPr>
                  <w:rStyle w:val="Hyperlink"/>
                  <w:lang w:val="en-GB"/>
                </w:rPr>
                <w:t>Vol. 798</w:t>
              </w:r>
            </w:hyperlink>
          </w:p>
        </w:tc>
      </w:tr>
    </w:tbl>
    <w:p w:rsidR="005F6F2A" w:rsidRPr="00CA4237" w:rsidRDefault="005F6F2A" w:rsidP="00253AC7">
      <w:pPr>
        <w:pStyle w:val="ParaMainText"/>
        <w:rPr>
          <w:lang w:val="en-GB"/>
        </w:rPr>
      </w:pPr>
    </w:p>
    <w:sectPr w:rsidR="005F6F2A" w:rsidRPr="00CA4237" w:rsidSect="005B5D58">
      <w:headerReference w:type="even" r:id="rId22"/>
      <w:headerReference w:type="default" r:id="rId23"/>
      <w:footerReference w:type="even" r:id="rId24"/>
      <w:footerReference w:type="default" r:id="rId25"/>
      <w:headerReference w:type="first" r:id="rId26"/>
      <w:footerReference w:type="first" r:id="rId2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A58" w:rsidRDefault="00983A58">
      <w:r>
        <w:separator/>
      </w:r>
    </w:p>
    <w:p w:rsidR="00983A58" w:rsidRDefault="00983A58"/>
    <w:p w:rsidR="00983A58" w:rsidRDefault="00983A58"/>
  </w:endnote>
  <w:endnote w:type="continuationSeparator" w:id="0">
    <w:p w:rsidR="00983A58" w:rsidRDefault="00983A58">
      <w:r>
        <w:continuationSeparator/>
      </w:r>
    </w:p>
    <w:p w:rsidR="00983A58" w:rsidRDefault="00983A58"/>
    <w:p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B1836">
      <w:rPr>
        <w:noProof/>
      </w:rPr>
      <w:t>7</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B1836">
      <w:rPr>
        <w:noProof/>
      </w:rPr>
      <w:t>7</w:t>
    </w:r>
    <w:r>
      <w:rPr>
        <w:noProof/>
      </w:rPr>
      <w:fldChar w:fldCharType="end"/>
    </w:r>
  </w:p>
  <w:p w:rsidR="00AE5693" w:rsidRPr="00253AC7" w:rsidRDefault="00AE5693" w:rsidP="00AE7634">
    <w:pPr>
      <w:pStyle w:val="Footer"/>
      <w:rPr>
        <w:rStyle w:val="FooterText"/>
        <w:i w:val="0"/>
      </w:rPr>
    </w:pPr>
    <w:r w:rsidRPr="00DE0805">
      <w:rPr>
        <w:rStyle w:val="FooterText"/>
      </w:rPr>
      <w:t>These Explanatory Notes relate to the</w:t>
    </w:r>
    <w:r w:rsidR="006544EF">
      <w:rPr>
        <w:rStyle w:val="FooterText"/>
      </w:rPr>
      <w:t xml:space="preserve"> Holocaust (Return of Cultural Object) (Amendment) Act </w:t>
    </w:r>
    <w:r w:rsidR="006544EF" w:rsidRPr="00253AC7">
      <w:rPr>
        <w:rStyle w:val="FooterText"/>
      </w:rPr>
      <w:t>2019</w:t>
    </w:r>
    <w:r w:rsidR="00253AC7">
      <w:rPr>
        <w:rStyle w:val="FooterText"/>
      </w:rPr>
      <w:t xml:space="preserve"> (c. 20) </w:t>
    </w:r>
    <w:r w:rsidR="006544EF" w:rsidRPr="00253AC7">
      <w:rPr>
        <w:i/>
      </w:rPr>
      <w:t>which received Royal Assent on 4 July 2019</w:t>
    </w:r>
    <w:r w:rsidRPr="00253AC7">
      <w:rPr>
        <w:rStyle w:val="FooterText"/>
        <w:i w:val="0"/>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6544EF" w:rsidP="00B11839">
    <w:pPr>
      <w:pStyle w:val="Footer"/>
      <w:jc w:val="both"/>
    </w:pPr>
    <w:r>
      <w:t>c.20-EN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A58" w:rsidRDefault="00983A58">
      <w:r>
        <w:separator/>
      </w:r>
    </w:p>
    <w:p w:rsidR="00983A58" w:rsidRDefault="00983A58"/>
    <w:p w:rsidR="00983A58" w:rsidRDefault="00983A58"/>
  </w:footnote>
  <w:footnote w:type="continuationSeparator" w:id="0">
    <w:p w:rsidR="00983A58" w:rsidRDefault="00983A58">
      <w:r>
        <w:continuationSeparator/>
      </w:r>
    </w:p>
    <w:p w:rsidR="00983A58" w:rsidRDefault="00983A58"/>
    <w:p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0FD3"/>
    <w:rsid w:val="002129AD"/>
    <w:rsid w:val="002161B4"/>
    <w:rsid w:val="00216BF3"/>
    <w:rsid w:val="00217D23"/>
    <w:rsid w:val="0022481F"/>
    <w:rsid w:val="00224C34"/>
    <w:rsid w:val="002318A8"/>
    <w:rsid w:val="00232A21"/>
    <w:rsid w:val="00236709"/>
    <w:rsid w:val="00253AC7"/>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44EF"/>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CF6"/>
    <w:rsid w:val="007D6FAE"/>
    <w:rsid w:val="007E1048"/>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145"/>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77450"/>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3C97"/>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5DA1"/>
    <w:rsid w:val="00F96984"/>
    <w:rsid w:val="00FB02BF"/>
    <w:rsid w:val="00FB1836"/>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2128161C"/>
  <w15:docId w15:val="{DA59340C-DB6B-418E-8CDD-ACA13690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253AC7"/>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8-03-13/debates/CBE9618C-3363-4465-8081-F06124F9BAFF/Holocaust(ReturnOfCulturalObjects)(Amendment)" TargetMode="External"/><Relationship Id="rId18" Type="http://schemas.openxmlformats.org/officeDocument/2006/relationships/hyperlink" Target="https://hansard.parliament.uk/Lords/2019-06-12/debates/8E0AE3DA-FCD8-444C-A32A-FC35E461EFD3/Holocaust(ReturnOfCulturalObjects)(Amendment)Bill"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hansard.parliament.uk/Lords/2019-07-04/debates/28ED4FB9-9C74-4840-A4EF-50073F9CC14D/RoyalAssent" TargetMode="External"/><Relationship Id="rId7" Type="http://schemas.openxmlformats.org/officeDocument/2006/relationships/footnotes" Target="footnotes.xml"/><Relationship Id="rId12" Type="http://schemas.openxmlformats.org/officeDocument/2006/relationships/hyperlink" Target="https://researchbriefings.parliament.uk/ResearchBriefing/Summary/LLN-2019-0051" TargetMode="External"/><Relationship Id="rId17" Type="http://schemas.openxmlformats.org/officeDocument/2006/relationships/hyperlink" Target="https://hansard.parliament.uk/Lords/2019-03-18/debates/7B40B2E1-CB4B-4ACF-8A11-8EA999DDC3DA/Holocaust(ReturnOfCulturalObjects)(Amendment)Bil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Commons/2019-03-15/debates/BBEF2566-96AF-45E7-842A-1A66E194F49A/Holocaust(ReturnOfCulturalObjects)(Amendment)Bill" TargetMode="External"/><Relationship Id="rId20" Type="http://schemas.openxmlformats.org/officeDocument/2006/relationships/hyperlink" Target="https://hansard.parliament.uk/Commons/2019-07-04/debates/FE58FDA7-EF3B-47CB-9336-A3FA3205D8B5/SexualAbuseConvictionRat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searchbriefings.parliament.uk/ResearchBriefing/Summary/CBP-8409"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publications.parliament.uk/pa/bills/cbill/2017-2019/0182/amend/holocaust_pro_pbc_0227.1.html"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publications.parliament.uk/pa/bills/cbill/2017-2019/0182/Holoaust%20(Return%20of%20Cultural%20Objects)%20Bill%20-%20Scotland%20Memo%20-%20180516.pdf" TargetMode="External"/><Relationship Id="rId19" Type="http://schemas.openxmlformats.org/officeDocument/2006/relationships/hyperlink" Target="https://hansard.parliament.uk/Lords/2019-07-02/debates/63A36930-640E-4479-A7EA-DCE8CB6D4812/Holocaust(ReturnOfCulturalObjects)(Amendment)Bill" TargetMode="External"/><Relationship Id="rId4" Type="http://schemas.openxmlformats.org/officeDocument/2006/relationships/styles" Target="styles.xml"/><Relationship Id="rId9" Type="http://schemas.openxmlformats.org/officeDocument/2006/relationships/hyperlink" Target="https://publications.parliament.uk/pa/bills/cbill/2017-2019/0182/Holocaust%20(Return%20of%20Cultural%20Objects)%20Bill%20-%20LCM%20Scotland%20-%20180516%20.pdf" TargetMode="External"/><Relationship Id="rId14" Type="http://schemas.openxmlformats.org/officeDocument/2006/relationships/hyperlink" Target="https://hansard.parliament.uk/Commons/2019-02-08/debates/07B342B0-BBE2-4E0B-BE35-A1423D4A1C82/Holocaust(ReturnOfCulturalObjects)(Amendment)Bill"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E9277D-C5E4-439E-8A11-CBCBF9F6A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1549</Words>
  <Characters>10568</Characters>
  <Application>Microsoft Office Word</Application>
  <DocSecurity>0</DocSecurity>
  <Lines>880</Lines>
  <Paragraphs>932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11185</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6</cp:revision>
  <cp:lastPrinted>2016-01-06T10:34:00Z</cp:lastPrinted>
  <dcterms:created xsi:type="dcterms:W3CDTF">2019-10-17T10:11:00Z</dcterms:created>
  <dcterms:modified xsi:type="dcterms:W3CDTF">2019-10-18T09:17:00Z</dcterms:modified>
  <cp:category/>
  <cp:contentStatus/>
</cp:coreProperties>
</file>