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BC792" w14:textId="3EFB91F5" w:rsidR="00E718E1" w:rsidRPr="00CA4237" w:rsidRDefault="002D46E3"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FF51F9">
            <w:rPr>
              <w:color w:val="auto"/>
              <w:lang w:val="en-GB"/>
            </w:rPr>
            <w:t>Early Parliamentary General Election</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116F2C">
            <w:rPr>
              <w:color w:val="auto"/>
              <w:lang w:val="en-GB"/>
            </w:rPr>
            <w:t>act</w:t>
          </w:r>
        </w:sdtContent>
      </w:sdt>
      <w:r w:rsidR="00135F2C">
        <w:rPr>
          <w:color w:val="auto"/>
          <w:lang w:val="en-GB"/>
        </w:rPr>
        <w:t xml:space="preserve"> 2019</w:t>
      </w:r>
      <w:r w:rsidR="00630235">
        <w:rPr>
          <w:color w:val="auto"/>
          <w:lang w:val="en-GB"/>
        </w:rPr>
        <w:t xml:space="preserve"> </w:t>
      </w:r>
    </w:p>
    <w:p w14:paraId="11A42593"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614243DA"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631FF07" w14:textId="2406FCA2" w:rsidR="00E718E1" w:rsidRPr="00EA678A" w:rsidRDefault="00E718E1" w:rsidP="00146FE0">
      <w:pPr>
        <w:pStyle w:val="StyleStyleENIntroTextLatinPalatinoLinotype-RomanBackg"/>
        <w:rPr>
          <w:color w:val="auto"/>
        </w:rPr>
      </w:pPr>
      <w:r w:rsidRPr="00EA678A">
        <w:rPr>
          <w:color w:val="auto"/>
        </w:rPr>
        <w:t>These Explanatory Notes re</w:t>
      </w:r>
      <w:r w:rsidR="007959B1" w:rsidRPr="00EA678A">
        <w:rPr>
          <w:color w:val="auto"/>
        </w:rPr>
        <w:t>l</w:t>
      </w:r>
      <w:r w:rsidRPr="00EA678A">
        <w:rPr>
          <w:color w:val="auto"/>
        </w:rPr>
        <w:t>ate to the</w:t>
      </w:r>
      <w:r w:rsidR="00C90D4A" w:rsidRPr="00EA678A">
        <w:rPr>
          <w:color w:val="auto"/>
        </w:rPr>
        <w:t xml:space="preserve"> </w:t>
      </w:r>
      <w:sdt>
        <w:sdtPr>
          <w:rPr>
            <w:rStyle w:val="ENIntroTextChar"/>
            <w:rFonts w:ascii="Palatino Linotype" w:hAnsi="Palatino Linotype"/>
            <w:color w:val="auto"/>
            <w:szCs w:val="20"/>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FF51F9" w:rsidRPr="00EA678A">
            <w:rPr>
              <w:rStyle w:val="ENIntroTextChar"/>
              <w:rFonts w:ascii="Palatino Linotype" w:hAnsi="Palatino Linotype"/>
              <w:color w:val="auto"/>
              <w:szCs w:val="20"/>
              <w:lang w:val="en-GB"/>
            </w:rPr>
            <w:t>Early Parliamentary General Election</w:t>
          </w:r>
        </w:sdtContent>
      </w:sdt>
      <w:r w:rsidRPr="00EA678A">
        <w:rPr>
          <w:color w:val="auto"/>
        </w:rPr>
        <w:t xml:space="preserve"> </w:t>
      </w:r>
      <w:sdt>
        <w:sdtPr>
          <w:rPr>
            <w:color w:val="auto"/>
          </w:rPr>
          <w:alias w:val="BillAct"/>
          <w:tag w:val="BillAct"/>
          <w:id w:val="22676691"/>
          <w:lock w:val="sdtLocked"/>
          <w:placeholder>
            <w:docPart w:val="AA6E0A2FDC944D3F973BC56C7811C961"/>
          </w:placeholder>
        </w:sdtPr>
        <w:sdtEndPr/>
        <w:sdtContent>
          <w:r w:rsidR="0044174F">
            <w:rPr>
              <w:color w:val="auto"/>
            </w:rPr>
            <w:t>Act</w:t>
          </w:r>
        </w:sdtContent>
      </w:sdt>
      <w:r w:rsidR="00444E06" w:rsidRPr="00EA678A">
        <w:rPr>
          <w:color w:val="auto"/>
        </w:rPr>
        <w:t xml:space="preserve"> </w:t>
      </w:r>
      <w:r w:rsidR="00135F2C">
        <w:rPr>
          <w:color w:val="auto"/>
        </w:rPr>
        <w:t xml:space="preserve">2019 (c. 29)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44174F">
            <w:rPr>
              <w:color w:val="auto"/>
            </w:rPr>
            <w:t>which received Royal Assent</w:t>
          </w:r>
        </w:sdtContent>
      </w:sdt>
      <w:r w:rsidRPr="00EA678A">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10-31T00:00:00Z">
            <w:dateFormat w:val="d MMMM yyyy"/>
            <w:lid w:val="en-GB"/>
            <w:storeMappedDataAs w:val="dateTime"/>
            <w:calendar w:val="gregorian"/>
          </w:date>
        </w:sdtPr>
        <w:sdtEndPr/>
        <w:sdtContent>
          <w:r w:rsidR="0044174F">
            <w:rPr>
              <w:color w:val="auto"/>
              <w:lang w:val="en-GB"/>
            </w:rPr>
            <w:t>31 October 2019</w:t>
          </w:r>
        </w:sdtContent>
      </w:sdt>
      <w:r w:rsidR="00782D13" w:rsidRPr="00EA678A">
        <w:rPr>
          <w:color w:val="auto"/>
        </w:rPr>
        <w:t>.</w:t>
      </w:r>
      <w:r w:rsidR="005F4902" w:rsidRPr="00EA678A">
        <w:rPr>
          <w:color w:val="auto"/>
        </w:rPr>
        <w:t xml:space="preserve"> </w:t>
      </w:r>
    </w:p>
    <w:p w14:paraId="07117A8D" w14:textId="60D2642E"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6C71A9">
            <w:rPr>
              <w:color w:val="auto"/>
            </w:rPr>
            <w:t>prepared by the Cabinet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B3FE2">
            <w:rPr>
              <w:color w:val="auto"/>
            </w:rPr>
            <w:t xml:space="preserve">of the </w:t>
          </w:r>
          <w:r w:rsidR="00D81709">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44174F">
            <w:t>Act</w:t>
          </w:r>
        </w:sdtContent>
      </w:sdt>
      <w:r w:rsidR="00F4644B" w:rsidRPr="00AE5693">
        <w:t xml:space="preserve"> </w:t>
      </w:r>
      <w:r w:rsidRPr="00AE5693">
        <w:t>and have not been endorsed by Parliament.</w:t>
      </w:r>
    </w:p>
    <w:p w14:paraId="44971FE1" w14:textId="1146116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44174F">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44174F">
            <w:t>Act</w:t>
          </w:r>
        </w:sdtContent>
      </w:sdt>
      <w:r w:rsidR="00F4644B" w:rsidRPr="00AE5693">
        <w:t xml:space="preserve"> </w:t>
      </w:r>
      <w:r w:rsidR="00FD6AE0" w:rsidRPr="00AE5693">
        <w:t xml:space="preserve">will affect existing legislation in this area. </w:t>
      </w:r>
    </w:p>
    <w:p w14:paraId="74AEDE77" w14:textId="4DC39E18"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44174F">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44174F">
            <w:t>Act</w:t>
          </w:r>
        </w:sdtContent>
      </w:sdt>
      <w:r w:rsidR="005D36BD" w:rsidRPr="00146FE0">
        <w:t>.</w:t>
      </w:r>
    </w:p>
    <w:p w14:paraId="7399725D"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3E9627E3" w14:textId="77777777" w:rsidTr="00135F2C">
            <w:tc>
              <w:tcPr>
                <w:tcW w:w="4680" w:type="dxa"/>
              </w:tcPr>
              <w:p w14:paraId="60C552CB" w14:textId="77777777" w:rsidR="00EC4FF9" w:rsidRPr="00AE5693" w:rsidRDefault="00EC4FF9" w:rsidP="0067758B">
                <w:pPr>
                  <w:pStyle w:val="StyleTOC1Bold"/>
                  <w:jc w:val="left"/>
                  <w:rPr>
                    <w:b/>
                  </w:rPr>
                </w:pPr>
                <w:r w:rsidRPr="00AE5693">
                  <w:rPr>
                    <w:b/>
                  </w:rPr>
                  <w:t>Subject</w:t>
                </w:r>
              </w:p>
            </w:tc>
            <w:tc>
              <w:tcPr>
                <w:tcW w:w="4533" w:type="dxa"/>
              </w:tcPr>
              <w:p w14:paraId="0D061D13" w14:textId="77777777" w:rsidR="00EC4FF9" w:rsidRPr="00AE5693" w:rsidRDefault="00EC4FF9" w:rsidP="0067758B">
                <w:pPr>
                  <w:pStyle w:val="StyleTOC1BoldRight"/>
                  <w:rPr>
                    <w:b/>
                  </w:rPr>
                </w:pPr>
                <w:r w:rsidRPr="00AE5693">
                  <w:rPr>
                    <w:b/>
                  </w:rPr>
                  <w:t>Page of these Notes</w:t>
                </w:r>
              </w:p>
            </w:tc>
          </w:tr>
        </w:sdtContent>
      </w:sdt>
    </w:tbl>
    <w:p w14:paraId="17BFAC62" w14:textId="1312D1D9" w:rsidR="002D46E3"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29453335" w:history="1">
        <w:r w:rsidR="002D46E3" w:rsidRPr="005A142E">
          <w:rPr>
            <w:rStyle w:val="Hyperlink"/>
            <w:noProof/>
          </w:rPr>
          <w:t>Overview of the Act</w:t>
        </w:r>
        <w:r w:rsidR="002D46E3">
          <w:rPr>
            <w:noProof/>
            <w:webHidden/>
          </w:rPr>
          <w:tab/>
        </w:r>
        <w:r w:rsidR="002D46E3">
          <w:rPr>
            <w:noProof/>
            <w:webHidden/>
          </w:rPr>
          <w:fldChar w:fldCharType="begin"/>
        </w:r>
        <w:r w:rsidR="002D46E3">
          <w:rPr>
            <w:noProof/>
            <w:webHidden/>
          </w:rPr>
          <w:instrText xml:space="preserve"> PAGEREF _Toc29453335 \h </w:instrText>
        </w:r>
        <w:r w:rsidR="002D46E3">
          <w:rPr>
            <w:noProof/>
            <w:webHidden/>
          </w:rPr>
        </w:r>
        <w:r w:rsidR="002D46E3">
          <w:rPr>
            <w:noProof/>
            <w:webHidden/>
          </w:rPr>
          <w:fldChar w:fldCharType="separate"/>
        </w:r>
        <w:r w:rsidR="002D46E3">
          <w:rPr>
            <w:noProof/>
            <w:webHidden/>
          </w:rPr>
          <w:t>2</w:t>
        </w:r>
        <w:r w:rsidR="002D46E3">
          <w:rPr>
            <w:noProof/>
            <w:webHidden/>
          </w:rPr>
          <w:fldChar w:fldCharType="end"/>
        </w:r>
      </w:hyperlink>
    </w:p>
    <w:p w14:paraId="2F44DF87" w14:textId="766AC211" w:rsidR="002D46E3" w:rsidRDefault="002D46E3">
      <w:pPr>
        <w:pStyle w:val="TOC1"/>
        <w:rPr>
          <w:rFonts w:asciiTheme="minorHAnsi" w:hAnsiTheme="minorHAnsi"/>
          <w:b w:val="0"/>
          <w:bCs w:val="0"/>
          <w:noProof/>
          <w:sz w:val="22"/>
          <w:szCs w:val="22"/>
          <w:lang w:eastAsia="en-GB" w:bidi="ar-SA"/>
        </w:rPr>
      </w:pPr>
      <w:hyperlink w:anchor="_Toc29453336" w:history="1">
        <w:r w:rsidRPr="005A142E">
          <w:rPr>
            <w:rStyle w:val="Hyperlink"/>
            <w:noProof/>
          </w:rPr>
          <w:t>Policy background</w:t>
        </w:r>
        <w:r>
          <w:rPr>
            <w:noProof/>
            <w:webHidden/>
          </w:rPr>
          <w:tab/>
        </w:r>
        <w:r>
          <w:rPr>
            <w:noProof/>
            <w:webHidden/>
          </w:rPr>
          <w:fldChar w:fldCharType="begin"/>
        </w:r>
        <w:r>
          <w:rPr>
            <w:noProof/>
            <w:webHidden/>
          </w:rPr>
          <w:instrText xml:space="preserve"> PAGEREF _Toc29453336 \h </w:instrText>
        </w:r>
        <w:r>
          <w:rPr>
            <w:noProof/>
            <w:webHidden/>
          </w:rPr>
        </w:r>
        <w:r>
          <w:rPr>
            <w:noProof/>
            <w:webHidden/>
          </w:rPr>
          <w:fldChar w:fldCharType="separate"/>
        </w:r>
        <w:r>
          <w:rPr>
            <w:noProof/>
            <w:webHidden/>
          </w:rPr>
          <w:t>2</w:t>
        </w:r>
        <w:r>
          <w:rPr>
            <w:noProof/>
            <w:webHidden/>
          </w:rPr>
          <w:fldChar w:fldCharType="end"/>
        </w:r>
      </w:hyperlink>
    </w:p>
    <w:p w14:paraId="0040132A" w14:textId="79E9D68F" w:rsidR="002D46E3" w:rsidRDefault="002D46E3">
      <w:pPr>
        <w:pStyle w:val="TOC1"/>
        <w:rPr>
          <w:rFonts w:asciiTheme="minorHAnsi" w:hAnsiTheme="minorHAnsi"/>
          <w:b w:val="0"/>
          <w:bCs w:val="0"/>
          <w:noProof/>
          <w:sz w:val="22"/>
          <w:szCs w:val="22"/>
          <w:lang w:eastAsia="en-GB" w:bidi="ar-SA"/>
        </w:rPr>
      </w:pPr>
      <w:hyperlink w:anchor="_Toc29453337" w:history="1">
        <w:r w:rsidRPr="005A142E">
          <w:rPr>
            <w:rStyle w:val="Hyperlink"/>
            <w:noProof/>
          </w:rPr>
          <w:t>Legal background</w:t>
        </w:r>
        <w:r>
          <w:rPr>
            <w:noProof/>
            <w:webHidden/>
          </w:rPr>
          <w:tab/>
        </w:r>
        <w:r>
          <w:rPr>
            <w:noProof/>
            <w:webHidden/>
          </w:rPr>
          <w:fldChar w:fldCharType="begin"/>
        </w:r>
        <w:r>
          <w:rPr>
            <w:noProof/>
            <w:webHidden/>
          </w:rPr>
          <w:instrText xml:space="preserve"> PAGEREF _Toc29453337 \h </w:instrText>
        </w:r>
        <w:r>
          <w:rPr>
            <w:noProof/>
            <w:webHidden/>
          </w:rPr>
        </w:r>
        <w:r>
          <w:rPr>
            <w:noProof/>
            <w:webHidden/>
          </w:rPr>
          <w:fldChar w:fldCharType="separate"/>
        </w:r>
        <w:r>
          <w:rPr>
            <w:noProof/>
            <w:webHidden/>
          </w:rPr>
          <w:t>2</w:t>
        </w:r>
        <w:r>
          <w:rPr>
            <w:noProof/>
            <w:webHidden/>
          </w:rPr>
          <w:fldChar w:fldCharType="end"/>
        </w:r>
      </w:hyperlink>
    </w:p>
    <w:p w14:paraId="352BF2EC" w14:textId="4ECAD730" w:rsidR="002D46E3" w:rsidRDefault="002D46E3">
      <w:pPr>
        <w:pStyle w:val="TOC1"/>
        <w:rPr>
          <w:rFonts w:asciiTheme="minorHAnsi" w:hAnsiTheme="minorHAnsi"/>
          <w:b w:val="0"/>
          <w:bCs w:val="0"/>
          <w:noProof/>
          <w:sz w:val="22"/>
          <w:szCs w:val="22"/>
          <w:lang w:eastAsia="en-GB" w:bidi="ar-SA"/>
        </w:rPr>
      </w:pPr>
      <w:hyperlink w:anchor="_Toc29453338" w:history="1">
        <w:r w:rsidRPr="005A142E">
          <w:rPr>
            <w:rStyle w:val="Hyperlink"/>
            <w:noProof/>
          </w:rPr>
          <w:t>Territorial extent and application</w:t>
        </w:r>
        <w:r>
          <w:rPr>
            <w:noProof/>
            <w:webHidden/>
          </w:rPr>
          <w:tab/>
        </w:r>
        <w:r>
          <w:rPr>
            <w:noProof/>
            <w:webHidden/>
          </w:rPr>
          <w:fldChar w:fldCharType="begin"/>
        </w:r>
        <w:r>
          <w:rPr>
            <w:noProof/>
            <w:webHidden/>
          </w:rPr>
          <w:instrText xml:space="preserve"> PAGEREF _Toc29453338 \h </w:instrText>
        </w:r>
        <w:r>
          <w:rPr>
            <w:noProof/>
            <w:webHidden/>
          </w:rPr>
        </w:r>
        <w:r>
          <w:rPr>
            <w:noProof/>
            <w:webHidden/>
          </w:rPr>
          <w:fldChar w:fldCharType="separate"/>
        </w:r>
        <w:r>
          <w:rPr>
            <w:noProof/>
            <w:webHidden/>
          </w:rPr>
          <w:t>2</w:t>
        </w:r>
        <w:r>
          <w:rPr>
            <w:noProof/>
            <w:webHidden/>
          </w:rPr>
          <w:fldChar w:fldCharType="end"/>
        </w:r>
      </w:hyperlink>
    </w:p>
    <w:p w14:paraId="72131835" w14:textId="6133911D" w:rsidR="002D46E3" w:rsidRDefault="002D46E3">
      <w:pPr>
        <w:pStyle w:val="TOC1"/>
        <w:rPr>
          <w:rFonts w:asciiTheme="minorHAnsi" w:hAnsiTheme="minorHAnsi"/>
          <w:b w:val="0"/>
          <w:bCs w:val="0"/>
          <w:noProof/>
          <w:sz w:val="22"/>
          <w:szCs w:val="22"/>
          <w:lang w:eastAsia="en-GB" w:bidi="ar-SA"/>
        </w:rPr>
      </w:pPr>
      <w:hyperlink w:anchor="_Toc29453339" w:history="1">
        <w:r w:rsidRPr="005A142E">
          <w:rPr>
            <w:rStyle w:val="Hyperlink"/>
            <w:noProof/>
          </w:rPr>
          <w:t>Commentary on provisions of Act</w:t>
        </w:r>
        <w:r>
          <w:rPr>
            <w:noProof/>
            <w:webHidden/>
          </w:rPr>
          <w:tab/>
        </w:r>
        <w:r>
          <w:rPr>
            <w:noProof/>
            <w:webHidden/>
          </w:rPr>
          <w:fldChar w:fldCharType="begin"/>
        </w:r>
        <w:r>
          <w:rPr>
            <w:noProof/>
            <w:webHidden/>
          </w:rPr>
          <w:instrText xml:space="preserve"> PAGEREF _Toc29453339 \h </w:instrText>
        </w:r>
        <w:r>
          <w:rPr>
            <w:noProof/>
            <w:webHidden/>
          </w:rPr>
        </w:r>
        <w:r>
          <w:rPr>
            <w:noProof/>
            <w:webHidden/>
          </w:rPr>
          <w:fldChar w:fldCharType="separate"/>
        </w:r>
        <w:r>
          <w:rPr>
            <w:noProof/>
            <w:webHidden/>
          </w:rPr>
          <w:t>4</w:t>
        </w:r>
        <w:r>
          <w:rPr>
            <w:noProof/>
            <w:webHidden/>
          </w:rPr>
          <w:fldChar w:fldCharType="end"/>
        </w:r>
      </w:hyperlink>
    </w:p>
    <w:p w14:paraId="619494A0" w14:textId="55B727EC" w:rsidR="002D46E3" w:rsidRDefault="002D46E3">
      <w:pPr>
        <w:pStyle w:val="TOC4"/>
        <w:tabs>
          <w:tab w:val="right" w:pos="9061"/>
        </w:tabs>
        <w:rPr>
          <w:noProof/>
          <w:sz w:val="22"/>
          <w:szCs w:val="22"/>
          <w:lang w:eastAsia="en-GB" w:bidi="ar-SA"/>
        </w:rPr>
      </w:pPr>
      <w:hyperlink w:anchor="_Toc29453340" w:history="1">
        <w:r w:rsidRPr="005A142E">
          <w:rPr>
            <w:rStyle w:val="Hyperlink"/>
            <w:noProof/>
          </w:rPr>
          <w:t>Section 1: Early parliamentary general election</w:t>
        </w:r>
        <w:r>
          <w:rPr>
            <w:noProof/>
            <w:webHidden/>
          </w:rPr>
          <w:tab/>
        </w:r>
        <w:r>
          <w:rPr>
            <w:noProof/>
            <w:webHidden/>
          </w:rPr>
          <w:fldChar w:fldCharType="begin"/>
        </w:r>
        <w:r>
          <w:rPr>
            <w:noProof/>
            <w:webHidden/>
          </w:rPr>
          <w:instrText xml:space="preserve"> PAGEREF _Toc29453340 \h </w:instrText>
        </w:r>
        <w:r>
          <w:rPr>
            <w:noProof/>
            <w:webHidden/>
          </w:rPr>
        </w:r>
        <w:r>
          <w:rPr>
            <w:noProof/>
            <w:webHidden/>
          </w:rPr>
          <w:fldChar w:fldCharType="separate"/>
        </w:r>
        <w:r>
          <w:rPr>
            <w:noProof/>
            <w:webHidden/>
          </w:rPr>
          <w:t>4</w:t>
        </w:r>
        <w:r>
          <w:rPr>
            <w:noProof/>
            <w:webHidden/>
          </w:rPr>
          <w:fldChar w:fldCharType="end"/>
        </w:r>
      </w:hyperlink>
    </w:p>
    <w:p w14:paraId="1C16A335" w14:textId="5A3E550B" w:rsidR="002D46E3" w:rsidRDefault="002D46E3">
      <w:pPr>
        <w:pStyle w:val="TOC4"/>
        <w:tabs>
          <w:tab w:val="right" w:pos="9061"/>
        </w:tabs>
        <w:rPr>
          <w:noProof/>
          <w:sz w:val="22"/>
          <w:szCs w:val="22"/>
          <w:lang w:eastAsia="en-GB" w:bidi="ar-SA"/>
        </w:rPr>
      </w:pPr>
      <w:hyperlink w:anchor="_Toc29453341" w:history="1">
        <w:r w:rsidRPr="005A142E">
          <w:rPr>
            <w:rStyle w:val="Hyperlink"/>
            <w:noProof/>
          </w:rPr>
          <w:t>Section 2: Commencement and short title</w:t>
        </w:r>
        <w:r>
          <w:rPr>
            <w:noProof/>
            <w:webHidden/>
          </w:rPr>
          <w:tab/>
        </w:r>
        <w:r>
          <w:rPr>
            <w:noProof/>
            <w:webHidden/>
          </w:rPr>
          <w:fldChar w:fldCharType="begin"/>
        </w:r>
        <w:r>
          <w:rPr>
            <w:noProof/>
            <w:webHidden/>
          </w:rPr>
          <w:instrText xml:space="preserve"> PAGEREF _Toc29453341 \h </w:instrText>
        </w:r>
        <w:r>
          <w:rPr>
            <w:noProof/>
            <w:webHidden/>
          </w:rPr>
        </w:r>
        <w:r>
          <w:rPr>
            <w:noProof/>
            <w:webHidden/>
          </w:rPr>
          <w:fldChar w:fldCharType="separate"/>
        </w:r>
        <w:r>
          <w:rPr>
            <w:noProof/>
            <w:webHidden/>
          </w:rPr>
          <w:t>4</w:t>
        </w:r>
        <w:r>
          <w:rPr>
            <w:noProof/>
            <w:webHidden/>
          </w:rPr>
          <w:fldChar w:fldCharType="end"/>
        </w:r>
      </w:hyperlink>
    </w:p>
    <w:p w14:paraId="2B7FDD01" w14:textId="0B4CB9B4" w:rsidR="002D46E3" w:rsidRDefault="002D46E3">
      <w:pPr>
        <w:pStyle w:val="TOC1"/>
        <w:rPr>
          <w:rFonts w:asciiTheme="minorHAnsi" w:hAnsiTheme="minorHAnsi"/>
          <w:b w:val="0"/>
          <w:bCs w:val="0"/>
          <w:noProof/>
          <w:sz w:val="22"/>
          <w:szCs w:val="22"/>
          <w:lang w:eastAsia="en-GB" w:bidi="ar-SA"/>
        </w:rPr>
      </w:pPr>
      <w:hyperlink w:anchor="_Toc29453342" w:history="1">
        <w:r w:rsidRPr="005A142E">
          <w:rPr>
            <w:rStyle w:val="Hyperlink"/>
            <w:noProof/>
          </w:rPr>
          <w:t>Commencement</w:t>
        </w:r>
        <w:r>
          <w:rPr>
            <w:noProof/>
            <w:webHidden/>
          </w:rPr>
          <w:tab/>
        </w:r>
        <w:r>
          <w:rPr>
            <w:noProof/>
            <w:webHidden/>
          </w:rPr>
          <w:fldChar w:fldCharType="begin"/>
        </w:r>
        <w:r>
          <w:rPr>
            <w:noProof/>
            <w:webHidden/>
          </w:rPr>
          <w:instrText xml:space="preserve"> PAGEREF _Toc29453342 \h </w:instrText>
        </w:r>
        <w:r>
          <w:rPr>
            <w:noProof/>
            <w:webHidden/>
          </w:rPr>
        </w:r>
        <w:r>
          <w:rPr>
            <w:noProof/>
            <w:webHidden/>
          </w:rPr>
          <w:fldChar w:fldCharType="separate"/>
        </w:r>
        <w:r>
          <w:rPr>
            <w:noProof/>
            <w:webHidden/>
          </w:rPr>
          <w:t>5</w:t>
        </w:r>
        <w:r>
          <w:rPr>
            <w:noProof/>
            <w:webHidden/>
          </w:rPr>
          <w:fldChar w:fldCharType="end"/>
        </w:r>
      </w:hyperlink>
    </w:p>
    <w:p w14:paraId="634E4468" w14:textId="54F21027" w:rsidR="002D46E3" w:rsidRDefault="002D46E3">
      <w:pPr>
        <w:pStyle w:val="TOC1"/>
        <w:rPr>
          <w:rFonts w:asciiTheme="minorHAnsi" w:hAnsiTheme="minorHAnsi"/>
          <w:b w:val="0"/>
          <w:bCs w:val="0"/>
          <w:noProof/>
          <w:sz w:val="22"/>
          <w:szCs w:val="22"/>
          <w:lang w:eastAsia="en-GB" w:bidi="ar-SA"/>
        </w:rPr>
      </w:pPr>
      <w:hyperlink w:anchor="_Toc29453343" w:history="1">
        <w:r w:rsidRPr="005A142E">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_Toc29453343 \h </w:instrText>
        </w:r>
        <w:r>
          <w:rPr>
            <w:noProof/>
            <w:webHidden/>
          </w:rPr>
        </w:r>
        <w:r>
          <w:rPr>
            <w:noProof/>
            <w:webHidden/>
          </w:rPr>
          <w:fldChar w:fldCharType="separate"/>
        </w:r>
        <w:r>
          <w:rPr>
            <w:noProof/>
            <w:webHidden/>
          </w:rPr>
          <w:t>6</w:t>
        </w:r>
        <w:r>
          <w:rPr>
            <w:noProof/>
            <w:webHidden/>
          </w:rPr>
          <w:fldChar w:fldCharType="end"/>
        </w:r>
      </w:hyperlink>
    </w:p>
    <w:p w14:paraId="4CA329D7" w14:textId="1C12ADC4" w:rsidR="002D46E3" w:rsidRDefault="002D46E3">
      <w:pPr>
        <w:pStyle w:val="TOC1"/>
        <w:rPr>
          <w:rFonts w:asciiTheme="minorHAnsi" w:hAnsiTheme="minorHAnsi"/>
          <w:b w:val="0"/>
          <w:bCs w:val="0"/>
          <w:noProof/>
          <w:sz w:val="22"/>
          <w:szCs w:val="22"/>
          <w:lang w:eastAsia="en-GB" w:bidi="ar-SA"/>
        </w:rPr>
      </w:pPr>
      <w:hyperlink w:anchor="_Toc29453344" w:history="1">
        <w:r w:rsidRPr="005A142E">
          <w:rPr>
            <w:rStyle w:val="Hyperlink"/>
            <w:noProof/>
          </w:rPr>
          <w:t>Annex B - Hansard References</w:t>
        </w:r>
        <w:r>
          <w:rPr>
            <w:noProof/>
            <w:webHidden/>
          </w:rPr>
          <w:tab/>
        </w:r>
        <w:r>
          <w:rPr>
            <w:noProof/>
            <w:webHidden/>
          </w:rPr>
          <w:fldChar w:fldCharType="begin"/>
        </w:r>
        <w:r>
          <w:rPr>
            <w:noProof/>
            <w:webHidden/>
          </w:rPr>
          <w:instrText xml:space="preserve"> PAGEREF _Toc29453344 \h </w:instrText>
        </w:r>
        <w:r>
          <w:rPr>
            <w:noProof/>
            <w:webHidden/>
          </w:rPr>
        </w:r>
        <w:r>
          <w:rPr>
            <w:noProof/>
            <w:webHidden/>
          </w:rPr>
          <w:fldChar w:fldCharType="separate"/>
        </w:r>
        <w:r>
          <w:rPr>
            <w:noProof/>
            <w:webHidden/>
          </w:rPr>
          <w:t>7</w:t>
        </w:r>
        <w:r>
          <w:rPr>
            <w:noProof/>
            <w:webHidden/>
          </w:rPr>
          <w:fldChar w:fldCharType="end"/>
        </w:r>
      </w:hyperlink>
    </w:p>
    <w:p w14:paraId="203F3185" w14:textId="4C05DB6C"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bookmarkStart w:id="0" w:name="_GoBack"/>
      <w:bookmarkEnd w:id="0"/>
      <w:r w:rsidR="000815DA" w:rsidRPr="00CA4237">
        <w:br w:type="page"/>
      </w:r>
      <w:bookmarkStart w:id="1" w:name="_Toc416612126"/>
      <w:bookmarkStart w:id="2" w:name="_Toc410653883"/>
      <w:bookmarkStart w:id="3" w:name="_Toc29453335"/>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44174F">
                <w:t>Act</w:t>
              </w:r>
            </w:sdtContent>
          </w:sdt>
        </w:sdtContent>
      </w:sdt>
      <w:bookmarkEnd w:id="1"/>
      <w:bookmarkEnd w:id="4"/>
      <w:bookmarkEnd w:id="5"/>
      <w:bookmarkEnd w:id="3"/>
    </w:p>
    <w:p w14:paraId="335B8BB7" w14:textId="5894B5FD" w:rsidR="0035622C" w:rsidRPr="006C71A9" w:rsidRDefault="006C71A9" w:rsidP="006C71A9">
      <w:pPr>
        <w:pStyle w:val="ParaNumbered"/>
        <w:rPr>
          <w:lang w:val="en-GB"/>
        </w:rPr>
      </w:pPr>
      <w:r w:rsidRPr="006C71A9">
        <w:rPr>
          <w:lang w:val="en-GB"/>
        </w:rPr>
        <w:t xml:space="preserve">The Early Parliamentary </w:t>
      </w:r>
      <w:r>
        <w:rPr>
          <w:lang w:val="en-GB"/>
        </w:rPr>
        <w:t xml:space="preserve">General </w:t>
      </w:r>
      <w:r w:rsidRPr="006C71A9">
        <w:rPr>
          <w:lang w:val="en-GB"/>
        </w:rPr>
        <w:t xml:space="preserve">Election </w:t>
      </w:r>
      <w:r w:rsidR="0044174F">
        <w:rPr>
          <w:lang w:val="en-GB"/>
        </w:rPr>
        <w:t>Act</w:t>
      </w:r>
      <w:r w:rsidRPr="006C71A9">
        <w:rPr>
          <w:lang w:val="en-GB"/>
        </w:rPr>
        <w:t xml:space="preserve"> </w:t>
      </w:r>
      <w:r w:rsidR="000E3EEC">
        <w:rPr>
          <w:lang w:val="en-GB"/>
        </w:rPr>
        <w:t>provides for a parliamentary general election to be held on 12 December 2019</w:t>
      </w:r>
      <w:r w:rsidRPr="006C71A9">
        <w:rPr>
          <w:lang w:val="en-GB"/>
        </w:rPr>
        <w:t>.</w:t>
      </w:r>
    </w:p>
    <w:bookmarkStart w:id="6" w:name="_Toc29453336"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5A0BC17F" w14:textId="77777777" w:rsidR="00E718E1" w:rsidRPr="00CA4237" w:rsidRDefault="00E718E1" w:rsidP="005E1288">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100B130F" w14:textId="66709ED4" w:rsidR="006C71A9" w:rsidRDefault="006C71A9" w:rsidP="006C71A9">
      <w:pPr>
        <w:pStyle w:val="ParaNumbered"/>
        <w:rPr>
          <w:lang w:val="en-GB"/>
        </w:rPr>
      </w:pPr>
      <w:r w:rsidRPr="006C71A9">
        <w:rPr>
          <w:lang w:val="en-GB"/>
        </w:rPr>
        <w:t xml:space="preserve">The </w:t>
      </w:r>
      <w:r w:rsidR="00EA678A">
        <w:rPr>
          <w:lang w:val="en-GB"/>
        </w:rPr>
        <w:t>Government</w:t>
      </w:r>
      <w:r w:rsidR="00A042A6">
        <w:rPr>
          <w:lang w:val="en-GB"/>
        </w:rPr>
        <w:t xml:space="preserve"> considers it desirable to hold a general election on the date </w:t>
      </w:r>
      <w:r w:rsidR="002770D6">
        <w:rPr>
          <w:lang w:val="en-GB"/>
        </w:rPr>
        <w:t xml:space="preserve">set out in </w:t>
      </w:r>
      <w:r w:rsidR="00A042A6">
        <w:rPr>
          <w:lang w:val="en-GB"/>
        </w:rPr>
        <w:t xml:space="preserve">the </w:t>
      </w:r>
      <w:r w:rsidR="0044174F">
        <w:rPr>
          <w:lang w:val="en-GB"/>
        </w:rPr>
        <w:t>Act</w:t>
      </w:r>
      <w:r w:rsidR="002770D6">
        <w:rPr>
          <w:lang w:val="en-GB"/>
        </w:rPr>
        <w:t>. The Government wishes to set out the</w:t>
      </w:r>
      <w:r w:rsidR="000354EB">
        <w:rPr>
          <w:lang w:val="en-GB"/>
        </w:rPr>
        <w:t xml:space="preserve"> date that </w:t>
      </w:r>
      <w:r w:rsidR="002770D6">
        <w:rPr>
          <w:lang w:val="en-GB"/>
        </w:rPr>
        <w:t xml:space="preserve">the </w:t>
      </w:r>
      <w:r w:rsidR="000354EB">
        <w:rPr>
          <w:lang w:val="en-GB"/>
        </w:rPr>
        <w:t>election will take place in legislation</w:t>
      </w:r>
      <w:r w:rsidR="002770D6">
        <w:rPr>
          <w:lang w:val="en-GB"/>
        </w:rPr>
        <w:t>, in order</w:t>
      </w:r>
      <w:r w:rsidR="000354EB">
        <w:rPr>
          <w:lang w:val="en-GB"/>
        </w:rPr>
        <w:t xml:space="preserve"> to</w:t>
      </w:r>
      <w:r w:rsidR="002770D6">
        <w:rPr>
          <w:lang w:val="en-GB"/>
        </w:rPr>
        <w:t xml:space="preserve"> provide maximum transparency in relation thereto</w:t>
      </w:r>
      <w:r w:rsidR="000354EB">
        <w:rPr>
          <w:lang w:val="en-GB"/>
        </w:rPr>
        <w:t>.</w:t>
      </w:r>
      <w:r w:rsidR="00A042A6">
        <w:rPr>
          <w:lang w:val="en-GB"/>
        </w:rPr>
        <w:t xml:space="preserve"> </w:t>
      </w:r>
    </w:p>
    <w:p w14:paraId="7D813072" w14:textId="0D8BF12A" w:rsidR="00C1726C" w:rsidRPr="00C1726C" w:rsidRDefault="00C1726C" w:rsidP="00C1726C">
      <w:pPr>
        <w:pStyle w:val="ParaNumbered"/>
      </w:pPr>
      <w:r w:rsidRPr="00C1726C">
        <w:t>It is a statutory requirement that Parliament must dissolve 25 working days before polling day. An election on 9 December 2019 would mean the House dissolving at one minute past midnight on Friday 1 November.</w:t>
      </w:r>
      <w:r>
        <w:t xml:space="preserve"> This </w:t>
      </w:r>
      <w:r w:rsidR="00C30AB4">
        <w:t>would</w:t>
      </w:r>
      <w:r w:rsidRPr="00C1726C">
        <w:rPr>
          <w:lang w:val="en-GB"/>
        </w:rPr>
        <w:t xml:space="preserve"> require the Early Parliamentary </w:t>
      </w:r>
      <w:r>
        <w:rPr>
          <w:lang w:val="en-GB"/>
        </w:rPr>
        <w:t xml:space="preserve">General </w:t>
      </w:r>
      <w:r w:rsidRPr="00C1726C">
        <w:rPr>
          <w:lang w:val="en-GB"/>
        </w:rPr>
        <w:t xml:space="preserve">Election </w:t>
      </w:r>
      <w:r w:rsidR="0044174F">
        <w:rPr>
          <w:lang w:val="en-GB"/>
        </w:rPr>
        <w:t>Act</w:t>
      </w:r>
      <w:r w:rsidRPr="00C1726C">
        <w:rPr>
          <w:lang w:val="en-GB"/>
        </w:rPr>
        <w:t xml:space="preserve"> currently before the House to complete passage through the House of Commons and House of Lords and achieve Royal Assent on Thursday 31 October.</w:t>
      </w:r>
    </w:p>
    <w:p w14:paraId="23FE1387" w14:textId="2C68B2EC" w:rsidR="00C1726C" w:rsidRPr="00C1726C" w:rsidRDefault="00C1726C" w:rsidP="00C1726C">
      <w:pPr>
        <w:pStyle w:val="ParaNumbered"/>
        <w:rPr>
          <w:lang w:val="en-GB"/>
        </w:rPr>
      </w:pPr>
      <w:r w:rsidRPr="00C1726C">
        <w:rPr>
          <w:lang w:val="en-GB"/>
        </w:rPr>
        <w:t>All Parliamentary business planned that relies</w:t>
      </w:r>
      <w:r>
        <w:rPr>
          <w:lang w:val="en-GB"/>
        </w:rPr>
        <w:t xml:space="preserve"> on the House sitting next week</w:t>
      </w:r>
      <w:r w:rsidRPr="00C1726C">
        <w:rPr>
          <w:lang w:val="en-GB"/>
        </w:rPr>
        <w:t xml:space="preserve"> could not proceed, for example the election of a new Speaker on 4 November. The Government would also need to pass the Northern Ireland Budget </w:t>
      </w:r>
      <w:r w:rsidR="0044174F">
        <w:rPr>
          <w:lang w:val="en-GB"/>
        </w:rPr>
        <w:t>Act</w:t>
      </w:r>
      <w:r w:rsidRPr="00C1726C">
        <w:rPr>
          <w:lang w:val="en-GB"/>
        </w:rPr>
        <w:t xml:space="preserve"> before dissolution to ensure the NI Civil Service can access the funding it needs to deliver public services and proper governance in the continued absence of a functioning Executive. </w:t>
      </w:r>
    </w:p>
    <w:p w14:paraId="2726D6D5" w14:textId="59FF28C3" w:rsidR="00C1726C" w:rsidRDefault="00C1726C" w:rsidP="00C1726C">
      <w:pPr>
        <w:pStyle w:val="ParaNumbered"/>
        <w:rPr>
          <w:lang w:val="en-GB"/>
        </w:rPr>
      </w:pPr>
      <w:r w:rsidRPr="00C1726C">
        <w:rPr>
          <w:lang w:val="en-GB"/>
        </w:rPr>
        <w:t>The 9 December would make the polling day a Monday and this places additional burdens on administrative preparations for polling stations and getting casual staff to work over the weekend. T</w:t>
      </w:r>
      <w:r>
        <w:rPr>
          <w:lang w:val="en-GB"/>
        </w:rPr>
        <w:t xml:space="preserve">his could increase the cost of </w:t>
      </w:r>
      <w:r w:rsidRPr="00C1726C">
        <w:rPr>
          <w:lang w:val="en-GB"/>
        </w:rPr>
        <w:t>the election. In the modern era for elections there has never been a Monday election. It is also the case that a 9 December election could lead to two different voter registration deadlines across Scotland which could be confusing for Scottish electors.</w:t>
      </w:r>
    </w:p>
    <w:bookmarkStart w:id="11" w:name="_Toc29453337" w:displacedByCustomXml="next"/>
    <w:bookmarkStart w:id="12" w:name="_Toc416612128" w:displacedByCustomXml="next"/>
    <w:bookmarkStart w:id="13" w:name="_Toc410653885" w:displacedByCustomXml="next"/>
    <w:bookmarkStart w:id="14" w:name="_Toc417648113" w:displacedByCustomXml="next"/>
    <w:bookmarkStart w:id="15" w:name="_Toc418587922" w:displacedByCustomXml="next"/>
    <w:sdt>
      <w:sdtPr>
        <w:id w:val="-916626073"/>
        <w:lock w:val="sdtContentLocked"/>
        <w:placeholder>
          <w:docPart w:val="DefaultPlaceholder_1081868574"/>
        </w:placeholder>
        <w:group/>
      </w:sdtPr>
      <w:sdtEndPr/>
      <w:sdtContent>
        <w:p w14:paraId="3715DED3" w14:textId="77777777" w:rsidR="00E718E1" w:rsidRPr="00CA4237" w:rsidRDefault="00E718E1" w:rsidP="005E1288">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1" w:displacedByCustomXml="prev"/>
    <w:p w14:paraId="5D120B62" w14:textId="4AD13D55" w:rsidR="006C71A9" w:rsidRPr="006C71A9" w:rsidRDefault="00135F2C" w:rsidP="00135F2C">
      <w:pPr>
        <w:pStyle w:val="ParaNumbered"/>
      </w:pPr>
      <w:r>
        <w:rPr>
          <w:lang w:val="en-GB"/>
        </w:rPr>
        <w:t>T</w:t>
      </w:r>
      <w:r w:rsidRPr="00135F2C">
        <w:rPr>
          <w:lang w:val="en-GB"/>
        </w:rPr>
        <w:t>he Fixed-term Parliaments Act 2011</w:t>
      </w:r>
      <w:r>
        <w:rPr>
          <w:lang w:val="en-GB"/>
        </w:rPr>
        <w:t xml:space="preserve"> (</w:t>
      </w:r>
      <w:r>
        <w:t>”t</w:t>
      </w:r>
      <w:r w:rsidR="006C71A9" w:rsidRPr="006C71A9">
        <w:t xml:space="preserve">he </w:t>
      </w:r>
      <w:r w:rsidR="00A042A6">
        <w:t>2011 Act</w:t>
      </w:r>
      <w:r>
        <w:t>”)</w:t>
      </w:r>
      <w:r w:rsidR="006C71A9" w:rsidRPr="006C71A9">
        <w:t xml:space="preserve"> provides for fixed days for polls for parliamentary general elections. In accordance with section 1(2) of the 2011 Act, the polling day for elections is ordinarily the first Thursday in May in the fifth calendar year following that in which the polling day for the previous parliamentary general election fell.</w:t>
      </w:r>
      <w:r w:rsidR="00A042A6">
        <w:t xml:space="preserve"> </w:t>
      </w:r>
    </w:p>
    <w:p w14:paraId="184B9A6D" w14:textId="546C945E" w:rsidR="006C71A9" w:rsidRPr="006C71A9" w:rsidRDefault="00A042A6" w:rsidP="006C71A9">
      <w:pPr>
        <w:pStyle w:val="ParaNumbered"/>
        <w:rPr>
          <w:lang w:val="en-GB"/>
        </w:rPr>
      </w:pPr>
      <w:r>
        <w:rPr>
          <w:lang w:val="en-GB"/>
        </w:rPr>
        <w:t>The 201</w:t>
      </w:r>
      <w:r w:rsidR="006371F8">
        <w:rPr>
          <w:lang w:val="en-GB"/>
        </w:rPr>
        <w:t>1 Act also makes provision for early p</w:t>
      </w:r>
      <w:r>
        <w:rPr>
          <w:lang w:val="en-GB"/>
        </w:rPr>
        <w:t>arliamentary general elections. Th</w:t>
      </w:r>
      <w:r w:rsidR="00E80C23">
        <w:rPr>
          <w:lang w:val="en-GB"/>
        </w:rPr>
        <w:t>is</w:t>
      </w:r>
      <w:r>
        <w:rPr>
          <w:lang w:val="en-GB"/>
        </w:rPr>
        <w:t xml:space="preserve"> </w:t>
      </w:r>
      <w:r w:rsidR="0044174F">
        <w:rPr>
          <w:lang w:val="en-GB"/>
        </w:rPr>
        <w:t>Act</w:t>
      </w:r>
      <w:r>
        <w:rPr>
          <w:lang w:val="en-GB"/>
        </w:rPr>
        <w:t xml:space="preserve"> provides that the 12 December 2019 be treated as polling day appointed under section 2(7) </w:t>
      </w:r>
      <w:r w:rsidR="006C71A9" w:rsidRPr="006C71A9">
        <w:rPr>
          <w:lang w:val="en-GB"/>
        </w:rPr>
        <w:t>of the 2011 Act</w:t>
      </w:r>
      <w:r>
        <w:rPr>
          <w:lang w:val="en-GB"/>
        </w:rPr>
        <w:t xml:space="preserve">. This means that the provisions in </w:t>
      </w:r>
      <w:r w:rsidR="00E80C23">
        <w:rPr>
          <w:lang w:val="en-GB"/>
        </w:rPr>
        <w:t>s</w:t>
      </w:r>
      <w:r>
        <w:rPr>
          <w:lang w:val="en-GB"/>
        </w:rPr>
        <w:t>ection 3 of the 2011 Act in respect of the dissolution of Parliament will apply to the early</w:t>
      </w:r>
      <w:r w:rsidR="009C1DE2">
        <w:rPr>
          <w:lang w:val="en-GB"/>
        </w:rPr>
        <w:t xml:space="preserve"> parliamentary general election. </w:t>
      </w:r>
      <w:r>
        <w:rPr>
          <w:lang w:val="en-GB"/>
        </w:rPr>
        <w:t xml:space="preserve"> </w:t>
      </w:r>
    </w:p>
    <w:bookmarkStart w:id="16" w:name="_Toc29453338" w:displacedByCustomXml="next"/>
    <w:bookmarkStart w:id="17" w:name="_Toc410653886" w:displacedByCustomXml="next"/>
    <w:bookmarkStart w:id="18" w:name="_Toc416612130" w:displacedByCustomXml="next"/>
    <w:sdt>
      <w:sdtPr>
        <w:id w:val="263728"/>
        <w:lock w:val="sdtContentLocked"/>
        <w:placeholder>
          <w:docPart w:val="E981BF7FA6DB4EBF8FCB1771437805B3"/>
        </w:placeholder>
        <w:group/>
      </w:sdtPr>
      <w:sdtEndPr/>
      <w:sdtContent>
        <w:bookmarkStart w:id="19" w:name="_Toc418587924" w:displacedByCustomXml="prev"/>
        <w:bookmarkStart w:id="20" w:name="_Toc417648115" w:displacedByCustomXml="prev"/>
        <w:p w14:paraId="277009B0" w14:textId="77777777" w:rsidR="00E718E1" w:rsidRPr="00CA4237" w:rsidRDefault="00E718E1" w:rsidP="005E1288">
          <w:pPr>
            <w:pStyle w:val="Heading1"/>
            <w:keepNext/>
          </w:pPr>
          <w:r w:rsidRPr="00CA4237">
            <w:t>Territorial extent and application</w:t>
          </w:r>
        </w:p>
        <w:bookmarkEnd w:id="17" w:displacedByCustomXml="next"/>
      </w:sdtContent>
    </w:sdt>
    <w:bookmarkEnd w:id="16" w:displacedByCustomXml="prev"/>
    <w:bookmarkEnd w:id="19" w:displacedByCustomXml="prev"/>
    <w:bookmarkEnd w:id="20" w:displacedByCustomXml="prev"/>
    <w:bookmarkEnd w:id="18" w:displacedByCustomXml="prev"/>
    <w:p w14:paraId="1030605C" w14:textId="35DB4415" w:rsidR="006C71A9" w:rsidRPr="006C71A9" w:rsidRDefault="006C71A9" w:rsidP="006C71A9">
      <w:pPr>
        <w:pStyle w:val="ParaNumbered"/>
        <w:rPr>
          <w:lang w:val="en-GB"/>
        </w:rPr>
      </w:pPr>
      <w:r w:rsidRPr="006C71A9">
        <w:rPr>
          <w:lang w:val="en-GB"/>
        </w:rPr>
        <w:t xml:space="preserve">The </w:t>
      </w:r>
      <w:r w:rsidR="0044174F">
        <w:rPr>
          <w:lang w:val="en-GB"/>
        </w:rPr>
        <w:t>Act</w:t>
      </w:r>
      <w:r w:rsidRPr="006C71A9">
        <w:rPr>
          <w:lang w:val="en-GB"/>
        </w:rPr>
        <w:t xml:space="preserve"> extends and applies to the whole of the United Kingdom. It is concerned only with the Westminster parliamentary elections and will not have an impact on matters which are devolved in respect of Scotland and Wales</w:t>
      </w:r>
      <w:r w:rsidR="006371F8">
        <w:rPr>
          <w:lang w:val="en-GB"/>
        </w:rPr>
        <w:t>,</w:t>
      </w:r>
      <w:r w:rsidRPr="006C71A9">
        <w:rPr>
          <w:lang w:val="en-GB"/>
        </w:rPr>
        <w:t xml:space="preserve"> or matters which are transferred in respect of Northern Ireland. </w:t>
      </w:r>
    </w:p>
    <w:p w14:paraId="2AED5E79" w14:textId="74BDA210" w:rsidR="006C71A9" w:rsidRPr="006C71A9" w:rsidRDefault="006C71A9" w:rsidP="006C71A9">
      <w:pPr>
        <w:pStyle w:val="ParaNumbered"/>
        <w:rPr>
          <w:lang w:val="en-GB"/>
        </w:rPr>
      </w:pPr>
      <w:r w:rsidRPr="006C71A9">
        <w:rPr>
          <w:lang w:val="en-GB"/>
        </w:rPr>
        <w:t>The Parliament of the United Kingdom is a reserved matter under paragraph 1(c) of Schedule 5 to the Scotland Act 1998 and under paragraph 1(c) of Schedule 7A to th</w:t>
      </w:r>
      <w:r w:rsidR="008B46D0">
        <w:rPr>
          <w:lang w:val="en-GB"/>
        </w:rPr>
        <w:t>e Government of Wales Act 2006.</w:t>
      </w:r>
      <w:r w:rsidRPr="006C71A9">
        <w:rPr>
          <w:lang w:val="en-GB"/>
        </w:rPr>
        <w:t xml:space="preserve"> Elections for membership of the House of Commons, including the subject-</w:t>
      </w:r>
      <w:r w:rsidRPr="006C71A9">
        <w:rPr>
          <w:lang w:val="en-GB"/>
        </w:rPr>
        <w:lastRenderedPageBreak/>
        <w:t xml:space="preserve">matter of the Representation of the People Act 1983, the Representation of the People Act 1985 and the Parliamentary Constituencies Act 1986, so far as those enactments apply, or may be applied, in respect of such membership are reserved matters under reservation B3 of Schedule 5 to the Scotland Act 1998 and under reservation B1 of Schedule 7A to the Government of Wales Act 2006. The provisions of the </w:t>
      </w:r>
      <w:r w:rsidR="0044174F">
        <w:rPr>
          <w:lang w:val="en-GB"/>
        </w:rPr>
        <w:t>Act</w:t>
      </w:r>
      <w:r w:rsidRPr="006C71A9">
        <w:rPr>
          <w:lang w:val="en-GB"/>
        </w:rPr>
        <w:t xml:space="preserve"> will not have an impact on matters which are devolv</w:t>
      </w:r>
      <w:r>
        <w:rPr>
          <w:lang w:val="en-GB"/>
        </w:rPr>
        <w:t xml:space="preserve">ed. </w:t>
      </w:r>
    </w:p>
    <w:p w14:paraId="6F4E1282" w14:textId="11B14DCE" w:rsidR="006C71A9" w:rsidRPr="006C71A9" w:rsidRDefault="006C71A9" w:rsidP="006C71A9">
      <w:pPr>
        <w:pStyle w:val="ParaNumbered"/>
        <w:rPr>
          <w:lang w:val="en-GB"/>
        </w:rPr>
      </w:pPr>
      <w:r w:rsidRPr="006C71A9">
        <w:rPr>
          <w:lang w:val="en-GB"/>
        </w:rPr>
        <w:t xml:space="preserve">The Parliament of the United Kingdom and parliamentary elections, including the franchise and disqualifications for membership of that Parliament, are an excepted matter under paragraph 2 of Schedule 2 to </w:t>
      </w:r>
      <w:r w:rsidR="00135F2C">
        <w:rPr>
          <w:lang w:val="en-GB"/>
        </w:rPr>
        <w:t xml:space="preserve">the Northern Ireland Act 1998. </w:t>
      </w:r>
      <w:r w:rsidRPr="006C71A9">
        <w:rPr>
          <w:lang w:val="en-GB"/>
        </w:rPr>
        <w:t xml:space="preserve">The provisions of the </w:t>
      </w:r>
      <w:r w:rsidR="0044174F">
        <w:rPr>
          <w:lang w:val="en-GB"/>
        </w:rPr>
        <w:t>Act</w:t>
      </w:r>
      <w:r w:rsidRPr="006C71A9">
        <w:rPr>
          <w:lang w:val="en-GB"/>
        </w:rPr>
        <w:t xml:space="preserve"> will not have an impact on matters which are transferred.</w:t>
      </w:r>
    </w:p>
    <w:p w14:paraId="2128FB2A" w14:textId="77777777"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 The table also summarises the position regarding legislative consent m</w:t>
      </w:r>
      <w:r w:rsidR="00E43DDF">
        <w:rPr>
          <w:lang w:val="en-GB"/>
        </w:rPr>
        <w:t>otions and matters relevant to S</w:t>
      </w:r>
      <w:r w:rsidRPr="00F77218">
        <w:rPr>
          <w:lang w:val="en-GB"/>
        </w:rPr>
        <w:t>tanding Orders Nos. 83J to 83X of the Standing Orders of the House of Commons relating to Public Business.</w:t>
      </w:r>
    </w:p>
    <w:p w14:paraId="3C385080" w14:textId="77777777" w:rsidR="0035622C" w:rsidRPr="00AE5693" w:rsidRDefault="0035622C">
      <w:pPr>
        <w:rPr>
          <w:rStyle w:val="StyleLatinPalatinoLinotype10ptBlack"/>
        </w:rPr>
      </w:pPr>
      <w:r w:rsidRPr="00CA4237">
        <w:br w:type="page"/>
      </w:r>
    </w:p>
    <w:bookmarkStart w:id="21" w:name="_Toc29453339" w:displacedByCustomXml="next"/>
    <w:bookmarkStart w:id="22" w:name="_Toc410653887" w:displacedByCustomXml="next"/>
    <w:bookmarkStart w:id="23" w:name="_Toc416612131" w:displacedByCustomXml="next"/>
    <w:sdt>
      <w:sdtPr>
        <w:id w:val="263729"/>
        <w:lock w:val="sdtContentLocked"/>
        <w:placeholder>
          <w:docPart w:val="E981BF7FA6DB4EBF8FCB1771437805B3"/>
        </w:placeholder>
        <w:group/>
      </w:sdtPr>
      <w:sdtEndPr/>
      <w:sdtContent>
        <w:bookmarkStart w:id="24" w:name="_Toc418587925" w:displacedByCustomXml="prev"/>
        <w:bookmarkStart w:id="25" w:name="_Toc417648116" w:displacedByCustomXml="prev"/>
        <w:p w14:paraId="57751AF6" w14:textId="38FF94E5"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44174F">
                <w:t>Act</w:t>
              </w:r>
            </w:sdtContent>
          </w:sdt>
          <w:r w:rsidRPr="00CA4237">
            <w:t> </w:t>
          </w:r>
        </w:p>
        <w:bookmarkEnd w:id="22" w:displacedByCustomXml="next"/>
      </w:sdtContent>
    </w:sdt>
    <w:bookmarkEnd w:id="21" w:displacedByCustomXml="prev"/>
    <w:bookmarkEnd w:id="24" w:displacedByCustomXml="prev"/>
    <w:bookmarkEnd w:id="25" w:displacedByCustomXml="prev"/>
    <w:bookmarkEnd w:id="23" w:displacedByCustomXml="prev"/>
    <w:p w14:paraId="1D9EA466" w14:textId="01A53F9B" w:rsidR="00E718E1" w:rsidRPr="00CA4237" w:rsidRDefault="008D765B" w:rsidP="001208B2">
      <w:pPr>
        <w:pStyle w:val="HSubheading4"/>
      </w:pPr>
      <w:bookmarkStart w:id="26" w:name="_Toc410653889"/>
      <w:bookmarkStart w:id="27" w:name="_Toc416612134"/>
      <w:bookmarkStart w:id="28" w:name="_Toc417648119"/>
      <w:bookmarkStart w:id="29" w:name="_Toc418587928"/>
      <w:bookmarkStart w:id="30" w:name="_Toc29453340"/>
      <w:r>
        <w:t>Section</w:t>
      </w:r>
      <w:r w:rsidR="00CE3859" w:rsidRPr="00CA4237">
        <w:t xml:space="preserve"> 1</w:t>
      </w:r>
      <w:r w:rsidR="00ED18AB" w:rsidRPr="00CA4237">
        <w:t xml:space="preserve">: </w:t>
      </w:r>
      <w:bookmarkEnd w:id="26"/>
      <w:bookmarkEnd w:id="27"/>
      <w:bookmarkEnd w:id="28"/>
      <w:bookmarkEnd w:id="29"/>
      <w:r w:rsidR="00B45DD9">
        <w:t>Early parliamentary general election</w:t>
      </w:r>
      <w:bookmarkEnd w:id="30"/>
    </w:p>
    <w:p w14:paraId="373DDAF8" w14:textId="1E00656B" w:rsidR="002B3FE2" w:rsidRDefault="008D765B" w:rsidP="001E4F71">
      <w:pPr>
        <w:pStyle w:val="ParaNumbered"/>
      </w:pPr>
      <w:r>
        <w:rPr>
          <w:i/>
        </w:rPr>
        <w:t>Section</w:t>
      </w:r>
      <w:r w:rsidR="00943A28" w:rsidRPr="00B45DD9">
        <w:rPr>
          <w:i/>
        </w:rPr>
        <w:t xml:space="preserve"> 1</w:t>
      </w:r>
      <w:r w:rsidR="00943A28" w:rsidRPr="00943A28">
        <w:t xml:space="preserve"> </w:t>
      </w:r>
      <w:r w:rsidR="000E3EEC">
        <w:t>provides for a parliamentary general election to be held on 12 December 2019</w:t>
      </w:r>
      <w:bookmarkStart w:id="31" w:name="_Toc410653890"/>
      <w:bookmarkStart w:id="32" w:name="_Toc416612135"/>
      <w:bookmarkStart w:id="33" w:name="_Toc417648120"/>
      <w:bookmarkStart w:id="34" w:name="_Toc418587930"/>
      <w:r w:rsidR="009C1DE2">
        <w:t xml:space="preserve">. This is to be treated as a polling day appointed under </w:t>
      </w:r>
      <w:r w:rsidR="009C1DE2" w:rsidRPr="00B45DD9">
        <w:rPr>
          <w:i/>
        </w:rPr>
        <w:t>section 2(7)</w:t>
      </w:r>
      <w:r w:rsidR="009C1DE2">
        <w:t xml:space="preserve"> of the 2011 Act. </w:t>
      </w:r>
    </w:p>
    <w:p w14:paraId="3DAD6B11" w14:textId="5549D765" w:rsidR="009C1DE2" w:rsidRPr="0006003E" w:rsidRDefault="009C1DE2" w:rsidP="001E4F71">
      <w:pPr>
        <w:pStyle w:val="ParaNumbered"/>
      </w:pPr>
      <w:r w:rsidRPr="00B45DD9">
        <w:rPr>
          <w:i/>
        </w:rPr>
        <w:t>Subsection (3)</w:t>
      </w:r>
      <w:r>
        <w:t xml:space="preserve"> </w:t>
      </w:r>
      <w:r w:rsidR="001E4F71">
        <w:rPr>
          <w:lang w:val="en-GB"/>
        </w:rPr>
        <w:t>provides that the early p</w:t>
      </w:r>
      <w:r w:rsidR="001E4F71" w:rsidRPr="001E4F71">
        <w:rPr>
          <w:lang w:val="en-GB"/>
        </w:rPr>
        <w:t xml:space="preserve">arliamentary general election is to be treated as taking place in accordance with </w:t>
      </w:r>
      <w:r w:rsidR="001E4F71" w:rsidRPr="00135F2C">
        <w:rPr>
          <w:i/>
          <w:lang w:val="en-GB"/>
        </w:rPr>
        <w:t>section</w:t>
      </w:r>
      <w:r w:rsidR="001E4F71" w:rsidRPr="001E4F71">
        <w:rPr>
          <w:lang w:val="en-GB"/>
        </w:rPr>
        <w:t xml:space="preserve"> </w:t>
      </w:r>
      <w:r w:rsidR="001E4F71" w:rsidRPr="004D5CAD">
        <w:rPr>
          <w:i/>
          <w:lang w:val="en-GB"/>
        </w:rPr>
        <w:t>2</w:t>
      </w:r>
      <w:r w:rsidR="001E4F71" w:rsidRPr="001E4F71">
        <w:rPr>
          <w:lang w:val="en-GB"/>
        </w:rPr>
        <w:t xml:space="preserve"> of the 2011 Act for the purposes of the specified provisions in the two listed Acts (</w:t>
      </w:r>
      <w:r w:rsidR="001E4F71" w:rsidRPr="00135F2C">
        <w:rPr>
          <w:i/>
          <w:lang w:val="en-GB"/>
        </w:rPr>
        <w:t>section</w:t>
      </w:r>
      <w:r w:rsidR="001E4F71" w:rsidRPr="001E4F71">
        <w:rPr>
          <w:lang w:val="en-GB"/>
        </w:rPr>
        <w:t xml:space="preserve"> </w:t>
      </w:r>
      <w:r w:rsidR="001E4F71" w:rsidRPr="004D5CAD">
        <w:rPr>
          <w:i/>
          <w:lang w:val="en-GB"/>
        </w:rPr>
        <w:t>96A(9)</w:t>
      </w:r>
      <w:r w:rsidR="001E4F71" w:rsidRPr="001E4F71">
        <w:rPr>
          <w:lang w:val="en-GB"/>
        </w:rPr>
        <w:t xml:space="preserve"> of the Welfare Reform Act 2012, and </w:t>
      </w:r>
      <w:r w:rsidR="001E4F71" w:rsidRPr="004D5CAD">
        <w:rPr>
          <w:i/>
          <w:lang w:val="en-GB"/>
        </w:rPr>
        <w:t>section 23(8)</w:t>
      </w:r>
      <w:r w:rsidR="001E4F71" w:rsidRPr="001E4F71">
        <w:rPr>
          <w:lang w:val="en-GB"/>
        </w:rPr>
        <w:t xml:space="preserve"> of the Small Business, Enterprise and Employment Act 2015). In respect of the former, the provision has the effect of </w:t>
      </w:r>
      <w:proofErr w:type="spellStart"/>
      <w:r w:rsidR="001E4F71" w:rsidRPr="001E4F71">
        <w:rPr>
          <w:lang w:val="en-GB"/>
        </w:rPr>
        <w:t>disapplying</w:t>
      </w:r>
      <w:proofErr w:type="spellEnd"/>
      <w:r w:rsidR="001E4F71" w:rsidRPr="001E4F71">
        <w:rPr>
          <w:lang w:val="en-GB"/>
        </w:rPr>
        <w:t xml:space="preserve"> a requirement to review the benefit cap 'in each Parliament'. In respect of the latter, the provision has the effect of amending the time for compliance with certain reporting requirements. The amendments are necessary in order that the periods specified for the review and reporting requirements will work correctly given the changes to the period of the Parliament that will resul</w:t>
      </w:r>
      <w:r w:rsidR="001E4F71">
        <w:rPr>
          <w:lang w:val="en-GB"/>
        </w:rPr>
        <w:t>t from the holding of an early p</w:t>
      </w:r>
      <w:r w:rsidR="002B3FE2">
        <w:rPr>
          <w:lang w:val="en-GB"/>
        </w:rPr>
        <w:t>arliamentary general election.</w:t>
      </w:r>
    </w:p>
    <w:p w14:paraId="0CD9234C" w14:textId="7C1621F4" w:rsidR="0006003E" w:rsidRPr="002B3FE2" w:rsidRDefault="0006003E" w:rsidP="0006003E">
      <w:pPr>
        <w:pStyle w:val="ParaNumbered"/>
      </w:pPr>
      <w:r w:rsidRPr="0006003E">
        <w:rPr>
          <w:i/>
        </w:rPr>
        <w:t>Subsection (4)</w:t>
      </w:r>
      <w:r w:rsidRPr="0006003E">
        <w:t xml:space="preserve"> amends the Representation of the People (Scotland) Regulations 2001 to align the registration deadline for Scotland with the registration deadline in the rest of the United Kingdom by discounting the St. Andrew’s Day bank holiday from the registration timetable.</w:t>
      </w:r>
    </w:p>
    <w:p w14:paraId="4C621260" w14:textId="3E8D497C" w:rsidR="00B45DD9" w:rsidRPr="00CA4237" w:rsidRDefault="008D765B" w:rsidP="00B45DD9">
      <w:pPr>
        <w:pStyle w:val="HSubheading4"/>
      </w:pPr>
      <w:bookmarkStart w:id="35" w:name="_Toc410653892"/>
      <w:bookmarkStart w:id="36" w:name="_Toc29453341"/>
      <w:bookmarkEnd w:id="31"/>
      <w:bookmarkEnd w:id="32"/>
      <w:bookmarkEnd w:id="33"/>
      <w:bookmarkEnd w:id="34"/>
      <w:r>
        <w:t>Section</w:t>
      </w:r>
      <w:r w:rsidR="00B45DD9">
        <w:t xml:space="preserve"> 2</w:t>
      </w:r>
      <w:r w:rsidR="00B45DD9" w:rsidRPr="00CA4237">
        <w:t xml:space="preserve">: </w:t>
      </w:r>
      <w:r w:rsidR="00B45DD9">
        <w:t>Commencement and short title</w:t>
      </w:r>
      <w:bookmarkEnd w:id="36"/>
    </w:p>
    <w:p w14:paraId="53D5C8CE" w14:textId="16FB6158" w:rsidR="00B45DD9" w:rsidRPr="00B45DD9" w:rsidRDefault="008D765B" w:rsidP="00B45DD9">
      <w:pPr>
        <w:pStyle w:val="ParaNumbered"/>
        <w:rPr>
          <w:lang w:val="en-GB"/>
        </w:rPr>
      </w:pPr>
      <w:r>
        <w:rPr>
          <w:i/>
          <w:lang w:val="en-GB"/>
        </w:rPr>
        <w:t>Section</w:t>
      </w:r>
      <w:r w:rsidR="00B45DD9" w:rsidRPr="00B45DD9">
        <w:rPr>
          <w:i/>
          <w:lang w:val="en-GB"/>
        </w:rPr>
        <w:t xml:space="preserve"> 2</w:t>
      </w:r>
      <w:r w:rsidR="00B45DD9" w:rsidRPr="00B45DD9">
        <w:rPr>
          <w:lang w:val="en-GB"/>
        </w:rPr>
        <w:t xml:space="preserve"> provides that the </w:t>
      </w:r>
      <w:r w:rsidR="0044174F">
        <w:rPr>
          <w:lang w:val="en-GB"/>
        </w:rPr>
        <w:t>Act</w:t>
      </w:r>
      <w:r w:rsidR="00B45DD9" w:rsidRPr="00B45DD9">
        <w:rPr>
          <w:lang w:val="en-GB"/>
        </w:rPr>
        <w:t xml:space="preserve"> will come into force on the day it is passed and deals with its short title.</w:t>
      </w:r>
    </w:p>
    <w:p w14:paraId="47A15DD7" w14:textId="77777777" w:rsidR="00B45DD9" w:rsidRPr="00CA4237" w:rsidRDefault="00B45DD9" w:rsidP="00B45DD9">
      <w:pPr>
        <w:pStyle w:val="ParaNumbered"/>
        <w:numPr>
          <w:ilvl w:val="0"/>
          <w:numId w:val="0"/>
        </w:numPr>
        <w:ind w:left="714"/>
        <w:rPr>
          <w:lang w:val="en-GB"/>
        </w:rPr>
      </w:pPr>
    </w:p>
    <w:p w14:paraId="06B2A9DB" w14:textId="77777777" w:rsidR="00A24CCB" w:rsidRPr="00AE5693" w:rsidRDefault="00A24CCB">
      <w:pPr>
        <w:rPr>
          <w:rStyle w:val="StyleLatinArial"/>
        </w:rPr>
      </w:pPr>
      <w:bookmarkStart w:id="37" w:name="_Toc416612144"/>
      <w:bookmarkStart w:id="38" w:name="_Toc410653894"/>
      <w:bookmarkEnd w:id="35"/>
      <w:r w:rsidRPr="00CA4237">
        <w:br w:type="page"/>
      </w:r>
    </w:p>
    <w:bookmarkStart w:id="39" w:name="_Toc29453342" w:displacedByCustomXml="next"/>
    <w:sdt>
      <w:sdtPr>
        <w:id w:val="2609824"/>
        <w:lock w:val="contentLocked"/>
        <w:placeholder>
          <w:docPart w:val="E981BF7FA6DB4EBF8FCB1771437805B3"/>
        </w:placeholder>
        <w:group/>
      </w:sdtPr>
      <w:sdtEndPr/>
      <w:sdtContent>
        <w:bookmarkStart w:id="40" w:name="_Toc418587938" w:displacedByCustomXml="prev"/>
        <w:bookmarkStart w:id="41" w:name="_Toc417648129" w:displacedByCustomXml="prev"/>
        <w:p w14:paraId="0F2AE611" w14:textId="77777777" w:rsidR="00E718E1" w:rsidRPr="00CA4237" w:rsidRDefault="00E718E1" w:rsidP="005E1288">
          <w:pPr>
            <w:pStyle w:val="Heading1"/>
            <w:keepNext/>
          </w:pPr>
          <w:r w:rsidRPr="00CA4237">
            <w:t>Commencement</w:t>
          </w:r>
        </w:p>
        <w:bookmarkEnd w:id="38" w:displacedByCustomXml="next"/>
      </w:sdtContent>
    </w:sdt>
    <w:bookmarkEnd w:id="39" w:displacedByCustomXml="prev"/>
    <w:bookmarkEnd w:id="40" w:displacedByCustomXml="prev"/>
    <w:bookmarkEnd w:id="41" w:displacedByCustomXml="prev"/>
    <w:bookmarkEnd w:id="37" w:displacedByCustomXml="prev"/>
    <w:p w14:paraId="5957D90D" w14:textId="7F26FF40" w:rsidR="00C30AB4" w:rsidRDefault="00943A28" w:rsidP="007C17FA">
      <w:pPr>
        <w:pStyle w:val="ParaNumbered"/>
        <w:rPr>
          <w:lang w:val="en-GB"/>
        </w:rPr>
      </w:pPr>
      <w:r w:rsidRPr="00943A28">
        <w:rPr>
          <w:lang w:val="en-GB"/>
        </w:rPr>
        <w:t xml:space="preserve">The </w:t>
      </w:r>
      <w:r w:rsidR="0044174F">
        <w:rPr>
          <w:lang w:val="en-GB"/>
        </w:rPr>
        <w:t>Act</w:t>
      </w:r>
      <w:r w:rsidRPr="00943A28">
        <w:rPr>
          <w:lang w:val="en-GB"/>
        </w:rPr>
        <w:t xml:space="preserve"> will come into force on the day it is passed.</w:t>
      </w:r>
      <w:bookmarkStart w:id="42" w:name="_Toc416612148"/>
      <w:bookmarkStart w:id="43" w:name="_Toc417648133"/>
    </w:p>
    <w:p w14:paraId="161B38CF" w14:textId="77777777" w:rsidR="00C30AB4" w:rsidRDefault="00C30AB4">
      <w:pPr>
        <w:rPr>
          <w:rFonts w:ascii="Palatino Linotype" w:hAnsi="Palatino Linotype" w:cs="PalatinoLinotype-Roman"/>
          <w:color w:val="000000"/>
          <w:sz w:val="20"/>
          <w:szCs w:val="24"/>
        </w:rPr>
      </w:pPr>
      <w:r>
        <w:br w:type="page"/>
      </w:r>
    </w:p>
    <w:p w14:paraId="17E14DAE" w14:textId="21E9A58A" w:rsidR="007C17FA" w:rsidRPr="007C17FA" w:rsidRDefault="007C17FA" w:rsidP="00C30AB4">
      <w:pPr>
        <w:pStyle w:val="Heading1"/>
        <w:keepNext/>
      </w:pPr>
      <w:bookmarkStart w:id="44" w:name="_Toc410653897"/>
      <w:bookmarkStart w:id="45" w:name="_Toc416612149"/>
      <w:bookmarkStart w:id="46" w:name="_Toc417648134"/>
      <w:bookmarkStart w:id="47" w:name="_Toc418587943"/>
      <w:bookmarkStart w:id="48" w:name="_Toc29453343"/>
      <w:r w:rsidRPr="00CA4237">
        <w:lastRenderedPageBreak/>
        <w:t xml:space="preserve">Annex </w:t>
      </w:r>
      <w:bookmarkEnd w:id="44"/>
      <w:bookmarkEnd w:id="45"/>
      <w:r w:rsidRPr="00CA4237">
        <w:t xml:space="preserve">A - </w:t>
      </w:r>
      <w:bookmarkEnd w:id="46"/>
      <w:bookmarkEnd w:id="47"/>
      <w:r w:rsidRPr="00A46160">
        <w:t>Territorial extent and application in the United Kingdom</w:t>
      </w:r>
      <w:bookmarkEnd w:id="48"/>
    </w:p>
    <w:p w14:paraId="6E12E2C1" w14:textId="6FB895C3" w:rsidR="00B42FA6" w:rsidRDefault="00B65E8D" w:rsidP="007C17FA">
      <w:pPr>
        <w:pStyle w:val="ParaNumbered"/>
        <w:rPr>
          <w:lang w:val="en-GB"/>
        </w:rPr>
      </w:pPr>
      <w:r w:rsidRPr="00B65E8D">
        <w:rPr>
          <w:lang w:val="en-GB"/>
        </w:rPr>
        <w:t xml:space="preserve">The </w:t>
      </w:r>
      <w:r w:rsidR="0044174F">
        <w:rPr>
          <w:lang w:val="en-GB"/>
        </w:rPr>
        <w:t>Act</w:t>
      </w:r>
      <w:r w:rsidRPr="00B65E8D">
        <w:rPr>
          <w:lang w:val="en-GB"/>
        </w:rPr>
        <w:t xml:space="preserve"> extend</w:t>
      </w:r>
      <w:r w:rsidR="004D5CAD">
        <w:rPr>
          <w:lang w:val="en-GB"/>
        </w:rPr>
        <w:t>s and applies</w:t>
      </w:r>
      <w:r w:rsidRPr="00B65E8D">
        <w:rPr>
          <w:lang w:val="en-GB"/>
        </w:rPr>
        <w:t xml:space="preserve"> to the whole of the United Kingdom, including Northern Ireland.</w:t>
      </w:r>
    </w:p>
    <w:tbl>
      <w:tblPr>
        <w:tblStyle w:val="ENGeneralTable"/>
        <w:tblW w:w="9289" w:type="dxa"/>
        <w:tblInd w:w="-5" w:type="dxa"/>
        <w:tblLayout w:type="fixed"/>
        <w:tblLook w:val="0000" w:firstRow="0" w:lastRow="0" w:firstColumn="0" w:lastColumn="0" w:noHBand="0" w:noVBand="0"/>
      </w:tblPr>
      <w:tblGrid>
        <w:gridCol w:w="1451"/>
        <w:gridCol w:w="1792"/>
        <w:gridCol w:w="1792"/>
        <w:gridCol w:w="1792"/>
        <w:gridCol w:w="2462"/>
      </w:tblGrid>
      <w:tr w:rsidR="007C17FA" w:rsidRPr="00CA4237" w14:paraId="3A49F479" w14:textId="77777777" w:rsidTr="007C17FA">
        <w:trPr>
          <w:trHeight w:val="1156"/>
          <w:tblHeader/>
        </w:trPr>
        <w:tc>
          <w:tcPr>
            <w:tcW w:w="1451" w:type="dxa"/>
          </w:tcPr>
          <w:p w14:paraId="75C14A20" w14:textId="77777777" w:rsidR="007C17FA" w:rsidRPr="00BC7958" w:rsidRDefault="007C17FA" w:rsidP="00D37369">
            <w:pPr>
              <w:pStyle w:val="TTableText"/>
              <w:rPr>
                <w:rStyle w:val="TTableHeadings"/>
              </w:rPr>
            </w:pPr>
            <w:r>
              <w:rPr>
                <w:rStyle w:val="TTableHeadings"/>
              </w:rPr>
              <w:t>Provision</w:t>
            </w:r>
          </w:p>
        </w:tc>
        <w:tc>
          <w:tcPr>
            <w:tcW w:w="1792" w:type="dxa"/>
          </w:tcPr>
          <w:p w14:paraId="13459900" w14:textId="77777777" w:rsidR="007C17FA" w:rsidRPr="00BC7958" w:rsidRDefault="007C17FA" w:rsidP="00D37369">
            <w:pPr>
              <w:pStyle w:val="TTableText"/>
              <w:rPr>
                <w:rStyle w:val="TTableHeadings"/>
              </w:rPr>
            </w:pPr>
            <w:r w:rsidRPr="00BC7958">
              <w:rPr>
                <w:rStyle w:val="TTableHeadings"/>
              </w:rPr>
              <w:t>Extends to E &amp; W and applies to England?</w:t>
            </w:r>
          </w:p>
        </w:tc>
        <w:tc>
          <w:tcPr>
            <w:tcW w:w="1792" w:type="dxa"/>
          </w:tcPr>
          <w:p w14:paraId="700B53B6" w14:textId="77777777" w:rsidR="007C17FA" w:rsidRPr="00BC7958" w:rsidRDefault="007C17FA" w:rsidP="00D37369">
            <w:pPr>
              <w:pStyle w:val="TTableText"/>
              <w:rPr>
                <w:rStyle w:val="TTableHeadings"/>
              </w:rPr>
            </w:pPr>
            <w:r w:rsidRPr="00BC7958">
              <w:rPr>
                <w:rStyle w:val="TTableHeadings"/>
              </w:rPr>
              <w:t>Extends to E &amp; W and applies to Wales?</w:t>
            </w:r>
          </w:p>
        </w:tc>
        <w:tc>
          <w:tcPr>
            <w:tcW w:w="1792" w:type="dxa"/>
          </w:tcPr>
          <w:p w14:paraId="7D976E97" w14:textId="77777777" w:rsidR="007C17FA" w:rsidRPr="00BC7958" w:rsidRDefault="007C17FA" w:rsidP="00D37369">
            <w:pPr>
              <w:pStyle w:val="TTableText"/>
              <w:rPr>
                <w:rStyle w:val="TTableHeadings"/>
              </w:rPr>
            </w:pPr>
            <w:r w:rsidRPr="00BC7958">
              <w:rPr>
                <w:rStyle w:val="TTableHeadings"/>
              </w:rPr>
              <w:t>Extends and applies to Scotland?</w:t>
            </w:r>
          </w:p>
        </w:tc>
        <w:tc>
          <w:tcPr>
            <w:tcW w:w="2462" w:type="dxa"/>
          </w:tcPr>
          <w:p w14:paraId="357A9243" w14:textId="77777777" w:rsidR="007C17FA" w:rsidRPr="00BC7958" w:rsidRDefault="007C17FA" w:rsidP="00D37369">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7C17FA" w:rsidRPr="00CA4237" w14:paraId="331BA10A" w14:textId="77777777" w:rsidTr="007C17FA">
        <w:trPr>
          <w:trHeight w:val="377"/>
        </w:trPr>
        <w:tc>
          <w:tcPr>
            <w:tcW w:w="1451" w:type="dxa"/>
          </w:tcPr>
          <w:p w14:paraId="4234A185" w14:textId="77777777" w:rsidR="007C17FA" w:rsidRPr="00CA4237" w:rsidRDefault="007C17FA" w:rsidP="00D37369">
            <w:pPr>
              <w:pStyle w:val="TTableText"/>
              <w:rPr>
                <w:lang w:val="en-GB"/>
              </w:rPr>
            </w:pPr>
            <w:r>
              <w:rPr>
                <w:lang w:val="en-GB"/>
              </w:rPr>
              <w:t>Section</w:t>
            </w:r>
            <w:r w:rsidRPr="00CA4237">
              <w:rPr>
                <w:lang w:val="en-GB"/>
              </w:rPr>
              <w:t xml:space="preserve"> 1</w:t>
            </w:r>
          </w:p>
          <w:p w14:paraId="782543CE" w14:textId="77777777" w:rsidR="007C17FA" w:rsidRPr="00CA4237" w:rsidRDefault="007C17FA" w:rsidP="00D37369">
            <w:pPr>
              <w:pStyle w:val="TTableText"/>
              <w:rPr>
                <w:lang w:val="en-GB"/>
              </w:rPr>
            </w:pPr>
            <w:r>
              <w:rPr>
                <w:lang w:val="en-GB"/>
              </w:rPr>
              <w:t>Section</w:t>
            </w:r>
            <w:r w:rsidRPr="00CA4237">
              <w:rPr>
                <w:lang w:val="en-GB"/>
              </w:rPr>
              <w:t xml:space="preserve"> 2</w:t>
            </w:r>
          </w:p>
          <w:p w14:paraId="48A72388" w14:textId="77777777" w:rsidR="007C17FA" w:rsidRPr="00CA4237" w:rsidRDefault="007C17FA" w:rsidP="00D37369">
            <w:pPr>
              <w:pStyle w:val="TTableText"/>
              <w:rPr>
                <w:lang w:val="en-GB"/>
              </w:rPr>
            </w:pPr>
          </w:p>
        </w:tc>
        <w:tc>
          <w:tcPr>
            <w:tcW w:w="1792" w:type="dxa"/>
          </w:tcPr>
          <w:p w14:paraId="4F0AEF3F" w14:textId="77777777" w:rsidR="007C17FA" w:rsidRDefault="007C17FA" w:rsidP="00D37369">
            <w:pPr>
              <w:pStyle w:val="TTableText"/>
            </w:pPr>
            <w:r>
              <w:t>Yes</w:t>
            </w:r>
          </w:p>
          <w:p w14:paraId="718931BB" w14:textId="77777777" w:rsidR="007C17FA" w:rsidRPr="00FF51F9" w:rsidRDefault="007C17FA" w:rsidP="00D37369">
            <w:pPr>
              <w:pStyle w:val="TTableText"/>
            </w:pPr>
            <w:r>
              <w:t>Yes</w:t>
            </w:r>
          </w:p>
        </w:tc>
        <w:tc>
          <w:tcPr>
            <w:tcW w:w="1792" w:type="dxa"/>
          </w:tcPr>
          <w:p w14:paraId="3745B7B7" w14:textId="77777777" w:rsidR="007C17FA" w:rsidRDefault="007C17FA" w:rsidP="00D37369">
            <w:pPr>
              <w:pStyle w:val="TTableText"/>
            </w:pPr>
            <w:r>
              <w:t>Yes</w:t>
            </w:r>
          </w:p>
          <w:p w14:paraId="08A5A6CC" w14:textId="77777777" w:rsidR="007C17FA" w:rsidRPr="00CA4237" w:rsidRDefault="007C17FA" w:rsidP="00D37369">
            <w:pPr>
              <w:pStyle w:val="TTableText"/>
              <w:rPr>
                <w:lang w:val="en-GB"/>
              </w:rPr>
            </w:pPr>
            <w:r>
              <w:t>Yes</w:t>
            </w:r>
          </w:p>
        </w:tc>
        <w:tc>
          <w:tcPr>
            <w:tcW w:w="1792" w:type="dxa"/>
          </w:tcPr>
          <w:p w14:paraId="55FCA63E" w14:textId="77777777" w:rsidR="007C17FA" w:rsidRDefault="007C17FA" w:rsidP="00D37369">
            <w:pPr>
              <w:pStyle w:val="TTableText"/>
            </w:pPr>
            <w:r>
              <w:t>Yes</w:t>
            </w:r>
          </w:p>
          <w:p w14:paraId="588272F6" w14:textId="77777777" w:rsidR="007C17FA" w:rsidRPr="00CA4237" w:rsidRDefault="007C17FA" w:rsidP="00D37369">
            <w:pPr>
              <w:pStyle w:val="TTableText"/>
              <w:rPr>
                <w:lang w:val="en-GB"/>
              </w:rPr>
            </w:pPr>
            <w:r>
              <w:t>Yes</w:t>
            </w:r>
          </w:p>
        </w:tc>
        <w:tc>
          <w:tcPr>
            <w:tcW w:w="2462" w:type="dxa"/>
          </w:tcPr>
          <w:p w14:paraId="1F812A6D" w14:textId="77777777" w:rsidR="007C17FA" w:rsidRDefault="007C17FA" w:rsidP="00D37369">
            <w:pPr>
              <w:pStyle w:val="TTableText"/>
            </w:pPr>
            <w:r>
              <w:t>Yes</w:t>
            </w:r>
          </w:p>
          <w:p w14:paraId="39455005" w14:textId="77777777" w:rsidR="007C17FA" w:rsidRPr="00CA4237" w:rsidRDefault="007C17FA" w:rsidP="00D37369">
            <w:pPr>
              <w:pStyle w:val="TTableText"/>
              <w:rPr>
                <w:lang w:val="en-GB"/>
              </w:rPr>
            </w:pPr>
            <w:r>
              <w:t>Yes</w:t>
            </w:r>
          </w:p>
        </w:tc>
      </w:tr>
    </w:tbl>
    <w:p w14:paraId="71F5A503" w14:textId="3A190F85" w:rsidR="00C30AB4" w:rsidRDefault="00C30AB4" w:rsidP="00D37369">
      <w:pPr>
        <w:keepNext/>
        <w:spacing w:before="480" w:after="0"/>
        <w:contextualSpacing/>
        <w:outlineLvl w:val="0"/>
        <w:rPr>
          <w:rFonts w:ascii="Palatino Linotype" w:hAnsi="Palatino Linotype"/>
          <w:sz w:val="20"/>
        </w:rPr>
      </w:pPr>
      <w:bookmarkStart w:id="49" w:name="_Toc418587944"/>
      <w:bookmarkStart w:id="50" w:name="_Toc437970420"/>
    </w:p>
    <w:p w14:paraId="6E753A2E" w14:textId="77777777" w:rsidR="00C30AB4" w:rsidRDefault="00C30AB4">
      <w:pPr>
        <w:rPr>
          <w:rFonts w:ascii="Palatino Linotype" w:hAnsi="Palatino Linotype"/>
          <w:sz w:val="20"/>
        </w:rPr>
      </w:pPr>
      <w:r>
        <w:rPr>
          <w:rFonts w:ascii="Palatino Linotype" w:hAnsi="Palatino Linotype"/>
          <w:sz w:val="20"/>
        </w:rPr>
        <w:br w:type="page"/>
      </w:r>
    </w:p>
    <w:p w14:paraId="62DD7F5A" w14:textId="637E032C" w:rsidR="007C17FA" w:rsidRDefault="007C17FA" w:rsidP="00C30AB4">
      <w:pPr>
        <w:pStyle w:val="Heading1"/>
        <w:keepNext/>
      </w:pPr>
      <w:bookmarkStart w:id="51" w:name="_Toc29453344"/>
      <w:r w:rsidRPr="008D765B">
        <w:lastRenderedPageBreak/>
        <w:t>Annex B - Hansard References</w:t>
      </w:r>
      <w:bookmarkEnd w:id="49"/>
      <w:bookmarkEnd w:id="50"/>
      <w:bookmarkEnd w:id="51"/>
    </w:p>
    <w:p w14:paraId="4908E75E" w14:textId="095B8F66" w:rsidR="007C17FA" w:rsidRDefault="007C17FA" w:rsidP="007C17FA">
      <w:pPr>
        <w:pStyle w:val="ParaNumbered"/>
        <w:rPr>
          <w:lang w:val="en-GB"/>
        </w:rPr>
      </w:pPr>
      <w:r w:rsidRPr="007C17FA">
        <w:rPr>
          <w:lang w:val="en-GB"/>
        </w:rPr>
        <w:t>The following table sets out the dates and Hansard references for each stage of the Act's passage through Parliament.</w:t>
      </w:r>
    </w:p>
    <w:tbl>
      <w:tblPr>
        <w:tblStyle w:val="ENGeneralTable"/>
        <w:tblpPr w:leftFromText="180" w:rightFromText="180" w:vertAnchor="text" w:horzAnchor="margin" w:tblpY="34"/>
        <w:tblW w:w="0" w:type="auto"/>
        <w:tblLook w:val="0000" w:firstRow="0" w:lastRow="0" w:firstColumn="0" w:lastColumn="0" w:noHBand="0" w:noVBand="0"/>
      </w:tblPr>
      <w:tblGrid>
        <w:gridCol w:w="2467"/>
        <w:gridCol w:w="2079"/>
        <w:gridCol w:w="4515"/>
      </w:tblGrid>
      <w:tr w:rsidR="007C17FA" w:rsidRPr="008D765B" w14:paraId="755E916C" w14:textId="77777777" w:rsidTr="007C17FA">
        <w:trPr>
          <w:tblHeader/>
        </w:trPr>
        <w:tc>
          <w:tcPr>
            <w:tcW w:w="2467" w:type="dxa"/>
          </w:tcPr>
          <w:p w14:paraId="700D114A"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PalatinoLinotype-Bold"/>
                <w:b/>
                <w:bCs/>
                <w:color w:val="000000"/>
                <w:szCs w:val="20"/>
              </w:rPr>
            </w:pPr>
            <w:r w:rsidRPr="008D765B">
              <w:rPr>
                <w:rFonts w:cs="PalatinoLinotype-Bold"/>
                <w:b/>
                <w:bCs/>
                <w:color w:val="000000"/>
                <w:szCs w:val="20"/>
              </w:rPr>
              <w:t>Stage</w:t>
            </w:r>
          </w:p>
        </w:tc>
        <w:tc>
          <w:tcPr>
            <w:tcW w:w="2079" w:type="dxa"/>
          </w:tcPr>
          <w:p w14:paraId="405D2BBC"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PalatinoLinotype-Bold"/>
                <w:b/>
                <w:bCs/>
                <w:color w:val="000000"/>
                <w:szCs w:val="20"/>
              </w:rPr>
            </w:pPr>
            <w:r w:rsidRPr="008D765B">
              <w:rPr>
                <w:rFonts w:cs="PalatinoLinotype-Bold"/>
                <w:b/>
                <w:bCs/>
                <w:color w:val="000000"/>
                <w:szCs w:val="20"/>
              </w:rPr>
              <w:t>Date</w:t>
            </w:r>
          </w:p>
        </w:tc>
        <w:tc>
          <w:tcPr>
            <w:tcW w:w="4515" w:type="dxa"/>
          </w:tcPr>
          <w:p w14:paraId="51639BD8"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PalatinoLinotype-Bold"/>
                <w:b/>
                <w:bCs/>
                <w:color w:val="000000"/>
                <w:szCs w:val="20"/>
              </w:rPr>
            </w:pPr>
            <w:r w:rsidRPr="008D765B">
              <w:rPr>
                <w:rFonts w:cs="PalatinoLinotype-Bold"/>
                <w:b/>
                <w:bCs/>
                <w:color w:val="000000"/>
                <w:szCs w:val="20"/>
              </w:rPr>
              <w:t>Hansard Reference</w:t>
            </w:r>
          </w:p>
        </w:tc>
      </w:tr>
      <w:tr w:rsidR="007C17FA" w:rsidRPr="008D765B" w14:paraId="6D04F437" w14:textId="77777777" w:rsidTr="007C17FA">
        <w:tc>
          <w:tcPr>
            <w:tcW w:w="9061" w:type="dxa"/>
            <w:gridSpan w:val="3"/>
          </w:tcPr>
          <w:p w14:paraId="47FDC1E9"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i/>
                <w:color w:val="000000"/>
                <w:szCs w:val="20"/>
              </w:rPr>
            </w:pPr>
            <w:r w:rsidRPr="008D765B">
              <w:rPr>
                <w:rFonts w:cs="HelveticaNeue"/>
                <w:i/>
                <w:color w:val="000000"/>
                <w:szCs w:val="20"/>
              </w:rPr>
              <w:t>House of Commons</w:t>
            </w:r>
          </w:p>
        </w:tc>
      </w:tr>
      <w:tr w:rsidR="007C17FA" w:rsidRPr="008D765B" w14:paraId="1E9E7B0E" w14:textId="77777777" w:rsidTr="007C17FA">
        <w:tc>
          <w:tcPr>
            <w:tcW w:w="2467" w:type="dxa"/>
          </w:tcPr>
          <w:p w14:paraId="7219C362"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Introduction</w:t>
            </w:r>
          </w:p>
        </w:tc>
        <w:tc>
          <w:tcPr>
            <w:tcW w:w="2079" w:type="dxa"/>
          </w:tcPr>
          <w:p w14:paraId="61698BE6"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29</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2928D5CA"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9" w:history="1">
              <w:r w:rsidR="007C17FA" w:rsidRPr="008D765B">
                <w:rPr>
                  <w:rStyle w:val="Hyperlink"/>
                  <w:rFonts w:cs="HelveticaNeue"/>
                  <w:szCs w:val="20"/>
                </w:rPr>
                <w:t>Vol. 667 Col. 216</w:t>
              </w:r>
            </w:hyperlink>
          </w:p>
        </w:tc>
      </w:tr>
      <w:tr w:rsidR="007C17FA" w:rsidRPr="008D765B" w14:paraId="1797DFDA" w14:textId="77777777" w:rsidTr="007C17FA">
        <w:tc>
          <w:tcPr>
            <w:tcW w:w="2467" w:type="dxa"/>
          </w:tcPr>
          <w:p w14:paraId="40E3854D"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Second Reading</w:t>
            </w:r>
          </w:p>
        </w:tc>
        <w:tc>
          <w:tcPr>
            <w:tcW w:w="2079" w:type="dxa"/>
          </w:tcPr>
          <w:p w14:paraId="737DC42B"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29</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3ADBA6B9"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0" w:history="1">
              <w:r w:rsidR="007C17FA" w:rsidRPr="00127000">
                <w:rPr>
                  <w:rStyle w:val="Hyperlink"/>
                  <w:rFonts w:cs="HelveticaNeue"/>
                  <w:szCs w:val="20"/>
                </w:rPr>
                <w:t>Vol. 667 Col. 233</w:t>
              </w:r>
            </w:hyperlink>
          </w:p>
        </w:tc>
      </w:tr>
      <w:tr w:rsidR="007C17FA" w:rsidRPr="008D765B" w14:paraId="5C516797" w14:textId="77777777" w:rsidTr="007C17FA">
        <w:tc>
          <w:tcPr>
            <w:tcW w:w="2467" w:type="dxa"/>
          </w:tcPr>
          <w:p w14:paraId="38735D1A"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Public Bill Committee</w:t>
            </w:r>
          </w:p>
        </w:tc>
        <w:tc>
          <w:tcPr>
            <w:tcW w:w="2079" w:type="dxa"/>
          </w:tcPr>
          <w:p w14:paraId="3CC77D0C"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29</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4C14FD97"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1" w:history="1">
              <w:r w:rsidR="007C17FA" w:rsidRPr="00127000">
                <w:rPr>
                  <w:rStyle w:val="Hyperlink"/>
                  <w:rFonts w:cs="HelveticaNeue"/>
                  <w:szCs w:val="20"/>
                </w:rPr>
                <w:t>Vol. 667 Col. 290</w:t>
              </w:r>
            </w:hyperlink>
          </w:p>
        </w:tc>
      </w:tr>
      <w:tr w:rsidR="007C17FA" w:rsidRPr="008D765B" w14:paraId="15CF1035" w14:textId="77777777" w:rsidTr="007C17FA">
        <w:tc>
          <w:tcPr>
            <w:tcW w:w="2467" w:type="dxa"/>
          </w:tcPr>
          <w:p w14:paraId="39FFEE9D"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Report and Third Reading</w:t>
            </w:r>
          </w:p>
        </w:tc>
        <w:tc>
          <w:tcPr>
            <w:tcW w:w="2079" w:type="dxa"/>
          </w:tcPr>
          <w:p w14:paraId="2A71BFF3"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29</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68DD889E"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2" w:anchor="contribution-39F9B233-778F-4481-8C52-D7868707DB9B" w:history="1">
              <w:r w:rsidR="007C17FA" w:rsidRPr="00127000">
                <w:rPr>
                  <w:rStyle w:val="Hyperlink"/>
                  <w:rFonts w:cs="HelveticaNeue"/>
                  <w:szCs w:val="20"/>
                </w:rPr>
                <w:t>Vol. 667 Col. 328</w:t>
              </w:r>
            </w:hyperlink>
          </w:p>
        </w:tc>
      </w:tr>
      <w:tr w:rsidR="007C17FA" w:rsidRPr="008D765B" w14:paraId="74776CA8" w14:textId="77777777" w:rsidTr="007C17FA">
        <w:tc>
          <w:tcPr>
            <w:tcW w:w="9061" w:type="dxa"/>
            <w:gridSpan w:val="3"/>
          </w:tcPr>
          <w:p w14:paraId="43AD8FEE"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i/>
                <w:color w:val="000000"/>
                <w:szCs w:val="20"/>
              </w:rPr>
            </w:pPr>
            <w:r w:rsidRPr="008D765B">
              <w:rPr>
                <w:rFonts w:cs="HelveticaNeue"/>
                <w:i/>
                <w:color w:val="000000"/>
                <w:szCs w:val="20"/>
              </w:rPr>
              <w:t>House of Lords</w:t>
            </w:r>
          </w:p>
        </w:tc>
      </w:tr>
      <w:tr w:rsidR="007C17FA" w:rsidRPr="008D765B" w14:paraId="61C53929" w14:textId="77777777" w:rsidTr="007C17FA">
        <w:tc>
          <w:tcPr>
            <w:tcW w:w="2467" w:type="dxa"/>
          </w:tcPr>
          <w:p w14:paraId="24906903"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Introduction</w:t>
            </w:r>
          </w:p>
        </w:tc>
        <w:tc>
          <w:tcPr>
            <w:tcW w:w="2079" w:type="dxa"/>
          </w:tcPr>
          <w:p w14:paraId="531954DB"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29</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0DD93B51"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3" w:history="1">
              <w:r w:rsidR="007C17FA" w:rsidRPr="00127000">
                <w:rPr>
                  <w:rStyle w:val="Hyperlink"/>
                  <w:rFonts w:cs="HelveticaNeue"/>
                  <w:szCs w:val="20"/>
                </w:rPr>
                <w:t>Vol. 800 Col. 942</w:t>
              </w:r>
            </w:hyperlink>
            <w:r w:rsidR="007C17FA" w:rsidRPr="008D765B">
              <w:rPr>
                <w:rFonts w:cs="HelveticaNeue"/>
                <w:color w:val="000000"/>
                <w:szCs w:val="20"/>
              </w:rPr>
              <w:t xml:space="preserve"> </w:t>
            </w:r>
          </w:p>
        </w:tc>
      </w:tr>
      <w:tr w:rsidR="007C17FA" w:rsidRPr="008D765B" w14:paraId="43134C8F" w14:textId="77777777" w:rsidTr="007C17FA">
        <w:tc>
          <w:tcPr>
            <w:tcW w:w="2467" w:type="dxa"/>
          </w:tcPr>
          <w:p w14:paraId="662ED693"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Second Reading</w:t>
            </w:r>
          </w:p>
        </w:tc>
        <w:tc>
          <w:tcPr>
            <w:tcW w:w="2079" w:type="dxa"/>
          </w:tcPr>
          <w:p w14:paraId="2DEAA8D5"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30</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1E5BCEA5"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4" w:history="1">
              <w:r w:rsidR="007C17FA" w:rsidRPr="007C17FA">
                <w:rPr>
                  <w:rStyle w:val="Hyperlink"/>
                  <w:rFonts w:cs="HelveticaNeue"/>
                  <w:szCs w:val="20"/>
                </w:rPr>
                <w:t>Vol. 800 Col. 961</w:t>
              </w:r>
            </w:hyperlink>
          </w:p>
        </w:tc>
      </w:tr>
      <w:tr w:rsidR="007C17FA" w:rsidRPr="008D765B" w14:paraId="76B50911" w14:textId="77777777" w:rsidTr="007C17FA">
        <w:tc>
          <w:tcPr>
            <w:tcW w:w="2467" w:type="dxa"/>
          </w:tcPr>
          <w:p w14:paraId="566CE1C4"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Committee</w:t>
            </w:r>
            <w:r>
              <w:rPr>
                <w:rFonts w:cs="HelveticaNeue"/>
                <w:color w:val="000000"/>
                <w:szCs w:val="20"/>
              </w:rPr>
              <w:t xml:space="preserve"> (and remaining stages)</w:t>
            </w:r>
          </w:p>
        </w:tc>
        <w:tc>
          <w:tcPr>
            <w:tcW w:w="2079" w:type="dxa"/>
          </w:tcPr>
          <w:p w14:paraId="2A1DF18C"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30</w:t>
            </w:r>
            <w:r w:rsidRPr="008D765B">
              <w:rPr>
                <w:rFonts w:cs="HelveticaNeue"/>
                <w:color w:val="000000"/>
                <w:szCs w:val="20"/>
              </w:rPr>
              <w:t xml:space="preserve"> </w:t>
            </w:r>
            <w:r>
              <w:rPr>
                <w:rFonts w:cs="HelveticaNeue"/>
                <w:color w:val="000000"/>
                <w:szCs w:val="20"/>
              </w:rPr>
              <w:t>October</w:t>
            </w:r>
            <w:r w:rsidRPr="008D765B">
              <w:rPr>
                <w:rFonts w:cs="HelveticaNeue"/>
                <w:color w:val="000000"/>
                <w:szCs w:val="20"/>
              </w:rPr>
              <w:t xml:space="preserve"> </w:t>
            </w:r>
            <w:r>
              <w:rPr>
                <w:rFonts w:cs="HelveticaNeue"/>
                <w:color w:val="000000"/>
                <w:szCs w:val="20"/>
              </w:rPr>
              <w:t>2019</w:t>
            </w:r>
          </w:p>
        </w:tc>
        <w:tc>
          <w:tcPr>
            <w:tcW w:w="4515" w:type="dxa"/>
          </w:tcPr>
          <w:p w14:paraId="59C85D6D" w14:textId="77777777"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5" w:history="1">
              <w:r w:rsidR="007C17FA" w:rsidRPr="007C17FA">
                <w:rPr>
                  <w:rStyle w:val="Hyperlink"/>
                  <w:rFonts w:cs="HelveticaNeue"/>
                  <w:szCs w:val="20"/>
                </w:rPr>
                <w:t>Vol. 800 Col. 995</w:t>
              </w:r>
            </w:hyperlink>
          </w:p>
        </w:tc>
      </w:tr>
      <w:tr w:rsidR="007C17FA" w:rsidRPr="008D765B" w14:paraId="5F82F60D" w14:textId="77777777" w:rsidTr="007C17FA">
        <w:tc>
          <w:tcPr>
            <w:tcW w:w="2467" w:type="dxa"/>
            <w:vMerge w:val="restart"/>
          </w:tcPr>
          <w:p w14:paraId="1A29D5A7"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r w:rsidRPr="008D765B">
              <w:rPr>
                <w:rFonts w:cs="HelveticaNeue"/>
                <w:color w:val="000000"/>
                <w:szCs w:val="20"/>
              </w:rPr>
              <w:t>Royal Assent</w:t>
            </w:r>
          </w:p>
        </w:tc>
        <w:tc>
          <w:tcPr>
            <w:tcW w:w="2079" w:type="dxa"/>
            <w:vMerge w:val="restart"/>
          </w:tcPr>
          <w:p w14:paraId="51F6208A" w14:textId="71A0A81D" w:rsidR="007C17FA" w:rsidRPr="008D765B" w:rsidRDefault="002B6C72" w:rsidP="00C30AB4">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31</w:t>
            </w:r>
            <w:r w:rsidR="007C17FA" w:rsidRPr="008D765B">
              <w:rPr>
                <w:rFonts w:cs="HelveticaNeue"/>
                <w:color w:val="000000"/>
                <w:szCs w:val="20"/>
              </w:rPr>
              <w:t xml:space="preserve"> </w:t>
            </w:r>
            <w:r w:rsidR="00C30AB4">
              <w:rPr>
                <w:rFonts w:cs="HelveticaNeue"/>
                <w:color w:val="000000"/>
                <w:szCs w:val="20"/>
              </w:rPr>
              <w:t>October</w:t>
            </w:r>
            <w:r w:rsidR="007C17FA" w:rsidRPr="008D765B">
              <w:rPr>
                <w:rFonts w:cs="HelveticaNeue"/>
                <w:color w:val="000000"/>
                <w:szCs w:val="20"/>
              </w:rPr>
              <w:t xml:space="preserve"> </w:t>
            </w:r>
            <w:r>
              <w:rPr>
                <w:rFonts w:cs="HelveticaNeue"/>
                <w:color w:val="000000"/>
                <w:szCs w:val="20"/>
              </w:rPr>
              <w:t>2019</w:t>
            </w:r>
          </w:p>
        </w:tc>
        <w:tc>
          <w:tcPr>
            <w:tcW w:w="4515" w:type="dxa"/>
          </w:tcPr>
          <w:p w14:paraId="6A4B22CD" w14:textId="653DBB9F" w:rsidR="007C17FA" w:rsidRPr="008D765B" w:rsidRDefault="002D46E3" w:rsidP="007C17FA">
            <w:pPr>
              <w:widowControl w:val="0"/>
              <w:suppressAutoHyphens/>
              <w:autoSpaceDE w:val="0"/>
              <w:autoSpaceDN w:val="0"/>
              <w:adjustRightInd w:val="0"/>
              <w:spacing w:after="120" w:line="240" w:lineRule="atLeast"/>
              <w:textAlignment w:val="center"/>
              <w:rPr>
                <w:rFonts w:cs="HelveticaNeue"/>
                <w:color w:val="000000"/>
                <w:szCs w:val="20"/>
              </w:rPr>
            </w:pPr>
            <w:hyperlink r:id="rId16" w:anchor="contribution-168A7BA7-1DC5-46EC-8101-3B6E6A14FE79" w:history="1">
              <w:r w:rsidR="00135F2C" w:rsidRPr="00135F2C">
                <w:rPr>
                  <w:rStyle w:val="Hyperlink"/>
                  <w:rFonts w:cs="HelveticaNeue"/>
                  <w:szCs w:val="20"/>
                </w:rPr>
                <w:t>Vol. 667 Col. 592</w:t>
              </w:r>
            </w:hyperlink>
          </w:p>
        </w:tc>
      </w:tr>
      <w:tr w:rsidR="007C17FA" w:rsidRPr="008D765B" w14:paraId="56F8C9FB" w14:textId="77777777" w:rsidTr="007C17FA">
        <w:tc>
          <w:tcPr>
            <w:tcW w:w="2467" w:type="dxa"/>
            <w:vMerge/>
          </w:tcPr>
          <w:p w14:paraId="3E2639EC"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p>
        </w:tc>
        <w:tc>
          <w:tcPr>
            <w:tcW w:w="2079" w:type="dxa"/>
            <w:vMerge/>
          </w:tcPr>
          <w:p w14:paraId="5B88ED79" w14:textId="77777777" w:rsidR="007C17FA" w:rsidRPr="008D765B" w:rsidRDefault="007C17FA" w:rsidP="007C17FA">
            <w:pPr>
              <w:widowControl w:val="0"/>
              <w:suppressAutoHyphens/>
              <w:autoSpaceDE w:val="0"/>
              <w:autoSpaceDN w:val="0"/>
              <w:adjustRightInd w:val="0"/>
              <w:spacing w:after="120" w:line="240" w:lineRule="atLeast"/>
              <w:textAlignment w:val="center"/>
              <w:rPr>
                <w:rFonts w:cs="HelveticaNeue"/>
                <w:color w:val="000000"/>
                <w:szCs w:val="20"/>
              </w:rPr>
            </w:pPr>
          </w:p>
        </w:tc>
        <w:tc>
          <w:tcPr>
            <w:tcW w:w="4515" w:type="dxa"/>
          </w:tcPr>
          <w:p w14:paraId="2F0B1386" w14:textId="516D15B0" w:rsidR="007C17FA" w:rsidRPr="008D765B" w:rsidRDefault="002D46E3" w:rsidP="002B6C72">
            <w:pPr>
              <w:widowControl w:val="0"/>
              <w:suppressAutoHyphens/>
              <w:autoSpaceDE w:val="0"/>
              <w:autoSpaceDN w:val="0"/>
              <w:adjustRightInd w:val="0"/>
              <w:spacing w:after="120" w:line="240" w:lineRule="atLeast"/>
              <w:textAlignment w:val="center"/>
              <w:rPr>
                <w:rFonts w:cs="HelveticaNeue"/>
                <w:color w:val="000000"/>
                <w:szCs w:val="20"/>
              </w:rPr>
            </w:pPr>
            <w:hyperlink r:id="rId17" w:history="1">
              <w:r w:rsidR="00317B03" w:rsidRPr="00317B03">
                <w:rPr>
                  <w:rStyle w:val="Hyperlink"/>
                  <w:rFonts w:cs="HelveticaNeue"/>
                  <w:szCs w:val="20"/>
                </w:rPr>
                <w:t>Vol. 800 Col. 1079</w:t>
              </w:r>
            </w:hyperlink>
          </w:p>
        </w:tc>
      </w:tr>
    </w:tbl>
    <w:p w14:paraId="304B70B2" w14:textId="66846CFD" w:rsidR="00C30AB4" w:rsidRDefault="00C30AB4">
      <w:pPr>
        <w:rPr>
          <w:rFonts w:ascii="Arial" w:eastAsiaTheme="majorEastAsia" w:hAnsi="Arial" w:cstheme="majorBidi"/>
          <w:b/>
          <w:bCs/>
          <w:color w:val="0070C0"/>
          <w:sz w:val="36"/>
          <w:szCs w:val="28"/>
        </w:rPr>
      </w:pPr>
      <w:bookmarkStart w:id="52" w:name="_Toc416612150"/>
      <w:bookmarkStart w:id="53" w:name="_Toc417648135"/>
      <w:bookmarkStart w:id="54" w:name="_Toc418587945"/>
      <w:bookmarkStart w:id="55" w:name="_Toc437970421"/>
    </w:p>
    <w:bookmarkEnd w:id="52"/>
    <w:bookmarkEnd w:id="53"/>
    <w:bookmarkEnd w:id="54"/>
    <w:bookmarkEnd w:id="55"/>
    <w:bookmarkEnd w:id="42"/>
    <w:bookmarkEnd w:id="43"/>
    <w:sectPr w:rsidR="00C30AB4" w:rsidSect="00317B03">
      <w:headerReference w:type="even" r:id="rId18"/>
      <w:headerReference w:type="default" r:id="rId19"/>
      <w:footerReference w:type="even" r:id="rId20"/>
      <w:footerReference w:type="default" r:id="rId21"/>
      <w:headerReference w:type="first" r:id="rId22"/>
      <w:footerReference w:type="first" r:id="rId23"/>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175DA2" w14:textId="77777777" w:rsidR="00AE3AA5" w:rsidRDefault="00AE3AA5">
      <w:r>
        <w:separator/>
      </w:r>
    </w:p>
    <w:p w14:paraId="797019B7" w14:textId="77777777" w:rsidR="00AE3AA5" w:rsidRDefault="00AE3AA5"/>
    <w:p w14:paraId="5C978A13" w14:textId="77777777" w:rsidR="00AE3AA5" w:rsidRDefault="00AE3AA5"/>
  </w:endnote>
  <w:endnote w:type="continuationSeparator" w:id="0">
    <w:p w14:paraId="4EE9C5E7" w14:textId="77777777" w:rsidR="00AE3AA5" w:rsidRDefault="00AE3AA5">
      <w:r>
        <w:continuationSeparator/>
      </w:r>
    </w:p>
    <w:p w14:paraId="7959FC9E" w14:textId="77777777" w:rsidR="00AE3AA5" w:rsidRDefault="00AE3AA5"/>
    <w:p w14:paraId="0C3D211A" w14:textId="77777777" w:rsidR="00AE3AA5" w:rsidRDefault="00AE3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614D8" w14:textId="77777777" w:rsidR="00D81709" w:rsidRDefault="00D81709"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AA83CC" w14:textId="77777777" w:rsidR="00D81709" w:rsidRDefault="00D81709"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2BE8D71E" w14:textId="42A59EED" w:rsidR="00D81709" w:rsidRDefault="00D81709"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D46E3">
          <w:rPr>
            <w:noProof/>
          </w:rPr>
          <w:t>2</w:t>
        </w:r>
        <w:r>
          <w:rPr>
            <w:noProof/>
          </w:rPr>
          <w:fldChar w:fldCharType="end"/>
        </w:r>
      </w:p>
    </w:sdtContent>
  </w:sdt>
  <w:p w14:paraId="1E91752A" w14:textId="26733206" w:rsidR="00D81709" w:rsidRPr="006A0D49" w:rsidRDefault="00D81709"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2D46E3">
      <w:rPr>
        <w:noProof/>
      </w:rPr>
      <w:t>2</w:t>
    </w:r>
    <w:r>
      <w:rPr>
        <w:noProof/>
      </w:rPr>
      <w:fldChar w:fldCharType="end"/>
    </w:r>
  </w:p>
  <w:p w14:paraId="4D4888E0" w14:textId="2EFE1DF3" w:rsidR="00D81709" w:rsidRPr="00DE0805" w:rsidRDefault="00D81709"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Early Parliamentary General Election</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sidR="00135F2C">
      <w:rPr>
        <w:rStyle w:val="FooterText"/>
      </w:rPr>
      <w:t xml:space="preserve"> 2019 (c. 29)</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135F2C">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10-31T00:00:00Z">
          <w:dateFormat w:val="d MMMM yyyy"/>
          <w:lid w:val="en-GB"/>
          <w:storeMappedDataAs w:val="dateTime"/>
          <w:calendar w:val="gregorian"/>
        </w:date>
      </w:sdtPr>
      <w:sdtEndPr>
        <w:rPr>
          <w:rStyle w:val="FooterText"/>
        </w:rPr>
      </w:sdtEndPr>
      <w:sdtContent>
        <w:r>
          <w:rPr>
            <w:rStyle w:val="FooterText"/>
          </w:rPr>
          <w:t>31 October 2019</w:t>
        </w:r>
      </w:sdtContent>
    </w:sdt>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D81709" w14:paraId="778C24A7" w14:textId="77777777" w:rsidTr="00922B46">
      <w:tc>
        <w:tcPr>
          <w:tcW w:w="4076" w:type="dxa"/>
        </w:tcPr>
        <w:p w14:paraId="0212BE13" w14:textId="11B78B16" w:rsidR="00D81709" w:rsidRPr="00164F74" w:rsidRDefault="00D81709" w:rsidP="00135F2C">
          <w:pPr>
            <w:pStyle w:val="Footer"/>
          </w:pPr>
          <w:r w:rsidRPr="00164F74">
            <w:t xml:space="preserve"> </w:t>
          </w:r>
          <w:sdt>
            <w:sdtPr>
              <w:rPr>
                <w:rStyle w:val="FooterChar"/>
              </w:rPr>
              <w:alias w:val="BillNumber"/>
              <w:tag w:val="BillNumber"/>
              <w:id w:val="2056115813"/>
              <w:lock w:val="sdtLocked"/>
              <w:placeholder>
                <w:docPart w:val="11DD78EF168E419980891885524C23DD"/>
              </w:placeholder>
              <w:showingPlcHd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135F2C">
                <w:rPr>
                  <w:szCs w:val="20"/>
                </w:rPr>
                <w:t>c.29</w:t>
              </w:r>
            </w:sdtContent>
          </w:sdt>
          <w:r>
            <w:t>–</w:t>
          </w:r>
          <w:r w:rsidRPr="00D72E04">
            <w:t>EN</w:t>
          </w:r>
        </w:p>
      </w:tc>
      <w:tc>
        <w:tcPr>
          <w:tcW w:w="4077" w:type="dxa"/>
        </w:tcPr>
        <w:p w14:paraId="24129288" w14:textId="18CAD3CA" w:rsidR="00D81709" w:rsidRPr="00164F74" w:rsidRDefault="00D81709" w:rsidP="000A60B6">
          <w:pPr>
            <w:pStyle w:val="Footer"/>
            <w:jc w:val="right"/>
          </w:pPr>
        </w:p>
      </w:tc>
    </w:tr>
  </w:tbl>
  <w:p w14:paraId="566702D1" w14:textId="77777777" w:rsidR="00D81709" w:rsidRDefault="00D81709"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3F6D6" w14:textId="77777777" w:rsidR="00AE3AA5" w:rsidRDefault="00AE3AA5">
      <w:r>
        <w:separator/>
      </w:r>
    </w:p>
    <w:p w14:paraId="04A1604A" w14:textId="77777777" w:rsidR="00AE3AA5" w:rsidRDefault="00AE3AA5"/>
    <w:p w14:paraId="3DF7A3C4" w14:textId="77777777" w:rsidR="00AE3AA5" w:rsidRDefault="00AE3AA5"/>
  </w:footnote>
  <w:footnote w:type="continuationSeparator" w:id="0">
    <w:p w14:paraId="547ED4BB" w14:textId="77777777" w:rsidR="00AE3AA5" w:rsidRDefault="00AE3AA5">
      <w:r>
        <w:continuationSeparator/>
      </w:r>
    </w:p>
    <w:p w14:paraId="20B3DD8E" w14:textId="77777777" w:rsidR="00AE3AA5" w:rsidRDefault="00AE3AA5"/>
    <w:p w14:paraId="2F475F56" w14:textId="77777777" w:rsidR="00AE3AA5" w:rsidRDefault="00AE3AA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7FAC8" w14:textId="77777777" w:rsidR="00D81709" w:rsidRDefault="00D81709">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BCCFF" w14:textId="77777777" w:rsidR="00D81709" w:rsidRDefault="00D81709">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11A26" w14:textId="77777777" w:rsidR="00D81709" w:rsidRDefault="00D81709">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D32608"/>
    <w:multiLevelType w:val="hybridMultilevel"/>
    <w:tmpl w:val="93500E66"/>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1"/>
  </w:num>
  <w:num w:numId="4">
    <w:abstractNumId w:val="20"/>
  </w:num>
  <w:num w:numId="5">
    <w:abstractNumId w:val="15"/>
  </w:num>
  <w:num w:numId="6">
    <w:abstractNumId w:val="22"/>
  </w:num>
  <w:num w:numId="7">
    <w:abstractNumId w:val="11"/>
  </w:num>
  <w:num w:numId="8">
    <w:abstractNumId w:val="13"/>
  </w:num>
  <w:num w:numId="9">
    <w:abstractNumId w:val="18"/>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19"/>
  </w:num>
  <w:num w:numId="27">
    <w:abstractNumId w:val="15"/>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354EB"/>
    <w:rsid w:val="000415F3"/>
    <w:rsid w:val="000429FD"/>
    <w:rsid w:val="00042B08"/>
    <w:rsid w:val="00043D78"/>
    <w:rsid w:val="00045D82"/>
    <w:rsid w:val="00046CD5"/>
    <w:rsid w:val="00050601"/>
    <w:rsid w:val="000540B0"/>
    <w:rsid w:val="000578FC"/>
    <w:rsid w:val="0006003E"/>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3EEC"/>
    <w:rsid w:val="000E4419"/>
    <w:rsid w:val="000E45AE"/>
    <w:rsid w:val="000F00E0"/>
    <w:rsid w:val="000F120C"/>
    <w:rsid w:val="000F4123"/>
    <w:rsid w:val="000F4A3B"/>
    <w:rsid w:val="00103E71"/>
    <w:rsid w:val="001045E9"/>
    <w:rsid w:val="001045F1"/>
    <w:rsid w:val="00116F2C"/>
    <w:rsid w:val="001172FE"/>
    <w:rsid w:val="001208B2"/>
    <w:rsid w:val="001221E5"/>
    <w:rsid w:val="001237E2"/>
    <w:rsid w:val="00124DF5"/>
    <w:rsid w:val="00127000"/>
    <w:rsid w:val="00131985"/>
    <w:rsid w:val="0013437D"/>
    <w:rsid w:val="00135F2C"/>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669A"/>
    <w:rsid w:val="001D6C4C"/>
    <w:rsid w:val="001E0F8B"/>
    <w:rsid w:val="001E3774"/>
    <w:rsid w:val="001E4F71"/>
    <w:rsid w:val="001F0BE5"/>
    <w:rsid w:val="001F2D93"/>
    <w:rsid w:val="001F36D8"/>
    <w:rsid w:val="001F3C7A"/>
    <w:rsid w:val="00200C09"/>
    <w:rsid w:val="002042BC"/>
    <w:rsid w:val="00206464"/>
    <w:rsid w:val="002129AD"/>
    <w:rsid w:val="00215174"/>
    <w:rsid w:val="00215743"/>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770D6"/>
    <w:rsid w:val="002833D1"/>
    <w:rsid w:val="00287AE9"/>
    <w:rsid w:val="002901F5"/>
    <w:rsid w:val="0029595C"/>
    <w:rsid w:val="0029699E"/>
    <w:rsid w:val="00296C6E"/>
    <w:rsid w:val="002A02DD"/>
    <w:rsid w:val="002A1E05"/>
    <w:rsid w:val="002A4CD0"/>
    <w:rsid w:val="002A6C13"/>
    <w:rsid w:val="002B3FE2"/>
    <w:rsid w:val="002B5B54"/>
    <w:rsid w:val="002B6C72"/>
    <w:rsid w:val="002C7832"/>
    <w:rsid w:val="002D46E3"/>
    <w:rsid w:val="002D6CFF"/>
    <w:rsid w:val="002E0272"/>
    <w:rsid w:val="002E0461"/>
    <w:rsid w:val="002E0B3C"/>
    <w:rsid w:val="002E67F4"/>
    <w:rsid w:val="002F0561"/>
    <w:rsid w:val="002F25E0"/>
    <w:rsid w:val="002F7BD6"/>
    <w:rsid w:val="00301D3C"/>
    <w:rsid w:val="003039D2"/>
    <w:rsid w:val="00311764"/>
    <w:rsid w:val="00312E5F"/>
    <w:rsid w:val="00317B03"/>
    <w:rsid w:val="003256E3"/>
    <w:rsid w:val="00325FC8"/>
    <w:rsid w:val="00331123"/>
    <w:rsid w:val="0035622C"/>
    <w:rsid w:val="0036158D"/>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0D4C"/>
    <w:rsid w:val="003A3104"/>
    <w:rsid w:val="003A3B83"/>
    <w:rsid w:val="003A448B"/>
    <w:rsid w:val="003B3C0E"/>
    <w:rsid w:val="003B463F"/>
    <w:rsid w:val="003C0433"/>
    <w:rsid w:val="003C3054"/>
    <w:rsid w:val="003C3349"/>
    <w:rsid w:val="003D027C"/>
    <w:rsid w:val="003D02FF"/>
    <w:rsid w:val="003D0578"/>
    <w:rsid w:val="003D34FD"/>
    <w:rsid w:val="003D4403"/>
    <w:rsid w:val="003E2980"/>
    <w:rsid w:val="003E5213"/>
    <w:rsid w:val="003E6936"/>
    <w:rsid w:val="003F25D6"/>
    <w:rsid w:val="003F2DD6"/>
    <w:rsid w:val="003F3107"/>
    <w:rsid w:val="00400EB7"/>
    <w:rsid w:val="00411E59"/>
    <w:rsid w:val="00413C5A"/>
    <w:rsid w:val="0041649F"/>
    <w:rsid w:val="00422075"/>
    <w:rsid w:val="004247ED"/>
    <w:rsid w:val="00425CEA"/>
    <w:rsid w:val="004272D2"/>
    <w:rsid w:val="00427B8C"/>
    <w:rsid w:val="00427C79"/>
    <w:rsid w:val="004312CA"/>
    <w:rsid w:val="004373CA"/>
    <w:rsid w:val="00440A8A"/>
    <w:rsid w:val="0044174F"/>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5CAD"/>
    <w:rsid w:val="004D62C1"/>
    <w:rsid w:val="004D65E1"/>
    <w:rsid w:val="004E0D77"/>
    <w:rsid w:val="004E3142"/>
    <w:rsid w:val="004E6CD3"/>
    <w:rsid w:val="004F482F"/>
    <w:rsid w:val="004F5E09"/>
    <w:rsid w:val="004F7B56"/>
    <w:rsid w:val="00504B8C"/>
    <w:rsid w:val="005101D9"/>
    <w:rsid w:val="00520C2E"/>
    <w:rsid w:val="0052134E"/>
    <w:rsid w:val="00524AEF"/>
    <w:rsid w:val="00524CC1"/>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E2E"/>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371F8"/>
    <w:rsid w:val="00641A9A"/>
    <w:rsid w:val="0064256C"/>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6189"/>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0EE1"/>
    <w:rsid w:val="006C3A1D"/>
    <w:rsid w:val="006C6293"/>
    <w:rsid w:val="006C71A9"/>
    <w:rsid w:val="006D271F"/>
    <w:rsid w:val="006E2A06"/>
    <w:rsid w:val="006F55EB"/>
    <w:rsid w:val="006F751F"/>
    <w:rsid w:val="00700344"/>
    <w:rsid w:val="0071289B"/>
    <w:rsid w:val="007137FC"/>
    <w:rsid w:val="00713D2A"/>
    <w:rsid w:val="00715398"/>
    <w:rsid w:val="00717A7E"/>
    <w:rsid w:val="00734B70"/>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49EB"/>
    <w:rsid w:val="007959B1"/>
    <w:rsid w:val="007A1691"/>
    <w:rsid w:val="007A59A5"/>
    <w:rsid w:val="007B2F44"/>
    <w:rsid w:val="007C17FA"/>
    <w:rsid w:val="007C5FD7"/>
    <w:rsid w:val="007D6FAE"/>
    <w:rsid w:val="007E51FC"/>
    <w:rsid w:val="007E75B7"/>
    <w:rsid w:val="007E7D3B"/>
    <w:rsid w:val="007F5B35"/>
    <w:rsid w:val="007F6ABB"/>
    <w:rsid w:val="008021D2"/>
    <w:rsid w:val="00802439"/>
    <w:rsid w:val="00806877"/>
    <w:rsid w:val="00807507"/>
    <w:rsid w:val="00813D29"/>
    <w:rsid w:val="00821B03"/>
    <w:rsid w:val="00830DD4"/>
    <w:rsid w:val="00830FA1"/>
    <w:rsid w:val="00835128"/>
    <w:rsid w:val="00836CD9"/>
    <w:rsid w:val="0084175D"/>
    <w:rsid w:val="00844FA8"/>
    <w:rsid w:val="00846BF6"/>
    <w:rsid w:val="00846E41"/>
    <w:rsid w:val="008515C2"/>
    <w:rsid w:val="00853D59"/>
    <w:rsid w:val="00855908"/>
    <w:rsid w:val="00856954"/>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6D0"/>
    <w:rsid w:val="008B63E2"/>
    <w:rsid w:val="008C0188"/>
    <w:rsid w:val="008C0EB2"/>
    <w:rsid w:val="008C3080"/>
    <w:rsid w:val="008C5D45"/>
    <w:rsid w:val="008D09BA"/>
    <w:rsid w:val="008D62C6"/>
    <w:rsid w:val="008D765B"/>
    <w:rsid w:val="008E1107"/>
    <w:rsid w:val="008E2D5E"/>
    <w:rsid w:val="008E62E5"/>
    <w:rsid w:val="008E6F5C"/>
    <w:rsid w:val="008E7902"/>
    <w:rsid w:val="008F140E"/>
    <w:rsid w:val="008F1541"/>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3A28"/>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662C"/>
    <w:rsid w:val="009C1DE2"/>
    <w:rsid w:val="009C2BF5"/>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42A6"/>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330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3AA5"/>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45DD9"/>
    <w:rsid w:val="00B533FB"/>
    <w:rsid w:val="00B534C2"/>
    <w:rsid w:val="00B552A8"/>
    <w:rsid w:val="00B620D5"/>
    <w:rsid w:val="00B64887"/>
    <w:rsid w:val="00B65E8D"/>
    <w:rsid w:val="00B729BF"/>
    <w:rsid w:val="00B7335E"/>
    <w:rsid w:val="00B7563B"/>
    <w:rsid w:val="00B76227"/>
    <w:rsid w:val="00B77167"/>
    <w:rsid w:val="00B811BE"/>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1726C"/>
    <w:rsid w:val="00C208D0"/>
    <w:rsid w:val="00C21C22"/>
    <w:rsid w:val="00C238BE"/>
    <w:rsid w:val="00C26D8E"/>
    <w:rsid w:val="00C30AB4"/>
    <w:rsid w:val="00C323F7"/>
    <w:rsid w:val="00C325BA"/>
    <w:rsid w:val="00C44539"/>
    <w:rsid w:val="00C54216"/>
    <w:rsid w:val="00C568F0"/>
    <w:rsid w:val="00C56B0B"/>
    <w:rsid w:val="00C6279F"/>
    <w:rsid w:val="00C631F0"/>
    <w:rsid w:val="00C6363E"/>
    <w:rsid w:val="00C63801"/>
    <w:rsid w:val="00C6623E"/>
    <w:rsid w:val="00C67074"/>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4DE9"/>
    <w:rsid w:val="00D67058"/>
    <w:rsid w:val="00D72286"/>
    <w:rsid w:val="00D72E04"/>
    <w:rsid w:val="00D74ADC"/>
    <w:rsid w:val="00D81709"/>
    <w:rsid w:val="00D954E1"/>
    <w:rsid w:val="00D95E12"/>
    <w:rsid w:val="00DA1000"/>
    <w:rsid w:val="00DA2ED1"/>
    <w:rsid w:val="00DA587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0C23"/>
    <w:rsid w:val="00E83AC8"/>
    <w:rsid w:val="00E909A3"/>
    <w:rsid w:val="00E925F1"/>
    <w:rsid w:val="00E952E3"/>
    <w:rsid w:val="00EA27F4"/>
    <w:rsid w:val="00EA678A"/>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13965"/>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1F9"/>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35A2D626"/>
  <w15:docId w15:val="{76050B15-3F9E-4048-9CE5-95945721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C30AB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6371F8"/>
    <w:rPr>
      <w:sz w:val="16"/>
      <w:szCs w:val="16"/>
    </w:rPr>
  </w:style>
  <w:style w:type="paragraph" w:styleId="CommentText">
    <w:name w:val="annotation text"/>
    <w:basedOn w:val="Normal"/>
    <w:link w:val="CommentTextChar"/>
    <w:uiPriority w:val="99"/>
    <w:semiHidden/>
    <w:unhideWhenUsed/>
    <w:locked/>
    <w:rsid w:val="006371F8"/>
    <w:pPr>
      <w:spacing w:line="240" w:lineRule="auto"/>
    </w:pPr>
    <w:rPr>
      <w:sz w:val="20"/>
      <w:szCs w:val="20"/>
    </w:rPr>
  </w:style>
  <w:style w:type="character" w:customStyle="1" w:styleId="CommentTextChar">
    <w:name w:val="Comment Text Char"/>
    <w:basedOn w:val="DefaultParagraphFont"/>
    <w:link w:val="CommentText"/>
    <w:uiPriority w:val="99"/>
    <w:semiHidden/>
    <w:rsid w:val="006371F8"/>
    <w:rPr>
      <w:sz w:val="20"/>
      <w:szCs w:val="20"/>
      <w:lang w:val="en-GB"/>
    </w:rPr>
  </w:style>
  <w:style w:type="paragraph" w:styleId="CommentSubject">
    <w:name w:val="annotation subject"/>
    <w:basedOn w:val="CommentText"/>
    <w:next w:val="CommentText"/>
    <w:link w:val="CommentSubjectChar"/>
    <w:uiPriority w:val="99"/>
    <w:semiHidden/>
    <w:unhideWhenUsed/>
    <w:locked/>
    <w:rsid w:val="006371F8"/>
    <w:rPr>
      <w:b/>
      <w:bCs/>
    </w:rPr>
  </w:style>
  <w:style w:type="character" w:customStyle="1" w:styleId="CommentSubjectChar">
    <w:name w:val="Comment Subject Char"/>
    <w:basedOn w:val="CommentTextChar"/>
    <w:link w:val="CommentSubject"/>
    <w:uiPriority w:val="99"/>
    <w:semiHidden/>
    <w:rsid w:val="006371F8"/>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951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9-10-29/debates/786F83C1-86D1-41B1-9A1C-96758450FB1C/EarlyParliamentaryGeneralElectionBill"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hansard.parliament.uk/commons/2019-10-29/debates/663DAF1C-CCE3-4E0E-BE8A-687643A76309/EarlyParliamentaryGeneralElectionBill" TargetMode="External"/><Relationship Id="rId17" Type="http://schemas.openxmlformats.org/officeDocument/2006/relationships/hyperlink" Target="https://hansard.parliament.uk/lords/2019-10-31/debates/E095C72C-6D9D-489F-BD54-CB67D51A195E/RoyalAssent"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hansard.parliament.uk/Commons/2019-10-31/debates/6FAFCC9A-A3BD-4C59-9F61-956DF2E26E3A/CivilPartnershi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9-10-29/debates/663DAF1C-CCE3-4E0E-BE8A-687643A76309/EarlyParliamentaryGeneralElectionBil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lords/2019-10-30/debates/E1BDD564-B642-4D86-A5DC-3EC807BF25DA/EarlyParliamentaryGeneralElectionBill" TargetMode="External"/><Relationship Id="rId23" Type="http://schemas.openxmlformats.org/officeDocument/2006/relationships/footer" Target="footer3.xml"/><Relationship Id="rId10" Type="http://schemas.openxmlformats.org/officeDocument/2006/relationships/hyperlink" Target="https://hansard.parliament.uk/commons/2019-10-29/debates/DDAEFDD2-1872-45C6-8553-8B5B3786F50B/EarlyParliamentaryGeneralElectionBill"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hansard.parliament.uk/Commons/2019-10-29/debates/84C49DB8-B0ED-4BF0-A75A-064864FDD024/PointsOfOrder" TargetMode="External"/><Relationship Id="rId14" Type="http://schemas.openxmlformats.org/officeDocument/2006/relationships/hyperlink" Target="https://hansard.parliament.uk/lords/2019-10-30/debates/37AAC81F-A393-44B3-9985-22A76FA1D3D1/EarlyParliamentaryGeneralElectionBill"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AA295B" w:rsidP="00AA295B">
          <w:pPr>
            <w:pStyle w:val="11DD78EF168E419980891885524C23DD14"/>
          </w:pPr>
          <w:r>
            <w:rPr>
              <w:szCs w:val="20"/>
            </w:rPr>
            <w:t>c.29</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52CA5"/>
    <w:rsid w:val="000C3F06"/>
    <w:rsid w:val="00101A45"/>
    <w:rsid w:val="00141991"/>
    <w:rsid w:val="00161D68"/>
    <w:rsid w:val="001A03B5"/>
    <w:rsid w:val="001A3081"/>
    <w:rsid w:val="002418CF"/>
    <w:rsid w:val="003A0273"/>
    <w:rsid w:val="003A3D5D"/>
    <w:rsid w:val="003E5242"/>
    <w:rsid w:val="00455AEC"/>
    <w:rsid w:val="00491233"/>
    <w:rsid w:val="00505749"/>
    <w:rsid w:val="00535479"/>
    <w:rsid w:val="0055517D"/>
    <w:rsid w:val="006163D2"/>
    <w:rsid w:val="00682B26"/>
    <w:rsid w:val="006A3AF3"/>
    <w:rsid w:val="006F47F9"/>
    <w:rsid w:val="00796867"/>
    <w:rsid w:val="0081343A"/>
    <w:rsid w:val="00846138"/>
    <w:rsid w:val="0085144C"/>
    <w:rsid w:val="0086178D"/>
    <w:rsid w:val="008D64A5"/>
    <w:rsid w:val="00900407"/>
    <w:rsid w:val="0095375F"/>
    <w:rsid w:val="009B0CA8"/>
    <w:rsid w:val="00A05162"/>
    <w:rsid w:val="00A65B53"/>
    <w:rsid w:val="00A675C6"/>
    <w:rsid w:val="00A862F7"/>
    <w:rsid w:val="00AA295B"/>
    <w:rsid w:val="00AE5C5F"/>
    <w:rsid w:val="00B570B0"/>
    <w:rsid w:val="00C03D15"/>
    <w:rsid w:val="00C20CAA"/>
    <w:rsid w:val="00C44655"/>
    <w:rsid w:val="00C634C3"/>
    <w:rsid w:val="00C80AE2"/>
    <w:rsid w:val="00C81819"/>
    <w:rsid w:val="00CB1753"/>
    <w:rsid w:val="00D140D8"/>
    <w:rsid w:val="00D2370D"/>
    <w:rsid w:val="00D4300B"/>
    <w:rsid w:val="00D94424"/>
    <w:rsid w:val="00DB5606"/>
    <w:rsid w:val="00E17A45"/>
    <w:rsid w:val="00E6269C"/>
    <w:rsid w:val="00E640C5"/>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AA295B"/>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D4300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D4300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D4300B"/>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D4300B"/>
    <w:pPr>
      <w:tabs>
        <w:tab w:val="center" w:pos="4320"/>
        <w:tab w:val="right" w:pos="8640"/>
      </w:tabs>
      <w:spacing w:after="200" w:line="276" w:lineRule="auto"/>
    </w:pPr>
    <w:rPr>
      <w:sz w:val="20"/>
      <w:lang w:eastAsia="en-US" w:bidi="en-US"/>
    </w:rPr>
  </w:style>
  <w:style w:type="paragraph" w:customStyle="1" w:styleId="5F71A94ED64B462BAE3B14F0360FFBE8">
    <w:name w:val="5F71A94ED64B462BAE3B14F0360FFBE8"/>
    <w:rsid w:val="00D4300B"/>
    <w:pPr>
      <w:tabs>
        <w:tab w:val="center" w:pos="4320"/>
        <w:tab w:val="right" w:pos="8640"/>
      </w:tabs>
      <w:spacing w:after="200" w:line="276" w:lineRule="auto"/>
    </w:pPr>
    <w:rPr>
      <w:sz w:val="20"/>
      <w:lang w:eastAsia="en-US" w:bidi="en-US"/>
    </w:rPr>
  </w:style>
  <w:style w:type="paragraph" w:customStyle="1" w:styleId="5AADC6377E284B8580ECE8BF0345628E">
    <w:name w:val="5AADC6377E284B8580ECE8BF0345628E"/>
    <w:rsid w:val="00D4300B"/>
  </w:style>
  <w:style w:type="paragraph" w:customStyle="1" w:styleId="5F71A94ED64B462BAE3B14F0360FFBE81">
    <w:name w:val="5F71A94ED64B462BAE3B14F0360FFBE81"/>
    <w:rsid w:val="00052CA5"/>
    <w:pPr>
      <w:tabs>
        <w:tab w:val="center" w:pos="4320"/>
        <w:tab w:val="right" w:pos="8640"/>
      </w:tabs>
      <w:spacing w:after="200" w:line="276" w:lineRule="auto"/>
    </w:pPr>
    <w:rPr>
      <w:sz w:val="20"/>
      <w:lang w:eastAsia="en-US" w:bidi="en-US"/>
    </w:rPr>
  </w:style>
  <w:style w:type="paragraph" w:customStyle="1" w:styleId="D2874CB57EBE49FF89EB9FCEAAEBDFC07">
    <w:name w:val="D2874CB57EBE49FF89EB9FCEAAEBDFC07"/>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052CA5"/>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052CA5"/>
    <w:pPr>
      <w:tabs>
        <w:tab w:val="center" w:pos="4320"/>
        <w:tab w:val="right" w:pos="8640"/>
      </w:tabs>
      <w:spacing w:after="200" w:line="276" w:lineRule="auto"/>
    </w:pPr>
    <w:rPr>
      <w:sz w:val="20"/>
      <w:lang w:eastAsia="en-US" w:bidi="en-US"/>
    </w:rPr>
  </w:style>
  <w:style w:type="paragraph" w:customStyle="1" w:styleId="5F71A94ED64B462BAE3B14F0360FFBE82">
    <w:name w:val="5F71A94ED64B462BAE3B14F0360FFBE82"/>
    <w:rsid w:val="00052CA5"/>
    <w:pPr>
      <w:tabs>
        <w:tab w:val="center" w:pos="4320"/>
        <w:tab w:val="right" w:pos="8640"/>
      </w:tabs>
      <w:spacing w:after="200" w:line="276" w:lineRule="auto"/>
    </w:pPr>
    <w:rPr>
      <w:sz w:val="20"/>
      <w:lang w:eastAsia="en-US" w:bidi="en-US"/>
    </w:rPr>
  </w:style>
  <w:style w:type="paragraph" w:customStyle="1" w:styleId="D2874CB57EBE49FF89EB9FCEAAEBDFC08">
    <w:name w:val="D2874CB57EBE49FF89EB9FCEAAEBDFC08"/>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052CA5"/>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052CA5"/>
    <w:pPr>
      <w:tabs>
        <w:tab w:val="center" w:pos="4320"/>
        <w:tab w:val="right" w:pos="8640"/>
      </w:tabs>
      <w:spacing w:after="200" w:line="276" w:lineRule="auto"/>
    </w:pPr>
    <w:rPr>
      <w:sz w:val="20"/>
      <w:lang w:eastAsia="en-US" w:bidi="en-US"/>
    </w:rPr>
  </w:style>
  <w:style w:type="paragraph" w:customStyle="1" w:styleId="D2874CB57EBE49FF89EB9FCEAAEBDFC09">
    <w:name w:val="D2874CB57EBE49FF89EB9FCEAAEBDFC09"/>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052CA5"/>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052CA5"/>
    <w:pPr>
      <w:tabs>
        <w:tab w:val="center" w:pos="4320"/>
        <w:tab w:val="right" w:pos="8640"/>
      </w:tabs>
      <w:spacing w:after="200" w:line="276" w:lineRule="auto"/>
    </w:pPr>
    <w:rPr>
      <w:sz w:val="20"/>
      <w:lang w:eastAsia="en-US" w:bidi="en-US"/>
    </w:rPr>
  </w:style>
  <w:style w:type="paragraph" w:customStyle="1" w:styleId="D2874CB57EBE49FF89EB9FCEAAEBDFC010">
    <w:name w:val="D2874CB57EBE49FF89EB9FCEAAEBDFC010"/>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6">
    <w:name w:val="0FDD4D9B0F5C4AFF84E1FD63808F814016"/>
    <w:rsid w:val="00052CA5"/>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052CA5"/>
    <w:pPr>
      <w:tabs>
        <w:tab w:val="center" w:pos="4320"/>
        <w:tab w:val="right" w:pos="8640"/>
      </w:tabs>
      <w:spacing w:after="200" w:line="276" w:lineRule="auto"/>
    </w:pPr>
    <w:rPr>
      <w:sz w:val="20"/>
      <w:lang w:eastAsia="en-US" w:bidi="en-US"/>
    </w:rPr>
  </w:style>
  <w:style w:type="paragraph" w:customStyle="1" w:styleId="D2874CB57EBE49FF89EB9FCEAAEBDFC011">
    <w:name w:val="D2874CB57EBE49FF89EB9FCEAAEBDFC011"/>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7">
    <w:name w:val="0FDD4D9B0F5C4AFF84E1FD63808F814017"/>
    <w:rsid w:val="00052CA5"/>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052CA5"/>
    <w:pPr>
      <w:tabs>
        <w:tab w:val="center" w:pos="4320"/>
        <w:tab w:val="right" w:pos="8640"/>
      </w:tabs>
      <w:spacing w:after="200" w:line="276" w:lineRule="auto"/>
    </w:pPr>
    <w:rPr>
      <w:sz w:val="20"/>
      <w:lang w:eastAsia="en-US" w:bidi="en-US"/>
    </w:rPr>
  </w:style>
  <w:style w:type="paragraph" w:customStyle="1" w:styleId="D2874CB57EBE49FF89EB9FCEAAEBDFC012">
    <w:name w:val="D2874CB57EBE49FF89EB9FCEAAEBDFC012"/>
    <w:rsid w:val="00052CA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13">
    <w:name w:val="11DD78EF168E419980891885524C23DD13"/>
    <w:rsid w:val="00052CA5"/>
    <w:pPr>
      <w:tabs>
        <w:tab w:val="center" w:pos="4320"/>
        <w:tab w:val="right" w:pos="8640"/>
      </w:tabs>
      <w:spacing w:after="200" w:line="276" w:lineRule="auto"/>
    </w:pPr>
    <w:rPr>
      <w:sz w:val="20"/>
      <w:lang w:eastAsia="en-US" w:bidi="en-US"/>
    </w:rPr>
  </w:style>
  <w:style w:type="paragraph" w:customStyle="1" w:styleId="11DD78EF168E419980891885524C23DD14">
    <w:name w:val="11DD78EF168E419980891885524C23DD14"/>
    <w:rsid w:val="00AA295B"/>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479A25-C9D5-4BB9-88C4-84D71D554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1338</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Early Parliamentary General Election</vt:lpstr>
    </vt:vector>
  </TitlesOfParts>
  <Manager/>
  <Company>prepared by the Cabinet Office</Company>
  <LinksUpToDate>false</LinksUpToDate>
  <CharactersWithSpaces>10115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Parliamentary General Election</dc:title>
  <dc:subject/>
  <dc:creator>Guidance</dc:creator>
  <cp:keywords>v.1.5.2</cp:keywords>
  <dc:description>Template last amended 01/02/2016</dc:description>
  <cp:lastModifiedBy>Bell, Samantha</cp:lastModifiedBy>
  <cp:revision>7</cp:revision>
  <cp:lastPrinted>2020-01-07T09:03:00Z</cp:lastPrinted>
  <dcterms:created xsi:type="dcterms:W3CDTF">2020-01-07T10:24:00Z</dcterms:created>
  <dcterms:modified xsi:type="dcterms:W3CDTF">2020-01-09T09:08:00Z</dcterms:modified>
  <cp:category/>
  <cp:contentStatus/>
</cp:coreProperties>
</file>