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000000"/>
          <w:lang w:val="en-GB"/>
        </w:rPr>
      </w:pPr>
      <w:r>
        <w:rPr/>
        <w:t>NHS FUNDING ACT 2020</w:t>
      </w:r>
      <w:r>
        <w:rPr>
          <w:color w:val="000000"/>
          <w:lang w:val="en-GB"/>
        </w:rPr>
        <w:t xml:space="preserve"> </w:t>
      </w:r>
    </w:p>
    <w:p>
      <w:pPr>
        <w:pStyle w:val="ENnotestitle"/>
        <w:rPr/>
      </w:pPr>
      <w:r>
        <w:rPr>
          <w:rFonts w:cs="Arial"/>
          <w:lang w:val="en-GB"/>
        </w:rPr>
        <w:t>EXPLANATORY NOTES</w:t>
      </w:r>
    </w:p>
    <w:p>
      <w:pPr>
        <w:pStyle w:val="ENHeading1Unindexed"/>
        <w:rPr>
          <w:lang w:val="en-GB"/>
        </w:rPr>
      </w:pPr>
      <w:r>
        <w:rPr>
          <w:lang w:val="en-GB"/>
        </w:rPr>
        <w:t>What these notes do </w:t>
      </w:r>
    </w:p>
    <w:p>
      <w:pPr>
        <w:pStyle w:val="StyleStyleENIntroTextLatinPalatinoLinotype-RomanBackg"/>
        <w:rPr>
          <w:color w:val="000000"/>
        </w:rPr>
      </w:pPr>
      <w:r>
        <w:rPr>
          <w:color w:val="000000"/>
        </w:rPr>
        <w:t xml:space="preserve">These Explanatory Notes relate to the NHS Funding Act 2020 (c. 5) which received Royal Assent on 16 March 2020.  </w:t>
      </w:r>
    </w:p>
    <w:p>
      <w:pPr>
        <w:pStyle w:val="StyleENIntroTextBulletedLatinPalatinoLinotype-Roman"/>
        <w:numPr>
          <w:ilvl w:val="0"/>
          <w:numId w:val="6"/>
        </w:numPr>
        <w:ind w:hanging="357" w:left="357"/>
        <w:rPr/>
      </w:pPr>
      <w:r>
        <w:rPr/>
        <w:t>These Explanatory Notes have been prepared by the Department of Health and Social Care to assist the reader of the Act. They do not form part of the Act and have not been endorsed by Parliament.</w:t>
      </w:r>
    </w:p>
    <w:p>
      <w:pPr>
        <w:pStyle w:val="StyleENIntroTextBulletedLatinPalatinoLinotype-Roman"/>
        <w:numPr>
          <w:ilvl w:val="0"/>
          <w:numId w:val="6"/>
        </w:numPr>
        <w:ind w:hanging="357" w:left="357"/>
        <w:rPr/>
      </w:pPr>
      <w:r>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StyleENIntroTextBulletedLatinPalatinoLinotype-Roman"/>
        <w:numPr>
          <w:ilvl w:val="0"/>
          <w:numId w:val="6"/>
        </w:numPr>
        <w:ind w:hanging="357" w:left="357"/>
        <w:rPr/>
      </w:pPr>
      <w:r>
        <w:rPr/>
        <w:t>These Explanatory Notes might best be read alongside the Act. They are not, and are not intended to be, a comprehensive description of the Act.</w:t>
      </w:r>
      <w:r>
        <w:br w:type="page"/>
      </w:r>
    </w:p>
    <w:p>
      <w:pPr>
        <w:pStyle w:val="ENHeading1Unindexed"/>
        <w:rPr>
          <w:lang w:val="en-GB"/>
        </w:rPr>
      </w:pPr>
      <w:r>
        <w:rPr>
          <w:lang w:val="en-GB"/>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Calibri" w:hAnsi="Calibri" w:cs="Calibri"/>
              <w:b w:val="false"/>
              <w:bCs w:val="false"/>
              <w:sz w:val="22"/>
              <w:szCs w:val="22"/>
              <w:lang w:val="en-GB" w:eastAsia="en-GB" w:bidi="ar-SA"/>
            </w:rPr>
          </w:pPr>
          <w:r>
            <w:fldChar w:fldCharType="begin"/>
          </w:r>
          <w:r>
            <w:rPr>
              <w:rStyle w:val="IndexLink"/>
              <w:lang w:val="en-GB" w:eastAsia="en-GB"/>
            </w:rPr>
            <w:instrText xml:space="preserve"> TOC \o "1-3" \h \z \t "Heading 4,4,Heading 5,5,H: Subheading 4,4,Section Heading,4,H: Subheading 5,5" </w:instrText>
          </w:r>
          <w:r>
            <w:rPr>
              <w:rStyle w:val="IndexLink"/>
              <w:lang w:val="en-GB" w:eastAsia="en-GB"/>
            </w:rPr>
            <w:fldChar w:fldCharType="separate"/>
          </w:r>
          <w:hyperlink w:anchor="__RefHeading___Toc40799733">
            <w:r>
              <w:rPr>
                <w:rStyle w:val="IndexLink"/>
                <w:lang w:val="en-GB" w:eastAsia="en-GB"/>
              </w:rPr>
              <w:t>Overview of the Act</w:t>
              <w:tab/>
              <w:t>3</w:t>
            </w:r>
          </w:hyperlink>
        </w:p>
        <w:p>
          <w:pPr>
            <w:pStyle w:val="TOC1"/>
            <w:rPr>
              <w:rFonts w:ascii="Calibri" w:hAnsi="Calibri" w:cs="Calibri"/>
              <w:b w:val="false"/>
              <w:bCs w:val="false"/>
              <w:sz w:val="22"/>
              <w:szCs w:val="22"/>
              <w:lang w:val="en-GB" w:eastAsia="en-GB" w:bidi="ar-SA"/>
            </w:rPr>
          </w:pPr>
          <w:hyperlink w:anchor="__RefHeading___Toc40799734">
            <w:r>
              <w:rPr>
                <w:rStyle w:val="IndexLink"/>
                <w:lang w:val="en-GB" w:eastAsia="en-GB"/>
              </w:rPr>
              <w:t>Policy background</w:t>
              <w:tab/>
              <w:t>3</w:t>
            </w:r>
          </w:hyperlink>
        </w:p>
        <w:p>
          <w:pPr>
            <w:pStyle w:val="TOC4"/>
            <w:tabs>
              <w:tab w:val="clear" w:pos="720"/>
              <w:tab w:val="right" w:pos="9061" w:leader="none"/>
            </w:tabs>
            <w:rPr>
              <w:sz w:val="22"/>
              <w:szCs w:val="22"/>
              <w:lang w:val="en-GB" w:eastAsia="en-GB" w:bidi="ar-SA"/>
            </w:rPr>
          </w:pPr>
          <w:hyperlink w:anchor="__RefHeading___Toc40799735">
            <w:r>
              <w:rPr>
                <w:rStyle w:val="IndexLink"/>
                <w:lang w:val="en-GB" w:eastAsia="en-GB"/>
              </w:rPr>
              <w:t>The role of the Department of Health and Social Care in NHS funding</w:t>
              <w:tab/>
              <w:t>3</w:t>
            </w:r>
          </w:hyperlink>
        </w:p>
        <w:p>
          <w:pPr>
            <w:pStyle w:val="TOC4"/>
            <w:tabs>
              <w:tab w:val="clear" w:pos="720"/>
              <w:tab w:val="right" w:pos="9061" w:leader="none"/>
            </w:tabs>
            <w:rPr>
              <w:sz w:val="22"/>
              <w:szCs w:val="22"/>
              <w:lang w:val="en-GB" w:eastAsia="en-GB" w:bidi="ar-SA"/>
            </w:rPr>
          </w:pPr>
          <w:hyperlink w:anchor="__RefHeading___Toc40799736">
            <w:r>
              <w:rPr>
                <w:rStyle w:val="IndexLink"/>
                <w:rFonts w:eastAsia="Palatino Linotype"/>
                <w:lang w:val="en-GB" w:eastAsia="en-GB"/>
              </w:rPr>
              <w:t>The role of Her Majesty’s Treasury in NHS funding</w:t>
            </w:r>
            <w:r>
              <w:rPr>
                <w:rStyle w:val="IndexLink"/>
                <w:lang w:val="en-GB" w:eastAsia="en-GB"/>
              </w:rPr>
              <w:tab/>
              <w:t>3</w:t>
            </w:r>
          </w:hyperlink>
        </w:p>
        <w:p>
          <w:pPr>
            <w:pStyle w:val="TOC4"/>
            <w:tabs>
              <w:tab w:val="clear" w:pos="720"/>
              <w:tab w:val="right" w:pos="9061" w:leader="none"/>
            </w:tabs>
            <w:rPr>
              <w:sz w:val="22"/>
              <w:szCs w:val="22"/>
              <w:lang w:val="en-GB" w:eastAsia="en-GB" w:bidi="ar-SA"/>
            </w:rPr>
          </w:pPr>
          <w:hyperlink w:anchor="__RefHeading___Toc40799737">
            <w:r>
              <w:rPr>
                <w:rStyle w:val="IndexLink"/>
                <w:rFonts w:eastAsia="Palatino Linotype"/>
                <w:lang w:val="en-GB" w:eastAsia="en-GB"/>
              </w:rPr>
              <w:t>The Long Term Plan funding settlement</w:t>
            </w:r>
            <w:r>
              <w:rPr>
                <w:rStyle w:val="IndexLink"/>
                <w:lang w:val="en-GB" w:eastAsia="en-GB"/>
              </w:rPr>
              <w:tab/>
              <w:t>4</w:t>
            </w:r>
          </w:hyperlink>
        </w:p>
        <w:p>
          <w:pPr>
            <w:pStyle w:val="TOC1"/>
            <w:rPr>
              <w:rFonts w:ascii="Calibri" w:hAnsi="Calibri" w:cs="Calibri"/>
              <w:b w:val="false"/>
              <w:bCs w:val="false"/>
              <w:sz w:val="22"/>
              <w:szCs w:val="22"/>
              <w:lang w:val="en-GB" w:eastAsia="en-GB" w:bidi="ar-SA"/>
            </w:rPr>
          </w:pPr>
          <w:hyperlink w:anchor="__RefHeading___Toc40799738">
            <w:r>
              <w:rPr>
                <w:rStyle w:val="IndexLink"/>
                <w:lang w:val="en-GB" w:eastAsia="en-GB"/>
              </w:rPr>
              <w:t>Legal background</w:t>
              <w:tab/>
              <w:t>4</w:t>
            </w:r>
          </w:hyperlink>
        </w:p>
        <w:p>
          <w:pPr>
            <w:pStyle w:val="TOC1"/>
            <w:rPr>
              <w:rFonts w:ascii="Calibri" w:hAnsi="Calibri" w:cs="Calibri"/>
              <w:b w:val="false"/>
              <w:bCs w:val="false"/>
              <w:sz w:val="22"/>
              <w:szCs w:val="22"/>
              <w:lang w:val="en-GB" w:eastAsia="en-GB" w:bidi="ar-SA"/>
            </w:rPr>
          </w:pPr>
          <w:hyperlink w:anchor="__RefHeading___Toc40799739">
            <w:r>
              <w:rPr>
                <w:rStyle w:val="IndexLink"/>
                <w:lang w:val="en-GB" w:eastAsia="en-GB"/>
              </w:rPr>
              <w:t>Territorial extent and application</w:t>
              <w:tab/>
              <w:t>5</w:t>
            </w:r>
          </w:hyperlink>
        </w:p>
        <w:p>
          <w:pPr>
            <w:pStyle w:val="TOC1"/>
            <w:rPr>
              <w:rFonts w:ascii="Calibri" w:hAnsi="Calibri" w:cs="Calibri"/>
              <w:b w:val="false"/>
              <w:bCs w:val="false"/>
              <w:sz w:val="22"/>
              <w:szCs w:val="22"/>
              <w:lang w:val="en-GB" w:eastAsia="en-GB" w:bidi="ar-SA"/>
            </w:rPr>
          </w:pPr>
          <w:hyperlink w:anchor="__RefHeading___Toc40799740">
            <w:r>
              <w:rPr>
                <w:rStyle w:val="IndexLink"/>
                <w:lang w:val="en-GB" w:eastAsia="en-GB"/>
              </w:rPr>
              <w:t>Commentary on provisions of Act</w:t>
              <w:tab/>
              <w:t>6</w:t>
            </w:r>
          </w:hyperlink>
        </w:p>
        <w:p>
          <w:pPr>
            <w:pStyle w:val="TOC4"/>
            <w:tabs>
              <w:tab w:val="clear" w:pos="720"/>
              <w:tab w:val="right" w:pos="9061" w:leader="none"/>
            </w:tabs>
            <w:rPr>
              <w:sz w:val="22"/>
              <w:szCs w:val="22"/>
              <w:lang w:val="en-GB" w:eastAsia="en-GB" w:bidi="ar-SA"/>
            </w:rPr>
          </w:pPr>
          <w:hyperlink w:anchor="__RefHeading___Toc40799741">
            <w:r>
              <w:rPr>
                <w:rStyle w:val="IndexLink"/>
                <w:lang w:val="en-GB" w:eastAsia="en-GB"/>
              </w:rPr>
              <w:t>Section 1: Funding Settlement for the Health Service in England</w:t>
              <w:tab/>
              <w:t>6</w:t>
            </w:r>
          </w:hyperlink>
        </w:p>
        <w:p>
          <w:pPr>
            <w:pStyle w:val="TOC4"/>
            <w:tabs>
              <w:tab w:val="clear" w:pos="720"/>
              <w:tab w:val="right" w:pos="9061" w:leader="none"/>
            </w:tabs>
            <w:rPr>
              <w:sz w:val="22"/>
              <w:szCs w:val="22"/>
              <w:lang w:val="en-GB" w:eastAsia="en-GB" w:bidi="ar-SA"/>
            </w:rPr>
          </w:pPr>
          <w:hyperlink w:anchor="__RefHeading___Toc40799742">
            <w:r>
              <w:rPr>
                <w:rStyle w:val="IndexLink"/>
                <w:lang w:val="en-GB" w:eastAsia="en-GB"/>
              </w:rPr>
              <w:t>Section 2: Extent, commencement, expiry and short title</w:t>
              <w:tab/>
              <w:t>7</w:t>
            </w:r>
          </w:hyperlink>
        </w:p>
        <w:p>
          <w:pPr>
            <w:pStyle w:val="TOC1"/>
            <w:rPr>
              <w:rFonts w:ascii="Calibri" w:hAnsi="Calibri" w:cs="Calibri"/>
              <w:b w:val="false"/>
              <w:bCs w:val="false"/>
              <w:sz w:val="22"/>
              <w:szCs w:val="22"/>
              <w:lang w:val="en-GB" w:eastAsia="en-GB" w:bidi="ar-SA"/>
            </w:rPr>
          </w:pPr>
          <w:hyperlink w:anchor="__RefHeading___Toc40799743">
            <w:r>
              <w:rPr>
                <w:rStyle w:val="IndexLink"/>
                <w:lang w:val="en-GB" w:eastAsia="en-GB"/>
              </w:rPr>
              <w:t>Commencement</w:t>
              <w:tab/>
              <w:t>8</w:t>
            </w:r>
          </w:hyperlink>
        </w:p>
        <w:p>
          <w:pPr>
            <w:pStyle w:val="TOC1"/>
            <w:rPr>
              <w:rFonts w:ascii="Calibri" w:hAnsi="Calibri" w:cs="Calibri"/>
              <w:b w:val="false"/>
              <w:bCs w:val="false"/>
              <w:sz w:val="22"/>
              <w:szCs w:val="22"/>
              <w:lang w:val="en-GB" w:eastAsia="en-GB" w:bidi="ar-SA"/>
            </w:rPr>
          </w:pPr>
          <w:hyperlink w:anchor="__RefHeading___Toc40799744">
            <w:r>
              <w:rPr>
                <w:rStyle w:val="IndexLink"/>
                <w:lang w:val="en-GB" w:eastAsia="en-GB"/>
              </w:rPr>
              <w:t>Related documents</w:t>
              <w:tab/>
              <w:t>8</w:t>
            </w:r>
          </w:hyperlink>
        </w:p>
        <w:p>
          <w:pPr>
            <w:pStyle w:val="TOC1"/>
            <w:rPr>
              <w:rFonts w:ascii="Calibri" w:hAnsi="Calibri" w:cs="Calibri"/>
              <w:b w:val="false"/>
              <w:bCs w:val="false"/>
              <w:sz w:val="22"/>
              <w:szCs w:val="22"/>
              <w:lang w:val="en-GB" w:eastAsia="en-GB" w:bidi="ar-SA"/>
            </w:rPr>
          </w:pPr>
          <w:hyperlink w:anchor="__RefHeading___Toc40799745">
            <w:r>
              <w:rPr>
                <w:rStyle w:val="IndexLink"/>
                <w:lang w:val="en-GB" w:eastAsia="en-GB"/>
              </w:rPr>
              <w:t>Annex A - Territorial extent and application in the United Kingdom</w:t>
              <w:tab/>
              <w:t>9</w:t>
            </w:r>
          </w:hyperlink>
        </w:p>
        <w:p>
          <w:pPr>
            <w:pStyle w:val="TOC1"/>
            <w:rPr>
              <w:rFonts w:ascii="Calibri" w:hAnsi="Calibri" w:cs="Calibri"/>
              <w:b w:val="false"/>
              <w:bCs w:val="false"/>
              <w:sz w:val="22"/>
              <w:szCs w:val="22"/>
              <w:lang w:val="en-GB" w:eastAsia="en-GB" w:bidi="ar-SA"/>
            </w:rPr>
          </w:pPr>
          <w:hyperlink w:anchor="__RefHeading___Toc40799746">
            <w:r>
              <w:rPr>
                <w:rStyle w:val="IndexLink"/>
                <w:lang w:val="en-GB" w:eastAsia="en-GB"/>
              </w:rPr>
              <w:t>Annex B - Hansard References</w:t>
              <w:tab/>
              <w:t>10</w:t>
            </w:r>
          </w:hyperlink>
          <w:r>
            <w:rPr>
              <w:rStyle w:val="IndexLink"/>
              <w:lang w:val="en-GB" w:eastAsia="en-GB"/>
            </w:rPr>
            <w:fldChar w:fldCharType="end"/>
          </w:r>
        </w:p>
      </w:sdtContent>
    </w:sdt>
    <w:p>
      <w:pPr>
        <w:pStyle w:val="Heading1"/>
        <w:keepNext w:val="true"/>
        <w:numPr>
          <w:ilvl w:val="0"/>
          <w:numId w:val="0"/>
        </w:numPr>
        <w:rPr>
          <w:rFonts w:ascii="Calibri" w:hAnsi="Calibri" w:cs="Calibri"/>
          <w:b w:val="false"/>
          <w:bCs w:val="false"/>
          <w:sz w:val="22"/>
          <w:szCs w:val="22"/>
          <w:lang w:val="en-GB" w:eastAsia="en-GB" w:bidi="ar-SA"/>
        </w:rPr>
      </w:pPr>
      <w:r>
        <w:rPr>
          <w:rFonts w:cs="Calibri" w:ascii="Calibri" w:hAnsi="Calibri"/>
          <w:b w:val="false"/>
          <w:bCs w:val="false"/>
          <w:sz w:val="22"/>
          <w:szCs w:val="22"/>
          <w:lang w:val="en-GB" w:eastAsia="en-GB" w:bidi="ar-SA"/>
        </w:rPr>
      </w:r>
      <w:r>
        <w:br w:type="page"/>
      </w:r>
    </w:p>
    <w:p>
      <w:pPr>
        <w:pStyle w:val="Heading1"/>
        <w:keepNext w:val="true"/>
        <w:ind w:hanging="0" w:left="0"/>
        <w:rPr/>
      </w:pPr>
      <w:bookmarkStart w:id="0" w:name="__RefHeading___Toc40799733"/>
      <w:bookmarkEnd w:id="0"/>
      <w:r>
        <w:rPr/>
        <w:t>Overview of the Act</w:t>
      </w:r>
    </w:p>
    <w:p>
      <w:pPr>
        <w:pStyle w:val="ParaNumbered"/>
        <w:numPr>
          <w:ilvl w:val="0"/>
          <w:numId w:val="3"/>
        </w:numPr>
        <w:rPr>
          <w:rFonts w:eastAsia="Palatino Linotype"/>
          <w:lang w:val="en-GB" w:eastAsia="en-GB"/>
        </w:rPr>
      </w:pPr>
      <w:r>
        <w:rPr>
          <w:rFonts w:eastAsia="Palatino Linotype"/>
          <w:lang w:eastAsia="en-GB"/>
        </w:rPr>
        <w:t>The Act sets out in legislation the current long-term funding settlement for the NHS, as set out in the NHS Long Term Plan (LTP), published January 2019.</w:t>
      </w:r>
    </w:p>
    <w:p>
      <w:pPr>
        <w:pStyle w:val="ParaNumbered"/>
        <w:numPr>
          <w:ilvl w:val="0"/>
          <w:numId w:val="3"/>
        </w:numPr>
        <w:rPr>
          <w:lang w:val="en-GB"/>
        </w:rPr>
      </w:pPr>
      <w:r>
        <w:rPr>
          <w:lang w:val="en-GB"/>
        </w:rPr>
        <w:t xml:space="preserve">The Act makes two main </w:t>
      </w:r>
      <w:r>
        <w:rPr/>
        <w:t>provisions</w:t>
      </w:r>
      <w:r>
        <w:rPr>
          <w:lang w:val="en-GB"/>
        </w:rPr>
        <w:t xml:space="preserve"> to:</w:t>
      </w:r>
    </w:p>
    <w:p>
      <w:pPr>
        <w:pStyle w:val="ParaBulleted"/>
        <w:numPr>
          <w:ilvl w:val="0"/>
          <w:numId w:val="9"/>
        </w:numPr>
        <w:ind w:hanging="0" w:left="0"/>
        <w:rPr>
          <w:lang w:val="en-GB"/>
        </w:rPr>
      </w:pPr>
      <w:r>
        <w:rPr>
          <w:rFonts w:eastAsia="Calibri" w:cs="Calibri"/>
          <w:lang w:eastAsia="en-GB"/>
        </w:rPr>
        <w:t>Place a duty on the Secretary of State to ensure that the sums paid to NHS England for revenue spending do not fall below the amounts specified in the LTP Funding Settlement for the remaining financial years of that settlement, up to and including the financial year 2023/24.</w:t>
      </w:r>
    </w:p>
    <w:p>
      <w:pPr>
        <w:pStyle w:val="ParaBulleted"/>
        <w:numPr>
          <w:ilvl w:val="0"/>
          <w:numId w:val="9"/>
        </w:numPr>
        <w:ind w:hanging="0" w:left="0"/>
        <w:rPr>
          <w:lang w:val="en-GB"/>
        </w:rPr>
      </w:pPr>
      <w:r>
        <w:rPr>
          <w:lang w:val="en-GB"/>
        </w:rPr>
        <w:t>Place a legal duty on the Treasury to ensure that the annual Supply Estimates for the Department of Health and Social Care (DHSC) are consistent with the amounts of NHS England funding for each financial year.</w:t>
      </w:r>
    </w:p>
    <w:p>
      <w:pPr>
        <w:pStyle w:val="ParaNumbered"/>
        <w:numPr>
          <w:ilvl w:val="0"/>
          <w:numId w:val="3"/>
        </w:numPr>
        <w:rPr/>
      </w:pPr>
      <w:r>
        <w:rPr/>
        <w:t>These provisions cease to have effect at the end of the financial year 2023/24.</w:t>
      </w:r>
    </w:p>
    <w:p>
      <w:pPr>
        <w:pStyle w:val="Heading1"/>
        <w:keepNext w:val="true"/>
        <w:ind w:hanging="0" w:left="0"/>
        <w:rPr/>
      </w:pPr>
      <w:bookmarkStart w:id="1" w:name="__RefHeading___Toc40799734"/>
      <w:bookmarkEnd w:id="1"/>
      <w:r>
        <w:rPr/>
        <w:t>Policy background</w:t>
      </w:r>
    </w:p>
    <w:p>
      <w:pPr>
        <w:pStyle w:val="HSubheading4"/>
        <w:rPr/>
      </w:pPr>
      <w:bookmarkStart w:id="2" w:name="__RefHeading___Toc40799735"/>
      <w:bookmarkEnd w:id="2"/>
      <w:r>
        <w:rPr/>
        <w:t>The role of the Department of Health and Social Care in NHS funding</w:t>
      </w:r>
    </w:p>
    <w:p>
      <w:pPr>
        <w:pStyle w:val="ParaNumbered"/>
        <w:numPr>
          <w:ilvl w:val="0"/>
          <w:numId w:val="3"/>
        </w:numPr>
        <w:rPr>
          <w:rFonts w:eastAsia="Palatino Linotype" w:cs="Palatino Linotype"/>
          <w:lang w:eastAsia="en-GB" w:bidi="ar-SA"/>
        </w:rPr>
      </w:pPr>
      <w:r>
        <w:rPr/>
        <w:t xml:space="preserve">NHS England (NHSE) receives its funding from the Department of Health and Social Care (DHSC). </w:t>
      </w:r>
      <w:r>
        <w:rPr>
          <w:rFonts w:eastAsia="Palatino Linotype" w:cs="Palatino Linotype"/>
          <w:lang w:eastAsia="en-GB"/>
        </w:rPr>
        <w:t xml:space="preserve">Under section 13A of the </w:t>
      </w:r>
      <w:r>
        <w:rPr/>
        <w:t>National Health Service Act 2006 (the “2006 Act”)</w:t>
      </w:r>
      <w:r>
        <w:rPr>
          <w:rFonts w:eastAsia="Palatino Linotype" w:cs="Palatino Linotype"/>
          <w:lang w:eastAsia="en-GB"/>
        </w:rPr>
        <w:t>, the Secretary of State must publish and lay before Parliament a “Mandate” before the start of each financial year.</w:t>
      </w:r>
      <w:r>
        <w:rPr/>
        <w:t xml:space="preserve"> </w:t>
      </w:r>
    </w:p>
    <w:p>
      <w:pPr>
        <w:pStyle w:val="ParaNumbered"/>
        <w:numPr>
          <w:ilvl w:val="0"/>
          <w:numId w:val="3"/>
        </w:numPr>
        <w:rPr>
          <w:rFonts w:eastAsia="Palatino Linotype" w:cs="Palatino Linotype"/>
          <w:lang w:val="en-GB" w:eastAsia="en-GB"/>
        </w:rPr>
      </w:pPr>
      <w:r>
        <w:rPr>
          <w:rFonts w:eastAsia="Palatino Linotype" w:cs="Palatino Linotype"/>
          <w:lang w:eastAsia="en-GB"/>
        </w:rPr>
        <w:t xml:space="preserve">Under section 223D of the 2006 Act, the Secretary of State must set limits on the total capital and revenue resource use of NHSE (which includes capital and revenue resource for use of Clinical Commissioning Groups (CCGs)) for each financial year. These limits must be specified in the mandate. NHSE is under a duty to ensure that its and CCGs’ revenue and capital resource use does not exceed these limits (section 223D(2) and (3) of the 2006 Act). The Secretary of State may also specify such limits for subsequent financial years (section 13A(4) of the 2006 Act). </w:t>
      </w:r>
    </w:p>
    <w:p>
      <w:pPr>
        <w:pStyle w:val="HSubheading4"/>
        <w:rPr>
          <w:rFonts w:eastAsia="Palatino Linotype"/>
          <w:lang w:eastAsia="en-GB"/>
        </w:rPr>
      </w:pPr>
      <w:bookmarkStart w:id="3" w:name="__RefHeading___Toc40799736"/>
      <w:bookmarkEnd w:id="3"/>
      <w:r>
        <w:rPr>
          <w:rFonts w:eastAsia="Palatino Linotype"/>
          <w:lang w:eastAsia="en-GB"/>
        </w:rPr>
        <w:t>The role of Her Majesty’s Treasury in NHS funding</w:t>
      </w:r>
    </w:p>
    <w:p>
      <w:pPr>
        <w:pStyle w:val="ParaNumbered"/>
        <w:numPr>
          <w:ilvl w:val="0"/>
          <w:numId w:val="3"/>
        </w:numPr>
        <w:rPr>
          <w:rFonts w:eastAsia="Palatino Linotype"/>
          <w:lang w:val="en-GB" w:eastAsia="en-GB"/>
        </w:rPr>
      </w:pPr>
      <w:r>
        <w:rPr>
          <w:rFonts w:eastAsia="Palatino Linotype"/>
          <w:lang w:val="en-GB" w:eastAsia="en-GB"/>
        </w:rPr>
        <w:t xml:space="preserve">The Crown is charged with the management of all the revenue of State, and with all the payments for public service. Departments (as representatives of the Crown) are required to present to Parliament their requirements for the financing of public services, which they do by presenting estimates of their expenditure, known as “Supply Estimates”. Parliament will then vote on whether to authorise that expenditure and therefore provide the ways and means to meet it. </w:t>
      </w:r>
    </w:p>
    <w:p>
      <w:pPr>
        <w:pStyle w:val="ParaNumbered"/>
        <w:numPr>
          <w:ilvl w:val="0"/>
          <w:numId w:val="3"/>
        </w:numPr>
        <w:rPr>
          <w:rFonts w:eastAsia="Palatino Linotype"/>
          <w:lang w:val="en-GB" w:eastAsia="en-GB"/>
        </w:rPr>
      </w:pPr>
      <w:r>
        <w:rPr>
          <w:rFonts w:eastAsia="Palatino Linotype"/>
          <w:lang w:val="en-GB" w:eastAsia="en-GB"/>
        </w:rPr>
        <w:t>Under a long-standing convention, departmental Supply Estimates must be approved by the Treasury before they are presented to Parliament and must be fully consistent with Treasury budgetary controls.</w:t>
      </w:r>
    </w:p>
    <w:p>
      <w:pPr>
        <w:pStyle w:val="ParaNumbered"/>
        <w:numPr>
          <w:ilvl w:val="0"/>
          <w:numId w:val="3"/>
        </w:numPr>
        <w:rPr>
          <w:rFonts w:eastAsia="Palatino Linotype"/>
          <w:lang w:val="en-GB" w:eastAsia="en-GB"/>
        </w:rPr>
      </w:pPr>
      <w:r>
        <w:rPr>
          <w:rFonts w:eastAsia="Palatino Linotype"/>
          <w:lang w:val="en-GB" w:eastAsia="en-GB"/>
        </w:rPr>
        <w:t>Most departments’ Estimates (including DHSC’s) are then presented to Parliament by the Treasury as a single publication(</w:t>
      </w:r>
      <w:r>
        <w:rPr>
          <w:rStyle w:val="FootnoteCharacters"/>
          <w:rStyle w:val="FootnoteReference"/>
          <w:rFonts w:eastAsia="Palatino Linotype"/>
          <w:lang w:val="en-GB" w:eastAsia="en-GB"/>
        </w:rPr>
        <w:footnoteReference w:id="2"/>
      </w:r>
      <w:r>
        <w:rPr>
          <w:rFonts w:eastAsia="Palatino Linotype"/>
          <w:lang w:val="en-GB" w:eastAsia="en-GB"/>
        </w:rPr>
        <w:t>). The Commons then considers the Estimates put forward by the government and confirms authorisation of the amounts in the Estimates through passing Supply and Appropriation Acts annually which grant the supply of funding from the Consolidated Fund to Departments.</w:t>
      </w:r>
    </w:p>
    <w:p>
      <w:pPr>
        <w:pStyle w:val="HSubheading4"/>
        <w:rPr>
          <w:rFonts w:eastAsia="Palatino Linotype"/>
          <w:lang w:eastAsia="en-GB"/>
        </w:rPr>
      </w:pPr>
      <w:bookmarkStart w:id="4" w:name="__RefHeading___Toc40799737"/>
      <w:bookmarkEnd w:id="4"/>
      <w:r>
        <w:rPr>
          <w:rFonts w:eastAsia="Palatino Linotype"/>
          <w:lang w:eastAsia="en-GB"/>
        </w:rPr>
        <w:t>The Long Term Plan funding settlement</w:t>
      </w:r>
    </w:p>
    <w:p>
      <w:pPr>
        <w:pStyle w:val="ParaNumbered"/>
        <w:numPr>
          <w:ilvl w:val="0"/>
          <w:numId w:val="3"/>
        </w:numPr>
        <w:rPr>
          <w:rFonts w:eastAsia="Palatino Linotype"/>
          <w:lang w:val="en-GB" w:eastAsia="en-GB"/>
        </w:rPr>
      </w:pPr>
      <w:r>
        <w:rPr>
          <w:rFonts w:eastAsia="Palatino Linotype"/>
          <w:lang w:val="en-GB" w:eastAsia="en-GB"/>
        </w:rPr>
        <w:t>In June 2018, the Government announced its intention to work with the NHS in England to develop a ten-year plan for the health service, underpinned by an increase in funding for the NHS in England amounting to a £33.9 billion per year increase in cash terms by the financial year 2023/24. This funding settlement was set out at Autumn Budget 2018.</w:t>
      </w:r>
    </w:p>
    <w:p>
      <w:pPr>
        <w:pStyle w:val="ParaNumbered"/>
        <w:numPr>
          <w:ilvl w:val="0"/>
          <w:numId w:val="3"/>
        </w:numPr>
        <w:rPr>
          <w:rFonts w:eastAsia="Palatino Linotype"/>
          <w:lang w:val="en-GB" w:eastAsia="en-GB"/>
        </w:rPr>
      </w:pPr>
      <w:r>
        <w:rPr>
          <w:rFonts w:eastAsia="Palatino Linotype"/>
          <w:lang w:val="en-GB" w:eastAsia="en-GB"/>
        </w:rPr>
        <w:t xml:space="preserve">This long-term funding commitment aimed to provide the NHS with financial certainty allowing it to plan for the next decade. </w:t>
      </w:r>
    </w:p>
    <w:p>
      <w:pPr>
        <w:pStyle w:val="ParaNumbered"/>
        <w:numPr>
          <w:ilvl w:val="0"/>
          <w:numId w:val="3"/>
        </w:numPr>
        <w:rPr>
          <w:rFonts w:eastAsia="Palatino Linotype"/>
          <w:lang w:val="en-GB" w:eastAsia="en-GB"/>
        </w:rPr>
      </w:pPr>
      <w:r>
        <w:rPr>
          <w:rFonts w:eastAsia="Palatino Linotype"/>
          <w:lang w:val="en-GB" w:eastAsia="en-GB"/>
        </w:rPr>
        <w:t xml:space="preserve">The NHS Long Term Plan was published in January 2019. It sets out how the NHS will develop over the next 10 years, including a move to more integrated care, a greater focus on prevention and changes to ensure financial sustainability. </w:t>
      </w:r>
    </w:p>
    <w:p>
      <w:pPr>
        <w:pStyle w:val="ParaNumbered"/>
        <w:numPr>
          <w:ilvl w:val="0"/>
          <w:numId w:val="3"/>
        </w:numPr>
        <w:rPr>
          <w:rFonts w:eastAsia="Palatino Linotype"/>
          <w:lang w:val="en-GB" w:eastAsia="en-GB"/>
        </w:rPr>
      </w:pPr>
      <w:r>
        <w:rPr>
          <w:rFonts w:eastAsia="Palatino Linotype"/>
          <w:lang w:val="en-GB" w:eastAsia="en-GB"/>
        </w:rPr>
        <w:t>The table below sets out NHS England’s revenue funding for each year up to (and including) 2023-24. These figures include the Government’s funding settlement for the Long Term Plan.</w:t>
      </w:r>
    </w:p>
    <w:tbl>
      <w:tblPr>
        <w:tblW w:w="9180" w:type="dxa"/>
        <w:jc w:val="left"/>
        <w:tblInd w:w="-176" w:type="dxa"/>
        <w:tblLayout w:type="fixed"/>
        <w:tblCellMar>
          <w:top w:w="0" w:type="dxa"/>
          <w:left w:w="108" w:type="dxa"/>
          <w:bottom w:w="0" w:type="dxa"/>
          <w:right w:w="108" w:type="dxa"/>
        </w:tblCellMar>
      </w:tblPr>
      <w:tblGrid>
        <w:gridCol w:w="1770"/>
        <w:gridCol w:w="1234"/>
        <w:gridCol w:w="1234"/>
        <w:gridCol w:w="1235"/>
        <w:gridCol w:w="1235"/>
        <w:gridCol w:w="1236"/>
        <w:gridCol w:w="1236"/>
      </w:tblGrid>
      <w:tr>
        <w:trPr/>
        <w:tc>
          <w:tcPr>
            <w:tcW w:w="1770" w:type="dxa"/>
            <w:tcBorders>
              <w:top w:val="single" w:sz="4" w:space="0" w:color="000000"/>
              <w:left w:val="single" w:sz="4" w:space="0" w:color="000000"/>
              <w:bottom w:val="single" w:sz="4" w:space="0" w:color="000000"/>
              <w:right w:val="single" w:sz="4" w:space="0" w:color="000000"/>
            </w:tcBorders>
          </w:tcPr>
          <w:p>
            <w:pPr>
              <w:pStyle w:val="Normal"/>
              <w:spacing w:before="0" w:after="200"/>
              <w:rPr>
                <w:rFonts w:ascii="Palatino Linotype" w:hAnsi="Palatino Linotype" w:eastAsia="Calibri" w:cs="Palatino Linotype"/>
                <w:sz w:val="20"/>
                <w:szCs w:val="20"/>
              </w:rPr>
            </w:pPr>
            <w:r>
              <w:rPr>
                <w:rFonts w:eastAsia="Calibri" w:cs="Palatino Linotype" w:ascii="Palatino Linotype" w:hAnsi="Palatino Linotype"/>
                <w:sz w:val="20"/>
                <w:szCs w:val="20"/>
              </w:rPr>
              <w:t>NHS England revenue budget</w:t>
            </w:r>
          </w:p>
        </w:tc>
        <w:tc>
          <w:tcPr>
            <w:tcW w:w="1234" w:type="dxa"/>
            <w:tcBorders>
              <w:top w:val="single" w:sz="4" w:space="0" w:color="000000"/>
              <w:left w:val="single" w:sz="4" w:space="0" w:color="000000"/>
              <w:bottom w:val="single" w:sz="4" w:space="0" w:color="000000"/>
              <w:right w:val="single" w:sz="4" w:space="0" w:color="000000"/>
            </w:tcBorders>
          </w:tcPr>
          <w:p>
            <w:pPr>
              <w:pStyle w:val="Normal"/>
              <w:spacing w:before="0" w:after="200"/>
              <w:jc w:val="both"/>
              <w:rPr>
                <w:rFonts w:ascii="Palatino Linotype" w:hAnsi="Palatino Linotype" w:eastAsia="Calibri" w:cs="Palatino Linotype"/>
                <w:sz w:val="20"/>
                <w:szCs w:val="20"/>
              </w:rPr>
            </w:pPr>
            <w:r>
              <w:rPr>
                <w:rFonts w:eastAsia="Calibri" w:cs="Palatino Linotype" w:ascii="Palatino Linotype" w:hAnsi="Palatino Linotype"/>
                <w:sz w:val="20"/>
                <w:szCs w:val="20"/>
              </w:rPr>
              <w:t>2018-2019</w:t>
            </w:r>
          </w:p>
        </w:tc>
        <w:tc>
          <w:tcPr>
            <w:tcW w:w="1234" w:type="dxa"/>
            <w:tcBorders>
              <w:top w:val="single" w:sz="4" w:space="0" w:color="000000"/>
              <w:left w:val="single" w:sz="4" w:space="0" w:color="000000"/>
              <w:bottom w:val="single" w:sz="4" w:space="0" w:color="000000"/>
              <w:right w:val="single" w:sz="4" w:space="0" w:color="000000"/>
            </w:tcBorders>
          </w:tcPr>
          <w:p>
            <w:pPr>
              <w:pStyle w:val="Normal"/>
              <w:spacing w:before="0" w:after="200"/>
              <w:jc w:val="both"/>
              <w:rPr>
                <w:rFonts w:ascii="Palatino Linotype" w:hAnsi="Palatino Linotype" w:eastAsia="Calibri" w:cs="Palatino Linotype"/>
                <w:sz w:val="20"/>
                <w:szCs w:val="20"/>
              </w:rPr>
            </w:pPr>
            <w:r>
              <w:rPr>
                <w:rFonts w:eastAsia="Calibri" w:cs="Palatino Linotype" w:ascii="Palatino Linotype" w:hAnsi="Palatino Linotype"/>
                <w:sz w:val="20"/>
                <w:szCs w:val="20"/>
              </w:rPr>
              <w:t>2019-2020</w:t>
            </w:r>
          </w:p>
        </w:tc>
        <w:tc>
          <w:tcPr>
            <w:tcW w:w="1235" w:type="dxa"/>
            <w:tcBorders>
              <w:top w:val="single" w:sz="4" w:space="0" w:color="000000"/>
              <w:left w:val="single" w:sz="4" w:space="0" w:color="000000"/>
              <w:bottom w:val="single" w:sz="4" w:space="0" w:color="000000"/>
              <w:right w:val="single" w:sz="4" w:space="0" w:color="000000"/>
            </w:tcBorders>
          </w:tcPr>
          <w:p>
            <w:pPr>
              <w:pStyle w:val="Normal"/>
              <w:spacing w:before="0" w:after="200"/>
              <w:jc w:val="both"/>
              <w:rPr>
                <w:rFonts w:ascii="Palatino Linotype" w:hAnsi="Palatino Linotype" w:eastAsia="Calibri" w:cs="Palatino Linotype"/>
                <w:sz w:val="20"/>
                <w:szCs w:val="20"/>
              </w:rPr>
            </w:pPr>
            <w:r>
              <w:rPr>
                <w:rFonts w:eastAsia="Calibri" w:cs="Palatino Linotype" w:ascii="Palatino Linotype" w:hAnsi="Palatino Linotype"/>
                <w:sz w:val="20"/>
                <w:szCs w:val="20"/>
              </w:rPr>
              <w:t>2020-2021</w:t>
            </w:r>
          </w:p>
        </w:tc>
        <w:tc>
          <w:tcPr>
            <w:tcW w:w="1235" w:type="dxa"/>
            <w:tcBorders>
              <w:top w:val="single" w:sz="4" w:space="0" w:color="000000"/>
              <w:left w:val="single" w:sz="4" w:space="0" w:color="000000"/>
              <w:bottom w:val="single" w:sz="4" w:space="0" w:color="000000"/>
              <w:right w:val="single" w:sz="4" w:space="0" w:color="000000"/>
            </w:tcBorders>
          </w:tcPr>
          <w:p>
            <w:pPr>
              <w:pStyle w:val="Normal"/>
              <w:spacing w:before="0" w:after="200"/>
              <w:jc w:val="both"/>
              <w:rPr>
                <w:rFonts w:ascii="Palatino Linotype" w:hAnsi="Palatino Linotype" w:eastAsia="Calibri" w:cs="Palatino Linotype"/>
                <w:sz w:val="20"/>
                <w:szCs w:val="20"/>
              </w:rPr>
            </w:pPr>
            <w:r>
              <w:rPr>
                <w:rFonts w:eastAsia="Calibri" w:cs="Palatino Linotype" w:ascii="Palatino Linotype" w:hAnsi="Palatino Linotype"/>
                <w:sz w:val="20"/>
                <w:szCs w:val="20"/>
              </w:rPr>
              <w:t>2021-2022</w:t>
            </w:r>
          </w:p>
        </w:tc>
        <w:tc>
          <w:tcPr>
            <w:tcW w:w="1236" w:type="dxa"/>
            <w:tcBorders>
              <w:top w:val="single" w:sz="4" w:space="0" w:color="000000"/>
              <w:left w:val="single" w:sz="4" w:space="0" w:color="000000"/>
              <w:bottom w:val="single" w:sz="4" w:space="0" w:color="000000"/>
              <w:right w:val="single" w:sz="4" w:space="0" w:color="000000"/>
            </w:tcBorders>
          </w:tcPr>
          <w:p>
            <w:pPr>
              <w:pStyle w:val="Normal"/>
              <w:spacing w:before="0" w:after="200"/>
              <w:jc w:val="both"/>
              <w:rPr>
                <w:rFonts w:ascii="Palatino Linotype" w:hAnsi="Palatino Linotype" w:eastAsia="Calibri" w:cs="Palatino Linotype"/>
                <w:sz w:val="20"/>
                <w:szCs w:val="20"/>
              </w:rPr>
            </w:pPr>
            <w:r>
              <w:rPr>
                <w:rFonts w:eastAsia="Calibri" w:cs="Palatino Linotype" w:ascii="Palatino Linotype" w:hAnsi="Palatino Linotype"/>
                <w:sz w:val="20"/>
                <w:szCs w:val="20"/>
              </w:rPr>
              <w:t>2022-2023</w:t>
            </w:r>
          </w:p>
        </w:tc>
        <w:tc>
          <w:tcPr>
            <w:tcW w:w="1236" w:type="dxa"/>
            <w:tcBorders>
              <w:top w:val="single" w:sz="4" w:space="0" w:color="000000"/>
              <w:left w:val="single" w:sz="4" w:space="0" w:color="000000"/>
              <w:bottom w:val="single" w:sz="4" w:space="0" w:color="000000"/>
              <w:right w:val="single" w:sz="4" w:space="0" w:color="000000"/>
            </w:tcBorders>
          </w:tcPr>
          <w:p>
            <w:pPr>
              <w:pStyle w:val="Normal"/>
              <w:spacing w:before="0" w:after="200"/>
              <w:jc w:val="both"/>
              <w:rPr>
                <w:rFonts w:ascii="Palatino Linotype" w:hAnsi="Palatino Linotype" w:eastAsia="Calibri" w:cs="Palatino Linotype"/>
                <w:sz w:val="20"/>
                <w:szCs w:val="20"/>
              </w:rPr>
            </w:pPr>
            <w:r>
              <w:rPr>
                <w:rFonts w:eastAsia="Calibri" w:cs="Palatino Linotype" w:ascii="Palatino Linotype" w:hAnsi="Palatino Linotype"/>
                <w:sz w:val="20"/>
                <w:szCs w:val="20"/>
              </w:rPr>
              <w:t>2023-2024</w:t>
            </w:r>
          </w:p>
        </w:tc>
      </w:tr>
      <w:tr>
        <w:trPr/>
        <w:tc>
          <w:tcPr>
            <w:tcW w:w="1770" w:type="dxa"/>
            <w:tcBorders>
              <w:top w:val="single" w:sz="4" w:space="0" w:color="000000"/>
              <w:left w:val="single" w:sz="4" w:space="0" w:color="000000"/>
              <w:bottom w:val="single" w:sz="4" w:space="0" w:color="000000"/>
              <w:right w:val="single" w:sz="4" w:space="0" w:color="000000"/>
            </w:tcBorders>
          </w:tcPr>
          <w:p>
            <w:pPr>
              <w:pStyle w:val="Normal"/>
              <w:spacing w:before="0" w:after="200"/>
              <w:rPr>
                <w:rFonts w:ascii="Palatino Linotype" w:hAnsi="Palatino Linotype" w:eastAsia="Calibri" w:cs="Palatino Linotype"/>
                <w:sz w:val="20"/>
                <w:szCs w:val="20"/>
              </w:rPr>
            </w:pPr>
            <w:r>
              <w:rPr>
                <w:rFonts w:eastAsia="Calibri" w:cs="Palatino Linotype" w:ascii="Palatino Linotype" w:hAnsi="Palatino Linotype"/>
                <w:sz w:val="20"/>
                <w:szCs w:val="20"/>
              </w:rPr>
              <w:t xml:space="preserve">Total budget (£bn) in cash terms </w:t>
            </w:r>
          </w:p>
        </w:tc>
        <w:tc>
          <w:tcPr>
            <w:tcW w:w="1234" w:type="dxa"/>
            <w:tcBorders>
              <w:top w:val="single" w:sz="4" w:space="0" w:color="000000"/>
              <w:left w:val="single" w:sz="4" w:space="0" w:color="000000"/>
              <w:bottom w:val="single" w:sz="4" w:space="0" w:color="000000"/>
              <w:right w:val="single" w:sz="4" w:space="0" w:color="000000"/>
            </w:tcBorders>
          </w:tcPr>
          <w:p>
            <w:pPr>
              <w:pStyle w:val="Normal"/>
              <w:spacing w:before="0" w:after="200"/>
              <w:jc w:val="both"/>
              <w:rPr>
                <w:rFonts w:ascii="Palatino Linotype" w:hAnsi="Palatino Linotype" w:eastAsia="Calibri" w:cs="Palatino Linotype"/>
                <w:sz w:val="20"/>
                <w:szCs w:val="20"/>
              </w:rPr>
            </w:pPr>
            <w:r>
              <w:rPr>
                <w:rFonts w:eastAsia="Calibri" w:cs="Palatino Linotype" w:ascii="Palatino Linotype" w:hAnsi="Palatino Linotype"/>
                <w:sz w:val="20"/>
                <w:szCs w:val="20"/>
              </w:rPr>
              <w:t>114.6</w:t>
            </w:r>
          </w:p>
        </w:tc>
        <w:tc>
          <w:tcPr>
            <w:tcW w:w="1234" w:type="dxa"/>
            <w:tcBorders>
              <w:top w:val="single" w:sz="4" w:space="0" w:color="000000"/>
              <w:left w:val="single" w:sz="4" w:space="0" w:color="000000"/>
              <w:bottom w:val="single" w:sz="4" w:space="0" w:color="000000"/>
              <w:right w:val="single" w:sz="4" w:space="0" w:color="000000"/>
            </w:tcBorders>
          </w:tcPr>
          <w:p>
            <w:pPr>
              <w:pStyle w:val="Normal"/>
              <w:spacing w:before="0" w:after="200"/>
              <w:jc w:val="both"/>
              <w:rPr>
                <w:rFonts w:ascii="Palatino Linotype" w:hAnsi="Palatino Linotype" w:eastAsia="Calibri" w:cs="Palatino Linotype"/>
                <w:sz w:val="20"/>
                <w:szCs w:val="20"/>
              </w:rPr>
            </w:pPr>
            <w:r>
              <w:rPr>
                <w:rFonts w:eastAsia="Calibri" w:cs="Palatino Linotype" w:ascii="Palatino Linotype" w:hAnsi="Palatino Linotype"/>
                <w:sz w:val="20"/>
                <w:szCs w:val="20"/>
              </w:rPr>
              <w:t>120.8</w:t>
            </w:r>
          </w:p>
        </w:tc>
        <w:tc>
          <w:tcPr>
            <w:tcW w:w="1235" w:type="dxa"/>
            <w:tcBorders>
              <w:top w:val="single" w:sz="4" w:space="0" w:color="000000"/>
              <w:left w:val="single" w:sz="4" w:space="0" w:color="000000"/>
              <w:bottom w:val="single" w:sz="4" w:space="0" w:color="000000"/>
              <w:right w:val="single" w:sz="4" w:space="0" w:color="000000"/>
            </w:tcBorders>
          </w:tcPr>
          <w:p>
            <w:pPr>
              <w:pStyle w:val="Normal"/>
              <w:spacing w:before="0" w:after="200"/>
              <w:jc w:val="both"/>
              <w:rPr>
                <w:rFonts w:ascii="Palatino Linotype" w:hAnsi="Palatino Linotype" w:eastAsia="Calibri" w:cs="Palatino Linotype"/>
                <w:sz w:val="20"/>
                <w:szCs w:val="20"/>
              </w:rPr>
            </w:pPr>
            <w:r>
              <w:rPr>
                <w:rFonts w:eastAsia="Calibri" w:cs="Palatino Linotype" w:ascii="Palatino Linotype" w:hAnsi="Palatino Linotype"/>
                <w:sz w:val="20"/>
                <w:szCs w:val="20"/>
              </w:rPr>
              <w:t>127.0</w:t>
            </w:r>
          </w:p>
        </w:tc>
        <w:tc>
          <w:tcPr>
            <w:tcW w:w="1235" w:type="dxa"/>
            <w:tcBorders>
              <w:top w:val="single" w:sz="4" w:space="0" w:color="000000"/>
              <w:left w:val="single" w:sz="4" w:space="0" w:color="000000"/>
              <w:bottom w:val="single" w:sz="4" w:space="0" w:color="000000"/>
              <w:right w:val="single" w:sz="4" w:space="0" w:color="000000"/>
            </w:tcBorders>
          </w:tcPr>
          <w:p>
            <w:pPr>
              <w:pStyle w:val="Normal"/>
              <w:spacing w:before="0" w:after="200"/>
              <w:jc w:val="both"/>
              <w:rPr>
                <w:rFonts w:ascii="Palatino Linotype" w:hAnsi="Palatino Linotype" w:eastAsia="Calibri" w:cs="Palatino Linotype"/>
                <w:sz w:val="20"/>
                <w:szCs w:val="20"/>
              </w:rPr>
            </w:pPr>
            <w:r>
              <w:rPr>
                <w:rFonts w:eastAsia="Calibri" w:cs="Palatino Linotype" w:ascii="Palatino Linotype" w:hAnsi="Palatino Linotype"/>
                <w:sz w:val="20"/>
                <w:szCs w:val="20"/>
              </w:rPr>
              <w:t>133.3</w:t>
            </w:r>
          </w:p>
        </w:tc>
        <w:tc>
          <w:tcPr>
            <w:tcW w:w="1236" w:type="dxa"/>
            <w:tcBorders>
              <w:top w:val="single" w:sz="4" w:space="0" w:color="000000"/>
              <w:left w:val="single" w:sz="4" w:space="0" w:color="000000"/>
              <w:bottom w:val="single" w:sz="4" w:space="0" w:color="000000"/>
              <w:right w:val="single" w:sz="4" w:space="0" w:color="000000"/>
            </w:tcBorders>
          </w:tcPr>
          <w:p>
            <w:pPr>
              <w:pStyle w:val="Normal"/>
              <w:spacing w:before="0" w:after="200"/>
              <w:jc w:val="both"/>
              <w:rPr>
                <w:rFonts w:ascii="Palatino Linotype" w:hAnsi="Palatino Linotype" w:eastAsia="Calibri" w:cs="Palatino Linotype"/>
                <w:sz w:val="20"/>
                <w:szCs w:val="20"/>
              </w:rPr>
            </w:pPr>
            <w:r>
              <w:rPr>
                <w:rFonts w:eastAsia="Calibri" w:cs="Palatino Linotype" w:ascii="Palatino Linotype" w:hAnsi="Palatino Linotype"/>
                <w:sz w:val="20"/>
                <w:szCs w:val="20"/>
              </w:rPr>
              <w:t>140.0</w:t>
            </w:r>
          </w:p>
        </w:tc>
        <w:tc>
          <w:tcPr>
            <w:tcW w:w="1236" w:type="dxa"/>
            <w:tcBorders>
              <w:top w:val="single" w:sz="4" w:space="0" w:color="000000"/>
              <w:left w:val="single" w:sz="4" w:space="0" w:color="000000"/>
              <w:bottom w:val="single" w:sz="4" w:space="0" w:color="000000"/>
              <w:right w:val="single" w:sz="4" w:space="0" w:color="000000"/>
            </w:tcBorders>
          </w:tcPr>
          <w:p>
            <w:pPr>
              <w:pStyle w:val="Normal"/>
              <w:spacing w:before="0" w:after="200"/>
              <w:jc w:val="both"/>
              <w:rPr>
                <w:rFonts w:ascii="Palatino Linotype" w:hAnsi="Palatino Linotype" w:eastAsia="Calibri" w:cs="Palatino Linotype"/>
                <w:sz w:val="20"/>
                <w:szCs w:val="20"/>
              </w:rPr>
            </w:pPr>
            <w:r>
              <w:rPr>
                <w:rFonts w:eastAsia="Calibri" w:cs="Palatino Linotype" w:ascii="Palatino Linotype" w:hAnsi="Palatino Linotype"/>
                <w:sz w:val="20"/>
                <w:szCs w:val="20"/>
              </w:rPr>
              <w:t>148.5</w:t>
            </w:r>
          </w:p>
        </w:tc>
      </w:tr>
    </w:tbl>
    <w:p>
      <w:pPr>
        <w:pStyle w:val="ParaNumbered"/>
        <w:numPr>
          <w:ilvl w:val="0"/>
          <w:numId w:val="0"/>
        </w:numPr>
        <w:ind w:hanging="0" w:left="0"/>
        <w:rPr>
          <w:rFonts w:eastAsia="Palatino Linotype"/>
          <w:lang w:val="en-GB" w:eastAsia="en-GB"/>
        </w:rPr>
      </w:pPr>
      <w:r>
        <w:rPr>
          <w:rFonts w:eastAsia="Palatino Linotype"/>
          <w:lang w:val="en-GB" w:eastAsia="en-GB"/>
        </w:rPr>
      </w:r>
    </w:p>
    <w:p>
      <w:pPr>
        <w:pStyle w:val="Heading1"/>
        <w:keepNext w:val="true"/>
        <w:ind w:hanging="0" w:left="0"/>
        <w:rPr/>
      </w:pPr>
      <w:bookmarkStart w:id="5" w:name="__RefHeading___Toc40799738"/>
      <w:bookmarkEnd w:id="5"/>
      <w:r>
        <w:rPr/>
        <w:t>Legal background</w:t>
      </w:r>
    </w:p>
    <w:p>
      <w:pPr>
        <w:pStyle w:val="ParaNumbered"/>
        <w:numPr>
          <w:ilvl w:val="0"/>
          <w:numId w:val="3"/>
        </w:numPr>
        <w:rPr>
          <w:lang w:val="en-GB"/>
        </w:rPr>
      </w:pPr>
      <w:r>
        <w:rPr>
          <w:lang w:val="en-GB"/>
        </w:rPr>
        <w:t>The relevant legal background is explained in the policy background section of these Notes.</w:t>
      </w:r>
      <w:r>
        <w:br w:type="page"/>
      </w:r>
    </w:p>
    <w:p>
      <w:pPr>
        <w:pStyle w:val="Normal"/>
        <w:rPr>
          <w:rFonts w:ascii="Arial" w:hAnsi="Arial" w:cs="Arial"/>
          <w:b/>
          <w:bCs/>
          <w:color w:val="0070C0"/>
          <w:sz w:val="36"/>
          <w:szCs w:val="28"/>
          <w:lang w:val="en-GB"/>
        </w:rPr>
      </w:pPr>
      <w:r>
        <w:rPr>
          <w:rFonts w:cs="Arial" w:ascii="Arial" w:hAnsi="Arial"/>
          <w:b/>
          <w:bCs/>
          <w:color w:val="0070C0"/>
          <w:sz w:val="36"/>
          <w:szCs w:val="28"/>
          <w:lang w:val="en-GB"/>
        </w:rPr>
      </w:r>
    </w:p>
    <w:p>
      <w:pPr>
        <w:pStyle w:val="Heading1"/>
        <w:keepNext w:val="true"/>
        <w:ind w:hanging="0" w:left="0"/>
        <w:rPr/>
      </w:pPr>
      <w:bookmarkStart w:id="6" w:name="__RefHeading___Toc40799739"/>
      <w:bookmarkEnd w:id="6"/>
      <w:r>
        <w:rPr/>
        <w:t>Territorial extent and application</w:t>
      </w:r>
    </w:p>
    <w:p>
      <w:pPr>
        <w:pStyle w:val="ParaNumbered"/>
        <w:numPr>
          <w:ilvl w:val="0"/>
          <w:numId w:val="3"/>
        </w:numPr>
        <w:rPr/>
      </w:pPr>
      <w:r>
        <w:rPr/>
        <w:t>Section 2 sets out the territorial extent of the Act, which describes the jurisdictions in which the Act forms part of the law. The extent of an Act can be different from its application. Application is about where an Act produces a practical effect.</w:t>
      </w:r>
    </w:p>
    <w:p>
      <w:pPr>
        <w:pStyle w:val="ParaNumbered"/>
        <w:numPr>
          <w:ilvl w:val="0"/>
          <w:numId w:val="3"/>
        </w:numPr>
        <w:rPr/>
      </w:pPr>
      <w:r>
        <w:rPr/>
        <w:t>Healthcare is a devolved matter. The Act extends to England and Wales but will apply only to the NHS in England.</w:t>
      </w:r>
      <w:r>
        <w:br w:type="page"/>
      </w:r>
    </w:p>
    <w:p>
      <w:pPr>
        <w:pStyle w:val="Normal"/>
        <w:rPr>
          <w:rStyle w:val="StyleLatinPalatinoLinotype10ptBlack"/>
        </w:rPr>
      </w:pPr>
      <w:r>
        <w:rPr/>
      </w:r>
    </w:p>
    <w:p>
      <w:pPr>
        <w:pStyle w:val="Heading1"/>
        <w:keepNext w:val="true"/>
        <w:ind w:hanging="0" w:left="0"/>
        <w:rPr/>
      </w:pPr>
      <w:bookmarkStart w:id="7" w:name="__RefHeading___Toc40799740"/>
      <w:bookmarkEnd w:id="7"/>
      <w:r>
        <w:rPr/>
        <w:t>Commentary on provisions of Act </w:t>
      </w:r>
    </w:p>
    <w:p>
      <w:pPr>
        <w:pStyle w:val="HSubheading4"/>
        <w:rPr/>
      </w:pPr>
      <w:bookmarkStart w:id="8" w:name="__RefHeading___Toc40799741"/>
      <w:bookmarkEnd w:id="8"/>
      <w:r>
        <w:rPr/>
        <w:t>Section 1: Funding Settlement for the Health Service in England</w:t>
      </w:r>
    </w:p>
    <w:p>
      <w:pPr>
        <w:pStyle w:val="ParaNumbered"/>
        <w:numPr>
          <w:ilvl w:val="0"/>
          <w:numId w:val="3"/>
        </w:numPr>
        <w:rPr>
          <w:lang w:val="en-GB"/>
        </w:rPr>
      </w:pPr>
      <w:r>
        <w:rPr>
          <w:lang w:val="en-GB"/>
        </w:rPr>
        <w:t>Subsection (1) sets out the duty on the Secretary of State to allot to NHSE, as a minimum, the amount of funding for each financial year set out in the table below.</w:t>
      </w:r>
    </w:p>
    <w:tbl>
      <w:tblPr>
        <w:tblW w:w="5393" w:type="dxa"/>
        <w:jc w:val="left"/>
        <w:tblInd w:w="2180" w:type="dxa"/>
        <w:tblLayout w:type="fixed"/>
        <w:tblCellMar>
          <w:top w:w="0" w:type="dxa"/>
          <w:left w:w="108" w:type="dxa"/>
          <w:bottom w:w="0" w:type="dxa"/>
          <w:right w:w="108" w:type="dxa"/>
        </w:tblCellMar>
      </w:tblPr>
      <w:tblGrid>
        <w:gridCol w:w="2841"/>
        <w:gridCol w:w="2552"/>
      </w:tblGrid>
      <w:tr>
        <w:trPr>
          <w:trHeight w:val="323" w:hRule="atLeast"/>
        </w:trPr>
        <w:tc>
          <w:tcPr>
            <w:tcW w:w="28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88" w:before="0" w:after="150"/>
              <w:jc w:val="center"/>
              <w:rPr>
                <w:rFonts w:ascii="Palatino Linotype" w:hAnsi="Palatino Linotype" w:eastAsia="Palatino Linotype" w:cs="Palatino Linotype"/>
                <w:color w:val="000000"/>
                <w:sz w:val="20"/>
                <w:szCs w:val="20"/>
                <w:lang w:eastAsia="en-GB"/>
              </w:rPr>
            </w:pPr>
            <w:r>
              <w:rPr>
                <w:rFonts w:eastAsia="Palatino Linotype" w:cs="Palatino Linotype" w:ascii="Palatino Linotype" w:hAnsi="Palatino Linotype"/>
                <w:color w:val="000000"/>
                <w:sz w:val="20"/>
                <w:szCs w:val="20"/>
                <w:lang w:eastAsia="en-GB"/>
              </w:rPr>
              <w:t>Financial Year</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88" w:before="0" w:after="150"/>
              <w:jc w:val="center"/>
              <w:rPr>
                <w:rFonts w:ascii="Palatino Linotype" w:hAnsi="Palatino Linotype" w:eastAsia="Palatino Linotype" w:cs="Palatino Linotype"/>
                <w:color w:val="000000"/>
                <w:sz w:val="20"/>
                <w:szCs w:val="20"/>
                <w:lang w:eastAsia="en-GB"/>
              </w:rPr>
            </w:pPr>
            <w:r>
              <w:rPr>
                <w:rFonts w:eastAsia="Palatino Linotype" w:cs="Palatino Linotype" w:ascii="Palatino Linotype" w:hAnsi="Palatino Linotype"/>
                <w:color w:val="000000"/>
                <w:sz w:val="20"/>
                <w:szCs w:val="20"/>
                <w:lang w:eastAsia="en-GB"/>
              </w:rPr>
              <w:t>Amount</w:t>
            </w:r>
          </w:p>
        </w:tc>
      </w:tr>
      <w:tr>
        <w:trPr/>
        <w:tc>
          <w:tcPr>
            <w:tcW w:w="28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88" w:before="0" w:after="150"/>
              <w:rPr/>
            </w:pPr>
            <w:r>
              <w:rPr>
                <w:rFonts w:eastAsia="Palatino Linotype" w:cs="Palatino Linotype" w:ascii="Palatino Linotype" w:hAnsi="Palatino Linotype"/>
                <w:color w:val="000000"/>
                <w:sz w:val="20"/>
                <w:szCs w:val="20"/>
                <w:lang w:eastAsia="en-GB"/>
              </w:rPr>
              <w:t>Ending with 31</w:t>
            </w:r>
            <w:r>
              <w:rPr>
                <w:rFonts w:eastAsia="Palatino Linotype" w:cs="Palatino Linotype" w:ascii="Palatino Linotype" w:hAnsi="Palatino Linotype"/>
                <w:color w:val="000000"/>
                <w:sz w:val="20"/>
                <w:szCs w:val="20"/>
                <w:vertAlign w:val="superscript"/>
                <w:lang w:eastAsia="en-GB"/>
              </w:rPr>
              <w:t>st</w:t>
            </w:r>
            <w:r>
              <w:rPr>
                <w:rFonts w:eastAsia="Palatino Linotype" w:cs="Palatino Linotype" w:ascii="Palatino Linotype" w:hAnsi="Palatino Linotype"/>
                <w:color w:val="000000"/>
                <w:sz w:val="20"/>
                <w:szCs w:val="20"/>
                <w:lang w:eastAsia="en-GB"/>
              </w:rPr>
              <w:t xml:space="preserve"> March 2021</w:t>
            </w:r>
          </w:p>
        </w:tc>
        <w:tc>
          <w:tcPr>
            <w:tcW w:w="2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88" w:before="0" w:after="150"/>
              <w:rPr>
                <w:rFonts w:ascii="Palatino Linotype" w:hAnsi="Palatino Linotype" w:eastAsia="Palatino Linotype" w:cs="Palatino Linotype"/>
                <w:color w:val="000000"/>
                <w:sz w:val="20"/>
                <w:szCs w:val="20"/>
                <w:lang w:eastAsia="en-GB"/>
              </w:rPr>
            </w:pPr>
            <w:r>
              <w:rPr>
                <w:rFonts w:eastAsia="Palatino Linotype" w:cs="Palatino Linotype" w:ascii="Palatino Linotype" w:hAnsi="Palatino Linotype"/>
                <w:color w:val="000000"/>
                <w:sz w:val="20"/>
                <w:szCs w:val="20"/>
                <w:lang w:eastAsia="en-GB"/>
              </w:rPr>
              <w:t>£127,007,000,000</w:t>
            </w:r>
          </w:p>
        </w:tc>
      </w:tr>
      <w:tr>
        <w:trPr/>
        <w:tc>
          <w:tcPr>
            <w:tcW w:w="28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88" w:before="0" w:after="150"/>
              <w:rPr/>
            </w:pPr>
            <w:r>
              <w:rPr>
                <w:rFonts w:eastAsia="Palatino Linotype" w:cs="Palatino Linotype" w:ascii="Palatino Linotype" w:hAnsi="Palatino Linotype"/>
                <w:color w:val="000000"/>
                <w:sz w:val="20"/>
                <w:szCs w:val="20"/>
                <w:lang w:eastAsia="en-GB"/>
              </w:rPr>
              <w:t>Ending with 31</w:t>
            </w:r>
            <w:r>
              <w:rPr>
                <w:rFonts w:eastAsia="Palatino Linotype" w:cs="Palatino Linotype" w:ascii="Palatino Linotype" w:hAnsi="Palatino Linotype"/>
                <w:color w:val="000000"/>
                <w:sz w:val="20"/>
                <w:szCs w:val="20"/>
                <w:vertAlign w:val="superscript"/>
                <w:lang w:eastAsia="en-GB"/>
              </w:rPr>
              <w:t>st</w:t>
            </w:r>
            <w:r>
              <w:rPr>
                <w:rFonts w:eastAsia="Palatino Linotype" w:cs="Palatino Linotype" w:ascii="Palatino Linotype" w:hAnsi="Palatino Linotype"/>
                <w:color w:val="000000"/>
                <w:sz w:val="20"/>
                <w:szCs w:val="20"/>
                <w:lang w:eastAsia="en-GB"/>
              </w:rPr>
              <w:t xml:space="preserve"> March 2022</w:t>
            </w:r>
          </w:p>
        </w:tc>
        <w:tc>
          <w:tcPr>
            <w:tcW w:w="2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88" w:before="0" w:after="150"/>
              <w:rPr>
                <w:rFonts w:ascii="Palatino Linotype" w:hAnsi="Palatino Linotype" w:eastAsia="Palatino Linotype" w:cs="Palatino Linotype"/>
                <w:color w:val="000000"/>
                <w:sz w:val="20"/>
                <w:szCs w:val="20"/>
                <w:lang w:eastAsia="en-GB"/>
              </w:rPr>
            </w:pPr>
            <w:r>
              <w:rPr>
                <w:rFonts w:eastAsia="Palatino Linotype" w:cs="Palatino Linotype" w:ascii="Palatino Linotype" w:hAnsi="Palatino Linotype"/>
                <w:color w:val="000000"/>
                <w:sz w:val="20"/>
                <w:szCs w:val="20"/>
                <w:lang w:eastAsia="en-GB"/>
              </w:rPr>
              <w:t>£133,283,000,000</w:t>
            </w:r>
          </w:p>
        </w:tc>
      </w:tr>
      <w:tr>
        <w:trPr/>
        <w:tc>
          <w:tcPr>
            <w:tcW w:w="28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88" w:before="0" w:after="150"/>
              <w:rPr/>
            </w:pPr>
            <w:r>
              <w:rPr>
                <w:rFonts w:eastAsia="Palatino Linotype" w:cs="Palatino Linotype" w:ascii="Palatino Linotype" w:hAnsi="Palatino Linotype"/>
                <w:color w:val="000000"/>
                <w:sz w:val="20"/>
                <w:szCs w:val="20"/>
                <w:lang w:eastAsia="en-GB"/>
              </w:rPr>
              <w:t>Ending with 31</w:t>
            </w:r>
            <w:r>
              <w:rPr>
                <w:rFonts w:eastAsia="Palatino Linotype" w:cs="Palatino Linotype" w:ascii="Palatino Linotype" w:hAnsi="Palatino Linotype"/>
                <w:color w:val="000000"/>
                <w:sz w:val="20"/>
                <w:szCs w:val="20"/>
                <w:vertAlign w:val="superscript"/>
                <w:lang w:eastAsia="en-GB"/>
              </w:rPr>
              <w:t>st</w:t>
            </w:r>
            <w:r>
              <w:rPr>
                <w:rFonts w:eastAsia="Palatino Linotype" w:cs="Palatino Linotype" w:ascii="Palatino Linotype" w:hAnsi="Palatino Linotype"/>
                <w:color w:val="000000"/>
                <w:sz w:val="20"/>
                <w:szCs w:val="20"/>
                <w:lang w:eastAsia="en-GB"/>
              </w:rPr>
              <w:t xml:space="preserve"> March 2023</w:t>
            </w:r>
          </w:p>
        </w:tc>
        <w:tc>
          <w:tcPr>
            <w:tcW w:w="2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88" w:before="0" w:after="150"/>
              <w:rPr>
                <w:rFonts w:ascii="Palatino Linotype" w:hAnsi="Palatino Linotype" w:eastAsia="Palatino Linotype" w:cs="Palatino Linotype"/>
                <w:color w:val="000000"/>
                <w:sz w:val="20"/>
                <w:szCs w:val="20"/>
                <w:lang w:eastAsia="en-GB"/>
              </w:rPr>
            </w:pPr>
            <w:r>
              <w:rPr>
                <w:rFonts w:eastAsia="Palatino Linotype" w:cs="Palatino Linotype" w:ascii="Palatino Linotype" w:hAnsi="Palatino Linotype"/>
                <w:color w:val="000000"/>
                <w:sz w:val="20"/>
                <w:szCs w:val="20"/>
                <w:lang w:eastAsia="en-GB"/>
              </w:rPr>
              <w:t>£139,990,000,000</w:t>
            </w:r>
          </w:p>
        </w:tc>
      </w:tr>
      <w:tr>
        <w:trPr/>
        <w:tc>
          <w:tcPr>
            <w:tcW w:w="284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88" w:before="0" w:after="150"/>
              <w:rPr/>
            </w:pPr>
            <w:r>
              <w:rPr>
                <w:rFonts w:eastAsia="Palatino Linotype" w:cs="Palatino Linotype" w:ascii="Palatino Linotype" w:hAnsi="Palatino Linotype"/>
                <w:color w:val="000000"/>
                <w:sz w:val="20"/>
                <w:szCs w:val="20"/>
                <w:lang w:eastAsia="en-GB"/>
              </w:rPr>
              <w:t>Ending with 31</w:t>
            </w:r>
            <w:r>
              <w:rPr>
                <w:rFonts w:eastAsia="Palatino Linotype" w:cs="Palatino Linotype" w:ascii="Palatino Linotype" w:hAnsi="Palatino Linotype"/>
                <w:color w:val="000000"/>
                <w:sz w:val="20"/>
                <w:szCs w:val="20"/>
                <w:vertAlign w:val="superscript"/>
                <w:lang w:eastAsia="en-GB"/>
              </w:rPr>
              <w:t>st</w:t>
            </w:r>
            <w:r>
              <w:rPr>
                <w:rFonts w:eastAsia="Palatino Linotype" w:cs="Palatino Linotype" w:ascii="Palatino Linotype" w:hAnsi="Palatino Linotype"/>
                <w:color w:val="000000"/>
                <w:sz w:val="20"/>
                <w:szCs w:val="20"/>
                <w:lang w:eastAsia="en-GB"/>
              </w:rPr>
              <w:t xml:space="preserve"> March 2024</w:t>
            </w:r>
          </w:p>
        </w:tc>
        <w:tc>
          <w:tcPr>
            <w:tcW w:w="255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88" w:before="0" w:after="150"/>
              <w:rPr>
                <w:rFonts w:ascii="Palatino Linotype" w:hAnsi="Palatino Linotype" w:eastAsia="Palatino Linotype" w:cs="Palatino Linotype"/>
                <w:color w:val="000000"/>
                <w:sz w:val="20"/>
                <w:szCs w:val="20"/>
                <w:lang w:eastAsia="en-GB"/>
              </w:rPr>
            </w:pPr>
            <w:r>
              <w:rPr>
                <w:rFonts w:eastAsia="Palatino Linotype" w:cs="Palatino Linotype" w:ascii="Palatino Linotype" w:hAnsi="Palatino Linotype"/>
                <w:color w:val="000000"/>
                <w:sz w:val="20"/>
                <w:szCs w:val="20"/>
                <w:lang w:eastAsia="en-GB"/>
              </w:rPr>
              <w:t>£148,467,000,000</w:t>
            </w:r>
          </w:p>
        </w:tc>
      </w:tr>
    </w:tbl>
    <w:p>
      <w:pPr>
        <w:pStyle w:val="ParaNumbered"/>
        <w:numPr>
          <w:ilvl w:val="0"/>
          <w:numId w:val="3"/>
        </w:numPr>
        <w:rPr>
          <w:lang w:val="en-GB"/>
        </w:rPr>
      </w:pPr>
      <w:r>
        <w:rPr>
          <w:lang w:val="en-GB"/>
        </w:rPr>
        <w:t xml:space="preserve">The funding settlement, announced in January 2019, referred only to revenue spending for NHSE. It is the intention that this Act also only covers NHS England revenue spending. As such subsection (2) confers a duty on the Secretary of State to ensure this funding is only used as revenue resource, rather than as capital resource. </w:t>
      </w:r>
    </w:p>
    <w:p>
      <w:pPr>
        <w:pStyle w:val="ParaNumbered"/>
        <w:numPr>
          <w:ilvl w:val="0"/>
          <w:numId w:val="3"/>
        </w:numPr>
        <w:rPr>
          <w:lang w:val="en-GB"/>
        </w:rPr>
      </w:pPr>
      <w:r>
        <w:rPr>
          <w:lang w:val="en-GB"/>
        </w:rPr>
        <w:t xml:space="preserve">The 2006 Act (section 13A) states that NHSE is subject to an annual “mandate”, which the Secretary of State must publish and lay before Parliament before the start of each financial year. The mandate must specify the limits that the Secretary of State has decided on NHSE’s capital and revenue resource use for that financial year as set out in section 223D of the 2006 Act. </w:t>
      </w:r>
    </w:p>
    <w:p>
      <w:pPr>
        <w:pStyle w:val="ParaNumbered"/>
        <w:numPr>
          <w:ilvl w:val="0"/>
          <w:numId w:val="3"/>
        </w:numPr>
        <w:rPr>
          <w:lang w:val="en-GB"/>
        </w:rPr>
      </w:pPr>
      <w:r>
        <w:rPr>
          <w:lang w:val="en-GB"/>
        </w:rPr>
        <w:t xml:space="preserve">Subsection (2) requires the Secretary of State to specify such limits on capital and revenue resource use under section 223D of the 2006 Act as the Secretary of State considers necessary to ensure that the amounts specified in the table in subsection (1) are used only as revenue resource. </w:t>
      </w:r>
    </w:p>
    <w:p>
      <w:pPr>
        <w:pStyle w:val="ParaNumbered"/>
        <w:numPr>
          <w:ilvl w:val="0"/>
          <w:numId w:val="3"/>
        </w:numPr>
        <w:rPr>
          <w:lang w:val="en-GB"/>
        </w:rPr>
      </w:pPr>
      <w:r>
        <w:rPr>
          <w:lang w:val="en-GB"/>
        </w:rPr>
        <w:t xml:space="preserve">Estimates are the documents presented to Parliament by the Treasury setting out the Government’s plans for spending for the relevant year. Estimates take into account Departments’ proposed Departmental Expenditure Limits, Annually Managed Expenditure and Total Managed Expenditure grouping the planned expenditure for each department in accordance with these categories. The Treasury lays the Estimates before Parliament for its approval and once approved the relevant limits are subsequently set out in Supply and Appropriation Acts which provide statutory authority for the amounts of resources sought in the Estimates and therefore for most departmental expenditure. </w:t>
      </w:r>
    </w:p>
    <w:p>
      <w:pPr>
        <w:pStyle w:val="ParaNumbered"/>
        <w:numPr>
          <w:ilvl w:val="0"/>
          <w:numId w:val="3"/>
        </w:numPr>
        <w:rPr>
          <w:lang w:val="en-GB"/>
        </w:rPr>
      </w:pPr>
      <w:r>
        <w:rPr>
          <w:lang w:val="en-GB"/>
        </w:rPr>
        <w:t xml:space="preserve">Subsection (3) puts a duty on the Treasury to ensure that the Department of Health and Social Care Estimates laid before Parliament are consistent with the amounts of revenue resource funding for NHSE for the relevant year, as set out in the table in subsection (1). </w:t>
      </w:r>
    </w:p>
    <w:p>
      <w:pPr>
        <w:pStyle w:val="ParaNumbered"/>
        <w:numPr>
          <w:ilvl w:val="0"/>
          <w:numId w:val="3"/>
        </w:numPr>
        <w:rPr>
          <w:lang w:val="en-GB"/>
        </w:rPr>
      </w:pPr>
      <w:r>
        <w:rPr>
          <w:lang w:val="en-GB"/>
        </w:rPr>
        <w:t>Subsection (4) defines an “allotment to the health service in England” as an allotment under section 223B(2) of the National Health Service Act 2006 or a new allotment under section 223B(3) of the National Health Service Act 2006. This ensures that the duty in subsection (1) on the Secretary of State applies to any allotment in the relevant financial years.</w:t>
      </w:r>
    </w:p>
    <w:p>
      <w:pPr>
        <w:pStyle w:val="ParaNumbered"/>
        <w:numPr>
          <w:ilvl w:val="0"/>
          <w:numId w:val="3"/>
        </w:numPr>
        <w:rPr>
          <w:lang w:val="en-GB"/>
        </w:rPr>
      </w:pPr>
      <w:r>
        <w:rPr>
          <w:lang w:val="en-GB"/>
        </w:rPr>
        <w:t>Section 223B(1) of the 2006 Act provides that the Secretary of State must pay to NHSE sums not exceeding the amount allotted for that year towards meeting the expenditure of NHSE.</w:t>
      </w:r>
    </w:p>
    <w:p>
      <w:pPr>
        <w:pStyle w:val="ParaNumbered"/>
        <w:numPr>
          <w:ilvl w:val="0"/>
          <w:numId w:val="0"/>
        </w:numPr>
        <w:ind w:hanging="357" w:left="714" w:right="0"/>
        <w:rPr>
          <w:lang w:val="en-GB"/>
        </w:rPr>
      </w:pPr>
      <w:r>
        <w:rPr>
          <w:lang w:val="en-GB"/>
        </w:rPr>
      </w:r>
    </w:p>
    <w:p>
      <w:pPr>
        <w:pStyle w:val="ParaNumbered"/>
        <w:numPr>
          <w:ilvl w:val="0"/>
          <w:numId w:val="0"/>
        </w:numPr>
        <w:ind w:hanging="0" w:left="0"/>
        <w:rPr>
          <w:lang w:val="en-GB"/>
        </w:rPr>
      </w:pPr>
      <w:r>
        <w:rPr>
          <w:lang w:val="en-GB"/>
        </w:rPr>
      </w:r>
    </w:p>
    <w:p>
      <w:pPr>
        <w:pStyle w:val="ParaNumbered"/>
        <w:numPr>
          <w:ilvl w:val="0"/>
          <w:numId w:val="0"/>
        </w:numPr>
        <w:ind w:hanging="357" w:left="714" w:right="0"/>
        <w:rPr>
          <w:lang w:val="en-GB"/>
        </w:rPr>
      </w:pPr>
      <w:r>
        <w:rPr>
          <w:lang w:val="en-GB"/>
        </w:rPr>
      </w:r>
    </w:p>
    <w:p>
      <w:pPr>
        <w:pStyle w:val="HSubheading4"/>
        <w:rPr/>
      </w:pPr>
      <w:bookmarkStart w:id="9" w:name="__RefHeading___Toc40799742"/>
      <w:bookmarkEnd w:id="9"/>
      <w:r>
        <w:rPr/>
        <w:t>Section 2: Extent, commencement, expiry and short title</w:t>
      </w:r>
    </w:p>
    <w:p>
      <w:pPr>
        <w:pStyle w:val="ParaNumbered"/>
        <w:numPr>
          <w:ilvl w:val="0"/>
          <w:numId w:val="3"/>
        </w:numPr>
        <w:rPr>
          <w:lang w:val="en-GB"/>
        </w:rPr>
      </w:pPr>
      <w:r>
        <w:rPr>
          <w:lang w:val="en-GB"/>
        </w:rPr>
        <w:t xml:space="preserve">Subsection (1) sets out the territorial extent of the Act, that is the jurisdictions within which the Act forms part of the law.  </w:t>
      </w:r>
    </w:p>
    <w:p>
      <w:pPr>
        <w:pStyle w:val="ParaNumbered"/>
        <w:numPr>
          <w:ilvl w:val="0"/>
          <w:numId w:val="3"/>
        </w:numPr>
        <w:rPr>
          <w:lang w:val="en-GB"/>
        </w:rPr>
      </w:pPr>
      <w:r>
        <w:rPr>
          <w:lang w:val="en-GB"/>
        </w:rPr>
        <w:t>The Act extends to England and Wales only.</w:t>
      </w:r>
    </w:p>
    <w:p>
      <w:pPr>
        <w:pStyle w:val="ParaNumbered"/>
        <w:numPr>
          <w:ilvl w:val="0"/>
          <w:numId w:val="3"/>
        </w:numPr>
        <w:rPr>
          <w:lang w:val="en-GB"/>
        </w:rPr>
      </w:pPr>
      <w:r>
        <w:rPr>
          <w:lang w:val="en-GB"/>
        </w:rPr>
        <w:t>Subsection (2) provides that the provisions of the Act come into force on the day that the Act is passed.</w:t>
      </w:r>
    </w:p>
    <w:p>
      <w:pPr>
        <w:pStyle w:val="ParaNumbered"/>
        <w:numPr>
          <w:ilvl w:val="0"/>
          <w:numId w:val="3"/>
        </w:numPr>
        <w:rPr>
          <w:lang w:val="en-GB"/>
        </w:rPr>
      </w:pPr>
      <w:r>
        <w:rPr>
          <w:lang w:val="en-GB"/>
        </w:rPr>
        <w:t>Subsection (3) provides that the legislation will expire at the end of 31st March 2024. This reflects the fact that the Act makes provision in relation to NHSE funding for the financial years 2020/21 to 2023/24 only.</w:t>
      </w:r>
    </w:p>
    <w:p>
      <w:pPr>
        <w:pStyle w:val="ParaNumbered"/>
        <w:numPr>
          <w:ilvl w:val="0"/>
          <w:numId w:val="3"/>
        </w:numPr>
        <w:rPr>
          <w:lang w:val="en-GB"/>
        </w:rPr>
      </w:pPr>
      <w:r>
        <w:rPr>
          <w:lang w:val="en-GB"/>
        </w:rPr>
        <w:t>Subsection (4) states the Act’s short title as the ‘NHS Funding Act 2020’.</w:t>
      </w:r>
      <w:r>
        <w:br w:type="page"/>
      </w:r>
    </w:p>
    <w:p>
      <w:pPr>
        <w:pStyle w:val="Normal"/>
        <w:rPr>
          <w:rStyle w:val="StyleLatinArial"/>
          <w:lang w:val="en-GB"/>
        </w:rPr>
      </w:pPr>
      <w:r>
        <w:rPr>
          <w:lang w:val="en-GB"/>
        </w:rPr>
      </w:r>
    </w:p>
    <w:p>
      <w:pPr>
        <w:pStyle w:val="Heading1"/>
        <w:keepNext w:val="true"/>
        <w:ind w:hanging="0" w:left="0"/>
        <w:rPr/>
      </w:pPr>
      <w:bookmarkStart w:id="10" w:name="__RefHeading___Toc40799743"/>
      <w:bookmarkEnd w:id="10"/>
      <w:r>
        <w:rPr/>
        <w:t>Commencement</w:t>
      </w:r>
    </w:p>
    <w:p>
      <w:pPr>
        <w:pStyle w:val="ParaNumbered"/>
        <w:numPr>
          <w:ilvl w:val="0"/>
          <w:numId w:val="3"/>
        </w:numPr>
        <w:rPr>
          <w:lang w:val="en-GB"/>
        </w:rPr>
      </w:pPr>
      <w:r>
        <w:rPr>
          <w:lang w:val="en-GB"/>
        </w:rPr>
        <w:t>The Act comes into force on the day on which it is passed.</w:t>
      </w:r>
    </w:p>
    <w:p>
      <w:pPr>
        <w:pStyle w:val="Heading1"/>
        <w:keepNext w:val="true"/>
        <w:ind w:hanging="0" w:left="0"/>
        <w:rPr/>
      </w:pPr>
      <w:bookmarkStart w:id="11" w:name="__RefHeading___Toc40799744"/>
      <w:bookmarkEnd w:id="11"/>
      <w:r>
        <w:rPr/>
        <w:t>Related documents</w:t>
      </w:r>
    </w:p>
    <w:p>
      <w:pPr>
        <w:pStyle w:val="ParaNumbered"/>
        <w:numPr>
          <w:ilvl w:val="0"/>
          <w:numId w:val="3"/>
        </w:numPr>
        <w:rPr/>
      </w:pPr>
      <w:r>
        <w:rPr/>
        <w:t>The following documents are relevant to the Act and can be read at the stated locations:</w:t>
      </w:r>
    </w:p>
    <w:p>
      <w:pPr>
        <w:pStyle w:val="ParaBulleted"/>
        <w:numPr>
          <w:ilvl w:val="0"/>
          <w:numId w:val="9"/>
        </w:numPr>
        <w:ind w:hanging="0" w:left="0"/>
        <w:rPr/>
      </w:pPr>
      <w:r>
        <w:rPr/>
        <w:t xml:space="preserve">National Health Service Act 2006: </w:t>
      </w:r>
      <w:hyperlink r:id="rId2">
        <w:r>
          <w:rPr>
            <w:rStyle w:val="Hyperlink"/>
          </w:rPr>
          <w:t>https://www.legislation.gov.uk/ukpga/2006/41/contents</w:t>
        </w:r>
      </w:hyperlink>
    </w:p>
    <w:p>
      <w:pPr>
        <w:pStyle w:val="ParaBulleted"/>
        <w:numPr>
          <w:ilvl w:val="0"/>
          <w:numId w:val="0"/>
        </w:numPr>
        <w:ind w:hanging="360" w:left="1854" w:right="0"/>
        <w:rPr>
          <w:rFonts w:eastAsia="Palatino Linotype" w:cs="Palatino Linotype"/>
        </w:rPr>
      </w:pPr>
      <w:r>
        <w:rPr>
          <w:rFonts w:eastAsia="Palatino Linotype" w:cs="Palatino Linotype"/>
        </w:rPr>
        <w:t xml:space="preserve"> </w:t>
      </w:r>
    </w:p>
    <w:p>
      <w:pPr>
        <w:pStyle w:val="ParaBulleted"/>
        <w:numPr>
          <w:ilvl w:val="0"/>
          <w:numId w:val="9"/>
        </w:numPr>
        <w:ind w:hanging="0" w:left="0"/>
        <w:rPr/>
      </w:pPr>
      <w:r>
        <w:rPr/>
        <w:t xml:space="preserve">National Health Service Long Term Plan: </w:t>
        <w:br/>
      </w:r>
      <w:hyperlink r:id="rId3">
        <w:r>
          <w:rPr>
            <w:rStyle w:val="Hyperlink"/>
          </w:rPr>
          <w:t>https://www.longtermplan.nhs.uk/wp-content/uploads/2019/08/nhs-long-term-plan-version-1.2.pdf</w:t>
        </w:r>
      </w:hyperlink>
      <w:r>
        <w:br w:type="page"/>
      </w:r>
    </w:p>
    <w:p>
      <w:pPr>
        <w:pStyle w:val="Normal"/>
        <w:rPr>
          <w:rStyle w:val="StyleLatinArial"/>
        </w:rPr>
      </w:pPr>
      <w:r>
        <w:rPr/>
      </w:r>
    </w:p>
    <w:p>
      <w:pPr>
        <w:pStyle w:val="Heading1"/>
        <w:keepNext w:val="true"/>
        <w:ind w:hanging="0" w:left="0"/>
        <w:rPr/>
      </w:pPr>
      <w:bookmarkStart w:id="12" w:name="__RefHeading___Toc40799745"/>
      <w:bookmarkEnd w:id="12"/>
      <w:r>
        <w:rPr/>
        <w:t>Annex A - Territorial extent and application in the United Kingdom</w:t>
      </w:r>
    </w:p>
    <w:p>
      <w:pPr>
        <w:pStyle w:val="ParaNumbered"/>
        <w:numPr>
          <w:ilvl w:val="0"/>
          <w:numId w:val="3"/>
        </w:numPr>
        <w:rPr/>
      </w:pPr>
      <w:r>
        <w:rPr/>
        <w:t>The Act extends to England and Wales but will apply only to the NHS in England.  No provisions of the Act have effect outside England.</w:t>
      </w:r>
    </w:p>
    <w:tbl>
      <w:tblPr>
        <w:tblW w:w="8699" w:type="dxa"/>
        <w:jc w:val="center"/>
        <w:tblInd w:w="0" w:type="dxa"/>
        <w:tblLayout w:type="fixed"/>
        <w:tblCellMar>
          <w:top w:w="0" w:type="dxa"/>
          <w:left w:w="108" w:type="dxa"/>
          <w:bottom w:w="0" w:type="dxa"/>
          <w:right w:w="108" w:type="dxa"/>
        </w:tblCellMar>
      </w:tblPr>
      <w:tblGrid>
        <w:gridCol w:w="2026"/>
        <w:gridCol w:w="1361"/>
        <w:gridCol w:w="1546"/>
        <w:gridCol w:w="1586"/>
        <w:gridCol w:w="2180"/>
      </w:tblGrid>
      <w:tr>
        <w:trPr>
          <w:trHeight w:val="469" w:hRule="atLeast"/>
        </w:trPr>
        <w:tc>
          <w:tcPr>
            <w:tcW w:w="2026" w:type="dxa"/>
            <w:tcBorders>
              <w:top w:val="single" w:sz="8"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b/>
                <w:color w:val="000000"/>
                <w:sz w:val="16"/>
                <w:szCs w:val="16"/>
                <w:lang w:eastAsia="en-GB"/>
              </w:rPr>
            </w:pPr>
            <w:r>
              <w:rPr>
                <w:rFonts w:eastAsia="Arial" w:cs="Arial" w:ascii="Arial" w:hAnsi="Arial"/>
                <w:b/>
                <w:color w:val="000000"/>
                <w:sz w:val="16"/>
                <w:szCs w:val="16"/>
                <w:lang w:eastAsia="en-GB"/>
              </w:rPr>
              <w:t>Provision</w:t>
            </w:r>
          </w:p>
        </w:tc>
        <w:tc>
          <w:tcPr>
            <w:tcW w:w="1361" w:type="dxa"/>
            <w:tcBorders>
              <w:top w:val="single" w:sz="8"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b/>
                <w:color w:val="000000"/>
                <w:sz w:val="16"/>
                <w:szCs w:val="16"/>
                <w:lang w:eastAsia="en-GB"/>
              </w:rPr>
            </w:pPr>
            <w:r>
              <w:rPr>
                <w:rFonts w:eastAsia="Arial" w:cs="Arial" w:ascii="Arial" w:hAnsi="Arial"/>
                <w:b/>
                <w:color w:val="000000"/>
                <w:sz w:val="16"/>
                <w:szCs w:val="16"/>
                <w:lang w:eastAsia="en-GB"/>
              </w:rPr>
              <w:t>Extends to E &amp; W and applies to England?</w:t>
            </w:r>
          </w:p>
        </w:tc>
        <w:tc>
          <w:tcPr>
            <w:tcW w:w="1546" w:type="dxa"/>
            <w:tcBorders>
              <w:top w:val="single" w:sz="8"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b/>
                <w:color w:val="000000"/>
                <w:sz w:val="16"/>
                <w:szCs w:val="16"/>
                <w:lang w:eastAsia="en-GB"/>
              </w:rPr>
            </w:pPr>
            <w:r>
              <w:rPr>
                <w:rFonts w:eastAsia="Arial" w:cs="Arial" w:ascii="Arial" w:hAnsi="Arial"/>
                <w:b/>
                <w:color w:val="000000"/>
                <w:sz w:val="16"/>
                <w:szCs w:val="16"/>
                <w:lang w:eastAsia="en-GB"/>
              </w:rPr>
              <w:t>Extends to E &amp; W and applies to Wales?</w:t>
            </w:r>
          </w:p>
        </w:tc>
        <w:tc>
          <w:tcPr>
            <w:tcW w:w="1586" w:type="dxa"/>
            <w:tcBorders>
              <w:top w:val="single" w:sz="8"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b/>
                <w:color w:val="000000"/>
                <w:sz w:val="16"/>
                <w:szCs w:val="16"/>
                <w:lang w:eastAsia="en-GB"/>
              </w:rPr>
            </w:pPr>
            <w:r>
              <w:rPr>
                <w:rFonts w:eastAsia="Arial" w:cs="Arial" w:ascii="Arial" w:hAnsi="Arial"/>
                <w:b/>
                <w:color w:val="000000"/>
                <w:sz w:val="16"/>
                <w:szCs w:val="16"/>
                <w:lang w:eastAsia="en-GB"/>
              </w:rPr>
              <w:t>Extends and applies to Scotland?</w:t>
            </w:r>
          </w:p>
        </w:tc>
        <w:tc>
          <w:tcPr>
            <w:tcW w:w="2180" w:type="dxa"/>
            <w:tcBorders>
              <w:top w:val="single" w:sz="8"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b/>
                <w:color w:val="000000"/>
                <w:sz w:val="16"/>
                <w:szCs w:val="16"/>
                <w:lang w:eastAsia="en-GB"/>
              </w:rPr>
            </w:pPr>
            <w:r>
              <w:rPr>
                <w:rFonts w:eastAsia="Arial" w:cs="Arial" w:ascii="Arial" w:hAnsi="Arial"/>
                <w:b/>
                <w:color w:val="000000"/>
                <w:sz w:val="16"/>
                <w:szCs w:val="16"/>
                <w:lang w:eastAsia="en-GB"/>
              </w:rPr>
              <w:t>Extends and applies to Northern Ireland?</w:t>
            </w:r>
          </w:p>
        </w:tc>
      </w:tr>
      <w:tr>
        <w:trPr>
          <w:trHeight w:val="1119" w:hRule="atLeast"/>
        </w:trPr>
        <w:tc>
          <w:tcPr>
            <w:tcW w:w="2026"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t>Section 1: Funding Settlement for the Health Service in England</w:t>
            </w:r>
          </w:p>
        </w:tc>
        <w:tc>
          <w:tcPr>
            <w:tcW w:w="1361"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t>Yes</w:t>
            </w:r>
          </w:p>
        </w:tc>
        <w:tc>
          <w:tcPr>
            <w:tcW w:w="1546"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t>No</w:t>
            </w:r>
          </w:p>
        </w:tc>
        <w:tc>
          <w:tcPr>
            <w:tcW w:w="1586"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t>No</w:t>
            </w:r>
          </w:p>
        </w:tc>
        <w:tc>
          <w:tcPr>
            <w:tcW w:w="2180"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t>No</w:t>
            </w:r>
          </w:p>
        </w:tc>
      </w:tr>
      <w:tr>
        <w:trPr>
          <w:trHeight w:val="147" w:hRule="atLeast"/>
        </w:trPr>
        <w:tc>
          <w:tcPr>
            <w:tcW w:w="2026" w:type="dxa"/>
            <w:tcBorders>
              <w:top w:val="single" w:sz="4" w:space="0" w:color="0070C0"/>
              <w:left w:val="single" w:sz="8" w:space="0" w:color="0070C0"/>
              <w:bottom w:val="single" w:sz="8"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t>Section 2:Extent, commencement, expiry and short title</w:t>
            </w:r>
          </w:p>
        </w:tc>
        <w:tc>
          <w:tcPr>
            <w:tcW w:w="1361" w:type="dxa"/>
            <w:tcBorders>
              <w:top w:val="single" w:sz="4" w:space="0" w:color="0070C0"/>
              <w:left w:val="single" w:sz="4" w:space="0" w:color="0070C0"/>
              <w:bottom w:val="single" w:sz="8"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t>N/A</w:t>
            </w:r>
          </w:p>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r>
          </w:p>
        </w:tc>
        <w:tc>
          <w:tcPr>
            <w:tcW w:w="1546" w:type="dxa"/>
            <w:tcBorders>
              <w:top w:val="single" w:sz="4" w:space="0" w:color="0070C0"/>
              <w:left w:val="single" w:sz="4" w:space="0" w:color="0070C0"/>
              <w:bottom w:val="single" w:sz="8"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t>N/A</w:t>
            </w:r>
          </w:p>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r>
          </w:p>
        </w:tc>
        <w:tc>
          <w:tcPr>
            <w:tcW w:w="1586" w:type="dxa"/>
            <w:tcBorders>
              <w:top w:val="single" w:sz="4" w:space="0" w:color="0070C0"/>
              <w:left w:val="single" w:sz="4" w:space="0" w:color="0070C0"/>
              <w:bottom w:val="single" w:sz="8"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t>N/A</w:t>
            </w:r>
          </w:p>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r>
          </w:p>
        </w:tc>
        <w:tc>
          <w:tcPr>
            <w:tcW w:w="2180" w:type="dxa"/>
            <w:tcBorders>
              <w:top w:val="single" w:sz="4" w:space="0" w:color="0070C0"/>
              <w:left w:val="single" w:sz="4" w:space="0" w:color="0070C0"/>
              <w:bottom w:val="single" w:sz="8" w:space="0" w:color="0070C0"/>
              <w:right w:val="single" w:sz="8" w:space="0" w:color="0070C0"/>
            </w:tcBorders>
          </w:tcPr>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t>N/A</w:t>
            </w:r>
          </w:p>
          <w:p>
            <w:pPr>
              <w:pStyle w:val="Normal"/>
              <w:widowControl w:val="false"/>
              <w:pBdr/>
              <w:spacing w:lineRule="auto" w:line="288" w:before="0" w:after="120"/>
              <w:rPr>
                <w:rFonts w:ascii="Arial" w:hAnsi="Arial" w:eastAsia="Arial" w:cs="Arial"/>
                <w:color w:val="000000"/>
                <w:sz w:val="16"/>
                <w:szCs w:val="16"/>
                <w:lang w:eastAsia="en-GB"/>
              </w:rPr>
            </w:pPr>
            <w:r>
              <w:rPr>
                <w:rFonts w:eastAsia="Arial" w:cs="Arial" w:ascii="Arial" w:hAnsi="Arial"/>
                <w:color w:val="000000"/>
                <w:sz w:val="16"/>
                <w:szCs w:val="16"/>
                <w:lang w:eastAsia="en-GB"/>
              </w:rPr>
            </w:r>
          </w:p>
        </w:tc>
      </w:tr>
    </w:tbl>
    <w:p>
      <w:pPr>
        <w:pStyle w:val="ParaMainText"/>
        <w:rPr/>
      </w:pPr>
      <w:r>
        <w:rPr/>
      </w:r>
      <w:r>
        <w:br w:type="page"/>
      </w:r>
    </w:p>
    <w:p>
      <w:pPr>
        <w:pStyle w:val="Heading1"/>
        <w:ind w:hanging="0" w:left="0"/>
        <w:rPr/>
      </w:pPr>
      <w:bookmarkStart w:id="13" w:name="__RefHeading___Toc40799746"/>
      <w:bookmarkEnd w:id="13"/>
      <w:r>
        <w:rPr/>
        <w:t>Annex B - Hansard References</w:t>
      </w:r>
    </w:p>
    <w:p>
      <w:pPr>
        <w:pStyle w:val="ParaNumbered"/>
        <w:numPr>
          <w:ilvl w:val="0"/>
          <w:numId w:val="3"/>
        </w:numPr>
        <w:rPr>
          <w:rStyle w:val="CDefault"/>
          <w:lang w:val="en-GB"/>
        </w:rPr>
      </w:pPr>
      <w:r>
        <w:rPr>
          <w:rStyle w:val="CDefault"/>
          <w:lang w:val="en-GB"/>
        </w:rPr>
        <w:t xml:space="preserve">The following table sets out the dates and Hansard references for each stage of the Act's passage through Parliament. </w:t>
      </w:r>
    </w:p>
    <w:tbl>
      <w:tblPr>
        <w:tblW w:w="9287" w:type="dxa"/>
        <w:jc w:val="left"/>
        <w:tblInd w:w="0" w:type="dxa"/>
        <w:tblLayout w:type="fixed"/>
        <w:tblCellMar>
          <w:top w:w="0" w:type="dxa"/>
          <w:left w:w="108" w:type="dxa"/>
          <w:bottom w:w="0" w:type="dxa"/>
          <w:right w:w="108" w:type="dxa"/>
        </w:tblCellMar>
      </w:tblPr>
      <w:tblGrid>
        <w:gridCol w:w="2518"/>
        <w:gridCol w:w="2126"/>
        <w:gridCol w:w="4643"/>
      </w:tblGrid>
      <w:tr>
        <w:trPr>
          <w:tblHeader w:val="true"/>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Stage</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Date</w:t>
            </w:r>
          </w:p>
        </w:tc>
        <w:tc>
          <w:tcPr>
            <w:tcW w:w="464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lang w:val="en-GB"/>
              </w:rPr>
              <w:t>Hansard Reference</w:t>
            </w:r>
          </w:p>
        </w:tc>
      </w:tr>
      <w:tr>
        <w:trPr/>
        <w:tc>
          <w:tcPr>
            <w:tcW w:w="9287"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CItalic"/>
                <w:lang w:val="en-GB"/>
              </w:rPr>
              <w:t>House of Commons</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rPr>
              <w:t>Introduction</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15 January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fldChar w:fldCharType="begin"/>
            </w:r>
            <w:r>
              <w:rPr>
                <w:rStyle w:val="Hyperlink"/>
              </w:rPr>
              <w:instrText xml:space="preserve"> HYPERLINK "https://hansard.parliament.uk/Commons/2020-01-15/debates/F2243A8C-3A0A-4E7E-94F7-233EE3DFD95B/PointsOfOrder" \l "contribution-BF5C2089-3DA8-49E2-9585-E2F9AC80F167"</w:instrText>
            </w:r>
            <w:r>
              <w:rPr>
                <w:rStyle w:val="Hyperlink"/>
              </w:rPr>
              <w:fldChar w:fldCharType="separate"/>
            </w:r>
            <w:r>
              <w:rPr>
                <w:rStyle w:val="Hyperlink"/>
              </w:rPr>
              <w:t>Vol. 669 Col. 1027</w:t>
            </w:r>
            <w:r>
              <w:rPr>
                <w:rStyle w:val="Hyperlink"/>
              </w:rPr>
              <w:fldChar w:fldCharType="end"/>
            </w:r>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Second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27 January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fldChar w:fldCharType="begin"/>
            </w:r>
            <w:r>
              <w:rPr>
                <w:rStyle w:val="Hyperlink"/>
                <w:lang w:val="en-GB"/>
              </w:rPr>
              <w:instrText xml:space="preserve"> HYPERLINK "https://hansard.parliament.uk/Commons/2020-01-27/debates/0F5A52C9-4334-4E34-B689-0AF71BF31E8B/NHSFundingBill?highlight=nhs%20funding%20act%202020" \l "contribution-53E360E2-B93B-40EE-A967-E64B2630E0C2"</w:instrText>
            </w:r>
            <w:r>
              <w:rPr>
                <w:rStyle w:val="Hyperlink"/>
                <w:lang w:val="en-GB"/>
              </w:rPr>
              <w:fldChar w:fldCharType="separate"/>
            </w:r>
            <w:r>
              <w:rPr>
                <w:rStyle w:val="Hyperlink"/>
                <w:lang w:val="en-GB"/>
              </w:rPr>
              <w:t>Vol. 670 Col. 559</w:t>
            </w:r>
            <w:r>
              <w:rPr>
                <w:rStyle w:val="Hyperlink"/>
                <w:lang w:val="en-GB"/>
              </w:rPr>
              <w:fldChar w:fldCharType="end"/>
            </w:r>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rPr>
              <w:t>Public Bill Committee</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04 February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4">
              <w:r>
                <w:rPr>
                  <w:rStyle w:val="Hyperlink"/>
                  <w:lang w:val="en-GB"/>
                </w:rPr>
                <w:t>Vol. 671 Col. 212</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Report and Third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04 February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fldChar w:fldCharType="begin"/>
            </w:r>
            <w:r>
              <w:rPr>
                <w:rStyle w:val="Hyperlink"/>
                <w:lang w:val="en-GB"/>
              </w:rPr>
              <w:instrText xml:space="preserve"> HYPERLINK "https://hansard.parliament.uk/Commons/2020-02-04/debates/A3B1554C-FB48-4F9B-A6EA-B78AD05D0E02/NHSFundingBill" \l "contribution-B9D53C9B-1AFB-4C1A-A58C-5F187FEFACCA"</w:instrText>
            </w:r>
            <w:r>
              <w:rPr>
                <w:rStyle w:val="Hyperlink"/>
                <w:lang w:val="en-GB"/>
              </w:rPr>
              <w:fldChar w:fldCharType="separate"/>
            </w:r>
            <w:r>
              <w:rPr>
                <w:rStyle w:val="Hyperlink"/>
                <w:lang w:val="en-GB"/>
              </w:rPr>
              <w:t>Vol. 671 Col. 277</w:t>
            </w:r>
            <w:r>
              <w:rPr>
                <w:rStyle w:val="Hyperlink"/>
                <w:lang w:val="en-GB"/>
              </w:rPr>
              <w:fldChar w:fldCharType="end"/>
            </w:r>
          </w:p>
        </w:tc>
      </w:tr>
      <w:tr>
        <w:trPr/>
        <w:tc>
          <w:tcPr>
            <w:tcW w:w="9287" w:type="dxa"/>
            <w:gridSpan w:val="3"/>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CItalic"/>
                <w:lang w:val="en-GB"/>
              </w:rPr>
              <w:t>House of Lords</w:t>
            </w:r>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val="en-GB"/>
              </w:rPr>
              <w:t>Introduction</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05 February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5">
              <w:r>
                <w:rPr>
                  <w:rStyle w:val="Hyperlink"/>
                  <w:lang w:val="en-GB"/>
                </w:rPr>
                <w:t>Vol. 801 Col. 1855</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Second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26 February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6">
              <w:r>
                <w:rPr>
                  <w:rStyle w:val="Hyperlink"/>
                  <w:lang w:val="en-GB"/>
                </w:rPr>
                <w:t>Vol. 802 Col. 215</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Grand Committee</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26 February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7">
              <w:r>
                <w:rPr>
                  <w:rStyle w:val="Hyperlink"/>
                  <w:lang w:val="en-GB"/>
                </w:rPr>
                <w:t>Vol. 802 Col. 215</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 xml:space="preserve">Report </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26 February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8">
              <w:r>
                <w:rPr>
                  <w:rStyle w:val="Hyperlink"/>
                  <w:lang w:val="en-GB"/>
                </w:rPr>
                <w:t>Vol. 802 Col. 215</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Third Reading</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26 February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hyperlink r:id="rId9">
              <w:r>
                <w:rPr>
                  <w:rStyle w:val="Hyperlink"/>
                  <w:lang w:val="en-GB"/>
                </w:rPr>
                <w:t>Vol. 802 Col. 215</w:t>
              </w:r>
            </w:hyperlink>
          </w:p>
        </w:tc>
      </w:tr>
      <w:tr>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Commons Consideration of Lords Amendments</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N/A</w:t>
            </w:r>
          </w:p>
        </w:tc>
        <w:tc>
          <w:tcPr>
            <w:tcW w:w="4643"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N/A</w:t>
            </w:r>
          </w:p>
        </w:tc>
      </w:tr>
      <w:tr>
        <w:trPr>
          <w:trHeight w:val="393" w:hRule="atLeast"/>
        </w:trPr>
        <w:tc>
          <w:tcPr>
            <w:tcW w:w="2518" w:type="dxa"/>
            <w:tcBorders>
              <w:top w:val="single" w:sz="4" w:space="0" w:color="0070C0"/>
              <w:left w:val="single" w:sz="4" w:space="0" w:color="0070C0"/>
              <w:bottom w:val="single" w:sz="4" w:space="0" w:color="0070C0"/>
              <w:right w:val="single" w:sz="4" w:space="0" w:color="0070C0"/>
            </w:tcBorders>
          </w:tcPr>
          <w:p>
            <w:pPr>
              <w:pStyle w:val="TTableText"/>
              <w:spacing w:before="0" w:after="120"/>
              <w:rPr>
                <w:i/>
                <w:i/>
                <w:lang w:val="en-GB"/>
              </w:rPr>
            </w:pPr>
            <w:r>
              <w:rPr>
                <w:i/>
                <w:lang w:val="en-GB"/>
              </w:rPr>
              <w:t>Royal Assent</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rPr>
            </w:pPr>
            <w:r>
              <w:rPr>
                <w:lang w:val="en-GB"/>
              </w:rPr>
              <w:t>16 March 2020</w:t>
            </w:r>
          </w:p>
        </w:tc>
        <w:tc>
          <w:tcPr>
            <w:tcW w:w="4643" w:type="dxa"/>
            <w:tcBorders>
              <w:top w:val="single" w:sz="4" w:space="0" w:color="0070C0"/>
              <w:left w:val="single" w:sz="4" w:space="0" w:color="0070C0"/>
              <w:bottom w:val="single" w:sz="4" w:space="0" w:color="0070C0"/>
              <w:right w:val="single" w:sz="4" w:space="0" w:color="0070C0"/>
            </w:tcBorders>
          </w:tcPr>
          <w:p>
            <w:pPr>
              <w:pStyle w:val="TTableText"/>
              <w:rPr>
                <w:lang w:val="en-GB"/>
              </w:rPr>
            </w:pPr>
            <w:r>
              <w:rPr>
                <w:lang w:val="en-GB"/>
              </w:rPr>
              <w:t xml:space="preserve">House of Lords </w:t>
            </w:r>
            <w:hyperlink r:id="rId10">
              <w:r>
                <w:rPr>
                  <w:rStyle w:val="Hyperlink"/>
                  <w:lang w:val="en-GB"/>
                </w:rPr>
                <w:t>Vol. 802 Col.1269</w:t>
              </w:r>
            </w:hyperlink>
          </w:p>
          <w:p>
            <w:pPr>
              <w:pStyle w:val="TTableText"/>
              <w:spacing w:before="0" w:after="120"/>
              <w:rPr>
                <w:lang w:val="en-GB"/>
              </w:rPr>
            </w:pPr>
            <w:r>
              <w:rPr>
                <w:lang w:val="en-GB"/>
              </w:rPr>
              <w:t xml:space="preserve">House of Commons  </w:t>
            </w:r>
            <w:r>
              <w:fldChar w:fldCharType="begin"/>
            </w:r>
            <w:r>
              <w:rPr>
                <w:rStyle w:val="Hyperlink"/>
                <w:lang w:val="en-GB"/>
              </w:rPr>
              <w:instrText xml:space="preserve"> HYPERLINK "https://hansard.parliament.uk/Commons/2020-03-16/debates/1506ECC8-F5CB-4757-A868-E002637BC80F/Prayers?highlight=nhs%20funding%20assent" \l "contribution-A6B30858-4160-440E-A0A4-88926CF5D8B6"</w:instrText>
            </w:r>
            <w:r>
              <w:rPr>
                <w:rStyle w:val="Hyperlink"/>
                <w:lang w:val="en-GB"/>
              </w:rPr>
              <w:fldChar w:fldCharType="separate"/>
            </w:r>
            <w:r>
              <w:rPr>
                <w:rStyle w:val="Hyperlink"/>
                <w:lang w:val="en-GB"/>
              </w:rPr>
              <w:t>Vol. 673</w:t>
            </w:r>
            <w:r>
              <w:rPr>
                <w:rStyle w:val="Hyperlink"/>
                <w:lang w:val="en-GB"/>
              </w:rPr>
              <w:fldChar w:fldCharType="end"/>
            </w:r>
          </w:p>
        </w:tc>
      </w:tr>
    </w:tbl>
    <w:p>
      <w:pPr>
        <w:pStyle w:val="ParaMainText"/>
        <w:spacing w:before="0" w:after="150"/>
        <w:rPr>
          <w:lang w:val="en-GB"/>
        </w:rPr>
      </w:pPr>
      <w:r>
        <w:rPr>
          <w:lang w:val="en-GB"/>
        </w:rPr>
      </w:r>
    </w:p>
    <w:sectPr>
      <w:headerReference w:type="default" r:id="rId11"/>
      <w:headerReference w:type="first" r:id="rId12"/>
      <w:footerReference w:type="default" r:id="rId13"/>
      <w:footerReference w:type="first" r:id="rId14"/>
      <w:footnotePr>
        <w:numFmt w:val="decimal"/>
      </w:footnotePr>
      <w:type w:val="nextPage"/>
      <w:pgSz w:w="11906" w:h="16838"/>
      <w:pgMar w:left="1701" w:right="1134" w:gutter="0" w:header="720" w:top="1134" w:footer="720" w:bottom="1673"/>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HelveticaNeue-Bold">
    <w:altName w:val="Arial"/>
    <w:charset w:val="00"/>
    <w:family w:val="swiss"/>
    <w:pitch w:val="default"/>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Helvetica Neue">
    <w:altName w:val="Malgun Gothic"/>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Style w:val="FooterText"/>
      </w:rPr>
      <w:t>These Explanatory Notes relate to the NHS Funding Act 2020 (c. 5) which received Royal Assent on 16 March 2020</w:t>
      <w:tab/>
    </w:r>
    <w:r>
      <mc:AlternateContent>
        <mc:Choice Requires="wps">
          <w:drawing>
            <wp:anchor behindDoc="0" distT="0" distB="0" distL="0" distR="0" simplePos="0" locked="0" layoutInCell="0" allowOverlap="1" relativeHeight="10">
              <wp:simplePos x="0" y="0"/>
              <wp:positionH relativeFrom="page">
                <wp:posOffset>3726815</wp:posOffset>
              </wp:positionH>
              <wp:positionV relativeFrom="paragraph">
                <wp:posOffset>444500</wp:posOffset>
              </wp:positionV>
              <wp:extent cx="280035" cy="197485"/>
              <wp:effectExtent l="0" t="0" r="0" b="0"/>
              <wp:wrapSquare wrapText="bothSides"/>
              <wp:docPr id="1"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9</w:t>
                          </w:r>
                          <w:r>
                            <w:rPr/>
                            <w:fldChar w:fldCharType="end"/>
                          </w:r>
                        </w:p>
                        <w:p>
                          <w:pPr>
                            <w:pStyle w:val="Footer"/>
                            <w:spacing w:before="0" w:after="200"/>
                            <w:jc w:val="right"/>
                            <w:rPr>
                              <w:rStyle w:val="PageNumber"/>
                              <w:rFonts w:ascii="Helvetica Neue;Malgun Gothic" w:hAnsi="Helvetica Neue;Malgun Gothic" w:cs="Helvetica Neue;Malgun Gothic"/>
                            </w:rPr>
                          </w:pPr>
                          <w:r>
                            <w:rPr/>
                            <w:fldChar w:fldCharType="begin"/>
                          </w:r>
                          <w:r>
                            <w:rPr/>
                            <w:instrText xml:space="preserve"> PAGE </w:instrText>
                          </w:r>
                          <w:r>
                            <w:rPr/>
                            <w:fldChar w:fldCharType="separate"/>
                          </w:r>
                          <w:r>
                            <w:rPr/>
                            <w:t>9</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9</w:t>
                    </w:r>
                    <w:r>
                      <w:rPr/>
                      <w:fldChar w:fldCharType="end"/>
                    </w:r>
                  </w:p>
                  <w:p>
                    <w:pPr>
                      <w:pStyle w:val="Footer"/>
                      <w:spacing w:before="0" w:after="200"/>
                      <w:jc w:val="right"/>
                      <w:rPr>
                        <w:rStyle w:val="PageNumber"/>
                        <w:rFonts w:ascii="Helvetica Neue;Malgun Gothic" w:hAnsi="Helvetica Neue;Malgun Gothic" w:cs="Helvetica Neue;Malgun Gothic"/>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both"/>
      <w:rPr/>
    </w:pPr>
    <w:r>
      <w:rPr/>
      <w:t>c.5-EN</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w:t>
      </w:r>
      <w:r>
        <w:rPr>
          <w:rStyle w:val="FootnoteCharacters"/>
        </w:rPr>
        <w:t>?</w:t>
      </w:r>
      <w:r>
        <w:rPr/>
        <w:t>)</w:t>
        <w:tab/>
        <w:t xml:space="preserve">This year’s estimates can be found at: </w:t>
      </w:r>
      <w:hyperlink r:id="rId1">
        <w:r>
          <w:rPr>
            <w:rStyle w:val="Hyperlink"/>
          </w:rPr>
          <w:t>https://assets.publishing.service.gov.uk/government/uploads/system/uploads/attachment_data/file/800671/main_estimates_2019-20_web.pdf</w:t>
        </w:r>
      </w:hyperlink>
      <w:r>
        <w:rPr/>
        <w:t xml:space="preserve">. Separate figures in relation to NHSE are included at page 129. </w:t>
      </w:r>
    </w:p>
    <w:p>
      <w:pPr>
        <w:pStyle w:val="FootnoteText"/>
        <w:spacing w:lineRule="auto" w:line="240" w:before="0" w:after="120"/>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880" w:hanging="360"/>
      </w:pPr>
      <w:rPr>
        <w:rFonts w:ascii="Symbol" w:hAnsi="Symbol" w:cs="Symbol" w:hint="default"/>
        <w:color w:val="4F81BD"/>
      </w:rPr>
    </w:lvl>
  </w:abstractNum>
  <w:abstractNum w:abstractNumId="3">
    <w:lvl w:ilvl="0">
      <w:start w:val="1"/>
      <w:numFmt w:val="decimal"/>
      <w:lvlText w:val="%1 "/>
      <w:lvlJc w:val="left"/>
      <w:pPr>
        <w:tabs>
          <w:tab w:val="num" w:pos="0"/>
        </w:tabs>
        <w:ind w:left="720" w:hanging="360"/>
      </w:pPr>
      <w:rPr/>
    </w:lvl>
  </w:abstractNum>
  <w:abstractNum w:abstractNumId="4">
    <w:lvl w:ilvl="0">
      <w:start w:val="1"/>
      <w:numFmt w:val="decimal"/>
      <w:lvlText w:val="Section %1: "/>
      <w:lvlJc w:val="left"/>
      <w:pPr>
        <w:tabs>
          <w:tab w:val="num" w:pos="0"/>
        </w:tabs>
        <w:ind w:left="720" w:hanging="360"/>
      </w:pPr>
      <w:rPr/>
    </w:lvl>
  </w:abstractNum>
  <w:abstractNum w:abstractNumId="5">
    <w:lvl w:ilvl="0">
      <w:start w:val="1"/>
      <w:numFmt w:val="bullet"/>
      <w:lvlText w:val=""/>
      <w:lvlJc w:val="left"/>
      <w:pPr>
        <w:tabs>
          <w:tab w:val="num" w:pos="907"/>
        </w:tabs>
        <w:ind w:left="907" w:hanging="306"/>
      </w:pPr>
      <w:rPr>
        <w:rFonts w:ascii="Symbol" w:hAnsi="Symbol" w:cs="Symbol" w:hint="default"/>
        <w:color w:val="4F81BD"/>
      </w:rPr>
    </w:lvl>
  </w:abstractNum>
  <w:abstractNum w:abstractNumId="6">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7">
    <w:lvl w:ilvl="0">
      <w:start w:val="1"/>
      <w:numFmt w:val="bullet"/>
      <w:lvlText w:val=""/>
      <w:lvlJc w:val="left"/>
      <w:pPr>
        <w:tabs>
          <w:tab w:val="num" w:pos="794"/>
        </w:tabs>
        <w:ind w:left="794" w:hanging="454"/>
      </w:pPr>
      <w:rPr>
        <w:rFonts w:ascii="Symbol" w:hAnsi="Symbol" w:cs="Symbol" w:hint="default"/>
        <w:color w:val="4F81BD"/>
      </w:rPr>
    </w:lvl>
  </w:abstractNum>
  <w:abstractNum w:abstractNumId="8">
    <w:lvl w:ilvl="0">
      <w:start w:val="1"/>
      <w:numFmt w:val="decimal"/>
      <w:lvlText w:val="Schedule %1: "/>
      <w:lvlJc w:val="left"/>
      <w:pPr>
        <w:tabs>
          <w:tab w:val="num" w:pos="0"/>
        </w:tabs>
        <w:ind w:left="720" w:hanging="360"/>
      </w:pPr>
      <w:rPr/>
    </w:lvl>
  </w:abstractNum>
  <w:abstractNum w:abstractNumId="9">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mirrorMargins/>
  <w:defaultTabStop w:val="72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color w:val="4F81BD"/>
      <w:sz w:val="32"/>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color w:val="000000"/>
      <w:sz w:val="20"/>
    </w:rPr>
  </w:style>
  <w:style w:type="character" w:styleId="WW8Num11z3">
    <w:name w:val="WW8Num11z3"/>
    <w:qFormat/>
    <w:rPr>
      <w:rFonts w:ascii="Symbol" w:hAnsi="Symbol" w:cs="Symbol"/>
    </w:rPr>
  </w:style>
  <w:style w:type="character" w:styleId="WW8Num11z5">
    <w:name w:val="WW8Num11z5"/>
    <w:qFormat/>
    <w:rPr>
      <w:rFonts w:ascii="Wingdings" w:hAnsi="Wingdings" w:cs="Wingdings"/>
    </w:rPr>
  </w:style>
  <w:style w:type="character" w:styleId="WW8Num12z0">
    <w:name w:val="WW8Num12z0"/>
    <w:qFormat/>
    <w:rPr/>
  </w:style>
  <w:style w:type="character" w:styleId="WW8Num13z0">
    <w:name w:val="WW8Num13z0"/>
    <w:qFormat/>
    <w:rPr>
      <w:rFonts w:ascii="Symbol" w:hAnsi="Symbol" w:cs="Symbol"/>
      <w:color w:val="4F81BD"/>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rFonts w:ascii="Symbol" w:hAnsi="Symbol" w:cs="Symbol"/>
      <w:color w:val="548DD4"/>
      <w:sz w:val="32"/>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9z0">
    <w:name w:val="WW8Num19z0"/>
    <w:qFormat/>
    <w:rPr>
      <w:rFonts w:ascii="Symbol" w:hAnsi="Symbol" w:cs="Symbol"/>
      <w:color w:val="4F81BD"/>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Symbol" w:hAnsi="Symbol" w:cs="Symbol"/>
      <w:color w:val="548DD4"/>
      <w:sz w:val="32"/>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color w:val="4F81BD"/>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style>
  <w:style w:type="character" w:styleId="WW8Num24z0">
    <w:name w:val="WW8Num24z0"/>
    <w:qFormat/>
    <w:rPr>
      <w:rFonts w:ascii="Symbol" w:hAnsi="Symbol" w:cs="Symbol"/>
      <w:color w:val="4F81BD"/>
      <w:sz w:val="32"/>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Times New Roman" w:cs="Times New Roman"/>
      <w:b/>
      <w:bCs/>
      <w:color w:val="0070C0"/>
      <w:sz w:val="36"/>
      <w:szCs w:val="28"/>
    </w:rPr>
  </w:style>
  <w:style w:type="character" w:styleId="Heading2Char">
    <w:name w:val="Heading 2 Char"/>
    <w:qFormat/>
    <w:rPr>
      <w:rFonts w:ascii="HelveticaNeue-Bold;Arial" w:hAnsi="HelveticaNeue-Bold;Arial" w:eastAsia="Times New Roman" w:cs="Times New Roman"/>
      <w:b/>
      <w:bCs/>
      <w:color w:val="0070C0"/>
      <w:sz w:val="32"/>
      <w:szCs w:val="32"/>
    </w:rPr>
  </w:style>
  <w:style w:type="character" w:styleId="Heading3Char">
    <w:name w:val="Heading 3 Char"/>
    <w:qFormat/>
    <w:rPr>
      <w:rFonts w:ascii="HelveticaNeue-Bold;Arial" w:hAnsi="HelveticaNeue-Bold;Arial" w:eastAsia="Times New Roman" w:cs="Times New Roman"/>
      <w:b/>
      <w:bCs/>
      <w:color w:val="0070C0"/>
      <w:sz w:val="28"/>
      <w:szCs w:val="32"/>
    </w:rPr>
  </w:style>
  <w:style w:type="character" w:styleId="Heading4Char">
    <w:name w:val="Heading 4 Char"/>
    <w:qFormat/>
    <w:rPr>
      <w:rFonts w:ascii="Palatino Linotype" w:hAnsi="Palatino Linotype" w:eastAsia="Times New Roman" w:cs="Times New Roman"/>
      <w:bCs/>
      <w:color w:val="0070C0"/>
      <w:sz w:val="24"/>
      <w:szCs w:val="32"/>
      <w:lang w:val="en-GB"/>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Arial"/>
      <w:b/>
      <w:bCs/>
      <w:color w:val="0076BF"/>
      <w:sz w:val="36"/>
      <w:szCs w:val="36"/>
    </w:rPr>
  </w:style>
  <w:style w:type="character" w:styleId="WhatthesenotesdoChar">
    <w:name w:val="Whatthesenotesdo Char"/>
    <w:qFormat/>
    <w:rPr>
      <w:rFonts w:ascii="Arial" w:hAnsi="Arial" w:cs="HelveticaNeue-Bold;Arial"/>
      <w:b/>
      <w:bCs/>
      <w:color w:val="0076BF"/>
      <w:sz w:val="32"/>
      <w:szCs w:val="36"/>
    </w:rPr>
  </w:style>
  <w:style w:type="character" w:styleId="ToCHeadingChar">
    <w:name w:val="ToC Heading Char"/>
    <w:qFormat/>
    <w:rPr>
      <w:rFonts w:ascii="HelveticaNeue-Bold;Arial" w:hAnsi="HelveticaNeue-Bold;Arial" w:cs="HelveticaNeue-Bold;Arial"/>
      <w:b/>
      <w:bCs/>
      <w:color w:val="0076BF"/>
      <w:sz w:val="36"/>
      <w:szCs w:val="36"/>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Linotype-Roman;Palatino Linotype" w:hAnsi="PalatinoLinotype-Roman;Palatino Linotype" w:cs="PalatinoLinotype-Roman;Palatino Linotype"/>
      <w:color w:val="000000"/>
      <w:sz w:val="20"/>
      <w:szCs w:val="24"/>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 w:val="20"/>
      <w:szCs w:val="24"/>
    </w:rPr>
  </w:style>
  <w:style w:type="character" w:styleId="ParaBulletedChar">
    <w:name w:val="Para: Bulleted Char"/>
    <w:qFormat/>
    <w:rPr>
      <w:rFonts w:ascii="PalatinoLinotype-Roman;Palatino Linotype" w:hAnsi="PalatinoLinotype-Roman;Palatino Linotype" w:cs="PalatinoLinotype-Roman;Palatino Linotype"/>
      <w:color w:val="000000"/>
      <w:sz w:val="20"/>
      <w:szCs w:val="24"/>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Linotype-Roman;Palatino Linotype" w:hAnsi="PalatinoLinotype-Roman;Palatino Linotype" w:cs="PalatinoLinotype-Roman;Palatino Linotype"/>
      <w:color w:val="000000"/>
      <w:sz w:val="20"/>
      <w:szCs w:val="24"/>
    </w:rPr>
  </w:style>
  <w:style w:type="character" w:styleId="HSubheading4Char">
    <w:name w:val="H: Subheading 4 Char"/>
    <w:qFormat/>
    <w:rPr>
      <w:rFonts w:ascii="Palatino Linotype" w:hAnsi="Palatino Linotype" w:eastAsia="Times New Roman" w:cs="Times New Roman"/>
      <w:b w:val="false"/>
      <w:bCs/>
      <w:color w:val="0070C0"/>
      <w:sz w:val="24"/>
      <w:szCs w:val="24"/>
      <w:lang w:val="en-GB"/>
    </w:rPr>
  </w:style>
  <w:style w:type="character" w:styleId="ScheduleHeadingChar">
    <w:name w:val="Schedule Heading Char"/>
    <w:qFormat/>
    <w:rPr>
      <w:rFonts w:ascii="HelveticaNeue-Bold;Arial" w:hAnsi="HelveticaNeue-Bold;Arial" w:eastAsia="Times New Roman" w:cs="Times New Roman"/>
      <w:b/>
      <w:bCs/>
      <w:color w:val="0070C0"/>
      <w:sz w:val="28"/>
      <w:szCs w:val="32"/>
    </w:rPr>
  </w:style>
  <w:style w:type="character" w:styleId="HSubheading3Char">
    <w:name w:val="H: Subheading 3 Char"/>
    <w:qFormat/>
    <w:rPr>
      <w:rFonts w:ascii="HelveticaNeue-Bold;Arial" w:hAnsi="HelveticaNeue-Bold;Arial" w:eastAsia="Times New Roman" w:cs="Times New Roman"/>
      <w:b/>
      <w:bCs/>
      <w:color w:val="0070C0"/>
      <w:sz w:val="28"/>
      <w:szCs w:val="28"/>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HelveticaNeue-Bold;Arial" w:hAnsi="HelveticaNeue-Bold;Arial" w:eastAsia="Times New Roman" w:cs="Times New Roman"/>
      <w:b/>
      <w:bCs/>
      <w:color w:val="0070C0"/>
      <w:sz w:val="32"/>
      <w:szCs w:val="32"/>
    </w:rPr>
  </w:style>
  <w:style w:type="character" w:styleId="SectionHeadingChar">
    <w:name w:val="Section Heading Char"/>
    <w:qFormat/>
    <w:rPr>
      <w:rFonts w:ascii="PalatinoLinotype-Roman;Palatino Linotype" w:hAnsi="PalatinoLinotype-Roman;Palatino Linotype" w:eastAsia="Times New Roman" w:cs="Times New Roman"/>
      <w:b w:val="false"/>
      <w:bCs/>
      <w:color w:val="0070C0"/>
      <w:sz w:val="24"/>
      <w:szCs w:val="32"/>
      <w:lang w:val="en-GB"/>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eastAsia="Times New Roman" w:cs="Times New Roman"/>
      <w:b/>
      <w:bCs/>
      <w:color w:val="0070C0"/>
      <w:sz w:val="24"/>
      <w:szCs w:val="24"/>
      <w:lang w:val="en-GB"/>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Times New Roman"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Arial"/>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Aria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Arial"/>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2"/>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5"/>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Arial"/>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Arial"/>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Arial"/>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Aria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Aria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Arial"/>
      <w:szCs w:val="20"/>
    </w:rPr>
  </w:style>
  <w:style w:type="paragraph" w:styleId="ENtabletextsub-bulletsTables">
    <w:name w:val="EN table text sub-bullets (Tables"/>
    <w:basedOn w:val="NoParagraphStyle"/>
    <w:qFormat/>
    <w:pPr>
      <w:numPr>
        <w:ilvl w:val="0"/>
        <w:numId w:val="7"/>
      </w:numPr>
      <w:suppressAutoHyphens w:val="true"/>
      <w:spacing w:lineRule="atLeast" w:line="240" w:before="0" w:after="120"/>
    </w:pPr>
    <w:rPr>
      <w:rFonts w:ascii="Arial" w:hAnsi="Arial" w:cs="HelveticaNeue;Aria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Aria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Arial"/>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3"/>
      </w:numPr>
      <w:spacing w:lineRule="atLeast" w:line="200"/>
      <w:ind w:hanging="357" w:left="714" w:right="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9"/>
      </w:numPr>
    </w:pPr>
    <w:rPr/>
  </w:style>
  <w:style w:type="paragraph" w:styleId="ENIntroTextBulleted">
    <w:name w:val="EN Intro Text (Bulleted)"/>
    <w:basedOn w:val="ENBodyTextBullets"/>
    <w:qFormat/>
    <w:pPr>
      <w:numPr>
        <w:ilvl w:val="0"/>
        <w:numId w:val="6"/>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8"/>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4"/>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Revision">
    <w:name w:val="Revision"/>
    <w:qFormat/>
    <w:pPr>
      <w:widowControl/>
      <w:bidi w:val="0"/>
    </w:pPr>
    <w:rPr>
      <w:rFonts w:ascii="Calibri" w:hAnsi="Calibri" w:eastAsia="Times New Roman" w:cs="Times New Roman"/>
      <w:color w:val="auto"/>
      <w:sz w:val="22"/>
      <w:szCs w:val="22"/>
      <w:lang w:val="en-GB" w:bidi="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egislation.gov.uk/ukpga/2006/41/contents" TargetMode="External"/><Relationship Id="rId3" Type="http://schemas.openxmlformats.org/officeDocument/2006/relationships/hyperlink" Target="https://www.longtermplan.nhs.uk/wp-content/uploads/2019/08/nhs-long-term-plan-version-1.2.pdf" TargetMode="External"/><Relationship Id="rId4" Type="http://schemas.openxmlformats.org/officeDocument/2006/relationships/hyperlink" Target="https://hansard.parliament.uk/Commons/2020-02-04/debates/A3B1554C-FB48-4F9B-A6EA-B78AD05D0E02/NHSFundingBill" TargetMode="External"/><Relationship Id="rId5" Type="http://schemas.openxmlformats.org/officeDocument/2006/relationships/hyperlink" Target="https://hansard.parliament.uk/Lords/2020-02-05/debates/E5A4DF24-DEBC-4919-963C-F7C40204C937/NHSFundingBill" TargetMode="External"/><Relationship Id="rId6" Type="http://schemas.openxmlformats.org/officeDocument/2006/relationships/hyperlink" Target="https://hansard.parliament.uk/Lords/2020-02-26/debates/CD1B3BAE-E93E-4444-B775-65742E1DFF73/NHSFundingBill(MoneyBill)" TargetMode="External"/><Relationship Id="rId7" Type="http://schemas.openxmlformats.org/officeDocument/2006/relationships/hyperlink" Target="https://hansard.parliament.uk/Lords/2020-02-26/debates/CD1B3BAE-E93E-4444-B775-65742E1DFF73/NHSFundingBill(MoneyBill)" TargetMode="External"/><Relationship Id="rId8" Type="http://schemas.openxmlformats.org/officeDocument/2006/relationships/hyperlink" Target="https://hansard.parliament.uk/Lords/2020-02-26/debates/CD1B3BAE-E93E-4444-B775-65742E1DFF73/NHSFundingBill(MoneyBill)" TargetMode="External"/><Relationship Id="rId9" Type="http://schemas.openxmlformats.org/officeDocument/2006/relationships/hyperlink" Target="https://hansard.parliament.uk/Lords/2020-02-26/debates/CD1B3BAE-E93E-4444-B775-65742E1DFF73/NHSFundingBill(MoneyBill)" TargetMode="External"/><Relationship Id="rId10" Type="http://schemas.openxmlformats.org/officeDocument/2006/relationships/hyperlink" Target="https://hansard.parliament.uk/Lords/2020-03-16/debates/0A151609-7821-45D4-9677-FC9886FC59B3/RoyalAssent"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notes" Target="footnote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assets.publishing.service.gov.uk/government/uploads/system/uploads/attachment_data/file/800671/main_estimates_2019-20_web.pdf"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2020-05-19T16:44:00Z</dcterms:created>
  <dc:creator>Guidance</dc:creator>
  <dc:description>Template last amended 01/02/2016</dc:description>
  <cp:keywords>v.1.5.2</cp:keywords>
  <dc:language>en-GB</dc:language>
  <cp:lastModifiedBy>Bell, Samantha</cp:lastModifiedBy>
  <cp:lastPrinted>2020-05-20T09:17:00Z</cp:lastPrinted>
  <dcterms:modified xsi:type="dcterms:W3CDTF">2020-05-20T09:22:00Z</dcterms:modified>
  <cp:revision>5</cp:revision>
  <dc:subject/>
  <dc:title/>
</cp:coreProperties>
</file>