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E1" w:rsidRPr="00CA4237" w:rsidRDefault="00784F16" w:rsidP="0067758B">
      <w:pPr>
        <w:pStyle w:val="StyleENBilltitleText1"/>
        <w:rPr>
          <w:color w:val="auto"/>
          <w:lang w:val="en-GB"/>
        </w:rPr>
      </w:pPr>
      <w:r>
        <w:t>animal welfare (sentencing) act 2021</w:t>
      </w:r>
      <w:r w:rsidR="00630235">
        <w:rPr>
          <w:color w:val="auto"/>
          <w:lang w:val="en-GB"/>
        </w:rPr>
        <w:t xml:space="preserve"> </w:t>
      </w:r>
      <w:bookmarkStart w:id="0" w:name="_GoBack"/>
      <w:bookmarkEnd w:id="0"/>
    </w:p>
    <w:p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rsidR="00E718E1" w:rsidRPr="00CA4237" w:rsidRDefault="00E718E1" w:rsidP="00174D63">
      <w:pPr>
        <w:pStyle w:val="ENHeading1Unindexed"/>
        <w:rPr>
          <w:lang w:val="en-GB"/>
        </w:rPr>
      </w:pPr>
      <w:r w:rsidRPr="00CA4237">
        <w:rPr>
          <w:lang w:val="en-GB"/>
        </w:rPr>
        <w:t>What these notes do</w:t>
      </w:r>
      <w:r w:rsidRPr="00CA4237">
        <w:rPr>
          <w:lang w:val="en-GB"/>
        </w:rPr>
        <w:t> </w:t>
      </w:r>
    </w:p>
    <w:p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784F16">
        <w:rPr>
          <w:rStyle w:val="StylePlaceholderTextLatinPalatinoLinotype-Roman10pt"/>
          <w:color w:val="auto"/>
        </w:rPr>
        <w:t xml:space="preserve"> Animal Welfare (Sentencing) Act 2021 which rec</w:t>
      </w:r>
      <w:r w:rsidR="00D755AE">
        <w:rPr>
          <w:rStyle w:val="StylePlaceholderTextLatinPalatinoLinotype-Roman10pt"/>
          <w:color w:val="auto"/>
        </w:rPr>
        <w:t>eived Royal Assent on 29</w:t>
      </w:r>
      <w:r w:rsidR="00784F16">
        <w:rPr>
          <w:rStyle w:val="StylePlaceholderTextLatinPalatinoLinotype-Roman10pt"/>
          <w:color w:val="auto"/>
        </w:rPr>
        <w:t xml:space="preserve"> April 2021</w:t>
      </w:r>
      <w:r w:rsidR="00C5462B">
        <w:rPr>
          <w:rStyle w:val="StylePlaceholderTextLatinPalatinoLinotype-Roman10pt"/>
          <w:color w:val="auto"/>
        </w:rPr>
        <w:t xml:space="preserve"> (c. 21)</w:t>
      </w:r>
      <w:r w:rsidR="00784F16">
        <w:rPr>
          <w:color w:val="auto"/>
        </w:rPr>
        <w:t>.</w:t>
      </w:r>
    </w:p>
    <w:p w:rsidR="00E718E1" w:rsidRPr="00AE5693" w:rsidRDefault="00E718E1" w:rsidP="00146FE0">
      <w:pPr>
        <w:pStyle w:val="StyleENIntroTextBulletedLatinPalatinoLinotype-Roman"/>
      </w:pPr>
      <w:r w:rsidRPr="007879DF">
        <w:rPr>
          <w:color w:val="auto"/>
        </w:rPr>
        <w:t>These Explanatory Notes have been</w:t>
      </w:r>
      <w:r w:rsidR="00784F16">
        <w:rPr>
          <w:rStyle w:val="StylePlaceholderTextLatinPalatinoLinotype-Roman10pt"/>
          <w:color w:val="auto"/>
        </w:rPr>
        <w:t xml:space="preserve"> prepared by the Department </w:t>
      </w:r>
      <w:r w:rsidR="00D755AE">
        <w:rPr>
          <w:rStyle w:val="StylePlaceholderTextLatinPalatinoLinotype-Roman10pt"/>
          <w:color w:val="auto"/>
        </w:rPr>
        <w:t>for</w:t>
      </w:r>
      <w:r w:rsidR="00784F16">
        <w:rPr>
          <w:rStyle w:val="StylePlaceholderTextLatinPalatinoLinotype-Roman10pt"/>
          <w:color w:val="auto"/>
        </w:rPr>
        <w:t xml:space="preserve"> Environment, Food and Rural Affairs</w:t>
      </w:r>
      <w:r w:rsidRPr="007879DF">
        <w:rPr>
          <w:color w:val="auto"/>
        </w:rPr>
        <w:t xml:space="preserve"> in order to assist the reader </w:t>
      </w:r>
      <w:r w:rsidR="00784F16">
        <w:t>in understanding the Act</w:t>
      </w:r>
      <w:r w:rsidRPr="007879DF">
        <w:rPr>
          <w:color w:val="auto"/>
        </w:rPr>
        <w:t>. They do not form part of the</w:t>
      </w:r>
      <w:r w:rsidRPr="00146FE0">
        <w:t xml:space="preserve"> </w:t>
      </w:r>
      <w:r w:rsidR="00784F16">
        <w:t>Act</w:t>
      </w:r>
      <w:r w:rsidR="00F4644B" w:rsidRPr="00AE5693">
        <w:t xml:space="preserve"> </w:t>
      </w:r>
      <w:r w:rsidRPr="00AE5693">
        <w:t>and have not been endorsed by Parliament.</w:t>
      </w:r>
    </w:p>
    <w:p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784F16">
        <w:t>Act</w:t>
      </w:r>
      <w:r w:rsidR="00F4644B" w:rsidRPr="00146FE0">
        <w:t xml:space="preserve"> </w:t>
      </w:r>
      <w:r w:rsidR="00FD6AE0" w:rsidRPr="00146FE0">
        <w:t xml:space="preserve">will mean in practice; provide background information on the development of policy; and provide additional information on how the </w:t>
      </w:r>
      <w:r w:rsidR="00784F16">
        <w:t>Act</w:t>
      </w:r>
      <w:r w:rsidR="00F4644B" w:rsidRPr="00AE5693">
        <w:t xml:space="preserve"> </w:t>
      </w:r>
      <w:r w:rsidR="00FD6AE0" w:rsidRPr="00AE5693">
        <w:t xml:space="preserve">will affect existing legislation in this area. </w:t>
      </w:r>
    </w:p>
    <w:p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784F16">
        <w:t>Act</w:t>
      </w:r>
      <w:r w:rsidRPr="00146FE0">
        <w:t xml:space="preserve">. They are not, and are not intended to be, a comprehensive description of the </w:t>
      </w:r>
      <w:r w:rsidR="00784F16">
        <w:t>Act</w:t>
      </w:r>
      <w:r w:rsidR="005D36BD" w:rsidRPr="00146FE0">
        <w:t>.</w:t>
      </w:r>
    </w:p>
    <w:p w:rsidR="00784F16" w:rsidRDefault="00784F16" w:rsidP="00EC4FF9">
      <w:pPr>
        <w:pStyle w:val="ENHeading1Unindexed"/>
        <w:rPr>
          <w:lang w:val="en-GB"/>
        </w:rPr>
      </w:pPr>
    </w:p>
    <w:p w:rsidR="00784F16" w:rsidRPr="00784F16" w:rsidRDefault="00784F16" w:rsidP="00784F16"/>
    <w:p w:rsidR="00784F16" w:rsidRPr="00784F16" w:rsidRDefault="00784F16" w:rsidP="00784F16"/>
    <w:p w:rsidR="00784F16" w:rsidRPr="00784F16" w:rsidRDefault="00784F16" w:rsidP="00784F16"/>
    <w:p w:rsidR="00784F16" w:rsidRPr="00784F16" w:rsidRDefault="00784F16" w:rsidP="00784F16"/>
    <w:p w:rsidR="00784F16" w:rsidRPr="00784F16" w:rsidRDefault="00784F16" w:rsidP="00784F16"/>
    <w:p w:rsidR="00784F16" w:rsidRPr="00784F16" w:rsidRDefault="00784F16" w:rsidP="00784F16"/>
    <w:p w:rsidR="00784F16" w:rsidRPr="00784F16" w:rsidRDefault="00784F16" w:rsidP="00784F16"/>
    <w:p w:rsidR="00784F16" w:rsidRPr="00784F16" w:rsidRDefault="00784F16" w:rsidP="00784F16"/>
    <w:p w:rsidR="00784F16" w:rsidRPr="00784F16" w:rsidRDefault="00784F16" w:rsidP="00784F16"/>
    <w:p w:rsidR="00784F16" w:rsidRPr="00784F16" w:rsidRDefault="00784F16" w:rsidP="00784F16"/>
    <w:p w:rsidR="00784F16" w:rsidRDefault="00784F16" w:rsidP="00784F16">
      <w:pPr>
        <w:tabs>
          <w:tab w:val="left" w:pos="1920"/>
        </w:tabs>
      </w:pPr>
      <w:r>
        <w:tab/>
      </w:r>
    </w:p>
    <w:p w:rsidR="00C54216" w:rsidRPr="00CA4237" w:rsidRDefault="000815DA" w:rsidP="00EC4FF9">
      <w:pPr>
        <w:pStyle w:val="ENHeading1Unindexed"/>
        <w:rPr>
          <w:lang w:val="en-GB"/>
        </w:rPr>
      </w:pPr>
      <w:r w:rsidRPr="00E938E4">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rsidTr="00A64BF2">
        <w:tc>
          <w:tcPr>
            <w:tcW w:w="4643" w:type="dxa"/>
            <w:shd w:val="clear" w:color="auto" w:fill="auto"/>
          </w:tcPr>
          <w:p w:rsidR="00EC4FF9" w:rsidRPr="00A64BF2" w:rsidRDefault="00EC4FF9" w:rsidP="00A64BF2">
            <w:pPr>
              <w:pStyle w:val="StyleTOC1Bold"/>
              <w:jc w:val="left"/>
              <w:rPr>
                <w:b/>
              </w:rPr>
            </w:pPr>
            <w:r w:rsidRPr="00A64BF2">
              <w:rPr>
                <w:b/>
              </w:rPr>
              <w:t>Subject</w:t>
            </w:r>
          </w:p>
        </w:tc>
        <w:tc>
          <w:tcPr>
            <w:tcW w:w="4644" w:type="dxa"/>
            <w:shd w:val="clear" w:color="auto" w:fill="auto"/>
          </w:tcPr>
          <w:p w:rsidR="00EC4FF9" w:rsidRPr="00A64BF2" w:rsidRDefault="00EC4FF9" w:rsidP="0067758B">
            <w:pPr>
              <w:pStyle w:val="StyleTOC1BoldRight"/>
              <w:rPr>
                <w:b/>
              </w:rPr>
            </w:pPr>
            <w:r w:rsidRPr="00A64BF2">
              <w:rPr>
                <w:b/>
              </w:rPr>
              <w:t>Page of these Notes</w:t>
            </w:r>
          </w:p>
        </w:tc>
      </w:tr>
    </w:tbl>
    <w:p w:rsidR="003754CE"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71295712" w:history="1">
        <w:r w:rsidR="003754CE" w:rsidRPr="00982254">
          <w:rPr>
            <w:rStyle w:val="Hyperlink"/>
            <w:noProof/>
          </w:rPr>
          <w:t>Overview of the Act</w:t>
        </w:r>
        <w:r w:rsidR="003754CE">
          <w:rPr>
            <w:noProof/>
            <w:webHidden/>
          </w:rPr>
          <w:tab/>
        </w:r>
        <w:r w:rsidR="003754CE">
          <w:rPr>
            <w:noProof/>
            <w:webHidden/>
          </w:rPr>
          <w:fldChar w:fldCharType="begin"/>
        </w:r>
        <w:r w:rsidR="003754CE">
          <w:rPr>
            <w:noProof/>
            <w:webHidden/>
          </w:rPr>
          <w:instrText xml:space="preserve"> PAGEREF _Toc71295712 \h </w:instrText>
        </w:r>
        <w:r w:rsidR="003754CE">
          <w:rPr>
            <w:noProof/>
            <w:webHidden/>
          </w:rPr>
        </w:r>
        <w:r w:rsidR="003754CE">
          <w:rPr>
            <w:noProof/>
            <w:webHidden/>
          </w:rPr>
          <w:fldChar w:fldCharType="separate"/>
        </w:r>
        <w:r w:rsidR="003754CE">
          <w:rPr>
            <w:noProof/>
            <w:webHidden/>
          </w:rPr>
          <w:t>3</w:t>
        </w:r>
        <w:r w:rsidR="003754CE">
          <w:rPr>
            <w:noProof/>
            <w:webHidden/>
          </w:rPr>
          <w:fldChar w:fldCharType="end"/>
        </w:r>
      </w:hyperlink>
    </w:p>
    <w:p w:rsidR="003754CE" w:rsidRDefault="003754CE">
      <w:pPr>
        <w:pStyle w:val="TOC1"/>
        <w:rPr>
          <w:rFonts w:asciiTheme="minorHAnsi" w:eastAsiaTheme="minorEastAsia" w:hAnsiTheme="minorHAnsi" w:cstheme="minorBidi"/>
          <w:b w:val="0"/>
          <w:bCs w:val="0"/>
          <w:noProof/>
          <w:sz w:val="22"/>
          <w:szCs w:val="22"/>
          <w:lang w:eastAsia="en-GB" w:bidi="ar-SA"/>
        </w:rPr>
      </w:pPr>
      <w:hyperlink w:anchor="_Toc71295713" w:history="1">
        <w:r w:rsidRPr="00982254">
          <w:rPr>
            <w:rStyle w:val="Hyperlink"/>
            <w:noProof/>
          </w:rPr>
          <w:t>Policy background</w:t>
        </w:r>
        <w:r>
          <w:rPr>
            <w:noProof/>
            <w:webHidden/>
          </w:rPr>
          <w:tab/>
        </w:r>
        <w:r>
          <w:rPr>
            <w:noProof/>
            <w:webHidden/>
          </w:rPr>
          <w:fldChar w:fldCharType="begin"/>
        </w:r>
        <w:r>
          <w:rPr>
            <w:noProof/>
            <w:webHidden/>
          </w:rPr>
          <w:instrText xml:space="preserve"> PAGEREF _Toc71295713 \h </w:instrText>
        </w:r>
        <w:r>
          <w:rPr>
            <w:noProof/>
            <w:webHidden/>
          </w:rPr>
        </w:r>
        <w:r>
          <w:rPr>
            <w:noProof/>
            <w:webHidden/>
          </w:rPr>
          <w:fldChar w:fldCharType="separate"/>
        </w:r>
        <w:r>
          <w:rPr>
            <w:noProof/>
            <w:webHidden/>
          </w:rPr>
          <w:t>3</w:t>
        </w:r>
        <w:r>
          <w:rPr>
            <w:noProof/>
            <w:webHidden/>
          </w:rPr>
          <w:fldChar w:fldCharType="end"/>
        </w:r>
      </w:hyperlink>
    </w:p>
    <w:p w:rsidR="003754CE" w:rsidRDefault="003754CE">
      <w:pPr>
        <w:pStyle w:val="TOC1"/>
        <w:rPr>
          <w:rFonts w:asciiTheme="minorHAnsi" w:eastAsiaTheme="minorEastAsia" w:hAnsiTheme="minorHAnsi" w:cstheme="minorBidi"/>
          <w:b w:val="0"/>
          <w:bCs w:val="0"/>
          <w:noProof/>
          <w:sz w:val="22"/>
          <w:szCs w:val="22"/>
          <w:lang w:eastAsia="en-GB" w:bidi="ar-SA"/>
        </w:rPr>
      </w:pPr>
      <w:hyperlink w:anchor="_Toc71295714" w:history="1">
        <w:r w:rsidRPr="00982254">
          <w:rPr>
            <w:rStyle w:val="Hyperlink"/>
            <w:noProof/>
          </w:rPr>
          <w:t>Legal background</w:t>
        </w:r>
        <w:r>
          <w:rPr>
            <w:noProof/>
            <w:webHidden/>
          </w:rPr>
          <w:tab/>
        </w:r>
        <w:r>
          <w:rPr>
            <w:noProof/>
            <w:webHidden/>
          </w:rPr>
          <w:fldChar w:fldCharType="begin"/>
        </w:r>
        <w:r>
          <w:rPr>
            <w:noProof/>
            <w:webHidden/>
          </w:rPr>
          <w:instrText xml:space="preserve"> PAGEREF _Toc71295714 \h </w:instrText>
        </w:r>
        <w:r>
          <w:rPr>
            <w:noProof/>
            <w:webHidden/>
          </w:rPr>
        </w:r>
        <w:r>
          <w:rPr>
            <w:noProof/>
            <w:webHidden/>
          </w:rPr>
          <w:fldChar w:fldCharType="separate"/>
        </w:r>
        <w:r>
          <w:rPr>
            <w:noProof/>
            <w:webHidden/>
          </w:rPr>
          <w:t>4</w:t>
        </w:r>
        <w:r>
          <w:rPr>
            <w:noProof/>
            <w:webHidden/>
          </w:rPr>
          <w:fldChar w:fldCharType="end"/>
        </w:r>
      </w:hyperlink>
    </w:p>
    <w:p w:rsidR="003754CE" w:rsidRDefault="003754CE">
      <w:pPr>
        <w:pStyle w:val="TOC1"/>
        <w:rPr>
          <w:rFonts w:asciiTheme="minorHAnsi" w:eastAsiaTheme="minorEastAsia" w:hAnsiTheme="minorHAnsi" w:cstheme="minorBidi"/>
          <w:b w:val="0"/>
          <w:bCs w:val="0"/>
          <w:noProof/>
          <w:sz w:val="22"/>
          <w:szCs w:val="22"/>
          <w:lang w:eastAsia="en-GB" w:bidi="ar-SA"/>
        </w:rPr>
      </w:pPr>
      <w:hyperlink w:anchor="_Toc71295715" w:history="1">
        <w:r w:rsidRPr="00982254">
          <w:rPr>
            <w:rStyle w:val="Hyperlink"/>
            <w:noProof/>
          </w:rPr>
          <w:t>Territorial extent and application</w:t>
        </w:r>
        <w:r>
          <w:rPr>
            <w:noProof/>
            <w:webHidden/>
          </w:rPr>
          <w:tab/>
        </w:r>
        <w:r>
          <w:rPr>
            <w:noProof/>
            <w:webHidden/>
          </w:rPr>
          <w:fldChar w:fldCharType="begin"/>
        </w:r>
        <w:r>
          <w:rPr>
            <w:noProof/>
            <w:webHidden/>
          </w:rPr>
          <w:instrText xml:space="preserve"> PAGEREF _Toc71295715 \h </w:instrText>
        </w:r>
        <w:r>
          <w:rPr>
            <w:noProof/>
            <w:webHidden/>
          </w:rPr>
        </w:r>
        <w:r>
          <w:rPr>
            <w:noProof/>
            <w:webHidden/>
          </w:rPr>
          <w:fldChar w:fldCharType="separate"/>
        </w:r>
        <w:r>
          <w:rPr>
            <w:noProof/>
            <w:webHidden/>
          </w:rPr>
          <w:t>5</w:t>
        </w:r>
        <w:r>
          <w:rPr>
            <w:noProof/>
            <w:webHidden/>
          </w:rPr>
          <w:fldChar w:fldCharType="end"/>
        </w:r>
      </w:hyperlink>
    </w:p>
    <w:p w:rsidR="003754CE" w:rsidRDefault="003754CE">
      <w:pPr>
        <w:pStyle w:val="TOC1"/>
        <w:rPr>
          <w:rFonts w:asciiTheme="minorHAnsi" w:eastAsiaTheme="minorEastAsia" w:hAnsiTheme="minorHAnsi" w:cstheme="minorBidi"/>
          <w:b w:val="0"/>
          <w:bCs w:val="0"/>
          <w:noProof/>
          <w:sz w:val="22"/>
          <w:szCs w:val="22"/>
          <w:lang w:eastAsia="en-GB" w:bidi="ar-SA"/>
        </w:rPr>
      </w:pPr>
      <w:hyperlink w:anchor="_Toc71295716" w:history="1">
        <w:r w:rsidRPr="00982254">
          <w:rPr>
            <w:rStyle w:val="Hyperlink"/>
            <w:noProof/>
          </w:rPr>
          <w:t>Commentary on provisions of Act</w:t>
        </w:r>
        <w:r>
          <w:rPr>
            <w:noProof/>
            <w:webHidden/>
          </w:rPr>
          <w:tab/>
        </w:r>
        <w:r>
          <w:rPr>
            <w:noProof/>
            <w:webHidden/>
          </w:rPr>
          <w:fldChar w:fldCharType="begin"/>
        </w:r>
        <w:r>
          <w:rPr>
            <w:noProof/>
            <w:webHidden/>
          </w:rPr>
          <w:instrText xml:space="preserve"> PAGEREF _Toc71295716 \h </w:instrText>
        </w:r>
        <w:r>
          <w:rPr>
            <w:noProof/>
            <w:webHidden/>
          </w:rPr>
        </w:r>
        <w:r>
          <w:rPr>
            <w:noProof/>
            <w:webHidden/>
          </w:rPr>
          <w:fldChar w:fldCharType="separate"/>
        </w:r>
        <w:r>
          <w:rPr>
            <w:noProof/>
            <w:webHidden/>
          </w:rPr>
          <w:t>6</w:t>
        </w:r>
        <w:r>
          <w:rPr>
            <w:noProof/>
            <w:webHidden/>
          </w:rPr>
          <w:fldChar w:fldCharType="end"/>
        </w:r>
      </w:hyperlink>
    </w:p>
    <w:p w:rsidR="003754CE" w:rsidRDefault="003754CE">
      <w:pPr>
        <w:pStyle w:val="TOC4"/>
        <w:tabs>
          <w:tab w:val="right" w:pos="9061"/>
        </w:tabs>
        <w:rPr>
          <w:rFonts w:asciiTheme="minorHAnsi" w:eastAsiaTheme="minorEastAsia" w:hAnsiTheme="minorHAnsi" w:cstheme="minorBidi"/>
          <w:noProof/>
          <w:sz w:val="22"/>
          <w:szCs w:val="22"/>
          <w:lang w:eastAsia="en-GB" w:bidi="ar-SA"/>
        </w:rPr>
      </w:pPr>
      <w:hyperlink w:anchor="_Toc71295717" w:history="1">
        <w:r w:rsidRPr="00982254">
          <w:rPr>
            <w:rStyle w:val="Hyperlink"/>
            <w:noProof/>
          </w:rPr>
          <w:t>Section 1: Mode of trial and maximum penalty for certain animal welfare offences</w:t>
        </w:r>
        <w:r>
          <w:rPr>
            <w:noProof/>
            <w:webHidden/>
          </w:rPr>
          <w:tab/>
        </w:r>
        <w:r>
          <w:rPr>
            <w:noProof/>
            <w:webHidden/>
          </w:rPr>
          <w:fldChar w:fldCharType="begin"/>
        </w:r>
        <w:r>
          <w:rPr>
            <w:noProof/>
            <w:webHidden/>
          </w:rPr>
          <w:instrText xml:space="preserve"> PAGEREF _Toc71295717 \h </w:instrText>
        </w:r>
        <w:r>
          <w:rPr>
            <w:noProof/>
            <w:webHidden/>
          </w:rPr>
        </w:r>
        <w:r>
          <w:rPr>
            <w:noProof/>
            <w:webHidden/>
          </w:rPr>
          <w:fldChar w:fldCharType="separate"/>
        </w:r>
        <w:r>
          <w:rPr>
            <w:noProof/>
            <w:webHidden/>
          </w:rPr>
          <w:t>6</w:t>
        </w:r>
        <w:r>
          <w:rPr>
            <w:noProof/>
            <w:webHidden/>
          </w:rPr>
          <w:fldChar w:fldCharType="end"/>
        </w:r>
      </w:hyperlink>
    </w:p>
    <w:p w:rsidR="003754CE" w:rsidRDefault="003754CE">
      <w:pPr>
        <w:pStyle w:val="TOC4"/>
        <w:tabs>
          <w:tab w:val="right" w:pos="9061"/>
        </w:tabs>
        <w:rPr>
          <w:rFonts w:asciiTheme="minorHAnsi" w:eastAsiaTheme="minorEastAsia" w:hAnsiTheme="minorHAnsi" w:cstheme="minorBidi"/>
          <w:noProof/>
          <w:sz w:val="22"/>
          <w:szCs w:val="22"/>
          <w:lang w:eastAsia="en-GB" w:bidi="ar-SA"/>
        </w:rPr>
      </w:pPr>
      <w:hyperlink w:anchor="_Toc71295718" w:history="1">
        <w:r w:rsidRPr="00982254">
          <w:rPr>
            <w:rStyle w:val="Hyperlink"/>
            <w:noProof/>
          </w:rPr>
          <w:t>Section 2: Extent, Commencement and Short Title</w:t>
        </w:r>
        <w:r>
          <w:rPr>
            <w:noProof/>
            <w:webHidden/>
          </w:rPr>
          <w:tab/>
        </w:r>
        <w:r>
          <w:rPr>
            <w:noProof/>
            <w:webHidden/>
          </w:rPr>
          <w:fldChar w:fldCharType="begin"/>
        </w:r>
        <w:r>
          <w:rPr>
            <w:noProof/>
            <w:webHidden/>
          </w:rPr>
          <w:instrText xml:space="preserve"> PAGEREF _Toc71295718 \h </w:instrText>
        </w:r>
        <w:r>
          <w:rPr>
            <w:noProof/>
            <w:webHidden/>
          </w:rPr>
        </w:r>
        <w:r>
          <w:rPr>
            <w:noProof/>
            <w:webHidden/>
          </w:rPr>
          <w:fldChar w:fldCharType="separate"/>
        </w:r>
        <w:r>
          <w:rPr>
            <w:noProof/>
            <w:webHidden/>
          </w:rPr>
          <w:t>6</w:t>
        </w:r>
        <w:r>
          <w:rPr>
            <w:noProof/>
            <w:webHidden/>
          </w:rPr>
          <w:fldChar w:fldCharType="end"/>
        </w:r>
      </w:hyperlink>
    </w:p>
    <w:p w:rsidR="003754CE" w:rsidRDefault="003754CE">
      <w:pPr>
        <w:pStyle w:val="TOC1"/>
        <w:rPr>
          <w:rFonts w:asciiTheme="minorHAnsi" w:eastAsiaTheme="minorEastAsia" w:hAnsiTheme="minorHAnsi" w:cstheme="minorBidi"/>
          <w:b w:val="0"/>
          <w:bCs w:val="0"/>
          <w:noProof/>
          <w:sz w:val="22"/>
          <w:szCs w:val="22"/>
          <w:lang w:eastAsia="en-GB" w:bidi="ar-SA"/>
        </w:rPr>
      </w:pPr>
      <w:hyperlink w:anchor="_Toc71295719" w:history="1">
        <w:r w:rsidRPr="00982254">
          <w:rPr>
            <w:rStyle w:val="Hyperlink"/>
            <w:noProof/>
          </w:rPr>
          <w:t>Commencement</w:t>
        </w:r>
        <w:r>
          <w:rPr>
            <w:noProof/>
            <w:webHidden/>
          </w:rPr>
          <w:tab/>
        </w:r>
        <w:r>
          <w:rPr>
            <w:noProof/>
            <w:webHidden/>
          </w:rPr>
          <w:fldChar w:fldCharType="begin"/>
        </w:r>
        <w:r>
          <w:rPr>
            <w:noProof/>
            <w:webHidden/>
          </w:rPr>
          <w:instrText xml:space="preserve"> PAGEREF _Toc71295719 \h </w:instrText>
        </w:r>
        <w:r>
          <w:rPr>
            <w:noProof/>
            <w:webHidden/>
          </w:rPr>
        </w:r>
        <w:r>
          <w:rPr>
            <w:noProof/>
            <w:webHidden/>
          </w:rPr>
          <w:fldChar w:fldCharType="separate"/>
        </w:r>
        <w:r>
          <w:rPr>
            <w:noProof/>
            <w:webHidden/>
          </w:rPr>
          <w:t>7</w:t>
        </w:r>
        <w:r>
          <w:rPr>
            <w:noProof/>
            <w:webHidden/>
          </w:rPr>
          <w:fldChar w:fldCharType="end"/>
        </w:r>
      </w:hyperlink>
    </w:p>
    <w:p w:rsidR="003754CE" w:rsidRDefault="003754CE">
      <w:pPr>
        <w:pStyle w:val="TOC1"/>
        <w:rPr>
          <w:rFonts w:asciiTheme="minorHAnsi" w:eastAsiaTheme="minorEastAsia" w:hAnsiTheme="minorHAnsi" w:cstheme="minorBidi"/>
          <w:b w:val="0"/>
          <w:bCs w:val="0"/>
          <w:noProof/>
          <w:sz w:val="22"/>
          <w:szCs w:val="22"/>
          <w:lang w:eastAsia="en-GB" w:bidi="ar-SA"/>
        </w:rPr>
      </w:pPr>
      <w:hyperlink w:anchor="_Toc71295720" w:history="1">
        <w:r w:rsidRPr="00982254">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_Toc71295720 \h </w:instrText>
        </w:r>
        <w:r>
          <w:rPr>
            <w:noProof/>
            <w:webHidden/>
          </w:rPr>
        </w:r>
        <w:r>
          <w:rPr>
            <w:noProof/>
            <w:webHidden/>
          </w:rPr>
          <w:fldChar w:fldCharType="separate"/>
        </w:r>
        <w:r>
          <w:rPr>
            <w:noProof/>
            <w:webHidden/>
          </w:rPr>
          <w:t>8</w:t>
        </w:r>
        <w:r>
          <w:rPr>
            <w:noProof/>
            <w:webHidden/>
          </w:rPr>
          <w:fldChar w:fldCharType="end"/>
        </w:r>
      </w:hyperlink>
    </w:p>
    <w:p w:rsidR="003754CE" w:rsidRDefault="003754CE">
      <w:pPr>
        <w:pStyle w:val="TOC1"/>
        <w:rPr>
          <w:rFonts w:asciiTheme="minorHAnsi" w:eastAsiaTheme="minorEastAsia" w:hAnsiTheme="minorHAnsi" w:cstheme="minorBidi"/>
          <w:b w:val="0"/>
          <w:bCs w:val="0"/>
          <w:noProof/>
          <w:sz w:val="22"/>
          <w:szCs w:val="22"/>
          <w:lang w:eastAsia="en-GB" w:bidi="ar-SA"/>
        </w:rPr>
      </w:pPr>
      <w:hyperlink w:anchor="_Toc71295721" w:history="1">
        <w:r w:rsidRPr="00982254">
          <w:rPr>
            <w:rStyle w:val="Hyperlink"/>
            <w:noProof/>
          </w:rPr>
          <w:t>Annex B – Hansard References</w:t>
        </w:r>
        <w:r>
          <w:rPr>
            <w:noProof/>
            <w:webHidden/>
          </w:rPr>
          <w:tab/>
        </w:r>
        <w:r>
          <w:rPr>
            <w:noProof/>
            <w:webHidden/>
          </w:rPr>
          <w:fldChar w:fldCharType="begin"/>
        </w:r>
        <w:r>
          <w:rPr>
            <w:noProof/>
            <w:webHidden/>
          </w:rPr>
          <w:instrText xml:space="preserve"> PAGEREF _Toc71295721 \h </w:instrText>
        </w:r>
        <w:r>
          <w:rPr>
            <w:noProof/>
            <w:webHidden/>
          </w:rPr>
        </w:r>
        <w:r>
          <w:rPr>
            <w:noProof/>
            <w:webHidden/>
          </w:rPr>
          <w:fldChar w:fldCharType="separate"/>
        </w:r>
        <w:r>
          <w:rPr>
            <w:noProof/>
            <w:webHidden/>
          </w:rPr>
          <w:t>9</w:t>
        </w:r>
        <w:r>
          <w:rPr>
            <w:noProof/>
            <w:webHidden/>
          </w:rPr>
          <w:fldChar w:fldCharType="end"/>
        </w:r>
      </w:hyperlink>
    </w:p>
    <w:p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1" w:name="_Toc410653883"/>
      <w:bookmarkStart w:id="2" w:name="_Toc416612126"/>
      <w:bookmarkStart w:id="3" w:name="_Toc417648111"/>
      <w:bookmarkStart w:id="4" w:name="_Toc418587917"/>
      <w:bookmarkStart w:id="5" w:name="_Toc71295712"/>
      <w:r w:rsidR="00E718E1" w:rsidRPr="00CA4237">
        <w:lastRenderedPageBreak/>
        <w:t xml:space="preserve">Overview of the </w:t>
      </w:r>
      <w:bookmarkEnd w:id="1"/>
      <w:r w:rsidR="00CE2ABF" w:rsidRPr="00645B5D">
        <w:t>Act</w:t>
      </w:r>
      <w:bookmarkEnd w:id="2"/>
      <w:bookmarkEnd w:id="3"/>
      <w:bookmarkEnd w:id="4"/>
      <w:bookmarkEnd w:id="5"/>
    </w:p>
    <w:p w:rsidR="0035622C" w:rsidRPr="002D35D9" w:rsidRDefault="00784F16" w:rsidP="002D35D9">
      <w:pPr>
        <w:pStyle w:val="ParaNumbered"/>
        <w:rPr>
          <w:lang w:val="en-GB"/>
        </w:rPr>
      </w:pPr>
      <w:r w:rsidRPr="007C7562">
        <w:rPr>
          <w:lang w:val="en-GB"/>
        </w:rPr>
        <w:t xml:space="preserve">The </w:t>
      </w:r>
      <w:r>
        <w:t xml:space="preserve">Act </w:t>
      </w:r>
      <w:r w:rsidRPr="007C7562">
        <w:rPr>
          <w:lang w:val="en-GB"/>
        </w:rPr>
        <w:t>increases the maximum penalty for specific offences related to animal welfare in England and Wales</w:t>
      </w:r>
      <w:r>
        <w:t xml:space="preserve"> from 29 June 2021</w:t>
      </w:r>
      <w:r w:rsidRPr="007C7562">
        <w:rPr>
          <w:lang w:val="en-GB"/>
        </w:rPr>
        <w:t xml:space="preserve">. It does so by extending the maximum penalty, specified under the Animal Welfare Act 2006, of six months and/or an unlimited fine to a penalty of five years and/or an unlimited fine. </w:t>
      </w:r>
      <w:r>
        <w:t>These offences therefore become triable either way, and may be heard in the Magistrates Court or the Crown Court</w:t>
      </w:r>
      <w:r>
        <w:rPr>
          <w:lang w:val="en-GB"/>
        </w:rPr>
        <w:t>.</w:t>
      </w:r>
    </w:p>
    <w:p w:rsidR="00E718E1" w:rsidRPr="00CA4237" w:rsidRDefault="00E718E1" w:rsidP="005E1288">
      <w:pPr>
        <w:pStyle w:val="Heading1"/>
        <w:keepNext/>
      </w:pPr>
      <w:bookmarkStart w:id="6" w:name="_Toc416612127"/>
      <w:bookmarkStart w:id="7" w:name="_Toc410653884"/>
      <w:bookmarkStart w:id="8" w:name="_Toc417648112"/>
      <w:bookmarkStart w:id="9" w:name="_Toc418587918"/>
      <w:bookmarkStart w:id="10" w:name="_Toc71295713"/>
      <w:r w:rsidRPr="00CA4237">
        <w:t>Policy background</w:t>
      </w:r>
      <w:bookmarkEnd w:id="6"/>
      <w:bookmarkEnd w:id="7"/>
      <w:bookmarkEnd w:id="8"/>
      <w:bookmarkEnd w:id="9"/>
      <w:bookmarkEnd w:id="10"/>
    </w:p>
    <w:p w:rsidR="00E718E1" w:rsidRPr="00CA4237" w:rsidRDefault="00784F16" w:rsidP="00B76227">
      <w:pPr>
        <w:pStyle w:val="ParaNumbered"/>
        <w:rPr>
          <w:lang w:val="en-GB"/>
        </w:rPr>
      </w:pPr>
      <w:r w:rsidRPr="007C7562">
        <w:rPr>
          <w:lang w:val="en-GB"/>
        </w:rPr>
        <w:t xml:space="preserve">This </w:t>
      </w:r>
      <w:r>
        <w:t>Act</w:t>
      </w:r>
      <w:r w:rsidRPr="007C7562">
        <w:rPr>
          <w:lang w:val="en-GB"/>
        </w:rPr>
        <w:t xml:space="preserve"> amends the Animal Welfare Act 2006 (“the </w:t>
      </w:r>
      <w:r>
        <w:t xml:space="preserve">2006 </w:t>
      </w:r>
      <w:r w:rsidRPr="007C7562">
        <w:rPr>
          <w:lang w:val="en-GB"/>
        </w:rPr>
        <w:t xml:space="preserve">Act”). </w:t>
      </w:r>
      <w:r>
        <w:t>Ahead of the Act coming into force on 29 June 2021, the</w:t>
      </w:r>
      <w:r w:rsidRPr="007C7562">
        <w:rPr>
          <w:lang w:val="en-GB"/>
        </w:rPr>
        <w:t xml:space="preserve"> </w:t>
      </w:r>
      <w:r>
        <w:t xml:space="preserve">2006 </w:t>
      </w:r>
      <w:r w:rsidRPr="007C7562">
        <w:rPr>
          <w:lang w:val="en-GB"/>
        </w:rPr>
        <w:t>Act set out a maximum penalty of six months imprisonment and</w:t>
      </w:r>
      <w:r>
        <w:t>/or</w:t>
      </w:r>
      <w:r w:rsidRPr="007C7562">
        <w:rPr>
          <w:lang w:val="en-GB"/>
        </w:rPr>
        <w:t xml:space="preserve"> an unlimited fine for the more serious 'prevention of harm' offences. There are five such offences under section 32(1) of the Animal Welfare Act 2006</w:t>
      </w:r>
      <w:r>
        <w:rPr>
          <w:lang w:val="en-GB"/>
        </w:rPr>
        <w:t>:</w:t>
      </w:r>
    </w:p>
    <w:p w:rsidR="00784F16" w:rsidRPr="007C7562" w:rsidRDefault="00784F16" w:rsidP="00D67F84">
      <w:pPr>
        <w:pStyle w:val="ParaNumbered"/>
        <w:numPr>
          <w:ilvl w:val="1"/>
          <w:numId w:val="5"/>
        </w:numPr>
        <w:rPr>
          <w:lang w:val="en-GB"/>
        </w:rPr>
      </w:pPr>
      <w:r w:rsidRPr="007C7562">
        <w:rPr>
          <w:lang w:val="en-GB"/>
        </w:rPr>
        <w:t>causing unnecessary suffering (section 4, Animal Welfare Act 2006);</w:t>
      </w:r>
    </w:p>
    <w:p w:rsidR="00784F16" w:rsidRPr="007C7562" w:rsidRDefault="00784F16" w:rsidP="00784F16">
      <w:pPr>
        <w:pStyle w:val="ParaNumbered"/>
        <w:numPr>
          <w:ilvl w:val="1"/>
          <w:numId w:val="5"/>
        </w:numPr>
        <w:rPr>
          <w:lang w:val="en-GB"/>
        </w:rPr>
      </w:pPr>
      <w:r w:rsidRPr="007C7562">
        <w:rPr>
          <w:lang w:val="en-GB"/>
        </w:rPr>
        <w:t>carrying out a non-exempted mutilation (section 5, Animal Welfare Act 2006);</w:t>
      </w:r>
    </w:p>
    <w:p w:rsidR="00784F16" w:rsidRPr="007C7562" w:rsidRDefault="00784F16" w:rsidP="00784F16">
      <w:pPr>
        <w:pStyle w:val="ParaNumbered"/>
        <w:numPr>
          <w:ilvl w:val="1"/>
          <w:numId w:val="5"/>
        </w:numPr>
        <w:rPr>
          <w:lang w:val="en-GB"/>
        </w:rPr>
      </w:pPr>
      <w:r w:rsidRPr="007C7562">
        <w:rPr>
          <w:lang w:val="en-GB"/>
        </w:rPr>
        <w:t>docking the tail of a dog except where permitted (section 6(1) and 6(2), Animal Welfare Act 2006);</w:t>
      </w:r>
    </w:p>
    <w:p w:rsidR="00784F16" w:rsidRPr="007C7562" w:rsidRDefault="00784F16" w:rsidP="00784F16">
      <w:pPr>
        <w:pStyle w:val="ParaNumbered"/>
        <w:numPr>
          <w:ilvl w:val="1"/>
          <w:numId w:val="5"/>
        </w:numPr>
        <w:rPr>
          <w:lang w:val="en-GB"/>
        </w:rPr>
      </w:pPr>
      <w:r w:rsidRPr="007C7562">
        <w:rPr>
          <w:lang w:val="en-GB"/>
        </w:rPr>
        <w:t>administering a poison to an animal (section 7, Animal Welfare Act 2006); and</w:t>
      </w:r>
    </w:p>
    <w:p w:rsidR="0035622C" w:rsidRDefault="00784F16" w:rsidP="00784F16">
      <w:pPr>
        <w:pStyle w:val="ParaNumbered"/>
        <w:numPr>
          <w:ilvl w:val="1"/>
          <w:numId w:val="5"/>
        </w:numPr>
        <w:rPr>
          <w:lang w:val="en-GB"/>
        </w:rPr>
      </w:pPr>
      <w:r w:rsidRPr="007C7562">
        <w:rPr>
          <w:lang w:val="en-GB"/>
        </w:rPr>
        <w:t>involvement in an animal fight (section 8, Animal Welfare Act 2006).</w:t>
      </w:r>
    </w:p>
    <w:p w:rsidR="00784F16" w:rsidRPr="00784F16" w:rsidRDefault="00784F16" w:rsidP="00784F16">
      <w:pPr>
        <w:pStyle w:val="ParaNumbered"/>
        <w:rPr>
          <w:lang w:val="en-GB"/>
        </w:rPr>
      </w:pPr>
      <w:r w:rsidRPr="00784F16">
        <w:rPr>
          <w:lang w:val="en-GB"/>
        </w:rPr>
        <w:t xml:space="preserve">There were a number of cases related to these offences in which judges expressed a desire to impose a higher penalty than that which the 2006 Act provided for, prior to this Act passing. There was a particular desire to increase the penalties available in the case of crimes that relate to deliberate, calculating and sadistic behaviour. </w:t>
      </w:r>
    </w:p>
    <w:p w:rsidR="00784F16" w:rsidRPr="00784F16" w:rsidRDefault="00784F16" w:rsidP="00DB68CB">
      <w:pPr>
        <w:pStyle w:val="ParaNumbered"/>
        <w:widowControl/>
        <w:rPr>
          <w:lang w:val="en-GB"/>
        </w:rPr>
      </w:pPr>
      <w:r w:rsidRPr="00784F16">
        <w:rPr>
          <w:lang w:val="en-GB"/>
        </w:rPr>
        <w:t>Members of Parliament, wider stakeholders and the public also sought to increase maximum penalties for animal welfare offences so that they exceeded the European average at the time of 2.04 years. The Act meets both of these aims by increasing the maximum penalties for the most serious offences under the Animal Welfare Act 2006 to five years and/or an unlimited fine.</w:t>
      </w:r>
    </w:p>
    <w:p w:rsidR="00784F16" w:rsidRPr="00784F16" w:rsidRDefault="00784F16" w:rsidP="00784F16">
      <w:pPr>
        <w:pStyle w:val="ParaNumbered"/>
        <w:rPr>
          <w:lang w:val="en-GB"/>
        </w:rPr>
      </w:pPr>
      <w:r w:rsidRPr="00784F16">
        <w:rPr>
          <w:lang w:val="en-GB"/>
        </w:rPr>
        <w:t>The increase in maximum penalties does not apply to those offences listed in section 32(2) of the Animal Welfare Act 2006: not taking reasonable steps to ensure welfare (section 9); breach of a licence condition (section 13(6)); and breach of a disqualification order (section 34(9)). These offences are generally considered less serious, and rarely receive the existing maximum penalty. Moreover, the level of fine applied to these offences increased since the Legal Aid, Sentencing and Punishment of Offenders Act 2012, which converted existing level 5 fines into unlimited fines.</w:t>
      </w:r>
    </w:p>
    <w:p w:rsidR="00784F16" w:rsidRPr="00784F16" w:rsidRDefault="00784F16" w:rsidP="00784F16">
      <w:pPr>
        <w:pStyle w:val="ParaNumbered"/>
        <w:rPr>
          <w:lang w:val="en-GB"/>
        </w:rPr>
      </w:pPr>
      <w:r w:rsidRPr="00784F16">
        <w:rPr>
          <w:lang w:val="en-GB"/>
        </w:rPr>
        <w:t>The draft sentencing sections were published for public consultation and pre-legislative scrutiny on 12 December 2017 as part of the Animal Welfare (Sentencing and Recognition of Sentience) Bill. The consultation closed on 31 January 2018 and the summary of responses document published on 7 August 2018. The Department for Environment, Food and Rural Affairs (Defra) received 9,084 direct responses to the consultation. 70% of respondents agreed with the new maximum penalties. In the summary of responses document, Government committed to bring forward the sentencing sections in a separate Bill as recommended by the EFRA Committee's scrutiny report on the Bill</w:t>
      </w:r>
      <w:r w:rsidR="00E938E4">
        <w:rPr>
          <w:lang w:val="en-GB"/>
        </w:rPr>
        <w:t>.</w:t>
      </w:r>
    </w:p>
    <w:p w:rsidR="00E718E1" w:rsidRPr="00CA4237" w:rsidRDefault="00E718E1" w:rsidP="005E1288">
      <w:pPr>
        <w:pStyle w:val="Heading1"/>
        <w:keepNext/>
      </w:pPr>
      <w:bookmarkStart w:id="11" w:name="_Toc416612128"/>
      <w:bookmarkStart w:id="12" w:name="_Toc410653885"/>
      <w:bookmarkStart w:id="13" w:name="_Toc417648113"/>
      <w:bookmarkStart w:id="14" w:name="_Toc418587922"/>
      <w:bookmarkStart w:id="15" w:name="_Toc71295714"/>
      <w:r w:rsidRPr="00CA4237">
        <w:lastRenderedPageBreak/>
        <w:t>Legal background</w:t>
      </w:r>
      <w:bookmarkEnd w:id="11"/>
      <w:bookmarkEnd w:id="12"/>
      <w:bookmarkEnd w:id="13"/>
      <w:bookmarkEnd w:id="14"/>
      <w:bookmarkEnd w:id="15"/>
    </w:p>
    <w:p w:rsidR="00784F16" w:rsidRPr="00784F16" w:rsidRDefault="00784F16" w:rsidP="00784F16">
      <w:pPr>
        <w:pStyle w:val="ParaNumbered"/>
        <w:rPr>
          <w:lang w:val="en-GB"/>
        </w:rPr>
      </w:pPr>
      <w:r w:rsidRPr="00784F16">
        <w:rPr>
          <w:lang w:val="en-GB"/>
        </w:rPr>
        <w:t>The majority of the relevant legal background is explained in the policy background section of these Notes. Two additional legal issues are raised below, one in relation to the current drafting of section 32(1) of the Animal Welfare Act 2006, and the second in relation to the requirement to change the mode of trial.</w:t>
      </w:r>
    </w:p>
    <w:p w:rsidR="00784F16" w:rsidRPr="00784F16" w:rsidRDefault="00784F16" w:rsidP="00784F16">
      <w:pPr>
        <w:pStyle w:val="ParaNumbered"/>
        <w:rPr>
          <w:lang w:val="en-GB"/>
        </w:rPr>
      </w:pPr>
      <w:r w:rsidRPr="00784F16">
        <w:rPr>
          <w:lang w:val="en-GB"/>
        </w:rPr>
        <w:t>The current drafting of section 32(1) of the Animal Welfare Act 2006 lists the maximum penalty as imprisonment for a term not exceeding 51 weeks or a fine, as opposed to the maximum imprisonment for a term not exceeding six months as discussed above. This discrepancy is explained by section 32(5) of the Animal Welfare Act 2006. Section 32(5) provides that in relation to an offence committed before the commencement of section 281(5) of the Criminal Justice Act 2003, the reference in section 32(1)(a) to 51 weeks is to be read as a reference to six months. As at the date of the publication of the Act, section 281(5) of the Criminal Justice Act 2003 has not been commenced. The maximum imprisonment term for offences under section 32(1) of the Animal Welfare Act 2006 therefore remains six months.</w:t>
      </w:r>
    </w:p>
    <w:p w:rsidR="00096150" w:rsidRPr="00784F16" w:rsidRDefault="00784F16" w:rsidP="00DB68CB">
      <w:pPr>
        <w:pStyle w:val="ParaNumbered"/>
        <w:keepNext/>
        <w:rPr>
          <w:lang w:val="en-GB"/>
        </w:rPr>
      </w:pPr>
      <w:r w:rsidRPr="00784F16">
        <w:rPr>
          <w:lang w:val="en-GB"/>
        </w:rPr>
        <w:t xml:space="preserve">Under section 78 of the Powers of Criminal Courts (Sentencing) Act 2000 magistrates' courts do not have the power to impose penalties greater than six months. As a result of increasing the maximum penalty available for the offences under section 32(1) of the Animal Welfare Act 2006 to a period of five years it is necessary for the Act to make these offences triable either way. </w:t>
      </w:r>
    </w:p>
    <w:p w:rsidR="00BA33C6" w:rsidRPr="00A64BF2" w:rsidRDefault="00BA33C6">
      <w:pPr>
        <w:rPr>
          <w:rFonts w:ascii="Arial" w:hAnsi="Arial"/>
          <w:b/>
          <w:bCs/>
          <w:color w:val="0070C0"/>
          <w:sz w:val="36"/>
          <w:szCs w:val="28"/>
        </w:rPr>
      </w:pPr>
      <w:bookmarkStart w:id="16" w:name="_Toc416612130"/>
      <w:bookmarkStart w:id="17" w:name="_Toc410653886"/>
    </w:p>
    <w:p w:rsidR="00E718E1" w:rsidRPr="00CA4237" w:rsidRDefault="00DB68CB" w:rsidP="005E1288">
      <w:pPr>
        <w:pStyle w:val="Heading1"/>
        <w:keepNext/>
      </w:pPr>
      <w:bookmarkStart w:id="18" w:name="_Toc417648115"/>
      <w:bookmarkStart w:id="19" w:name="_Toc418587924"/>
      <w:r>
        <w:br w:type="page"/>
      </w:r>
      <w:bookmarkStart w:id="20" w:name="_Toc71295715"/>
      <w:r w:rsidR="00E718E1" w:rsidRPr="00CA4237">
        <w:lastRenderedPageBreak/>
        <w:t>Territorial extent and application</w:t>
      </w:r>
      <w:bookmarkEnd w:id="16"/>
      <w:bookmarkEnd w:id="17"/>
      <w:bookmarkEnd w:id="18"/>
      <w:bookmarkEnd w:id="19"/>
      <w:bookmarkEnd w:id="20"/>
    </w:p>
    <w:p w:rsidR="0035622C" w:rsidRPr="00F77218" w:rsidRDefault="00784F16" w:rsidP="00B76227">
      <w:pPr>
        <w:pStyle w:val="ParaNumbered"/>
        <w:rPr>
          <w:lang w:val="en-GB"/>
        </w:rPr>
      </w:pPr>
      <w:r>
        <w:t>Section</w:t>
      </w:r>
      <w:r>
        <w:rPr>
          <w:lang w:val="en-GB"/>
        </w:rPr>
        <w:t xml:space="preserve"> 2</w:t>
      </w:r>
      <w:r w:rsidRPr="007C7562">
        <w:rPr>
          <w:lang w:val="en-GB"/>
        </w:rPr>
        <w:t xml:space="preserve"> sets out the territorial extent of the </w:t>
      </w:r>
      <w:r>
        <w:t>Act. This Act both extends and applies to England and Wales</w:t>
      </w:r>
      <w:r>
        <w:rPr>
          <w:lang w:val="en-GB"/>
        </w:rPr>
        <w:t>.</w:t>
      </w:r>
    </w:p>
    <w:p w:rsidR="00F77218" w:rsidRDefault="00F77218" w:rsidP="00F77218">
      <w:pPr>
        <w:pStyle w:val="ParaNumbered"/>
        <w:rPr>
          <w:lang w:val="en-GB"/>
        </w:rPr>
      </w:pPr>
      <w:r w:rsidRPr="00F77218">
        <w:rPr>
          <w:lang w:val="en-GB"/>
        </w:rPr>
        <w:t>See the table in Annex A for a summary of the position regarding territorial extent and application</w:t>
      </w:r>
      <w:r w:rsidR="000B3C57">
        <w:t xml:space="preserve"> in the United Kingdom</w:t>
      </w:r>
      <w:r w:rsidRPr="00F77218">
        <w:rPr>
          <w:lang w:val="en-GB"/>
        </w:rPr>
        <w:t>.</w:t>
      </w:r>
    </w:p>
    <w:p w:rsidR="0035622C" w:rsidRPr="00AE5693" w:rsidRDefault="0035622C">
      <w:pPr>
        <w:rPr>
          <w:rStyle w:val="StyleLatinPalatinoLinotype10ptBlack"/>
        </w:rPr>
      </w:pPr>
    </w:p>
    <w:p w:rsidR="00E718E1" w:rsidRPr="00CA4237" w:rsidRDefault="00DB68CB" w:rsidP="005E1288">
      <w:pPr>
        <w:pStyle w:val="Heading1"/>
        <w:keepNext/>
      </w:pPr>
      <w:bookmarkStart w:id="21" w:name="_Toc416612131"/>
      <w:bookmarkStart w:id="22" w:name="_Toc410653887"/>
      <w:bookmarkStart w:id="23" w:name="_Toc417648116"/>
      <w:bookmarkStart w:id="24" w:name="_Toc418587925"/>
      <w:r>
        <w:br w:type="page"/>
      </w:r>
      <w:bookmarkStart w:id="25" w:name="_Toc71295716"/>
      <w:r w:rsidR="002D35D9">
        <w:lastRenderedPageBreak/>
        <w:t xml:space="preserve">Commentary on provisions of </w:t>
      </w:r>
      <w:r w:rsidR="00CE2ABF" w:rsidRPr="00645B5D">
        <w:t>Act</w:t>
      </w:r>
      <w:r w:rsidR="00E718E1" w:rsidRPr="00CA4237">
        <w:t> </w:t>
      </w:r>
      <w:bookmarkEnd w:id="21"/>
      <w:bookmarkEnd w:id="22"/>
      <w:bookmarkEnd w:id="23"/>
      <w:bookmarkEnd w:id="24"/>
      <w:bookmarkEnd w:id="25"/>
    </w:p>
    <w:p w:rsidR="00E718E1" w:rsidRPr="00CA4237" w:rsidRDefault="00784F16" w:rsidP="001208B2">
      <w:pPr>
        <w:pStyle w:val="HSubheading4"/>
      </w:pPr>
      <w:bookmarkStart w:id="26" w:name="_Toc71295717"/>
      <w:r>
        <w:t>Section 1: Mode of trial and maximum penalty for certain animal welfare offences</w:t>
      </w:r>
      <w:bookmarkEnd w:id="26"/>
    </w:p>
    <w:p w:rsidR="00784F16" w:rsidRPr="007C7562" w:rsidRDefault="00784F16" w:rsidP="00784F16">
      <w:pPr>
        <w:pStyle w:val="ParaNumbered"/>
        <w:rPr>
          <w:lang w:val="en-GB"/>
        </w:rPr>
      </w:pPr>
      <w:r w:rsidRPr="007C7562">
        <w:rPr>
          <w:lang w:val="en-GB"/>
        </w:rPr>
        <w:t>Section 32(1) of the Animal Welfare Act 2006 provides that particular offences should carry a maximum penalty of 51 weeks imprisonment and/or a level 5 fine.</w:t>
      </w:r>
    </w:p>
    <w:p w:rsidR="00784F16" w:rsidRPr="001964C5" w:rsidRDefault="00784F16" w:rsidP="00784F16">
      <w:pPr>
        <w:pStyle w:val="ParaNumbered"/>
        <w:rPr>
          <w:lang w:val="en-GB"/>
        </w:rPr>
      </w:pPr>
      <w:r w:rsidRPr="001964C5">
        <w:rPr>
          <w:lang w:val="en-GB"/>
        </w:rPr>
        <w:t xml:space="preserve">In practice, this </w:t>
      </w:r>
      <w:r>
        <w:t>results in</w:t>
      </w:r>
      <w:r w:rsidRPr="001964C5">
        <w:rPr>
          <w:lang w:val="en-GB"/>
        </w:rPr>
        <w:t xml:space="preserve"> a maximum penalty of 6 months and an unlimited fine.</w:t>
      </w:r>
      <w:r>
        <w:t xml:space="preserve">  </w:t>
      </w:r>
      <w:r w:rsidRPr="001964C5">
        <w:rPr>
          <w:lang w:val="en-GB"/>
        </w:rPr>
        <w:t xml:space="preserve">This is because </w:t>
      </w:r>
      <w:r w:rsidRPr="008F07E7">
        <w:rPr>
          <w:lang w:val="en-GB"/>
        </w:rPr>
        <w:t>section 32(5) specifies a maximum penalty of 6 months for offences committed before the commencement of section 281(5) of the Criminal Jus</w:t>
      </w:r>
      <w:r w:rsidRPr="001964C5">
        <w:rPr>
          <w:lang w:val="en-GB"/>
        </w:rPr>
        <w:t xml:space="preserve">tice Act 2003. To date, this section has not been commenced. </w:t>
      </w:r>
    </w:p>
    <w:p w:rsidR="00933688" w:rsidRDefault="00784F16" w:rsidP="00784F16">
      <w:pPr>
        <w:pStyle w:val="ParaNumbered"/>
        <w:rPr>
          <w:lang w:val="en-GB"/>
        </w:rPr>
      </w:pPr>
      <w:r w:rsidRPr="007C7562">
        <w:rPr>
          <w:lang w:val="en-GB"/>
        </w:rPr>
        <w:t xml:space="preserve">This </w:t>
      </w:r>
      <w:r>
        <w:t>section</w:t>
      </w:r>
      <w:r w:rsidRPr="007C7562">
        <w:rPr>
          <w:lang w:val="en-GB"/>
        </w:rPr>
        <w:t xml:space="preserve"> changes the maximum penalty available f</w:t>
      </w:r>
      <w:r>
        <w:rPr>
          <w:lang w:val="en-GB"/>
        </w:rPr>
        <w:t>or the following offences only:</w:t>
      </w:r>
    </w:p>
    <w:p w:rsidR="00784F16" w:rsidRPr="007C7562" w:rsidRDefault="00784F16" w:rsidP="00784F16">
      <w:pPr>
        <w:pStyle w:val="ParaNumbered"/>
        <w:numPr>
          <w:ilvl w:val="1"/>
          <w:numId w:val="5"/>
        </w:numPr>
        <w:rPr>
          <w:lang w:val="en-GB"/>
        </w:rPr>
      </w:pPr>
      <w:r>
        <w:t>c</w:t>
      </w:r>
      <w:r w:rsidRPr="007C7562">
        <w:rPr>
          <w:lang w:val="en-GB"/>
        </w:rPr>
        <w:t xml:space="preserve">ausing unnecessary suffering (section 4, Animal Welfare Act 2006); </w:t>
      </w:r>
    </w:p>
    <w:p w:rsidR="00784F16" w:rsidRPr="007C7562" w:rsidRDefault="00784F16" w:rsidP="00784F16">
      <w:pPr>
        <w:pStyle w:val="ParaNumbered"/>
        <w:numPr>
          <w:ilvl w:val="1"/>
          <w:numId w:val="5"/>
        </w:numPr>
        <w:rPr>
          <w:lang w:val="en-GB"/>
        </w:rPr>
      </w:pPr>
      <w:r>
        <w:t>c</w:t>
      </w:r>
      <w:r w:rsidRPr="007C7562">
        <w:rPr>
          <w:lang w:val="en-GB"/>
        </w:rPr>
        <w:t>arrying out a non-exempted mutilation (section 5, Animal Welfare Act 2006);</w:t>
      </w:r>
    </w:p>
    <w:p w:rsidR="00784F16" w:rsidRPr="007C7562" w:rsidRDefault="00784F16" w:rsidP="00784F16">
      <w:pPr>
        <w:pStyle w:val="ParaNumbered"/>
        <w:numPr>
          <w:ilvl w:val="1"/>
          <w:numId w:val="5"/>
        </w:numPr>
        <w:rPr>
          <w:lang w:val="en-GB"/>
        </w:rPr>
      </w:pPr>
      <w:r>
        <w:t>d</w:t>
      </w:r>
      <w:r w:rsidRPr="007C7562">
        <w:rPr>
          <w:lang w:val="en-GB"/>
        </w:rPr>
        <w:t>ocking the tail of a dog except where permitted (section 6(1) and 6(2), Animal Welfare Act 2006</w:t>
      </w:r>
      <w:r>
        <w:t>)</w:t>
      </w:r>
      <w:r w:rsidRPr="007C7562">
        <w:rPr>
          <w:lang w:val="en-GB"/>
        </w:rPr>
        <w:t>;</w:t>
      </w:r>
    </w:p>
    <w:p w:rsidR="00784F16" w:rsidRPr="007C7562" w:rsidRDefault="002D35D9" w:rsidP="00784F16">
      <w:pPr>
        <w:pStyle w:val="ParaNumbered"/>
        <w:numPr>
          <w:ilvl w:val="1"/>
          <w:numId w:val="5"/>
        </w:numPr>
        <w:rPr>
          <w:lang w:val="en-GB"/>
        </w:rPr>
      </w:pPr>
      <w:r w:rsidRPr="007C7562">
        <w:rPr>
          <w:lang w:val="en-GB"/>
        </w:rPr>
        <w:t>administering</w:t>
      </w:r>
      <w:r w:rsidR="00784F16" w:rsidRPr="007C7562">
        <w:rPr>
          <w:lang w:val="en-GB"/>
        </w:rPr>
        <w:t xml:space="preserve"> a poison to an animal (section 7, Animal Welfare Act 2006); and</w:t>
      </w:r>
    </w:p>
    <w:p w:rsidR="00784F16" w:rsidRDefault="00784F16" w:rsidP="00784F16">
      <w:pPr>
        <w:pStyle w:val="ParaNumbered"/>
        <w:numPr>
          <w:ilvl w:val="1"/>
          <w:numId w:val="5"/>
        </w:numPr>
        <w:rPr>
          <w:lang w:val="en-GB"/>
        </w:rPr>
      </w:pPr>
      <w:r>
        <w:t>i</w:t>
      </w:r>
      <w:r w:rsidRPr="007C7562">
        <w:rPr>
          <w:lang w:val="en-GB"/>
        </w:rPr>
        <w:t>nvolvement in an animal fight (section 8, Animal Welfare Act 2006</w:t>
      </w:r>
      <w:r>
        <w:rPr>
          <w:lang w:val="en-GB"/>
        </w:rPr>
        <w:t>.</w:t>
      </w:r>
    </w:p>
    <w:p w:rsidR="00784F16" w:rsidRPr="00784F16" w:rsidRDefault="00784F16" w:rsidP="00784F16">
      <w:pPr>
        <w:pStyle w:val="ParaNumbered"/>
        <w:rPr>
          <w:lang w:val="en-GB"/>
        </w:rPr>
      </w:pPr>
      <w:r w:rsidRPr="00784F16">
        <w:rPr>
          <w:lang w:val="en-GB"/>
        </w:rPr>
        <w:t>The existing maximum penalty, outlined above, is retained if the offender is summarily convicted. However offenders may now receive a higher penalty of up to 5 years imprisonment and/or an unlimited fine if they are convicted on trial by indictment.</w:t>
      </w:r>
    </w:p>
    <w:p w:rsidR="00784F16" w:rsidRPr="00784F16" w:rsidRDefault="00784F16" w:rsidP="00784F16">
      <w:pPr>
        <w:pStyle w:val="ParaNumbered"/>
        <w:rPr>
          <w:lang w:val="en-GB"/>
        </w:rPr>
      </w:pPr>
      <w:r w:rsidRPr="00784F16">
        <w:rPr>
          <w:lang w:val="en-GB"/>
        </w:rPr>
        <w:t xml:space="preserve">Under section 78 of the Powers of Criminal Courts (Sentencing) Act 2000 magistrates' courts do not have the power to impose penalties greater than six months. Section 154(1) of the Criminal Justice Act 2003 increased the maximum custodial sentence imposable by a magistrate's court to 12 months. However, to date this section has not been commenced and the new section 32(4A) of the Animal Welfare Act 2006 inserted by this </w:t>
      </w:r>
      <w:r>
        <w:rPr>
          <w:lang w:val="en-GB"/>
        </w:rPr>
        <w:t>section reflects this position.</w:t>
      </w:r>
    </w:p>
    <w:p w:rsidR="0092700D" w:rsidRPr="00CA4237" w:rsidRDefault="002D35D9" w:rsidP="001208B2">
      <w:pPr>
        <w:pStyle w:val="HSubheading4"/>
      </w:pPr>
      <w:bookmarkStart w:id="27" w:name="_Toc410653890"/>
      <w:bookmarkStart w:id="28" w:name="_Toc416612135"/>
      <w:bookmarkStart w:id="29" w:name="_Toc417648120"/>
      <w:bookmarkStart w:id="30" w:name="_Toc418587930"/>
      <w:bookmarkStart w:id="31" w:name="_Toc71295718"/>
      <w:r>
        <w:t xml:space="preserve">Section </w:t>
      </w:r>
      <w:bookmarkEnd w:id="27"/>
      <w:bookmarkEnd w:id="28"/>
      <w:bookmarkEnd w:id="29"/>
      <w:bookmarkEnd w:id="30"/>
      <w:r>
        <w:t>2: Extent, Commencement and Short Title</w:t>
      </w:r>
      <w:bookmarkEnd w:id="31"/>
    </w:p>
    <w:p w:rsidR="009B662C" w:rsidRPr="00DB68CB" w:rsidRDefault="002D35D9" w:rsidP="002D35D9">
      <w:pPr>
        <w:pStyle w:val="ParaNumbered"/>
        <w:rPr>
          <w:lang w:val="en-GB"/>
        </w:rPr>
      </w:pPr>
      <w:bookmarkStart w:id="32" w:name="_Toc410653892"/>
      <w:r w:rsidRPr="004069C5">
        <w:rPr>
          <w:lang w:val="en-GB"/>
        </w:rPr>
        <w:t xml:space="preserve">This </w:t>
      </w:r>
      <w:r>
        <w:t>section</w:t>
      </w:r>
      <w:r w:rsidRPr="004069C5">
        <w:rPr>
          <w:lang w:val="en-GB"/>
        </w:rPr>
        <w:t xml:space="preserve"> provides </w:t>
      </w:r>
      <w:r>
        <w:t>that the Act</w:t>
      </w:r>
      <w:r w:rsidRPr="004069C5">
        <w:rPr>
          <w:lang w:val="en-GB"/>
        </w:rPr>
        <w:t xml:space="preserve"> extend</w:t>
      </w:r>
      <w:r>
        <w:t>s</w:t>
      </w:r>
      <w:r w:rsidRPr="004069C5">
        <w:rPr>
          <w:lang w:val="en-GB"/>
        </w:rPr>
        <w:t xml:space="preserve"> to England and Wales; that the </w:t>
      </w:r>
      <w:r>
        <w:t>Act comes into</w:t>
      </w:r>
      <w:r w:rsidRPr="004069C5">
        <w:rPr>
          <w:lang w:val="en-GB"/>
        </w:rPr>
        <w:t xml:space="preserve"> force two months after Royal Assent; and that the application of revised maximum penalties is not retrospective and does not apply to offences committed before the </w:t>
      </w:r>
      <w:r>
        <w:t>Act</w:t>
      </w:r>
      <w:r w:rsidRPr="004069C5">
        <w:rPr>
          <w:lang w:val="en-GB"/>
        </w:rPr>
        <w:t xml:space="preserve"> comes into force. </w:t>
      </w:r>
      <w:r w:rsidR="00DB68CB">
        <w:rPr>
          <w:lang w:val="en-GB"/>
        </w:rPr>
        <w:t>Th</w:t>
      </w:r>
      <w:r>
        <w:t>is section</w:t>
      </w:r>
      <w:r w:rsidRPr="004069C5">
        <w:rPr>
          <w:lang w:val="en-GB"/>
        </w:rPr>
        <w:t xml:space="preserve"> also specifies the short title of the </w:t>
      </w:r>
      <w:r>
        <w:t>Act</w:t>
      </w:r>
      <w:r w:rsidR="00DB68CB">
        <w:t>.</w:t>
      </w:r>
    </w:p>
    <w:p w:rsidR="00E718E1" w:rsidRPr="00CA4237" w:rsidRDefault="00DB68CB" w:rsidP="005E1288">
      <w:pPr>
        <w:pStyle w:val="Heading1"/>
        <w:keepNext/>
      </w:pPr>
      <w:bookmarkStart w:id="33" w:name="_Toc416612144"/>
      <w:bookmarkStart w:id="34" w:name="_Toc410653894"/>
      <w:bookmarkStart w:id="35" w:name="_Toc417648129"/>
      <w:bookmarkStart w:id="36" w:name="_Toc418587938"/>
      <w:bookmarkEnd w:id="32"/>
      <w:r>
        <w:br w:type="page"/>
      </w:r>
      <w:bookmarkStart w:id="37" w:name="_Toc71295719"/>
      <w:r w:rsidR="00E718E1" w:rsidRPr="00CA4237">
        <w:lastRenderedPageBreak/>
        <w:t>Commencement</w:t>
      </w:r>
      <w:bookmarkEnd w:id="33"/>
      <w:bookmarkEnd w:id="34"/>
      <w:bookmarkEnd w:id="35"/>
      <w:bookmarkEnd w:id="36"/>
      <w:bookmarkEnd w:id="37"/>
    </w:p>
    <w:p w:rsidR="001B581E" w:rsidRDefault="002D35D9" w:rsidP="005D0E2C">
      <w:pPr>
        <w:pStyle w:val="ParaNumbered"/>
        <w:rPr>
          <w:lang w:val="en-GB"/>
        </w:rPr>
      </w:pPr>
      <w:r w:rsidRPr="00DB68CB">
        <w:rPr>
          <w:lang w:val="en-GB"/>
        </w:rPr>
        <w:t>The Act comes into force on 29 June 2021.</w:t>
      </w:r>
      <w:bookmarkStart w:id="38" w:name="_Toc416612148"/>
      <w:bookmarkStart w:id="39" w:name="_Toc417648133"/>
    </w:p>
    <w:p w:rsidR="001B581E" w:rsidRPr="00AE5693" w:rsidRDefault="001B581E">
      <w:pPr>
        <w:rPr>
          <w:rStyle w:val="StyleLatinArial"/>
        </w:rPr>
      </w:pPr>
      <w:bookmarkStart w:id="40" w:name="_Toc410653897"/>
      <w:bookmarkStart w:id="41" w:name="_Toc416612149"/>
      <w:bookmarkStart w:id="42" w:name="_Toc417648134"/>
    </w:p>
    <w:p w:rsidR="00B42FA6" w:rsidRDefault="00DB68CB" w:rsidP="002D35D9">
      <w:pPr>
        <w:pStyle w:val="Heading1"/>
        <w:keepNext/>
      </w:pPr>
      <w:bookmarkStart w:id="43" w:name="_Toc418587943"/>
      <w:r>
        <w:br w:type="page"/>
      </w:r>
      <w:bookmarkStart w:id="44" w:name="_Toc71295720"/>
      <w:r w:rsidR="002A02DD" w:rsidRPr="00CA4237">
        <w:lastRenderedPageBreak/>
        <w:t xml:space="preserve">Annex </w:t>
      </w:r>
      <w:bookmarkEnd w:id="40"/>
      <w:bookmarkEnd w:id="41"/>
      <w:r w:rsidR="002A02DD" w:rsidRPr="00CA4237">
        <w:t xml:space="preserve">A </w:t>
      </w:r>
      <w:r w:rsidR="00A66C18">
        <w:t>–</w:t>
      </w:r>
      <w:r w:rsidR="002A02DD" w:rsidRPr="00CA4237">
        <w:t xml:space="preserve"> </w:t>
      </w:r>
      <w:bookmarkEnd w:id="42"/>
      <w:bookmarkEnd w:id="43"/>
      <w:r w:rsidR="00A46160" w:rsidRPr="00A46160">
        <w:t>Territorial extent and application in the United Kingdom</w:t>
      </w:r>
      <w:bookmarkEnd w:id="44"/>
    </w:p>
    <w:tbl>
      <w:tblPr>
        <w:tblStyle w:val="ENGeneralTable"/>
        <w:tblW w:w="8967" w:type="dxa"/>
        <w:jc w:val="center"/>
        <w:tblLayout w:type="fixed"/>
        <w:tblLook w:val="0000" w:firstRow="0" w:lastRow="0" w:firstColumn="0" w:lastColumn="0" w:noHBand="0" w:noVBand="0"/>
      </w:tblPr>
      <w:tblGrid>
        <w:gridCol w:w="1815"/>
        <w:gridCol w:w="1635"/>
        <w:gridCol w:w="1635"/>
        <w:gridCol w:w="1635"/>
        <w:gridCol w:w="2247"/>
      </w:tblGrid>
      <w:tr w:rsidR="002D35D9" w:rsidRPr="00CA4237" w:rsidTr="001C7E01">
        <w:trPr>
          <w:trHeight w:val="1480"/>
          <w:tblHeader/>
          <w:jc w:val="center"/>
        </w:trPr>
        <w:tc>
          <w:tcPr>
            <w:tcW w:w="1815" w:type="dxa"/>
          </w:tcPr>
          <w:p w:rsidR="002D35D9" w:rsidRPr="00BC7958" w:rsidRDefault="002D35D9" w:rsidP="001C7E01">
            <w:pPr>
              <w:pStyle w:val="TTableText"/>
              <w:rPr>
                <w:rStyle w:val="TTableHeadings"/>
              </w:rPr>
            </w:pPr>
            <w:r>
              <w:rPr>
                <w:rStyle w:val="TTableHeadings"/>
              </w:rPr>
              <w:t>Provision</w:t>
            </w:r>
          </w:p>
        </w:tc>
        <w:tc>
          <w:tcPr>
            <w:tcW w:w="1635" w:type="dxa"/>
          </w:tcPr>
          <w:p w:rsidR="002D35D9" w:rsidRPr="00BC7958" w:rsidRDefault="002D35D9" w:rsidP="001C7E01">
            <w:pPr>
              <w:pStyle w:val="TTableText"/>
              <w:rPr>
                <w:rStyle w:val="TTableHeadings"/>
              </w:rPr>
            </w:pPr>
            <w:r w:rsidRPr="00BC7958">
              <w:rPr>
                <w:rStyle w:val="TTableHeadings"/>
              </w:rPr>
              <w:t>Extends to E &amp; W and applies to England?</w:t>
            </w:r>
          </w:p>
        </w:tc>
        <w:tc>
          <w:tcPr>
            <w:tcW w:w="1635" w:type="dxa"/>
          </w:tcPr>
          <w:p w:rsidR="002D35D9" w:rsidRPr="00BC7958" w:rsidRDefault="002D35D9" w:rsidP="001C7E01">
            <w:pPr>
              <w:pStyle w:val="TTableText"/>
              <w:rPr>
                <w:rStyle w:val="TTableHeadings"/>
              </w:rPr>
            </w:pPr>
            <w:r w:rsidRPr="00BC7958">
              <w:rPr>
                <w:rStyle w:val="TTableHeadings"/>
              </w:rPr>
              <w:t>Extends to E &amp; W and applies to Wales?</w:t>
            </w:r>
          </w:p>
        </w:tc>
        <w:tc>
          <w:tcPr>
            <w:tcW w:w="1635" w:type="dxa"/>
          </w:tcPr>
          <w:p w:rsidR="002D35D9" w:rsidRPr="00BC7958" w:rsidRDefault="002D35D9" w:rsidP="001C7E01">
            <w:pPr>
              <w:pStyle w:val="TTableText"/>
              <w:rPr>
                <w:rStyle w:val="TTableHeadings"/>
              </w:rPr>
            </w:pPr>
            <w:r w:rsidRPr="00BC7958">
              <w:rPr>
                <w:rStyle w:val="TTableHeadings"/>
              </w:rPr>
              <w:t>Extends and applies to Scotland?</w:t>
            </w:r>
          </w:p>
        </w:tc>
        <w:tc>
          <w:tcPr>
            <w:tcW w:w="2247" w:type="dxa"/>
          </w:tcPr>
          <w:p w:rsidR="002D35D9" w:rsidRPr="00BC7958" w:rsidRDefault="002D35D9" w:rsidP="001C7E01">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2D35D9" w:rsidRPr="00CA4237" w:rsidTr="001C7E01">
        <w:trPr>
          <w:trHeight w:val="482"/>
          <w:jc w:val="center"/>
        </w:trPr>
        <w:tc>
          <w:tcPr>
            <w:tcW w:w="1815" w:type="dxa"/>
          </w:tcPr>
          <w:p w:rsidR="002D35D9" w:rsidRPr="00CA4237" w:rsidRDefault="002D35D9" w:rsidP="001C7E01">
            <w:pPr>
              <w:pStyle w:val="TTableText"/>
              <w:rPr>
                <w:lang w:val="en-GB"/>
              </w:rPr>
            </w:pPr>
            <w:r>
              <w:t>Section</w:t>
            </w:r>
            <w:r w:rsidRPr="00CA4237">
              <w:rPr>
                <w:lang w:val="en-GB"/>
              </w:rPr>
              <w:t xml:space="preserve"> </w:t>
            </w:r>
            <w:r>
              <w:t>1</w:t>
            </w:r>
          </w:p>
          <w:p w:rsidR="002D35D9" w:rsidRDefault="002D35D9" w:rsidP="001C7E01">
            <w:pPr>
              <w:pStyle w:val="TTableText"/>
            </w:pPr>
          </w:p>
          <w:p w:rsidR="002D35D9" w:rsidRPr="00CA4237" w:rsidRDefault="002D35D9" w:rsidP="001C7E01">
            <w:pPr>
              <w:pStyle w:val="TTableText"/>
              <w:rPr>
                <w:lang w:val="en-GB"/>
              </w:rPr>
            </w:pPr>
            <w:r>
              <w:t>Section</w:t>
            </w:r>
            <w:r w:rsidRPr="00CA4237">
              <w:rPr>
                <w:lang w:val="en-GB"/>
              </w:rPr>
              <w:t xml:space="preserve"> 2</w:t>
            </w:r>
            <w:r>
              <w:t xml:space="preserve"> </w:t>
            </w:r>
          </w:p>
        </w:tc>
        <w:tc>
          <w:tcPr>
            <w:tcW w:w="1635" w:type="dxa"/>
          </w:tcPr>
          <w:p w:rsidR="002D35D9" w:rsidRDefault="002D35D9" w:rsidP="001C7E01">
            <w:pPr>
              <w:pStyle w:val="TTableText"/>
            </w:pPr>
            <w:r>
              <w:t>Yes</w:t>
            </w:r>
          </w:p>
          <w:p w:rsidR="002D35D9" w:rsidRDefault="002D35D9" w:rsidP="001C7E01">
            <w:pPr>
              <w:pStyle w:val="TTableText"/>
            </w:pPr>
          </w:p>
          <w:p w:rsidR="002D35D9" w:rsidRPr="004069C5" w:rsidRDefault="002D35D9" w:rsidP="001C7E01">
            <w:pPr>
              <w:pStyle w:val="TTableText"/>
            </w:pPr>
            <w:r>
              <w:t>Yes</w:t>
            </w:r>
          </w:p>
        </w:tc>
        <w:tc>
          <w:tcPr>
            <w:tcW w:w="1635" w:type="dxa"/>
          </w:tcPr>
          <w:p w:rsidR="002D35D9" w:rsidRDefault="002D35D9" w:rsidP="001C7E01">
            <w:pPr>
              <w:pStyle w:val="TTableText"/>
            </w:pPr>
            <w:r>
              <w:t>Yes</w:t>
            </w:r>
          </w:p>
          <w:p w:rsidR="002D35D9" w:rsidRDefault="002D35D9" w:rsidP="001C7E01">
            <w:pPr>
              <w:pStyle w:val="TTableText"/>
            </w:pPr>
          </w:p>
          <w:p w:rsidR="002D35D9" w:rsidRPr="00CA4237" w:rsidRDefault="002D35D9" w:rsidP="001C7E01">
            <w:pPr>
              <w:pStyle w:val="TTableText"/>
              <w:rPr>
                <w:lang w:val="en-GB"/>
              </w:rPr>
            </w:pPr>
            <w:r>
              <w:t>Yes</w:t>
            </w:r>
          </w:p>
        </w:tc>
        <w:tc>
          <w:tcPr>
            <w:tcW w:w="1635" w:type="dxa"/>
          </w:tcPr>
          <w:p w:rsidR="002D35D9" w:rsidRDefault="002D35D9" w:rsidP="001C7E01">
            <w:pPr>
              <w:pStyle w:val="TTableText"/>
            </w:pPr>
            <w:r>
              <w:t>No</w:t>
            </w:r>
          </w:p>
          <w:p w:rsidR="002D35D9" w:rsidRDefault="002D35D9" w:rsidP="001C7E01">
            <w:pPr>
              <w:pStyle w:val="TTableText"/>
            </w:pPr>
          </w:p>
          <w:p w:rsidR="002D35D9" w:rsidRPr="00CA4237" w:rsidRDefault="002D35D9" w:rsidP="001C7E01">
            <w:pPr>
              <w:pStyle w:val="TTableText"/>
              <w:rPr>
                <w:lang w:val="en-GB"/>
              </w:rPr>
            </w:pPr>
            <w:r>
              <w:t>No</w:t>
            </w:r>
          </w:p>
        </w:tc>
        <w:tc>
          <w:tcPr>
            <w:tcW w:w="2247" w:type="dxa"/>
          </w:tcPr>
          <w:p w:rsidR="002D35D9" w:rsidRDefault="002D35D9" w:rsidP="001C7E01">
            <w:pPr>
              <w:pStyle w:val="TTableText"/>
            </w:pPr>
            <w:r>
              <w:t>No</w:t>
            </w:r>
          </w:p>
          <w:p w:rsidR="002D35D9" w:rsidRDefault="002D35D9" w:rsidP="001C7E01">
            <w:pPr>
              <w:pStyle w:val="TTableText"/>
            </w:pPr>
          </w:p>
          <w:p w:rsidR="002D35D9" w:rsidRPr="00CA4237" w:rsidRDefault="002D35D9" w:rsidP="001C7E01">
            <w:pPr>
              <w:pStyle w:val="TTableText"/>
              <w:rPr>
                <w:lang w:val="en-GB"/>
              </w:rPr>
            </w:pPr>
            <w:r>
              <w:t>No</w:t>
            </w:r>
          </w:p>
        </w:tc>
      </w:tr>
    </w:tbl>
    <w:p w:rsidR="002D35D9" w:rsidRDefault="002D35D9" w:rsidP="002D35D9">
      <w:pPr>
        <w:pStyle w:val="ParaNumbered"/>
        <w:numPr>
          <w:ilvl w:val="0"/>
          <w:numId w:val="0"/>
        </w:numPr>
        <w:rPr>
          <w:lang w:val="en-GB"/>
        </w:rPr>
      </w:pPr>
    </w:p>
    <w:p w:rsidR="00644999" w:rsidRPr="00CA4237" w:rsidRDefault="00DB68CB" w:rsidP="005E1288">
      <w:pPr>
        <w:pStyle w:val="Heading1"/>
        <w:keepNext/>
      </w:pPr>
      <w:bookmarkStart w:id="45" w:name="_Toc418587944"/>
      <w:r>
        <w:br w:type="page"/>
      </w:r>
      <w:bookmarkStart w:id="46" w:name="_Toc71295721"/>
      <w:r w:rsidR="002A02DD" w:rsidRPr="00CA4237">
        <w:lastRenderedPageBreak/>
        <w:t xml:space="preserve">Annex B </w:t>
      </w:r>
      <w:r w:rsidR="00A66C18">
        <w:t>–</w:t>
      </w:r>
      <w:r w:rsidR="002A02DD" w:rsidRPr="00CA4237">
        <w:t xml:space="preserve"> </w:t>
      </w:r>
      <w:r w:rsidR="00644999" w:rsidRPr="00CA4237">
        <w:t>Hansard References</w:t>
      </w:r>
      <w:bookmarkEnd w:id="38"/>
      <w:bookmarkEnd w:id="39"/>
      <w:bookmarkEnd w:id="45"/>
      <w:bookmarkEnd w:id="46"/>
    </w:p>
    <w:p w:rsidR="00C8763D" w:rsidRPr="002D35D9" w:rsidRDefault="00644999" w:rsidP="002D35D9">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518"/>
        <w:gridCol w:w="2126"/>
        <w:gridCol w:w="4643"/>
      </w:tblGrid>
      <w:tr w:rsidR="00C8763D" w:rsidRPr="00A64BF2" w:rsidTr="00A64BF2">
        <w:trPr>
          <w:tblHeader/>
        </w:trPr>
        <w:tc>
          <w:tcPr>
            <w:tcW w:w="2518"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Commons</w:t>
            </w:r>
          </w:p>
        </w:tc>
      </w:tr>
      <w:tr w:rsidR="002D35D9" w:rsidRPr="00A64BF2" w:rsidTr="002D35D9">
        <w:tc>
          <w:tcPr>
            <w:tcW w:w="2518" w:type="dxa"/>
            <w:shd w:val="clear" w:color="auto" w:fill="auto"/>
          </w:tcPr>
          <w:p w:rsidR="002D35D9" w:rsidRPr="00A64BF2" w:rsidRDefault="002D35D9" w:rsidP="002D35D9">
            <w:pPr>
              <w:pStyle w:val="TTableText"/>
              <w:rPr>
                <w:lang w:val="en-GB"/>
              </w:rPr>
            </w:pPr>
            <w:r w:rsidRPr="00A64BF2">
              <w:rPr>
                <w:lang w:val="en-GB"/>
              </w:rPr>
              <w:t>Introduction</w:t>
            </w:r>
          </w:p>
        </w:tc>
        <w:tc>
          <w:tcPr>
            <w:tcW w:w="2126" w:type="dxa"/>
            <w:shd w:val="clear" w:color="auto" w:fill="auto"/>
          </w:tcPr>
          <w:p w:rsidR="002D35D9" w:rsidRPr="002D35D9" w:rsidRDefault="002D35D9" w:rsidP="002D35D9">
            <w:pPr>
              <w:pStyle w:val="ParaNumbered"/>
              <w:numPr>
                <w:ilvl w:val="0"/>
                <w:numId w:val="0"/>
              </w:numPr>
              <w:rPr>
                <w:rFonts w:ascii="Arial" w:hAnsi="Arial" w:cs="Arial"/>
                <w:sz w:val="16"/>
              </w:rPr>
            </w:pPr>
            <w:r w:rsidRPr="002D35D9">
              <w:rPr>
                <w:rFonts w:ascii="Arial" w:hAnsi="Arial" w:cs="Arial"/>
                <w:sz w:val="16"/>
              </w:rPr>
              <w:t>5 February 2020</w:t>
            </w:r>
          </w:p>
        </w:tc>
        <w:tc>
          <w:tcPr>
            <w:tcW w:w="4643" w:type="dxa"/>
            <w:shd w:val="clear" w:color="auto" w:fill="auto"/>
          </w:tcPr>
          <w:p w:rsidR="002D35D9" w:rsidRPr="002D35D9" w:rsidRDefault="003754CE" w:rsidP="002D35D9">
            <w:pPr>
              <w:pStyle w:val="ParaNumbered"/>
              <w:numPr>
                <w:ilvl w:val="0"/>
                <w:numId w:val="0"/>
              </w:numPr>
              <w:rPr>
                <w:rFonts w:ascii="Arial" w:hAnsi="Arial" w:cs="Arial"/>
                <w:sz w:val="16"/>
              </w:rPr>
            </w:pPr>
            <w:hyperlink r:id="rId9" w:history="1">
              <w:r w:rsidR="002D35D9" w:rsidRPr="002D35D9">
                <w:rPr>
                  <w:rStyle w:val="Hyperlink"/>
                  <w:rFonts w:ascii="Arial" w:hAnsi="Arial" w:cs="Arial"/>
                  <w:sz w:val="16"/>
                </w:rPr>
                <w:t>https://bills.parliament.uk/bills/2622/stages/11841</w:t>
              </w:r>
            </w:hyperlink>
            <w:r w:rsidR="002D35D9" w:rsidRPr="002D35D9">
              <w:rPr>
                <w:rFonts w:ascii="Arial" w:hAnsi="Arial" w:cs="Arial"/>
                <w:sz w:val="16"/>
              </w:rPr>
              <w:t xml:space="preserve"> </w:t>
            </w:r>
          </w:p>
        </w:tc>
      </w:tr>
      <w:tr w:rsidR="002D35D9" w:rsidRPr="00A64BF2" w:rsidTr="002D35D9">
        <w:tc>
          <w:tcPr>
            <w:tcW w:w="2518" w:type="dxa"/>
            <w:shd w:val="clear" w:color="auto" w:fill="auto"/>
          </w:tcPr>
          <w:p w:rsidR="002D35D9" w:rsidRPr="00A64BF2" w:rsidRDefault="002D35D9" w:rsidP="002D35D9">
            <w:pPr>
              <w:pStyle w:val="TTableText"/>
              <w:rPr>
                <w:lang w:val="en-GB"/>
              </w:rPr>
            </w:pPr>
            <w:r w:rsidRPr="00A64BF2">
              <w:rPr>
                <w:lang w:val="en-GB"/>
              </w:rPr>
              <w:t>Second Reading</w:t>
            </w:r>
          </w:p>
        </w:tc>
        <w:tc>
          <w:tcPr>
            <w:tcW w:w="2126" w:type="dxa"/>
            <w:shd w:val="clear" w:color="auto" w:fill="auto"/>
          </w:tcPr>
          <w:p w:rsidR="002D35D9" w:rsidRPr="002D35D9" w:rsidRDefault="002D35D9" w:rsidP="002D35D9">
            <w:pPr>
              <w:pStyle w:val="ParaNumbered"/>
              <w:numPr>
                <w:ilvl w:val="0"/>
                <w:numId w:val="0"/>
              </w:numPr>
              <w:rPr>
                <w:rFonts w:ascii="Arial" w:hAnsi="Arial" w:cs="Arial"/>
                <w:sz w:val="16"/>
              </w:rPr>
            </w:pPr>
            <w:r w:rsidRPr="002D35D9">
              <w:rPr>
                <w:rFonts w:ascii="Arial" w:hAnsi="Arial" w:cs="Arial"/>
                <w:sz w:val="16"/>
              </w:rPr>
              <w:t>23 October 2020</w:t>
            </w:r>
          </w:p>
        </w:tc>
        <w:tc>
          <w:tcPr>
            <w:tcW w:w="4643" w:type="dxa"/>
            <w:shd w:val="clear" w:color="auto" w:fill="auto"/>
          </w:tcPr>
          <w:p w:rsidR="002D35D9" w:rsidRPr="002D35D9" w:rsidRDefault="003754CE" w:rsidP="002D35D9">
            <w:pPr>
              <w:pStyle w:val="ParaNumbered"/>
              <w:numPr>
                <w:ilvl w:val="0"/>
                <w:numId w:val="0"/>
              </w:numPr>
              <w:rPr>
                <w:rFonts w:ascii="Arial" w:hAnsi="Arial" w:cs="Arial"/>
                <w:sz w:val="16"/>
              </w:rPr>
            </w:pPr>
            <w:hyperlink r:id="rId10" w:history="1">
              <w:r w:rsidR="002D35D9" w:rsidRPr="002D35D9">
                <w:rPr>
                  <w:rStyle w:val="Hyperlink"/>
                  <w:rFonts w:ascii="Arial" w:hAnsi="Arial" w:cs="Arial"/>
                  <w:sz w:val="16"/>
                </w:rPr>
                <w:t>Vol</w:t>
              </w:r>
              <w:r w:rsidR="00DB68CB">
                <w:rPr>
                  <w:rStyle w:val="Hyperlink"/>
                  <w:rFonts w:ascii="Arial" w:hAnsi="Arial" w:cs="Arial"/>
                  <w:sz w:val="16"/>
                </w:rPr>
                <w:t>.</w:t>
              </w:r>
              <w:r w:rsidR="002D35D9" w:rsidRPr="002D35D9">
                <w:rPr>
                  <w:rStyle w:val="Hyperlink"/>
                  <w:rFonts w:ascii="Arial" w:hAnsi="Arial" w:cs="Arial"/>
                  <w:sz w:val="16"/>
                </w:rPr>
                <w:t xml:space="preserve"> 682 Col</w:t>
              </w:r>
              <w:r w:rsidR="00DB68CB">
                <w:rPr>
                  <w:rStyle w:val="Hyperlink"/>
                  <w:rFonts w:ascii="Arial" w:hAnsi="Arial" w:cs="Arial"/>
                  <w:sz w:val="16"/>
                </w:rPr>
                <w:t>.</w:t>
              </w:r>
              <w:r w:rsidR="002D35D9" w:rsidRPr="002D35D9">
                <w:rPr>
                  <w:rStyle w:val="Hyperlink"/>
                  <w:rFonts w:ascii="Arial" w:hAnsi="Arial" w:cs="Arial"/>
                  <w:sz w:val="16"/>
                </w:rPr>
                <w:t xml:space="preserve"> 1348</w:t>
              </w:r>
            </w:hyperlink>
            <w:r w:rsidR="002D35D9" w:rsidRPr="002D35D9">
              <w:rPr>
                <w:rFonts w:ascii="Arial" w:hAnsi="Arial" w:cs="Arial"/>
                <w:sz w:val="16"/>
              </w:rPr>
              <w:t xml:space="preserve"> </w:t>
            </w:r>
          </w:p>
        </w:tc>
      </w:tr>
      <w:tr w:rsidR="002D35D9" w:rsidRPr="00A64BF2" w:rsidTr="002D35D9">
        <w:tc>
          <w:tcPr>
            <w:tcW w:w="2518" w:type="dxa"/>
            <w:shd w:val="clear" w:color="auto" w:fill="auto"/>
          </w:tcPr>
          <w:p w:rsidR="002D35D9" w:rsidRPr="00A64BF2" w:rsidRDefault="002D35D9" w:rsidP="002D35D9">
            <w:pPr>
              <w:pStyle w:val="TTableText"/>
              <w:rPr>
                <w:lang w:val="en-GB"/>
              </w:rPr>
            </w:pPr>
            <w:r w:rsidRPr="00A64BF2">
              <w:rPr>
                <w:lang w:val="en-GB"/>
              </w:rPr>
              <w:t>Public Bill Committee</w:t>
            </w:r>
          </w:p>
        </w:tc>
        <w:tc>
          <w:tcPr>
            <w:tcW w:w="2126" w:type="dxa"/>
            <w:shd w:val="clear" w:color="auto" w:fill="auto"/>
          </w:tcPr>
          <w:p w:rsidR="002D35D9" w:rsidRPr="002D35D9" w:rsidRDefault="002D35D9" w:rsidP="002D35D9">
            <w:pPr>
              <w:pStyle w:val="ParaNumbered"/>
              <w:numPr>
                <w:ilvl w:val="0"/>
                <w:numId w:val="0"/>
              </w:numPr>
              <w:rPr>
                <w:rFonts w:ascii="Arial" w:hAnsi="Arial" w:cs="Arial"/>
                <w:sz w:val="16"/>
              </w:rPr>
            </w:pPr>
            <w:r w:rsidRPr="002D35D9">
              <w:rPr>
                <w:rFonts w:ascii="Arial" w:hAnsi="Arial" w:cs="Arial"/>
                <w:sz w:val="16"/>
              </w:rPr>
              <w:t>5 February 2021</w:t>
            </w:r>
          </w:p>
        </w:tc>
        <w:tc>
          <w:tcPr>
            <w:tcW w:w="4643" w:type="dxa"/>
            <w:shd w:val="clear" w:color="auto" w:fill="auto"/>
          </w:tcPr>
          <w:p w:rsidR="002D35D9" w:rsidRPr="002D35D9" w:rsidRDefault="003754CE" w:rsidP="002D35D9">
            <w:pPr>
              <w:pStyle w:val="ParaNumbered"/>
              <w:numPr>
                <w:ilvl w:val="0"/>
                <w:numId w:val="0"/>
              </w:numPr>
              <w:rPr>
                <w:rFonts w:ascii="Arial" w:hAnsi="Arial" w:cs="Arial"/>
                <w:sz w:val="16"/>
              </w:rPr>
            </w:pPr>
            <w:hyperlink r:id="rId11" w:history="1">
              <w:r w:rsidR="002D35D9" w:rsidRPr="002D35D9">
                <w:rPr>
                  <w:rStyle w:val="Hyperlink"/>
                  <w:rFonts w:ascii="Arial" w:hAnsi="Arial" w:cs="Arial"/>
                  <w:sz w:val="16"/>
                </w:rPr>
                <w:t>Col</w:t>
              </w:r>
              <w:r w:rsidR="00DB68CB">
                <w:rPr>
                  <w:rStyle w:val="Hyperlink"/>
                  <w:rFonts w:ascii="Arial" w:hAnsi="Arial" w:cs="Arial"/>
                  <w:sz w:val="16"/>
                </w:rPr>
                <w:t>.</w:t>
              </w:r>
              <w:r w:rsidR="002D35D9" w:rsidRPr="002D35D9">
                <w:rPr>
                  <w:rStyle w:val="Hyperlink"/>
                  <w:rFonts w:ascii="Arial" w:hAnsi="Arial" w:cs="Arial"/>
                  <w:sz w:val="16"/>
                </w:rPr>
                <w:t xml:space="preserve"> 1</w:t>
              </w:r>
            </w:hyperlink>
            <w:r w:rsidR="002D35D9" w:rsidRPr="002D35D9">
              <w:rPr>
                <w:rFonts w:ascii="Arial" w:hAnsi="Arial" w:cs="Arial"/>
                <w:sz w:val="16"/>
              </w:rPr>
              <w:t xml:space="preserve"> </w:t>
            </w:r>
          </w:p>
        </w:tc>
      </w:tr>
      <w:tr w:rsidR="002D35D9" w:rsidRPr="00A64BF2" w:rsidTr="002D35D9">
        <w:tc>
          <w:tcPr>
            <w:tcW w:w="2518" w:type="dxa"/>
            <w:shd w:val="clear" w:color="auto" w:fill="auto"/>
          </w:tcPr>
          <w:p w:rsidR="002D35D9" w:rsidRPr="00A64BF2" w:rsidRDefault="002D35D9" w:rsidP="002D35D9">
            <w:pPr>
              <w:pStyle w:val="TTableText"/>
              <w:rPr>
                <w:lang w:val="en-GB"/>
              </w:rPr>
            </w:pPr>
            <w:r w:rsidRPr="00A64BF2">
              <w:rPr>
                <w:lang w:val="en-GB"/>
              </w:rPr>
              <w:t>Report and Third Reading</w:t>
            </w:r>
          </w:p>
        </w:tc>
        <w:tc>
          <w:tcPr>
            <w:tcW w:w="2126" w:type="dxa"/>
            <w:shd w:val="clear" w:color="auto" w:fill="auto"/>
          </w:tcPr>
          <w:p w:rsidR="002D35D9" w:rsidRPr="002D35D9" w:rsidRDefault="002D35D9" w:rsidP="002D35D9">
            <w:pPr>
              <w:pStyle w:val="ParaNumbered"/>
              <w:numPr>
                <w:ilvl w:val="0"/>
                <w:numId w:val="0"/>
              </w:numPr>
              <w:rPr>
                <w:rFonts w:ascii="Arial" w:hAnsi="Arial" w:cs="Arial"/>
                <w:sz w:val="16"/>
              </w:rPr>
            </w:pPr>
            <w:r w:rsidRPr="002D35D9">
              <w:rPr>
                <w:rFonts w:ascii="Arial" w:hAnsi="Arial" w:cs="Arial"/>
                <w:sz w:val="16"/>
              </w:rPr>
              <w:t>12 March 2021</w:t>
            </w:r>
          </w:p>
        </w:tc>
        <w:tc>
          <w:tcPr>
            <w:tcW w:w="4643" w:type="dxa"/>
            <w:shd w:val="clear" w:color="auto" w:fill="auto"/>
          </w:tcPr>
          <w:p w:rsidR="002D35D9" w:rsidRPr="002D35D9" w:rsidRDefault="003754CE" w:rsidP="002D35D9">
            <w:pPr>
              <w:pStyle w:val="ParaNumbered"/>
              <w:numPr>
                <w:ilvl w:val="0"/>
                <w:numId w:val="0"/>
              </w:numPr>
              <w:rPr>
                <w:rFonts w:ascii="Arial" w:hAnsi="Arial" w:cs="Arial"/>
                <w:sz w:val="16"/>
              </w:rPr>
            </w:pPr>
            <w:hyperlink r:id="rId12" w:history="1">
              <w:r w:rsidR="002D35D9" w:rsidRPr="002D35D9">
                <w:rPr>
                  <w:rStyle w:val="Hyperlink"/>
                  <w:rFonts w:ascii="Arial" w:hAnsi="Arial" w:cs="Arial"/>
                  <w:sz w:val="16"/>
                </w:rPr>
                <w:t>Vol</w:t>
              </w:r>
              <w:r w:rsidR="00DB68CB">
                <w:rPr>
                  <w:rStyle w:val="Hyperlink"/>
                  <w:rFonts w:ascii="Arial" w:hAnsi="Arial" w:cs="Arial"/>
                  <w:sz w:val="16"/>
                </w:rPr>
                <w:t>.</w:t>
              </w:r>
              <w:r w:rsidR="002D35D9" w:rsidRPr="002D35D9">
                <w:rPr>
                  <w:rStyle w:val="Hyperlink"/>
                  <w:rFonts w:ascii="Arial" w:hAnsi="Arial" w:cs="Arial"/>
                  <w:sz w:val="16"/>
                </w:rPr>
                <w:t xml:space="preserve"> 690</w:t>
              </w:r>
            </w:hyperlink>
            <w:r w:rsidR="002D35D9" w:rsidRPr="002D35D9">
              <w:rPr>
                <w:rFonts w:ascii="Arial" w:hAnsi="Arial" w:cs="Arial"/>
                <w:sz w:val="16"/>
              </w:rPr>
              <w:t xml:space="preserve"> </w:t>
            </w:r>
          </w:p>
        </w:tc>
      </w:tr>
      <w:tr w:rsidR="00C8763D" w:rsidRPr="00A64BF2" w:rsidTr="00A64BF2">
        <w:tc>
          <w:tcPr>
            <w:tcW w:w="9287" w:type="dxa"/>
            <w:gridSpan w:val="3"/>
            <w:shd w:val="clear" w:color="auto" w:fill="auto"/>
          </w:tcPr>
          <w:p w:rsidR="00C8763D" w:rsidRPr="00A64BF2" w:rsidRDefault="00C8763D" w:rsidP="00C8763D">
            <w:pPr>
              <w:pStyle w:val="TTableText"/>
              <w:rPr>
                <w:rStyle w:val="CItalic"/>
                <w:lang w:val="en-GB"/>
              </w:rPr>
            </w:pPr>
            <w:r w:rsidRPr="00A64BF2">
              <w:rPr>
                <w:rStyle w:val="CItalic"/>
                <w:lang w:val="en-GB"/>
              </w:rPr>
              <w:t>House of Lords</w:t>
            </w:r>
          </w:p>
        </w:tc>
      </w:tr>
      <w:tr w:rsidR="002D35D9" w:rsidRPr="00A64BF2" w:rsidTr="00A64BF2">
        <w:tc>
          <w:tcPr>
            <w:tcW w:w="2518" w:type="dxa"/>
            <w:shd w:val="clear" w:color="auto" w:fill="auto"/>
          </w:tcPr>
          <w:p w:rsidR="002D35D9" w:rsidRPr="00A64BF2" w:rsidRDefault="002D35D9" w:rsidP="002D35D9">
            <w:pPr>
              <w:pStyle w:val="TTableText"/>
              <w:rPr>
                <w:lang w:val="en-GB"/>
              </w:rPr>
            </w:pPr>
            <w:r w:rsidRPr="00A64BF2">
              <w:rPr>
                <w:lang w:val="en-GB"/>
              </w:rPr>
              <w:t>Introduction</w:t>
            </w:r>
          </w:p>
        </w:tc>
        <w:tc>
          <w:tcPr>
            <w:tcW w:w="2126" w:type="dxa"/>
            <w:shd w:val="clear" w:color="auto" w:fill="auto"/>
          </w:tcPr>
          <w:p w:rsidR="002D35D9" w:rsidRPr="002D35D9" w:rsidRDefault="002D35D9" w:rsidP="002D35D9">
            <w:pPr>
              <w:pStyle w:val="ParaNumbered"/>
              <w:numPr>
                <w:ilvl w:val="0"/>
                <w:numId w:val="0"/>
              </w:numPr>
              <w:rPr>
                <w:rFonts w:ascii="Arial" w:hAnsi="Arial" w:cs="Arial"/>
                <w:sz w:val="16"/>
              </w:rPr>
            </w:pPr>
            <w:r w:rsidRPr="002D35D9">
              <w:rPr>
                <w:rFonts w:ascii="Arial" w:hAnsi="Arial" w:cs="Arial"/>
                <w:sz w:val="16"/>
              </w:rPr>
              <w:t>12 March 2021</w:t>
            </w:r>
          </w:p>
        </w:tc>
        <w:tc>
          <w:tcPr>
            <w:tcW w:w="4643" w:type="dxa"/>
            <w:shd w:val="clear" w:color="auto" w:fill="auto"/>
          </w:tcPr>
          <w:p w:rsidR="002D35D9" w:rsidRPr="002D35D9" w:rsidRDefault="003754CE" w:rsidP="002D35D9">
            <w:pPr>
              <w:pStyle w:val="ParaNumbered"/>
              <w:numPr>
                <w:ilvl w:val="0"/>
                <w:numId w:val="0"/>
              </w:numPr>
              <w:rPr>
                <w:rFonts w:ascii="Arial" w:hAnsi="Arial" w:cs="Arial"/>
                <w:sz w:val="16"/>
              </w:rPr>
            </w:pPr>
            <w:hyperlink r:id="rId13" w:history="1">
              <w:r w:rsidR="002D35D9" w:rsidRPr="002D35D9">
                <w:rPr>
                  <w:rStyle w:val="Hyperlink"/>
                  <w:rFonts w:ascii="Arial" w:hAnsi="Arial" w:cs="Arial"/>
                  <w:sz w:val="16"/>
                </w:rPr>
                <w:t>Vol</w:t>
              </w:r>
              <w:r w:rsidR="00DB68CB">
                <w:rPr>
                  <w:rStyle w:val="Hyperlink"/>
                  <w:rFonts w:ascii="Arial" w:hAnsi="Arial" w:cs="Arial"/>
                  <w:sz w:val="16"/>
                </w:rPr>
                <w:t>.</w:t>
              </w:r>
              <w:r w:rsidR="002D35D9" w:rsidRPr="002D35D9">
                <w:rPr>
                  <w:rStyle w:val="Hyperlink"/>
                  <w:rFonts w:ascii="Arial" w:hAnsi="Arial" w:cs="Arial"/>
                  <w:sz w:val="16"/>
                </w:rPr>
                <w:t xml:space="preserve"> 810</w:t>
              </w:r>
            </w:hyperlink>
            <w:r w:rsidR="002D35D9" w:rsidRPr="002D35D9">
              <w:rPr>
                <w:rFonts w:ascii="Arial" w:hAnsi="Arial" w:cs="Arial"/>
                <w:sz w:val="16"/>
              </w:rPr>
              <w:t xml:space="preserve"> </w:t>
            </w:r>
          </w:p>
        </w:tc>
      </w:tr>
      <w:tr w:rsidR="002D35D9" w:rsidRPr="00A64BF2" w:rsidTr="00A64BF2">
        <w:tc>
          <w:tcPr>
            <w:tcW w:w="2518" w:type="dxa"/>
            <w:shd w:val="clear" w:color="auto" w:fill="auto"/>
          </w:tcPr>
          <w:p w:rsidR="002D35D9" w:rsidRPr="00A64BF2" w:rsidRDefault="002D35D9" w:rsidP="002D35D9">
            <w:pPr>
              <w:pStyle w:val="TTableText"/>
              <w:rPr>
                <w:lang w:val="en-GB"/>
              </w:rPr>
            </w:pPr>
            <w:r w:rsidRPr="00A64BF2">
              <w:rPr>
                <w:lang w:val="en-GB"/>
              </w:rPr>
              <w:t>Second Reading</w:t>
            </w:r>
          </w:p>
        </w:tc>
        <w:tc>
          <w:tcPr>
            <w:tcW w:w="2126" w:type="dxa"/>
            <w:shd w:val="clear" w:color="auto" w:fill="auto"/>
          </w:tcPr>
          <w:p w:rsidR="002D35D9" w:rsidRPr="002D35D9" w:rsidRDefault="002D35D9" w:rsidP="002D35D9">
            <w:pPr>
              <w:pStyle w:val="ParaNumbered"/>
              <w:numPr>
                <w:ilvl w:val="0"/>
                <w:numId w:val="0"/>
              </w:numPr>
              <w:rPr>
                <w:rFonts w:ascii="Arial" w:hAnsi="Arial" w:cs="Arial"/>
                <w:sz w:val="16"/>
              </w:rPr>
            </w:pPr>
            <w:r w:rsidRPr="002D35D9">
              <w:rPr>
                <w:rFonts w:ascii="Arial" w:hAnsi="Arial" w:cs="Arial"/>
                <w:sz w:val="16"/>
              </w:rPr>
              <w:t>16 April 2021</w:t>
            </w:r>
          </w:p>
        </w:tc>
        <w:tc>
          <w:tcPr>
            <w:tcW w:w="4643" w:type="dxa"/>
            <w:shd w:val="clear" w:color="auto" w:fill="auto"/>
          </w:tcPr>
          <w:p w:rsidR="002D35D9" w:rsidRPr="002D35D9" w:rsidRDefault="003754CE" w:rsidP="002D35D9">
            <w:pPr>
              <w:pStyle w:val="ParaNumbered"/>
              <w:numPr>
                <w:ilvl w:val="0"/>
                <w:numId w:val="0"/>
              </w:numPr>
              <w:rPr>
                <w:rFonts w:ascii="Arial" w:hAnsi="Arial" w:cs="Arial"/>
                <w:sz w:val="16"/>
              </w:rPr>
            </w:pPr>
            <w:hyperlink r:id="rId14" w:history="1">
              <w:r w:rsidR="002D35D9" w:rsidRPr="002D35D9">
                <w:rPr>
                  <w:rStyle w:val="Hyperlink"/>
                  <w:rFonts w:ascii="Arial" w:hAnsi="Arial" w:cs="Arial"/>
                  <w:sz w:val="16"/>
                </w:rPr>
                <w:t>Vol</w:t>
              </w:r>
              <w:r w:rsidR="00DB68CB">
                <w:rPr>
                  <w:rStyle w:val="Hyperlink"/>
                  <w:rFonts w:ascii="Arial" w:hAnsi="Arial" w:cs="Arial"/>
                  <w:sz w:val="16"/>
                </w:rPr>
                <w:t>.</w:t>
              </w:r>
              <w:r w:rsidR="002D35D9" w:rsidRPr="002D35D9">
                <w:rPr>
                  <w:rStyle w:val="Hyperlink"/>
                  <w:rFonts w:ascii="Arial" w:hAnsi="Arial" w:cs="Arial"/>
                  <w:sz w:val="16"/>
                </w:rPr>
                <w:t xml:space="preserve"> 811 Col</w:t>
              </w:r>
              <w:r w:rsidR="00DB68CB">
                <w:rPr>
                  <w:rStyle w:val="Hyperlink"/>
                  <w:rFonts w:ascii="Arial" w:hAnsi="Arial" w:cs="Arial"/>
                  <w:sz w:val="16"/>
                </w:rPr>
                <w:t>.</w:t>
              </w:r>
              <w:r w:rsidR="002D35D9" w:rsidRPr="002D35D9">
                <w:rPr>
                  <w:rStyle w:val="Hyperlink"/>
                  <w:rFonts w:ascii="Arial" w:hAnsi="Arial" w:cs="Arial"/>
                  <w:sz w:val="16"/>
                </w:rPr>
                <w:t xml:space="preserve"> 1582</w:t>
              </w:r>
            </w:hyperlink>
            <w:r w:rsidR="002D35D9" w:rsidRPr="002D35D9">
              <w:rPr>
                <w:rFonts w:ascii="Arial" w:hAnsi="Arial" w:cs="Arial"/>
                <w:sz w:val="16"/>
              </w:rPr>
              <w:t xml:space="preserve"> </w:t>
            </w:r>
          </w:p>
        </w:tc>
      </w:tr>
      <w:tr w:rsidR="002D35D9" w:rsidRPr="00A64BF2" w:rsidTr="00A64BF2">
        <w:tc>
          <w:tcPr>
            <w:tcW w:w="2518" w:type="dxa"/>
            <w:shd w:val="clear" w:color="auto" w:fill="auto"/>
          </w:tcPr>
          <w:p w:rsidR="002D35D9" w:rsidRPr="00A64BF2" w:rsidRDefault="002D35D9" w:rsidP="002D35D9">
            <w:pPr>
              <w:pStyle w:val="TTableText"/>
              <w:rPr>
                <w:lang w:val="en-GB"/>
              </w:rPr>
            </w:pPr>
            <w:r>
              <w:rPr>
                <w:lang w:val="en-GB"/>
              </w:rPr>
              <w:t>Order of Commitment discharged</w:t>
            </w:r>
          </w:p>
        </w:tc>
        <w:tc>
          <w:tcPr>
            <w:tcW w:w="2126" w:type="dxa"/>
            <w:shd w:val="clear" w:color="auto" w:fill="auto"/>
          </w:tcPr>
          <w:p w:rsidR="002D35D9" w:rsidRPr="002D35D9" w:rsidRDefault="002D35D9" w:rsidP="002D35D9">
            <w:pPr>
              <w:pStyle w:val="ParaNumbered"/>
              <w:numPr>
                <w:ilvl w:val="0"/>
                <w:numId w:val="0"/>
              </w:numPr>
              <w:rPr>
                <w:rFonts w:ascii="Arial" w:hAnsi="Arial" w:cs="Arial"/>
                <w:sz w:val="16"/>
              </w:rPr>
            </w:pPr>
            <w:r w:rsidRPr="002D35D9">
              <w:rPr>
                <w:rFonts w:ascii="Arial" w:hAnsi="Arial" w:cs="Arial"/>
                <w:sz w:val="16"/>
              </w:rPr>
              <w:t>22 April 2021</w:t>
            </w:r>
          </w:p>
        </w:tc>
        <w:tc>
          <w:tcPr>
            <w:tcW w:w="4643" w:type="dxa"/>
            <w:shd w:val="clear" w:color="auto" w:fill="auto"/>
          </w:tcPr>
          <w:p w:rsidR="002D35D9" w:rsidRPr="002D35D9" w:rsidRDefault="003754CE" w:rsidP="002D35D9">
            <w:pPr>
              <w:pStyle w:val="ParaNumbered"/>
              <w:numPr>
                <w:ilvl w:val="0"/>
                <w:numId w:val="0"/>
              </w:numPr>
              <w:rPr>
                <w:rFonts w:ascii="Arial" w:hAnsi="Arial" w:cs="Arial"/>
                <w:sz w:val="16"/>
              </w:rPr>
            </w:pPr>
            <w:hyperlink r:id="rId15" w:history="1">
              <w:r w:rsidR="002D35D9" w:rsidRPr="002D35D9">
                <w:rPr>
                  <w:rStyle w:val="Hyperlink"/>
                  <w:rFonts w:ascii="Arial" w:hAnsi="Arial" w:cs="Arial"/>
                  <w:sz w:val="16"/>
                </w:rPr>
                <w:t>Vol</w:t>
              </w:r>
              <w:r w:rsidR="00DB68CB">
                <w:rPr>
                  <w:rStyle w:val="Hyperlink"/>
                  <w:rFonts w:ascii="Arial" w:hAnsi="Arial" w:cs="Arial"/>
                  <w:sz w:val="16"/>
                </w:rPr>
                <w:t>.</w:t>
              </w:r>
              <w:r w:rsidR="002D35D9" w:rsidRPr="002D35D9">
                <w:rPr>
                  <w:rStyle w:val="Hyperlink"/>
                  <w:rFonts w:ascii="Arial" w:hAnsi="Arial" w:cs="Arial"/>
                  <w:sz w:val="16"/>
                </w:rPr>
                <w:t xml:space="preserve"> 811</w:t>
              </w:r>
            </w:hyperlink>
            <w:r w:rsidR="002D35D9" w:rsidRPr="002D35D9">
              <w:rPr>
                <w:rFonts w:ascii="Arial" w:hAnsi="Arial" w:cs="Arial"/>
                <w:sz w:val="16"/>
              </w:rPr>
              <w:t xml:space="preserve"> </w:t>
            </w:r>
          </w:p>
        </w:tc>
      </w:tr>
      <w:tr w:rsidR="002D35D9" w:rsidRPr="00A64BF2" w:rsidTr="00A64BF2">
        <w:tc>
          <w:tcPr>
            <w:tcW w:w="2518" w:type="dxa"/>
            <w:shd w:val="clear" w:color="auto" w:fill="auto"/>
          </w:tcPr>
          <w:p w:rsidR="002D35D9" w:rsidRPr="00A64BF2" w:rsidRDefault="002D35D9" w:rsidP="002D35D9">
            <w:pPr>
              <w:pStyle w:val="TTableText"/>
              <w:rPr>
                <w:lang w:val="en-GB"/>
              </w:rPr>
            </w:pPr>
            <w:r w:rsidRPr="00A64BF2">
              <w:rPr>
                <w:lang w:val="en-GB"/>
              </w:rPr>
              <w:t>Third Reading</w:t>
            </w:r>
          </w:p>
        </w:tc>
        <w:tc>
          <w:tcPr>
            <w:tcW w:w="2126" w:type="dxa"/>
            <w:shd w:val="clear" w:color="auto" w:fill="auto"/>
          </w:tcPr>
          <w:p w:rsidR="002D35D9" w:rsidRPr="002D35D9" w:rsidRDefault="002D35D9" w:rsidP="002D35D9">
            <w:pPr>
              <w:pStyle w:val="ParaNumbered"/>
              <w:numPr>
                <w:ilvl w:val="0"/>
                <w:numId w:val="0"/>
              </w:numPr>
              <w:rPr>
                <w:rFonts w:ascii="Arial" w:hAnsi="Arial" w:cs="Arial"/>
                <w:sz w:val="16"/>
              </w:rPr>
            </w:pPr>
            <w:r w:rsidRPr="002D35D9">
              <w:rPr>
                <w:rFonts w:ascii="Arial" w:hAnsi="Arial" w:cs="Arial"/>
                <w:sz w:val="16"/>
              </w:rPr>
              <w:t>28 April 2021</w:t>
            </w:r>
          </w:p>
        </w:tc>
        <w:tc>
          <w:tcPr>
            <w:tcW w:w="4643" w:type="dxa"/>
            <w:shd w:val="clear" w:color="auto" w:fill="auto"/>
          </w:tcPr>
          <w:p w:rsidR="002D35D9" w:rsidRPr="002D35D9" w:rsidRDefault="003754CE" w:rsidP="002D35D9">
            <w:pPr>
              <w:pStyle w:val="ParaNumbered"/>
              <w:numPr>
                <w:ilvl w:val="0"/>
                <w:numId w:val="0"/>
              </w:numPr>
              <w:rPr>
                <w:rFonts w:ascii="Arial" w:hAnsi="Arial" w:cs="Arial"/>
                <w:sz w:val="16"/>
              </w:rPr>
            </w:pPr>
            <w:hyperlink r:id="rId16" w:history="1">
              <w:r w:rsidR="002D35D9" w:rsidRPr="002D35D9">
                <w:rPr>
                  <w:rStyle w:val="Hyperlink"/>
                  <w:rFonts w:ascii="Arial" w:hAnsi="Arial" w:cs="Arial"/>
                  <w:sz w:val="16"/>
                </w:rPr>
                <w:t>Vol</w:t>
              </w:r>
              <w:r w:rsidR="00DB68CB">
                <w:rPr>
                  <w:rStyle w:val="Hyperlink"/>
                  <w:rFonts w:ascii="Arial" w:hAnsi="Arial" w:cs="Arial"/>
                  <w:sz w:val="16"/>
                </w:rPr>
                <w:t>.</w:t>
              </w:r>
              <w:r w:rsidR="002D35D9" w:rsidRPr="002D35D9">
                <w:rPr>
                  <w:rStyle w:val="Hyperlink"/>
                  <w:rFonts w:ascii="Arial" w:hAnsi="Arial" w:cs="Arial"/>
                  <w:sz w:val="16"/>
                </w:rPr>
                <w:t xml:space="preserve"> 811 Col</w:t>
              </w:r>
              <w:r w:rsidR="00DB68CB">
                <w:rPr>
                  <w:rStyle w:val="Hyperlink"/>
                  <w:rFonts w:ascii="Arial" w:hAnsi="Arial" w:cs="Arial"/>
                  <w:sz w:val="16"/>
                </w:rPr>
                <w:t>.</w:t>
              </w:r>
              <w:r w:rsidR="002D35D9" w:rsidRPr="002D35D9">
                <w:rPr>
                  <w:rStyle w:val="Hyperlink"/>
                  <w:rFonts w:ascii="Arial" w:hAnsi="Arial" w:cs="Arial"/>
                  <w:sz w:val="16"/>
                </w:rPr>
                <w:t xml:space="preserve"> 2250</w:t>
              </w:r>
            </w:hyperlink>
            <w:r w:rsidR="002D35D9" w:rsidRPr="002D35D9">
              <w:rPr>
                <w:rFonts w:ascii="Arial" w:hAnsi="Arial" w:cs="Arial"/>
                <w:sz w:val="16"/>
              </w:rPr>
              <w:t xml:space="preserve"> </w:t>
            </w:r>
          </w:p>
        </w:tc>
      </w:tr>
      <w:tr w:rsidR="002D35D9" w:rsidRPr="00A64BF2" w:rsidTr="00A64BF2">
        <w:tc>
          <w:tcPr>
            <w:tcW w:w="2518" w:type="dxa"/>
            <w:shd w:val="clear" w:color="auto" w:fill="auto"/>
          </w:tcPr>
          <w:p w:rsidR="002D35D9" w:rsidRPr="00A64BF2" w:rsidRDefault="002D35D9" w:rsidP="002D35D9">
            <w:pPr>
              <w:pStyle w:val="TTableText"/>
              <w:rPr>
                <w:lang w:val="en-GB"/>
              </w:rPr>
            </w:pPr>
            <w:r w:rsidRPr="00A64BF2">
              <w:rPr>
                <w:lang w:val="en-GB"/>
              </w:rPr>
              <w:t>Royal Assent</w:t>
            </w:r>
          </w:p>
        </w:tc>
        <w:tc>
          <w:tcPr>
            <w:tcW w:w="2126" w:type="dxa"/>
            <w:shd w:val="clear" w:color="auto" w:fill="auto"/>
          </w:tcPr>
          <w:p w:rsidR="002D35D9" w:rsidRPr="002D35D9" w:rsidRDefault="002D35D9" w:rsidP="002D35D9">
            <w:pPr>
              <w:pStyle w:val="ParaNumbered"/>
              <w:numPr>
                <w:ilvl w:val="0"/>
                <w:numId w:val="0"/>
              </w:numPr>
              <w:rPr>
                <w:rFonts w:ascii="Arial" w:hAnsi="Arial" w:cs="Arial"/>
                <w:sz w:val="16"/>
              </w:rPr>
            </w:pPr>
            <w:r w:rsidRPr="002D35D9">
              <w:rPr>
                <w:rFonts w:ascii="Arial" w:hAnsi="Arial" w:cs="Arial"/>
                <w:sz w:val="16"/>
              </w:rPr>
              <w:t>29 April 2021</w:t>
            </w:r>
          </w:p>
        </w:tc>
        <w:tc>
          <w:tcPr>
            <w:tcW w:w="4643" w:type="dxa"/>
            <w:shd w:val="clear" w:color="auto" w:fill="auto"/>
          </w:tcPr>
          <w:p w:rsidR="002D35D9" w:rsidRPr="002D35D9" w:rsidRDefault="003754CE" w:rsidP="002D35D9">
            <w:pPr>
              <w:pStyle w:val="ParaNumbered"/>
              <w:numPr>
                <w:ilvl w:val="0"/>
                <w:numId w:val="0"/>
              </w:numPr>
              <w:rPr>
                <w:rFonts w:ascii="Arial" w:hAnsi="Arial" w:cs="Arial"/>
                <w:sz w:val="16"/>
              </w:rPr>
            </w:pPr>
            <w:hyperlink r:id="rId17" w:history="1">
              <w:r w:rsidR="002D35D9" w:rsidRPr="002D35D9">
                <w:rPr>
                  <w:rStyle w:val="Hyperlink"/>
                  <w:rFonts w:ascii="Arial" w:hAnsi="Arial" w:cs="Arial"/>
                  <w:sz w:val="16"/>
                </w:rPr>
                <w:t>Vol</w:t>
              </w:r>
              <w:r w:rsidR="00DB68CB">
                <w:rPr>
                  <w:rStyle w:val="Hyperlink"/>
                  <w:rFonts w:ascii="Arial" w:hAnsi="Arial" w:cs="Arial"/>
                  <w:sz w:val="16"/>
                </w:rPr>
                <w:t>.</w:t>
              </w:r>
              <w:r w:rsidR="002D35D9" w:rsidRPr="002D35D9">
                <w:rPr>
                  <w:rStyle w:val="Hyperlink"/>
                  <w:rFonts w:ascii="Arial" w:hAnsi="Arial" w:cs="Arial"/>
                  <w:sz w:val="16"/>
                </w:rPr>
                <w:t xml:space="preserve"> 811</w:t>
              </w:r>
            </w:hyperlink>
          </w:p>
        </w:tc>
      </w:tr>
    </w:tbl>
    <w:p w:rsidR="00641A9A" w:rsidRPr="00CA4237" w:rsidRDefault="002D35D9" w:rsidP="002D35D9">
      <w:pPr>
        <w:pStyle w:val="Heading1"/>
      </w:pPr>
      <w:r w:rsidRPr="00CA4237">
        <w:t xml:space="preserve"> </w:t>
      </w:r>
    </w:p>
    <w:p w:rsidR="005F6F2A" w:rsidRPr="00CA4237" w:rsidRDefault="005F6F2A" w:rsidP="00A27BF0">
      <w:pPr>
        <w:pStyle w:val="ParaMainText"/>
        <w:rPr>
          <w:lang w:val="en-GB"/>
        </w:rPr>
      </w:pPr>
    </w:p>
    <w:sectPr w:rsidR="005F6F2A" w:rsidRPr="00CA4237" w:rsidSect="00C5462B">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134" w:right="1134" w:bottom="1673" w:left="1701" w:header="720" w:footer="720"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A58" w:rsidRDefault="00983A58">
      <w:r>
        <w:separator/>
      </w:r>
    </w:p>
    <w:p w:rsidR="00983A58" w:rsidRDefault="00983A58"/>
    <w:p w:rsidR="00983A58" w:rsidRDefault="00983A58"/>
  </w:endnote>
  <w:endnote w:type="continuationSeparator" w:id="0">
    <w:p w:rsidR="00983A58" w:rsidRDefault="00983A58">
      <w:r>
        <w:continuationSeparator/>
      </w:r>
    </w:p>
    <w:p w:rsidR="00983A58" w:rsidRDefault="00983A58"/>
    <w:p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Sylfae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3754CE">
      <w:rPr>
        <w:noProof/>
      </w:rPr>
      <w:t>5</w:t>
    </w:r>
    <w:r>
      <w:rPr>
        <w:noProof/>
      </w:rPr>
      <w:fldChar w:fldCharType="end"/>
    </w:r>
  </w:p>
  <w:p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3754CE">
      <w:rPr>
        <w:noProof/>
      </w:rPr>
      <w:t>5</w:t>
    </w:r>
    <w:r>
      <w:rPr>
        <w:noProof/>
      </w:rPr>
      <w:fldChar w:fldCharType="end"/>
    </w:r>
  </w:p>
  <w:p w:rsidR="00AE5693" w:rsidRPr="00DE0805" w:rsidRDefault="00784F16" w:rsidP="00784F16">
    <w:pPr>
      <w:pStyle w:val="Footer"/>
      <w:rPr>
        <w:rStyle w:val="FooterText"/>
      </w:rPr>
    </w:pPr>
    <w:r w:rsidRPr="00784F16">
      <w:rPr>
        <w:rStyle w:val="FooterText"/>
      </w:rPr>
      <w:t>These Explanatory Notes relate to the Animal Welfare (Sentencing) Act 2021 which received Royal Assent on 29 April 2021 (c. 21)</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gridCol w:w="4077"/>
    </w:tblGrid>
    <w:tr w:rsidR="00AE5693" w:rsidRPr="00A64BF2" w:rsidTr="00A64BF2">
      <w:tc>
        <w:tcPr>
          <w:tcW w:w="4076" w:type="dxa"/>
          <w:shd w:val="clear" w:color="auto" w:fill="auto"/>
        </w:tcPr>
        <w:p w:rsidR="00AE5693" w:rsidRPr="00A64BF2" w:rsidRDefault="00E938E4" w:rsidP="001E3774">
          <w:pPr>
            <w:pStyle w:val="Footer"/>
          </w:pPr>
          <w:r>
            <w:t xml:space="preserve">c. </w:t>
          </w:r>
          <w:r w:rsidR="00784F16">
            <w:t>21</w:t>
          </w:r>
          <w:r w:rsidR="00AE5693" w:rsidRPr="00A64BF2">
            <w:t>–EN</w:t>
          </w:r>
        </w:p>
      </w:tc>
      <w:tc>
        <w:tcPr>
          <w:tcW w:w="4077" w:type="dxa"/>
          <w:shd w:val="clear" w:color="auto" w:fill="auto"/>
        </w:tcPr>
        <w:p w:rsidR="00AE5693" w:rsidRPr="00A64BF2" w:rsidRDefault="00AE5693" w:rsidP="00784F16">
          <w:pPr>
            <w:pStyle w:val="Footer"/>
            <w:jc w:val="right"/>
          </w:pPr>
        </w:p>
      </w:tc>
    </w:tr>
  </w:tbl>
  <w:p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A58" w:rsidRDefault="00983A58">
      <w:r>
        <w:separator/>
      </w:r>
    </w:p>
    <w:p w:rsidR="00983A58" w:rsidRDefault="00983A58"/>
    <w:p w:rsidR="00983A58" w:rsidRDefault="00983A58"/>
  </w:footnote>
  <w:footnote w:type="continuationSeparator" w:id="0">
    <w:p w:rsidR="00983A58" w:rsidRDefault="00983A58">
      <w:r>
        <w:continuationSeparator/>
      </w:r>
    </w:p>
    <w:p w:rsidR="00983A58" w:rsidRDefault="00983A58"/>
    <w:p w:rsidR="00983A58" w:rsidRDefault="00983A5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7BEEAB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538EBA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0AD4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120560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0C6E1B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58188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C6229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84761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71E20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1FC07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2"/>
  </w:num>
  <w:num w:numId="2">
    <w:abstractNumId w:val="17"/>
  </w:num>
  <w:num w:numId="3">
    <w:abstractNumId w:val="20"/>
  </w:num>
  <w:num w:numId="4">
    <w:abstractNumId w:val="19"/>
  </w:num>
  <w:num w:numId="5">
    <w:abstractNumId w:val="15"/>
  </w:num>
  <w:num w:numId="6">
    <w:abstractNumId w:val="21"/>
  </w:num>
  <w:num w:numId="7">
    <w:abstractNumId w:val="11"/>
  </w:num>
  <w:num w:numId="8">
    <w:abstractNumId w:val="13"/>
  </w:num>
  <w:num w:numId="9">
    <w:abstractNumId w:val="18"/>
  </w:num>
  <w:num w:numId="10">
    <w:abstractNumId w:val="16"/>
  </w:num>
  <w:num w:numId="11">
    <w:abstractNumId w:val="22"/>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19"/>
    <w:lvlOverride w:ilvl="0">
      <w:startOverride w:val="1"/>
    </w:lvlOverride>
  </w:num>
  <w:num w:numId="25">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7169"/>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3E99"/>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35D9"/>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4CE"/>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4F16"/>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66C18"/>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462B"/>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67F84"/>
    <w:rsid w:val="00D72286"/>
    <w:rsid w:val="00D72E04"/>
    <w:rsid w:val="00D74ADC"/>
    <w:rsid w:val="00D755AE"/>
    <w:rsid w:val="00D954E1"/>
    <w:rsid w:val="00D95E12"/>
    <w:rsid w:val="00DA1000"/>
    <w:rsid w:val="00DA2ED1"/>
    <w:rsid w:val="00DB10BA"/>
    <w:rsid w:val="00DB54E0"/>
    <w:rsid w:val="00DB68CB"/>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38E4"/>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9"/>
    <o:shapelayout v:ext="edit">
      <o:idmap v:ext="edit" data="1"/>
    </o:shapelayout>
  </w:shapeDefaults>
  <w:decimalSymbol w:val="."/>
  <w:listSeparator w:val=","/>
  <w15:docId w15:val="{0A1CBB48-3864-4CB4-9754-C23E14818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21-03-12/debates/970E1828-FA82-475F-B66B-57BC6E992AC4/AnimalWelfare(Sentencing)Bill"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hansard.parliament.uk/commons/2021-03-12/debates/F778DEE0-1435-40E9-AA54-0B70B6D62359/BusinessWithoutDebate" TargetMode="External"/><Relationship Id="rId17" Type="http://schemas.openxmlformats.org/officeDocument/2006/relationships/hyperlink" Target="https://bills.parliament.uk/bills/2622/stages/1293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bills.parliament.uk/bills/2622/stages/1290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1-02-03/debates/803cce03-d79b-4fac-9476-d1e064c48623/AnimalWelfare(Sentencing)Bill(FirstSitting)"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hansard.parliament.uk/lords/2021-04-22/debates/8DFAD46D-5FB0-4F4F-82A4-CEC9819770E1/AnimalWelfare(Sentencing)Bill" TargetMode="External"/><Relationship Id="rId23" Type="http://schemas.openxmlformats.org/officeDocument/2006/relationships/footer" Target="footer3.xml"/><Relationship Id="rId10" Type="http://schemas.openxmlformats.org/officeDocument/2006/relationships/hyperlink" Target="https://hansard.parliament.uk/Commons/2020-10-23/debates/27FA84A6-0A6D-4F15-9741-322EF5349D61/AnimalWelfare(Sentencing)Bill"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bills.parliament.uk/bills/2622/stages/11841" TargetMode="External"/><Relationship Id="rId14" Type="http://schemas.openxmlformats.org/officeDocument/2006/relationships/hyperlink" Target="https://hansard.parliament.uk/lords/2021-04-16/debates/6D25D736-FC11-4550-AE23-AD6153737DDA/AnimalWelfare(Sentencing)Bill"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E4E46F-22D0-4B8A-9ECF-52951B3DA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1554</Words>
  <Characters>9572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11104</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Eaglesfield, Jack</cp:lastModifiedBy>
  <cp:revision>6</cp:revision>
  <cp:lastPrinted>2016-01-06T10:34:00Z</cp:lastPrinted>
  <dcterms:created xsi:type="dcterms:W3CDTF">2021-05-04T15:29:00Z</dcterms:created>
  <dcterms:modified xsi:type="dcterms:W3CDTF">2021-05-07T15:03:00Z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2021-05-07T08:45:30Z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9821ff19-f74c-4610-8cfd-0949f89ba6d6</vt:lpwstr>
  </property>
  <property fmtid="{D5CDD505-2E9C-101B-9397-08002B2CF9AE}" pid="8" name="MSIP_Label_61c22e59-6e76-40e7-9277-37c464fc6354_ContentBits">
    <vt:lpwstr>0</vt:lpwstr>
  </property>
</Properties>
</file>