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753" w:rsidRPr="002544A1" w:rsidRDefault="00ED6753" w:rsidP="00ED6753">
      <w:pPr>
        <w:pStyle w:val="StyleENBilltitleText1"/>
        <w:rPr>
          <w:color w:val="auto"/>
        </w:rPr>
      </w:pPr>
      <w:r w:rsidRPr="002544A1">
        <w:rPr>
          <w:color w:val="auto"/>
        </w:rPr>
        <w:t>Overseas Operations (Service Personnel and Veterans) act 2021</w:t>
      </w:r>
    </w:p>
    <w:p w:rsidR="00ED6753" w:rsidRDefault="00ED6753" w:rsidP="00ED6753">
      <w:pPr>
        <w:pStyle w:val="ENnotestitle"/>
        <w:rPr>
          <w:rFonts w:eastAsia="Arial"/>
        </w:rPr>
      </w:pPr>
      <w:r w:rsidRPr="00390F67">
        <w:rPr>
          <w:rFonts w:eastAsia="Arial"/>
        </w:rPr>
        <w:t>EXPLANATORY NOTES</w:t>
      </w:r>
    </w:p>
    <w:p w:rsidR="00ED6753" w:rsidRPr="00390F67" w:rsidRDefault="00ED6753" w:rsidP="00191B00">
      <w:pPr>
        <w:pStyle w:val="ENHeading1Unindexed"/>
        <w:rPr>
          <w:rFonts w:eastAsia="Arial"/>
        </w:rPr>
      </w:pPr>
      <w:r w:rsidRPr="00390F67">
        <w:rPr>
          <w:rFonts w:eastAsia="Arial"/>
        </w:rPr>
        <w:t>What these notes do </w:t>
      </w:r>
    </w:p>
    <w:p w:rsidR="00ED6753" w:rsidRPr="00191B00" w:rsidRDefault="00ED6753" w:rsidP="00191B00">
      <w:pPr>
        <w:pStyle w:val="StyleStyleENIntroTextLatinPalatinoLinotype-RomanBackg"/>
        <w:rPr>
          <w:rFonts w:eastAsia="Palatino Linotype"/>
          <w:color w:val="auto"/>
        </w:rPr>
      </w:pPr>
      <w:r w:rsidRPr="00191B00">
        <w:rPr>
          <w:rFonts w:eastAsia="Palatino Linotype"/>
          <w:color w:val="auto"/>
        </w:rPr>
        <w:t>These Explanatory Notes relate to the Overseas Operations (Service Personnel and Veterans) Act 2021 (c. 23) which received Royal Assent on 29 April 2021.</w:t>
      </w:r>
    </w:p>
    <w:p w:rsidR="00ED6753" w:rsidRPr="00390F67" w:rsidRDefault="00ED6753" w:rsidP="00191B00">
      <w:pPr>
        <w:pStyle w:val="StyleENIntroTextBulletedLatinPalatinoLinotype-Roman"/>
      </w:pPr>
      <w:r w:rsidRPr="00390F67">
        <w:rPr>
          <w:rFonts w:eastAsia="Palatino Linotype"/>
        </w:rPr>
        <w:t>These Explanatory Notes have been prepared by the Ministry of Defence (M</w:t>
      </w:r>
      <w:r>
        <w:rPr>
          <w:rFonts w:eastAsia="Palatino Linotype"/>
        </w:rPr>
        <w:t>O</w:t>
      </w:r>
      <w:r w:rsidRPr="00390F67">
        <w:rPr>
          <w:rFonts w:eastAsia="Palatino Linotype"/>
        </w:rPr>
        <w:t xml:space="preserve">D) in order to assist the reader of the </w:t>
      </w:r>
      <w:r>
        <w:rPr>
          <w:rFonts w:eastAsia="Palatino Linotype"/>
        </w:rPr>
        <w:t>Act</w:t>
      </w:r>
      <w:r w:rsidRPr="00390F67">
        <w:rPr>
          <w:rFonts w:eastAsia="Palatino Linotype"/>
        </w:rPr>
        <w:t xml:space="preserve">. They do not form part of the </w:t>
      </w:r>
      <w:r>
        <w:rPr>
          <w:rFonts w:eastAsia="Palatino Linotype"/>
        </w:rPr>
        <w:t>Act</w:t>
      </w:r>
      <w:r w:rsidRPr="00390F67">
        <w:rPr>
          <w:rFonts w:eastAsia="Palatino Linotype"/>
        </w:rPr>
        <w:t xml:space="preserve"> and have not been endorsed by Parliament.</w:t>
      </w:r>
    </w:p>
    <w:p w:rsidR="00ED6753" w:rsidRPr="00390F67" w:rsidRDefault="00ED6753" w:rsidP="00191B00">
      <w:pPr>
        <w:pStyle w:val="StyleENIntroTextBulletedLatinPalatinoLinotype-Roman"/>
      </w:pPr>
      <w:r w:rsidRPr="00390F67">
        <w:rPr>
          <w:rFonts w:eastAsia="Palatino Linotype"/>
        </w:rPr>
        <w:t xml:space="preserve">These Explanatory Notes explain what each part of the </w:t>
      </w:r>
      <w:r>
        <w:rPr>
          <w:rFonts w:eastAsia="Palatino Linotype"/>
        </w:rPr>
        <w:t>Act</w:t>
      </w:r>
      <w:r w:rsidRPr="00390F67">
        <w:rPr>
          <w:rFonts w:eastAsia="Palatino Linotype"/>
        </w:rPr>
        <w:t xml:space="preserve"> will mean in practice</w:t>
      </w:r>
      <w:r>
        <w:rPr>
          <w:rFonts w:eastAsia="Palatino Linotype"/>
        </w:rPr>
        <w:t>,</w:t>
      </w:r>
      <w:r w:rsidRPr="00390F67">
        <w:rPr>
          <w:rFonts w:eastAsia="Palatino Linotype"/>
        </w:rPr>
        <w:t xml:space="preserve"> provide background information on the development of policy</w:t>
      </w:r>
      <w:r>
        <w:rPr>
          <w:rFonts w:eastAsia="Palatino Linotype"/>
        </w:rPr>
        <w:t>,</w:t>
      </w:r>
      <w:r w:rsidRPr="00390F67">
        <w:rPr>
          <w:rFonts w:eastAsia="Palatino Linotype"/>
        </w:rPr>
        <w:t xml:space="preserve"> and provide additional information on how the </w:t>
      </w:r>
      <w:r>
        <w:rPr>
          <w:rFonts w:eastAsia="Palatino Linotype"/>
        </w:rPr>
        <w:t>Act</w:t>
      </w:r>
      <w:r w:rsidRPr="00390F67">
        <w:rPr>
          <w:rFonts w:eastAsia="Palatino Linotype"/>
        </w:rPr>
        <w:t xml:space="preserve"> will affect existing legislation. </w:t>
      </w:r>
    </w:p>
    <w:p w:rsidR="00ED6753" w:rsidRPr="007B6CA6" w:rsidRDefault="00ED6753" w:rsidP="00D16349">
      <w:pPr>
        <w:pStyle w:val="StyleENIntroTextBulletedLatinPalatinoLinotype-Roman"/>
        <w:tabs>
          <w:tab w:val="left" w:pos="1220"/>
        </w:tabs>
      </w:pPr>
      <w:r w:rsidRPr="00821418">
        <w:rPr>
          <w:rFonts w:eastAsia="Palatino Linotype"/>
        </w:rPr>
        <w:t>These Explanatory Notes are best read alongside the Act. They are not, and are not intended to be, a comprehensive description of the Act.</w:t>
      </w:r>
      <w:r>
        <w:tab/>
      </w:r>
    </w:p>
    <w:p w:rsidR="00ED6753" w:rsidRPr="00390F67" w:rsidRDefault="00ED6753" w:rsidP="00191B00">
      <w:pPr>
        <w:pStyle w:val="ENHeading1Unindexed"/>
        <w:rPr>
          <w:rFonts w:eastAsia="Arial"/>
        </w:rPr>
      </w:pPr>
      <w:r w:rsidRPr="007B6CA6">
        <w:br w:type="page"/>
      </w:r>
      <w:r w:rsidRPr="00390F67">
        <w:rPr>
          <w:rFonts w:eastAsia="Arial"/>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ED6753" w:rsidRPr="00AD2F09" w:rsidTr="00191B00">
        <w:trPr>
          <w:jc w:val="center"/>
        </w:trPr>
        <w:tc>
          <w:tcPr>
            <w:tcW w:w="4643" w:type="dxa"/>
          </w:tcPr>
          <w:p w:rsidR="00ED6753" w:rsidRPr="00191B00" w:rsidRDefault="00ED6753" w:rsidP="00191B00">
            <w:pPr>
              <w:pStyle w:val="StyleTOC1Bold"/>
              <w:jc w:val="left"/>
              <w:rPr>
                <w:b/>
              </w:rPr>
            </w:pPr>
            <w:r w:rsidRPr="00191B00">
              <w:rPr>
                <w:b/>
              </w:rPr>
              <w:t>Subject</w:t>
            </w:r>
          </w:p>
        </w:tc>
        <w:tc>
          <w:tcPr>
            <w:tcW w:w="4644" w:type="dxa"/>
          </w:tcPr>
          <w:p w:rsidR="00ED6753" w:rsidRPr="00191B00" w:rsidRDefault="00ED6753" w:rsidP="00191B00">
            <w:pPr>
              <w:pStyle w:val="StyleTOC1BoldRight"/>
              <w:rPr>
                <w:b/>
              </w:rPr>
            </w:pPr>
            <w:r w:rsidRPr="00191B00">
              <w:rPr>
                <w:b/>
              </w:rPr>
              <w:t>Page of these Notes</w:t>
            </w:r>
          </w:p>
        </w:tc>
      </w:tr>
    </w:tbl>
    <w:p w:rsidR="00915953" w:rsidRDefault="00ED6753">
      <w:pPr>
        <w:pStyle w:val="TOC1"/>
        <w:rPr>
          <w:rFonts w:asciiTheme="minorHAnsi" w:eastAsiaTheme="minorEastAsia" w:hAnsiTheme="minorHAnsi" w:cstheme="minorBidi"/>
          <w:b w:val="0"/>
          <w:bCs w:val="0"/>
          <w:sz w:val="22"/>
          <w:szCs w:val="22"/>
          <w:lang w:eastAsia="en-GB" w:bidi="ar-SA"/>
        </w:rPr>
      </w:pPr>
      <w:r w:rsidRPr="00390F67">
        <w:fldChar w:fldCharType="begin"/>
      </w:r>
      <w:r w:rsidRPr="00390F67">
        <w:instrText xml:space="preserve"> TOC \h \u \z </w:instrText>
      </w:r>
      <w:r w:rsidRPr="00390F67">
        <w:fldChar w:fldCharType="separate"/>
      </w:r>
      <w:hyperlink w:anchor="_Toc72857831" w:history="1">
        <w:r w:rsidR="00915953" w:rsidRPr="00FD3151">
          <w:rPr>
            <w:rStyle w:val="Hyperlink"/>
          </w:rPr>
          <w:t>Overview of the Act</w:t>
        </w:r>
        <w:r w:rsidR="00915953">
          <w:rPr>
            <w:webHidden/>
          </w:rPr>
          <w:tab/>
        </w:r>
        <w:r w:rsidR="00915953">
          <w:rPr>
            <w:webHidden/>
          </w:rPr>
          <w:fldChar w:fldCharType="begin"/>
        </w:r>
        <w:r w:rsidR="00915953">
          <w:rPr>
            <w:webHidden/>
          </w:rPr>
          <w:instrText xml:space="preserve"> PAGEREF _Toc72857831 \h </w:instrText>
        </w:r>
        <w:r w:rsidR="00915953">
          <w:rPr>
            <w:webHidden/>
          </w:rPr>
        </w:r>
        <w:r w:rsidR="00915953">
          <w:rPr>
            <w:webHidden/>
          </w:rPr>
          <w:fldChar w:fldCharType="separate"/>
        </w:r>
        <w:r w:rsidR="00915953">
          <w:rPr>
            <w:webHidden/>
          </w:rPr>
          <w:t>4</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32" w:history="1">
        <w:r w:rsidR="00915953" w:rsidRPr="00FD3151">
          <w:rPr>
            <w:rStyle w:val="Hyperlink"/>
          </w:rPr>
          <w:t>Policy and legal background</w:t>
        </w:r>
        <w:r w:rsidR="00915953">
          <w:rPr>
            <w:webHidden/>
          </w:rPr>
          <w:tab/>
        </w:r>
        <w:r w:rsidR="00915953">
          <w:rPr>
            <w:webHidden/>
          </w:rPr>
          <w:fldChar w:fldCharType="begin"/>
        </w:r>
        <w:r w:rsidR="00915953">
          <w:rPr>
            <w:webHidden/>
          </w:rPr>
          <w:instrText xml:space="preserve"> PAGEREF _Toc72857832 \h </w:instrText>
        </w:r>
        <w:r w:rsidR="00915953">
          <w:rPr>
            <w:webHidden/>
          </w:rPr>
        </w:r>
        <w:r w:rsidR="00915953">
          <w:rPr>
            <w:webHidden/>
          </w:rPr>
          <w:fldChar w:fldCharType="separate"/>
        </w:r>
        <w:r w:rsidR="00915953">
          <w:rPr>
            <w:webHidden/>
          </w:rPr>
          <w:t>6</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33" w:history="1">
        <w:r w:rsidR="00915953" w:rsidRPr="00FD3151">
          <w:rPr>
            <w:rStyle w:val="Hyperlink"/>
          </w:rPr>
          <w:t>Territorial extent and application</w:t>
        </w:r>
        <w:r w:rsidR="00915953">
          <w:rPr>
            <w:webHidden/>
          </w:rPr>
          <w:tab/>
        </w:r>
        <w:r w:rsidR="00915953">
          <w:rPr>
            <w:webHidden/>
          </w:rPr>
          <w:fldChar w:fldCharType="begin"/>
        </w:r>
        <w:r w:rsidR="00915953">
          <w:rPr>
            <w:webHidden/>
          </w:rPr>
          <w:instrText xml:space="preserve"> PAGEREF _Toc72857833 \h </w:instrText>
        </w:r>
        <w:r w:rsidR="00915953">
          <w:rPr>
            <w:webHidden/>
          </w:rPr>
        </w:r>
        <w:r w:rsidR="00915953">
          <w:rPr>
            <w:webHidden/>
          </w:rPr>
          <w:fldChar w:fldCharType="separate"/>
        </w:r>
        <w:r w:rsidR="00915953">
          <w:rPr>
            <w:webHidden/>
          </w:rPr>
          <w:t>7</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34" w:history="1">
        <w:r w:rsidR="00915953" w:rsidRPr="00FD3151">
          <w:rPr>
            <w:rStyle w:val="Hyperlink"/>
          </w:rPr>
          <w:t>Commentary on provisions of Act</w:t>
        </w:r>
        <w:r w:rsidR="00915953">
          <w:rPr>
            <w:webHidden/>
          </w:rPr>
          <w:tab/>
        </w:r>
        <w:r w:rsidR="00915953">
          <w:rPr>
            <w:webHidden/>
          </w:rPr>
          <w:fldChar w:fldCharType="begin"/>
        </w:r>
        <w:r w:rsidR="00915953">
          <w:rPr>
            <w:webHidden/>
          </w:rPr>
          <w:instrText xml:space="preserve"> PAGEREF _Toc72857834 \h </w:instrText>
        </w:r>
        <w:r w:rsidR="00915953">
          <w:rPr>
            <w:webHidden/>
          </w:rPr>
        </w:r>
        <w:r w:rsidR="00915953">
          <w:rPr>
            <w:webHidden/>
          </w:rPr>
          <w:fldChar w:fldCharType="separate"/>
        </w:r>
        <w:r w:rsidR="00915953">
          <w:rPr>
            <w:webHidden/>
          </w:rPr>
          <w:t>7</w:t>
        </w:r>
        <w:r w:rsidR="00915953">
          <w:rPr>
            <w:webHidden/>
          </w:rPr>
          <w:fldChar w:fldCharType="end"/>
        </w:r>
      </w:hyperlink>
    </w:p>
    <w:p w:rsidR="00915953" w:rsidRDefault="0049791A">
      <w:pPr>
        <w:pStyle w:val="TOC2"/>
        <w:tabs>
          <w:tab w:val="right" w:pos="9061"/>
        </w:tabs>
        <w:rPr>
          <w:rFonts w:asciiTheme="minorHAnsi" w:eastAsiaTheme="minorEastAsia" w:hAnsiTheme="minorHAnsi" w:cstheme="minorBidi"/>
          <w:noProof/>
          <w:sz w:val="22"/>
          <w:szCs w:val="22"/>
          <w:lang w:eastAsia="en-GB" w:bidi="ar-SA"/>
        </w:rPr>
      </w:pPr>
      <w:hyperlink w:anchor="_Toc72857835" w:history="1">
        <w:r w:rsidR="00915953" w:rsidRPr="00FD3151">
          <w:rPr>
            <w:rStyle w:val="Hyperlink"/>
            <w:rFonts w:eastAsia="Arial"/>
            <w:noProof/>
          </w:rPr>
          <w:t>Part 1: Restrictions on prosecution for certain offences</w:t>
        </w:r>
        <w:r w:rsidR="00915953">
          <w:rPr>
            <w:noProof/>
            <w:webHidden/>
          </w:rPr>
          <w:tab/>
        </w:r>
        <w:r w:rsidR="00915953">
          <w:rPr>
            <w:noProof/>
            <w:webHidden/>
          </w:rPr>
          <w:fldChar w:fldCharType="begin"/>
        </w:r>
        <w:r w:rsidR="00915953">
          <w:rPr>
            <w:noProof/>
            <w:webHidden/>
          </w:rPr>
          <w:instrText xml:space="preserve"> PAGEREF _Toc72857835 \h </w:instrText>
        </w:r>
        <w:r w:rsidR="00915953">
          <w:rPr>
            <w:noProof/>
            <w:webHidden/>
          </w:rPr>
        </w:r>
        <w:r w:rsidR="00915953">
          <w:rPr>
            <w:noProof/>
            <w:webHidden/>
          </w:rPr>
          <w:fldChar w:fldCharType="separate"/>
        </w:r>
        <w:r w:rsidR="00915953">
          <w:rPr>
            <w:noProof/>
            <w:webHidden/>
          </w:rPr>
          <w:t>7</w:t>
        </w:r>
        <w:r w:rsidR="00915953">
          <w:rPr>
            <w:noProof/>
            <w:webHidden/>
          </w:rPr>
          <w:fldChar w:fldCharType="end"/>
        </w:r>
      </w:hyperlink>
    </w:p>
    <w:p w:rsidR="00915953" w:rsidRDefault="0049791A">
      <w:pPr>
        <w:pStyle w:val="TOC3"/>
        <w:tabs>
          <w:tab w:val="right" w:pos="9061"/>
        </w:tabs>
        <w:rPr>
          <w:rFonts w:asciiTheme="minorHAnsi" w:eastAsiaTheme="minorEastAsia" w:hAnsiTheme="minorHAnsi" w:cstheme="minorBidi"/>
          <w:iCs w:val="0"/>
          <w:noProof/>
          <w:sz w:val="22"/>
          <w:szCs w:val="22"/>
          <w:lang w:eastAsia="en-GB" w:bidi="ar-SA"/>
        </w:rPr>
      </w:pPr>
      <w:hyperlink w:anchor="_Toc72857836" w:history="1">
        <w:r w:rsidR="00915953" w:rsidRPr="00FD3151">
          <w:rPr>
            <w:rStyle w:val="Hyperlink"/>
            <w:rFonts w:eastAsia="Arial"/>
            <w:noProof/>
          </w:rPr>
          <w:t>Presumption against prosecution</w:t>
        </w:r>
        <w:r w:rsidR="00915953">
          <w:rPr>
            <w:noProof/>
            <w:webHidden/>
          </w:rPr>
          <w:tab/>
        </w:r>
        <w:r w:rsidR="00915953">
          <w:rPr>
            <w:noProof/>
            <w:webHidden/>
          </w:rPr>
          <w:fldChar w:fldCharType="begin"/>
        </w:r>
        <w:r w:rsidR="00915953">
          <w:rPr>
            <w:noProof/>
            <w:webHidden/>
          </w:rPr>
          <w:instrText xml:space="preserve"> PAGEREF _Toc72857836 \h </w:instrText>
        </w:r>
        <w:r w:rsidR="00915953">
          <w:rPr>
            <w:noProof/>
            <w:webHidden/>
          </w:rPr>
        </w:r>
        <w:r w:rsidR="00915953">
          <w:rPr>
            <w:noProof/>
            <w:webHidden/>
          </w:rPr>
          <w:fldChar w:fldCharType="separate"/>
        </w:r>
        <w:r w:rsidR="00915953">
          <w:rPr>
            <w:noProof/>
            <w:webHidden/>
          </w:rPr>
          <w:t>7</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37" w:history="1">
        <w:r w:rsidR="00915953" w:rsidRPr="00FD3151">
          <w:rPr>
            <w:rStyle w:val="Hyperlink"/>
            <w:rFonts w:eastAsia="Palatino Linotype"/>
            <w:noProof/>
          </w:rPr>
          <w:t>Section 1: Prosecutorial decision regarding alleged conduct during overseas operations</w:t>
        </w:r>
        <w:r w:rsidR="00915953">
          <w:rPr>
            <w:noProof/>
            <w:webHidden/>
          </w:rPr>
          <w:tab/>
        </w:r>
        <w:r w:rsidR="00915953">
          <w:rPr>
            <w:noProof/>
            <w:webHidden/>
          </w:rPr>
          <w:fldChar w:fldCharType="begin"/>
        </w:r>
        <w:r w:rsidR="00915953">
          <w:rPr>
            <w:noProof/>
            <w:webHidden/>
          </w:rPr>
          <w:instrText xml:space="preserve"> PAGEREF _Toc72857837 \h </w:instrText>
        </w:r>
        <w:r w:rsidR="00915953">
          <w:rPr>
            <w:noProof/>
            <w:webHidden/>
          </w:rPr>
        </w:r>
        <w:r w:rsidR="00915953">
          <w:rPr>
            <w:noProof/>
            <w:webHidden/>
          </w:rPr>
          <w:fldChar w:fldCharType="separate"/>
        </w:r>
        <w:r w:rsidR="00915953">
          <w:rPr>
            <w:noProof/>
            <w:webHidden/>
          </w:rPr>
          <w:t>7</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38" w:history="1">
        <w:r w:rsidR="00915953" w:rsidRPr="00FD3151">
          <w:rPr>
            <w:rStyle w:val="Hyperlink"/>
            <w:rFonts w:eastAsia="Palatino Linotype"/>
            <w:noProof/>
          </w:rPr>
          <w:t>Section 2: Presumption against prosecution</w:t>
        </w:r>
        <w:r w:rsidR="00915953">
          <w:rPr>
            <w:noProof/>
            <w:webHidden/>
          </w:rPr>
          <w:tab/>
        </w:r>
        <w:r w:rsidR="00915953">
          <w:rPr>
            <w:noProof/>
            <w:webHidden/>
          </w:rPr>
          <w:fldChar w:fldCharType="begin"/>
        </w:r>
        <w:r w:rsidR="00915953">
          <w:rPr>
            <w:noProof/>
            <w:webHidden/>
          </w:rPr>
          <w:instrText xml:space="preserve"> PAGEREF _Toc72857838 \h </w:instrText>
        </w:r>
        <w:r w:rsidR="00915953">
          <w:rPr>
            <w:noProof/>
            <w:webHidden/>
          </w:rPr>
        </w:r>
        <w:r w:rsidR="00915953">
          <w:rPr>
            <w:noProof/>
            <w:webHidden/>
          </w:rPr>
          <w:fldChar w:fldCharType="separate"/>
        </w:r>
        <w:r w:rsidR="00915953">
          <w:rPr>
            <w:noProof/>
            <w:webHidden/>
          </w:rPr>
          <w:t>7</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39" w:history="1">
        <w:r w:rsidR="00915953" w:rsidRPr="00FD3151">
          <w:rPr>
            <w:rStyle w:val="Hyperlink"/>
            <w:rFonts w:eastAsia="Palatino Linotype"/>
            <w:noProof/>
          </w:rPr>
          <w:t>Section 3: Matters to be given particular weight</w:t>
        </w:r>
        <w:r w:rsidR="00915953">
          <w:rPr>
            <w:noProof/>
            <w:webHidden/>
          </w:rPr>
          <w:tab/>
        </w:r>
        <w:r w:rsidR="00915953">
          <w:rPr>
            <w:noProof/>
            <w:webHidden/>
          </w:rPr>
          <w:fldChar w:fldCharType="begin"/>
        </w:r>
        <w:r w:rsidR="00915953">
          <w:rPr>
            <w:noProof/>
            <w:webHidden/>
          </w:rPr>
          <w:instrText xml:space="preserve"> PAGEREF _Toc72857839 \h </w:instrText>
        </w:r>
        <w:r w:rsidR="00915953">
          <w:rPr>
            <w:noProof/>
            <w:webHidden/>
          </w:rPr>
        </w:r>
        <w:r w:rsidR="00915953">
          <w:rPr>
            <w:noProof/>
            <w:webHidden/>
          </w:rPr>
          <w:fldChar w:fldCharType="separate"/>
        </w:r>
        <w:r w:rsidR="00915953">
          <w:rPr>
            <w:noProof/>
            <w:webHidden/>
          </w:rPr>
          <w:t>7</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0" w:history="1">
        <w:r w:rsidR="00915953" w:rsidRPr="00FD3151">
          <w:rPr>
            <w:rStyle w:val="Hyperlink"/>
            <w:rFonts w:eastAsia="Palatino Linotype"/>
            <w:noProof/>
          </w:rPr>
          <w:t>Section 4: Section 3: supplementary</w:t>
        </w:r>
        <w:r w:rsidR="00915953">
          <w:rPr>
            <w:noProof/>
            <w:webHidden/>
          </w:rPr>
          <w:tab/>
        </w:r>
        <w:r w:rsidR="00915953">
          <w:rPr>
            <w:noProof/>
            <w:webHidden/>
          </w:rPr>
          <w:fldChar w:fldCharType="begin"/>
        </w:r>
        <w:r w:rsidR="00915953">
          <w:rPr>
            <w:noProof/>
            <w:webHidden/>
          </w:rPr>
          <w:instrText xml:space="preserve"> PAGEREF _Toc72857840 \h </w:instrText>
        </w:r>
        <w:r w:rsidR="00915953">
          <w:rPr>
            <w:noProof/>
            <w:webHidden/>
          </w:rPr>
        </w:r>
        <w:r w:rsidR="00915953">
          <w:rPr>
            <w:noProof/>
            <w:webHidden/>
          </w:rPr>
          <w:fldChar w:fldCharType="separate"/>
        </w:r>
        <w:r w:rsidR="00915953">
          <w:rPr>
            <w:noProof/>
            <w:webHidden/>
          </w:rPr>
          <w:t>8</w:t>
        </w:r>
        <w:r w:rsidR="00915953">
          <w:rPr>
            <w:noProof/>
            <w:webHidden/>
          </w:rPr>
          <w:fldChar w:fldCharType="end"/>
        </w:r>
      </w:hyperlink>
    </w:p>
    <w:p w:rsidR="00915953" w:rsidRDefault="0049791A">
      <w:pPr>
        <w:pStyle w:val="TOC3"/>
        <w:tabs>
          <w:tab w:val="right" w:pos="9061"/>
        </w:tabs>
        <w:rPr>
          <w:rFonts w:asciiTheme="minorHAnsi" w:eastAsiaTheme="minorEastAsia" w:hAnsiTheme="minorHAnsi" w:cstheme="minorBidi"/>
          <w:iCs w:val="0"/>
          <w:noProof/>
          <w:sz w:val="22"/>
          <w:szCs w:val="22"/>
          <w:lang w:eastAsia="en-GB" w:bidi="ar-SA"/>
        </w:rPr>
      </w:pPr>
      <w:hyperlink w:anchor="_Toc72857841" w:history="1">
        <w:r w:rsidR="00915953" w:rsidRPr="00FD3151">
          <w:rPr>
            <w:rStyle w:val="Hyperlink"/>
            <w:rFonts w:eastAsia="Arial"/>
            <w:noProof/>
          </w:rPr>
          <w:t>Consent to prosecution</w:t>
        </w:r>
        <w:r w:rsidR="00915953">
          <w:rPr>
            <w:noProof/>
            <w:webHidden/>
          </w:rPr>
          <w:tab/>
        </w:r>
        <w:r w:rsidR="00915953">
          <w:rPr>
            <w:noProof/>
            <w:webHidden/>
          </w:rPr>
          <w:fldChar w:fldCharType="begin"/>
        </w:r>
        <w:r w:rsidR="00915953">
          <w:rPr>
            <w:noProof/>
            <w:webHidden/>
          </w:rPr>
          <w:instrText xml:space="preserve"> PAGEREF _Toc72857841 \h </w:instrText>
        </w:r>
        <w:r w:rsidR="00915953">
          <w:rPr>
            <w:noProof/>
            <w:webHidden/>
          </w:rPr>
        </w:r>
        <w:r w:rsidR="00915953">
          <w:rPr>
            <w:noProof/>
            <w:webHidden/>
          </w:rPr>
          <w:fldChar w:fldCharType="separate"/>
        </w:r>
        <w:r w:rsidR="00915953">
          <w:rPr>
            <w:noProof/>
            <w:webHidden/>
          </w:rPr>
          <w:t>8</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2" w:history="1">
        <w:r w:rsidR="00915953" w:rsidRPr="00FD3151">
          <w:rPr>
            <w:rStyle w:val="Hyperlink"/>
            <w:rFonts w:eastAsia="Palatino Linotype"/>
            <w:noProof/>
          </w:rPr>
          <w:t>Section 5: Requirement of consent to prosecute</w:t>
        </w:r>
        <w:r w:rsidR="00915953">
          <w:rPr>
            <w:noProof/>
            <w:webHidden/>
          </w:rPr>
          <w:tab/>
        </w:r>
        <w:r w:rsidR="00915953">
          <w:rPr>
            <w:noProof/>
            <w:webHidden/>
          </w:rPr>
          <w:fldChar w:fldCharType="begin"/>
        </w:r>
        <w:r w:rsidR="00915953">
          <w:rPr>
            <w:noProof/>
            <w:webHidden/>
          </w:rPr>
          <w:instrText xml:space="preserve"> PAGEREF _Toc72857842 \h </w:instrText>
        </w:r>
        <w:r w:rsidR="00915953">
          <w:rPr>
            <w:noProof/>
            <w:webHidden/>
          </w:rPr>
        </w:r>
        <w:r w:rsidR="00915953">
          <w:rPr>
            <w:noProof/>
            <w:webHidden/>
          </w:rPr>
          <w:fldChar w:fldCharType="separate"/>
        </w:r>
        <w:r w:rsidR="00915953">
          <w:rPr>
            <w:noProof/>
            <w:webHidden/>
          </w:rPr>
          <w:t>8</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3" w:history="1">
        <w:r w:rsidR="00915953" w:rsidRPr="00FD3151">
          <w:rPr>
            <w:rStyle w:val="Hyperlink"/>
            <w:rFonts w:eastAsia="Palatino Linotype"/>
            <w:noProof/>
          </w:rPr>
          <w:t>Section 6: "Relevant offence"</w:t>
        </w:r>
        <w:r w:rsidR="00915953">
          <w:rPr>
            <w:noProof/>
            <w:webHidden/>
          </w:rPr>
          <w:tab/>
        </w:r>
        <w:r w:rsidR="00915953">
          <w:rPr>
            <w:noProof/>
            <w:webHidden/>
          </w:rPr>
          <w:fldChar w:fldCharType="begin"/>
        </w:r>
        <w:r w:rsidR="00915953">
          <w:rPr>
            <w:noProof/>
            <w:webHidden/>
          </w:rPr>
          <w:instrText xml:space="preserve"> PAGEREF _Toc72857843 \h </w:instrText>
        </w:r>
        <w:r w:rsidR="00915953">
          <w:rPr>
            <w:noProof/>
            <w:webHidden/>
          </w:rPr>
        </w:r>
        <w:r w:rsidR="00915953">
          <w:rPr>
            <w:noProof/>
            <w:webHidden/>
          </w:rPr>
          <w:fldChar w:fldCharType="separate"/>
        </w:r>
        <w:r w:rsidR="00915953">
          <w:rPr>
            <w:noProof/>
            <w:webHidden/>
          </w:rPr>
          <w:t>8</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4" w:history="1">
        <w:r w:rsidR="00915953" w:rsidRPr="00FD3151">
          <w:rPr>
            <w:rStyle w:val="Hyperlink"/>
            <w:noProof/>
            <w:lang w:val="fr-FR"/>
          </w:rPr>
          <w:t>Section 7: General interpretation etc</w:t>
        </w:r>
        <w:r w:rsidR="00915953">
          <w:rPr>
            <w:noProof/>
            <w:webHidden/>
          </w:rPr>
          <w:tab/>
        </w:r>
        <w:r w:rsidR="00915953">
          <w:rPr>
            <w:noProof/>
            <w:webHidden/>
          </w:rPr>
          <w:fldChar w:fldCharType="begin"/>
        </w:r>
        <w:r w:rsidR="00915953">
          <w:rPr>
            <w:noProof/>
            <w:webHidden/>
          </w:rPr>
          <w:instrText xml:space="preserve"> PAGEREF _Toc72857844 \h </w:instrText>
        </w:r>
        <w:r w:rsidR="00915953">
          <w:rPr>
            <w:noProof/>
            <w:webHidden/>
          </w:rPr>
        </w:r>
        <w:r w:rsidR="00915953">
          <w:rPr>
            <w:noProof/>
            <w:webHidden/>
          </w:rPr>
          <w:fldChar w:fldCharType="separate"/>
        </w:r>
        <w:r w:rsidR="00915953">
          <w:rPr>
            <w:noProof/>
            <w:webHidden/>
          </w:rPr>
          <w:t>8</w:t>
        </w:r>
        <w:r w:rsidR="00915953">
          <w:rPr>
            <w:noProof/>
            <w:webHidden/>
          </w:rPr>
          <w:fldChar w:fldCharType="end"/>
        </w:r>
      </w:hyperlink>
    </w:p>
    <w:p w:rsidR="00915953" w:rsidRDefault="0049791A">
      <w:pPr>
        <w:pStyle w:val="TOC2"/>
        <w:tabs>
          <w:tab w:val="right" w:pos="9061"/>
        </w:tabs>
        <w:rPr>
          <w:rFonts w:asciiTheme="minorHAnsi" w:eastAsiaTheme="minorEastAsia" w:hAnsiTheme="minorHAnsi" w:cstheme="minorBidi"/>
          <w:noProof/>
          <w:sz w:val="22"/>
          <w:szCs w:val="22"/>
          <w:lang w:eastAsia="en-GB" w:bidi="ar-SA"/>
        </w:rPr>
      </w:pPr>
      <w:hyperlink w:anchor="_Toc72857845" w:history="1">
        <w:r w:rsidR="00915953" w:rsidRPr="00FD3151">
          <w:rPr>
            <w:rStyle w:val="Hyperlink"/>
            <w:rFonts w:eastAsia="Arial"/>
            <w:noProof/>
          </w:rPr>
          <w:t>Part 2: Limitation Periods</w:t>
        </w:r>
        <w:r w:rsidR="00915953">
          <w:rPr>
            <w:noProof/>
            <w:webHidden/>
          </w:rPr>
          <w:tab/>
        </w:r>
        <w:r w:rsidR="00915953">
          <w:rPr>
            <w:noProof/>
            <w:webHidden/>
          </w:rPr>
          <w:fldChar w:fldCharType="begin"/>
        </w:r>
        <w:r w:rsidR="00915953">
          <w:rPr>
            <w:noProof/>
            <w:webHidden/>
          </w:rPr>
          <w:instrText xml:space="preserve"> PAGEREF _Toc72857845 \h </w:instrText>
        </w:r>
        <w:r w:rsidR="00915953">
          <w:rPr>
            <w:noProof/>
            <w:webHidden/>
          </w:rPr>
        </w:r>
        <w:r w:rsidR="00915953">
          <w:rPr>
            <w:noProof/>
            <w:webHidden/>
          </w:rPr>
          <w:fldChar w:fldCharType="separate"/>
        </w:r>
        <w:r w:rsidR="00915953">
          <w:rPr>
            <w:noProof/>
            <w:webHidden/>
          </w:rPr>
          <w:t>9</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6" w:history="1">
        <w:r w:rsidR="00915953" w:rsidRPr="00FD3151">
          <w:rPr>
            <w:rStyle w:val="Hyperlink"/>
            <w:rFonts w:eastAsia="Palatino Linotype"/>
            <w:noProof/>
          </w:rPr>
          <w:t>Section 8: Restrictions on time limits to bring actions: England and Wales</w:t>
        </w:r>
        <w:r w:rsidR="00915953">
          <w:rPr>
            <w:noProof/>
            <w:webHidden/>
          </w:rPr>
          <w:tab/>
        </w:r>
        <w:r w:rsidR="00915953">
          <w:rPr>
            <w:noProof/>
            <w:webHidden/>
          </w:rPr>
          <w:fldChar w:fldCharType="begin"/>
        </w:r>
        <w:r w:rsidR="00915953">
          <w:rPr>
            <w:noProof/>
            <w:webHidden/>
          </w:rPr>
          <w:instrText xml:space="preserve"> PAGEREF _Toc72857846 \h </w:instrText>
        </w:r>
        <w:r w:rsidR="00915953">
          <w:rPr>
            <w:noProof/>
            <w:webHidden/>
          </w:rPr>
        </w:r>
        <w:r w:rsidR="00915953">
          <w:rPr>
            <w:noProof/>
            <w:webHidden/>
          </w:rPr>
          <w:fldChar w:fldCharType="separate"/>
        </w:r>
        <w:r w:rsidR="00915953">
          <w:rPr>
            <w:noProof/>
            <w:webHidden/>
          </w:rPr>
          <w:t>9</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7" w:history="1">
        <w:r w:rsidR="00915953" w:rsidRPr="00FD3151">
          <w:rPr>
            <w:rStyle w:val="Hyperlink"/>
            <w:rFonts w:eastAsia="Palatino Linotype"/>
            <w:noProof/>
          </w:rPr>
          <w:t>Section 9: Restrictions on time limits to bring actions: Scotland</w:t>
        </w:r>
        <w:r w:rsidR="00915953">
          <w:rPr>
            <w:noProof/>
            <w:webHidden/>
          </w:rPr>
          <w:tab/>
        </w:r>
        <w:r w:rsidR="00915953">
          <w:rPr>
            <w:noProof/>
            <w:webHidden/>
          </w:rPr>
          <w:fldChar w:fldCharType="begin"/>
        </w:r>
        <w:r w:rsidR="00915953">
          <w:rPr>
            <w:noProof/>
            <w:webHidden/>
          </w:rPr>
          <w:instrText xml:space="preserve"> PAGEREF _Toc72857847 \h </w:instrText>
        </w:r>
        <w:r w:rsidR="00915953">
          <w:rPr>
            <w:noProof/>
            <w:webHidden/>
          </w:rPr>
        </w:r>
        <w:r w:rsidR="00915953">
          <w:rPr>
            <w:noProof/>
            <w:webHidden/>
          </w:rPr>
          <w:fldChar w:fldCharType="separate"/>
        </w:r>
        <w:r w:rsidR="00915953">
          <w:rPr>
            <w:noProof/>
            <w:webHidden/>
          </w:rPr>
          <w:t>9</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8" w:history="1">
        <w:r w:rsidR="00915953" w:rsidRPr="00FD3151">
          <w:rPr>
            <w:rStyle w:val="Hyperlink"/>
            <w:rFonts w:eastAsia="Palatino Linotype"/>
            <w:noProof/>
          </w:rPr>
          <w:t>Section 10: Restrictions on time limits to bring actions: Northern Ireland</w:t>
        </w:r>
        <w:r w:rsidR="00915953">
          <w:rPr>
            <w:noProof/>
            <w:webHidden/>
          </w:rPr>
          <w:tab/>
        </w:r>
        <w:r w:rsidR="00915953">
          <w:rPr>
            <w:noProof/>
            <w:webHidden/>
          </w:rPr>
          <w:fldChar w:fldCharType="begin"/>
        </w:r>
        <w:r w:rsidR="00915953">
          <w:rPr>
            <w:noProof/>
            <w:webHidden/>
          </w:rPr>
          <w:instrText xml:space="preserve"> PAGEREF _Toc72857848 \h </w:instrText>
        </w:r>
        <w:r w:rsidR="00915953">
          <w:rPr>
            <w:noProof/>
            <w:webHidden/>
          </w:rPr>
        </w:r>
        <w:r w:rsidR="00915953">
          <w:rPr>
            <w:noProof/>
            <w:webHidden/>
          </w:rPr>
          <w:fldChar w:fldCharType="separate"/>
        </w:r>
        <w:r w:rsidR="00915953">
          <w:rPr>
            <w:noProof/>
            <w:webHidden/>
          </w:rPr>
          <w:t>9</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49" w:history="1">
        <w:r w:rsidR="00915953" w:rsidRPr="00FD3151">
          <w:rPr>
            <w:rStyle w:val="Hyperlink"/>
            <w:rFonts w:eastAsia="Palatino Linotype"/>
            <w:noProof/>
          </w:rPr>
          <w:t>Section 11: Court’s discretion to extend time in certain Human Rights Act proceedings</w:t>
        </w:r>
        <w:r w:rsidR="00915953">
          <w:rPr>
            <w:noProof/>
            <w:webHidden/>
          </w:rPr>
          <w:tab/>
        </w:r>
        <w:r w:rsidR="00915953">
          <w:rPr>
            <w:noProof/>
            <w:webHidden/>
          </w:rPr>
          <w:fldChar w:fldCharType="begin"/>
        </w:r>
        <w:r w:rsidR="00915953">
          <w:rPr>
            <w:noProof/>
            <w:webHidden/>
          </w:rPr>
          <w:instrText xml:space="preserve"> PAGEREF _Toc72857849 \h </w:instrText>
        </w:r>
        <w:r w:rsidR="00915953">
          <w:rPr>
            <w:noProof/>
            <w:webHidden/>
          </w:rPr>
        </w:r>
        <w:r w:rsidR="00915953">
          <w:rPr>
            <w:noProof/>
            <w:webHidden/>
          </w:rPr>
          <w:fldChar w:fldCharType="separate"/>
        </w:r>
        <w:r w:rsidR="00915953">
          <w:rPr>
            <w:noProof/>
            <w:webHidden/>
          </w:rPr>
          <w:t>9</w:t>
        </w:r>
        <w:r w:rsidR="00915953">
          <w:rPr>
            <w:noProof/>
            <w:webHidden/>
          </w:rPr>
          <w:fldChar w:fldCharType="end"/>
        </w:r>
      </w:hyperlink>
    </w:p>
    <w:p w:rsidR="00915953" w:rsidRDefault="0049791A">
      <w:pPr>
        <w:pStyle w:val="TOC2"/>
        <w:tabs>
          <w:tab w:val="right" w:pos="9061"/>
        </w:tabs>
        <w:rPr>
          <w:rFonts w:asciiTheme="minorHAnsi" w:eastAsiaTheme="minorEastAsia" w:hAnsiTheme="minorHAnsi" w:cstheme="minorBidi"/>
          <w:noProof/>
          <w:sz w:val="22"/>
          <w:szCs w:val="22"/>
          <w:lang w:eastAsia="en-GB" w:bidi="ar-SA"/>
        </w:rPr>
      </w:pPr>
      <w:hyperlink w:anchor="_Toc72857850" w:history="1">
        <w:r w:rsidR="00915953" w:rsidRPr="00FD3151">
          <w:rPr>
            <w:rStyle w:val="Hyperlink"/>
            <w:rFonts w:eastAsia="Arial"/>
            <w:noProof/>
          </w:rPr>
          <w:t>Part 3: General</w:t>
        </w:r>
        <w:r w:rsidR="00915953">
          <w:rPr>
            <w:noProof/>
            <w:webHidden/>
          </w:rPr>
          <w:tab/>
        </w:r>
        <w:r w:rsidR="00915953">
          <w:rPr>
            <w:noProof/>
            <w:webHidden/>
          </w:rPr>
          <w:fldChar w:fldCharType="begin"/>
        </w:r>
        <w:r w:rsidR="00915953">
          <w:rPr>
            <w:noProof/>
            <w:webHidden/>
          </w:rPr>
          <w:instrText xml:space="preserve"> PAGEREF _Toc72857850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1" w:history="1">
        <w:r w:rsidR="00915953" w:rsidRPr="00FD3151">
          <w:rPr>
            <w:rStyle w:val="Hyperlink"/>
            <w:rFonts w:eastAsia="Palatino Linotype"/>
            <w:noProof/>
          </w:rPr>
          <w:t>Section 12: Power to make consequential provision</w:t>
        </w:r>
        <w:r w:rsidR="00915953">
          <w:rPr>
            <w:noProof/>
            <w:webHidden/>
          </w:rPr>
          <w:tab/>
        </w:r>
        <w:r w:rsidR="00915953">
          <w:rPr>
            <w:noProof/>
            <w:webHidden/>
          </w:rPr>
          <w:fldChar w:fldCharType="begin"/>
        </w:r>
        <w:r w:rsidR="00915953">
          <w:rPr>
            <w:noProof/>
            <w:webHidden/>
          </w:rPr>
          <w:instrText xml:space="preserve"> PAGEREF _Toc72857851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2" w:history="1">
        <w:r w:rsidR="00915953" w:rsidRPr="00FD3151">
          <w:rPr>
            <w:rStyle w:val="Hyperlink"/>
            <w:rFonts w:eastAsia="Palatino Linotype"/>
            <w:noProof/>
          </w:rPr>
          <w:t>Section 13: Extent</w:t>
        </w:r>
        <w:r w:rsidR="00915953">
          <w:rPr>
            <w:noProof/>
            <w:webHidden/>
          </w:rPr>
          <w:tab/>
        </w:r>
        <w:r w:rsidR="00915953">
          <w:rPr>
            <w:noProof/>
            <w:webHidden/>
          </w:rPr>
          <w:fldChar w:fldCharType="begin"/>
        </w:r>
        <w:r w:rsidR="00915953">
          <w:rPr>
            <w:noProof/>
            <w:webHidden/>
          </w:rPr>
          <w:instrText xml:space="preserve"> PAGEREF _Toc72857852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3" w:history="1">
        <w:r w:rsidR="00915953" w:rsidRPr="00FD3151">
          <w:rPr>
            <w:rStyle w:val="Hyperlink"/>
            <w:rFonts w:eastAsia="Palatino Linotype"/>
            <w:noProof/>
          </w:rPr>
          <w:t>Section 14: Commencement and application</w:t>
        </w:r>
        <w:r w:rsidR="00915953">
          <w:rPr>
            <w:noProof/>
            <w:webHidden/>
          </w:rPr>
          <w:tab/>
        </w:r>
        <w:r w:rsidR="00915953">
          <w:rPr>
            <w:noProof/>
            <w:webHidden/>
          </w:rPr>
          <w:fldChar w:fldCharType="begin"/>
        </w:r>
        <w:r w:rsidR="00915953">
          <w:rPr>
            <w:noProof/>
            <w:webHidden/>
          </w:rPr>
          <w:instrText xml:space="preserve"> PAGEREF _Toc72857853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4" w:history="1">
        <w:r w:rsidR="00915953" w:rsidRPr="00FD3151">
          <w:rPr>
            <w:rStyle w:val="Hyperlink"/>
            <w:rFonts w:eastAsia="Palatino Linotype"/>
            <w:noProof/>
          </w:rPr>
          <w:t>Section 15: Short Title</w:t>
        </w:r>
        <w:r w:rsidR="00915953">
          <w:rPr>
            <w:noProof/>
            <w:webHidden/>
          </w:rPr>
          <w:tab/>
        </w:r>
        <w:r w:rsidR="00915953">
          <w:rPr>
            <w:noProof/>
            <w:webHidden/>
          </w:rPr>
          <w:fldChar w:fldCharType="begin"/>
        </w:r>
        <w:r w:rsidR="00915953">
          <w:rPr>
            <w:noProof/>
            <w:webHidden/>
          </w:rPr>
          <w:instrText xml:space="preserve"> PAGEREF _Toc72857854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5" w:history="1">
        <w:r w:rsidR="00915953" w:rsidRPr="00FD3151">
          <w:rPr>
            <w:rStyle w:val="Hyperlink"/>
            <w:rFonts w:eastAsia="Palatino Linotype"/>
            <w:noProof/>
          </w:rPr>
          <w:t>Schedule 1: Excluded offences for the purposes of section 6</w:t>
        </w:r>
        <w:r w:rsidR="00915953">
          <w:rPr>
            <w:noProof/>
            <w:webHidden/>
          </w:rPr>
          <w:tab/>
        </w:r>
        <w:r w:rsidR="00915953">
          <w:rPr>
            <w:noProof/>
            <w:webHidden/>
          </w:rPr>
          <w:fldChar w:fldCharType="begin"/>
        </w:r>
        <w:r w:rsidR="00915953">
          <w:rPr>
            <w:noProof/>
            <w:webHidden/>
          </w:rPr>
          <w:instrText xml:space="preserve"> PAGEREF _Toc72857855 \h </w:instrText>
        </w:r>
        <w:r w:rsidR="00915953">
          <w:rPr>
            <w:noProof/>
            <w:webHidden/>
          </w:rPr>
        </w:r>
        <w:r w:rsidR="00915953">
          <w:rPr>
            <w:noProof/>
            <w:webHidden/>
          </w:rPr>
          <w:fldChar w:fldCharType="separate"/>
        </w:r>
        <w:r w:rsidR="00915953">
          <w:rPr>
            <w:noProof/>
            <w:webHidden/>
          </w:rPr>
          <w:t>10</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6" w:history="1">
        <w:r w:rsidR="00915953" w:rsidRPr="00FD3151">
          <w:rPr>
            <w:rStyle w:val="Hyperlink"/>
            <w:rFonts w:eastAsia="Palatino Linotype"/>
            <w:noProof/>
          </w:rPr>
          <w:t>Schedule 2: Limitation periods: England and Wales</w:t>
        </w:r>
        <w:r w:rsidR="00915953">
          <w:rPr>
            <w:noProof/>
            <w:webHidden/>
          </w:rPr>
          <w:tab/>
        </w:r>
        <w:r w:rsidR="00915953">
          <w:rPr>
            <w:noProof/>
            <w:webHidden/>
          </w:rPr>
          <w:fldChar w:fldCharType="begin"/>
        </w:r>
        <w:r w:rsidR="00915953">
          <w:rPr>
            <w:noProof/>
            <w:webHidden/>
          </w:rPr>
          <w:instrText xml:space="preserve"> PAGEREF _Toc72857856 \h </w:instrText>
        </w:r>
        <w:r w:rsidR="00915953">
          <w:rPr>
            <w:noProof/>
            <w:webHidden/>
          </w:rPr>
        </w:r>
        <w:r w:rsidR="00915953">
          <w:rPr>
            <w:noProof/>
            <w:webHidden/>
          </w:rPr>
          <w:fldChar w:fldCharType="separate"/>
        </w:r>
        <w:r w:rsidR="00915953">
          <w:rPr>
            <w:noProof/>
            <w:webHidden/>
          </w:rPr>
          <w:t>11</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57" w:history="1">
        <w:r w:rsidR="00915953" w:rsidRPr="00FD3151">
          <w:rPr>
            <w:rStyle w:val="Hyperlink"/>
            <w:rFonts w:eastAsia="Palatino Linotype"/>
            <w:noProof/>
          </w:rPr>
          <w:t>Part 1 – Court’s discretion to disapply time limits</w:t>
        </w:r>
        <w:r w:rsidR="00915953">
          <w:rPr>
            <w:noProof/>
            <w:webHidden/>
          </w:rPr>
          <w:tab/>
        </w:r>
        <w:r w:rsidR="00915953">
          <w:rPr>
            <w:noProof/>
            <w:webHidden/>
          </w:rPr>
          <w:fldChar w:fldCharType="begin"/>
        </w:r>
        <w:r w:rsidR="00915953">
          <w:rPr>
            <w:noProof/>
            <w:webHidden/>
          </w:rPr>
          <w:instrText xml:space="preserve"> PAGEREF _Toc72857857 \h </w:instrText>
        </w:r>
        <w:r w:rsidR="00915953">
          <w:rPr>
            <w:noProof/>
            <w:webHidden/>
          </w:rPr>
        </w:r>
        <w:r w:rsidR="00915953">
          <w:rPr>
            <w:noProof/>
            <w:webHidden/>
          </w:rPr>
          <w:fldChar w:fldCharType="separate"/>
        </w:r>
        <w:r w:rsidR="00915953">
          <w:rPr>
            <w:noProof/>
            <w:webHidden/>
          </w:rPr>
          <w:t>11</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58" w:history="1">
        <w:r w:rsidR="00915953" w:rsidRPr="00FD3151">
          <w:rPr>
            <w:rStyle w:val="Hyperlink"/>
            <w:rFonts w:eastAsia="Palatino Linotype"/>
            <w:noProof/>
          </w:rPr>
          <w:t>Part 2 – Restriction of foreign limitation law</w:t>
        </w:r>
        <w:r w:rsidR="00915953">
          <w:rPr>
            <w:noProof/>
            <w:webHidden/>
          </w:rPr>
          <w:tab/>
        </w:r>
        <w:r w:rsidR="00915953">
          <w:rPr>
            <w:noProof/>
            <w:webHidden/>
          </w:rPr>
          <w:fldChar w:fldCharType="begin"/>
        </w:r>
        <w:r w:rsidR="00915953">
          <w:rPr>
            <w:noProof/>
            <w:webHidden/>
          </w:rPr>
          <w:instrText xml:space="preserve"> PAGEREF _Toc72857858 \h </w:instrText>
        </w:r>
        <w:r w:rsidR="00915953">
          <w:rPr>
            <w:noProof/>
            <w:webHidden/>
          </w:rPr>
        </w:r>
        <w:r w:rsidR="00915953">
          <w:rPr>
            <w:noProof/>
            <w:webHidden/>
          </w:rPr>
          <w:fldChar w:fldCharType="separate"/>
        </w:r>
        <w:r w:rsidR="00915953">
          <w:rPr>
            <w:noProof/>
            <w:webHidden/>
          </w:rPr>
          <w:t>11</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59" w:history="1">
        <w:r w:rsidR="00915953" w:rsidRPr="00FD3151">
          <w:rPr>
            <w:rStyle w:val="Hyperlink"/>
            <w:rFonts w:eastAsia="Palatino Linotype"/>
            <w:noProof/>
          </w:rPr>
          <w:t>Schedule 3: Limitation periods: Scotland</w:t>
        </w:r>
        <w:r w:rsidR="00915953">
          <w:rPr>
            <w:noProof/>
            <w:webHidden/>
          </w:rPr>
          <w:tab/>
        </w:r>
        <w:r w:rsidR="00915953">
          <w:rPr>
            <w:noProof/>
            <w:webHidden/>
          </w:rPr>
          <w:fldChar w:fldCharType="begin"/>
        </w:r>
        <w:r w:rsidR="00915953">
          <w:rPr>
            <w:noProof/>
            <w:webHidden/>
          </w:rPr>
          <w:instrText xml:space="preserve"> PAGEREF _Toc72857859 \h </w:instrText>
        </w:r>
        <w:r w:rsidR="00915953">
          <w:rPr>
            <w:noProof/>
            <w:webHidden/>
          </w:rPr>
        </w:r>
        <w:r w:rsidR="00915953">
          <w:rPr>
            <w:noProof/>
            <w:webHidden/>
          </w:rPr>
          <w:fldChar w:fldCharType="separate"/>
        </w:r>
        <w:r w:rsidR="00915953">
          <w:rPr>
            <w:noProof/>
            <w:webHidden/>
          </w:rPr>
          <w:t>12</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60" w:history="1">
        <w:r w:rsidR="00915953" w:rsidRPr="00FD3151">
          <w:rPr>
            <w:rStyle w:val="Hyperlink"/>
            <w:rFonts w:eastAsia="Palatino Linotype"/>
            <w:noProof/>
          </w:rPr>
          <w:t>Part 1 – Court’s power to override time limits</w:t>
        </w:r>
        <w:r w:rsidR="00915953">
          <w:rPr>
            <w:noProof/>
            <w:webHidden/>
          </w:rPr>
          <w:tab/>
        </w:r>
        <w:r w:rsidR="00915953">
          <w:rPr>
            <w:noProof/>
            <w:webHidden/>
          </w:rPr>
          <w:fldChar w:fldCharType="begin"/>
        </w:r>
        <w:r w:rsidR="00915953">
          <w:rPr>
            <w:noProof/>
            <w:webHidden/>
          </w:rPr>
          <w:instrText xml:space="preserve"> PAGEREF _Toc72857860 \h </w:instrText>
        </w:r>
        <w:r w:rsidR="00915953">
          <w:rPr>
            <w:noProof/>
            <w:webHidden/>
          </w:rPr>
        </w:r>
        <w:r w:rsidR="00915953">
          <w:rPr>
            <w:noProof/>
            <w:webHidden/>
          </w:rPr>
          <w:fldChar w:fldCharType="separate"/>
        </w:r>
        <w:r w:rsidR="00915953">
          <w:rPr>
            <w:noProof/>
            <w:webHidden/>
          </w:rPr>
          <w:t>12</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61" w:history="1">
        <w:r w:rsidR="00915953" w:rsidRPr="00FD3151">
          <w:rPr>
            <w:rStyle w:val="Hyperlink"/>
            <w:rFonts w:eastAsia="Palatino Linotype"/>
            <w:noProof/>
          </w:rPr>
          <w:t>Part 2 – Restriction of foreign limitation law</w:t>
        </w:r>
        <w:r w:rsidR="00915953">
          <w:rPr>
            <w:noProof/>
            <w:webHidden/>
          </w:rPr>
          <w:tab/>
        </w:r>
        <w:r w:rsidR="00915953">
          <w:rPr>
            <w:noProof/>
            <w:webHidden/>
          </w:rPr>
          <w:fldChar w:fldCharType="begin"/>
        </w:r>
        <w:r w:rsidR="00915953">
          <w:rPr>
            <w:noProof/>
            <w:webHidden/>
          </w:rPr>
          <w:instrText xml:space="preserve"> PAGEREF _Toc72857861 \h </w:instrText>
        </w:r>
        <w:r w:rsidR="00915953">
          <w:rPr>
            <w:noProof/>
            <w:webHidden/>
          </w:rPr>
        </w:r>
        <w:r w:rsidR="00915953">
          <w:rPr>
            <w:noProof/>
            <w:webHidden/>
          </w:rPr>
          <w:fldChar w:fldCharType="separate"/>
        </w:r>
        <w:r w:rsidR="00915953">
          <w:rPr>
            <w:noProof/>
            <w:webHidden/>
          </w:rPr>
          <w:t>13</w:t>
        </w:r>
        <w:r w:rsidR="00915953">
          <w:rPr>
            <w:noProof/>
            <w:webHidden/>
          </w:rPr>
          <w:fldChar w:fldCharType="end"/>
        </w:r>
      </w:hyperlink>
    </w:p>
    <w:p w:rsidR="00915953" w:rsidRDefault="0049791A">
      <w:pPr>
        <w:pStyle w:val="TOC4"/>
        <w:tabs>
          <w:tab w:val="right" w:pos="9061"/>
        </w:tabs>
        <w:rPr>
          <w:rFonts w:asciiTheme="minorHAnsi" w:eastAsiaTheme="minorEastAsia" w:hAnsiTheme="minorHAnsi" w:cstheme="minorBidi"/>
          <w:noProof/>
          <w:sz w:val="22"/>
          <w:szCs w:val="22"/>
          <w:lang w:eastAsia="en-GB" w:bidi="ar-SA"/>
        </w:rPr>
      </w:pPr>
      <w:hyperlink w:anchor="_Toc72857862" w:history="1">
        <w:r w:rsidR="00915953" w:rsidRPr="00FD3151">
          <w:rPr>
            <w:rStyle w:val="Hyperlink"/>
            <w:rFonts w:eastAsia="Palatino Linotype"/>
            <w:noProof/>
          </w:rPr>
          <w:t>Schedule 4: Limitation periods: Northern Ireland</w:t>
        </w:r>
        <w:r w:rsidR="00915953">
          <w:rPr>
            <w:noProof/>
            <w:webHidden/>
          </w:rPr>
          <w:tab/>
        </w:r>
        <w:r w:rsidR="00915953">
          <w:rPr>
            <w:noProof/>
            <w:webHidden/>
          </w:rPr>
          <w:fldChar w:fldCharType="begin"/>
        </w:r>
        <w:r w:rsidR="00915953">
          <w:rPr>
            <w:noProof/>
            <w:webHidden/>
          </w:rPr>
          <w:instrText xml:space="preserve"> PAGEREF _Toc72857862 \h </w:instrText>
        </w:r>
        <w:r w:rsidR="00915953">
          <w:rPr>
            <w:noProof/>
            <w:webHidden/>
          </w:rPr>
        </w:r>
        <w:r w:rsidR="00915953">
          <w:rPr>
            <w:noProof/>
            <w:webHidden/>
          </w:rPr>
          <w:fldChar w:fldCharType="separate"/>
        </w:r>
        <w:r w:rsidR="00915953">
          <w:rPr>
            <w:noProof/>
            <w:webHidden/>
          </w:rPr>
          <w:t>13</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63" w:history="1">
        <w:r w:rsidR="00915953" w:rsidRPr="00FD3151">
          <w:rPr>
            <w:rStyle w:val="Hyperlink"/>
            <w:rFonts w:eastAsia="Palatino Linotype"/>
            <w:noProof/>
          </w:rPr>
          <w:t>Part 1 – Court’s discretion to disapply time limits</w:t>
        </w:r>
        <w:r w:rsidR="00915953">
          <w:rPr>
            <w:noProof/>
            <w:webHidden/>
          </w:rPr>
          <w:tab/>
        </w:r>
        <w:r w:rsidR="00915953">
          <w:rPr>
            <w:noProof/>
            <w:webHidden/>
          </w:rPr>
          <w:fldChar w:fldCharType="begin"/>
        </w:r>
        <w:r w:rsidR="00915953">
          <w:rPr>
            <w:noProof/>
            <w:webHidden/>
          </w:rPr>
          <w:instrText xml:space="preserve"> PAGEREF _Toc72857863 \h </w:instrText>
        </w:r>
        <w:r w:rsidR="00915953">
          <w:rPr>
            <w:noProof/>
            <w:webHidden/>
          </w:rPr>
        </w:r>
        <w:r w:rsidR="00915953">
          <w:rPr>
            <w:noProof/>
            <w:webHidden/>
          </w:rPr>
          <w:fldChar w:fldCharType="separate"/>
        </w:r>
        <w:r w:rsidR="00915953">
          <w:rPr>
            <w:noProof/>
            <w:webHidden/>
          </w:rPr>
          <w:t>13</w:t>
        </w:r>
        <w:r w:rsidR="00915953">
          <w:rPr>
            <w:noProof/>
            <w:webHidden/>
          </w:rPr>
          <w:fldChar w:fldCharType="end"/>
        </w:r>
      </w:hyperlink>
    </w:p>
    <w:p w:rsidR="00915953" w:rsidRDefault="0049791A">
      <w:pPr>
        <w:pStyle w:val="TOC5"/>
        <w:tabs>
          <w:tab w:val="right" w:pos="9061"/>
        </w:tabs>
        <w:rPr>
          <w:rFonts w:asciiTheme="minorHAnsi" w:eastAsiaTheme="minorEastAsia" w:hAnsiTheme="minorHAnsi" w:cstheme="minorBidi"/>
          <w:noProof/>
          <w:sz w:val="22"/>
          <w:szCs w:val="22"/>
          <w:lang w:eastAsia="en-GB" w:bidi="ar-SA"/>
        </w:rPr>
      </w:pPr>
      <w:hyperlink w:anchor="_Toc72857864" w:history="1">
        <w:r w:rsidR="00915953" w:rsidRPr="00FD3151">
          <w:rPr>
            <w:rStyle w:val="Hyperlink"/>
            <w:rFonts w:eastAsia="Palatino Linotype"/>
            <w:noProof/>
          </w:rPr>
          <w:t>Part 2 – Restriction of foreign limitation law</w:t>
        </w:r>
        <w:r w:rsidR="00915953">
          <w:rPr>
            <w:noProof/>
            <w:webHidden/>
          </w:rPr>
          <w:tab/>
        </w:r>
        <w:r w:rsidR="00915953">
          <w:rPr>
            <w:noProof/>
            <w:webHidden/>
          </w:rPr>
          <w:fldChar w:fldCharType="begin"/>
        </w:r>
        <w:r w:rsidR="00915953">
          <w:rPr>
            <w:noProof/>
            <w:webHidden/>
          </w:rPr>
          <w:instrText xml:space="preserve"> PAGEREF _Toc72857864 \h </w:instrText>
        </w:r>
        <w:r w:rsidR="00915953">
          <w:rPr>
            <w:noProof/>
            <w:webHidden/>
          </w:rPr>
        </w:r>
        <w:r w:rsidR="00915953">
          <w:rPr>
            <w:noProof/>
            <w:webHidden/>
          </w:rPr>
          <w:fldChar w:fldCharType="separate"/>
        </w:r>
        <w:r w:rsidR="00915953">
          <w:rPr>
            <w:noProof/>
            <w:webHidden/>
          </w:rPr>
          <w:t>14</w:t>
        </w:r>
        <w:r w:rsidR="00915953">
          <w:rPr>
            <w:noProof/>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65" w:history="1">
        <w:r w:rsidR="00915953" w:rsidRPr="00FD3151">
          <w:rPr>
            <w:rStyle w:val="Hyperlink"/>
          </w:rPr>
          <w:t>Commencement</w:t>
        </w:r>
        <w:r w:rsidR="00915953">
          <w:rPr>
            <w:webHidden/>
          </w:rPr>
          <w:tab/>
        </w:r>
        <w:r w:rsidR="00915953">
          <w:rPr>
            <w:webHidden/>
          </w:rPr>
          <w:fldChar w:fldCharType="begin"/>
        </w:r>
        <w:r w:rsidR="00915953">
          <w:rPr>
            <w:webHidden/>
          </w:rPr>
          <w:instrText xml:space="preserve"> PAGEREF _Toc72857865 \h </w:instrText>
        </w:r>
        <w:r w:rsidR="00915953">
          <w:rPr>
            <w:webHidden/>
          </w:rPr>
        </w:r>
        <w:r w:rsidR="00915953">
          <w:rPr>
            <w:webHidden/>
          </w:rPr>
          <w:fldChar w:fldCharType="separate"/>
        </w:r>
        <w:r w:rsidR="00915953">
          <w:rPr>
            <w:webHidden/>
          </w:rPr>
          <w:t>15</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66" w:history="1">
        <w:r w:rsidR="00915953" w:rsidRPr="00FD3151">
          <w:rPr>
            <w:rStyle w:val="Hyperlink"/>
          </w:rPr>
          <w:t>Related documents</w:t>
        </w:r>
        <w:r w:rsidR="00915953">
          <w:rPr>
            <w:webHidden/>
          </w:rPr>
          <w:tab/>
        </w:r>
        <w:r w:rsidR="00915953">
          <w:rPr>
            <w:webHidden/>
          </w:rPr>
          <w:fldChar w:fldCharType="begin"/>
        </w:r>
        <w:r w:rsidR="00915953">
          <w:rPr>
            <w:webHidden/>
          </w:rPr>
          <w:instrText xml:space="preserve"> PAGEREF _Toc72857866 \h </w:instrText>
        </w:r>
        <w:r w:rsidR="00915953">
          <w:rPr>
            <w:webHidden/>
          </w:rPr>
        </w:r>
        <w:r w:rsidR="00915953">
          <w:rPr>
            <w:webHidden/>
          </w:rPr>
          <w:fldChar w:fldCharType="separate"/>
        </w:r>
        <w:r w:rsidR="00915953">
          <w:rPr>
            <w:webHidden/>
          </w:rPr>
          <w:t>15</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67" w:history="1">
        <w:r w:rsidR="00915953" w:rsidRPr="00FD3151">
          <w:rPr>
            <w:rStyle w:val="Hyperlink"/>
          </w:rPr>
          <w:t>Annex A – Territorial extent and application in the United Kingdom</w:t>
        </w:r>
        <w:r w:rsidR="00915953">
          <w:rPr>
            <w:webHidden/>
          </w:rPr>
          <w:tab/>
        </w:r>
        <w:r w:rsidR="00915953">
          <w:rPr>
            <w:webHidden/>
          </w:rPr>
          <w:fldChar w:fldCharType="begin"/>
        </w:r>
        <w:r w:rsidR="00915953">
          <w:rPr>
            <w:webHidden/>
          </w:rPr>
          <w:instrText xml:space="preserve"> PAGEREF _Toc72857867 \h </w:instrText>
        </w:r>
        <w:r w:rsidR="00915953">
          <w:rPr>
            <w:webHidden/>
          </w:rPr>
        </w:r>
        <w:r w:rsidR="00915953">
          <w:rPr>
            <w:webHidden/>
          </w:rPr>
          <w:fldChar w:fldCharType="separate"/>
        </w:r>
        <w:r w:rsidR="00915953">
          <w:rPr>
            <w:webHidden/>
          </w:rPr>
          <w:t>16</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68" w:history="1">
        <w:r w:rsidR="00915953" w:rsidRPr="00FD3151">
          <w:rPr>
            <w:rStyle w:val="Hyperlink"/>
          </w:rPr>
          <w:t>Annex B – Hansard References</w:t>
        </w:r>
        <w:r w:rsidR="00915953">
          <w:rPr>
            <w:webHidden/>
          </w:rPr>
          <w:tab/>
        </w:r>
        <w:r w:rsidR="00915953">
          <w:rPr>
            <w:webHidden/>
          </w:rPr>
          <w:fldChar w:fldCharType="begin"/>
        </w:r>
        <w:r w:rsidR="00915953">
          <w:rPr>
            <w:webHidden/>
          </w:rPr>
          <w:instrText xml:space="preserve"> PAGEREF _Toc72857868 \h </w:instrText>
        </w:r>
        <w:r w:rsidR="00915953">
          <w:rPr>
            <w:webHidden/>
          </w:rPr>
        </w:r>
        <w:r w:rsidR="00915953">
          <w:rPr>
            <w:webHidden/>
          </w:rPr>
          <w:fldChar w:fldCharType="separate"/>
        </w:r>
        <w:r w:rsidR="00915953">
          <w:rPr>
            <w:webHidden/>
          </w:rPr>
          <w:t>17</w:t>
        </w:r>
        <w:r w:rsidR="00915953">
          <w:rPr>
            <w:webHidden/>
          </w:rPr>
          <w:fldChar w:fldCharType="end"/>
        </w:r>
      </w:hyperlink>
    </w:p>
    <w:p w:rsidR="00915953" w:rsidRDefault="0049791A">
      <w:pPr>
        <w:pStyle w:val="TOC1"/>
        <w:rPr>
          <w:rFonts w:asciiTheme="minorHAnsi" w:eastAsiaTheme="minorEastAsia" w:hAnsiTheme="minorHAnsi" w:cstheme="minorBidi"/>
          <w:b w:val="0"/>
          <w:bCs w:val="0"/>
          <w:sz w:val="22"/>
          <w:szCs w:val="22"/>
          <w:lang w:eastAsia="en-GB" w:bidi="ar-SA"/>
        </w:rPr>
      </w:pPr>
      <w:hyperlink w:anchor="_Toc72857869" w:history="1">
        <w:r w:rsidR="00915953" w:rsidRPr="00FD3151">
          <w:rPr>
            <w:rStyle w:val="Hyperlink"/>
          </w:rPr>
          <w:t>Annex C – Progress of the Bill table</w:t>
        </w:r>
        <w:r w:rsidR="00915953">
          <w:rPr>
            <w:webHidden/>
          </w:rPr>
          <w:tab/>
        </w:r>
        <w:r w:rsidR="00915953">
          <w:rPr>
            <w:webHidden/>
          </w:rPr>
          <w:fldChar w:fldCharType="begin"/>
        </w:r>
        <w:r w:rsidR="00915953">
          <w:rPr>
            <w:webHidden/>
          </w:rPr>
          <w:instrText xml:space="preserve"> PAGEREF _Toc72857869 \h </w:instrText>
        </w:r>
        <w:r w:rsidR="00915953">
          <w:rPr>
            <w:webHidden/>
          </w:rPr>
        </w:r>
        <w:r w:rsidR="00915953">
          <w:rPr>
            <w:webHidden/>
          </w:rPr>
          <w:fldChar w:fldCharType="separate"/>
        </w:r>
        <w:r w:rsidR="00915953">
          <w:rPr>
            <w:webHidden/>
          </w:rPr>
          <w:t>18</w:t>
        </w:r>
        <w:r w:rsidR="00915953">
          <w:rPr>
            <w:webHidden/>
          </w:rPr>
          <w:fldChar w:fldCharType="end"/>
        </w:r>
      </w:hyperlink>
    </w:p>
    <w:p w:rsidR="00821418" w:rsidRDefault="00ED6753" w:rsidP="00821418">
      <w:pPr>
        <w:pStyle w:val="TOC1"/>
        <w:jc w:val="left"/>
        <w:rPr>
          <w:rFonts w:ascii="Arial" w:hAnsi="Arial"/>
          <w:b w:val="0"/>
          <w:bCs w:val="0"/>
          <w:color w:val="0070C0"/>
          <w:sz w:val="36"/>
        </w:rPr>
      </w:pPr>
      <w:r w:rsidRPr="00390F67">
        <w:fldChar w:fldCharType="end"/>
      </w:r>
      <w:r w:rsidR="00821418">
        <w:br w:type="page"/>
      </w:r>
    </w:p>
    <w:p w:rsidR="00ED6753" w:rsidRPr="00390F67" w:rsidRDefault="00ED6753" w:rsidP="00191B00">
      <w:pPr>
        <w:pStyle w:val="Heading1"/>
        <w:keepNext/>
        <w:tabs>
          <w:tab w:val="center" w:pos="4680"/>
        </w:tabs>
      </w:pPr>
      <w:bookmarkStart w:id="0" w:name="_Toc72857831"/>
      <w:r w:rsidRPr="00390F67">
        <w:lastRenderedPageBreak/>
        <w:t xml:space="preserve">Overview of the </w:t>
      </w:r>
      <w:r>
        <w:t>Act</w:t>
      </w:r>
      <w:bookmarkEnd w:id="0"/>
      <w:r>
        <w:tab/>
      </w:r>
    </w:p>
    <w:p w:rsidR="00ED6753" w:rsidRDefault="00ED6753" w:rsidP="00191B00">
      <w:pPr>
        <w:pStyle w:val="ParaNumbered"/>
        <w:rPr>
          <w:rFonts w:eastAsia="Palatino Linotype"/>
        </w:rPr>
      </w:pPr>
      <w:r w:rsidRPr="00390F67">
        <w:rPr>
          <w:rFonts w:eastAsia="Palatino Linotype"/>
        </w:rPr>
        <w:t xml:space="preserve">The </w:t>
      </w:r>
      <w:r w:rsidRPr="00D313A6">
        <w:rPr>
          <w:rFonts w:eastAsia="Palatino Linotype"/>
        </w:rPr>
        <w:t>Overseas Operations (Service Personnel and Veterans)</w:t>
      </w:r>
      <w:r>
        <w:rPr>
          <w:rFonts w:eastAsia="Palatino Linotype"/>
        </w:rPr>
        <w:t xml:space="preserve"> Act </w:t>
      </w:r>
      <w:r w:rsidRPr="00390F67">
        <w:rPr>
          <w:rFonts w:eastAsia="Palatino Linotype"/>
        </w:rPr>
        <w:t>includes the following</w:t>
      </w:r>
      <w:r>
        <w:rPr>
          <w:rFonts w:eastAsia="Palatino Linotype"/>
        </w:rPr>
        <w:t xml:space="preserve"> provisions</w:t>
      </w:r>
      <w:r w:rsidRPr="00390F67">
        <w:rPr>
          <w:rFonts w:eastAsia="Palatino Linotype"/>
        </w:rPr>
        <w:t xml:space="preserve">: </w:t>
      </w:r>
    </w:p>
    <w:p w:rsidR="00ED6753" w:rsidRPr="00191B00" w:rsidRDefault="00ED6753" w:rsidP="00191B00">
      <w:pPr>
        <w:pStyle w:val="ParaNumbered"/>
        <w:numPr>
          <w:ilvl w:val="1"/>
          <w:numId w:val="5"/>
        </w:numPr>
        <w:rPr>
          <w:rFonts w:eastAsia="Palatino Linotype"/>
        </w:rPr>
      </w:pPr>
      <w:r w:rsidRPr="00191B00">
        <w:rPr>
          <w:rFonts w:eastAsia="Palatino Linotype"/>
          <w:u w:val="single"/>
        </w:rPr>
        <w:t>Measures that will apply when decisions are made by prosecutors in relation to the prosecution of current or former Service personnel for historical offences allegedly committed overseas.</w:t>
      </w:r>
      <w:r w:rsidRPr="00191B00">
        <w:rPr>
          <w:rFonts w:eastAsia="Palatino Linotype"/>
        </w:rPr>
        <w:t xml:space="preserve"> </w:t>
      </w:r>
    </w:p>
    <w:p w:rsidR="00ED6753" w:rsidRDefault="00ED6753" w:rsidP="00191B00">
      <w:pPr>
        <w:pStyle w:val="ParaNumbered"/>
        <w:numPr>
          <w:ilvl w:val="2"/>
          <w:numId w:val="5"/>
        </w:numPr>
        <w:rPr>
          <w:rFonts w:eastAsia="Palatino Linotype"/>
        </w:rPr>
      </w:pPr>
      <w:r>
        <w:rPr>
          <w:rFonts w:eastAsia="Palatino Linotype"/>
        </w:rPr>
        <w:t xml:space="preserve">Firstly, a </w:t>
      </w:r>
      <w:r w:rsidRPr="00A157BA">
        <w:rPr>
          <w:rFonts w:eastAsia="Palatino Linotype"/>
        </w:rPr>
        <w:t>presumption against</w:t>
      </w:r>
      <w:r>
        <w:rPr>
          <w:rFonts w:eastAsia="Palatino Linotype"/>
        </w:rPr>
        <w:t xml:space="preserve"> prosecution</w:t>
      </w:r>
      <w:r w:rsidRPr="00FE7DCC">
        <w:rPr>
          <w:rFonts w:eastAsia="Palatino Linotype"/>
        </w:rPr>
        <w:t>. Th</w:t>
      </w:r>
      <w:r>
        <w:rPr>
          <w:rFonts w:eastAsia="Palatino Linotype"/>
        </w:rPr>
        <w:t>is</w:t>
      </w:r>
      <w:r w:rsidRPr="00FE7DCC">
        <w:rPr>
          <w:rFonts w:eastAsia="Palatino Linotype"/>
        </w:rPr>
        <w:t xml:space="preserve"> provision raise</w:t>
      </w:r>
      <w:r>
        <w:rPr>
          <w:rFonts w:eastAsia="Palatino Linotype"/>
        </w:rPr>
        <w:t>s</w:t>
      </w:r>
      <w:r w:rsidRPr="00FE7DCC">
        <w:rPr>
          <w:rFonts w:eastAsia="Palatino Linotype"/>
        </w:rPr>
        <w:t xml:space="preserve"> the threshold to be applied by prosecutors when considering whether a service person or veteran should be prosecuted in such cases</w:t>
      </w:r>
      <w:r>
        <w:rPr>
          <w:rFonts w:eastAsia="Palatino Linotype"/>
        </w:rPr>
        <w:t>,</w:t>
      </w:r>
      <w:r w:rsidRPr="00FE7DCC">
        <w:rPr>
          <w:rFonts w:eastAsia="Palatino Linotype"/>
        </w:rPr>
        <w:t xml:space="preserve"> by stipulating that it is to be exceptional for a prosecutor to determine that a prosecution should be brought. </w:t>
      </w:r>
    </w:p>
    <w:p w:rsidR="00ED6753" w:rsidRDefault="00ED6753" w:rsidP="00191B00">
      <w:pPr>
        <w:pStyle w:val="ParaNumbered"/>
        <w:numPr>
          <w:ilvl w:val="2"/>
          <w:numId w:val="5"/>
        </w:numPr>
        <w:rPr>
          <w:rFonts w:eastAsia="Palatino Linotype"/>
        </w:rPr>
      </w:pPr>
      <w:r>
        <w:rPr>
          <w:rFonts w:eastAsia="Palatino Linotype"/>
        </w:rPr>
        <w:t>Secondly</w:t>
      </w:r>
      <w:r w:rsidRPr="00FE7DCC">
        <w:rPr>
          <w:rFonts w:eastAsia="Palatino Linotype"/>
        </w:rPr>
        <w:t>, the prosecutor must give particular weight to the adverse impact of the particular conditions the person was exposed to and the exceptional demands and stresses of overseas operations on a Service person (including on their ability to make sound judg</w:t>
      </w:r>
      <w:r>
        <w:rPr>
          <w:rFonts w:eastAsia="Palatino Linotype"/>
        </w:rPr>
        <w:t>e</w:t>
      </w:r>
      <w:r w:rsidRPr="00FE7DCC">
        <w:rPr>
          <w:rFonts w:eastAsia="Palatino Linotype"/>
        </w:rPr>
        <w:t xml:space="preserve">ments and on their mental health) and, in cases where there have been previous investigations and no compelling new evidence has emerged, the public interest in finality. </w:t>
      </w:r>
    </w:p>
    <w:p w:rsidR="00ED6753" w:rsidRPr="00191B00" w:rsidRDefault="00ED6753" w:rsidP="00191B00">
      <w:pPr>
        <w:pStyle w:val="ParaNumbered"/>
        <w:numPr>
          <w:ilvl w:val="2"/>
          <w:numId w:val="5"/>
        </w:numPr>
        <w:rPr>
          <w:rFonts w:eastAsia="Palatino Linotype"/>
        </w:rPr>
      </w:pPr>
      <w:r>
        <w:rPr>
          <w:rFonts w:eastAsia="Palatino Linotype"/>
        </w:rPr>
        <w:t>Thirdly, i</w:t>
      </w:r>
      <w:r w:rsidRPr="00FE7DCC">
        <w:rPr>
          <w:rFonts w:eastAsia="Palatino Linotype"/>
        </w:rPr>
        <w:t>f a prosecutor determines that, notwithstanding the presumption, it is appropriate for a prosecution to be brought, the consent of the Attorney General for England and Wales or the Advocate General for Northern Ireland will then be required for the prosecution to proceed.</w:t>
      </w:r>
    </w:p>
    <w:p w:rsidR="00ED6753" w:rsidRPr="007B6CA6" w:rsidRDefault="00ED6753" w:rsidP="00191B00">
      <w:pPr>
        <w:pStyle w:val="ParaNumbered"/>
        <w:rPr>
          <w:rFonts w:eastAsia="Palatino Linotype"/>
        </w:rPr>
      </w:pPr>
      <w:r w:rsidRPr="007B6CA6">
        <w:rPr>
          <w:rFonts w:eastAsia="Palatino Linotype"/>
        </w:rPr>
        <w:t>These measures apply where the prosecutor’s decision concerns a “relevant offence”. The definition of “relevant offence” covers all offences, save for those listed in Schedule 1.</w:t>
      </w:r>
      <w:r w:rsidRPr="007B6CA6">
        <w:rPr>
          <w:rStyle w:val="FootnoteReference"/>
          <w:rFonts w:eastAsia="Palatino Linotype" w:cs="Palatino Linotype"/>
          <w:szCs w:val="20"/>
        </w:rPr>
        <w:t xml:space="preserve"> </w:t>
      </w:r>
      <w:r>
        <w:rPr>
          <w:rStyle w:val="FootnoteReference"/>
          <w:rFonts w:eastAsia="Palatino Linotype" w:cs="Palatino Linotype"/>
          <w:szCs w:val="20"/>
        </w:rPr>
        <w:footnoteReference w:id="1"/>
      </w:r>
    </w:p>
    <w:p w:rsidR="00ED6753" w:rsidRPr="00FE7DCC" w:rsidRDefault="00ED6753" w:rsidP="00191B00">
      <w:pPr>
        <w:pStyle w:val="ParaNumbered"/>
        <w:numPr>
          <w:ilvl w:val="1"/>
          <w:numId w:val="5"/>
        </w:numPr>
        <w:rPr>
          <w:rFonts w:eastAsia="Palatino Linotype"/>
        </w:rPr>
      </w:pPr>
      <w:r w:rsidRPr="00FE7DCC">
        <w:rPr>
          <w:rFonts w:eastAsia="Palatino Linotype"/>
          <w:u w:val="single"/>
        </w:rPr>
        <w:t>Restriction of judicial discretion to allow</w:t>
      </w:r>
      <w:r>
        <w:rPr>
          <w:rFonts w:eastAsia="Palatino Linotype"/>
          <w:u w:val="single"/>
        </w:rPr>
        <w:t xml:space="preserve"> certain</w:t>
      </w:r>
      <w:r w:rsidRPr="00FE7DCC">
        <w:rPr>
          <w:rFonts w:eastAsia="Palatino Linotype"/>
          <w:u w:val="single"/>
        </w:rPr>
        <w:t xml:space="preserve"> civil claims </w:t>
      </w:r>
      <w:r>
        <w:rPr>
          <w:rFonts w:eastAsia="Palatino Linotype"/>
          <w:u w:val="single"/>
        </w:rPr>
        <w:t>connected with</w:t>
      </w:r>
      <w:r w:rsidRPr="00FE7DCC">
        <w:rPr>
          <w:rFonts w:eastAsia="Palatino Linotype"/>
          <w:u w:val="single"/>
        </w:rPr>
        <w:t xml:space="preserve"> overseas operations</w:t>
      </w:r>
      <w:r w:rsidRPr="00FE7DCC">
        <w:rPr>
          <w:rFonts w:eastAsia="Palatino Linotype"/>
        </w:rPr>
        <w:t>. This further restrict</w:t>
      </w:r>
      <w:r>
        <w:rPr>
          <w:rFonts w:eastAsia="Palatino Linotype"/>
        </w:rPr>
        <w:t>s</w:t>
      </w:r>
      <w:r w:rsidRPr="00FE7DCC">
        <w:rPr>
          <w:rFonts w:eastAsia="Palatino Linotype"/>
        </w:rPr>
        <w:t xml:space="preserve"> the court’s discretion to extend the normal time limit of three years for bringing civil claims for personal injury and/or death </w:t>
      </w:r>
      <w:r>
        <w:rPr>
          <w:rFonts w:eastAsia="Palatino Linotype"/>
        </w:rPr>
        <w:t xml:space="preserve">connected with </w:t>
      </w:r>
      <w:r w:rsidRPr="00FE7DCC">
        <w:rPr>
          <w:rFonts w:eastAsia="Palatino Linotype"/>
        </w:rPr>
        <w:t>historical events outside the UK by requiring the court to</w:t>
      </w:r>
      <w:r>
        <w:rPr>
          <w:rFonts w:eastAsia="Palatino Linotype"/>
        </w:rPr>
        <w:t xml:space="preserve"> have particular regard to</w:t>
      </w:r>
      <w:r w:rsidRPr="00FE7DCC">
        <w:rPr>
          <w:rFonts w:eastAsia="Palatino Linotype"/>
        </w:rPr>
        <w:t xml:space="preserve"> additional factors (in addition to those that already exist) when deciding whether to allow a claim </w:t>
      </w:r>
      <w:r>
        <w:rPr>
          <w:rFonts w:eastAsia="Palatino Linotype"/>
        </w:rPr>
        <w:t>to proceed beyond</w:t>
      </w:r>
      <w:r w:rsidRPr="00FE7DCC">
        <w:rPr>
          <w:rFonts w:eastAsia="Palatino Linotype"/>
        </w:rPr>
        <w:t xml:space="preserve"> the three-year limitation period. Those </w:t>
      </w:r>
      <w:r>
        <w:rPr>
          <w:rFonts w:eastAsia="Palatino Linotype"/>
        </w:rPr>
        <w:t>new</w:t>
      </w:r>
      <w:r w:rsidRPr="00FE7DCC">
        <w:rPr>
          <w:rFonts w:eastAsia="Palatino Linotype"/>
        </w:rPr>
        <w:t xml:space="preserve"> factors include, for example, particular regard to the likely impact of the operational context on the ability to remember events and the likely impact of any legal </w:t>
      </w:r>
      <w:r>
        <w:rPr>
          <w:rFonts w:eastAsia="Palatino Linotype"/>
        </w:rPr>
        <w:t>proceedings</w:t>
      </w:r>
      <w:r w:rsidRPr="00FE7DCC">
        <w:rPr>
          <w:rFonts w:eastAsia="Palatino Linotype"/>
        </w:rPr>
        <w:t xml:space="preserve"> on the mental health of any service personnel witness</w:t>
      </w:r>
      <w:r>
        <w:rPr>
          <w:rFonts w:eastAsia="Palatino Linotype"/>
        </w:rPr>
        <w:t>es</w:t>
      </w:r>
      <w:r w:rsidRPr="00FE7DCC">
        <w:rPr>
          <w:rFonts w:eastAsia="Palatino Linotype"/>
        </w:rPr>
        <w:t>.</w:t>
      </w:r>
    </w:p>
    <w:p w:rsidR="00ED6753" w:rsidRPr="00FE7DCC" w:rsidRDefault="00ED6753" w:rsidP="00191B00">
      <w:pPr>
        <w:pStyle w:val="ParaNumbered"/>
        <w:numPr>
          <w:ilvl w:val="1"/>
          <w:numId w:val="5"/>
        </w:numPr>
        <w:rPr>
          <w:rFonts w:eastAsia="Palatino Linotype"/>
        </w:rPr>
      </w:pPr>
      <w:r w:rsidRPr="00FE7DCC">
        <w:rPr>
          <w:rFonts w:eastAsia="Palatino Linotype"/>
          <w:u w:val="single"/>
        </w:rPr>
        <w:t xml:space="preserve">Restriction of judicial discretion to allow claims under the Human Rights Act 1998 (HRA) </w:t>
      </w:r>
      <w:r>
        <w:rPr>
          <w:rFonts w:eastAsia="Palatino Linotype"/>
          <w:u w:val="single"/>
        </w:rPr>
        <w:t xml:space="preserve">connected with </w:t>
      </w:r>
      <w:r w:rsidRPr="00FE7DCC">
        <w:rPr>
          <w:rFonts w:eastAsia="Palatino Linotype"/>
          <w:u w:val="single"/>
        </w:rPr>
        <w:t>overseas operations</w:t>
      </w:r>
      <w:r w:rsidRPr="00FE7DCC">
        <w:rPr>
          <w:rFonts w:eastAsia="Palatino Linotype"/>
        </w:rPr>
        <w:t>. This require</w:t>
      </w:r>
      <w:r>
        <w:rPr>
          <w:rFonts w:eastAsia="Palatino Linotype"/>
        </w:rPr>
        <w:t>s</w:t>
      </w:r>
      <w:r w:rsidRPr="00FE7DCC">
        <w:rPr>
          <w:rFonts w:eastAsia="Palatino Linotype"/>
        </w:rPr>
        <w:t xml:space="preserve"> the court to </w:t>
      </w:r>
      <w:r>
        <w:rPr>
          <w:rFonts w:eastAsia="Palatino Linotype"/>
        </w:rPr>
        <w:t>have particular regard to</w:t>
      </w:r>
      <w:r w:rsidRPr="00FE7DCC">
        <w:rPr>
          <w:rFonts w:eastAsia="Palatino Linotype"/>
        </w:rPr>
        <w:t xml:space="preserve"> various factors (as set out in the bullet point above for civil claims</w:t>
      </w:r>
      <w:r>
        <w:rPr>
          <w:rFonts w:eastAsia="Palatino Linotype"/>
        </w:rPr>
        <w:t xml:space="preserve"> for personal injury and/or death</w:t>
      </w:r>
      <w:r w:rsidRPr="00FE7DCC">
        <w:rPr>
          <w:rFonts w:eastAsia="Palatino Linotype"/>
        </w:rPr>
        <w:t>) when considering whether to extend the primary limitation period of one year.</w:t>
      </w:r>
    </w:p>
    <w:p w:rsidR="00ED6753" w:rsidRPr="00191B00" w:rsidRDefault="00ED6753" w:rsidP="00191B00">
      <w:pPr>
        <w:pStyle w:val="ParaNumbered"/>
        <w:numPr>
          <w:ilvl w:val="1"/>
          <w:numId w:val="5"/>
        </w:numPr>
        <w:rPr>
          <w:rFonts w:eastAsia="Palatino Linotype"/>
        </w:rPr>
      </w:pPr>
      <w:r w:rsidRPr="00FE7DCC">
        <w:rPr>
          <w:rFonts w:eastAsia="Palatino Linotype"/>
          <w:u w:val="single"/>
        </w:rPr>
        <w:t xml:space="preserve">Limitation longstop for civil claims </w:t>
      </w:r>
      <w:r>
        <w:rPr>
          <w:rFonts w:eastAsia="Palatino Linotype"/>
          <w:u w:val="single"/>
        </w:rPr>
        <w:t>connected with</w:t>
      </w:r>
      <w:r w:rsidRPr="00FE7DCC">
        <w:rPr>
          <w:rFonts w:eastAsia="Palatino Linotype"/>
          <w:u w:val="single"/>
        </w:rPr>
        <w:t xml:space="preserve"> operations overseas.</w:t>
      </w:r>
      <w:r w:rsidRPr="00FE7DCC">
        <w:rPr>
          <w:rFonts w:eastAsia="Palatino Linotype"/>
        </w:rPr>
        <w:t xml:space="preserve"> There is also a</w:t>
      </w:r>
      <w:r>
        <w:rPr>
          <w:rFonts w:eastAsia="Palatino Linotype"/>
        </w:rPr>
        <w:t>n</w:t>
      </w:r>
      <w:r w:rsidRPr="00FE7DCC">
        <w:rPr>
          <w:rFonts w:eastAsia="Palatino Linotype"/>
        </w:rPr>
        <w:t xml:space="preserve"> absolute limitation longstop of six years</w:t>
      </w:r>
      <w:r>
        <w:rPr>
          <w:rFonts w:eastAsia="Palatino Linotype"/>
        </w:rPr>
        <w:t xml:space="preserve"> which will</w:t>
      </w:r>
      <w:r w:rsidRPr="00FE7DCC">
        <w:rPr>
          <w:rFonts w:eastAsia="Palatino Linotype"/>
        </w:rPr>
        <w:t xml:space="preserve"> </w:t>
      </w:r>
      <w:r>
        <w:rPr>
          <w:rFonts w:eastAsia="Palatino Linotype"/>
        </w:rPr>
        <w:t>prevent</w:t>
      </w:r>
      <w:r w:rsidRPr="00FE7DCC">
        <w:rPr>
          <w:rFonts w:eastAsia="Palatino Linotype"/>
        </w:rPr>
        <w:t xml:space="preserve"> claims </w:t>
      </w:r>
      <w:r>
        <w:rPr>
          <w:rFonts w:eastAsia="Palatino Linotype"/>
        </w:rPr>
        <w:t>being</w:t>
      </w:r>
      <w:r w:rsidRPr="00FE7DCC">
        <w:rPr>
          <w:rFonts w:eastAsia="Palatino Linotype"/>
        </w:rPr>
        <w:t xml:space="preserve"> brought </w:t>
      </w:r>
      <w:r>
        <w:rPr>
          <w:rFonts w:eastAsia="Palatino Linotype"/>
        </w:rPr>
        <w:lastRenderedPageBreak/>
        <w:t>more than six years after the date of incident, or more than six years after the date of knowledge.</w:t>
      </w:r>
      <w:r w:rsidRPr="00FE7DCC">
        <w:rPr>
          <w:rFonts w:eastAsia="Palatino Linotype"/>
        </w:rPr>
        <w:t xml:space="preserve"> </w:t>
      </w:r>
      <w:bookmarkStart w:id="1" w:name="_Hlk49219479"/>
    </w:p>
    <w:p w:rsidR="00ED6753" w:rsidRPr="00191B00" w:rsidRDefault="00ED6753" w:rsidP="00191B00">
      <w:pPr>
        <w:pStyle w:val="ParaNumbered"/>
        <w:numPr>
          <w:ilvl w:val="1"/>
          <w:numId w:val="5"/>
        </w:numPr>
        <w:rPr>
          <w:rFonts w:eastAsia="Palatino Linotype"/>
        </w:rPr>
      </w:pPr>
      <w:r w:rsidRPr="00FE7DCC">
        <w:rPr>
          <w:rFonts w:eastAsia="Palatino Linotype"/>
          <w:u w:val="single"/>
        </w:rPr>
        <w:t>Changes to private international law rules for personal injury and death claims</w:t>
      </w:r>
      <w:r>
        <w:rPr>
          <w:rFonts w:eastAsia="Palatino Linotype"/>
          <w:u w:val="single"/>
        </w:rPr>
        <w:t xml:space="preserve"> connected with overseas operations</w:t>
      </w:r>
      <w:r w:rsidRPr="00FE7DCC">
        <w:rPr>
          <w:rFonts w:eastAsia="Palatino Linotype"/>
        </w:rPr>
        <w:t xml:space="preserve">. The </w:t>
      </w:r>
      <w:r>
        <w:rPr>
          <w:rFonts w:eastAsia="Palatino Linotype"/>
        </w:rPr>
        <w:t>Act</w:t>
      </w:r>
      <w:r w:rsidRPr="00FE7DCC">
        <w:rPr>
          <w:rFonts w:eastAsia="Palatino Linotype"/>
        </w:rPr>
        <w:t xml:space="preserve"> amends existing legislation to provide that when the limitation periods of another country are applied to these claims, there will be an absolute limitation longstop of six years.</w:t>
      </w:r>
      <w:bookmarkEnd w:id="1"/>
    </w:p>
    <w:p w:rsidR="00ED6753" w:rsidRPr="00191B00" w:rsidRDefault="00ED6753" w:rsidP="00191B00">
      <w:pPr>
        <w:pStyle w:val="ParaNumbered"/>
        <w:numPr>
          <w:ilvl w:val="1"/>
          <w:numId w:val="5"/>
        </w:numPr>
        <w:rPr>
          <w:rFonts w:eastAsia="Palatino Linotype"/>
        </w:rPr>
      </w:pPr>
      <w:r w:rsidRPr="00FE7DCC">
        <w:rPr>
          <w:rFonts w:eastAsia="Palatino Linotype"/>
          <w:u w:val="single"/>
        </w:rPr>
        <w:t>Limitation longstop for claims under the HRA</w:t>
      </w:r>
      <w:r>
        <w:rPr>
          <w:rFonts w:eastAsia="Palatino Linotype"/>
          <w:u w:val="single"/>
        </w:rPr>
        <w:t xml:space="preserve"> connected with</w:t>
      </w:r>
      <w:r w:rsidRPr="00FE7DCC">
        <w:rPr>
          <w:rFonts w:eastAsia="Palatino Linotype"/>
          <w:u w:val="single"/>
        </w:rPr>
        <w:t xml:space="preserve"> overseas operations</w:t>
      </w:r>
      <w:r w:rsidRPr="00FE7DCC">
        <w:rPr>
          <w:rFonts w:eastAsia="Palatino Linotype"/>
        </w:rPr>
        <w:t>. This similarly imposes a</w:t>
      </w:r>
      <w:r>
        <w:rPr>
          <w:rFonts w:eastAsia="Palatino Linotype"/>
        </w:rPr>
        <w:t xml:space="preserve">n </w:t>
      </w:r>
      <w:r w:rsidRPr="00FE7DCC">
        <w:rPr>
          <w:rFonts w:eastAsia="Palatino Linotype"/>
        </w:rPr>
        <w:t xml:space="preserve">absolute limitation longstop of six years for bringing HRA claims </w:t>
      </w:r>
      <w:r>
        <w:rPr>
          <w:rFonts w:eastAsia="Palatino Linotype"/>
        </w:rPr>
        <w:t>connected with</w:t>
      </w:r>
      <w:r w:rsidRPr="00FE7DCC">
        <w:rPr>
          <w:rFonts w:eastAsia="Palatino Linotype"/>
        </w:rPr>
        <w:t xml:space="preserve"> overseas operations. </w:t>
      </w:r>
      <w:r>
        <w:rPr>
          <w:rFonts w:eastAsia="Palatino Linotype"/>
        </w:rPr>
        <w:t xml:space="preserve">This means there is </w:t>
      </w:r>
      <w:r w:rsidRPr="00FE7DCC">
        <w:rPr>
          <w:rFonts w:eastAsia="Palatino Linotype"/>
        </w:rPr>
        <w:t>a consistent approach to</w:t>
      </w:r>
      <w:r>
        <w:rPr>
          <w:rFonts w:eastAsia="Palatino Linotype"/>
        </w:rPr>
        <w:t xml:space="preserve"> the absolute</w:t>
      </w:r>
      <w:r w:rsidRPr="00FE7DCC">
        <w:rPr>
          <w:rFonts w:eastAsia="Palatino Linotype"/>
        </w:rPr>
        <w:t xml:space="preserve"> limitation</w:t>
      </w:r>
      <w:r>
        <w:rPr>
          <w:rFonts w:eastAsia="Palatino Linotype"/>
        </w:rPr>
        <w:t xml:space="preserve"> periods</w:t>
      </w:r>
      <w:r w:rsidRPr="00FE7DCC">
        <w:rPr>
          <w:rFonts w:eastAsia="Palatino Linotype"/>
        </w:rPr>
        <w:t xml:space="preserve"> for both personal injury and death claims and for HRA claims</w:t>
      </w:r>
      <w:r>
        <w:rPr>
          <w:rFonts w:eastAsia="Palatino Linotype"/>
        </w:rPr>
        <w:t xml:space="preserve"> connected with overseas operations</w:t>
      </w:r>
      <w:r w:rsidRPr="00FE7DCC">
        <w:rPr>
          <w:rFonts w:eastAsia="Palatino Linotype"/>
        </w:rPr>
        <w:t xml:space="preserve">. The time for the longstop on HRA claims will be calculated from the date of the </w:t>
      </w:r>
      <w:r>
        <w:rPr>
          <w:rFonts w:eastAsia="Palatino Linotype"/>
        </w:rPr>
        <w:t>act</w:t>
      </w:r>
      <w:r w:rsidRPr="00FE7DCC">
        <w:rPr>
          <w:rFonts w:eastAsia="Palatino Linotype"/>
        </w:rPr>
        <w:t>. If the date of knowledge is</w:t>
      </w:r>
      <w:r>
        <w:rPr>
          <w:rFonts w:eastAsia="Palatino Linotype"/>
        </w:rPr>
        <w:t xml:space="preserve"> later than the date of the incident, then</w:t>
      </w:r>
      <w:r w:rsidRPr="00FE7DCC">
        <w:rPr>
          <w:rFonts w:eastAsia="Palatino Linotype"/>
        </w:rPr>
        <w:t xml:space="preserve"> claimants will have an additional one year to make a claim</w:t>
      </w:r>
      <w:r>
        <w:rPr>
          <w:rFonts w:eastAsia="Palatino Linotype"/>
        </w:rPr>
        <w:t>, provided that one-year period ends more than six years after the date of the act.</w:t>
      </w:r>
      <w:r w:rsidRPr="00FE7DCC">
        <w:rPr>
          <w:rFonts w:eastAsia="Palatino Linotype"/>
        </w:rPr>
        <w:t xml:space="preserve"> </w:t>
      </w:r>
    </w:p>
    <w:p w:rsidR="00ED6753" w:rsidRDefault="00ED6753" w:rsidP="00ED6753">
      <w:pPr>
        <w:rPr>
          <w:rFonts w:ascii="Arial" w:eastAsia="Arial" w:hAnsi="Arial" w:cs="Arial"/>
          <w:b/>
          <w:color w:val="0070C0"/>
          <w:sz w:val="36"/>
          <w:szCs w:val="36"/>
        </w:rPr>
      </w:pPr>
      <w:bookmarkStart w:id="2" w:name="_Toc34899730"/>
      <w:r>
        <w:br w:type="page"/>
      </w:r>
    </w:p>
    <w:p w:rsidR="00ED6753" w:rsidRPr="00390F67" w:rsidRDefault="00ED6753" w:rsidP="00ED6753">
      <w:pPr>
        <w:pStyle w:val="Heading1"/>
        <w:keepNext/>
      </w:pPr>
      <w:bookmarkStart w:id="3" w:name="_Toc72857832"/>
      <w:r w:rsidRPr="00390F67">
        <w:lastRenderedPageBreak/>
        <w:t xml:space="preserve">Policy </w:t>
      </w:r>
      <w:r>
        <w:t xml:space="preserve">and legal </w:t>
      </w:r>
      <w:r w:rsidRPr="00390F67">
        <w:t>background</w:t>
      </w:r>
      <w:bookmarkEnd w:id="2"/>
      <w:bookmarkEnd w:id="3"/>
    </w:p>
    <w:p w:rsidR="00ED6753" w:rsidRPr="00390F67" w:rsidRDefault="00ED6753" w:rsidP="00191B00">
      <w:pPr>
        <w:pStyle w:val="ParaNumbered"/>
        <w:rPr>
          <w:rFonts w:eastAsia="Palatino Linotype"/>
        </w:rPr>
      </w:pPr>
      <w:r w:rsidRPr="00390F67">
        <w:rPr>
          <w:rFonts w:eastAsia="Palatino Linotype"/>
        </w:rPr>
        <w:t xml:space="preserve">This </w:t>
      </w:r>
      <w:r>
        <w:rPr>
          <w:rFonts w:eastAsia="Palatino Linotype"/>
        </w:rPr>
        <w:t>Act</w:t>
      </w:r>
      <w:r w:rsidRPr="00390F67">
        <w:rPr>
          <w:rFonts w:eastAsia="Palatino Linotype"/>
        </w:rPr>
        <w:t xml:space="preserve"> aims to provide greater certainty for </w:t>
      </w:r>
      <w:r>
        <w:rPr>
          <w:rFonts w:eastAsia="Palatino Linotype"/>
        </w:rPr>
        <w:t>S</w:t>
      </w:r>
      <w:r w:rsidRPr="00390F67">
        <w:rPr>
          <w:rFonts w:eastAsia="Palatino Linotype"/>
        </w:rPr>
        <w:t xml:space="preserve">ervice personnel and veterans </w:t>
      </w:r>
      <w:r>
        <w:rPr>
          <w:rFonts w:eastAsia="Palatino Linotype"/>
        </w:rPr>
        <w:t>in relation to</w:t>
      </w:r>
      <w:r w:rsidRPr="00390F67">
        <w:rPr>
          <w:rFonts w:eastAsia="Palatino Linotype"/>
        </w:rPr>
        <w:t xml:space="preserve"> claims and </w:t>
      </w:r>
      <w:r>
        <w:rPr>
          <w:rFonts w:eastAsia="Palatino Linotype"/>
        </w:rPr>
        <w:t xml:space="preserve">potential prosecution for </w:t>
      </w:r>
      <w:r w:rsidRPr="00390F67">
        <w:rPr>
          <w:rFonts w:eastAsia="Palatino Linotype"/>
        </w:rPr>
        <w:t xml:space="preserve">historical events that occurred in the complex environment </w:t>
      </w:r>
      <w:r>
        <w:rPr>
          <w:rFonts w:eastAsia="Palatino Linotype"/>
        </w:rPr>
        <w:t xml:space="preserve">of </w:t>
      </w:r>
      <w:r w:rsidRPr="00390F67">
        <w:rPr>
          <w:rFonts w:eastAsia="Palatino Linotype"/>
        </w:rPr>
        <w:t>overseas</w:t>
      </w:r>
      <w:r>
        <w:rPr>
          <w:rFonts w:eastAsia="Palatino Linotype"/>
        </w:rPr>
        <w:t xml:space="preserve"> operations</w:t>
      </w:r>
      <w:r w:rsidRPr="00390F67">
        <w:rPr>
          <w:rFonts w:eastAsia="Palatino Linotype"/>
        </w:rPr>
        <w:t xml:space="preserve">.  </w:t>
      </w:r>
    </w:p>
    <w:p w:rsidR="00ED6753" w:rsidRDefault="00ED6753" w:rsidP="00191B00">
      <w:pPr>
        <w:pStyle w:val="ParaNumbered"/>
        <w:rPr>
          <w:rFonts w:cs="Arial"/>
        </w:rPr>
      </w:pPr>
      <w:r w:rsidRPr="00390F67">
        <w:rPr>
          <w:rFonts w:cs="Arial"/>
        </w:rPr>
        <w:t xml:space="preserve">This </w:t>
      </w:r>
      <w:r>
        <w:rPr>
          <w:rFonts w:cs="Arial"/>
        </w:rPr>
        <w:t>Act</w:t>
      </w:r>
      <w:r w:rsidRPr="00390F67">
        <w:rPr>
          <w:rFonts w:cs="Arial"/>
        </w:rPr>
        <w:t xml:space="preserve"> seeks to address issues that have partly arisen from the expansion of the European Convention on Human Rights (ECHR) to cover overseas military operations where the UK had assumed that international humanitarian law had primacy. </w:t>
      </w:r>
    </w:p>
    <w:p w:rsidR="00ED6753" w:rsidRPr="00390F67" w:rsidRDefault="00ED6753" w:rsidP="00191B00">
      <w:pPr>
        <w:pStyle w:val="ParaNumbered"/>
        <w:rPr>
          <w:rFonts w:cs="Arial"/>
        </w:rPr>
      </w:pPr>
      <w:r w:rsidRPr="00390F67">
        <w:rPr>
          <w:rFonts w:cs="Arial"/>
        </w:rPr>
        <w:t>It also raise</w:t>
      </w:r>
      <w:r>
        <w:rPr>
          <w:rFonts w:cs="Arial"/>
        </w:rPr>
        <w:t>s</w:t>
      </w:r>
      <w:r w:rsidRPr="00390F67">
        <w:rPr>
          <w:rFonts w:cs="Arial"/>
        </w:rPr>
        <w:t xml:space="preserve"> the bar for prosecutions in relation to </w:t>
      </w:r>
      <w:r>
        <w:rPr>
          <w:rFonts w:cs="Arial"/>
        </w:rPr>
        <w:t xml:space="preserve">alleged </w:t>
      </w:r>
      <w:r w:rsidRPr="00390F67">
        <w:rPr>
          <w:rFonts w:cs="Arial"/>
        </w:rPr>
        <w:t xml:space="preserve">historical incidents </w:t>
      </w:r>
      <w:r>
        <w:rPr>
          <w:rFonts w:cs="Arial"/>
        </w:rPr>
        <w:t xml:space="preserve">that occurred on </w:t>
      </w:r>
      <w:r w:rsidRPr="00390F67">
        <w:rPr>
          <w:rFonts w:cs="Arial"/>
        </w:rPr>
        <w:t xml:space="preserve">overseas operations, requiring prosecutors to have proper regard to the uniquely challenging context. </w:t>
      </w:r>
    </w:p>
    <w:p w:rsidR="00ED6753" w:rsidRPr="00A24278" w:rsidRDefault="00ED6753" w:rsidP="00191B00">
      <w:pPr>
        <w:pStyle w:val="ParaNumbered"/>
      </w:pPr>
      <w:r>
        <w:rPr>
          <w:rFonts w:eastAsia="Palatino Linotype"/>
        </w:rPr>
        <w:t xml:space="preserve">The measures </w:t>
      </w:r>
      <w:r w:rsidRPr="00390F67">
        <w:rPr>
          <w:rFonts w:eastAsia="Palatino Linotype"/>
        </w:rPr>
        <w:t xml:space="preserve">aim to provide greater certainty by reassuring </w:t>
      </w:r>
      <w:r>
        <w:rPr>
          <w:rFonts w:eastAsia="Palatino Linotype"/>
        </w:rPr>
        <w:t>S</w:t>
      </w:r>
      <w:r w:rsidRPr="00390F67">
        <w:rPr>
          <w:rFonts w:eastAsia="Palatino Linotype"/>
        </w:rPr>
        <w:t xml:space="preserve">ervice personnel and veterans that prosecution decisions must take into account factors as specified in the </w:t>
      </w:r>
      <w:r>
        <w:rPr>
          <w:rFonts w:eastAsia="Palatino Linotype"/>
        </w:rPr>
        <w:t xml:space="preserve">Act and that prosecutions will only go ahead in </w:t>
      </w:r>
      <w:r w:rsidRPr="00390F67">
        <w:rPr>
          <w:rFonts w:eastAsia="Palatino Linotype"/>
        </w:rPr>
        <w:t xml:space="preserve">exceptional cases.  </w:t>
      </w:r>
    </w:p>
    <w:p w:rsidR="00ED6753" w:rsidRPr="00E00A72" w:rsidRDefault="00ED6753" w:rsidP="00191B00">
      <w:pPr>
        <w:pStyle w:val="ParaNumbered"/>
        <w:rPr>
          <w:rFonts w:eastAsia="Palatino Linotype"/>
        </w:rPr>
      </w:pPr>
      <w:r w:rsidRPr="00ED6753">
        <w:rPr>
          <w:rFonts w:eastAsia="Palatino Linotype"/>
        </w:rPr>
        <w:t xml:space="preserve">International humanitarian law was developed to regulate the conduct of combat operations and recognises the inherent risks and dangers both for Service personnel and for the local population.  It imposes obligations that are realistic and reasonable to expect the Armed Forces to meet even when operating in hostile conditions overseas. However, judgments in Strasbourg and the UK’s domestic courts in relation to operations in Iraq and Afghanistan confirmed the applicability of ECHR to overseas military operations, and the actions of the MOD and UK Service personnel. </w:t>
      </w:r>
    </w:p>
    <w:p w:rsidR="00ED6753" w:rsidRPr="00390F67" w:rsidRDefault="00ED6753" w:rsidP="00191B00">
      <w:pPr>
        <w:pStyle w:val="ParaNumbered"/>
        <w:rPr>
          <w:rFonts w:eastAsia="Palatino Linotype"/>
        </w:rPr>
      </w:pPr>
      <w:r w:rsidRPr="00ED6753">
        <w:rPr>
          <w:rFonts w:eastAsia="Palatino Linotype"/>
        </w:rPr>
        <w:t xml:space="preserve">Operations in Iraq in 2003-2009 (Operation Telic) and Afghanistan in 2002-2017 (Operation Herrick) gave rise to an unprecedented number of legal claims for damages and non-compliance with the UK’s obligations under the ECHR. MOD faced approximately 1,400 judicial review claims and over 900 civil claims for compensation arising from the 2003-09 operations in Iraq and around 100 claims arising from operations in Afghanistan. In some cases, the courts found that the UK’s legal obligations were breached: they ruled that detention processes were flawed and that some practices which constituted inhuman or degrading treatment were prevalent. </w:t>
      </w:r>
    </w:p>
    <w:p w:rsidR="00ED6753" w:rsidRPr="00390F67" w:rsidRDefault="00ED6753" w:rsidP="00191B00">
      <w:pPr>
        <w:pStyle w:val="ParaNumbered"/>
        <w:rPr>
          <w:rFonts w:eastAsia="Palatino Linotype"/>
        </w:rPr>
      </w:pPr>
      <w:r w:rsidRPr="00390F67">
        <w:rPr>
          <w:rFonts w:cs="Arial"/>
        </w:rPr>
        <w:t xml:space="preserve">There were also instances of criminal behaviour, where individuals were prosecuted for serious criminal offences. Nothing in this </w:t>
      </w:r>
      <w:r>
        <w:rPr>
          <w:rFonts w:cs="Arial"/>
        </w:rPr>
        <w:t>Act</w:t>
      </w:r>
      <w:r w:rsidRPr="00390F67">
        <w:rPr>
          <w:rFonts w:cs="Arial"/>
        </w:rPr>
        <w:t xml:space="preserve"> will stop those </w:t>
      </w:r>
      <w:r>
        <w:rPr>
          <w:rFonts w:cs="Arial"/>
        </w:rPr>
        <w:t>suspected</w:t>
      </w:r>
      <w:r w:rsidRPr="00390F67">
        <w:rPr>
          <w:rFonts w:cs="Arial"/>
        </w:rPr>
        <w:t xml:space="preserve"> of committing criminal acts from being prosecuted</w:t>
      </w:r>
      <w:r>
        <w:rPr>
          <w:rFonts w:cs="Arial"/>
        </w:rPr>
        <w:t>, where appropriate</w:t>
      </w:r>
      <w:r w:rsidRPr="00390F67">
        <w:rPr>
          <w:rFonts w:cs="Arial"/>
        </w:rPr>
        <w:t xml:space="preserve">. </w:t>
      </w:r>
    </w:p>
    <w:p w:rsidR="00ED6753" w:rsidRPr="00390F67" w:rsidRDefault="00ED6753" w:rsidP="00191B00">
      <w:pPr>
        <w:pStyle w:val="ParaNumbered"/>
        <w:rPr>
          <w:rFonts w:eastAsia="Palatino Linotype"/>
        </w:rPr>
      </w:pPr>
      <w:r>
        <w:rPr>
          <w:rFonts w:cs="Arial"/>
        </w:rPr>
        <w:t>UK S</w:t>
      </w:r>
      <w:r w:rsidRPr="00390F67">
        <w:rPr>
          <w:rFonts w:cs="Arial"/>
        </w:rPr>
        <w:t xml:space="preserve">ervice personnel and veterans have </w:t>
      </w:r>
      <w:r>
        <w:rPr>
          <w:rFonts w:cs="Arial"/>
        </w:rPr>
        <w:t xml:space="preserve">been subject to numerous </w:t>
      </w:r>
      <w:r w:rsidRPr="00390F67">
        <w:rPr>
          <w:rFonts w:cs="Arial"/>
        </w:rPr>
        <w:t xml:space="preserve">claims – including those that were ultimately discredited, or </w:t>
      </w:r>
      <w:r>
        <w:rPr>
          <w:rFonts w:cs="Arial"/>
        </w:rPr>
        <w:t>were</w:t>
      </w:r>
      <w:r w:rsidRPr="00390F67">
        <w:rPr>
          <w:rFonts w:cs="Arial"/>
        </w:rPr>
        <w:t xml:space="preserve"> brought in multiple jurisdictions, or were found to have been encouraged by lawyers pursuing financial gain</w:t>
      </w:r>
      <w:r>
        <w:rPr>
          <w:rFonts w:cs="Arial"/>
        </w:rPr>
        <w:t>.</w:t>
      </w:r>
    </w:p>
    <w:p w:rsidR="00ED6753" w:rsidRPr="00390F67" w:rsidRDefault="00ED6753" w:rsidP="00191B00">
      <w:pPr>
        <w:pStyle w:val="ParaNumbered"/>
        <w:rPr>
          <w:rFonts w:eastAsia="Palatino Linotype"/>
        </w:rPr>
      </w:pPr>
      <w:r w:rsidRPr="00390F67">
        <w:rPr>
          <w:rFonts w:cs="Arial"/>
        </w:rPr>
        <w:t xml:space="preserve">As announced in the then Defence Secretary's Written Ministerial Statements of 21 May and 22 July 2019, a 12-week public consultation on proposed legal protections measures for </w:t>
      </w:r>
      <w:r>
        <w:rPr>
          <w:rFonts w:cs="Arial"/>
        </w:rPr>
        <w:t>S</w:t>
      </w:r>
      <w:r w:rsidRPr="00390F67">
        <w:rPr>
          <w:rFonts w:cs="Arial"/>
        </w:rPr>
        <w:t xml:space="preserve">ervice personnel and veterans who served in operations outside the UK was launched on 22 July 2019. The consultation set out three main proposals which would be beneficial to Armed Forces personnel and veterans: a statutory presumption against prosecution, a new partial defence to murder, and a time limit on civil litigation claims for personal injury/death. There were over 4,200 responses to the consultation. These responses helped to shape the measures in this </w:t>
      </w:r>
      <w:r>
        <w:rPr>
          <w:rFonts w:cs="Arial"/>
        </w:rPr>
        <w:t>Act</w:t>
      </w:r>
      <w:r w:rsidRPr="00390F67">
        <w:rPr>
          <w:rFonts w:cs="Arial"/>
        </w:rPr>
        <w:t>.</w:t>
      </w:r>
    </w:p>
    <w:p w:rsidR="00ED6753" w:rsidRPr="00390F67" w:rsidRDefault="00ED6753" w:rsidP="00ED6753">
      <w:pPr>
        <w:rPr>
          <w:rFonts w:ascii="Arial" w:eastAsia="Arial" w:hAnsi="Arial" w:cs="Arial"/>
          <w:b/>
          <w:color w:val="0070C0"/>
          <w:sz w:val="36"/>
          <w:szCs w:val="36"/>
        </w:rPr>
      </w:pPr>
      <w:bookmarkStart w:id="4" w:name="_1fob9te" w:colFirst="0" w:colLast="0"/>
      <w:bookmarkStart w:id="5" w:name="_1t3h5sf" w:colFirst="0" w:colLast="0"/>
      <w:bookmarkStart w:id="6" w:name="_4d34og8" w:colFirst="0" w:colLast="0"/>
      <w:bookmarkEnd w:id="4"/>
      <w:bookmarkEnd w:id="5"/>
      <w:bookmarkEnd w:id="6"/>
      <w:r w:rsidRPr="00390F67">
        <w:br w:type="page"/>
      </w:r>
    </w:p>
    <w:p w:rsidR="00ED6753" w:rsidRPr="00390F67" w:rsidRDefault="00ED6753" w:rsidP="00ED6753">
      <w:pPr>
        <w:pStyle w:val="Heading1"/>
        <w:keepNext/>
      </w:pPr>
      <w:bookmarkStart w:id="7" w:name="_Toc72857833"/>
      <w:r w:rsidRPr="00390F67">
        <w:lastRenderedPageBreak/>
        <w:t>Territorial extent and application</w:t>
      </w:r>
      <w:bookmarkEnd w:id="7"/>
    </w:p>
    <w:p w:rsidR="00ED6753" w:rsidRPr="00390F67" w:rsidRDefault="00ED6753" w:rsidP="00191B00">
      <w:pPr>
        <w:pStyle w:val="ParaNumbered"/>
        <w:rPr>
          <w:rFonts w:eastAsia="Palatino Linotype"/>
        </w:rPr>
      </w:pPr>
      <w:r w:rsidRPr="00390F67">
        <w:rPr>
          <w:rFonts w:eastAsia="Palatino Linotype"/>
        </w:rPr>
        <w:t xml:space="preserve">The </w:t>
      </w:r>
      <w:r>
        <w:rPr>
          <w:rFonts w:eastAsia="Palatino Linotype"/>
        </w:rPr>
        <w:t>Act</w:t>
      </w:r>
      <w:r w:rsidRPr="00390F67">
        <w:rPr>
          <w:rFonts w:eastAsia="Palatino Linotype"/>
        </w:rPr>
        <w:t xml:space="preserve"> extend</w:t>
      </w:r>
      <w:r>
        <w:rPr>
          <w:rFonts w:eastAsia="Palatino Linotype"/>
        </w:rPr>
        <w:t>s</w:t>
      </w:r>
      <w:r w:rsidRPr="00390F67">
        <w:rPr>
          <w:rFonts w:eastAsia="Palatino Linotype"/>
        </w:rPr>
        <w:t xml:space="preserve"> to England and Wales, Scotland and Northern Ireland</w:t>
      </w:r>
      <w:r w:rsidRPr="000F3247">
        <w:rPr>
          <w:rFonts w:eastAsia="Palatino Linotype"/>
        </w:rPr>
        <w:t>. The effect</w:t>
      </w:r>
      <w:r>
        <w:rPr>
          <w:rFonts w:eastAsia="Palatino Linotype"/>
        </w:rPr>
        <w:t>s</w:t>
      </w:r>
      <w:r w:rsidRPr="000F3247">
        <w:rPr>
          <w:rFonts w:eastAsia="Palatino Linotype"/>
        </w:rPr>
        <w:t xml:space="preserve"> of the provisions are substantively the same throughout the UK, but as amendments </w:t>
      </w:r>
      <w:r>
        <w:rPr>
          <w:rFonts w:eastAsia="Palatino Linotype"/>
        </w:rPr>
        <w:t>were</w:t>
      </w:r>
      <w:r w:rsidRPr="000F3247">
        <w:rPr>
          <w:rFonts w:eastAsia="Palatino Linotype"/>
        </w:rPr>
        <w:t xml:space="preserve"> needed to different pieces of legislation in the different </w:t>
      </w:r>
      <w:r>
        <w:rPr>
          <w:rFonts w:eastAsia="Palatino Linotype"/>
        </w:rPr>
        <w:t>jurisdictions</w:t>
      </w:r>
      <w:r w:rsidRPr="000F3247">
        <w:rPr>
          <w:rFonts w:eastAsia="Palatino Linotype"/>
        </w:rPr>
        <w:t xml:space="preserve">, some provisions of the </w:t>
      </w:r>
      <w:r>
        <w:rPr>
          <w:rFonts w:eastAsia="Palatino Linotype"/>
        </w:rPr>
        <w:t>Act</w:t>
      </w:r>
      <w:r w:rsidRPr="000F3247">
        <w:rPr>
          <w:rFonts w:eastAsia="Palatino Linotype"/>
        </w:rPr>
        <w:t xml:space="preserve"> apply to England and Wales only, some to Scotland, and others to Northern Ireland</w:t>
      </w:r>
      <w:r w:rsidRPr="00390F67">
        <w:rPr>
          <w:rFonts w:eastAsia="Palatino Linotype"/>
        </w:rPr>
        <w:t>.</w:t>
      </w:r>
    </w:p>
    <w:p w:rsidR="00ED6753" w:rsidRPr="00390F67" w:rsidRDefault="00ED6753" w:rsidP="00ED6753">
      <w:pPr>
        <w:pStyle w:val="Heading1"/>
        <w:keepNext/>
      </w:pPr>
      <w:bookmarkStart w:id="8" w:name="_Toc72857834"/>
      <w:r w:rsidRPr="00390F67">
        <w:t xml:space="preserve">Commentary on provisions of </w:t>
      </w:r>
      <w:r>
        <w:t>Ac</w:t>
      </w:r>
      <w:r w:rsidR="00C86B36">
        <w:t>t</w:t>
      </w:r>
      <w:bookmarkEnd w:id="8"/>
    </w:p>
    <w:p w:rsidR="00ED6753" w:rsidRDefault="00ED6753" w:rsidP="00C86B36">
      <w:pPr>
        <w:pStyle w:val="HSubheading2"/>
        <w:rPr>
          <w:rFonts w:eastAsia="Arial"/>
        </w:rPr>
      </w:pPr>
      <w:bookmarkStart w:id="9" w:name="_Toc72857835"/>
      <w:r w:rsidRPr="00390F67">
        <w:rPr>
          <w:rFonts w:eastAsia="Arial"/>
        </w:rPr>
        <w:t>Part 1: Restriction</w:t>
      </w:r>
      <w:r>
        <w:rPr>
          <w:rFonts w:eastAsia="Arial"/>
        </w:rPr>
        <w:t>s</w:t>
      </w:r>
      <w:r w:rsidRPr="00390F67">
        <w:rPr>
          <w:rFonts w:eastAsia="Arial"/>
        </w:rPr>
        <w:t xml:space="preserve"> on prosecution for certain offences</w:t>
      </w:r>
      <w:bookmarkEnd w:id="9"/>
    </w:p>
    <w:p w:rsidR="00ED6753" w:rsidRPr="00390F67" w:rsidRDefault="00ED6753" w:rsidP="00C86B36">
      <w:pPr>
        <w:pStyle w:val="HSubheading3"/>
        <w:rPr>
          <w:rFonts w:eastAsia="Arial"/>
        </w:rPr>
      </w:pPr>
      <w:bookmarkStart w:id="10" w:name="_Toc72857836"/>
      <w:bookmarkStart w:id="11" w:name="_Hlk34746738"/>
      <w:r>
        <w:rPr>
          <w:rFonts w:eastAsia="Arial"/>
        </w:rPr>
        <w:t>Presumption against prosecution</w:t>
      </w:r>
      <w:bookmarkEnd w:id="10"/>
    </w:p>
    <w:p w:rsidR="00ED6753" w:rsidRPr="009013E5" w:rsidRDefault="00ED6753" w:rsidP="00C86B36">
      <w:pPr>
        <w:pStyle w:val="HSubheading4"/>
        <w:rPr>
          <w:rFonts w:eastAsia="Palatino Linotype"/>
        </w:rPr>
      </w:pPr>
      <w:bookmarkStart w:id="12" w:name="_Toc72857837"/>
      <w:bookmarkEnd w:id="11"/>
      <w:r>
        <w:rPr>
          <w:rFonts w:eastAsia="Palatino Linotype"/>
        </w:rPr>
        <w:t>Section</w:t>
      </w:r>
      <w:r w:rsidRPr="009013E5">
        <w:rPr>
          <w:rFonts w:eastAsia="Palatino Linotype"/>
        </w:rPr>
        <w:t xml:space="preserve"> 1: </w:t>
      </w:r>
      <w:r w:rsidRPr="00103F32">
        <w:rPr>
          <w:rFonts w:eastAsia="Palatino Linotype"/>
        </w:rPr>
        <w:t>Prosecutorial decision regarding alleged conduct during overseas operations</w:t>
      </w:r>
      <w:bookmarkEnd w:id="12"/>
      <w:r>
        <w:rPr>
          <w:rFonts w:eastAsia="Palatino Linotype"/>
        </w:rPr>
        <w:t xml:space="preserve"> </w:t>
      </w:r>
    </w:p>
    <w:p w:rsidR="00ED6753" w:rsidRDefault="00ED6753" w:rsidP="00C86B36">
      <w:pPr>
        <w:pStyle w:val="ParaNumbered"/>
        <w:rPr>
          <w:rFonts w:eastAsia="Palatino Linotype"/>
        </w:rPr>
      </w:pPr>
      <w:r w:rsidRPr="00D8678C">
        <w:rPr>
          <w:rFonts w:eastAsia="Palatino Linotype"/>
        </w:rPr>
        <w:t xml:space="preserve">This </w:t>
      </w:r>
      <w:r>
        <w:rPr>
          <w:rFonts w:eastAsia="Palatino Linotype"/>
        </w:rPr>
        <w:t>section</w:t>
      </w:r>
      <w:r w:rsidRPr="00D8678C">
        <w:rPr>
          <w:rFonts w:eastAsia="Palatino Linotype"/>
        </w:rPr>
        <w:t xml:space="preserve"> sets out when the statutory presumption against prosecution (</w:t>
      </w:r>
      <w:r>
        <w:rPr>
          <w:rFonts w:eastAsia="Palatino Linotype"/>
        </w:rPr>
        <w:t>section</w:t>
      </w:r>
      <w:r w:rsidRPr="00D8678C">
        <w:rPr>
          <w:rFonts w:eastAsia="Palatino Linotype"/>
        </w:rPr>
        <w:t xml:space="preserve"> 2), and the requirement to give particular weight to specified factors (</w:t>
      </w:r>
      <w:r>
        <w:rPr>
          <w:rFonts w:eastAsia="Palatino Linotype"/>
        </w:rPr>
        <w:t>section</w:t>
      </w:r>
      <w:r w:rsidRPr="00D8678C">
        <w:rPr>
          <w:rFonts w:eastAsia="Palatino Linotype"/>
        </w:rPr>
        <w:t xml:space="preserve"> 3), </w:t>
      </w:r>
      <w:r>
        <w:rPr>
          <w:rFonts w:eastAsia="Palatino Linotype"/>
        </w:rPr>
        <w:t xml:space="preserve">will </w:t>
      </w:r>
      <w:r w:rsidRPr="00D8678C">
        <w:rPr>
          <w:rFonts w:eastAsia="Palatino Linotype"/>
        </w:rPr>
        <w:t xml:space="preserve">apply to decisions whether or not to prosecute in criminal cases. The </w:t>
      </w:r>
      <w:r>
        <w:rPr>
          <w:rFonts w:eastAsia="Palatino Linotype"/>
        </w:rPr>
        <w:t>effect of the section</w:t>
      </w:r>
      <w:r w:rsidRPr="00D8678C">
        <w:rPr>
          <w:rFonts w:eastAsia="Palatino Linotype"/>
        </w:rPr>
        <w:t xml:space="preserve"> </w:t>
      </w:r>
      <w:r>
        <w:rPr>
          <w:rFonts w:eastAsia="Palatino Linotype"/>
        </w:rPr>
        <w:t>is such</w:t>
      </w:r>
      <w:r w:rsidRPr="00D8678C">
        <w:rPr>
          <w:rFonts w:eastAsia="Palatino Linotype"/>
        </w:rPr>
        <w:t xml:space="preserve"> that the measures at </w:t>
      </w:r>
      <w:r>
        <w:rPr>
          <w:rFonts w:eastAsia="Palatino Linotype"/>
        </w:rPr>
        <w:t>sections</w:t>
      </w:r>
      <w:r w:rsidRPr="00D8678C">
        <w:rPr>
          <w:rFonts w:eastAsia="Palatino Linotype"/>
        </w:rPr>
        <w:t xml:space="preserve"> 2 and 3 </w:t>
      </w:r>
      <w:r>
        <w:rPr>
          <w:rFonts w:eastAsia="Palatino Linotype"/>
        </w:rPr>
        <w:t xml:space="preserve">also </w:t>
      </w:r>
      <w:r w:rsidRPr="00D8678C">
        <w:rPr>
          <w:rFonts w:eastAsia="Palatino Linotype"/>
        </w:rPr>
        <w:t>apply to decisions as to whether or not private prosecutions should be allowed to continue.</w:t>
      </w:r>
    </w:p>
    <w:p w:rsidR="00ED6753" w:rsidRPr="00D8678C" w:rsidRDefault="00ED6753" w:rsidP="00C86B36">
      <w:pPr>
        <w:pStyle w:val="ParaNumbered"/>
        <w:rPr>
          <w:rFonts w:eastAsia="Palatino Linotype"/>
        </w:rPr>
      </w:pPr>
      <w:r w:rsidRPr="00D8678C">
        <w:rPr>
          <w:rFonts w:eastAsia="Palatino Linotype"/>
        </w:rPr>
        <w:t xml:space="preserve">This </w:t>
      </w:r>
      <w:r>
        <w:rPr>
          <w:rFonts w:eastAsia="Palatino Linotype"/>
        </w:rPr>
        <w:t>section</w:t>
      </w:r>
      <w:r w:rsidRPr="00D8678C">
        <w:rPr>
          <w:rFonts w:eastAsia="Palatino Linotype"/>
        </w:rPr>
        <w:t xml:space="preserve"> sets out:</w:t>
      </w:r>
    </w:p>
    <w:p w:rsidR="00ED6753" w:rsidRDefault="00ED6753" w:rsidP="00C86B36">
      <w:pPr>
        <w:pStyle w:val="ParaNumbered"/>
        <w:numPr>
          <w:ilvl w:val="1"/>
          <w:numId w:val="5"/>
        </w:numPr>
        <w:rPr>
          <w:rFonts w:eastAsia="Palatino Linotype"/>
        </w:rPr>
      </w:pPr>
      <w:r w:rsidRPr="002A7374">
        <w:rPr>
          <w:rFonts w:eastAsia="Palatino Linotype"/>
        </w:rPr>
        <w:t xml:space="preserve">which groups will be covered by </w:t>
      </w:r>
      <w:r>
        <w:rPr>
          <w:rFonts w:eastAsia="Palatino Linotype"/>
        </w:rPr>
        <w:t>section</w:t>
      </w:r>
      <w:r w:rsidRPr="002A7374">
        <w:rPr>
          <w:rFonts w:eastAsia="Palatino Linotype"/>
        </w:rPr>
        <w:t xml:space="preserve">s </w:t>
      </w:r>
      <w:r>
        <w:rPr>
          <w:rFonts w:eastAsia="Palatino Linotype"/>
        </w:rPr>
        <w:t xml:space="preserve">2 and 3 </w:t>
      </w:r>
      <w:r w:rsidRPr="002A7374">
        <w:rPr>
          <w:rFonts w:eastAsia="Palatino Linotype"/>
        </w:rPr>
        <w:t xml:space="preserve">of the </w:t>
      </w:r>
      <w:r>
        <w:rPr>
          <w:rFonts w:eastAsia="Palatino Linotype"/>
        </w:rPr>
        <w:t>Act</w:t>
      </w:r>
      <w:r w:rsidRPr="002A7374">
        <w:rPr>
          <w:rFonts w:eastAsia="Palatino Linotype"/>
        </w:rPr>
        <w:t>: the Armed Forces (reserves and regulars), and members of British Overseas Territory Forces (BOTF) when operating with UK Armed Forces;</w:t>
      </w:r>
    </w:p>
    <w:p w:rsidR="00ED6753" w:rsidRPr="002A7374" w:rsidRDefault="00ED6753" w:rsidP="00C86B36">
      <w:pPr>
        <w:pStyle w:val="ParaNumbered"/>
        <w:numPr>
          <w:ilvl w:val="1"/>
          <w:numId w:val="5"/>
        </w:numPr>
        <w:rPr>
          <w:rFonts w:eastAsia="Palatino Linotype"/>
        </w:rPr>
      </w:pPr>
      <w:r w:rsidRPr="002A7374">
        <w:rPr>
          <w:rFonts w:eastAsia="Palatino Linotype"/>
        </w:rPr>
        <w:t xml:space="preserve">that the measures only apply to events that took place more than </w:t>
      </w:r>
      <w:r>
        <w:rPr>
          <w:rFonts w:eastAsia="Palatino Linotype"/>
        </w:rPr>
        <w:t>five</w:t>
      </w:r>
      <w:r w:rsidRPr="002A7374">
        <w:rPr>
          <w:rFonts w:eastAsia="Palatino Linotype"/>
        </w:rPr>
        <w:t xml:space="preserve"> years ago, with the start point for calculating this time period being the date that the alleged conduct occurred. Where an alleged offence continued over more than one day, the start point for the 5-year time period will be the last day on which the alleged conduct occurred</w:t>
      </w:r>
      <w:r>
        <w:rPr>
          <w:rFonts w:eastAsia="Palatino Linotype"/>
        </w:rPr>
        <w:t>;</w:t>
      </w:r>
    </w:p>
    <w:p w:rsidR="00ED6753" w:rsidRDefault="00ED6753" w:rsidP="00C86B36">
      <w:pPr>
        <w:pStyle w:val="ParaNumbered"/>
        <w:numPr>
          <w:ilvl w:val="1"/>
          <w:numId w:val="5"/>
        </w:numPr>
        <w:rPr>
          <w:rFonts w:eastAsia="Palatino Linotype"/>
        </w:rPr>
      </w:pPr>
      <w:r w:rsidRPr="00D8678C">
        <w:rPr>
          <w:rFonts w:eastAsia="Palatino Linotype"/>
        </w:rPr>
        <w:t xml:space="preserve">that the measures at </w:t>
      </w:r>
      <w:r>
        <w:rPr>
          <w:rFonts w:eastAsia="Palatino Linotype"/>
        </w:rPr>
        <w:t>sections</w:t>
      </w:r>
      <w:r w:rsidRPr="00D8678C">
        <w:rPr>
          <w:rFonts w:eastAsia="Palatino Linotype"/>
        </w:rPr>
        <w:t xml:space="preserve"> 2</w:t>
      </w:r>
      <w:r>
        <w:rPr>
          <w:rFonts w:eastAsia="Palatino Linotype"/>
        </w:rPr>
        <w:t xml:space="preserve"> and</w:t>
      </w:r>
      <w:r w:rsidRPr="00D8678C">
        <w:rPr>
          <w:rFonts w:eastAsia="Palatino Linotype"/>
        </w:rPr>
        <w:t xml:space="preserve"> 3 only apply to these groups when they are deployed on relevant overseas operations; and</w:t>
      </w:r>
      <w:r>
        <w:rPr>
          <w:rFonts w:eastAsia="Palatino Linotype"/>
        </w:rPr>
        <w:t xml:space="preserve"> </w:t>
      </w:r>
    </w:p>
    <w:p w:rsidR="00ED6753" w:rsidRDefault="00ED6753" w:rsidP="00C86B36">
      <w:pPr>
        <w:pStyle w:val="ParaNumbered"/>
        <w:numPr>
          <w:ilvl w:val="1"/>
          <w:numId w:val="5"/>
        </w:numPr>
        <w:rPr>
          <w:rFonts w:eastAsia="Palatino Linotype"/>
        </w:rPr>
      </w:pPr>
      <w:r>
        <w:rPr>
          <w:rFonts w:eastAsia="Palatino Linotype"/>
        </w:rPr>
        <w:t>what is meant by "relevant overseas operations".</w:t>
      </w:r>
    </w:p>
    <w:p w:rsidR="00ED6753" w:rsidRPr="00390F67" w:rsidRDefault="00ED6753" w:rsidP="00C86B36">
      <w:pPr>
        <w:pStyle w:val="HSubheading4"/>
        <w:rPr>
          <w:rFonts w:eastAsia="Palatino Linotype"/>
        </w:rPr>
      </w:pPr>
      <w:bookmarkStart w:id="13" w:name="_Toc72857838"/>
      <w:r>
        <w:rPr>
          <w:rFonts w:eastAsia="Palatino Linotype"/>
        </w:rPr>
        <w:t>Section</w:t>
      </w:r>
      <w:r w:rsidRPr="00390F67">
        <w:rPr>
          <w:rFonts w:eastAsia="Palatino Linotype"/>
        </w:rPr>
        <w:t xml:space="preserve"> 2: Presumption against prosecution</w:t>
      </w:r>
      <w:bookmarkEnd w:id="13"/>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explains the effect of the presumption: that it is to be exceptional for a prosecutor to determine that proceedings should be brought in relation to offences committed by member</w:t>
      </w:r>
      <w:r>
        <w:rPr>
          <w:rFonts w:eastAsia="Palatino Linotype"/>
        </w:rPr>
        <w:t>s</w:t>
      </w:r>
      <w:r w:rsidRPr="00390F67">
        <w:rPr>
          <w:rFonts w:eastAsia="Palatino Linotype"/>
        </w:rPr>
        <w:t xml:space="preserve"> of the Armed Forces when deployed on operations outside of the British Islands more than five years </w:t>
      </w:r>
      <w:r>
        <w:rPr>
          <w:rFonts w:eastAsia="Palatino Linotype"/>
        </w:rPr>
        <w:t>earlier</w:t>
      </w:r>
      <w:r w:rsidRPr="00390F67">
        <w:rPr>
          <w:rFonts w:eastAsia="Palatino Linotype"/>
        </w:rPr>
        <w:t>.</w:t>
      </w:r>
    </w:p>
    <w:p w:rsidR="00ED6753" w:rsidRPr="00390F67" w:rsidRDefault="00ED6753" w:rsidP="00C86B36">
      <w:pPr>
        <w:pStyle w:val="HSubheading4"/>
        <w:rPr>
          <w:rFonts w:eastAsia="Palatino Linotype"/>
        </w:rPr>
      </w:pPr>
      <w:bookmarkStart w:id="14" w:name="_Toc72857839"/>
      <w:r>
        <w:rPr>
          <w:rFonts w:eastAsia="Palatino Linotype"/>
        </w:rPr>
        <w:t>Section</w:t>
      </w:r>
      <w:r w:rsidRPr="00390F67">
        <w:rPr>
          <w:rFonts w:eastAsia="Palatino Linotype"/>
        </w:rPr>
        <w:t xml:space="preserve"> 3: Matters to be given particular weight</w:t>
      </w:r>
      <w:bookmarkEnd w:id="14"/>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sets out specific matters to which a prosecutor must give particular weight when deciding whether or not to bring proceedings in a particular case. These matters </w:t>
      </w:r>
      <w:r>
        <w:rPr>
          <w:rFonts w:eastAsia="Palatino Linotype"/>
        </w:rPr>
        <w:t>are</w:t>
      </w:r>
      <w:r w:rsidRPr="00390F67">
        <w:rPr>
          <w:rFonts w:eastAsia="Palatino Linotype"/>
        </w:rPr>
        <w:t>:</w:t>
      </w:r>
    </w:p>
    <w:p w:rsidR="00ED6753" w:rsidRPr="00390F67" w:rsidRDefault="00ED6753" w:rsidP="00C86B36">
      <w:pPr>
        <w:pStyle w:val="ParaNumbered"/>
        <w:numPr>
          <w:ilvl w:val="1"/>
          <w:numId w:val="5"/>
        </w:numPr>
        <w:rPr>
          <w:rFonts w:eastAsia="Palatino Linotype"/>
        </w:rPr>
      </w:pPr>
      <w:r w:rsidRPr="00390F67">
        <w:rPr>
          <w:rFonts w:eastAsia="Palatino Linotype"/>
        </w:rPr>
        <w:t>Subsection (2)(a) - the demands of overseas military operations, and the adverse effects that</w:t>
      </w:r>
      <w:r>
        <w:rPr>
          <w:rFonts w:eastAsia="Palatino Linotype"/>
        </w:rPr>
        <w:t xml:space="preserve"> deployment on such operations</w:t>
      </w:r>
      <w:r w:rsidRPr="00390F67">
        <w:rPr>
          <w:rFonts w:eastAsia="Palatino Linotype"/>
        </w:rPr>
        <w:t xml:space="preserve"> can have on </w:t>
      </w:r>
      <w:r>
        <w:rPr>
          <w:rFonts w:eastAsia="Palatino Linotype"/>
        </w:rPr>
        <w:t>Service</w:t>
      </w:r>
      <w:r w:rsidRPr="00390F67">
        <w:rPr>
          <w:rFonts w:eastAsia="Palatino Linotype"/>
        </w:rPr>
        <w:t xml:space="preserve"> personnel, including on their capacity to make sound decisions and their mental health (this is further expanded in 3(3) and 3(4)). </w:t>
      </w:r>
    </w:p>
    <w:p w:rsidR="00ED6753" w:rsidRPr="00390F67" w:rsidRDefault="00ED6753" w:rsidP="003732C4">
      <w:pPr>
        <w:pStyle w:val="ParaNumbered"/>
        <w:keepNext/>
        <w:widowControl/>
        <w:numPr>
          <w:ilvl w:val="1"/>
          <w:numId w:val="5"/>
        </w:numPr>
        <w:ind w:left="1434" w:hanging="357"/>
        <w:rPr>
          <w:rFonts w:eastAsia="Palatino Linotype"/>
        </w:rPr>
      </w:pPr>
      <w:r w:rsidRPr="00390F67">
        <w:rPr>
          <w:rFonts w:eastAsia="Palatino Linotype"/>
        </w:rPr>
        <w:lastRenderedPageBreak/>
        <w:t xml:space="preserve">Subsection (2)(b) – applies to the situation where there has been a previous investigation or investigations in relation to alleged criminal conduct and no </w:t>
      </w:r>
      <w:r>
        <w:rPr>
          <w:rFonts w:eastAsia="Palatino Linotype"/>
        </w:rPr>
        <w:t>compelling</w:t>
      </w:r>
      <w:r w:rsidRPr="00390F67">
        <w:rPr>
          <w:rFonts w:eastAsia="Palatino Linotype"/>
        </w:rPr>
        <w:t xml:space="preserve"> new evidence has arisen since</w:t>
      </w:r>
      <w:r>
        <w:rPr>
          <w:rFonts w:eastAsia="Palatino Linotype"/>
        </w:rPr>
        <w:t xml:space="preserve"> any such</w:t>
      </w:r>
      <w:r w:rsidRPr="00390F67">
        <w:rPr>
          <w:rFonts w:eastAsia="Palatino Linotype"/>
        </w:rPr>
        <w:t xml:space="preserve"> investigation</w:t>
      </w:r>
      <w:r>
        <w:rPr>
          <w:rFonts w:eastAsia="Palatino Linotype"/>
        </w:rPr>
        <w:t>(s)</w:t>
      </w:r>
      <w:r w:rsidRPr="00390F67">
        <w:rPr>
          <w:rFonts w:eastAsia="Palatino Linotype"/>
        </w:rPr>
        <w:t>. Th</w:t>
      </w:r>
      <w:r>
        <w:rPr>
          <w:rFonts w:eastAsia="Palatino Linotype"/>
        </w:rPr>
        <w:t>is</w:t>
      </w:r>
      <w:r w:rsidRPr="00390F67">
        <w:rPr>
          <w:rFonts w:eastAsia="Palatino Linotype"/>
        </w:rPr>
        <w:t xml:space="preserve"> </w:t>
      </w:r>
      <w:r>
        <w:rPr>
          <w:rFonts w:eastAsia="Palatino Linotype"/>
        </w:rPr>
        <w:t>section</w:t>
      </w:r>
      <w:r w:rsidRPr="00390F67">
        <w:rPr>
          <w:rFonts w:eastAsia="Palatino Linotype"/>
        </w:rPr>
        <w:t xml:space="preserve"> </w:t>
      </w:r>
      <w:r>
        <w:rPr>
          <w:rFonts w:eastAsia="Palatino Linotype"/>
        </w:rPr>
        <w:t xml:space="preserve">ensures that, in these circumstances, the public interest in finality being achieved without undue delay is a matter to which the prosecutor gives particular weight when making a decision.  </w:t>
      </w:r>
      <w:r w:rsidRPr="00390F67">
        <w:rPr>
          <w:rFonts w:eastAsia="Palatino Linotype"/>
        </w:rPr>
        <w:t xml:space="preserve"> </w:t>
      </w:r>
    </w:p>
    <w:p w:rsidR="00ED6753" w:rsidRPr="00390F67" w:rsidRDefault="00ED6753" w:rsidP="00C86B36">
      <w:pPr>
        <w:pStyle w:val="ParaNumbered"/>
        <w:rPr>
          <w:rFonts w:eastAsia="Palatino Linotype"/>
        </w:rPr>
      </w:pPr>
      <w:r>
        <w:rPr>
          <w:rFonts w:eastAsia="Palatino Linotype"/>
        </w:rPr>
        <w:t>The requirement to give</w:t>
      </w:r>
      <w:r w:rsidRPr="00390F67">
        <w:rPr>
          <w:rFonts w:eastAsia="Palatino Linotype"/>
        </w:rPr>
        <w:t xml:space="preserve"> weight to these matters </w:t>
      </w:r>
      <w:r>
        <w:rPr>
          <w:rFonts w:eastAsia="Palatino Linotype"/>
        </w:rPr>
        <w:t>is limited to where they tend to</w:t>
      </w:r>
      <w:r w:rsidRPr="00390F67">
        <w:rPr>
          <w:rFonts w:eastAsia="Palatino Linotype"/>
        </w:rPr>
        <w:t xml:space="preserve"> reduce the culpability of the accused individual </w:t>
      </w:r>
      <w:r>
        <w:rPr>
          <w:rFonts w:eastAsia="Palatino Linotype"/>
        </w:rPr>
        <w:t>or otherwise tend against prosecution.</w:t>
      </w:r>
      <w:r w:rsidRPr="00390F67">
        <w:rPr>
          <w:rFonts w:eastAsia="Palatino Linotype"/>
        </w:rPr>
        <w:t xml:space="preserve">    </w:t>
      </w:r>
    </w:p>
    <w:p w:rsidR="00ED6753" w:rsidRPr="00390F67" w:rsidRDefault="00ED6753" w:rsidP="00C86B36">
      <w:pPr>
        <w:pStyle w:val="HSubheading4"/>
        <w:rPr>
          <w:rFonts w:eastAsia="Palatino Linotype"/>
        </w:rPr>
      </w:pPr>
      <w:bookmarkStart w:id="15" w:name="_Toc72857840"/>
      <w:r>
        <w:rPr>
          <w:rFonts w:eastAsia="Palatino Linotype"/>
        </w:rPr>
        <w:t>Section</w:t>
      </w:r>
      <w:r w:rsidRPr="00390F67">
        <w:rPr>
          <w:rFonts w:eastAsia="Palatino Linotype"/>
        </w:rPr>
        <w:t xml:space="preserve"> 4: Section 3</w:t>
      </w:r>
      <w:r>
        <w:rPr>
          <w:rFonts w:eastAsia="Palatino Linotype"/>
        </w:rPr>
        <w:t>:</w:t>
      </w:r>
      <w:r w:rsidRPr="00390F67">
        <w:rPr>
          <w:rFonts w:eastAsia="Palatino Linotype"/>
        </w:rPr>
        <w:t xml:space="preserve"> supplementary</w:t>
      </w:r>
      <w:bookmarkEnd w:id="15"/>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explains what is meant by "relevant previous investigation" and "new</w:t>
      </w:r>
      <w:r>
        <w:rPr>
          <w:rFonts w:eastAsia="Palatino Linotype"/>
        </w:rPr>
        <w:t>”</w:t>
      </w:r>
      <w:r w:rsidRPr="00390F67">
        <w:rPr>
          <w:rFonts w:eastAsia="Palatino Linotype"/>
        </w:rPr>
        <w:t xml:space="preserve"> evidence. </w:t>
      </w:r>
    </w:p>
    <w:p w:rsidR="00ED6753" w:rsidRPr="00390F67" w:rsidRDefault="00ED6753" w:rsidP="00F010F0">
      <w:pPr>
        <w:pStyle w:val="HSubheading3"/>
        <w:rPr>
          <w:rFonts w:eastAsia="Arial"/>
        </w:rPr>
      </w:pPr>
      <w:bookmarkStart w:id="16" w:name="_Hlk34747641"/>
      <w:bookmarkStart w:id="17" w:name="_Toc72857841"/>
      <w:r>
        <w:rPr>
          <w:rFonts w:eastAsia="Arial"/>
        </w:rPr>
        <w:t>Conse</w:t>
      </w:r>
      <w:bookmarkEnd w:id="16"/>
      <w:r>
        <w:rPr>
          <w:rFonts w:eastAsia="Arial"/>
        </w:rPr>
        <w:t>nt to prosecution</w:t>
      </w:r>
      <w:bookmarkEnd w:id="17"/>
    </w:p>
    <w:p w:rsidR="00ED6753" w:rsidRPr="00390F67" w:rsidRDefault="00ED6753" w:rsidP="00C86B36">
      <w:pPr>
        <w:pStyle w:val="HSubheading4"/>
        <w:rPr>
          <w:rFonts w:eastAsia="Palatino Linotype"/>
        </w:rPr>
      </w:pPr>
      <w:bookmarkStart w:id="18" w:name="_Toc72857842"/>
      <w:r>
        <w:rPr>
          <w:rFonts w:eastAsia="Palatino Linotype"/>
        </w:rPr>
        <w:t>Section</w:t>
      </w:r>
      <w:r w:rsidRPr="00390F67">
        <w:rPr>
          <w:rFonts w:eastAsia="Palatino Linotype"/>
        </w:rPr>
        <w:t xml:space="preserve"> 5: Requirement of consent to prosecute</w:t>
      </w:r>
      <w:bookmarkEnd w:id="18"/>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sets out the requirement that if a prosecutor determines that, notwithstanding the presumption against prosecution (at </w:t>
      </w:r>
      <w:r>
        <w:rPr>
          <w:rFonts w:eastAsia="Palatino Linotype"/>
        </w:rPr>
        <w:t>section</w:t>
      </w:r>
      <w:r w:rsidRPr="00390F67">
        <w:rPr>
          <w:rFonts w:eastAsia="Palatino Linotype"/>
        </w:rPr>
        <w:t xml:space="preserve"> 2) and the requirement to give particular weight to specified matters (at </w:t>
      </w:r>
      <w:r>
        <w:rPr>
          <w:rFonts w:eastAsia="Palatino Linotype"/>
        </w:rPr>
        <w:t>section</w:t>
      </w:r>
      <w:r w:rsidRPr="00390F67">
        <w:rPr>
          <w:rFonts w:eastAsia="Palatino Linotype"/>
        </w:rPr>
        <w:t xml:space="preserve"> 3), it is appropriate to prosecute a current or former member of the Armed Forces in relation to an alleged offence committed on overseas operations more than </w:t>
      </w:r>
      <w:r>
        <w:rPr>
          <w:rFonts w:eastAsia="Palatino Linotype"/>
        </w:rPr>
        <w:t>five</w:t>
      </w:r>
      <w:r w:rsidRPr="00390F67">
        <w:rPr>
          <w:rFonts w:eastAsia="Palatino Linotype"/>
        </w:rPr>
        <w:t xml:space="preserve"> years ago, the consent of the Attorney General for England and Wales, or the Advocate General for Northern Ireland, must be </w:t>
      </w:r>
      <w:r>
        <w:rPr>
          <w:rFonts w:eastAsia="Palatino Linotype"/>
        </w:rPr>
        <w:t>obtained</w:t>
      </w:r>
      <w:r w:rsidRPr="00390F67">
        <w:rPr>
          <w:rFonts w:eastAsia="Palatino Linotype"/>
        </w:rPr>
        <w:t xml:space="preserve"> before a prosecution can proceed. The </w:t>
      </w:r>
      <w:r>
        <w:rPr>
          <w:rFonts w:eastAsia="Palatino Linotype"/>
        </w:rPr>
        <w:t>section</w:t>
      </w:r>
      <w:r w:rsidRPr="00390F67">
        <w:rPr>
          <w:rFonts w:eastAsia="Palatino Linotype"/>
        </w:rPr>
        <w:t xml:space="preserve"> does not extend to Scotland given that all criminal prosecution</w:t>
      </w:r>
      <w:r>
        <w:rPr>
          <w:rFonts w:eastAsia="Palatino Linotype"/>
        </w:rPr>
        <w:t xml:space="preserve"> decisions in the public interest</w:t>
      </w:r>
      <w:r w:rsidRPr="00390F67">
        <w:rPr>
          <w:rFonts w:eastAsia="Palatino Linotype"/>
        </w:rPr>
        <w:t xml:space="preserve"> in Scotland are taken by</w:t>
      </w:r>
      <w:r>
        <w:rPr>
          <w:rFonts w:eastAsia="Palatino Linotype"/>
        </w:rPr>
        <w:t>,</w:t>
      </w:r>
      <w:r w:rsidRPr="00390F67">
        <w:rPr>
          <w:rFonts w:eastAsia="Palatino Linotype"/>
        </w:rPr>
        <w:t xml:space="preserve"> or on behalf of</w:t>
      </w:r>
      <w:r>
        <w:rPr>
          <w:rFonts w:eastAsia="Palatino Linotype"/>
        </w:rPr>
        <w:t>,</w:t>
      </w:r>
      <w:r w:rsidRPr="00390F67">
        <w:rPr>
          <w:rFonts w:eastAsia="Palatino Linotype"/>
        </w:rPr>
        <w:t xml:space="preserve"> the Lord Advocate. This is reflected in the Scotland Act 1998 which upholds the constitutional role of the Lord Advocate as the head of the systems of criminal prosecution and investigation of deaths in Scotland.   </w:t>
      </w:r>
    </w:p>
    <w:p w:rsidR="00ED6753" w:rsidRPr="00390F67" w:rsidRDefault="00ED6753" w:rsidP="00C86B36">
      <w:pPr>
        <w:pStyle w:val="HSubheading4"/>
        <w:rPr>
          <w:rFonts w:eastAsia="Palatino Linotype"/>
        </w:rPr>
      </w:pPr>
      <w:bookmarkStart w:id="19" w:name="_Toc72857843"/>
      <w:r>
        <w:rPr>
          <w:rFonts w:eastAsia="Palatino Linotype"/>
        </w:rPr>
        <w:t>Section</w:t>
      </w:r>
      <w:r w:rsidR="00C86B36">
        <w:rPr>
          <w:rFonts w:eastAsia="Palatino Linotype"/>
        </w:rPr>
        <w:t xml:space="preserve"> 6: "Relevant offence"</w:t>
      </w:r>
      <w:bookmarkEnd w:id="19"/>
    </w:p>
    <w:p w:rsidR="00ED6753" w:rsidRPr="00390F67" w:rsidRDefault="00ED6753" w:rsidP="00C86B36">
      <w:pPr>
        <w:pStyle w:val="ParaNumbered"/>
        <w:rPr>
          <w:rFonts w:eastAsia="Palatino Linotype"/>
        </w:rPr>
      </w:pPr>
      <w:r w:rsidRPr="00390F67">
        <w:rPr>
          <w:rFonts w:eastAsia="Palatino Linotype"/>
        </w:rPr>
        <w:t xml:space="preserve">The definition of a "relevant offence" includes service offences under section 42 of the Armed Forces Act 2006 and all criminal offences except those that are excluded by virtue of Schedule </w:t>
      </w:r>
      <w:r>
        <w:rPr>
          <w:rFonts w:eastAsia="Palatino Linotype"/>
        </w:rPr>
        <w:t>1</w:t>
      </w:r>
      <w:r w:rsidRPr="00390F67">
        <w:rPr>
          <w:rFonts w:eastAsia="Palatino Linotype"/>
        </w:rPr>
        <w:t>.</w:t>
      </w:r>
    </w:p>
    <w:p w:rsidR="00ED6753" w:rsidRPr="00390F67" w:rsidRDefault="00ED6753" w:rsidP="00C86B36">
      <w:pPr>
        <w:pStyle w:val="ParaNumbered"/>
        <w:rPr>
          <w:rFonts w:eastAsia="Palatino Linotype"/>
        </w:rPr>
      </w:pPr>
      <w:r w:rsidRPr="00390F67">
        <w:rPr>
          <w:rFonts w:eastAsia="Palatino Linotype"/>
        </w:rPr>
        <w:t xml:space="preserve">Any alleged offences committed by the groups identified </w:t>
      </w:r>
      <w:r>
        <w:rPr>
          <w:rFonts w:eastAsia="Palatino Linotype"/>
        </w:rPr>
        <w:t>in</w:t>
      </w:r>
      <w:r w:rsidRPr="00390F67">
        <w:rPr>
          <w:rFonts w:eastAsia="Palatino Linotype"/>
        </w:rPr>
        <w:t xml:space="preserve"> </w:t>
      </w:r>
      <w:r>
        <w:rPr>
          <w:rFonts w:eastAsia="Palatino Linotype"/>
        </w:rPr>
        <w:t>section</w:t>
      </w:r>
      <w:r w:rsidRPr="00390F67">
        <w:rPr>
          <w:rFonts w:eastAsia="Palatino Linotype"/>
        </w:rPr>
        <w:t xml:space="preserve"> </w:t>
      </w:r>
      <w:r>
        <w:rPr>
          <w:rFonts w:eastAsia="Palatino Linotype"/>
        </w:rPr>
        <w:t>1</w:t>
      </w:r>
      <w:r w:rsidRPr="00390F67">
        <w:rPr>
          <w:rFonts w:eastAsia="Palatino Linotype"/>
        </w:rPr>
        <w:t xml:space="preserve"> against a member of the Armed Forces (including BOTF), a Crown Servant or a defence contractor will not constitute a relevant offence. </w:t>
      </w:r>
    </w:p>
    <w:p w:rsidR="00ED6753" w:rsidRPr="00390F67" w:rsidRDefault="00ED6753" w:rsidP="00C86B36">
      <w:pPr>
        <w:pStyle w:val="HSubheading4"/>
        <w:rPr>
          <w:lang w:val="fr-FR"/>
        </w:rPr>
      </w:pPr>
      <w:bookmarkStart w:id="20" w:name="_Toc72857844"/>
      <w:r>
        <w:rPr>
          <w:lang w:val="fr-FR"/>
        </w:rPr>
        <w:t>Section</w:t>
      </w:r>
      <w:r w:rsidRPr="001E6C10">
        <w:rPr>
          <w:lang w:val="fr-FR"/>
        </w:rPr>
        <w:t xml:space="preserve"> 7: General </w:t>
      </w:r>
      <w:r w:rsidRPr="00D66879">
        <w:rPr>
          <w:lang w:val="fr-FR"/>
        </w:rPr>
        <w:t>interpretation etc</w:t>
      </w:r>
      <w:bookmarkEnd w:id="20"/>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provides definitions and supplementary explanations </w:t>
      </w:r>
      <w:r>
        <w:rPr>
          <w:rFonts w:eastAsia="Palatino Linotype"/>
        </w:rPr>
        <w:t xml:space="preserve">for </w:t>
      </w:r>
      <w:r w:rsidRPr="00390F67">
        <w:rPr>
          <w:rFonts w:eastAsia="Palatino Linotype"/>
        </w:rPr>
        <w:t xml:space="preserve">terminology appearing in </w:t>
      </w:r>
      <w:r>
        <w:rPr>
          <w:rFonts w:eastAsia="Palatino Linotype"/>
        </w:rPr>
        <w:t>section</w:t>
      </w:r>
      <w:r w:rsidRPr="00390F67">
        <w:rPr>
          <w:rFonts w:eastAsia="Palatino Linotype"/>
        </w:rPr>
        <w:t>s 1 to 7. In particular:</w:t>
      </w:r>
    </w:p>
    <w:p w:rsidR="00ED6753" w:rsidRPr="00390F67" w:rsidRDefault="00ED6753" w:rsidP="00C86B36">
      <w:pPr>
        <w:pStyle w:val="ParaNumbered"/>
        <w:numPr>
          <w:ilvl w:val="1"/>
          <w:numId w:val="5"/>
        </w:numPr>
        <w:rPr>
          <w:rFonts w:eastAsia="Palatino Linotype"/>
        </w:rPr>
      </w:pPr>
      <w:r w:rsidRPr="00390F67">
        <w:rPr>
          <w:rFonts w:eastAsia="Palatino Linotype"/>
        </w:rPr>
        <w:t>Subsection (1) provide</w:t>
      </w:r>
      <w:r>
        <w:rPr>
          <w:rFonts w:eastAsia="Palatino Linotype"/>
        </w:rPr>
        <w:t>s</w:t>
      </w:r>
      <w:r w:rsidRPr="00390F67">
        <w:rPr>
          <w:rFonts w:eastAsia="Palatino Linotype"/>
        </w:rPr>
        <w:t xml:space="preserve"> that for murder or any other offence that causes death, where the victim's death occurred after the date of the </w:t>
      </w:r>
      <w:r>
        <w:rPr>
          <w:rFonts w:eastAsia="Palatino Linotype"/>
        </w:rPr>
        <w:t>injury</w:t>
      </w:r>
      <w:r w:rsidRPr="00390F67">
        <w:rPr>
          <w:rFonts w:eastAsia="Palatino Linotype"/>
        </w:rPr>
        <w:t xml:space="preserve">, the </w:t>
      </w:r>
      <w:r>
        <w:rPr>
          <w:rFonts w:eastAsia="Palatino Linotype"/>
        </w:rPr>
        <w:t xml:space="preserve">five </w:t>
      </w:r>
      <w:r w:rsidRPr="00390F67">
        <w:rPr>
          <w:rFonts w:eastAsia="Palatino Linotype"/>
        </w:rPr>
        <w:t xml:space="preserve">year time period will be counted from the day of the alleged conduct (rather than from the date of death).  </w:t>
      </w:r>
    </w:p>
    <w:p w:rsidR="00ED6753" w:rsidRPr="00390F67" w:rsidRDefault="00ED6753" w:rsidP="00C86B36">
      <w:pPr>
        <w:pStyle w:val="ParaNumbered"/>
        <w:numPr>
          <w:ilvl w:val="1"/>
          <w:numId w:val="5"/>
        </w:numPr>
        <w:rPr>
          <w:rFonts w:eastAsia="Palatino Linotype"/>
        </w:rPr>
      </w:pPr>
      <w:r w:rsidRPr="00390F67">
        <w:rPr>
          <w:rFonts w:eastAsia="Palatino Linotype"/>
        </w:rPr>
        <w:t xml:space="preserve">Subsection (2) </w:t>
      </w:r>
      <w:r>
        <w:rPr>
          <w:rFonts w:eastAsia="Palatino Linotype"/>
        </w:rPr>
        <w:t>explains</w:t>
      </w:r>
      <w:r w:rsidRPr="00390F67">
        <w:rPr>
          <w:rFonts w:eastAsia="Palatino Linotype"/>
        </w:rPr>
        <w:t xml:space="preserve"> what is covered by the </w:t>
      </w:r>
      <w:r>
        <w:rPr>
          <w:rFonts w:eastAsia="Palatino Linotype"/>
        </w:rPr>
        <w:t>term</w:t>
      </w:r>
      <w:r w:rsidRPr="00390F67">
        <w:rPr>
          <w:rFonts w:eastAsia="Palatino Linotype"/>
        </w:rPr>
        <w:t xml:space="preserve"> "the British Islands".</w:t>
      </w:r>
    </w:p>
    <w:p w:rsidR="00ED6753" w:rsidRPr="00390F67" w:rsidRDefault="00ED6753" w:rsidP="00C86B36">
      <w:pPr>
        <w:pStyle w:val="ParaNumbered"/>
        <w:numPr>
          <w:ilvl w:val="1"/>
          <w:numId w:val="5"/>
        </w:numPr>
        <w:rPr>
          <w:rFonts w:eastAsia="Palatino Linotype"/>
        </w:rPr>
      </w:pPr>
      <w:r w:rsidRPr="00390F67">
        <w:rPr>
          <w:rFonts w:eastAsia="Palatino Linotype"/>
        </w:rPr>
        <w:t xml:space="preserve">Subsection (3) </w:t>
      </w:r>
      <w:r>
        <w:rPr>
          <w:rFonts w:eastAsia="Palatino Linotype"/>
        </w:rPr>
        <w:t>defines</w:t>
      </w:r>
      <w:r w:rsidRPr="00390F67">
        <w:rPr>
          <w:rFonts w:eastAsia="Palatino Linotype"/>
        </w:rPr>
        <w:t xml:space="preserve"> </w:t>
      </w:r>
      <w:r>
        <w:rPr>
          <w:rFonts w:eastAsia="Palatino Linotype"/>
        </w:rPr>
        <w:t>“</w:t>
      </w:r>
      <w:r w:rsidRPr="00390F67">
        <w:rPr>
          <w:rFonts w:eastAsia="Palatino Linotype"/>
        </w:rPr>
        <w:t>relevant prosecutors</w:t>
      </w:r>
      <w:r>
        <w:rPr>
          <w:rFonts w:eastAsia="Palatino Linotype"/>
        </w:rPr>
        <w:t>”</w:t>
      </w:r>
      <w:r w:rsidRPr="00390F67">
        <w:rPr>
          <w:rFonts w:eastAsia="Palatino Linotype"/>
        </w:rPr>
        <w:t xml:space="preserve">; namely, the Director of Service Prosecutions, together with the public prosecutors in England &amp; Wales, Scotland and Northern Ireland.  </w:t>
      </w:r>
    </w:p>
    <w:p w:rsidR="00ED6753" w:rsidRPr="00390F67" w:rsidRDefault="00ED6753" w:rsidP="00C86B36">
      <w:pPr>
        <w:pStyle w:val="ParaNumbered"/>
        <w:numPr>
          <w:ilvl w:val="1"/>
          <w:numId w:val="5"/>
        </w:numPr>
        <w:rPr>
          <w:rFonts w:eastAsia="Palatino Linotype"/>
        </w:rPr>
      </w:pPr>
      <w:r w:rsidRPr="00390F67">
        <w:rPr>
          <w:rFonts w:eastAsia="Palatino Linotype"/>
        </w:rPr>
        <w:t xml:space="preserve">Subsection (4) </w:t>
      </w:r>
      <w:r>
        <w:rPr>
          <w:rFonts w:eastAsia="Palatino Linotype"/>
        </w:rPr>
        <w:t>defines a number of</w:t>
      </w:r>
      <w:r w:rsidRPr="00390F67">
        <w:rPr>
          <w:rFonts w:eastAsia="Palatino Linotype"/>
        </w:rPr>
        <w:t xml:space="preserve"> other terms used in </w:t>
      </w:r>
      <w:r>
        <w:rPr>
          <w:rFonts w:eastAsia="Palatino Linotype"/>
        </w:rPr>
        <w:t>this Part</w:t>
      </w:r>
      <w:r w:rsidRPr="00390F67">
        <w:rPr>
          <w:rFonts w:eastAsia="Palatino Linotype"/>
        </w:rPr>
        <w:t>. In particular, it identifies the investigating authorities.</w:t>
      </w:r>
      <w:r>
        <w:rPr>
          <w:rFonts w:eastAsia="Palatino Linotype"/>
        </w:rPr>
        <w:t xml:space="preserve"> </w:t>
      </w:r>
    </w:p>
    <w:p w:rsidR="00ED6753" w:rsidRPr="00E903EA" w:rsidRDefault="00ED6753" w:rsidP="00387A14">
      <w:pPr>
        <w:pStyle w:val="HSubheading2"/>
        <w:rPr>
          <w:rFonts w:ascii="Palatino Linotype" w:hAnsi="Palatino Linotype"/>
          <w:sz w:val="24"/>
        </w:rPr>
      </w:pPr>
      <w:bookmarkStart w:id="21" w:name="_Toc72857845"/>
      <w:r w:rsidRPr="003732C4">
        <w:rPr>
          <w:rFonts w:eastAsia="Arial"/>
        </w:rPr>
        <w:t>Part</w:t>
      </w:r>
      <w:r w:rsidRPr="00390F67">
        <w:rPr>
          <w:rFonts w:eastAsia="Arial"/>
        </w:rPr>
        <w:t xml:space="preserve"> 2: Limitation Periods</w:t>
      </w:r>
      <w:bookmarkEnd w:id="21"/>
      <w:r w:rsidRPr="00390F67">
        <w:rPr>
          <w:rFonts w:eastAsia="Arial"/>
        </w:rPr>
        <w:t xml:space="preserve"> </w:t>
      </w:r>
    </w:p>
    <w:p w:rsidR="00ED6753" w:rsidRPr="00390F67" w:rsidRDefault="00ED6753" w:rsidP="00C86B36">
      <w:pPr>
        <w:pStyle w:val="HSubheading4"/>
        <w:rPr>
          <w:rFonts w:eastAsia="Palatino Linotype"/>
        </w:rPr>
      </w:pPr>
      <w:bookmarkStart w:id="22" w:name="_Toc72857846"/>
      <w:r>
        <w:rPr>
          <w:rFonts w:eastAsia="Palatino Linotype"/>
        </w:rPr>
        <w:lastRenderedPageBreak/>
        <w:t>Section</w:t>
      </w:r>
      <w:r w:rsidRPr="00390F67">
        <w:rPr>
          <w:rFonts w:eastAsia="Palatino Linotype"/>
        </w:rPr>
        <w:t xml:space="preserve"> 8: Restrictions on time limits to bring actions: England and Wales</w:t>
      </w:r>
      <w:bookmarkEnd w:id="22"/>
      <w:r w:rsidRPr="00390F67">
        <w:rPr>
          <w:rFonts w:eastAsia="Palatino Linotype"/>
        </w:rPr>
        <w:t xml:space="preserve"> </w:t>
      </w:r>
    </w:p>
    <w:p w:rsidR="00ED6753" w:rsidRDefault="00ED6753" w:rsidP="00C86B36">
      <w:pPr>
        <w:pStyle w:val="ParaNumbered"/>
        <w:rPr>
          <w:rFonts w:eastAsia="Palatino Linotype"/>
        </w:rPr>
      </w:pPr>
      <w:r w:rsidRPr="00390F67">
        <w:rPr>
          <w:rFonts w:eastAsia="Palatino Linotype"/>
        </w:rPr>
        <w:t xml:space="preserve">Subsection (1) introduces Schedule 2, Part 1 which amends the rules governing the </w:t>
      </w:r>
      <w:r>
        <w:rPr>
          <w:rFonts w:eastAsia="Palatino Linotype"/>
        </w:rPr>
        <w:t>c</w:t>
      </w:r>
      <w:r w:rsidRPr="00390F67">
        <w:rPr>
          <w:rFonts w:eastAsia="Palatino Linotype"/>
        </w:rPr>
        <w:t xml:space="preserve">ourt’s discretion to disapply the three-year time limit for bringing claims for personal injuries and deaths as set out in the </w:t>
      </w:r>
      <w:r>
        <w:rPr>
          <w:rFonts w:eastAsia="Palatino Linotype"/>
        </w:rPr>
        <w:t>Limitation Act 1980 (LA); it</w:t>
      </w:r>
      <w:r w:rsidRPr="00390F67">
        <w:rPr>
          <w:rFonts w:eastAsia="Palatino Linotype"/>
        </w:rPr>
        <w:t xml:space="preserve"> </w:t>
      </w:r>
      <w:r>
        <w:rPr>
          <w:rFonts w:cs="Arial"/>
        </w:rPr>
        <w:t>provides that the limitation period cannot be extended beyond six years,</w:t>
      </w:r>
      <w:r w:rsidRPr="00390F67">
        <w:rPr>
          <w:rFonts w:eastAsia="Palatino Linotype"/>
        </w:rPr>
        <w:t xml:space="preserve"> and specifies additional factors to which the </w:t>
      </w:r>
      <w:r>
        <w:rPr>
          <w:rFonts w:eastAsia="Palatino Linotype"/>
        </w:rPr>
        <w:t>c</w:t>
      </w:r>
      <w:r w:rsidRPr="00390F67">
        <w:rPr>
          <w:rFonts w:eastAsia="Palatino Linotype"/>
        </w:rPr>
        <w:t>ourt must have</w:t>
      </w:r>
      <w:r>
        <w:rPr>
          <w:rFonts w:eastAsia="Palatino Linotype"/>
        </w:rPr>
        <w:t xml:space="preserve"> particular</w:t>
      </w:r>
      <w:r w:rsidRPr="00390F67">
        <w:rPr>
          <w:rFonts w:eastAsia="Palatino Linotype"/>
        </w:rPr>
        <w:t xml:space="preserve"> regard when exercising </w:t>
      </w:r>
      <w:r>
        <w:rPr>
          <w:rFonts w:eastAsia="Palatino Linotype"/>
        </w:rPr>
        <w:t>its</w:t>
      </w:r>
      <w:r w:rsidRPr="00390F67">
        <w:rPr>
          <w:rFonts w:eastAsia="Palatino Linotype"/>
        </w:rPr>
        <w:t xml:space="preserve"> discretion. These changes apply only to claims for personal injuries or deaths </w:t>
      </w:r>
      <w:r>
        <w:rPr>
          <w:rFonts w:eastAsia="Palatino Linotype"/>
        </w:rPr>
        <w:t>which are connected with</w:t>
      </w:r>
      <w:r w:rsidRPr="00390F67">
        <w:rPr>
          <w:rFonts w:eastAsia="Palatino Linotype"/>
        </w:rPr>
        <w:t xml:space="preserve"> overseas operations.</w:t>
      </w:r>
    </w:p>
    <w:p w:rsidR="00ED6753" w:rsidRPr="00390F67" w:rsidRDefault="00ED6753" w:rsidP="00C86B36">
      <w:pPr>
        <w:pStyle w:val="ParaNumbered"/>
        <w:rPr>
          <w:rFonts w:eastAsia="Palatino Linotype"/>
        </w:rPr>
      </w:pPr>
      <w:r w:rsidRPr="00390F67">
        <w:rPr>
          <w:rFonts w:eastAsia="Palatino Linotype"/>
        </w:rPr>
        <w:t>Subsection (</w:t>
      </w:r>
      <w:r>
        <w:rPr>
          <w:rFonts w:eastAsia="Palatino Linotype"/>
        </w:rPr>
        <w:t>2</w:t>
      </w:r>
      <w:r w:rsidRPr="00390F67">
        <w:rPr>
          <w:rFonts w:eastAsia="Palatino Linotype"/>
        </w:rPr>
        <w:t xml:space="preserve">) explains that Part 2 of Schedule 2 amends the Foreign Limitation Periods Act 1984. These changes ensure that </w:t>
      </w:r>
      <w:r>
        <w:rPr>
          <w:rFonts w:eastAsia="Palatino Linotype"/>
        </w:rPr>
        <w:t>where</w:t>
      </w:r>
      <w:r w:rsidRPr="00390F67">
        <w:rPr>
          <w:rFonts w:eastAsia="Palatino Linotype"/>
        </w:rPr>
        <w:t xml:space="preserve"> foreign limitation periods</w:t>
      </w:r>
      <w:r>
        <w:rPr>
          <w:rFonts w:eastAsia="Palatino Linotype"/>
        </w:rPr>
        <w:t xml:space="preserve"> are to be applied in personal injury and/or death claims connected with overseas operations which are brought in England or Wales, claimants will not benefit from more generous time limits that may be available in that foreign law</w:t>
      </w:r>
      <w:r w:rsidRPr="00390F67">
        <w:rPr>
          <w:rFonts w:eastAsia="Palatino Linotype"/>
        </w:rPr>
        <w:t xml:space="preserve">. </w:t>
      </w:r>
    </w:p>
    <w:p w:rsidR="00ED6753" w:rsidRPr="00390F67" w:rsidRDefault="00ED6753" w:rsidP="00C86B36">
      <w:pPr>
        <w:pStyle w:val="HSubheading4"/>
        <w:rPr>
          <w:rFonts w:eastAsia="Palatino Linotype"/>
          <w:color w:val="000000"/>
          <w:sz w:val="20"/>
          <w:szCs w:val="20"/>
        </w:rPr>
      </w:pPr>
      <w:bookmarkStart w:id="23" w:name="_Toc72857847"/>
      <w:r>
        <w:rPr>
          <w:rFonts w:eastAsia="Palatino Linotype"/>
        </w:rPr>
        <w:t>Section</w:t>
      </w:r>
      <w:r w:rsidRPr="00390F67">
        <w:rPr>
          <w:rFonts w:eastAsia="Palatino Linotype"/>
        </w:rPr>
        <w:t xml:space="preserve"> 9: Restrictions on time limits to bring actions: Scotland</w:t>
      </w:r>
      <w:bookmarkEnd w:id="23"/>
      <w:r w:rsidRPr="00390F67">
        <w:rPr>
          <w:rFonts w:eastAsia="Palatino Linotype"/>
        </w:rPr>
        <w:t xml:space="preserve"> </w:t>
      </w:r>
    </w:p>
    <w:p w:rsidR="00ED6753" w:rsidRPr="00390F67" w:rsidRDefault="00ED6753" w:rsidP="00C86B36">
      <w:pPr>
        <w:pStyle w:val="ParaNumbered"/>
        <w:rPr>
          <w:rFonts w:eastAsia="Palatino Linotype"/>
        </w:rPr>
      </w:pPr>
      <w:r w:rsidRPr="00390F67">
        <w:rPr>
          <w:rFonts w:eastAsia="Palatino Linotype"/>
        </w:rPr>
        <w:t>Subsection (1) introduce</w:t>
      </w:r>
      <w:r>
        <w:rPr>
          <w:rFonts w:eastAsia="Palatino Linotype"/>
        </w:rPr>
        <w:t>s</w:t>
      </w:r>
      <w:r w:rsidRPr="00390F67">
        <w:rPr>
          <w:rFonts w:eastAsia="Palatino Linotype"/>
        </w:rPr>
        <w:t xml:space="preserve"> Schedule 3, Part 1 which amends the rules governing the </w:t>
      </w:r>
      <w:r>
        <w:rPr>
          <w:rFonts w:eastAsia="Palatino Linotype"/>
        </w:rPr>
        <w:t>c</w:t>
      </w:r>
      <w:r w:rsidRPr="00390F67">
        <w:rPr>
          <w:rFonts w:eastAsia="Palatino Linotype"/>
        </w:rPr>
        <w:t xml:space="preserve">ourt’s discretion to </w:t>
      </w:r>
      <w:r>
        <w:rPr>
          <w:rFonts w:eastAsia="Palatino Linotype"/>
        </w:rPr>
        <w:t>override</w:t>
      </w:r>
      <w:r w:rsidRPr="00390F67">
        <w:rPr>
          <w:rFonts w:eastAsia="Palatino Linotype"/>
        </w:rPr>
        <w:t xml:space="preserve"> the three-year time limit for bringing claims for personal injuries and deaths as set out in the Prescription and Limitation (Scotland) Act 1973</w:t>
      </w:r>
      <w:r>
        <w:rPr>
          <w:rFonts w:eastAsia="Palatino Linotype"/>
        </w:rPr>
        <w:t>;</w:t>
      </w:r>
      <w:r w:rsidRPr="00390F67">
        <w:rPr>
          <w:rFonts w:eastAsia="Palatino Linotype"/>
        </w:rPr>
        <w:t xml:space="preserve"> </w:t>
      </w:r>
      <w:r>
        <w:rPr>
          <w:rFonts w:eastAsia="Palatino Linotype"/>
        </w:rPr>
        <w:t>it</w:t>
      </w:r>
      <w:r w:rsidRPr="00390F67">
        <w:rPr>
          <w:rFonts w:eastAsia="Palatino Linotype"/>
        </w:rPr>
        <w:t xml:space="preserve"> </w:t>
      </w:r>
      <w:r>
        <w:rPr>
          <w:rFonts w:cs="Arial"/>
        </w:rPr>
        <w:t>provides that the limitation period cannot be extended beyond six years,</w:t>
      </w:r>
      <w:r w:rsidRPr="00390F67">
        <w:rPr>
          <w:rFonts w:eastAsia="Palatino Linotype"/>
        </w:rPr>
        <w:t xml:space="preserve"> and specifies factors to which the </w:t>
      </w:r>
      <w:r>
        <w:rPr>
          <w:rFonts w:eastAsia="Palatino Linotype"/>
        </w:rPr>
        <w:t>c</w:t>
      </w:r>
      <w:r w:rsidRPr="00390F67">
        <w:rPr>
          <w:rFonts w:eastAsia="Palatino Linotype"/>
        </w:rPr>
        <w:t xml:space="preserve">ourt must have </w:t>
      </w:r>
      <w:r>
        <w:rPr>
          <w:rFonts w:eastAsia="Palatino Linotype"/>
        </w:rPr>
        <w:t xml:space="preserve">particular </w:t>
      </w:r>
      <w:r w:rsidRPr="00390F67">
        <w:rPr>
          <w:rFonts w:eastAsia="Palatino Linotype"/>
        </w:rPr>
        <w:t xml:space="preserve">regard when exercising </w:t>
      </w:r>
      <w:r>
        <w:rPr>
          <w:rFonts w:eastAsia="Palatino Linotype"/>
        </w:rPr>
        <w:t>its</w:t>
      </w:r>
      <w:r w:rsidRPr="00390F67">
        <w:rPr>
          <w:rFonts w:eastAsia="Palatino Linotype"/>
        </w:rPr>
        <w:t xml:space="preserve"> discretion. These changes apply only to claims for personal injuries or deaths </w:t>
      </w:r>
      <w:r>
        <w:rPr>
          <w:rFonts w:eastAsia="Palatino Linotype"/>
        </w:rPr>
        <w:t xml:space="preserve">which are connected with </w:t>
      </w:r>
      <w:r w:rsidRPr="00390F67">
        <w:rPr>
          <w:rFonts w:eastAsia="Palatino Linotype"/>
        </w:rPr>
        <w:t>overseas operations.</w:t>
      </w:r>
    </w:p>
    <w:p w:rsidR="00ED6753" w:rsidRPr="00390F67" w:rsidRDefault="00ED6753" w:rsidP="00C86B36">
      <w:pPr>
        <w:pStyle w:val="ParaNumbered"/>
        <w:rPr>
          <w:rFonts w:eastAsia="Palatino Linotype"/>
        </w:rPr>
      </w:pPr>
      <w:r w:rsidRPr="00390F67">
        <w:rPr>
          <w:rFonts w:eastAsia="Palatino Linotype"/>
        </w:rPr>
        <w:t>Subsection (2) explains that Part 2 of Schedule 3 amends the</w:t>
      </w:r>
      <w:r>
        <w:rPr>
          <w:rFonts w:eastAsia="Palatino Linotype"/>
        </w:rPr>
        <w:t xml:space="preserve"> </w:t>
      </w:r>
      <w:r w:rsidRPr="00390F67">
        <w:rPr>
          <w:rFonts w:eastAsia="Palatino Linotype"/>
        </w:rPr>
        <w:t>Prescription and Limitation (Scotland) Act 1973 to ensure that</w:t>
      </w:r>
      <w:r>
        <w:rPr>
          <w:rFonts w:eastAsia="Palatino Linotype"/>
        </w:rPr>
        <w:t xml:space="preserve"> where</w:t>
      </w:r>
      <w:r w:rsidRPr="00390F67">
        <w:rPr>
          <w:rFonts w:eastAsia="Palatino Linotype"/>
        </w:rPr>
        <w:t xml:space="preserve"> foreign limitation periods</w:t>
      </w:r>
      <w:r>
        <w:rPr>
          <w:rFonts w:eastAsia="Palatino Linotype"/>
        </w:rPr>
        <w:t xml:space="preserve"> are to be applied in personal injury and/or death claims connected with overseas operations which are brought in Scotland, claimants will not benefit</w:t>
      </w:r>
      <w:r w:rsidRPr="00390F67">
        <w:rPr>
          <w:rFonts w:eastAsia="Palatino Linotype"/>
        </w:rPr>
        <w:t xml:space="preserve"> </w:t>
      </w:r>
      <w:r>
        <w:rPr>
          <w:rFonts w:eastAsia="Palatino Linotype"/>
        </w:rPr>
        <w:t>from more generous time limits in that foreign law</w:t>
      </w:r>
      <w:r w:rsidRPr="00390F67">
        <w:rPr>
          <w:rFonts w:eastAsia="Palatino Linotype"/>
        </w:rPr>
        <w:t xml:space="preserve">. </w:t>
      </w:r>
    </w:p>
    <w:p w:rsidR="00ED6753" w:rsidRPr="00390F67" w:rsidRDefault="00ED6753" w:rsidP="00C86B36">
      <w:pPr>
        <w:pStyle w:val="HSubheading4"/>
        <w:rPr>
          <w:rFonts w:eastAsia="Palatino Linotype"/>
          <w:color w:val="000000"/>
          <w:sz w:val="20"/>
          <w:szCs w:val="20"/>
        </w:rPr>
      </w:pPr>
      <w:bookmarkStart w:id="24" w:name="_Toc72857848"/>
      <w:r>
        <w:rPr>
          <w:rFonts w:eastAsia="Palatino Linotype"/>
        </w:rPr>
        <w:t>Section</w:t>
      </w:r>
      <w:r w:rsidRPr="00390F67">
        <w:rPr>
          <w:rFonts w:eastAsia="Palatino Linotype"/>
        </w:rPr>
        <w:t xml:space="preserve"> 10: Restrictions on time limits to bring actions: Northern Ireland</w:t>
      </w:r>
      <w:bookmarkEnd w:id="24"/>
    </w:p>
    <w:p w:rsidR="00ED6753" w:rsidRDefault="00ED6753" w:rsidP="00C86B36">
      <w:pPr>
        <w:pStyle w:val="ParaNumbered"/>
        <w:rPr>
          <w:rFonts w:eastAsia="Palatino Linotype"/>
        </w:rPr>
      </w:pPr>
      <w:r w:rsidRPr="00390F67">
        <w:rPr>
          <w:rFonts w:eastAsia="Palatino Linotype"/>
        </w:rPr>
        <w:t>Subsection (1) introduce</w:t>
      </w:r>
      <w:r>
        <w:rPr>
          <w:rFonts w:eastAsia="Palatino Linotype"/>
        </w:rPr>
        <w:t>s</w:t>
      </w:r>
      <w:r w:rsidRPr="00390F67">
        <w:rPr>
          <w:rFonts w:eastAsia="Palatino Linotype"/>
        </w:rPr>
        <w:t xml:space="preserve"> Schedule 4, Part 1 which amends the rules governing the </w:t>
      </w:r>
      <w:r>
        <w:rPr>
          <w:rFonts w:eastAsia="Palatino Linotype"/>
        </w:rPr>
        <w:t>c</w:t>
      </w:r>
      <w:r w:rsidRPr="00390F67">
        <w:rPr>
          <w:rFonts w:eastAsia="Palatino Linotype"/>
        </w:rPr>
        <w:t>ourt’s discretion to disapply the three-year time limit for bringing claims for personal injuries and deaths as set out in the Limitation (Northern Ireland) Order 1989/1339</w:t>
      </w:r>
      <w:r>
        <w:rPr>
          <w:rFonts w:eastAsia="Palatino Linotype"/>
        </w:rPr>
        <w:t>;</w:t>
      </w:r>
      <w:r w:rsidRPr="00390F67">
        <w:rPr>
          <w:rFonts w:eastAsia="Palatino Linotype"/>
        </w:rPr>
        <w:t xml:space="preserve"> </w:t>
      </w:r>
      <w:r>
        <w:rPr>
          <w:rFonts w:eastAsia="Palatino Linotype"/>
        </w:rPr>
        <w:t>it</w:t>
      </w:r>
      <w:r w:rsidRPr="00390F67">
        <w:rPr>
          <w:rFonts w:eastAsia="Palatino Linotype"/>
        </w:rPr>
        <w:t xml:space="preserve"> </w:t>
      </w:r>
      <w:r>
        <w:rPr>
          <w:rFonts w:cs="Arial"/>
        </w:rPr>
        <w:t>provides that the limitation period cannot be extended beyond six years,</w:t>
      </w:r>
      <w:r w:rsidRPr="00390F67">
        <w:rPr>
          <w:rFonts w:eastAsia="Palatino Linotype"/>
        </w:rPr>
        <w:t xml:space="preserve"> and specifies additional factors to which the </w:t>
      </w:r>
      <w:r>
        <w:rPr>
          <w:rFonts w:eastAsia="Palatino Linotype"/>
        </w:rPr>
        <w:t>c</w:t>
      </w:r>
      <w:r w:rsidRPr="00390F67">
        <w:rPr>
          <w:rFonts w:eastAsia="Palatino Linotype"/>
        </w:rPr>
        <w:t xml:space="preserve">ourt must have regard when exercising </w:t>
      </w:r>
      <w:r>
        <w:rPr>
          <w:rFonts w:eastAsia="Palatino Linotype"/>
        </w:rPr>
        <w:t>its</w:t>
      </w:r>
      <w:r w:rsidRPr="00390F67">
        <w:rPr>
          <w:rFonts w:eastAsia="Palatino Linotype"/>
        </w:rPr>
        <w:t xml:space="preserve"> discretion. These changes apply only to claims for personal injuries or deaths sustained </w:t>
      </w:r>
      <w:r>
        <w:rPr>
          <w:rFonts w:eastAsia="Palatino Linotype"/>
        </w:rPr>
        <w:t>which are connected with</w:t>
      </w:r>
      <w:r w:rsidRPr="00390F67">
        <w:rPr>
          <w:rFonts w:eastAsia="Palatino Linotype"/>
        </w:rPr>
        <w:t xml:space="preserve"> overseas operations.</w:t>
      </w:r>
    </w:p>
    <w:p w:rsidR="00ED6753" w:rsidRPr="00390F67" w:rsidRDefault="00ED6753" w:rsidP="00C86B36">
      <w:pPr>
        <w:pStyle w:val="ParaNumbered"/>
        <w:rPr>
          <w:rFonts w:eastAsia="Palatino Linotype"/>
        </w:rPr>
      </w:pPr>
      <w:r w:rsidRPr="00390F67">
        <w:rPr>
          <w:rFonts w:eastAsia="Palatino Linotype"/>
        </w:rPr>
        <w:t>Subsection (</w:t>
      </w:r>
      <w:r>
        <w:rPr>
          <w:rFonts w:eastAsia="Palatino Linotype"/>
        </w:rPr>
        <w:t>2</w:t>
      </w:r>
      <w:r w:rsidRPr="00390F67">
        <w:rPr>
          <w:rFonts w:eastAsia="Palatino Linotype"/>
        </w:rPr>
        <w:t>) explains that Part 2 of Schedule 4 amends the</w:t>
      </w:r>
      <w:r>
        <w:rPr>
          <w:rFonts w:eastAsia="Palatino Linotype"/>
        </w:rPr>
        <w:t xml:space="preserve"> Foreign </w:t>
      </w:r>
      <w:r w:rsidRPr="00390F67">
        <w:rPr>
          <w:rFonts w:eastAsia="Palatino Linotype"/>
        </w:rPr>
        <w:t xml:space="preserve">Limitation </w:t>
      </w:r>
      <w:r>
        <w:rPr>
          <w:rFonts w:eastAsia="Palatino Linotype"/>
        </w:rPr>
        <w:t xml:space="preserve">Periods </w:t>
      </w:r>
      <w:r w:rsidRPr="00390F67">
        <w:rPr>
          <w:rFonts w:eastAsia="Palatino Linotype"/>
        </w:rPr>
        <w:t>(Northern Ireland) Order 198</w:t>
      </w:r>
      <w:r>
        <w:rPr>
          <w:rFonts w:eastAsia="Palatino Linotype"/>
        </w:rPr>
        <w:t>5</w:t>
      </w:r>
      <w:r w:rsidRPr="00390F67">
        <w:rPr>
          <w:rFonts w:eastAsia="Palatino Linotype"/>
        </w:rPr>
        <w:t>/</w:t>
      </w:r>
      <w:r>
        <w:rPr>
          <w:rFonts w:eastAsia="Palatino Linotype"/>
        </w:rPr>
        <w:t>754</w:t>
      </w:r>
      <w:r w:rsidRPr="00390F67">
        <w:rPr>
          <w:rFonts w:eastAsia="Palatino Linotype"/>
        </w:rPr>
        <w:t>. These changes ensure that</w:t>
      </w:r>
      <w:r>
        <w:rPr>
          <w:rFonts w:eastAsia="Palatino Linotype"/>
        </w:rPr>
        <w:t xml:space="preserve"> where</w:t>
      </w:r>
      <w:r w:rsidRPr="00390F67">
        <w:rPr>
          <w:rFonts w:eastAsia="Palatino Linotype"/>
        </w:rPr>
        <w:t xml:space="preserve"> foreign limitation periods</w:t>
      </w:r>
      <w:r>
        <w:rPr>
          <w:rFonts w:eastAsia="Palatino Linotype"/>
        </w:rPr>
        <w:t xml:space="preserve"> are to be applied in personal injury and/or death claims connected with overseas operations which are brought in Northern Ireland, claimants will not benefit from more generous time limits that may be available in that foreign law</w:t>
      </w:r>
      <w:r w:rsidRPr="00390F67">
        <w:rPr>
          <w:rFonts w:eastAsia="Palatino Linotype"/>
        </w:rPr>
        <w:t>.</w:t>
      </w:r>
    </w:p>
    <w:p w:rsidR="00ED6753" w:rsidRPr="00390F67" w:rsidRDefault="00ED6753" w:rsidP="00C86B36">
      <w:pPr>
        <w:pStyle w:val="HSubheading4"/>
        <w:rPr>
          <w:rFonts w:eastAsia="Palatino Linotype"/>
        </w:rPr>
      </w:pPr>
      <w:bookmarkStart w:id="25" w:name="_Toc72857849"/>
      <w:r>
        <w:rPr>
          <w:rFonts w:eastAsia="Palatino Linotype"/>
        </w:rPr>
        <w:t>Section</w:t>
      </w:r>
      <w:r w:rsidRPr="00390F67">
        <w:rPr>
          <w:rFonts w:eastAsia="Palatino Linotype"/>
        </w:rPr>
        <w:t xml:space="preserve"> 11: Court’s discretion to extend time in certain Human Rights Act proceedings</w:t>
      </w:r>
      <w:bookmarkEnd w:id="25"/>
      <w:r w:rsidRPr="00390F67">
        <w:rPr>
          <w:rFonts w:eastAsia="Palatino Linotype"/>
        </w:rPr>
        <w:t xml:space="preserve"> </w:t>
      </w:r>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amends the rules governing the court’s discretion to extend the one-year time limit for bringing claims under the </w:t>
      </w:r>
      <w:r>
        <w:rPr>
          <w:rFonts w:eastAsia="Palatino Linotype"/>
        </w:rPr>
        <w:t>HRA</w:t>
      </w:r>
      <w:r w:rsidRPr="00390F67">
        <w:rPr>
          <w:rFonts w:eastAsia="Palatino Linotype"/>
        </w:rPr>
        <w:t xml:space="preserve">. These changes apply only to </w:t>
      </w:r>
      <w:r>
        <w:rPr>
          <w:rFonts w:eastAsia="Palatino Linotype"/>
        </w:rPr>
        <w:t>proceedings in connection with</w:t>
      </w:r>
      <w:r w:rsidRPr="00390F67">
        <w:rPr>
          <w:rFonts w:eastAsia="Palatino Linotype"/>
        </w:rPr>
        <w:t xml:space="preserve"> overseas operations.</w:t>
      </w:r>
    </w:p>
    <w:p w:rsidR="00ED6753" w:rsidRPr="00390F67" w:rsidRDefault="00ED6753" w:rsidP="00C86B36">
      <w:pPr>
        <w:pStyle w:val="ParaNumbered"/>
        <w:rPr>
          <w:rFonts w:eastAsia="Palatino Linotype"/>
        </w:rPr>
      </w:pPr>
      <w:r w:rsidRPr="00390F67">
        <w:rPr>
          <w:rFonts w:eastAsia="Palatino Linotype"/>
        </w:rPr>
        <w:t>Subsection (2) insert</w:t>
      </w:r>
      <w:r>
        <w:rPr>
          <w:rFonts w:eastAsia="Palatino Linotype"/>
        </w:rPr>
        <w:t>s</w:t>
      </w:r>
      <w:r w:rsidRPr="00390F67">
        <w:rPr>
          <w:rFonts w:eastAsia="Palatino Linotype"/>
        </w:rPr>
        <w:t xml:space="preserve"> a new section 7A into the </w:t>
      </w:r>
      <w:r>
        <w:rPr>
          <w:rFonts w:eastAsia="Palatino Linotype"/>
        </w:rPr>
        <w:t>HRA</w:t>
      </w:r>
      <w:r w:rsidRPr="00390F67">
        <w:rPr>
          <w:rFonts w:eastAsia="Palatino Linotype"/>
        </w:rPr>
        <w:t>.</w:t>
      </w:r>
    </w:p>
    <w:p w:rsidR="00ED6753" w:rsidRPr="00390F67" w:rsidRDefault="00ED6753" w:rsidP="00C86B36">
      <w:pPr>
        <w:pStyle w:val="ParaNumbered"/>
        <w:rPr>
          <w:rFonts w:eastAsia="Palatino Linotype"/>
        </w:rPr>
      </w:pPr>
      <w:r w:rsidRPr="00390F67">
        <w:rPr>
          <w:rFonts w:eastAsia="Palatino Linotype"/>
        </w:rPr>
        <w:t>Section 7A</w:t>
      </w:r>
      <w:r>
        <w:rPr>
          <w:rFonts w:eastAsia="Palatino Linotype"/>
        </w:rPr>
        <w:t>(</w:t>
      </w:r>
      <w:r w:rsidRPr="00390F67">
        <w:rPr>
          <w:rFonts w:eastAsia="Palatino Linotype"/>
        </w:rPr>
        <w:t xml:space="preserve">1) specifies that a court’s exercise of discretion is subject to section 7A(2) and (4). </w:t>
      </w:r>
    </w:p>
    <w:p w:rsidR="00ED6753" w:rsidRPr="00390F67" w:rsidRDefault="00ED6753" w:rsidP="00E96375">
      <w:pPr>
        <w:pStyle w:val="ParaNumbered"/>
        <w:widowControl/>
        <w:numPr>
          <w:ilvl w:val="1"/>
          <w:numId w:val="5"/>
        </w:numPr>
        <w:ind w:left="1434" w:hanging="357"/>
        <w:rPr>
          <w:rFonts w:eastAsia="Palatino Linotype"/>
        </w:rPr>
      </w:pPr>
      <w:r w:rsidRPr="00390F67">
        <w:rPr>
          <w:rFonts w:eastAsia="Palatino Linotype"/>
        </w:rPr>
        <w:t xml:space="preserve">Section 7A(2) sets out certain factors to which the court must have particular regard, when deciding whether to </w:t>
      </w:r>
      <w:r>
        <w:rPr>
          <w:rFonts w:eastAsia="Palatino Linotype"/>
        </w:rPr>
        <w:t>allow a claim to proceed beyond the</w:t>
      </w:r>
      <w:r w:rsidRPr="00390F67">
        <w:rPr>
          <w:rFonts w:eastAsia="Palatino Linotype"/>
        </w:rPr>
        <w:t xml:space="preserve"> normal time limit. These factors are intended to ensure that the court takes proper account of the </w:t>
      </w:r>
      <w:r w:rsidRPr="00390F67">
        <w:rPr>
          <w:rFonts w:eastAsia="Palatino Linotype"/>
        </w:rPr>
        <w:lastRenderedPageBreak/>
        <w:t xml:space="preserve">operational context (as defined in section 7A(3)), </w:t>
      </w:r>
      <w:r>
        <w:rPr>
          <w:rFonts w:eastAsia="Palatino Linotype"/>
        </w:rPr>
        <w:t>and</w:t>
      </w:r>
      <w:r w:rsidRPr="00390F67">
        <w:rPr>
          <w:rFonts w:eastAsia="Palatino Linotype"/>
        </w:rPr>
        <w:t xml:space="preserve"> the likely impact of proceedings on the mental health of the </w:t>
      </w:r>
      <w:r>
        <w:rPr>
          <w:rFonts w:eastAsia="Palatino Linotype"/>
        </w:rPr>
        <w:t>S</w:t>
      </w:r>
      <w:r w:rsidRPr="00390F67">
        <w:rPr>
          <w:rFonts w:eastAsia="Palatino Linotype"/>
        </w:rPr>
        <w:t>ervice personnel or veterans involved.</w:t>
      </w:r>
    </w:p>
    <w:p w:rsidR="00ED6753" w:rsidRPr="00390F67" w:rsidRDefault="00ED6753" w:rsidP="00C86B36">
      <w:pPr>
        <w:pStyle w:val="ParaNumbered"/>
        <w:numPr>
          <w:ilvl w:val="1"/>
          <w:numId w:val="5"/>
        </w:numPr>
        <w:rPr>
          <w:rFonts w:eastAsia="Palatino Linotype"/>
        </w:rPr>
      </w:pPr>
      <w:r w:rsidRPr="00390F67">
        <w:rPr>
          <w:rFonts w:eastAsia="Palatino Linotype"/>
        </w:rPr>
        <w:t xml:space="preserve">Section 7A(4) imposes a rule that claims cannot </w:t>
      </w:r>
      <w:r>
        <w:rPr>
          <w:rFonts w:eastAsia="Palatino Linotype"/>
        </w:rPr>
        <w:t>proceed</w:t>
      </w:r>
      <w:r w:rsidRPr="00390F67">
        <w:rPr>
          <w:rFonts w:eastAsia="Palatino Linotype"/>
        </w:rPr>
        <w:t xml:space="preserve"> more than six years after the act complained of occurred, or more than one year after the date of knowledge (as defined in section 7A(5)) if </w:t>
      </w:r>
      <w:r>
        <w:rPr>
          <w:rFonts w:eastAsia="Palatino Linotype"/>
        </w:rPr>
        <w:t>that one-year period expires more than six years after the date of the act</w:t>
      </w:r>
      <w:r w:rsidRPr="00390F67">
        <w:rPr>
          <w:rFonts w:eastAsia="Palatino Linotype"/>
        </w:rPr>
        <w:t xml:space="preserve">. </w:t>
      </w:r>
    </w:p>
    <w:p w:rsidR="00ED6753" w:rsidRPr="00D64B59" w:rsidRDefault="00ED6753" w:rsidP="00C86B36">
      <w:pPr>
        <w:pStyle w:val="ParaNumbered"/>
        <w:rPr>
          <w:rFonts w:eastAsia="Palatino Linotype"/>
        </w:rPr>
      </w:pPr>
      <w:r w:rsidRPr="00390F67">
        <w:rPr>
          <w:rFonts w:eastAsia="Palatino Linotype"/>
        </w:rPr>
        <w:t>Subsection (</w:t>
      </w:r>
      <w:r>
        <w:rPr>
          <w:rFonts w:eastAsia="Palatino Linotype"/>
        </w:rPr>
        <w:t>3</w:t>
      </w:r>
      <w:r w:rsidRPr="00390F67">
        <w:rPr>
          <w:rFonts w:eastAsia="Palatino Linotype"/>
        </w:rPr>
        <w:t xml:space="preserve">) specifies that </w:t>
      </w:r>
      <w:r>
        <w:rPr>
          <w:rFonts w:eastAsia="Palatino Linotype"/>
        </w:rPr>
        <w:t>new section 7A applies</w:t>
      </w:r>
      <w:r w:rsidRPr="00390F67">
        <w:rPr>
          <w:rFonts w:eastAsia="Palatino Linotype"/>
        </w:rPr>
        <w:t xml:space="preserve"> to any such claim that is commenced after </w:t>
      </w:r>
      <w:r>
        <w:rPr>
          <w:rFonts w:eastAsia="Palatino Linotype"/>
        </w:rPr>
        <w:t>that section</w:t>
      </w:r>
      <w:r w:rsidRPr="00390F67">
        <w:rPr>
          <w:rFonts w:eastAsia="Palatino Linotype"/>
        </w:rPr>
        <w:t xml:space="preserve"> comes into force. Claims that have been commenced before </w:t>
      </w:r>
      <w:r>
        <w:rPr>
          <w:rFonts w:eastAsia="Palatino Linotype"/>
        </w:rPr>
        <w:t xml:space="preserve">new section 7A </w:t>
      </w:r>
      <w:r w:rsidRPr="00390F67">
        <w:rPr>
          <w:rFonts w:eastAsia="Palatino Linotype"/>
        </w:rPr>
        <w:t>comes into force are unaffected by these amendments.</w:t>
      </w:r>
    </w:p>
    <w:p w:rsidR="00ED6753" w:rsidRPr="00390F67" w:rsidRDefault="00ED6753" w:rsidP="00C86B36">
      <w:pPr>
        <w:pStyle w:val="ParaNumbered"/>
        <w:rPr>
          <w:rFonts w:eastAsia="Palatino Linotype"/>
        </w:rPr>
      </w:pPr>
      <w:r w:rsidRPr="00390F67">
        <w:rPr>
          <w:rFonts w:eastAsia="Palatino Linotype"/>
        </w:rPr>
        <w:t xml:space="preserve">Section 7A(6) </w:t>
      </w:r>
      <w:r>
        <w:rPr>
          <w:rFonts w:eastAsia="Palatino Linotype"/>
        </w:rPr>
        <w:t>establishes</w:t>
      </w:r>
      <w:r w:rsidRPr="00390F67">
        <w:rPr>
          <w:rFonts w:eastAsia="Palatino Linotype"/>
        </w:rPr>
        <w:t xml:space="preserve"> the scope of </w:t>
      </w:r>
      <w:r>
        <w:rPr>
          <w:rFonts w:eastAsia="Palatino Linotype"/>
        </w:rPr>
        <w:t>section 7A; it applies</w:t>
      </w:r>
      <w:r w:rsidRPr="00390F67">
        <w:rPr>
          <w:rFonts w:eastAsia="Palatino Linotype"/>
        </w:rPr>
        <w:t xml:space="preserve"> only to claims brought against the Ministry of Defence or Secretary of State for Defence in </w:t>
      </w:r>
      <w:r>
        <w:rPr>
          <w:rFonts w:eastAsia="Palatino Linotype"/>
        </w:rPr>
        <w:t>connection with</w:t>
      </w:r>
      <w:r w:rsidRPr="00390F67">
        <w:rPr>
          <w:rFonts w:eastAsia="Palatino Linotype"/>
        </w:rPr>
        <w:t xml:space="preserve"> overseas operations (as defined in section 7A(7)).</w:t>
      </w:r>
      <w:r>
        <w:rPr>
          <w:rFonts w:eastAsia="Palatino Linotype"/>
        </w:rPr>
        <w:t xml:space="preserve"> Proceedings will not be “in connection with” overseas operations if they relate to preparatory work, e.g. training in preparation for overseas operations.</w:t>
      </w:r>
    </w:p>
    <w:p w:rsidR="00ED6753" w:rsidRPr="00390F67" w:rsidRDefault="00ED6753" w:rsidP="00C86B36">
      <w:pPr>
        <w:pStyle w:val="ParaNumbered"/>
        <w:rPr>
          <w:rFonts w:eastAsia="Palatino Linotype"/>
        </w:rPr>
      </w:pPr>
      <w:r w:rsidRPr="00390F67">
        <w:rPr>
          <w:rFonts w:eastAsia="Palatino Linotype"/>
        </w:rPr>
        <w:t>Section</w:t>
      </w:r>
      <w:r>
        <w:rPr>
          <w:rFonts w:eastAsia="Palatino Linotype"/>
        </w:rPr>
        <w:t>s</w:t>
      </w:r>
      <w:r w:rsidRPr="00390F67">
        <w:rPr>
          <w:rFonts w:eastAsia="Palatino Linotype"/>
        </w:rPr>
        <w:t xml:space="preserve"> 7A(8) and (7A)(9) define “the British Islands” and “Her Majesty’s forces”.  </w:t>
      </w:r>
    </w:p>
    <w:p w:rsidR="00ED6753" w:rsidRPr="00390F67" w:rsidRDefault="00ED6753" w:rsidP="00387A14">
      <w:pPr>
        <w:pStyle w:val="HSubheading2"/>
        <w:rPr>
          <w:rFonts w:eastAsia="Arial"/>
        </w:rPr>
      </w:pPr>
      <w:bookmarkStart w:id="26" w:name="_Toc72857850"/>
      <w:r w:rsidRPr="00390F67">
        <w:rPr>
          <w:rFonts w:eastAsia="Arial"/>
        </w:rPr>
        <w:t>Part 3: General</w:t>
      </w:r>
      <w:bookmarkStart w:id="27" w:name="_GoBack"/>
      <w:bookmarkEnd w:id="26"/>
      <w:bookmarkEnd w:id="27"/>
    </w:p>
    <w:p w:rsidR="00ED6753" w:rsidRPr="00390F67" w:rsidRDefault="00ED6753" w:rsidP="00C86B36">
      <w:pPr>
        <w:pStyle w:val="HSubheading4"/>
        <w:rPr>
          <w:rFonts w:eastAsia="Palatino Linotype"/>
        </w:rPr>
      </w:pPr>
      <w:bookmarkStart w:id="28" w:name="_Toc72857851"/>
      <w:r>
        <w:rPr>
          <w:rFonts w:eastAsia="Palatino Linotype"/>
        </w:rPr>
        <w:t>Section</w:t>
      </w:r>
      <w:r w:rsidRPr="00390F67">
        <w:rPr>
          <w:rFonts w:eastAsia="Palatino Linotype"/>
        </w:rPr>
        <w:t xml:space="preserve"> </w:t>
      </w:r>
      <w:r>
        <w:rPr>
          <w:rFonts w:eastAsia="Palatino Linotype"/>
        </w:rPr>
        <w:t>12</w:t>
      </w:r>
      <w:r w:rsidRPr="00390F67">
        <w:rPr>
          <w:rFonts w:eastAsia="Palatino Linotype"/>
        </w:rPr>
        <w:t>: Power to make consequential provision</w:t>
      </w:r>
      <w:bookmarkEnd w:id="28"/>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w:t>
      </w:r>
      <w:r>
        <w:rPr>
          <w:rFonts w:eastAsia="Palatino Linotype"/>
        </w:rPr>
        <w:t>provides</w:t>
      </w:r>
      <w:r w:rsidRPr="00390F67">
        <w:rPr>
          <w:rFonts w:eastAsia="Palatino Linotype"/>
        </w:rPr>
        <w:t xml:space="preserve"> the Secretary of State</w:t>
      </w:r>
      <w:r>
        <w:rPr>
          <w:rFonts w:eastAsia="Palatino Linotype"/>
        </w:rPr>
        <w:t xml:space="preserve"> and the Lord Chancellor with the power</w:t>
      </w:r>
      <w:r w:rsidRPr="00390F67">
        <w:rPr>
          <w:rFonts w:eastAsia="Palatino Linotype"/>
        </w:rPr>
        <w:t xml:space="preserve"> to make consequential amendments.</w:t>
      </w:r>
    </w:p>
    <w:p w:rsidR="00ED6753" w:rsidRPr="00390F67" w:rsidRDefault="00ED6753" w:rsidP="00C86B36">
      <w:pPr>
        <w:pStyle w:val="HSubheading4"/>
        <w:rPr>
          <w:rFonts w:eastAsia="Palatino Linotype"/>
        </w:rPr>
      </w:pPr>
      <w:bookmarkStart w:id="29" w:name="_Toc72857852"/>
      <w:r>
        <w:rPr>
          <w:rFonts w:eastAsia="Palatino Linotype"/>
        </w:rPr>
        <w:t>Section</w:t>
      </w:r>
      <w:r w:rsidRPr="00390F67">
        <w:rPr>
          <w:rFonts w:eastAsia="Palatino Linotype"/>
        </w:rPr>
        <w:t xml:space="preserve"> </w:t>
      </w:r>
      <w:r>
        <w:rPr>
          <w:rFonts w:eastAsia="Palatino Linotype"/>
        </w:rPr>
        <w:t>13</w:t>
      </w:r>
      <w:r w:rsidRPr="00390F67">
        <w:rPr>
          <w:rFonts w:eastAsia="Palatino Linotype"/>
        </w:rPr>
        <w:t>: Extent</w:t>
      </w:r>
      <w:bookmarkEnd w:id="29"/>
    </w:p>
    <w:p w:rsidR="00ED6753" w:rsidRPr="00C86B36" w:rsidRDefault="00ED6753" w:rsidP="00C86B36">
      <w:pPr>
        <w:pStyle w:val="ParaNumbered"/>
        <w:rPr>
          <w:rFonts w:eastAsia="Palatino Linotype"/>
        </w:rPr>
      </w:pPr>
      <w:bookmarkStart w:id="30" w:name="_Hlk34654849"/>
      <w:r w:rsidRPr="00C86B36">
        <w:rPr>
          <w:rFonts w:eastAsia="Palatino Linotype"/>
        </w:rPr>
        <w:t>This section sets out the territorial extent of the Act. It extends to England and Wales, Scotland and Northern Ireland</w:t>
      </w:r>
      <w:bookmarkEnd w:id="30"/>
      <w:r w:rsidRPr="00C86B36">
        <w:rPr>
          <w:rFonts w:eastAsia="Palatino Linotype"/>
        </w:rPr>
        <w:t>, except as specified in this section.</w:t>
      </w:r>
    </w:p>
    <w:p w:rsidR="00ED6753" w:rsidRPr="00390F67" w:rsidRDefault="00ED6753" w:rsidP="00C86B36">
      <w:pPr>
        <w:pStyle w:val="HSubheading4"/>
        <w:rPr>
          <w:rFonts w:eastAsia="Palatino Linotype"/>
        </w:rPr>
      </w:pPr>
      <w:bookmarkStart w:id="31" w:name="_Toc72857853"/>
      <w:r>
        <w:rPr>
          <w:rFonts w:eastAsia="Palatino Linotype"/>
        </w:rPr>
        <w:t>Section</w:t>
      </w:r>
      <w:r w:rsidRPr="00390F67">
        <w:rPr>
          <w:rFonts w:eastAsia="Palatino Linotype"/>
        </w:rPr>
        <w:t xml:space="preserve"> </w:t>
      </w:r>
      <w:r>
        <w:rPr>
          <w:rFonts w:eastAsia="Palatino Linotype"/>
        </w:rPr>
        <w:t>14</w:t>
      </w:r>
      <w:r w:rsidRPr="00390F67">
        <w:rPr>
          <w:rFonts w:eastAsia="Palatino Linotype"/>
        </w:rPr>
        <w:t xml:space="preserve">: Commencement and </w:t>
      </w:r>
      <w:r>
        <w:rPr>
          <w:rFonts w:eastAsia="Palatino Linotype"/>
        </w:rPr>
        <w:t>application</w:t>
      </w:r>
      <w:bookmarkEnd w:id="31"/>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makes provision about the coming into force of the provisions of the </w:t>
      </w:r>
      <w:r>
        <w:rPr>
          <w:rFonts w:eastAsia="Palatino Linotype"/>
        </w:rPr>
        <w:t>Act</w:t>
      </w:r>
      <w:r w:rsidRPr="00390F67">
        <w:rPr>
          <w:rFonts w:eastAsia="Palatino Linotype"/>
        </w:rPr>
        <w:t>.</w:t>
      </w:r>
    </w:p>
    <w:p w:rsidR="00ED6753" w:rsidRPr="00390F67" w:rsidRDefault="00ED6753" w:rsidP="00C86B36">
      <w:pPr>
        <w:pStyle w:val="ParaNumbered"/>
        <w:rPr>
          <w:rFonts w:eastAsia="Palatino Linotype"/>
        </w:rPr>
      </w:pPr>
      <w:r w:rsidRPr="00390F67">
        <w:rPr>
          <w:rFonts w:eastAsia="Palatino Linotype"/>
        </w:rPr>
        <w:t xml:space="preserve">None of the provisions in </w:t>
      </w:r>
      <w:r>
        <w:rPr>
          <w:rFonts w:eastAsia="Palatino Linotype"/>
        </w:rPr>
        <w:t>section</w:t>
      </w:r>
      <w:r w:rsidRPr="00390F67">
        <w:rPr>
          <w:rFonts w:eastAsia="Palatino Linotype"/>
        </w:rPr>
        <w:t xml:space="preserve">s 1 to 11 will apply to proceedings started before the date on which the provisions of the </w:t>
      </w:r>
      <w:r>
        <w:rPr>
          <w:rFonts w:eastAsia="Palatino Linotype"/>
        </w:rPr>
        <w:t>Act</w:t>
      </w:r>
      <w:r w:rsidRPr="00390F67">
        <w:rPr>
          <w:rFonts w:eastAsia="Palatino Linotype"/>
        </w:rPr>
        <w:t xml:space="preserve"> come into force.</w:t>
      </w:r>
    </w:p>
    <w:p w:rsidR="00ED6753" w:rsidRPr="00390F67" w:rsidRDefault="00ED6753" w:rsidP="00C86B36">
      <w:pPr>
        <w:pStyle w:val="HSubheading4"/>
        <w:rPr>
          <w:rFonts w:eastAsia="Palatino Linotype"/>
        </w:rPr>
      </w:pPr>
      <w:bookmarkStart w:id="32" w:name="_Toc72857854"/>
      <w:r>
        <w:rPr>
          <w:rFonts w:eastAsia="Palatino Linotype"/>
        </w:rPr>
        <w:t>Section</w:t>
      </w:r>
      <w:r w:rsidR="00C86B36">
        <w:rPr>
          <w:rFonts w:eastAsia="Palatino Linotype"/>
        </w:rPr>
        <w:t xml:space="preserve"> </w:t>
      </w:r>
      <w:r>
        <w:rPr>
          <w:rFonts w:eastAsia="Palatino Linotype"/>
        </w:rPr>
        <w:t>15</w:t>
      </w:r>
      <w:r w:rsidRPr="00390F67">
        <w:rPr>
          <w:rFonts w:eastAsia="Palatino Linotype"/>
        </w:rPr>
        <w:t>: Short Title</w:t>
      </w:r>
      <w:bookmarkEnd w:id="32"/>
    </w:p>
    <w:p w:rsidR="00ED6753" w:rsidRPr="00390F67" w:rsidRDefault="00ED6753" w:rsidP="00C86B36">
      <w:pPr>
        <w:pStyle w:val="ParaNumbered"/>
        <w:rPr>
          <w:rFonts w:eastAsia="Palatino Linotype"/>
        </w:rPr>
      </w:pPr>
      <w:r w:rsidRPr="00390F67">
        <w:rPr>
          <w:rFonts w:eastAsia="Palatino Linotype"/>
        </w:rPr>
        <w:t xml:space="preserve">This </w:t>
      </w:r>
      <w:r>
        <w:rPr>
          <w:rFonts w:eastAsia="Palatino Linotype"/>
        </w:rPr>
        <w:t>section</w:t>
      </w:r>
      <w:r w:rsidRPr="00390F67">
        <w:rPr>
          <w:rFonts w:eastAsia="Palatino Linotype"/>
        </w:rPr>
        <w:t xml:space="preserve"> </w:t>
      </w:r>
      <w:r>
        <w:rPr>
          <w:rFonts w:eastAsia="Palatino Linotype"/>
        </w:rPr>
        <w:t>sets out</w:t>
      </w:r>
      <w:r w:rsidRPr="00390F67">
        <w:rPr>
          <w:rFonts w:eastAsia="Palatino Linotype"/>
        </w:rPr>
        <w:t xml:space="preserve"> the short title of the </w:t>
      </w:r>
      <w:r>
        <w:rPr>
          <w:rFonts w:eastAsia="Palatino Linotype"/>
        </w:rPr>
        <w:t>Act</w:t>
      </w:r>
      <w:r w:rsidRPr="00390F67">
        <w:rPr>
          <w:rFonts w:eastAsia="Palatino Linotype"/>
        </w:rPr>
        <w:t>.</w:t>
      </w:r>
    </w:p>
    <w:p w:rsidR="00ED6753" w:rsidRPr="00390F67" w:rsidRDefault="00ED6753" w:rsidP="00C86B36">
      <w:pPr>
        <w:pStyle w:val="HSubheading4"/>
        <w:rPr>
          <w:rFonts w:eastAsia="Palatino Linotype"/>
        </w:rPr>
      </w:pPr>
      <w:bookmarkStart w:id="33" w:name="_Toc72857855"/>
      <w:r w:rsidRPr="00390F67">
        <w:rPr>
          <w:rFonts w:eastAsia="Palatino Linotype"/>
        </w:rPr>
        <w:t xml:space="preserve">Schedule 1: Excluded offences for the purposes of </w:t>
      </w:r>
      <w:r>
        <w:rPr>
          <w:rFonts w:eastAsia="Palatino Linotype"/>
        </w:rPr>
        <w:t>s</w:t>
      </w:r>
      <w:r w:rsidRPr="00390F67">
        <w:rPr>
          <w:rFonts w:eastAsia="Palatino Linotype"/>
        </w:rPr>
        <w:t xml:space="preserve">ection </w:t>
      </w:r>
      <w:r>
        <w:rPr>
          <w:rFonts w:eastAsia="Palatino Linotype"/>
        </w:rPr>
        <w:t>6</w:t>
      </w:r>
      <w:bookmarkEnd w:id="33"/>
    </w:p>
    <w:p w:rsidR="00ED6753" w:rsidRPr="00390F67" w:rsidRDefault="00ED6753" w:rsidP="00C86B36">
      <w:pPr>
        <w:pStyle w:val="ParaNumbered"/>
        <w:rPr>
          <w:rFonts w:eastAsia="Palatino Linotype"/>
        </w:rPr>
      </w:pPr>
      <w:bookmarkStart w:id="34" w:name="_3whwml4" w:colFirst="0" w:colLast="0"/>
      <w:bookmarkEnd w:id="34"/>
      <w:r w:rsidRPr="00390F67">
        <w:rPr>
          <w:rFonts w:eastAsia="Palatino Linotype"/>
        </w:rPr>
        <w:t xml:space="preserve">Schedule 1 details the offences excluded from the scope of the requirements of </w:t>
      </w:r>
      <w:r>
        <w:rPr>
          <w:rFonts w:eastAsia="Palatino Linotype"/>
        </w:rPr>
        <w:t>Section</w:t>
      </w:r>
      <w:r w:rsidRPr="00390F67">
        <w:rPr>
          <w:rFonts w:eastAsia="Palatino Linotype"/>
        </w:rPr>
        <w:t xml:space="preserve">s 2, 3 and 5, </w:t>
      </w:r>
      <w:r>
        <w:rPr>
          <w:rFonts w:eastAsia="Palatino Linotype"/>
        </w:rPr>
        <w:t>and is structured as follows</w:t>
      </w:r>
      <w:r w:rsidRPr="00390F67">
        <w:rPr>
          <w:rFonts w:eastAsia="Palatino Linotype"/>
        </w:rPr>
        <w:t>:</w:t>
      </w:r>
    </w:p>
    <w:p w:rsidR="00ED6753" w:rsidRPr="00821418" w:rsidRDefault="00ED6753" w:rsidP="00821418">
      <w:pPr>
        <w:pStyle w:val="ParaNumbered"/>
        <w:numPr>
          <w:ilvl w:val="0"/>
          <w:numId w:val="0"/>
        </w:numPr>
        <w:ind w:left="714"/>
        <w:rPr>
          <w:rFonts w:eastAsia="Palatino Linotype"/>
        </w:rPr>
      </w:pPr>
      <w:r w:rsidRPr="00821418">
        <w:rPr>
          <w:rFonts w:eastAsia="Palatino Linotype"/>
        </w:rPr>
        <w:t>Part 1</w:t>
      </w:r>
      <w:r w:rsidR="00C86B36" w:rsidRPr="00821418">
        <w:rPr>
          <w:rFonts w:eastAsia="Palatino Linotype"/>
        </w:rPr>
        <w:t xml:space="preserve"> – </w:t>
      </w:r>
      <w:r w:rsidRPr="00821418">
        <w:rPr>
          <w:rFonts w:eastAsia="Palatino Linotype"/>
        </w:rPr>
        <w:t>Criminal conduct etc under Armed Forces legislation. This Part of Schedule 1 excludes sexual offences.</w:t>
      </w:r>
    </w:p>
    <w:p w:rsidR="00ED6753" w:rsidRPr="00390F67" w:rsidRDefault="00ED6753" w:rsidP="00821418">
      <w:pPr>
        <w:pStyle w:val="ParaNumbered"/>
        <w:numPr>
          <w:ilvl w:val="0"/>
          <w:numId w:val="0"/>
        </w:numPr>
        <w:ind w:left="714"/>
        <w:rPr>
          <w:rFonts w:eastAsia="Palatino Linotype"/>
        </w:rPr>
      </w:pPr>
      <w:r w:rsidRPr="00390F67">
        <w:rPr>
          <w:rFonts w:eastAsia="Palatino Linotype"/>
        </w:rPr>
        <w:t xml:space="preserve">Part 2 </w:t>
      </w:r>
      <w:r w:rsidR="00C86B36">
        <w:rPr>
          <w:rFonts w:eastAsia="Palatino Linotype"/>
        </w:rPr>
        <w:t>–</w:t>
      </w:r>
      <w:r w:rsidRPr="00390F67">
        <w:rPr>
          <w:rFonts w:eastAsia="Palatino Linotype"/>
        </w:rPr>
        <w:t xml:space="preserve"> International Criminal Court Act 2001</w:t>
      </w:r>
      <w:r>
        <w:rPr>
          <w:rFonts w:eastAsia="Palatino Linotype"/>
        </w:rPr>
        <w:t>. This Part of Schedule 1 excludes offences of genocide, crimes against humanity and war crimes under the International Criminal Court Act 2001 (in the law of England and Wales and Northern Ireland).</w:t>
      </w:r>
    </w:p>
    <w:p w:rsidR="00ED6753" w:rsidRPr="00390F67" w:rsidRDefault="00ED6753" w:rsidP="00821418">
      <w:pPr>
        <w:pStyle w:val="ParaNumbered"/>
        <w:numPr>
          <w:ilvl w:val="0"/>
          <w:numId w:val="0"/>
        </w:numPr>
        <w:ind w:left="714"/>
        <w:rPr>
          <w:rFonts w:eastAsia="Palatino Linotype"/>
        </w:rPr>
      </w:pPr>
      <w:r w:rsidRPr="00390F67">
        <w:rPr>
          <w:rFonts w:eastAsia="Palatino Linotype"/>
        </w:rPr>
        <w:t xml:space="preserve">Part 3 </w:t>
      </w:r>
      <w:r w:rsidR="00C86B36">
        <w:rPr>
          <w:rFonts w:eastAsia="Palatino Linotype"/>
        </w:rPr>
        <w:t>–</w:t>
      </w:r>
      <w:r w:rsidRPr="00390F67">
        <w:rPr>
          <w:rFonts w:eastAsia="Palatino Linotype"/>
        </w:rPr>
        <w:t xml:space="preserve"> International Criminal Court (Scotland) Act 2001</w:t>
      </w:r>
      <w:r>
        <w:rPr>
          <w:rFonts w:eastAsia="Palatino Linotype"/>
        </w:rPr>
        <w:t>. This Part of Schedule 1 excludes the offences of genocide, crimes against humanity and war crimes under the International Criminal Court (Scotland) Act 2001.</w:t>
      </w:r>
    </w:p>
    <w:p w:rsidR="00ED6753" w:rsidRDefault="00ED6753" w:rsidP="00821418">
      <w:pPr>
        <w:pStyle w:val="ParaNumbered"/>
        <w:numPr>
          <w:ilvl w:val="0"/>
          <w:numId w:val="0"/>
        </w:numPr>
        <w:ind w:left="714"/>
        <w:rPr>
          <w:rFonts w:eastAsia="Palatino Linotype"/>
        </w:rPr>
      </w:pPr>
      <w:r w:rsidRPr="00390F67">
        <w:rPr>
          <w:rFonts w:eastAsia="Palatino Linotype"/>
        </w:rPr>
        <w:t xml:space="preserve">Part </w:t>
      </w:r>
      <w:r>
        <w:rPr>
          <w:rFonts w:eastAsia="Palatino Linotype"/>
        </w:rPr>
        <w:t>4</w:t>
      </w:r>
      <w:r w:rsidRPr="00390F67">
        <w:rPr>
          <w:rFonts w:eastAsia="Palatino Linotype"/>
        </w:rPr>
        <w:t xml:space="preserve"> </w:t>
      </w:r>
      <w:r w:rsidR="00C86B36">
        <w:rPr>
          <w:rFonts w:eastAsia="Palatino Linotype"/>
        </w:rPr>
        <w:t>–</w:t>
      </w:r>
      <w:r w:rsidRPr="00390F67">
        <w:rPr>
          <w:rFonts w:eastAsia="Palatino Linotype"/>
        </w:rPr>
        <w:t xml:space="preserve"> </w:t>
      </w:r>
      <w:r>
        <w:rPr>
          <w:rFonts w:eastAsia="Palatino Linotype"/>
        </w:rPr>
        <w:t xml:space="preserve">Other offences. This Part of Schedule 1 excludes the offence of torture under s.134 of the Criminal Justice Act 1988, as well as all offences under section 1(1) Geneva Conventions </w:t>
      </w:r>
      <w:r>
        <w:rPr>
          <w:rFonts w:eastAsia="Palatino Linotype"/>
        </w:rPr>
        <w:lastRenderedPageBreak/>
        <w:t>Act 1957.</w:t>
      </w:r>
    </w:p>
    <w:p w:rsidR="00ED6753" w:rsidRPr="00390F67" w:rsidRDefault="00ED6753" w:rsidP="00821418">
      <w:pPr>
        <w:pStyle w:val="ParaNumbered"/>
        <w:numPr>
          <w:ilvl w:val="0"/>
          <w:numId w:val="0"/>
        </w:numPr>
        <w:ind w:left="714"/>
        <w:rPr>
          <w:rFonts w:eastAsia="Palatino Linotype"/>
        </w:rPr>
      </w:pPr>
      <w:r>
        <w:rPr>
          <w:rFonts w:eastAsia="Palatino Linotype"/>
        </w:rPr>
        <w:t xml:space="preserve">Part 5 </w:t>
      </w:r>
      <w:r w:rsidR="00C86B36">
        <w:rPr>
          <w:rFonts w:eastAsia="Palatino Linotype"/>
        </w:rPr>
        <w:t>–</w:t>
      </w:r>
      <w:r>
        <w:rPr>
          <w:rFonts w:eastAsia="Palatino Linotype"/>
        </w:rPr>
        <w:t xml:space="preserve"> Provisions extending jurisdiction in respect of certain sexual offences</w:t>
      </w:r>
      <w:r w:rsidRPr="00390F67">
        <w:rPr>
          <w:rFonts w:eastAsia="Palatino Linotype"/>
        </w:rPr>
        <w:t>.</w:t>
      </w:r>
      <w:r>
        <w:rPr>
          <w:rFonts w:eastAsia="Palatino Linotype"/>
        </w:rPr>
        <w:t xml:space="preserve"> This Part of Schedule 1 excludes certain sexual offences under provisions that extend jurisdiction (whereby certain acts, if done outside of the UK, constitute offences in UK). </w:t>
      </w:r>
    </w:p>
    <w:p w:rsidR="00ED6753" w:rsidRPr="00390F67" w:rsidRDefault="00ED6753" w:rsidP="00C86B36">
      <w:pPr>
        <w:pStyle w:val="HSubheading4"/>
        <w:rPr>
          <w:rFonts w:eastAsia="Palatino Linotype"/>
        </w:rPr>
      </w:pPr>
      <w:bookmarkStart w:id="35" w:name="_Toc72857856"/>
      <w:r w:rsidRPr="00390F67">
        <w:rPr>
          <w:rFonts w:eastAsia="Palatino Linotype"/>
        </w:rPr>
        <w:t>Schedule 2: Limitation periods: England and Wales</w:t>
      </w:r>
      <w:bookmarkEnd w:id="35"/>
    </w:p>
    <w:p w:rsidR="00ED6753" w:rsidRPr="005A1555" w:rsidRDefault="00ED6753" w:rsidP="00C86B36">
      <w:pPr>
        <w:pStyle w:val="HSubheading5"/>
        <w:rPr>
          <w:rFonts w:eastAsia="Palatino Linotype"/>
        </w:rPr>
      </w:pPr>
      <w:bookmarkStart w:id="36" w:name="_Toc72857857"/>
      <w:r w:rsidRPr="005A1555">
        <w:rPr>
          <w:rFonts w:eastAsia="Palatino Linotype"/>
        </w:rPr>
        <w:t>Part 1 – Court’s discretion to disapply time limits</w:t>
      </w:r>
      <w:bookmarkEnd w:id="36"/>
      <w:r w:rsidRPr="005A1555">
        <w:rPr>
          <w:rFonts w:eastAsia="Palatino Linotype"/>
        </w:rPr>
        <w:t xml:space="preserve"> </w:t>
      </w:r>
    </w:p>
    <w:p w:rsidR="00ED6753" w:rsidRPr="00390F67" w:rsidRDefault="00ED6753" w:rsidP="00CE2EE4">
      <w:pPr>
        <w:pStyle w:val="ParaNumbered"/>
        <w:rPr>
          <w:rFonts w:eastAsia="Palatino Linotype"/>
        </w:rPr>
      </w:pPr>
      <w:r>
        <w:rPr>
          <w:rFonts w:eastAsia="Palatino Linotype"/>
        </w:rPr>
        <w:t>Part 1 of Schedule 2</w:t>
      </w:r>
      <w:r w:rsidRPr="00390F67">
        <w:rPr>
          <w:rFonts w:eastAsia="Palatino Linotype"/>
        </w:rPr>
        <w:t xml:space="preserve"> amends section 33 of the </w:t>
      </w:r>
      <w:r>
        <w:rPr>
          <w:rFonts w:eastAsia="Palatino Linotype"/>
        </w:rPr>
        <w:t>LA</w:t>
      </w:r>
      <w:r w:rsidRPr="00390F67">
        <w:rPr>
          <w:rFonts w:eastAsia="Palatino Linotype"/>
        </w:rPr>
        <w:t xml:space="preserve">, which sets out the factors that the </w:t>
      </w:r>
      <w:r>
        <w:rPr>
          <w:rFonts w:eastAsia="Palatino Linotype"/>
        </w:rPr>
        <w:t>c</w:t>
      </w:r>
      <w:r w:rsidRPr="00390F67">
        <w:rPr>
          <w:rFonts w:eastAsia="Palatino Linotype"/>
        </w:rPr>
        <w:t xml:space="preserve">ourt must </w:t>
      </w:r>
      <w:r>
        <w:rPr>
          <w:rFonts w:eastAsia="Palatino Linotype"/>
        </w:rPr>
        <w:t>have particular regard to</w:t>
      </w:r>
      <w:r w:rsidRPr="00390F67">
        <w:rPr>
          <w:rFonts w:eastAsia="Palatino Linotype"/>
        </w:rPr>
        <w:t xml:space="preserve"> when exercising its discretion to extend the normal time limit (set out in section 11 and section 12 of the </w:t>
      </w:r>
      <w:r>
        <w:rPr>
          <w:rFonts w:eastAsia="Palatino Linotype"/>
        </w:rPr>
        <w:t>LA</w:t>
      </w:r>
      <w:r w:rsidRPr="00390F67">
        <w:rPr>
          <w:rFonts w:eastAsia="Palatino Linotype"/>
        </w:rPr>
        <w:t xml:space="preserve">) for bringing claims for personal injury or death. These amendments do not change the way in which the time limit is calculated. </w:t>
      </w:r>
    </w:p>
    <w:p w:rsidR="00ED6753" w:rsidRPr="00390F67" w:rsidRDefault="00ED6753" w:rsidP="00CE2EE4">
      <w:pPr>
        <w:pStyle w:val="ParaNumbered"/>
        <w:rPr>
          <w:rFonts w:eastAsia="Palatino Linotype"/>
        </w:rPr>
      </w:pPr>
      <w:r>
        <w:rPr>
          <w:rFonts w:eastAsia="Palatino Linotype"/>
        </w:rPr>
        <w:t>Paragraph 1</w:t>
      </w:r>
      <w:r w:rsidRPr="00390F67">
        <w:rPr>
          <w:rFonts w:eastAsia="Palatino Linotype"/>
        </w:rPr>
        <w:t>(2) insert</w:t>
      </w:r>
      <w:r>
        <w:rPr>
          <w:rFonts w:eastAsia="Palatino Linotype"/>
        </w:rPr>
        <w:t>s</w:t>
      </w:r>
      <w:r w:rsidRPr="00390F67">
        <w:rPr>
          <w:rFonts w:eastAsia="Palatino Linotype"/>
        </w:rPr>
        <w:t xml:space="preserve"> new subsections (</w:t>
      </w:r>
      <w:r>
        <w:rPr>
          <w:rFonts w:eastAsia="Palatino Linotype"/>
        </w:rPr>
        <w:t>1Z</w:t>
      </w:r>
      <w:r w:rsidRPr="00390F67">
        <w:rPr>
          <w:rFonts w:eastAsia="Palatino Linotype"/>
        </w:rPr>
        <w:t>A) to (</w:t>
      </w:r>
      <w:r>
        <w:rPr>
          <w:rFonts w:eastAsia="Palatino Linotype"/>
        </w:rPr>
        <w:t>1Z</w:t>
      </w:r>
      <w:r w:rsidRPr="00390F67">
        <w:rPr>
          <w:rFonts w:eastAsia="Palatino Linotype"/>
        </w:rPr>
        <w:t xml:space="preserve">C) into section 33 of the </w:t>
      </w:r>
      <w:r>
        <w:rPr>
          <w:rFonts w:eastAsia="Palatino Linotype"/>
        </w:rPr>
        <w:t>LA</w:t>
      </w:r>
      <w:r w:rsidRPr="00390F67">
        <w:rPr>
          <w:rFonts w:eastAsia="Palatino Linotype"/>
        </w:rPr>
        <w:t xml:space="preserve">. </w:t>
      </w:r>
    </w:p>
    <w:p w:rsidR="00ED6753" w:rsidRPr="00390F67" w:rsidRDefault="00ED6753" w:rsidP="00CE2EE4">
      <w:pPr>
        <w:pStyle w:val="ParaNumbered"/>
        <w:numPr>
          <w:ilvl w:val="1"/>
          <w:numId w:val="5"/>
        </w:numPr>
        <w:rPr>
          <w:rFonts w:eastAsia="Palatino Linotype"/>
        </w:rPr>
      </w:pPr>
      <w:r w:rsidRPr="00390F67">
        <w:rPr>
          <w:rFonts w:eastAsia="Palatino Linotype"/>
        </w:rPr>
        <w:t>Subsection (</w:t>
      </w:r>
      <w:r>
        <w:rPr>
          <w:rFonts w:eastAsia="Palatino Linotype"/>
        </w:rPr>
        <w:t>1Z</w:t>
      </w:r>
      <w:r w:rsidRPr="00390F67">
        <w:rPr>
          <w:rFonts w:eastAsia="Palatino Linotype"/>
        </w:rPr>
        <w:t xml:space="preserve">A) prohibits the court from allowing any claim to proceed if it has been commenced more than six years after the relevant date (as defined in new subsection (7)). </w:t>
      </w:r>
    </w:p>
    <w:p w:rsidR="00ED6753" w:rsidRPr="00390F67" w:rsidRDefault="00ED6753" w:rsidP="00CE2EE4">
      <w:pPr>
        <w:pStyle w:val="ParaNumbered"/>
        <w:numPr>
          <w:ilvl w:val="1"/>
          <w:numId w:val="5"/>
        </w:numPr>
        <w:rPr>
          <w:rFonts w:eastAsia="Palatino Linotype"/>
        </w:rPr>
      </w:pPr>
      <w:r w:rsidRPr="00390F67">
        <w:rPr>
          <w:rFonts w:eastAsia="Palatino Linotype"/>
        </w:rPr>
        <w:t>Subsection (</w:t>
      </w:r>
      <w:r>
        <w:rPr>
          <w:rFonts w:eastAsia="Palatino Linotype"/>
        </w:rPr>
        <w:t>1Z</w:t>
      </w:r>
      <w:r w:rsidRPr="00390F67">
        <w:rPr>
          <w:rFonts w:eastAsia="Palatino Linotype"/>
        </w:rPr>
        <w:t xml:space="preserve">B) specifies that these amendments apply only to claims against the Ministry of Defence or Secretary of State for Defence or members of Her Majesty’s forces made in </w:t>
      </w:r>
      <w:r>
        <w:rPr>
          <w:rFonts w:eastAsia="Palatino Linotype"/>
        </w:rPr>
        <w:t>connection with</w:t>
      </w:r>
      <w:r w:rsidRPr="00390F67">
        <w:rPr>
          <w:rFonts w:eastAsia="Palatino Linotype"/>
        </w:rPr>
        <w:t xml:space="preserve"> overseas operations</w:t>
      </w:r>
      <w:r>
        <w:rPr>
          <w:rFonts w:eastAsia="Palatino Linotype"/>
        </w:rPr>
        <w:t xml:space="preserve"> (as defined in new subsection (7))</w:t>
      </w:r>
      <w:r w:rsidRPr="00390F67">
        <w:rPr>
          <w:rFonts w:eastAsia="Palatino Linotype"/>
        </w:rPr>
        <w:t xml:space="preserve"> where the damage (as defined in subsection (</w:t>
      </w:r>
      <w:r>
        <w:rPr>
          <w:rFonts w:eastAsia="Palatino Linotype"/>
        </w:rPr>
        <w:t>1Z</w:t>
      </w:r>
      <w:r w:rsidRPr="00390F67">
        <w:rPr>
          <w:rFonts w:eastAsia="Palatino Linotype"/>
        </w:rPr>
        <w:t>C)) complained of occurred outside the British Islands.</w:t>
      </w:r>
    </w:p>
    <w:p w:rsidR="00ED6753" w:rsidRDefault="00ED6753" w:rsidP="00CE2EE4">
      <w:pPr>
        <w:pStyle w:val="ParaNumbered"/>
        <w:rPr>
          <w:rFonts w:eastAsia="Palatino Linotype"/>
        </w:rPr>
      </w:pPr>
      <w:r>
        <w:rPr>
          <w:rFonts w:eastAsia="Palatino Linotype"/>
        </w:rPr>
        <w:t xml:space="preserve">Paragraph </w:t>
      </w:r>
      <w:r w:rsidRPr="00390F67">
        <w:rPr>
          <w:rFonts w:eastAsia="Palatino Linotype"/>
        </w:rPr>
        <w:t xml:space="preserve">1(3) </w:t>
      </w:r>
      <w:r>
        <w:rPr>
          <w:rFonts w:eastAsia="Palatino Linotype"/>
        </w:rPr>
        <w:t>inserts new subsections (2A) to (2B) into section 33 of the LA. These specify the effect of these amendments in relations to section 12 of the LA.</w:t>
      </w:r>
    </w:p>
    <w:p w:rsidR="00ED6753" w:rsidRPr="00390F67" w:rsidRDefault="00ED6753" w:rsidP="00CE2EE4">
      <w:pPr>
        <w:pStyle w:val="ParaNumbered"/>
        <w:rPr>
          <w:rFonts w:eastAsia="Palatino Linotype"/>
        </w:rPr>
      </w:pPr>
      <w:r>
        <w:rPr>
          <w:rFonts w:eastAsia="Palatino Linotype"/>
        </w:rPr>
        <w:t xml:space="preserve">Paragraph 1(4) </w:t>
      </w:r>
      <w:r w:rsidRPr="00390F67">
        <w:rPr>
          <w:rFonts w:eastAsia="Palatino Linotype"/>
        </w:rPr>
        <w:t xml:space="preserve">inserts new subsections (5A) </w:t>
      </w:r>
      <w:r>
        <w:rPr>
          <w:rFonts w:eastAsia="Palatino Linotype"/>
        </w:rPr>
        <w:t>and</w:t>
      </w:r>
      <w:r w:rsidRPr="00390F67">
        <w:rPr>
          <w:rFonts w:eastAsia="Palatino Linotype"/>
        </w:rPr>
        <w:t xml:space="preserve"> (5</w:t>
      </w:r>
      <w:r>
        <w:rPr>
          <w:rFonts w:eastAsia="Palatino Linotype"/>
        </w:rPr>
        <w:t>B</w:t>
      </w:r>
      <w:r w:rsidRPr="00390F67">
        <w:rPr>
          <w:rFonts w:eastAsia="Palatino Linotype"/>
        </w:rPr>
        <w:t xml:space="preserve">) into section 33 of the </w:t>
      </w:r>
      <w:r>
        <w:rPr>
          <w:rFonts w:eastAsia="Palatino Linotype"/>
        </w:rPr>
        <w:t>LA</w:t>
      </w:r>
      <w:r w:rsidRPr="00390F67">
        <w:rPr>
          <w:rFonts w:eastAsia="Palatino Linotype"/>
        </w:rPr>
        <w:t xml:space="preserve">. Subsection (5A) specifies those additional factors to which the court must have particular regard, when deciding whether to disapply the normal time limit for bringing a personal injury or death claim. These factors are intended to ensure that the court takes proper account of the operational context (as defined in subsection (5B)), </w:t>
      </w:r>
      <w:r>
        <w:rPr>
          <w:rFonts w:eastAsia="Palatino Linotype"/>
        </w:rPr>
        <w:t>and</w:t>
      </w:r>
      <w:r w:rsidRPr="00390F67">
        <w:rPr>
          <w:rFonts w:eastAsia="Palatino Linotype"/>
        </w:rPr>
        <w:t xml:space="preserve"> the likely impact of giving evidence on the mental health of the </w:t>
      </w:r>
      <w:r>
        <w:rPr>
          <w:rFonts w:eastAsia="Palatino Linotype"/>
        </w:rPr>
        <w:t>S</w:t>
      </w:r>
      <w:r w:rsidRPr="00390F67">
        <w:rPr>
          <w:rFonts w:eastAsia="Palatino Linotype"/>
        </w:rPr>
        <w:t>ervice personnel or veterans involved.</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1(</w:t>
      </w:r>
      <w:r>
        <w:rPr>
          <w:rFonts w:eastAsia="Palatino Linotype"/>
        </w:rPr>
        <w:t>5</w:t>
      </w:r>
      <w:r w:rsidRPr="00390F67">
        <w:rPr>
          <w:rFonts w:eastAsia="Palatino Linotype"/>
        </w:rPr>
        <w:t xml:space="preserve">), which inserts a new subsection (6A) into section 33 of the </w:t>
      </w:r>
      <w:r>
        <w:rPr>
          <w:rFonts w:eastAsia="Palatino Linotype"/>
        </w:rPr>
        <w:t>LA</w:t>
      </w:r>
      <w:r w:rsidRPr="00390F67">
        <w:rPr>
          <w:rFonts w:eastAsia="Palatino Linotype"/>
        </w:rPr>
        <w:t xml:space="preserve">, clarifies </w:t>
      </w:r>
      <w:r>
        <w:rPr>
          <w:rFonts w:eastAsia="Palatino Linotype"/>
        </w:rPr>
        <w:t xml:space="preserve">how these amendments will apply in light of </w:t>
      </w:r>
      <w:r w:rsidRPr="00390F67">
        <w:rPr>
          <w:rFonts w:eastAsia="Palatino Linotype"/>
        </w:rPr>
        <w:t>the Limitation (Enemies and War Prisoners) Act 1945.</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1(</w:t>
      </w:r>
      <w:r>
        <w:rPr>
          <w:rFonts w:eastAsia="Palatino Linotype"/>
        </w:rPr>
        <w:t>6</w:t>
      </w:r>
      <w:r w:rsidRPr="00390F67">
        <w:rPr>
          <w:rFonts w:eastAsia="Palatino Linotype"/>
        </w:rPr>
        <w:t xml:space="preserve">) </w:t>
      </w:r>
      <w:r>
        <w:rPr>
          <w:rFonts w:eastAsia="Palatino Linotype"/>
        </w:rPr>
        <w:t>substitutes</w:t>
      </w:r>
      <w:r w:rsidRPr="00390F67">
        <w:rPr>
          <w:rFonts w:eastAsia="Palatino Linotype"/>
        </w:rPr>
        <w:t xml:space="preserve"> a new subsection (7) into section 33 of the </w:t>
      </w:r>
      <w:r>
        <w:rPr>
          <w:rFonts w:eastAsia="Palatino Linotype"/>
        </w:rPr>
        <w:t>LA</w:t>
      </w:r>
      <w:r w:rsidRPr="00390F67">
        <w:rPr>
          <w:rFonts w:eastAsia="Palatino Linotype"/>
        </w:rPr>
        <w:t>. This amends the definitions used to restrict the effect of these amendments to</w:t>
      </w:r>
      <w:r>
        <w:rPr>
          <w:rFonts w:eastAsia="Palatino Linotype"/>
        </w:rPr>
        <w:t xml:space="preserve"> claims for</w:t>
      </w:r>
      <w:r w:rsidRPr="00390F67">
        <w:rPr>
          <w:rFonts w:eastAsia="Palatino Linotype"/>
        </w:rPr>
        <w:t xml:space="preserve"> personal injuries or deaths </w:t>
      </w:r>
      <w:r>
        <w:rPr>
          <w:rFonts w:eastAsia="Palatino Linotype"/>
        </w:rPr>
        <w:t>connected with</w:t>
      </w:r>
      <w:r w:rsidRPr="00390F67">
        <w:rPr>
          <w:rFonts w:eastAsia="Palatino Linotype"/>
        </w:rPr>
        <w:t xml:space="preserve"> overseas operations; and explain</w:t>
      </w:r>
      <w:r>
        <w:rPr>
          <w:rFonts w:eastAsia="Palatino Linotype"/>
        </w:rPr>
        <w:t>s</w:t>
      </w:r>
      <w:r w:rsidRPr="00390F67">
        <w:rPr>
          <w:rFonts w:eastAsia="Palatino Linotype"/>
        </w:rPr>
        <w:t xml:space="preserve"> how “the relevant date” is to be calculated.</w:t>
      </w:r>
    </w:p>
    <w:p w:rsidR="00ED6753" w:rsidRPr="00E903EA" w:rsidRDefault="00ED6753" w:rsidP="00C86B36">
      <w:pPr>
        <w:pStyle w:val="HSubheading5"/>
        <w:rPr>
          <w:rFonts w:eastAsia="Palatino Linotype"/>
        </w:rPr>
      </w:pPr>
      <w:bookmarkStart w:id="37" w:name="_Toc72857858"/>
      <w:r w:rsidRPr="00E903EA">
        <w:rPr>
          <w:rFonts w:eastAsia="Palatino Linotype"/>
        </w:rPr>
        <w:t>Part 2 – Restriction of foreign limitation law</w:t>
      </w:r>
      <w:bookmarkEnd w:id="37"/>
    </w:p>
    <w:p w:rsidR="00ED6753" w:rsidRPr="00390F67" w:rsidRDefault="00ED6753" w:rsidP="003732C4">
      <w:pPr>
        <w:pStyle w:val="ParaNumbered"/>
        <w:widowControl/>
        <w:rPr>
          <w:rFonts w:eastAsia="Palatino Linotype"/>
        </w:rPr>
      </w:pPr>
      <w:r>
        <w:rPr>
          <w:rFonts w:eastAsia="Palatino Linotype"/>
        </w:rPr>
        <w:t>Part 2 of Schedule 2</w:t>
      </w:r>
      <w:r w:rsidRPr="00390F67">
        <w:rPr>
          <w:rFonts w:eastAsia="Palatino Linotype"/>
        </w:rPr>
        <w:t xml:space="preserve"> amends the Foreign Limitation Periods Act 1984, and ensure</w:t>
      </w:r>
      <w:r>
        <w:rPr>
          <w:rFonts w:eastAsia="Palatino Linotype"/>
        </w:rPr>
        <w:t>s</w:t>
      </w:r>
      <w:r w:rsidRPr="00390F67">
        <w:rPr>
          <w:rFonts w:eastAsia="Palatino Linotype"/>
        </w:rPr>
        <w:t xml:space="preserve"> that </w:t>
      </w:r>
      <w:r>
        <w:rPr>
          <w:rFonts w:eastAsia="Palatino Linotype"/>
        </w:rPr>
        <w:t>where</w:t>
      </w:r>
      <w:r w:rsidRPr="00390F67">
        <w:rPr>
          <w:rFonts w:eastAsia="Palatino Linotype"/>
        </w:rPr>
        <w:t xml:space="preserve"> foreign limitation periods </w:t>
      </w:r>
      <w:r>
        <w:rPr>
          <w:rFonts w:eastAsia="Palatino Linotype"/>
        </w:rPr>
        <w:t>are applicable to personal injury and/or death claims connected with overseas operations brought in England or Wales, claimants cannot benefit from more generous time limits in that foreign law</w:t>
      </w:r>
      <w:r w:rsidRPr="00390F67">
        <w:rPr>
          <w:rFonts w:eastAsia="Palatino Linotype"/>
        </w:rPr>
        <w:t xml:space="preserve">. Those amendments restrict – to a maximum of six years from the date on which the cause of action arose – the court’s discretion to extend the normal time limit for bringing claims against the Ministry of Defence, the Secretary of State for Defence, or members of Her Majesty’s forces for personal injuries, deaths or false imprisonment that occurred </w:t>
      </w:r>
      <w:r>
        <w:rPr>
          <w:rFonts w:eastAsia="Palatino Linotype"/>
        </w:rPr>
        <w:t>in connection with</w:t>
      </w:r>
      <w:r w:rsidRPr="00390F67">
        <w:rPr>
          <w:rFonts w:eastAsia="Palatino Linotype"/>
        </w:rPr>
        <w:t xml:space="preserve"> an overseas operation.</w:t>
      </w:r>
    </w:p>
    <w:p w:rsidR="00ED6753" w:rsidRPr="00390F67" w:rsidRDefault="00ED6753" w:rsidP="00CE2EE4">
      <w:pPr>
        <w:pStyle w:val="ParaNumbered"/>
        <w:rPr>
          <w:rFonts w:eastAsia="Palatino Linotype"/>
        </w:rPr>
      </w:pPr>
      <w:r>
        <w:rPr>
          <w:rFonts w:eastAsia="Palatino Linotype"/>
        </w:rPr>
        <w:t>Paragraphs</w:t>
      </w:r>
      <w:r w:rsidRPr="00390F67">
        <w:rPr>
          <w:rFonts w:eastAsia="Palatino Linotype"/>
        </w:rPr>
        <w:t xml:space="preserve"> 2(2) and (3) insert a new section (1ZA) into the Act.</w:t>
      </w:r>
    </w:p>
    <w:p w:rsidR="00ED6753" w:rsidRPr="00390F67" w:rsidRDefault="00ED6753" w:rsidP="00CE2EE4">
      <w:pPr>
        <w:pStyle w:val="ParaNumbered"/>
        <w:rPr>
          <w:rFonts w:eastAsia="Palatino Linotype"/>
        </w:rPr>
      </w:pPr>
      <w:r w:rsidRPr="00390F67">
        <w:rPr>
          <w:rFonts w:eastAsia="Palatino Linotype"/>
        </w:rPr>
        <w:lastRenderedPageBreak/>
        <w:t xml:space="preserve">Subsection </w:t>
      </w:r>
      <w:r>
        <w:rPr>
          <w:rFonts w:eastAsia="Palatino Linotype"/>
        </w:rPr>
        <w:t>(</w:t>
      </w:r>
      <w:r w:rsidRPr="00390F67">
        <w:rPr>
          <w:rFonts w:eastAsia="Palatino Linotype"/>
        </w:rPr>
        <w:t>1ZA</w:t>
      </w:r>
      <w:r>
        <w:rPr>
          <w:rFonts w:eastAsia="Palatino Linotype"/>
        </w:rPr>
        <w:t>)</w:t>
      </w:r>
      <w:r w:rsidRPr="00390F67">
        <w:rPr>
          <w:rFonts w:eastAsia="Palatino Linotype"/>
        </w:rPr>
        <w:t xml:space="preserve">(1) specifies that, for subsection </w:t>
      </w:r>
      <w:r>
        <w:rPr>
          <w:rFonts w:eastAsia="Palatino Linotype"/>
        </w:rPr>
        <w:t>(</w:t>
      </w:r>
      <w:r w:rsidRPr="00390F67">
        <w:rPr>
          <w:rFonts w:eastAsia="Palatino Linotype"/>
        </w:rPr>
        <w:t>1ZA</w:t>
      </w:r>
      <w:r>
        <w:rPr>
          <w:rFonts w:eastAsia="Palatino Linotype"/>
        </w:rPr>
        <w:t>)</w:t>
      </w:r>
      <w:r w:rsidRPr="00390F67">
        <w:rPr>
          <w:rFonts w:eastAsia="Palatino Linotype"/>
        </w:rPr>
        <w:t xml:space="preserve">(3) to apply, the conditions set out in subsections </w:t>
      </w:r>
      <w:r>
        <w:rPr>
          <w:rFonts w:eastAsia="Palatino Linotype"/>
        </w:rPr>
        <w:t>(</w:t>
      </w:r>
      <w:r w:rsidRPr="00390F67">
        <w:rPr>
          <w:rFonts w:eastAsia="Palatino Linotype"/>
        </w:rPr>
        <w:t>1ZA</w:t>
      </w:r>
      <w:r>
        <w:rPr>
          <w:rFonts w:eastAsia="Palatino Linotype"/>
        </w:rPr>
        <w:t>)</w:t>
      </w:r>
      <w:r w:rsidRPr="00390F67">
        <w:rPr>
          <w:rFonts w:eastAsia="Palatino Linotype"/>
        </w:rPr>
        <w:t xml:space="preserve">(1) and </w:t>
      </w:r>
      <w:r>
        <w:rPr>
          <w:rFonts w:eastAsia="Palatino Linotype"/>
        </w:rPr>
        <w:t>(</w:t>
      </w:r>
      <w:r w:rsidRPr="00390F67">
        <w:rPr>
          <w:rFonts w:eastAsia="Palatino Linotype"/>
        </w:rPr>
        <w:t>1ZA</w:t>
      </w:r>
      <w:r>
        <w:rPr>
          <w:rFonts w:eastAsia="Palatino Linotype"/>
        </w:rPr>
        <w:t>)</w:t>
      </w:r>
      <w:r w:rsidRPr="00390F67">
        <w:rPr>
          <w:rFonts w:eastAsia="Palatino Linotype"/>
        </w:rPr>
        <w:t xml:space="preserve">(2) must be met. </w:t>
      </w:r>
    </w:p>
    <w:p w:rsidR="00ED6753" w:rsidRPr="00390F67" w:rsidRDefault="00ED6753" w:rsidP="00CE2EE4">
      <w:pPr>
        <w:pStyle w:val="ParaNumbered"/>
        <w:rPr>
          <w:rFonts w:eastAsia="Palatino Linotype"/>
        </w:rPr>
      </w:pPr>
      <w:r w:rsidRPr="00390F67">
        <w:rPr>
          <w:rFonts w:eastAsia="Palatino Linotype"/>
        </w:rPr>
        <w:t xml:space="preserve">Subsection </w:t>
      </w:r>
      <w:r>
        <w:rPr>
          <w:rFonts w:eastAsia="Palatino Linotype"/>
        </w:rPr>
        <w:t>(</w:t>
      </w:r>
      <w:r w:rsidRPr="00390F67">
        <w:rPr>
          <w:rFonts w:eastAsia="Palatino Linotype"/>
        </w:rPr>
        <w:t>1ZA</w:t>
      </w:r>
      <w:r>
        <w:rPr>
          <w:rFonts w:eastAsia="Palatino Linotype"/>
        </w:rPr>
        <w:t>)</w:t>
      </w:r>
      <w:r w:rsidRPr="00390F67">
        <w:rPr>
          <w:rFonts w:eastAsia="Palatino Linotype"/>
        </w:rPr>
        <w:t xml:space="preserve">(1) requires that the cause of action has arisen in </w:t>
      </w:r>
      <w:r>
        <w:rPr>
          <w:rFonts w:eastAsia="Palatino Linotype"/>
        </w:rPr>
        <w:t>connection with</w:t>
      </w:r>
      <w:r w:rsidRPr="00390F67">
        <w:rPr>
          <w:rFonts w:eastAsia="Palatino Linotype"/>
        </w:rPr>
        <w:t xml:space="preserve"> an overseas military operation, and </w:t>
      </w:r>
      <w:r>
        <w:rPr>
          <w:rFonts w:eastAsia="Palatino Linotype"/>
        </w:rPr>
        <w:t>is</w:t>
      </w:r>
      <w:r w:rsidRPr="00390F67">
        <w:rPr>
          <w:rFonts w:eastAsia="Palatino Linotype"/>
        </w:rPr>
        <w:t xml:space="preserve"> subject to the limitation law of the foreign country under whose law the tort claim has been brought.</w:t>
      </w:r>
    </w:p>
    <w:p w:rsidR="00ED6753" w:rsidRPr="00390F67" w:rsidRDefault="00ED6753" w:rsidP="00CE2EE4">
      <w:pPr>
        <w:pStyle w:val="ParaNumbered"/>
        <w:rPr>
          <w:rFonts w:eastAsia="Palatino Linotype"/>
        </w:rPr>
      </w:pPr>
      <w:r w:rsidRPr="00390F67">
        <w:rPr>
          <w:rFonts w:eastAsia="Palatino Linotype"/>
        </w:rPr>
        <w:t xml:space="preserve">Subsection </w:t>
      </w:r>
      <w:r>
        <w:rPr>
          <w:rFonts w:eastAsia="Palatino Linotype"/>
        </w:rPr>
        <w:t>(</w:t>
      </w:r>
      <w:r w:rsidRPr="00390F67">
        <w:rPr>
          <w:rFonts w:eastAsia="Palatino Linotype"/>
        </w:rPr>
        <w:t>1ZA</w:t>
      </w:r>
      <w:r>
        <w:rPr>
          <w:rFonts w:eastAsia="Palatino Linotype"/>
        </w:rPr>
        <w:t>)</w:t>
      </w:r>
      <w:r w:rsidRPr="00390F67">
        <w:rPr>
          <w:rFonts w:eastAsia="Palatino Linotype"/>
        </w:rPr>
        <w:t>(2) requires that a period of six years must have elapsed since the date on which the foreign limitation period began, or when the action could first have been brought.</w:t>
      </w:r>
    </w:p>
    <w:p w:rsidR="00ED6753" w:rsidRPr="00390F67" w:rsidRDefault="00ED6753" w:rsidP="00CE2EE4">
      <w:pPr>
        <w:pStyle w:val="ParaNumbered"/>
        <w:rPr>
          <w:rFonts w:eastAsia="Palatino Linotype"/>
        </w:rPr>
      </w:pPr>
      <w:r w:rsidRPr="00390F67">
        <w:rPr>
          <w:rFonts w:eastAsia="Palatino Linotype"/>
        </w:rPr>
        <w:t xml:space="preserve">If both those conditions are satisfied, subsection </w:t>
      </w:r>
      <w:r>
        <w:rPr>
          <w:rFonts w:eastAsia="Palatino Linotype"/>
        </w:rPr>
        <w:t>(</w:t>
      </w:r>
      <w:r w:rsidRPr="00390F67">
        <w:rPr>
          <w:rFonts w:eastAsia="Palatino Linotype"/>
        </w:rPr>
        <w:t>1ZA</w:t>
      </w:r>
      <w:r>
        <w:rPr>
          <w:rFonts w:eastAsia="Palatino Linotype"/>
        </w:rPr>
        <w:t>)</w:t>
      </w:r>
      <w:r w:rsidRPr="00390F67">
        <w:rPr>
          <w:rFonts w:eastAsia="Palatino Linotype"/>
        </w:rPr>
        <w:t>(3) specifies that the</w:t>
      </w:r>
      <w:r>
        <w:rPr>
          <w:rFonts w:eastAsia="Palatino Linotype"/>
        </w:rPr>
        <w:t xml:space="preserve"> defendant (i.e.</w:t>
      </w:r>
      <w:r w:rsidRPr="00390F67">
        <w:rPr>
          <w:rFonts w:eastAsia="Palatino Linotype"/>
        </w:rPr>
        <w:t xml:space="preserve"> Ministry of Defence, the Secretary of State for Defence, or members of Her Majesty’s forces</w:t>
      </w:r>
      <w:r>
        <w:rPr>
          <w:rFonts w:eastAsia="Palatino Linotype"/>
        </w:rPr>
        <w:t>)</w:t>
      </w:r>
      <w:r w:rsidRPr="00390F67" w:rsidDel="009F5460">
        <w:rPr>
          <w:rFonts w:eastAsia="Palatino Linotype"/>
        </w:rPr>
        <w:t xml:space="preserve"> </w:t>
      </w:r>
      <w:r w:rsidRPr="00390F67">
        <w:rPr>
          <w:rFonts w:eastAsia="Palatino Linotype"/>
        </w:rPr>
        <w:t>will have a complete defence to any such claim. This ensure</w:t>
      </w:r>
      <w:r>
        <w:rPr>
          <w:rFonts w:eastAsia="Palatino Linotype"/>
        </w:rPr>
        <w:t>s</w:t>
      </w:r>
      <w:r w:rsidRPr="00390F67">
        <w:rPr>
          <w:rFonts w:eastAsia="Palatino Linotype"/>
        </w:rPr>
        <w:t xml:space="preserve"> that no claim in relation to overseas operations that is brought in reliance on foreign law can proceed after six years.</w:t>
      </w:r>
    </w:p>
    <w:p w:rsidR="00ED6753" w:rsidRPr="00390F67" w:rsidRDefault="00ED6753" w:rsidP="00CE2EE4">
      <w:pPr>
        <w:pStyle w:val="ParaNumbered"/>
        <w:rPr>
          <w:rFonts w:eastAsia="Palatino Linotype"/>
        </w:rPr>
      </w:pPr>
      <w:r w:rsidRPr="00390F67">
        <w:rPr>
          <w:rFonts w:eastAsia="Palatino Linotype"/>
        </w:rPr>
        <w:t xml:space="preserve">Subsection </w:t>
      </w:r>
      <w:r>
        <w:rPr>
          <w:rFonts w:eastAsia="Palatino Linotype"/>
        </w:rPr>
        <w:t>(</w:t>
      </w:r>
      <w:r w:rsidRPr="00390F67">
        <w:rPr>
          <w:rFonts w:eastAsia="Palatino Linotype"/>
        </w:rPr>
        <w:t>1ZA</w:t>
      </w:r>
      <w:r>
        <w:rPr>
          <w:rFonts w:eastAsia="Palatino Linotype"/>
        </w:rPr>
        <w:t>)</w:t>
      </w:r>
      <w:r w:rsidRPr="00390F67">
        <w:rPr>
          <w:rFonts w:eastAsia="Palatino Linotype"/>
        </w:rPr>
        <w:t>(4) defines the meaning of “overseas armed forces tort action”.</w:t>
      </w:r>
    </w:p>
    <w:p w:rsidR="00ED6753" w:rsidRPr="00390F67" w:rsidRDefault="00ED6753" w:rsidP="00CE2EE4">
      <w:pPr>
        <w:pStyle w:val="ParaNumbered"/>
        <w:rPr>
          <w:rFonts w:eastAsia="Palatino Linotype"/>
        </w:rPr>
      </w:pPr>
      <w:r w:rsidRPr="00390F67">
        <w:rPr>
          <w:rFonts w:eastAsia="Palatino Linotype"/>
        </w:rPr>
        <w:t xml:space="preserve">Subsections </w:t>
      </w:r>
      <w:r>
        <w:rPr>
          <w:rFonts w:eastAsia="Palatino Linotype"/>
        </w:rPr>
        <w:t>(1</w:t>
      </w:r>
      <w:r w:rsidRPr="00390F67">
        <w:rPr>
          <w:rFonts w:eastAsia="Palatino Linotype"/>
        </w:rPr>
        <w:t>ZA</w:t>
      </w:r>
      <w:r>
        <w:rPr>
          <w:rFonts w:eastAsia="Palatino Linotype"/>
        </w:rPr>
        <w:t>)</w:t>
      </w:r>
      <w:r w:rsidRPr="00390F67">
        <w:rPr>
          <w:rFonts w:eastAsia="Palatino Linotype"/>
        </w:rPr>
        <w:t xml:space="preserve">(5) </w:t>
      </w:r>
      <w:r>
        <w:rPr>
          <w:rFonts w:eastAsia="Palatino Linotype"/>
        </w:rPr>
        <w:t xml:space="preserve">and </w:t>
      </w:r>
      <w:r w:rsidRPr="00390F67">
        <w:rPr>
          <w:rFonts w:eastAsia="Palatino Linotype"/>
        </w:rPr>
        <w:t>(</w:t>
      </w:r>
      <w:r>
        <w:rPr>
          <w:rFonts w:eastAsia="Palatino Linotype"/>
        </w:rPr>
        <w:t>6</w:t>
      </w:r>
      <w:r w:rsidRPr="00390F67">
        <w:rPr>
          <w:rFonts w:eastAsia="Palatino Linotype"/>
        </w:rPr>
        <w:t xml:space="preserve">) specify what should happen in relation to claims where the limitation period under the applicable foreign law has been suspended, </w:t>
      </w:r>
      <w:r>
        <w:rPr>
          <w:rFonts w:eastAsia="Palatino Linotype"/>
        </w:rPr>
        <w:t>interrupted</w:t>
      </w:r>
      <w:r w:rsidRPr="00390F67">
        <w:rPr>
          <w:rFonts w:eastAsia="Palatino Linotype"/>
        </w:rPr>
        <w:t>,</w:t>
      </w:r>
      <w:r>
        <w:rPr>
          <w:rFonts w:eastAsia="Palatino Linotype"/>
        </w:rPr>
        <w:t xml:space="preserve"> or disregarded,</w:t>
      </w:r>
      <w:r w:rsidRPr="00390F67">
        <w:rPr>
          <w:rFonts w:eastAsia="Palatino Linotype"/>
        </w:rPr>
        <w:t xml:space="preserve"> or where the Limitation (Enemies and Prisoners of War) Act 1945 applies.</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2(4) inserts a new subsection (3A) into section 7 of the Act, and specifies that </w:t>
      </w:r>
      <w:r>
        <w:rPr>
          <w:rFonts w:eastAsia="Palatino Linotype"/>
        </w:rPr>
        <w:t>new section 1ZA applies</w:t>
      </w:r>
      <w:r w:rsidRPr="00390F67">
        <w:rPr>
          <w:rFonts w:eastAsia="Palatino Linotype"/>
        </w:rPr>
        <w:t xml:space="preserve"> to any claim that is commenced after </w:t>
      </w:r>
      <w:r>
        <w:rPr>
          <w:rFonts w:eastAsia="Palatino Linotype"/>
        </w:rPr>
        <w:t>that section</w:t>
      </w:r>
      <w:r w:rsidRPr="00390F67">
        <w:rPr>
          <w:rFonts w:eastAsia="Palatino Linotype"/>
        </w:rPr>
        <w:t xml:space="preserve"> comes into force. Claims that have been commenced before </w:t>
      </w:r>
      <w:r>
        <w:rPr>
          <w:rFonts w:eastAsia="Palatino Linotype"/>
        </w:rPr>
        <w:t>new section 1ZA</w:t>
      </w:r>
      <w:r w:rsidRPr="00390F67">
        <w:rPr>
          <w:rFonts w:eastAsia="Palatino Linotype"/>
        </w:rPr>
        <w:t xml:space="preserve"> comes into force are unaffected by these amendments.</w:t>
      </w:r>
    </w:p>
    <w:p w:rsidR="00ED6753" w:rsidRPr="00390F67" w:rsidRDefault="00ED6753" w:rsidP="00C86B36">
      <w:pPr>
        <w:pStyle w:val="HSubheading4"/>
        <w:rPr>
          <w:rFonts w:eastAsia="Palatino Linotype"/>
          <w:sz w:val="20"/>
          <w:szCs w:val="20"/>
        </w:rPr>
      </w:pPr>
      <w:bookmarkStart w:id="38" w:name="_Toc72857859"/>
      <w:r w:rsidRPr="00390F67">
        <w:rPr>
          <w:rFonts w:eastAsia="Palatino Linotype"/>
        </w:rPr>
        <w:t>Schedule 3: Limitation periods: Scotland</w:t>
      </w:r>
      <w:bookmarkEnd w:id="38"/>
    </w:p>
    <w:p w:rsidR="00ED6753" w:rsidRPr="00390F67" w:rsidRDefault="00ED6753" w:rsidP="00C86B36">
      <w:pPr>
        <w:pStyle w:val="HSubheading5"/>
        <w:rPr>
          <w:rFonts w:eastAsia="Palatino Linotype"/>
        </w:rPr>
      </w:pPr>
      <w:bookmarkStart w:id="39" w:name="_Toc72857860"/>
      <w:r w:rsidRPr="00390F67">
        <w:rPr>
          <w:rFonts w:eastAsia="Palatino Linotype"/>
        </w:rPr>
        <w:t xml:space="preserve">Part 1 – Court’s </w:t>
      </w:r>
      <w:r>
        <w:rPr>
          <w:rFonts w:eastAsia="Palatino Linotype"/>
        </w:rPr>
        <w:t>power</w:t>
      </w:r>
      <w:r w:rsidRPr="00390F67">
        <w:rPr>
          <w:rFonts w:eastAsia="Palatino Linotype"/>
        </w:rPr>
        <w:t xml:space="preserve"> to </w:t>
      </w:r>
      <w:r>
        <w:rPr>
          <w:rFonts w:eastAsia="Palatino Linotype"/>
        </w:rPr>
        <w:t>override</w:t>
      </w:r>
      <w:r w:rsidRPr="00390F67">
        <w:rPr>
          <w:rFonts w:eastAsia="Palatino Linotype"/>
        </w:rPr>
        <w:t xml:space="preserve"> time limits</w:t>
      </w:r>
      <w:bookmarkEnd w:id="39"/>
    </w:p>
    <w:p w:rsidR="00ED6753" w:rsidRPr="00390F67" w:rsidRDefault="00ED6753" w:rsidP="00CE2EE4">
      <w:pPr>
        <w:pStyle w:val="ParaNumbered"/>
        <w:rPr>
          <w:rFonts w:eastAsia="Palatino Linotype"/>
        </w:rPr>
      </w:pPr>
      <w:r>
        <w:rPr>
          <w:rFonts w:eastAsia="Palatino Linotype"/>
        </w:rPr>
        <w:t>Part 1 of Schedule 3</w:t>
      </w:r>
      <w:r w:rsidRPr="00390F67">
        <w:rPr>
          <w:rFonts w:eastAsia="Palatino Linotype"/>
        </w:rPr>
        <w:t xml:space="preserve"> amend</w:t>
      </w:r>
      <w:r>
        <w:rPr>
          <w:rFonts w:eastAsia="Palatino Linotype"/>
        </w:rPr>
        <w:t>s</w:t>
      </w:r>
      <w:r w:rsidRPr="00390F67">
        <w:rPr>
          <w:rFonts w:eastAsia="Palatino Linotype"/>
        </w:rPr>
        <w:t xml:space="preserve"> section 19A of the Prescription and Limitation (Scotland) Act 1973, which permits the </w:t>
      </w:r>
      <w:r>
        <w:rPr>
          <w:rFonts w:eastAsia="Palatino Linotype"/>
        </w:rPr>
        <w:t>c</w:t>
      </w:r>
      <w:r w:rsidRPr="00390F67">
        <w:rPr>
          <w:rFonts w:eastAsia="Palatino Linotype"/>
        </w:rPr>
        <w:t>ourt to override the normal time limit for bringing</w:t>
      </w:r>
      <w:r>
        <w:rPr>
          <w:rFonts w:eastAsia="Palatino Linotype"/>
        </w:rPr>
        <w:t xml:space="preserve"> personal injury and/or death</w:t>
      </w:r>
      <w:r w:rsidRPr="00390F67">
        <w:rPr>
          <w:rFonts w:eastAsia="Palatino Linotype"/>
        </w:rPr>
        <w:t xml:space="preserve"> claims.</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1(3) inserts a new section 19AA, which restricts </w:t>
      </w:r>
      <w:r>
        <w:rPr>
          <w:rFonts w:eastAsia="Palatino Linotype"/>
        </w:rPr>
        <w:t>the</w:t>
      </w:r>
      <w:r w:rsidRPr="00390F67">
        <w:rPr>
          <w:rFonts w:eastAsia="Palatino Linotype"/>
        </w:rPr>
        <w:t xml:space="preserve"> power</w:t>
      </w:r>
      <w:r>
        <w:rPr>
          <w:rFonts w:eastAsia="Palatino Linotype"/>
        </w:rPr>
        <w:t xml:space="preserve"> in section 19A</w:t>
      </w:r>
      <w:r w:rsidRPr="00390F67">
        <w:rPr>
          <w:rFonts w:eastAsia="Palatino Linotype"/>
        </w:rPr>
        <w:t xml:space="preserve"> in relation to overseas operations.</w:t>
      </w:r>
    </w:p>
    <w:p w:rsidR="00ED6753" w:rsidRPr="00390F67" w:rsidRDefault="00ED6753" w:rsidP="00CE2EE4">
      <w:pPr>
        <w:pStyle w:val="ParaNumbered"/>
        <w:numPr>
          <w:ilvl w:val="1"/>
          <w:numId w:val="5"/>
        </w:numPr>
        <w:rPr>
          <w:rFonts w:eastAsia="Palatino Linotype"/>
        </w:rPr>
      </w:pPr>
      <w:r>
        <w:rPr>
          <w:rFonts w:eastAsia="Palatino Linotype"/>
        </w:rPr>
        <w:t>New s</w:t>
      </w:r>
      <w:r w:rsidRPr="00390F67">
        <w:rPr>
          <w:rFonts w:eastAsia="Palatino Linotype"/>
        </w:rPr>
        <w:t>ection 19AA(</w:t>
      </w:r>
      <w:r>
        <w:rPr>
          <w:rFonts w:eastAsia="Palatino Linotype"/>
        </w:rPr>
        <w:t>2</w:t>
      </w:r>
      <w:r w:rsidRPr="00390F67">
        <w:rPr>
          <w:rFonts w:eastAsia="Palatino Linotype"/>
        </w:rPr>
        <w:t>) makes the exercise of</w:t>
      </w:r>
      <w:r>
        <w:rPr>
          <w:rFonts w:eastAsia="Palatino Linotype"/>
        </w:rPr>
        <w:t xml:space="preserve"> the discretionary</w:t>
      </w:r>
      <w:r w:rsidRPr="00390F67">
        <w:rPr>
          <w:rFonts w:eastAsia="Palatino Linotype"/>
        </w:rPr>
        <w:t xml:space="preserve"> </w:t>
      </w:r>
      <w:r>
        <w:rPr>
          <w:rFonts w:eastAsia="Palatino Linotype"/>
        </w:rPr>
        <w:t>power</w:t>
      </w:r>
      <w:r w:rsidRPr="00390F67">
        <w:rPr>
          <w:rFonts w:eastAsia="Palatino Linotype"/>
        </w:rPr>
        <w:t xml:space="preserve"> subject to</w:t>
      </w:r>
      <w:r>
        <w:rPr>
          <w:rFonts w:eastAsia="Palatino Linotype"/>
        </w:rPr>
        <w:t xml:space="preserve"> new</w:t>
      </w:r>
      <w:r w:rsidRPr="00390F67">
        <w:rPr>
          <w:rFonts w:eastAsia="Palatino Linotype"/>
        </w:rPr>
        <w:t xml:space="preserve"> section 19AA(</w:t>
      </w:r>
      <w:r>
        <w:rPr>
          <w:rFonts w:eastAsia="Palatino Linotype"/>
        </w:rPr>
        <w:t>3</w:t>
      </w:r>
      <w:r w:rsidRPr="00390F67">
        <w:rPr>
          <w:rFonts w:eastAsia="Palatino Linotype"/>
        </w:rPr>
        <w:t>) and 19AA(</w:t>
      </w:r>
      <w:r>
        <w:rPr>
          <w:rFonts w:eastAsia="Palatino Linotype"/>
        </w:rPr>
        <w:t>5</w:t>
      </w:r>
      <w:r w:rsidRPr="00390F67">
        <w:rPr>
          <w:rFonts w:eastAsia="Palatino Linotype"/>
        </w:rPr>
        <w:t>)</w:t>
      </w:r>
      <w:r>
        <w:rPr>
          <w:rFonts w:eastAsia="Palatino Linotype"/>
        </w:rPr>
        <w:t xml:space="preserve"> to 19AA(7)</w:t>
      </w:r>
      <w:r w:rsidRPr="00390F67">
        <w:rPr>
          <w:rFonts w:eastAsia="Palatino Linotype"/>
        </w:rPr>
        <w:t xml:space="preserve">. </w:t>
      </w:r>
    </w:p>
    <w:p w:rsidR="00ED6753" w:rsidRPr="00390F67" w:rsidRDefault="00ED6753" w:rsidP="00CE2EE4">
      <w:pPr>
        <w:pStyle w:val="ParaNumbered"/>
        <w:numPr>
          <w:ilvl w:val="1"/>
          <w:numId w:val="5"/>
        </w:numPr>
        <w:rPr>
          <w:rFonts w:eastAsia="Palatino Linotype"/>
        </w:rPr>
      </w:pPr>
      <w:r>
        <w:rPr>
          <w:rFonts w:eastAsia="Palatino Linotype"/>
        </w:rPr>
        <w:t>New s</w:t>
      </w:r>
      <w:r w:rsidRPr="00390F67">
        <w:rPr>
          <w:rFonts w:eastAsia="Palatino Linotype"/>
        </w:rPr>
        <w:t>ection 19AA(</w:t>
      </w:r>
      <w:r>
        <w:rPr>
          <w:rFonts w:eastAsia="Palatino Linotype"/>
        </w:rPr>
        <w:t>3</w:t>
      </w:r>
      <w:r w:rsidRPr="00390F67">
        <w:rPr>
          <w:rFonts w:eastAsia="Palatino Linotype"/>
        </w:rPr>
        <w:t xml:space="preserve">) specifies </w:t>
      </w:r>
      <w:r>
        <w:rPr>
          <w:rFonts w:eastAsia="Palatino Linotype"/>
        </w:rPr>
        <w:t>the</w:t>
      </w:r>
      <w:r w:rsidRPr="00390F67">
        <w:rPr>
          <w:rFonts w:eastAsia="Palatino Linotype"/>
        </w:rPr>
        <w:t xml:space="preserve"> factors to which the court must have particular regard when deciding whether to disapply the normal time limit for bringing a claim for personal injury (including delictual protection of liberty i.e. false imprisonment) or death. These factors are intended to ensure that the court takes proper account of the operational context (as defined in </w:t>
      </w:r>
      <w:r>
        <w:rPr>
          <w:rFonts w:eastAsia="Palatino Linotype"/>
        </w:rPr>
        <w:t xml:space="preserve">new </w:t>
      </w:r>
      <w:r w:rsidRPr="00390F67">
        <w:rPr>
          <w:rFonts w:eastAsia="Palatino Linotype"/>
        </w:rPr>
        <w:t>section 19AA(</w:t>
      </w:r>
      <w:r>
        <w:rPr>
          <w:rFonts w:eastAsia="Palatino Linotype"/>
        </w:rPr>
        <w:t>4</w:t>
      </w:r>
      <w:r w:rsidRPr="00390F67">
        <w:rPr>
          <w:rFonts w:eastAsia="Palatino Linotype"/>
        </w:rPr>
        <w:t xml:space="preserve">)), </w:t>
      </w:r>
      <w:r>
        <w:rPr>
          <w:rFonts w:eastAsia="Palatino Linotype"/>
        </w:rPr>
        <w:t>and</w:t>
      </w:r>
      <w:r w:rsidRPr="00390F67">
        <w:rPr>
          <w:rFonts w:eastAsia="Palatino Linotype"/>
        </w:rPr>
        <w:t xml:space="preserve"> the likely impact of giving evidence on the mental health of the </w:t>
      </w:r>
      <w:r>
        <w:rPr>
          <w:rFonts w:eastAsia="Palatino Linotype"/>
        </w:rPr>
        <w:t>S</w:t>
      </w:r>
      <w:r w:rsidRPr="00390F67">
        <w:rPr>
          <w:rFonts w:eastAsia="Palatino Linotype"/>
        </w:rPr>
        <w:t>ervice personnel or veterans involved.</w:t>
      </w:r>
    </w:p>
    <w:p w:rsidR="00ED6753" w:rsidRPr="00390F67" w:rsidRDefault="00ED6753" w:rsidP="00CE2EE4">
      <w:pPr>
        <w:pStyle w:val="ParaNumbered"/>
        <w:numPr>
          <w:ilvl w:val="1"/>
          <w:numId w:val="5"/>
        </w:numPr>
        <w:rPr>
          <w:rFonts w:eastAsia="Palatino Linotype"/>
        </w:rPr>
      </w:pPr>
      <w:r>
        <w:rPr>
          <w:rFonts w:eastAsia="Palatino Linotype"/>
        </w:rPr>
        <w:t>New s</w:t>
      </w:r>
      <w:r w:rsidRPr="00390F67">
        <w:rPr>
          <w:rFonts w:eastAsia="Palatino Linotype"/>
        </w:rPr>
        <w:t>ection</w:t>
      </w:r>
      <w:r>
        <w:rPr>
          <w:rFonts w:eastAsia="Palatino Linotype"/>
        </w:rPr>
        <w:t>s</w:t>
      </w:r>
      <w:r w:rsidRPr="00390F67">
        <w:rPr>
          <w:rFonts w:eastAsia="Palatino Linotype"/>
        </w:rPr>
        <w:t xml:space="preserve"> (19AA)(</w:t>
      </w:r>
      <w:r>
        <w:rPr>
          <w:rFonts w:eastAsia="Palatino Linotype"/>
        </w:rPr>
        <w:t>5</w:t>
      </w:r>
      <w:r w:rsidRPr="00390F67">
        <w:rPr>
          <w:rFonts w:eastAsia="Palatino Linotype"/>
        </w:rPr>
        <w:t xml:space="preserve">) </w:t>
      </w:r>
      <w:r>
        <w:rPr>
          <w:rFonts w:eastAsia="Palatino Linotype"/>
        </w:rPr>
        <w:t xml:space="preserve">and (19AA)(6) </w:t>
      </w:r>
      <w:r w:rsidRPr="00390F67">
        <w:rPr>
          <w:rFonts w:eastAsia="Palatino Linotype"/>
        </w:rPr>
        <w:t>prohibit the court from allowing any claim to proceed if it has been commenced more than six years after the relevant date (as defined in section 19AA(</w:t>
      </w:r>
      <w:r>
        <w:rPr>
          <w:rFonts w:eastAsia="Palatino Linotype"/>
        </w:rPr>
        <w:t>13</w:t>
      </w:r>
      <w:r w:rsidRPr="00390F67">
        <w:rPr>
          <w:rFonts w:eastAsia="Palatino Linotype"/>
        </w:rPr>
        <w:t>)).</w:t>
      </w:r>
      <w:r>
        <w:rPr>
          <w:rFonts w:eastAsia="Palatino Linotype"/>
        </w:rPr>
        <w:t xml:space="preserve"> Section 19AA(7) prohibits the court from allowing a claim under section 18(4) of the Act to proceed unless the person died within six years of the relevant date </w:t>
      </w:r>
      <w:r w:rsidRPr="00390F67">
        <w:rPr>
          <w:rFonts w:eastAsia="Palatino Linotype"/>
        </w:rPr>
        <w:t>(as defined in section 19AA(</w:t>
      </w:r>
      <w:r>
        <w:rPr>
          <w:rFonts w:eastAsia="Palatino Linotype"/>
        </w:rPr>
        <w:t>13</w:t>
      </w:r>
      <w:r w:rsidRPr="00390F67">
        <w:rPr>
          <w:rFonts w:eastAsia="Palatino Linotype"/>
        </w:rPr>
        <w:t>))</w:t>
      </w:r>
      <w:r>
        <w:rPr>
          <w:rFonts w:eastAsia="Palatino Linotype"/>
        </w:rPr>
        <w:t>.</w:t>
      </w:r>
      <w:r w:rsidRPr="00390F67">
        <w:rPr>
          <w:rFonts w:eastAsia="Palatino Linotype"/>
        </w:rPr>
        <w:t xml:space="preserve"> </w:t>
      </w:r>
    </w:p>
    <w:p w:rsidR="00ED6753" w:rsidRPr="00390F67" w:rsidRDefault="00ED6753" w:rsidP="00CE2EE4">
      <w:pPr>
        <w:pStyle w:val="ParaNumbered"/>
        <w:numPr>
          <w:ilvl w:val="1"/>
          <w:numId w:val="5"/>
        </w:numPr>
        <w:rPr>
          <w:rFonts w:eastAsia="Palatino Linotype"/>
        </w:rPr>
      </w:pPr>
      <w:r>
        <w:rPr>
          <w:rFonts w:eastAsia="Palatino Linotype"/>
        </w:rPr>
        <w:t>New s</w:t>
      </w:r>
      <w:r w:rsidRPr="00390F67">
        <w:rPr>
          <w:rFonts w:eastAsia="Palatino Linotype"/>
        </w:rPr>
        <w:t>ection</w:t>
      </w:r>
      <w:r>
        <w:rPr>
          <w:rFonts w:eastAsia="Palatino Linotype"/>
        </w:rPr>
        <w:t>s</w:t>
      </w:r>
      <w:r w:rsidRPr="00390F67">
        <w:rPr>
          <w:rFonts w:eastAsia="Palatino Linotype"/>
        </w:rPr>
        <w:t xml:space="preserve"> 19AA(</w:t>
      </w:r>
      <w:r>
        <w:rPr>
          <w:rFonts w:eastAsia="Palatino Linotype"/>
        </w:rPr>
        <w:t>8</w:t>
      </w:r>
      <w:r w:rsidRPr="00390F67">
        <w:rPr>
          <w:rFonts w:eastAsia="Palatino Linotype"/>
        </w:rPr>
        <w:t xml:space="preserve">) </w:t>
      </w:r>
      <w:r>
        <w:rPr>
          <w:rFonts w:eastAsia="Palatino Linotype"/>
        </w:rPr>
        <w:t>to</w:t>
      </w:r>
      <w:r w:rsidRPr="00390F67">
        <w:rPr>
          <w:rFonts w:eastAsia="Palatino Linotype"/>
        </w:rPr>
        <w:t xml:space="preserve"> (</w:t>
      </w:r>
      <w:r>
        <w:rPr>
          <w:rFonts w:eastAsia="Palatino Linotype"/>
        </w:rPr>
        <w:t>10</w:t>
      </w:r>
      <w:r w:rsidRPr="00390F67">
        <w:rPr>
          <w:rFonts w:eastAsia="Palatino Linotype"/>
        </w:rPr>
        <w:t xml:space="preserve">) specify what should happen </w:t>
      </w:r>
      <w:r>
        <w:rPr>
          <w:rFonts w:eastAsia="Palatino Linotype"/>
        </w:rPr>
        <w:t>where periods of time have been</w:t>
      </w:r>
      <w:r w:rsidRPr="00390F67">
        <w:rPr>
          <w:rFonts w:eastAsia="Palatino Linotype"/>
        </w:rPr>
        <w:t xml:space="preserve"> </w:t>
      </w:r>
      <w:r>
        <w:rPr>
          <w:rFonts w:eastAsia="Palatino Linotype"/>
        </w:rPr>
        <w:t>disregarded,</w:t>
      </w:r>
      <w:r w:rsidRPr="00390F67">
        <w:rPr>
          <w:rFonts w:eastAsia="Palatino Linotype"/>
        </w:rPr>
        <w:t xml:space="preserve"> or where the Limitation (Enemies and </w:t>
      </w:r>
      <w:r>
        <w:rPr>
          <w:rFonts w:eastAsia="Palatino Linotype"/>
        </w:rPr>
        <w:t xml:space="preserve">War </w:t>
      </w:r>
      <w:r w:rsidRPr="00390F67">
        <w:rPr>
          <w:rFonts w:eastAsia="Palatino Linotype"/>
        </w:rPr>
        <w:t>Prisoners) Act 1945 applies.</w:t>
      </w:r>
    </w:p>
    <w:p w:rsidR="00ED6753" w:rsidRPr="00390F67" w:rsidRDefault="00ED6753" w:rsidP="00CE2EE4">
      <w:pPr>
        <w:pStyle w:val="ParaNumbered"/>
        <w:numPr>
          <w:ilvl w:val="1"/>
          <w:numId w:val="5"/>
        </w:numPr>
        <w:rPr>
          <w:rFonts w:eastAsia="Palatino Linotype"/>
        </w:rPr>
      </w:pPr>
      <w:r>
        <w:rPr>
          <w:rFonts w:eastAsia="Palatino Linotype"/>
        </w:rPr>
        <w:t>New s</w:t>
      </w:r>
      <w:r w:rsidRPr="00390F67">
        <w:rPr>
          <w:rFonts w:eastAsia="Palatino Linotype"/>
        </w:rPr>
        <w:t>ections 19AA(</w:t>
      </w:r>
      <w:r>
        <w:rPr>
          <w:rFonts w:eastAsia="Palatino Linotype"/>
        </w:rPr>
        <w:t>11</w:t>
      </w:r>
      <w:r w:rsidRPr="00390F67">
        <w:rPr>
          <w:rFonts w:eastAsia="Palatino Linotype"/>
        </w:rPr>
        <w:t xml:space="preserve">) </w:t>
      </w:r>
      <w:r>
        <w:rPr>
          <w:rFonts w:eastAsia="Palatino Linotype"/>
        </w:rPr>
        <w:t>to</w:t>
      </w:r>
      <w:r w:rsidRPr="00390F67">
        <w:rPr>
          <w:rFonts w:eastAsia="Palatino Linotype"/>
        </w:rPr>
        <w:t xml:space="preserve"> (</w:t>
      </w:r>
      <w:r>
        <w:rPr>
          <w:rFonts w:eastAsia="Palatino Linotype"/>
        </w:rPr>
        <w:t>14</w:t>
      </w:r>
      <w:r w:rsidRPr="00390F67">
        <w:rPr>
          <w:rFonts w:eastAsia="Palatino Linotype"/>
        </w:rPr>
        <w:t xml:space="preserve">) provide definitions of the terms used elsewhere in this </w:t>
      </w:r>
      <w:r w:rsidRPr="00390F67">
        <w:rPr>
          <w:rFonts w:eastAsia="Palatino Linotype"/>
        </w:rPr>
        <w:lastRenderedPageBreak/>
        <w:t>section.</w:t>
      </w:r>
    </w:p>
    <w:p w:rsidR="00ED6753" w:rsidRPr="00390F67" w:rsidRDefault="00ED6753" w:rsidP="00C86B36">
      <w:pPr>
        <w:pStyle w:val="HSubheading5"/>
        <w:rPr>
          <w:rFonts w:eastAsia="Palatino Linotype"/>
        </w:rPr>
      </w:pPr>
      <w:bookmarkStart w:id="40" w:name="_Toc72857861"/>
      <w:r w:rsidRPr="00390F67">
        <w:rPr>
          <w:rFonts w:eastAsia="Palatino Linotype"/>
        </w:rPr>
        <w:t>Part 2 – Restriction of foreign limitation law</w:t>
      </w:r>
      <w:bookmarkEnd w:id="40"/>
    </w:p>
    <w:p w:rsidR="00ED6753" w:rsidRPr="00390F67" w:rsidRDefault="00ED6753" w:rsidP="00CE2EE4">
      <w:pPr>
        <w:pStyle w:val="ParaNumbered"/>
        <w:rPr>
          <w:rFonts w:eastAsia="Palatino Linotype"/>
        </w:rPr>
      </w:pPr>
      <w:r>
        <w:rPr>
          <w:rFonts w:eastAsia="Palatino Linotype"/>
        </w:rPr>
        <w:t>Part 2 of Schedule 3</w:t>
      </w:r>
      <w:r w:rsidRPr="00390F67">
        <w:rPr>
          <w:rFonts w:eastAsia="Palatino Linotype"/>
        </w:rPr>
        <w:t xml:space="preserve"> amends section 23</w:t>
      </w:r>
      <w:r>
        <w:rPr>
          <w:rFonts w:eastAsia="Palatino Linotype"/>
        </w:rPr>
        <w:t>A</w:t>
      </w:r>
      <w:r w:rsidRPr="00390F67">
        <w:rPr>
          <w:rFonts w:eastAsia="Palatino Linotype"/>
        </w:rPr>
        <w:t xml:space="preserve"> of the Prescription and Limitation (Scotland) Act 1973, and ensure</w:t>
      </w:r>
      <w:r>
        <w:rPr>
          <w:rFonts w:eastAsia="Palatino Linotype"/>
        </w:rPr>
        <w:t>s</w:t>
      </w:r>
      <w:r w:rsidRPr="00390F67">
        <w:rPr>
          <w:rFonts w:eastAsia="Palatino Linotype"/>
        </w:rPr>
        <w:t xml:space="preserve"> that</w:t>
      </w:r>
      <w:r>
        <w:rPr>
          <w:rFonts w:eastAsia="Palatino Linotype"/>
        </w:rPr>
        <w:t xml:space="preserve"> where</w:t>
      </w:r>
      <w:r w:rsidRPr="00390F67">
        <w:rPr>
          <w:rFonts w:eastAsia="Palatino Linotype"/>
        </w:rPr>
        <w:t xml:space="preserve"> foreign limitation periods </w:t>
      </w:r>
      <w:r>
        <w:rPr>
          <w:rFonts w:eastAsia="Palatino Linotype"/>
        </w:rPr>
        <w:t>are applicable to personal injury and/or death claims connected with overseas operations brought in Scotland, claimants cannot benefit from more gene</w:t>
      </w:r>
      <w:r w:rsidR="00205B61">
        <w:rPr>
          <w:rFonts w:eastAsia="Palatino Linotype"/>
        </w:rPr>
        <w:t>rous time limits in foreign law</w:t>
      </w:r>
      <w:r w:rsidRPr="00390F67">
        <w:rPr>
          <w:rFonts w:eastAsia="Palatino Linotype"/>
        </w:rPr>
        <w:t>. Those amendments restrict – to a maximum of six years from the date on which the cause of action arose – the court’s discretion to extend the normal time limit for bringing claims against the Ministry of Defence, the Secretary of State for Defence, or members of Her Majesty’s forces for personal injuries, deaths or false imprisonment that occurred during an overseas operation.</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2(</w:t>
      </w:r>
      <w:r>
        <w:rPr>
          <w:rFonts w:eastAsia="Palatino Linotype"/>
        </w:rPr>
        <w:t>1</w:t>
      </w:r>
      <w:r w:rsidRPr="00390F67">
        <w:rPr>
          <w:rFonts w:eastAsia="Palatino Linotype"/>
        </w:rPr>
        <w:t>) and (3) insert a new section 23B into the Act.</w:t>
      </w:r>
    </w:p>
    <w:p w:rsidR="00ED6753" w:rsidRPr="00390F67" w:rsidRDefault="00ED6753" w:rsidP="00CE2EE4">
      <w:pPr>
        <w:pStyle w:val="ParaNumbered"/>
        <w:rPr>
          <w:rFonts w:eastAsia="Palatino Linotype"/>
        </w:rPr>
      </w:pPr>
      <w:r w:rsidRPr="00390F67">
        <w:rPr>
          <w:rFonts w:eastAsia="Palatino Linotype"/>
        </w:rPr>
        <w:t>Section 23B(1) specifies that subsection (3) appl</w:t>
      </w:r>
      <w:r>
        <w:rPr>
          <w:rFonts w:eastAsia="Palatino Linotype"/>
        </w:rPr>
        <w:t>ies where</w:t>
      </w:r>
      <w:r w:rsidRPr="00390F67">
        <w:rPr>
          <w:rFonts w:eastAsia="Palatino Linotype"/>
        </w:rPr>
        <w:t xml:space="preserve"> the conditions set out in subsections</w:t>
      </w:r>
      <w:r>
        <w:rPr>
          <w:rFonts w:eastAsia="Palatino Linotype"/>
        </w:rPr>
        <w:t xml:space="preserve"> </w:t>
      </w:r>
      <w:r w:rsidRPr="00390F67">
        <w:rPr>
          <w:rFonts w:eastAsia="Palatino Linotype"/>
        </w:rPr>
        <w:t xml:space="preserve">(1) and (2) </w:t>
      </w:r>
      <w:r>
        <w:rPr>
          <w:rFonts w:eastAsia="Palatino Linotype"/>
        </w:rPr>
        <w:t>are</w:t>
      </w:r>
      <w:r w:rsidRPr="00390F67">
        <w:rPr>
          <w:rFonts w:eastAsia="Palatino Linotype"/>
        </w:rPr>
        <w:t xml:space="preserve"> met. </w:t>
      </w:r>
    </w:p>
    <w:p w:rsidR="00ED6753" w:rsidRPr="00390F67" w:rsidRDefault="00ED6753" w:rsidP="00CE2EE4">
      <w:pPr>
        <w:pStyle w:val="ParaNumbered"/>
        <w:numPr>
          <w:ilvl w:val="1"/>
          <w:numId w:val="5"/>
        </w:numPr>
        <w:rPr>
          <w:rFonts w:eastAsia="Palatino Linotype"/>
        </w:rPr>
      </w:pPr>
      <w:r w:rsidRPr="00390F67">
        <w:rPr>
          <w:rFonts w:eastAsia="Palatino Linotype"/>
        </w:rPr>
        <w:t xml:space="preserve">Section 23B(1) requires that the cause of action has arisen in </w:t>
      </w:r>
      <w:r>
        <w:rPr>
          <w:rFonts w:eastAsia="Palatino Linotype"/>
        </w:rPr>
        <w:t>relation to</w:t>
      </w:r>
      <w:r w:rsidRPr="00390F67">
        <w:rPr>
          <w:rFonts w:eastAsia="Palatino Linotype"/>
        </w:rPr>
        <w:t xml:space="preserve"> an overseas operation, and </w:t>
      </w:r>
      <w:r>
        <w:rPr>
          <w:rFonts w:eastAsia="Palatino Linotype"/>
        </w:rPr>
        <w:t>is</w:t>
      </w:r>
      <w:r w:rsidRPr="00390F67">
        <w:rPr>
          <w:rFonts w:eastAsia="Palatino Linotype"/>
        </w:rPr>
        <w:t xml:space="preserve"> subject to the limitation law of the foreign country under whose law the </w:t>
      </w:r>
      <w:r>
        <w:rPr>
          <w:rFonts w:eastAsia="Palatino Linotype"/>
        </w:rPr>
        <w:t>personal injury</w:t>
      </w:r>
      <w:r w:rsidRPr="00390F67">
        <w:rPr>
          <w:rFonts w:eastAsia="Palatino Linotype"/>
        </w:rPr>
        <w:t xml:space="preserve"> claim has been brought.</w:t>
      </w:r>
    </w:p>
    <w:p w:rsidR="00ED6753" w:rsidRPr="00390F67" w:rsidRDefault="00ED6753" w:rsidP="00CE2EE4">
      <w:pPr>
        <w:pStyle w:val="ParaNumbered"/>
        <w:numPr>
          <w:ilvl w:val="1"/>
          <w:numId w:val="5"/>
        </w:numPr>
        <w:rPr>
          <w:rFonts w:eastAsia="Palatino Linotype"/>
        </w:rPr>
      </w:pPr>
      <w:r w:rsidRPr="00390F67">
        <w:rPr>
          <w:rFonts w:eastAsia="Palatino Linotype"/>
        </w:rPr>
        <w:t>Section 23B(2) requires that a period of six years must have elapsed since the date on which the foreign limitation period began, or when the action could first have been brought.</w:t>
      </w:r>
    </w:p>
    <w:p w:rsidR="00ED6753" w:rsidRPr="00390F67" w:rsidRDefault="00ED6753" w:rsidP="00CE2EE4">
      <w:pPr>
        <w:pStyle w:val="ParaNumbered"/>
        <w:rPr>
          <w:rFonts w:eastAsia="Palatino Linotype"/>
        </w:rPr>
      </w:pPr>
      <w:r w:rsidRPr="00390F67">
        <w:rPr>
          <w:rFonts w:eastAsia="Palatino Linotype"/>
        </w:rPr>
        <w:t xml:space="preserve">If both those conditions are satisfied, subsection (3) specifies that the </w:t>
      </w:r>
      <w:r>
        <w:rPr>
          <w:rFonts w:eastAsia="Palatino Linotype"/>
        </w:rPr>
        <w:t xml:space="preserve">defendant (i.e. </w:t>
      </w:r>
      <w:r w:rsidRPr="00390F67">
        <w:rPr>
          <w:rFonts w:eastAsia="Palatino Linotype"/>
        </w:rPr>
        <w:t>Ministry of Defence, the Secretary of State for Defence, or members of Her Majesty’s forces</w:t>
      </w:r>
      <w:r>
        <w:rPr>
          <w:rFonts w:eastAsia="Palatino Linotype"/>
        </w:rPr>
        <w:t>)</w:t>
      </w:r>
      <w:r w:rsidRPr="00390F67" w:rsidDel="009F5460">
        <w:rPr>
          <w:rFonts w:eastAsia="Palatino Linotype"/>
        </w:rPr>
        <w:t xml:space="preserve"> </w:t>
      </w:r>
      <w:r w:rsidRPr="00390F67">
        <w:rPr>
          <w:rFonts w:eastAsia="Palatino Linotype"/>
        </w:rPr>
        <w:t>will have a complete defence to any such claim. This ensure</w:t>
      </w:r>
      <w:r>
        <w:rPr>
          <w:rFonts w:eastAsia="Palatino Linotype"/>
        </w:rPr>
        <w:t>s</w:t>
      </w:r>
      <w:r w:rsidRPr="00390F67">
        <w:rPr>
          <w:rFonts w:eastAsia="Palatino Linotype"/>
        </w:rPr>
        <w:t xml:space="preserve"> that no claim in relation to overseas operations that is brought in reliance on foreign law can proceed after six years.</w:t>
      </w:r>
    </w:p>
    <w:p w:rsidR="00ED6753" w:rsidRPr="00390F67" w:rsidRDefault="00ED6753" w:rsidP="00CE2EE4">
      <w:pPr>
        <w:pStyle w:val="ParaNumbered"/>
        <w:rPr>
          <w:rFonts w:eastAsia="Palatino Linotype"/>
        </w:rPr>
      </w:pPr>
      <w:r w:rsidRPr="00390F67">
        <w:rPr>
          <w:rFonts w:eastAsia="Palatino Linotype"/>
        </w:rPr>
        <w:t xml:space="preserve">Section 23B(4) defines the meaning of “overseas armed forces </w:t>
      </w:r>
      <w:r>
        <w:rPr>
          <w:rFonts w:eastAsia="Palatino Linotype"/>
        </w:rPr>
        <w:t>personal injury</w:t>
      </w:r>
      <w:r w:rsidRPr="00390F67">
        <w:rPr>
          <w:rFonts w:eastAsia="Palatino Linotype"/>
        </w:rPr>
        <w:t xml:space="preserve"> action”.</w:t>
      </w:r>
    </w:p>
    <w:p w:rsidR="00ED6753" w:rsidRPr="00390F67" w:rsidRDefault="00ED6753" w:rsidP="00CE2EE4">
      <w:pPr>
        <w:pStyle w:val="ParaNumbered"/>
        <w:rPr>
          <w:rFonts w:eastAsia="Palatino Linotype"/>
        </w:rPr>
      </w:pPr>
      <w:r w:rsidRPr="00390F67">
        <w:rPr>
          <w:rFonts w:eastAsia="Palatino Linotype"/>
        </w:rPr>
        <w:t xml:space="preserve">Sections 23B(5) </w:t>
      </w:r>
      <w:r>
        <w:rPr>
          <w:rFonts w:eastAsia="Palatino Linotype"/>
        </w:rPr>
        <w:t>specifies what should happen in relation to claims where the limitation period under the applicable foreign law has been suspended, interrupted or disregarded</w:t>
      </w:r>
      <w:r w:rsidRPr="00390F67">
        <w:rPr>
          <w:rFonts w:eastAsia="Palatino Linotype"/>
        </w:rPr>
        <w:t>.</w:t>
      </w:r>
    </w:p>
    <w:p w:rsidR="00ED6753" w:rsidRPr="00390F67" w:rsidRDefault="00ED6753" w:rsidP="00C86B36">
      <w:pPr>
        <w:pStyle w:val="HSubheading4"/>
        <w:rPr>
          <w:rFonts w:eastAsia="Palatino Linotype"/>
        </w:rPr>
      </w:pPr>
      <w:bookmarkStart w:id="41" w:name="_Toc72857862"/>
      <w:r w:rsidRPr="00390F67">
        <w:rPr>
          <w:rFonts w:eastAsia="Palatino Linotype"/>
        </w:rPr>
        <w:t>Schedule 4: Limitation periods: Northern Ireland</w:t>
      </w:r>
      <w:bookmarkEnd w:id="41"/>
    </w:p>
    <w:p w:rsidR="00ED6753" w:rsidRPr="00390F67" w:rsidRDefault="00ED6753" w:rsidP="00C86B36">
      <w:pPr>
        <w:pStyle w:val="HSubheading5"/>
        <w:rPr>
          <w:rFonts w:eastAsia="Palatino Linotype"/>
        </w:rPr>
      </w:pPr>
      <w:bookmarkStart w:id="42" w:name="_Toc72857863"/>
      <w:r w:rsidRPr="00390F67">
        <w:rPr>
          <w:rFonts w:eastAsia="Palatino Linotype"/>
        </w:rPr>
        <w:t>Part 1 – Court’s discretion to disapply time limits</w:t>
      </w:r>
      <w:bookmarkEnd w:id="42"/>
    </w:p>
    <w:p w:rsidR="00ED6753" w:rsidRPr="00390F67" w:rsidRDefault="00ED6753" w:rsidP="00CE2EE4">
      <w:pPr>
        <w:pStyle w:val="ParaNumbered"/>
        <w:rPr>
          <w:rFonts w:eastAsia="Palatino Linotype"/>
        </w:rPr>
      </w:pPr>
      <w:r>
        <w:rPr>
          <w:rFonts w:eastAsia="Palatino Linotype"/>
        </w:rPr>
        <w:t>Part 1 of Schedule 4</w:t>
      </w:r>
      <w:r w:rsidRPr="00390F67">
        <w:rPr>
          <w:rFonts w:eastAsia="Palatino Linotype"/>
        </w:rPr>
        <w:t xml:space="preserve"> amends </w:t>
      </w:r>
      <w:r>
        <w:rPr>
          <w:rFonts w:eastAsia="Palatino Linotype"/>
        </w:rPr>
        <w:t>a</w:t>
      </w:r>
      <w:r w:rsidRPr="00390F67">
        <w:rPr>
          <w:rFonts w:eastAsia="Palatino Linotype"/>
        </w:rPr>
        <w:t>rticle 50 of the Limitation (Northern Ireland) Order 1989 / 1339, which permits the Court to override the normal time limit for bringing claims</w:t>
      </w:r>
      <w:r>
        <w:rPr>
          <w:rFonts w:eastAsia="Palatino Linotype"/>
        </w:rPr>
        <w:t xml:space="preserve"> for personal injury and/or death</w:t>
      </w:r>
      <w:r w:rsidRPr="00390F67">
        <w:rPr>
          <w:rFonts w:eastAsia="Palatino Linotype"/>
        </w:rPr>
        <w:t>.</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1(2) inserts new </w:t>
      </w:r>
      <w:r>
        <w:rPr>
          <w:rFonts w:eastAsia="Palatino Linotype"/>
        </w:rPr>
        <w:t>paragraphs</w:t>
      </w:r>
      <w:r w:rsidRPr="00390F67">
        <w:rPr>
          <w:rFonts w:eastAsia="Palatino Linotype"/>
        </w:rPr>
        <w:t xml:space="preserve"> (</w:t>
      </w:r>
      <w:r>
        <w:rPr>
          <w:rFonts w:eastAsia="Palatino Linotype"/>
        </w:rPr>
        <w:t>1</w:t>
      </w:r>
      <w:r w:rsidRPr="00390F67">
        <w:rPr>
          <w:rFonts w:eastAsia="Palatino Linotype"/>
        </w:rPr>
        <w:t>A) to (</w:t>
      </w:r>
      <w:r>
        <w:rPr>
          <w:rFonts w:eastAsia="Palatino Linotype"/>
        </w:rPr>
        <w:t>1</w:t>
      </w:r>
      <w:r w:rsidRPr="00390F67">
        <w:rPr>
          <w:rFonts w:eastAsia="Palatino Linotype"/>
        </w:rPr>
        <w:t>C).</w:t>
      </w:r>
    </w:p>
    <w:p w:rsidR="00ED6753" w:rsidRPr="00390F67" w:rsidRDefault="00ED6753" w:rsidP="00CE2EE4">
      <w:pPr>
        <w:pStyle w:val="ParaNumbered"/>
        <w:numPr>
          <w:ilvl w:val="1"/>
          <w:numId w:val="5"/>
        </w:numPr>
        <w:rPr>
          <w:rFonts w:eastAsia="Palatino Linotype"/>
        </w:rPr>
      </w:pPr>
      <w:r>
        <w:rPr>
          <w:rFonts w:eastAsia="Palatino Linotype"/>
        </w:rPr>
        <w:t>New paragraph</w:t>
      </w:r>
      <w:r w:rsidRPr="00390F67">
        <w:rPr>
          <w:rFonts w:eastAsia="Palatino Linotype"/>
        </w:rPr>
        <w:t xml:space="preserve"> (</w:t>
      </w:r>
      <w:r>
        <w:rPr>
          <w:rFonts w:eastAsia="Palatino Linotype"/>
        </w:rPr>
        <w:t>1</w:t>
      </w:r>
      <w:r w:rsidRPr="00390F67">
        <w:rPr>
          <w:rFonts w:eastAsia="Palatino Linotype"/>
        </w:rPr>
        <w:t xml:space="preserve">A) prohibits the court from allowing any claim to proceed if it has been commenced more than six years after the relevant date (as defined in new </w:t>
      </w:r>
      <w:r>
        <w:rPr>
          <w:rFonts w:eastAsia="Palatino Linotype"/>
        </w:rPr>
        <w:t>paragraph</w:t>
      </w:r>
      <w:r w:rsidRPr="00390F67">
        <w:rPr>
          <w:rFonts w:eastAsia="Palatino Linotype"/>
        </w:rPr>
        <w:t xml:space="preserve"> (8)).</w:t>
      </w:r>
    </w:p>
    <w:p w:rsidR="00ED6753" w:rsidRPr="00390F67" w:rsidRDefault="00ED6753" w:rsidP="003732C4">
      <w:pPr>
        <w:pStyle w:val="ParaNumbered"/>
        <w:widowControl/>
        <w:numPr>
          <w:ilvl w:val="1"/>
          <w:numId w:val="5"/>
        </w:numPr>
        <w:ind w:left="1434" w:hanging="357"/>
        <w:rPr>
          <w:rFonts w:eastAsia="Palatino Linotype"/>
        </w:rPr>
      </w:pPr>
      <w:r>
        <w:rPr>
          <w:rFonts w:eastAsia="Palatino Linotype"/>
        </w:rPr>
        <w:t>New paragraph</w:t>
      </w:r>
      <w:r w:rsidRPr="00390F67">
        <w:rPr>
          <w:rFonts w:eastAsia="Palatino Linotype"/>
        </w:rPr>
        <w:t xml:space="preserve"> (</w:t>
      </w:r>
      <w:r>
        <w:rPr>
          <w:rFonts w:eastAsia="Palatino Linotype"/>
        </w:rPr>
        <w:t>1</w:t>
      </w:r>
      <w:r w:rsidRPr="00390F67">
        <w:rPr>
          <w:rFonts w:eastAsia="Palatino Linotype"/>
        </w:rPr>
        <w:t xml:space="preserve">B) specifies that these amendments apply only to claims against the Ministry of Defence or Secretary of State for Defence or members of Her Majesty’s forces made in </w:t>
      </w:r>
      <w:r>
        <w:rPr>
          <w:rFonts w:eastAsia="Palatino Linotype"/>
        </w:rPr>
        <w:t>connection with</w:t>
      </w:r>
      <w:r w:rsidRPr="00390F67">
        <w:rPr>
          <w:rFonts w:eastAsia="Palatino Linotype"/>
        </w:rPr>
        <w:t xml:space="preserve"> overseas operations where the damage (as defined in </w:t>
      </w:r>
      <w:r>
        <w:rPr>
          <w:rFonts w:eastAsia="Palatino Linotype"/>
        </w:rPr>
        <w:t>paragraph</w:t>
      </w:r>
      <w:r w:rsidRPr="00390F67">
        <w:rPr>
          <w:rFonts w:eastAsia="Palatino Linotype"/>
        </w:rPr>
        <w:t xml:space="preserve"> (</w:t>
      </w:r>
      <w:r>
        <w:rPr>
          <w:rFonts w:eastAsia="Palatino Linotype"/>
        </w:rPr>
        <w:t>1</w:t>
      </w:r>
      <w:r w:rsidRPr="00390F67">
        <w:rPr>
          <w:rFonts w:eastAsia="Palatino Linotype"/>
        </w:rPr>
        <w:t>C)) complained of occurred outside the British Islands.</w:t>
      </w:r>
    </w:p>
    <w:p w:rsidR="00ED6753" w:rsidRPr="00CE2EE4" w:rsidRDefault="00ED6753" w:rsidP="00CE2EE4">
      <w:pPr>
        <w:pStyle w:val="ParaNumbered"/>
        <w:rPr>
          <w:rFonts w:eastAsia="Palatino Linotype"/>
        </w:rPr>
      </w:pPr>
      <w:r w:rsidRPr="00CE2EE4">
        <w:rPr>
          <w:rFonts w:eastAsia="Palatino Linotype"/>
        </w:rPr>
        <w:t>Paragraph 1(3) inserts new paragraphs (3A) and (3B), which explain how these amendments interact with article 9.</w:t>
      </w:r>
    </w:p>
    <w:p w:rsidR="00ED6753" w:rsidRPr="00CE2EE4" w:rsidRDefault="00ED6753" w:rsidP="00CE2EE4">
      <w:pPr>
        <w:pStyle w:val="ParaNumbered"/>
        <w:rPr>
          <w:rFonts w:eastAsia="Palatino Linotype"/>
        </w:rPr>
      </w:pPr>
      <w:r w:rsidRPr="00CE2EE4">
        <w:rPr>
          <w:rFonts w:eastAsia="Palatino Linotype"/>
        </w:rPr>
        <w:t xml:space="preserve">Paragraph 1(4) inserts new paragraph (6A). Paragraph (6A) specifies those additional factors </w:t>
      </w:r>
      <w:r w:rsidRPr="00CE2EE4">
        <w:rPr>
          <w:rFonts w:eastAsia="Palatino Linotype"/>
        </w:rPr>
        <w:lastRenderedPageBreak/>
        <w:t>to which the court must have particular regard when deciding whether to disapply the normal time limit for bringing a personal injury or death claim. These factors are intended to ensure that the court takes proper account of the operational context (as defined in paragraph (6B)), and the likely impact of giving evidence on the mental health of the Service personnel or veterans involved.</w:t>
      </w:r>
    </w:p>
    <w:p w:rsidR="00ED6753" w:rsidRDefault="00ED6753" w:rsidP="00CE2EE4">
      <w:pPr>
        <w:pStyle w:val="ParaNumbered"/>
        <w:rPr>
          <w:rFonts w:eastAsia="Palatino Linotype"/>
        </w:rPr>
      </w:pPr>
      <w:r>
        <w:rPr>
          <w:rFonts w:eastAsia="Palatino Linotype"/>
        </w:rPr>
        <w:t>Paragraph</w:t>
      </w:r>
      <w:r w:rsidRPr="00390F67">
        <w:rPr>
          <w:rFonts w:eastAsia="Palatino Linotype"/>
        </w:rPr>
        <w:t xml:space="preserve"> (1)(</w:t>
      </w:r>
      <w:r>
        <w:rPr>
          <w:rFonts w:eastAsia="Palatino Linotype"/>
        </w:rPr>
        <w:t>5</w:t>
      </w:r>
      <w:r w:rsidRPr="00390F67">
        <w:rPr>
          <w:rFonts w:eastAsia="Palatino Linotype"/>
        </w:rPr>
        <w:t xml:space="preserve">) inserts a new </w:t>
      </w:r>
      <w:r>
        <w:rPr>
          <w:rFonts w:eastAsia="Palatino Linotype"/>
        </w:rPr>
        <w:t>paragraph</w:t>
      </w:r>
      <w:r w:rsidRPr="00390F67">
        <w:rPr>
          <w:rFonts w:eastAsia="Palatino Linotype"/>
        </w:rPr>
        <w:t xml:space="preserve"> (7A), which clarifies </w:t>
      </w:r>
      <w:r>
        <w:rPr>
          <w:rFonts w:eastAsia="Palatino Linotype"/>
        </w:rPr>
        <w:t xml:space="preserve">how these amendments will apply in light of </w:t>
      </w:r>
      <w:r w:rsidRPr="00390F67">
        <w:rPr>
          <w:rFonts w:eastAsia="Palatino Linotype"/>
        </w:rPr>
        <w:t>the Limitation (Enemies and War Prisoners) Act 1945.</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1(</w:t>
      </w:r>
      <w:r>
        <w:rPr>
          <w:rFonts w:eastAsia="Palatino Linotype"/>
        </w:rPr>
        <w:t>6</w:t>
      </w:r>
      <w:r w:rsidRPr="00390F67">
        <w:rPr>
          <w:rFonts w:eastAsia="Palatino Linotype"/>
        </w:rPr>
        <w:t xml:space="preserve">) </w:t>
      </w:r>
      <w:r>
        <w:rPr>
          <w:rFonts w:eastAsia="Palatino Linotype"/>
        </w:rPr>
        <w:t xml:space="preserve">and (7) </w:t>
      </w:r>
      <w:r w:rsidRPr="00390F67">
        <w:rPr>
          <w:rFonts w:eastAsia="Palatino Linotype"/>
        </w:rPr>
        <w:t>insert new</w:t>
      </w:r>
      <w:r>
        <w:rPr>
          <w:rFonts w:eastAsia="Palatino Linotype"/>
        </w:rPr>
        <w:t xml:space="preserve"> definitions.</w:t>
      </w:r>
    </w:p>
    <w:p w:rsidR="00ED6753" w:rsidRPr="00E903EA" w:rsidRDefault="00ED6753" w:rsidP="00C86B36">
      <w:pPr>
        <w:pStyle w:val="HSubheading5"/>
        <w:rPr>
          <w:rFonts w:eastAsia="Palatino Linotype"/>
        </w:rPr>
      </w:pPr>
      <w:bookmarkStart w:id="43" w:name="_Toc72857864"/>
      <w:r w:rsidRPr="00E903EA">
        <w:rPr>
          <w:rFonts w:eastAsia="Palatino Linotype"/>
        </w:rPr>
        <w:t>Part 2 – Restriction of foreign limitation law</w:t>
      </w:r>
      <w:bookmarkEnd w:id="43"/>
    </w:p>
    <w:p w:rsidR="00ED6753" w:rsidRPr="00390F67" w:rsidRDefault="00ED6753" w:rsidP="00CE2EE4">
      <w:pPr>
        <w:pStyle w:val="ParaNumbered"/>
        <w:rPr>
          <w:rFonts w:eastAsia="Palatino Linotype"/>
        </w:rPr>
      </w:pPr>
      <w:r>
        <w:rPr>
          <w:rFonts w:eastAsia="Palatino Linotype"/>
        </w:rPr>
        <w:t>Part 2 of Schedule 4</w:t>
      </w:r>
      <w:r w:rsidRPr="00390F67">
        <w:rPr>
          <w:rFonts w:eastAsia="Palatino Linotype"/>
        </w:rPr>
        <w:t xml:space="preserve"> amends the Foreign Limitation Periods (Northern Ireland) Order 1985/754, and ensure</w:t>
      </w:r>
      <w:r>
        <w:rPr>
          <w:rFonts w:eastAsia="Palatino Linotype"/>
        </w:rPr>
        <w:t>s</w:t>
      </w:r>
      <w:r w:rsidRPr="00390F67">
        <w:rPr>
          <w:rFonts w:eastAsia="Palatino Linotype"/>
        </w:rPr>
        <w:t xml:space="preserve"> that</w:t>
      </w:r>
      <w:r>
        <w:rPr>
          <w:rFonts w:eastAsia="Palatino Linotype"/>
        </w:rPr>
        <w:t xml:space="preserve"> where</w:t>
      </w:r>
      <w:r w:rsidRPr="00390F67">
        <w:rPr>
          <w:rFonts w:eastAsia="Palatino Linotype"/>
        </w:rPr>
        <w:t xml:space="preserve"> foreign limitation periods </w:t>
      </w:r>
      <w:r>
        <w:rPr>
          <w:rFonts w:eastAsia="Palatino Linotype"/>
        </w:rPr>
        <w:t>are applicable to personal injury and/or death claims connected with overseas operations brought in Scotland, claimants cannot benefit from more generous time limits in foreign law</w:t>
      </w:r>
      <w:r w:rsidRPr="00390F67">
        <w:rPr>
          <w:rFonts w:eastAsia="Palatino Linotype"/>
        </w:rPr>
        <w:t>. Those amendments restrict – to a maximum of six years from the date on which the cause of action arose – the court’s discretion to extend the normal time limit for bringing claims against the Ministry of Defence, the Secretary of State for Defence, or members of Her Majesty’s forces for personal injuries, deaths or false imprisonment that occurred during an overseas operation.</w:t>
      </w:r>
    </w:p>
    <w:p w:rsidR="00ED6753" w:rsidRPr="00390F67" w:rsidRDefault="00ED6753" w:rsidP="00CE2EE4">
      <w:pPr>
        <w:pStyle w:val="ParaNumbered"/>
        <w:rPr>
          <w:rFonts w:eastAsia="Palatino Linotype"/>
        </w:rPr>
      </w:pPr>
      <w:r>
        <w:rPr>
          <w:rFonts w:eastAsia="Palatino Linotype"/>
        </w:rPr>
        <w:t>Paragraph</w:t>
      </w:r>
      <w:r w:rsidRPr="00390F67">
        <w:rPr>
          <w:rFonts w:eastAsia="Palatino Linotype"/>
        </w:rPr>
        <w:t xml:space="preserve"> 2(</w:t>
      </w:r>
      <w:r>
        <w:rPr>
          <w:rFonts w:eastAsia="Palatino Linotype"/>
        </w:rPr>
        <w:t>1</w:t>
      </w:r>
      <w:r w:rsidRPr="00390F67">
        <w:rPr>
          <w:rFonts w:eastAsia="Palatino Linotype"/>
        </w:rPr>
        <w:t xml:space="preserve">) and (3) insert a new article 3A into the </w:t>
      </w:r>
      <w:r>
        <w:rPr>
          <w:rFonts w:eastAsia="Palatino Linotype"/>
        </w:rPr>
        <w:t>Order</w:t>
      </w:r>
      <w:r w:rsidRPr="00390F67">
        <w:rPr>
          <w:rFonts w:eastAsia="Palatino Linotype"/>
        </w:rPr>
        <w:t>.</w:t>
      </w:r>
    </w:p>
    <w:p w:rsidR="00ED6753" w:rsidRPr="00390F67" w:rsidRDefault="00ED6753" w:rsidP="00CE2EE4">
      <w:pPr>
        <w:pStyle w:val="ParaNumbered"/>
        <w:rPr>
          <w:rFonts w:eastAsia="Palatino Linotype"/>
        </w:rPr>
      </w:pPr>
      <w:r>
        <w:rPr>
          <w:rFonts w:eastAsia="Palatino Linotype"/>
        </w:rPr>
        <w:t>Article</w:t>
      </w:r>
      <w:r w:rsidRPr="00390F67">
        <w:rPr>
          <w:rFonts w:eastAsia="Palatino Linotype"/>
        </w:rPr>
        <w:t xml:space="preserve"> 3A(1) specifies that, for </w:t>
      </w:r>
      <w:r>
        <w:rPr>
          <w:rFonts w:eastAsia="Palatino Linotype"/>
        </w:rPr>
        <w:t>article</w:t>
      </w:r>
      <w:r w:rsidRPr="00390F67">
        <w:rPr>
          <w:rFonts w:eastAsia="Palatino Linotype"/>
        </w:rPr>
        <w:t xml:space="preserve"> 3A(3) to apply, the conditions set out in </w:t>
      </w:r>
      <w:r>
        <w:rPr>
          <w:rFonts w:eastAsia="Palatino Linotype"/>
        </w:rPr>
        <w:t>paragraphs</w:t>
      </w:r>
      <w:r w:rsidRPr="00390F67">
        <w:rPr>
          <w:rFonts w:eastAsia="Palatino Linotype"/>
        </w:rPr>
        <w:t xml:space="preserve"> (1) and (2) must be met. </w:t>
      </w:r>
    </w:p>
    <w:p w:rsidR="00ED6753" w:rsidRPr="00390F67" w:rsidRDefault="00ED6753" w:rsidP="00CE2EE4">
      <w:pPr>
        <w:pStyle w:val="ParaNumbered"/>
        <w:numPr>
          <w:ilvl w:val="1"/>
          <w:numId w:val="5"/>
        </w:numPr>
        <w:rPr>
          <w:rFonts w:eastAsia="Palatino Linotype"/>
        </w:rPr>
      </w:pPr>
      <w:r>
        <w:rPr>
          <w:rFonts w:eastAsia="Palatino Linotype"/>
        </w:rPr>
        <w:t>Article</w:t>
      </w:r>
      <w:r w:rsidRPr="00390F67">
        <w:rPr>
          <w:rFonts w:eastAsia="Palatino Linotype"/>
        </w:rPr>
        <w:t xml:space="preserve"> 3A(1) requires that the cause of action has arisen in relation to an overseas operation, and </w:t>
      </w:r>
      <w:r>
        <w:rPr>
          <w:rFonts w:eastAsia="Palatino Linotype"/>
        </w:rPr>
        <w:t>is</w:t>
      </w:r>
      <w:r w:rsidRPr="00390F67">
        <w:rPr>
          <w:rFonts w:eastAsia="Palatino Linotype"/>
        </w:rPr>
        <w:t xml:space="preserve"> subject to the limitation law of the foreign country under whose law the tort claim has been brought.</w:t>
      </w:r>
    </w:p>
    <w:p w:rsidR="00ED6753" w:rsidRPr="00390F67" w:rsidRDefault="00ED6753" w:rsidP="00CE2EE4">
      <w:pPr>
        <w:pStyle w:val="ParaNumbered"/>
        <w:numPr>
          <w:ilvl w:val="1"/>
          <w:numId w:val="5"/>
        </w:numPr>
        <w:rPr>
          <w:rFonts w:eastAsia="Palatino Linotype"/>
        </w:rPr>
      </w:pPr>
      <w:r>
        <w:rPr>
          <w:rFonts w:eastAsia="Palatino Linotype"/>
        </w:rPr>
        <w:t>Article</w:t>
      </w:r>
      <w:r w:rsidRPr="00390F67">
        <w:rPr>
          <w:rFonts w:eastAsia="Palatino Linotype"/>
        </w:rPr>
        <w:t xml:space="preserve"> 3A(2) requires that a period of six years must have elapsed since the date on which the foreign limitation period began, or when the action could first have been brought.</w:t>
      </w:r>
    </w:p>
    <w:p w:rsidR="00ED6753" w:rsidRPr="00390F67" w:rsidRDefault="00ED6753" w:rsidP="00CE2EE4">
      <w:pPr>
        <w:pStyle w:val="ParaNumbered"/>
        <w:rPr>
          <w:rFonts w:eastAsia="Palatino Linotype"/>
        </w:rPr>
      </w:pPr>
      <w:r w:rsidRPr="00390F67">
        <w:rPr>
          <w:rFonts w:eastAsia="Palatino Linotype"/>
        </w:rPr>
        <w:t xml:space="preserve">If both those conditions are satisfied, </w:t>
      </w:r>
      <w:r>
        <w:rPr>
          <w:rFonts w:eastAsia="Palatino Linotype"/>
        </w:rPr>
        <w:t>article</w:t>
      </w:r>
      <w:r w:rsidRPr="00390F67">
        <w:rPr>
          <w:rFonts w:eastAsia="Palatino Linotype"/>
        </w:rPr>
        <w:t xml:space="preserve"> 3A(3) specifies that the</w:t>
      </w:r>
      <w:r>
        <w:rPr>
          <w:rFonts w:eastAsia="Palatino Linotype"/>
        </w:rPr>
        <w:t xml:space="preserve"> defendant</w:t>
      </w:r>
      <w:r w:rsidRPr="00390F67">
        <w:rPr>
          <w:rFonts w:eastAsia="Palatino Linotype"/>
        </w:rPr>
        <w:t xml:space="preserve"> </w:t>
      </w:r>
      <w:r>
        <w:rPr>
          <w:rFonts w:eastAsia="Palatino Linotype"/>
        </w:rPr>
        <w:t xml:space="preserve">(i.e. </w:t>
      </w:r>
      <w:r w:rsidRPr="00390F67">
        <w:rPr>
          <w:rFonts w:eastAsia="Palatino Linotype"/>
        </w:rPr>
        <w:t>Ministry of Defence, the Secretary of State for Defence, or members of Her Majesty’s forces</w:t>
      </w:r>
      <w:r>
        <w:rPr>
          <w:rFonts w:eastAsia="Palatino Linotype"/>
        </w:rPr>
        <w:t>)</w:t>
      </w:r>
      <w:r w:rsidRPr="00390F67" w:rsidDel="009F5460">
        <w:rPr>
          <w:rFonts w:eastAsia="Palatino Linotype"/>
        </w:rPr>
        <w:t xml:space="preserve"> </w:t>
      </w:r>
      <w:r w:rsidRPr="00390F67">
        <w:rPr>
          <w:rFonts w:eastAsia="Palatino Linotype"/>
        </w:rPr>
        <w:t>will have a complete defence to any such claim. This ensure</w:t>
      </w:r>
      <w:r>
        <w:rPr>
          <w:rFonts w:eastAsia="Palatino Linotype"/>
        </w:rPr>
        <w:t>s</w:t>
      </w:r>
      <w:r w:rsidRPr="00390F67">
        <w:rPr>
          <w:rFonts w:eastAsia="Palatino Linotype"/>
        </w:rPr>
        <w:t xml:space="preserve"> that no claim in relation to overseas operations that is brought in reliance on foreign law can proceed after six years.</w:t>
      </w:r>
    </w:p>
    <w:p w:rsidR="00ED6753" w:rsidRPr="00390F67" w:rsidRDefault="00ED6753" w:rsidP="00CE2EE4">
      <w:pPr>
        <w:pStyle w:val="ParaNumbered"/>
        <w:rPr>
          <w:rFonts w:eastAsia="Palatino Linotype"/>
        </w:rPr>
      </w:pPr>
      <w:r>
        <w:rPr>
          <w:rFonts w:eastAsia="Palatino Linotype"/>
        </w:rPr>
        <w:t>Article</w:t>
      </w:r>
      <w:r w:rsidRPr="00390F67">
        <w:rPr>
          <w:rFonts w:eastAsia="Palatino Linotype"/>
        </w:rPr>
        <w:t xml:space="preserve"> 3A(4) defines the meaning of “overseas armed forces tort action” for the purposes of</w:t>
      </w:r>
      <w:r>
        <w:rPr>
          <w:rFonts w:eastAsia="Palatino Linotype"/>
        </w:rPr>
        <w:t xml:space="preserve"> article 3A</w:t>
      </w:r>
      <w:r w:rsidRPr="00390F67">
        <w:rPr>
          <w:rFonts w:eastAsia="Palatino Linotype"/>
        </w:rPr>
        <w:t>.</w:t>
      </w:r>
    </w:p>
    <w:p w:rsidR="00406C96" w:rsidRDefault="00ED6753" w:rsidP="00406C96">
      <w:pPr>
        <w:pStyle w:val="ParaNumbered"/>
        <w:rPr>
          <w:rFonts w:eastAsia="Palatino Linotype"/>
        </w:rPr>
      </w:pPr>
      <w:r>
        <w:rPr>
          <w:rFonts w:eastAsia="Palatino Linotype"/>
        </w:rPr>
        <w:t>Article</w:t>
      </w:r>
      <w:r w:rsidRPr="00390F67">
        <w:rPr>
          <w:rFonts w:eastAsia="Palatino Linotype"/>
        </w:rPr>
        <w:t xml:space="preserve"> 3A(5) </w:t>
      </w:r>
      <w:r>
        <w:rPr>
          <w:rFonts w:eastAsia="Palatino Linotype"/>
        </w:rPr>
        <w:t>and</w:t>
      </w:r>
      <w:r w:rsidRPr="00390F67">
        <w:rPr>
          <w:rFonts w:eastAsia="Palatino Linotype"/>
        </w:rPr>
        <w:t xml:space="preserve"> (</w:t>
      </w:r>
      <w:r>
        <w:rPr>
          <w:rFonts w:eastAsia="Palatino Linotype"/>
        </w:rPr>
        <w:t>6</w:t>
      </w:r>
      <w:r w:rsidRPr="00390F67">
        <w:rPr>
          <w:rFonts w:eastAsia="Palatino Linotype"/>
        </w:rPr>
        <w:t>) specif</w:t>
      </w:r>
      <w:r>
        <w:rPr>
          <w:rFonts w:eastAsia="Palatino Linotype"/>
        </w:rPr>
        <w:t>ies</w:t>
      </w:r>
      <w:r w:rsidRPr="00390F67">
        <w:rPr>
          <w:rFonts w:eastAsia="Palatino Linotype"/>
        </w:rPr>
        <w:t xml:space="preserve"> what should happen in relation to claims where the limitation period under the applicable foreign law has been </w:t>
      </w:r>
      <w:r>
        <w:rPr>
          <w:rFonts w:eastAsia="Palatino Linotype"/>
        </w:rPr>
        <w:t xml:space="preserve">suspended, interrupted or </w:t>
      </w:r>
      <w:r w:rsidRPr="00390F67">
        <w:rPr>
          <w:rFonts w:eastAsia="Palatino Linotype"/>
        </w:rPr>
        <w:t>disregarded, or where the Limitation (Enemies and Prisoners of War) Act 1945 applies.</w:t>
      </w:r>
      <w:r w:rsidR="00406C96">
        <w:rPr>
          <w:rFonts w:eastAsia="Palatino Linotype"/>
        </w:rPr>
        <w:t xml:space="preserve"> </w:t>
      </w:r>
    </w:p>
    <w:p w:rsidR="00821418" w:rsidRPr="00406C96" w:rsidRDefault="00406C96" w:rsidP="00406C96">
      <w:pPr>
        <w:pStyle w:val="ParaNumbered"/>
        <w:rPr>
          <w:rFonts w:eastAsia="Palatino Linotype"/>
        </w:rPr>
      </w:pPr>
      <w:r w:rsidRPr="00406C96">
        <w:rPr>
          <w:rFonts w:eastAsia="Palatino Linotype"/>
        </w:rPr>
        <w:t>Paragraph 2(4) amends article 8, and specifies that new article 3A applies to any claim that is commenced after that article comes into force. Claims that have been commenced before new article 3A comes into force are unaffected by these amendments.</w:t>
      </w:r>
      <w:r w:rsidR="00821418">
        <w:br w:type="page"/>
      </w:r>
    </w:p>
    <w:p w:rsidR="00ED6753" w:rsidRPr="00390F67" w:rsidRDefault="00ED6753" w:rsidP="00C86B36">
      <w:pPr>
        <w:pStyle w:val="Heading1"/>
      </w:pPr>
      <w:bookmarkStart w:id="44" w:name="_Toc72857865"/>
      <w:r w:rsidRPr="00C86B36">
        <w:lastRenderedPageBreak/>
        <w:t>Commencement</w:t>
      </w:r>
      <w:bookmarkEnd w:id="44"/>
    </w:p>
    <w:p w:rsidR="00ED6753" w:rsidRPr="00390F67" w:rsidRDefault="00ED6753" w:rsidP="00CE2EE4">
      <w:pPr>
        <w:pStyle w:val="ParaNumbered"/>
        <w:rPr>
          <w:rFonts w:eastAsia="Palatino Linotype"/>
        </w:rPr>
      </w:pPr>
      <w:r w:rsidRPr="00ED6753">
        <w:rPr>
          <w:rFonts w:eastAsia="Palatino Linotype"/>
        </w:rPr>
        <w:t>Section 14 sets out how the different provisions will be commenced.</w:t>
      </w:r>
    </w:p>
    <w:p w:rsidR="00ED6753" w:rsidRPr="00390F67" w:rsidRDefault="00ED6753" w:rsidP="00C86B36">
      <w:pPr>
        <w:pStyle w:val="Heading1"/>
      </w:pPr>
      <w:bookmarkStart w:id="45" w:name="_Toc72857866"/>
      <w:r w:rsidRPr="00390F67">
        <w:t xml:space="preserve">Related </w:t>
      </w:r>
      <w:r w:rsidRPr="00C86B36">
        <w:t>documents</w:t>
      </w:r>
      <w:bookmarkEnd w:id="45"/>
    </w:p>
    <w:p w:rsidR="00ED6753" w:rsidRPr="00CE2EE4" w:rsidRDefault="00ED6753" w:rsidP="00CE2EE4">
      <w:pPr>
        <w:pStyle w:val="ParaNumbered"/>
      </w:pPr>
      <w:r w:rsidRPr="00CE2EE4">
        <w:rPr>
          <w:rFonts w:eastAsia="Palatino Linotype"/>
        </w:rPr>
        <w:t>The following documents are relevant to the Act and can be read at the stated locations:</w:t>
      </w:r>
    </w:p>
    <w:p w:rsidR="00ED6753" w:rsidRPr="00952296" w:rsidRDefault="00ED6753" w:rsidP="00C86B36">
      <w:pPr>
        <w:pStyle w:val="ParaBulleted"/>
        <w:rPr>
          <w:color w:val="0000FF"/>
          <w:u w:val="single"/>
        </w:rPr>
      </w:pPr>
      <w:r w:rsidRPr="00390F67">
        <w:rPr>
          <w:rFonts w:eastAsia="Palatino Linotype"/>
        </w:rPr>
        <w:t>Public Consultation on Legal Protections for Armed Forces Personnel and Veterans serving in operations outside the United Kingdom</w:t>
      </w:r>
      <w:r>
        <w:rPr>
          <w:rFonts w:eastAsia="Palatino Linotype"/>
        </w:rPr>
        <w:t>,</w:t>
      </w:r>
      <w:r w:rsidRPr="00390F67">
        <w:rPr>
          <w:rFonts w:eastAsia="Palatino Linotype"/>
        </w:rPr>
        <w:t xml:space="preserve"> available </w:t>
      </w:r>
      <w:hyperlink r:id="rId9" w:history="1">
        <w:r w:rsidRPr="00492CE3">
          <w:rPr>
            <w:rStyle w:val="Hyperlink"/>
            <w:rFonts w:eastAsia="Palatino Linotype" w:cs="Palatino Linotype"/>
            <w:szCs w:val="20"/>
          </w:rPr>
          <w:t>here</w:t>
        </w:r>
      </w:hyperlink>
      <w:r>
        <w:rPr>
          <w:rFonts w:eastAsia="Palatino Linotype"/>
        </w:rPr>
        <w:t>.</w:t>
      </w:r>
      <w:r w:rsidRPr="00390F67">
        <w:rPr>
          <w:rFonts w:eastAsia="Palatino Linotype"/>
        </w:rPr>
        <w:t xml:space="preserve"> </w:t>
      </w:r>
    </w:p>
    <w:p w:rsidR="00ED6753" w:rsidRPr="001F2577" w:rsidRDefault="00ED6753" w:rsidP="00C86B36">
      <w:pPr>
        <w:pStyle w:val="ParaBulleted"/>
      </w:pPr>
      <w:r w:rsidRPr="00390F67">
        <w:rPr>
          <w:rFonts w:eastAsia="Palatino Linotype"/>
        </w:rPr>
        <w:t>Public Consultation on Legal Protections for Armed Forces Personnel and Veterans</w:t>
      </w:r>
      <w:r>
        <w:rPr>
          <w:rFonts w:eastAsia="Palatino Linotype"/>
        </w:rPr>
        <w:t xml:space="preserve"> </w:t>
      </w:r>
      <w:r w:rsidRPr="00390F67">
        <w:rPr>
          <w:rFonts w:eastAsia="Palatino Linotype"/>
        </w:rPr>
        <w:t>serving in operations outside the United Kingdom</w:t>
      </w:r>
      <w:r>
        <w:rPr>
          <w:rFonts w:eastAsia="Palatino Linotype"/>
        </w:rPr>
        <w:t xml:space="preserve">: Ministry of Defence Analysis and Response, available </w:t>
      </w:r>
      <w:hyperlink r:id="rId10" w:history="1">
        <w:r w:rsidRPr="00492CE3">
          <w:rPr>
            <w:rStyle w:val="Hyperlink"/>
            <w:rFonts w:eastAsia="Palatino Linotype" w:cs="Palatino Linotype"/>
            <w:szCs w:val="20"/>
          </w:rPr>
          <w:t>here</w:t>
        </w:r>
      </w:hyperlink>
      <w:r>
        <w:rPr>
          <w:rFonts w:eastAsia="Palatino Linotype"/>
        </w:rPr>
        <w:t xml:space="preserve">. </w:t>
      </w:r>
    </w:p>
    <w:p w:rsidR="00ED6753" w:rsidRPr="006B1A29" w:rsidRDefault="00ED6753" w:rsidP="00C86B36">
      <w:pPr>
        <w:pStyle w:val="ParaBulleted"/>
      </w:pPr>
      <w:r w:rsidRPr="00FC75E9">
        <w:rPr>
          <w:rFonts w:eastAsia="Palatino Linotype"/>
        </w:rPr>
        <w:t>House of Commons Defence Committee report</w:t>
      </w:r>
      <w:r>
        <w:rPr>
          <w:rFonts w:eastAsia="Palatino Linotype"/>
        </w:rPr>
        <w:t>,</w:t>
      </w:r>
      <w:r w:rsidRPr="00FC75E9">
        <w:rPr>
          <w:rFonts w:eastAsia="Palatino Linotype"/>
        </w:rPr>
        <w:t xml:space="preserve"> “Drawing a line: Protecting veterans by a Statute of Limitations”. </w:t>
      </w:r>
      <w:r>
        <w:rPr>
          <w:rFonts w:eastAsia="Palatino Linotype"/>
        </w:rPr>
        <w:t>The f</w:t>
      </w:r>
      <w:r w:rsidRPr="00FC75E9">
        <w:rPr>
          <w:rFonts w:eastAsia="Palatino Linotype"/>
        </w:rPr>
        <w:t xml:space="preserve">ull report </w:t>
      </w:r>
      <w:r>
        <w:rPr>
          <w:rFonts w:eastAsia="Palatino Linotype"/>
        </w:rPr>
        <w:t xml:space="preserve">can be found </w:t>
      </w:r>
      <w:hyperlink r:id="rId11" w:history="1">
        <w:r w:rsidRPr="00492CE3">
          <w:rPr>
            <w:rStyle w:val="Hyperlink"/>
            <w:rFonts w:eastAsia="Palatino Linotype" w:cs="Palatino Linotype"/>
            <w:szCs w:val="20"/>
          </w:rPr>
          <w:t>here</w:t>
        </w:r>
      </w:hyperlink>
      <w:r w:rsidRPr="00FC75E9">
        <w:t>.</w:t>
      </w:r>
      <w:r>
        <w:t xml:space="preserve"> The Government’s response can be found </w:t>
      </w:r>
      <w:hyperlink r:id="rId12" w:history="1">
        <w:r w:rsidRPr="00492CE3">
          <w:rPr>
            <w:rStyle w:val="Hyperlink"/>
            <w:szCs w:val="20"/>
          </w:rPr>
          <w:t>here</w:t>
        </w:r>
      </w:hyperlink>
      <w:r>
        <w:t>.</w:t>
      </w:r>
    </w:p>
    <w:p w:rsidR="00ED6753" w:rsidRPr="001F2577" w:rsidRDefault="00ED6753" w:rsidP="00C86B36">
      <w:pPr>
        <w:pStyle w:val="ParaBulleted"/>
      </w:pPr>
      <w:r w:rsidRPr="006B1A29">
        <w:t xml:space="preserve">Joint Committee on Human Rights report on the Overseas Operations (Service Personnel and Veterans) </w:t>
      </w:r>
      <w:r>
        <w:t>Act</w:t>
      </w:r>
      <w:r w:rsidRPr="006B1A29">
        <w:t xml:space="preserve"> can be found </w:t>
      </w:r>
      <w:hyperlink r:id="rId13" w:history="1">
        <w:r w:rsidRPr="006B1A29">
          <w:rPr>
            <w:rStyle w:val="Hyperlink"/>
            <w:szCs w:val="20"/>
          </w:rPr>
          <w:t>here</w:t>
        </w:r>
      </w:hyperlink>
      <w:r>
        <w:t xml:space="preserve">. </w:t>
      </w:r>
      <w:r w:rsidRPr="007259C6">
        <w:rPr>
          <w:rFonts w:eastAsia="Palatino Linotype" w:cs="Palatino Linotype"/>
        </w:rPr>
        <w:t>The Government’s</w:t>
      </w:r>
      <w:r>
        <w:rPr>
          <w:rFonts w:eastAsia="Palatino Linotype" w:cs="Palatino Linotype"/>
        </w:rPr>
        <w:t xml:space="preserve"> response can be found </w:t>
      </w:r>
      <w:hyperlink r:id="rId14" w:history="1">
        <w:r w:rsidRPr="007259C6">
          <w:rPr>
            <w:rStyle w:val="Hyperlink"/>
            <w:rFonts w:eastAsia="Palatino Linotype" w:cs="Palatino Linotype"/>
            <w:szCs w:val="20"/>
          </w:rPr>
          <w:t>here</w:t>
        </w:r>
      </w:hyperlink>
      <w:r>
        <w:rPr>
          <w:rFonts w:eastAsia="Palatino Linotype" w:cs="Palatino Linotype"/>
        </w:rPr>
        <w:t>.</w:t>
      </w:r>
      <w:r>
        <w:t xml:space="preserve"> </w:t>
      </w:r>
    </w:p>
    <w:p w:rsidR="00ED6753" w:rsidRDefault="00ED6753" w:rsidP="00ED6753">
      <w:pPr>
        <w:rPr>
          <w:rFonts w:ascii="Arial" w:eastAsia="Arial" w:hAnsi="Arial" w:cs="Arial"/>
          <w:b/>
          <w:color w:val="0070C0"/>
          <w:sz w:val="36"/>
          <w:szCs w:val="36"/>
        </w:rPr>
      </w:pPr>
      <w:r>
        <w:br w:type="page"/>
      </w:r>
    </w:p>
    <w:p w:rsidR="00ED6753" w:rsidRPr="00390F67" w:rsidRDefault="00ED6753" w:rsidP="00ED6753">
      <w:pPr>
        <w:pStyle w:val="Heading1"/>
        <w:keepNext/>
      </w:pPr>
      <w:bookmarkStart w:id="46" w:name="_Toc72857867"/>
      <w:r w:rsidRPr="00390F67">
        <w:lastRenderedPageBreak/>
        <w:t xml:space="preserve">Annex A </w:t>
      </w:r>
      <w:r w:rsidR="00CE2EE4">
        <w:t>–</w:t>
      </w:r>
      <w:r w:rsidRPr="00390F67">
        <w:t xml:space="preserve"> Territorial extent and application in the United Kingdom</w:t>
      </w:r>
      <w:bookmarkEnd w:id="46"/>
    </w:p>
    <w:p w:rsidR="00ED6753" w:rsidRDefault="00ED6753" w:rsidP="00C86B36">
      <w:pPr>
        <w:pStyle w:val="ParaNumbered"/>
        <w:rPr>
          <w:rFonts w:eastAsia="Palatino Linotype"/>
        </w:rPr>
      </w:pPr>
      <w:r w:rsidRPr="007259C6">
        <w:rPr>
          <w:rFonts w:eastAsia="Palatino Linotype"/>
        </w:rPr>
        <w:t xml:space="preserve">The Act will extend to England and Wales, Scotland and Northern Ireland. The effects of the provisions are substantively the same throughout the UK, but as amendments are needed to different pieces of legislation in the different nations, some provisions of the Act apply to England and Wales only, some to Scotland, and others to Northern Ireland. </w:t>
      </w:r>
    </w:p>
    <w:p w:rsidR="00ED6753" w:rsidRPr="00CD01E2" w:rsidRDefault="00ED6753" w:rsidP="00C86B36">
      <w:pPr>
        <w:pStyle w:val="ParaNumbered"/>
        <w:rPr>
          <w:rFonts w:ascii="Arial" w:hAnsi="Arial" w:cs="Arial"/>
          <w:b/>
          <w:bCs/>
          <w:sz w:val="16"/>
          <w:szCs w:val="16"/>
        </w:rPr>
      </w:pPr>
      <w:r w:rsidRPr="007259C6">
        <w:t>The extent and application of the provisions are summarised in the table below.</w:t>
      </w:r>
    </w:p>
    <w:tbl>
      <w:tblPr>
        <w:tblW w:w="8333"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left w:w="0" w:type="dxa"/>
          <w:right w:w="0" w:type="dxa"/>
        </w:tblCellMar>
        <w:tblLook w:val="04A0" w:firstRow="1" w:lastRow="0" w:firstColumn="1" w:lastColumn="0" w:noHBand="0" w:noVBand="1"/>
      </w:tblPr>
      <w:tblGrid>
        <w:gridCol w:w="1404"/>
        <w:gridCol w:w="1669"/>
        <w:gridCol w:w="1674"/>
        <w:gridCol w:w="1770"/>
        <w:gridCol w:w="1816"/>
      </w:tblGrid>
      <w:tr w:rsidR="00CE2EE4" w:rsidTr="003732C4">
        <w:trPr>
          <w:trHeight w:val="1171"/>
          <w:jc w:val="center"/>
        </w:trPr>
        <w:tc>
          <w:tcPr>
            <w:tcW w:w="1404" w:type="dxa"/>
            <w:tcMar>
              <w:top w:w="0" w:type="dxa"/>
              <w:left w:w="108" w:type="dxa"/>
              <w:bottom w:w="0" w:type="dxa"/>
              <w:right w:w="108" w:type="dxa"/>
            </w:tcMar>
            <w:hideMark/>
          </w:tcPr>
          <w:p w:rsidR="00CE2EE4" w:rsidRPr="003732C4" w:rsidRDefault="00CE2EE4" w:rsidP="003732C4">
            <w:pPr>
              <w:pStyle w:val="TTableText"/>
              <w:rPr>
                <w:rStyle w:val="TTableHeadings"/>
              </w:rPr>
            </w:pPr>
            <w:r w:rsidRPr="003732C4">
              <w:rPr>
                <w:rStyle w:val="TTableHeadings"/>
              </w:rPr>
              <w:t>Provision</w:t>
            </w:r>
          </w:p>
        </w:tc>
        <w:tc>
          <w:tcPr>
            <w:tcW w:w="1669" w:type="dxa"/>
            <w:tcMar>
              <w:top w:w="0" w:type="dxa"/>
              <w:left w:w="108" w:type="dxa"/>
              <w:bottom w:w="0" w:type="dxa"/>
              <w:right w:w="108" w:type="dxa"/>
            </w:tcMar>
            <w:hideMark/>
          </w:tcPr>
          <w:p w:rsidR="00CE2EE4" w:rsidRPr="003732C4" w:rsidRDefault="00CE2EE4" w:rsidP="003732C4">
            <w:pPr>
              <w:pStyle w:val="TTableText"/>
              <w:rPr>
                <w:rStyle w:val="TTableHeadings"/>
              </w:rPr>
            </w:pPr>
            <w:r w:rsidRPr="003732C4">
              <w:rPr>
                <w:rStyle w:val="TTableHeadings"/>
              </w:rPr>
              <w:t>Extends to E &amp; W and applies to England?</w:t>
            </w:r>
          </w:p>
        </w:tc>
        <w:tc>
          <w:tcPr>
            <w:tcW w:w="1674" w:type="dxa"/>
            <w:tcMar>
              <w:top w:w="0" w:type="dxa"/>
              <w:left w:w="108" w:type="dxa"/>
              <w:bottom w:w="0" w:type="dxa"/>
              <w:right w:w="108" w:type="dxa"/>
            </w:tcMar>
            <w:hideMark/>
          </w:tcPr>
          <w:p w:rsidR="00CE2EE4" w:rsidRPr="003732C4" w:rsidRDefault="00CE2EE4" w:rsidP="003732C4">
            <w:pPr>
              <w:pStyle w:val="TTableText"/>
              <w:rPr>
                <w:rStyle w:val="TTableHeadings"/>
              </w:rPr>
            </w:pPr>
            <w:r w:rsidRPr="003732C4">
              <w:rPr>
                <w:rStyle w:val="TTableHeadings"/>
              </w:rPr>
              <w:t>Extends to E &amp; W and applies to Wales?</w:t>
            </w:r>
          </w:p>
        </w:tc>
        <w:tc>
          <w:tcPr>
            <w:tcW w:w="1770" w:type="dxa"/>
            <w:tcMar>
              <w:top w:w="0" w:type="dxa"/>
              <w:left w:w="108" w:type="dxa"/>
              <w:bottom w:w="0" w:type="dxa"/>
              <w:right w:w="108" w:type="dxa"/>
            </w:tcMar>
            <w:hideMark/>
          </w:tcPr>
          <w:p w:rsidR="00CE2EE4" w:rsidRPr="003732C4" w:rsidRDefault="00CE2EE4" w:rsidP="003732C4">
            <w:pPr>
              <w:pStyle w:val="TTableText"/>
              <w:rPr>
                <w:rStyle w:val="TTableHeadings"/>
              </w:rPr>
            </w:pPr>
            <w:r w:rsidRPr="003732C4">
              <w:rPr>
                <w:rStyle w:val="TTableHeadings"/>
              </w:rPr>
              <w:t>Extends and applies to Scotland?</w:t>
            </w:r>
          </w:p>
        </w:tc>
        <w:tc>
          <w:tcPr>
            <w:tcW w:w="1816" w:type="dxa"/>
            <w:tcMar>
              <w:top w:w="0" w:type="dxa"/>
              <w:left w:w="108" w:type="dxa"/>
              <w:bottom w:w="0" w:type="dxa"/>
              <w:right w:w="108" w:type="dxa"/>
            </w:tcMar>
            <w:hideMark/>
          </w:tcPr>
          <w:p w:rsidR="00CE2EE4" w:rsidRPr="003732C4" w:rsidRDefault="00CE2EE4" w:rsidP="003732C4">
            <w:pPr>
              <w:pStyle w:val="TTableText"/>
              <w:rPr>
                <w:rStyle w:val="TTableHeadings"/>
              </w:rPr>
            </w:pPr>
            <w:r w:rsidRPr="003732C4">
              <w:rPr>
                <w:rStyle w:val="TTableHeadings"/>
              </w:rPr>
              <w:t>Extends and applies to Northern Ireland?</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2</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3</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4</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5</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No</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6</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7</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8</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No</w:t>
            </w:r>
          </w:p>
        </w:tc>
        <w:tc>
          <w:tcPr>
            <w:tcW w:w="1816" w:type="dxa"/>
            <w:tcMar>
              <w:top w:w="0" w:type="dxa"/>
              <w:left w:w="108" w:type="dxa"/>
              <w:bottom w:w="0" w:type="dxa"/>
              <w:right w:w="108" w:type="dxa"/>
            </w:tcMar>
            <w:hideMark/>
          </w:tcPr>
          <w:p w:rsidR="00CE2EE4" w:rsidRDefault="00CE2EE4" w:rsidP="003732C4">
            <w:pPr>
              <w:pStyle w:val="TTableText"/>
            </w:pPr>
            <w:r>
              <w:t>No</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9</w:t>
            </w:r>
          </w:p>
        </w:tc>
        <w:tc>
          <w:tcPr>
            <w:tcW w:w="1669" w:type="dxa"/>
            <w:tcMar>
              <w:top w:w="0" w:type="dxa"/>
              <w:left w:w="108" w:type="dxa"/>
              <w:bottom w:w="0" w:type="dxa"/>
              <w:right w:w="108" w:type="dxa"/>
            </w:tcMar>
            <w:hideMark/>
          </w:tcPr>
          <w:p w:rsidR="00CE2EE4" w:rsidRDefault="00CE2EE4" w:rsidP="003732C4">
            <w:pPr>
              <w:pStyle w:val="TTableText"/>
            </w:pPr>
            <w:r>
              <w:t>No</w:t>
            </w:r>
          </w:p>
        </w:tc>
        <w:tc>
          <w:tcPr>
            <w:tcW w:w="1674" w:type="dxa"/>
            <w:tcMar>
              <w:top w:w="0" w:type="dxa"/>
              <w:left w:w="108" w:type="dxa"/>
              <w:bottom w:w="0" w:type="dxa"/>
              <w:right w:w="108" w:type="dxa"/>
            </w:tcMar>
            <w:hideMark/>
          </w:tcPr>
          <w:p w:rsidR="00CE2EE4" w:rsidRDefault="00CE2EE4" w:rsidP="003732C4">
            <w:pPr>
              <w:pStyle w:val="TTableText"/>
            </w:pPr>
            <w:r>
              <w:t>No</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No</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10</w:t>
            </w:r>
          </w:p>
        </w:tc>
        <w:tc>
          <w:tcPr>
            <w:tcW w:w="1669" w:type="dxa"/>
            <w:tcMar>
              <w:top w:w="0" w:type="dxa"/>
              <w:left w:w="108" w:type="dxa"/>
              <w:bottom w:w="0" w:type="dxa"/>
              <w:right w:w="108" w:type="dxa"/>
            </w:tcMar>
            <w:hideMark/>
          </w:tcPr>
          <w:p w:rsidR="00CE2EE4" w:rsidRDefault="00CE2EE4" w:rsidP="003732C4">
            <w:pPr>
              <w:pStyle w:val="TTableText"/>
            </w:pPr>
            <w:r>
              <w:t>No</w:t>
            </w:r>
          </w:p>
        </w:tc>
        <w:tc>
          <w:tcPr>
            <w:tcW w:w="1674" w:type="dxa"/>
            <w:tcMar>
              <w:top w:w="0" w:type="dxa"/>
              <w:left w:w="108" w:type="dxa"/>
              <w:bottom w:w="0" w:type="dxa"/>
              <w:right w:w="108" w:type="dxa"/>
            </w:tcMar>
            <w:hideMark/>
          </w:tcPr>
          <w:p w:rsidR="00CE2EE4" w:rsidRDefault="00CE2EE4" w:rsidP="003732C4">
            <w:pPr>
              <w:pStyle w:val="TTableText"/>
            </w:pPr>
            <w:r>
              <w:t>No</w:t>
            </w:r>
          </w:p>
        </w:tc>
        <w:tc>
          <w:tcPr>
            <w:tcW w:w="1770" w:type="dxa"/>
            <w:tcMar>
              <w:top w:w="0" w:type="dxa"/>
              <w:left w:w="108" w:type="dxa"/>
              <w:bottom w:w="0" w:type="dxa"/>
              <w:right w:w="108" w:type="dxa"/>
            </w:tcMar>
            <w:hideMark/>
          </w:tcPr>
          <w:p w:rsidR="00CE2EE4" w:rsidRDefault="00CE2EE4" w:rsidP="003732C4">
            <w:pPr>
              <w:pStyle w:val="TTableText"/>
            </w:pPr>
            <w:r>
              <w:t>No</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11</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12</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 xml:space="preserve">Section 13 </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14</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Section 15</w:t>
            </w:r>
          </w:p>
        </w:tc>
        <w:tc>
          <w:tcPr>
            <w:tcW w:w="1669" w:type="dxa"/>
            <w:tcMar>
              <w:top w:w="0" w:type="dxa"/>
              <w:left w:w="108" w:type="dxa"/>
              <w:bottom w:w="0" w:type="dxa"/>
              <w:right w:w="108" w:type="dxa"/>
            </w:tcMar>
            <w:hideMark/>
          </w:tcPr>
          <w:p w:rsidR="00CE2EE4" w:rsidRDefault="00CE2EE4" w:rsidP="003732C4">
            <w:pPr>
              <w:pStyle w:val="TTableText"/>
            </w:pPr>
            <w:r>
              <w:t>Yes</w:t>
            </w:r>
          </w:p>
        </w:tc>
        <w:tc>
          <w:tcPr>
            <w:tcW w:w="1674" w:type="dxa"/>
            <w:tcMar>
              <w:top w:w="0" w:type="dxa"/>
              <w:left w:w="108" w:type="dxa"/>
              <w:bottom w:w="0" w:type="dxa"/>
              <w:right w:w="108" w:type="dxa"/>
            </w:tcMar>
            <w:hideMark/>
          </w:tcPr>
          <w:p w:rsidR="00CE2EE4" w:rsidRDefault="00CE2EE4" w:rsidP="003732C4">
            <w:pPr>
              <w:pStyle w:val="TTableText"/>
            </w:pPr>
            <w:r>
              <w:t>Yes</w:t>
            </w:r>
          </w:p>
        </w:tc>
        <w:tc>
          <w:tcPr>
            <w:tcW w:w="1770" w:type="dxa"/>
            <w:tcMar>
              <w:top w:w="0" w:type="dxa"/>
              <w:left w:w="108" w:type="dxa"/>
              <w:bottom w:w="0" w:type="dxa"/>
              <w:right w:w="108" w:type="dxa"/>
            </w:tcMar>
            <w:hideMark/>
          </w:tcPr>
          <w:p w:rsidR="00CE2EE4" w:rsidRDefault="00CE2EE4" w:rsidP="003732C4">
            <w:pPr>
              <w:pStyle w:val="TTableText"/>
            </w:pPr>
            <w:r>
              <w:t>Yes</w:t>
            </w:r>
          </w:p>
        </w:tc>
        <w:tc>
          <w:tcPr>
            <w:tcW w:w="1816" w:type="dxa"/>
            <w:tcMar>
              <w:top w:w="0" w:type="dxa"/>
              <w:left w:w="108" w:type="dxa"/>
              <w:bottom w:w="0" w:type="dxa"/>
              <w:right w:w="108" w:type="dxa"/>
            </w:tcMar>
            <w:hideMark/>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Schedule 1</w:t>
            </w:r>
          </w:p>
        </w:tc>
        <w:tc>
          <w:tcPr>
            <w:tcW w:w="1669" w:type="dxa"/>
            <w:tcMar>
              <w:top w:w="0" w:type="dxa"/>
              <w:left w:w="108" w:type="dxa"/>
              <w:bottom w:w="0" w:type="dxa"/>
              <w:right w:w="108" w:type="dxa"/>
            </w:tcMar>
          </w:tcPr>
          <w:p w:rsidR="00CE2EE4" w:rsidRDefault="00CE2EE4" w:rsidP="003732C4">
            <w:pPr>
              <w:pStyle w:val="TTableText"/>
            </w:pPr>
            <w:r>
              <w:t>Yes</w:t>
            </w:r>
          </w:p>
        </w:tc>
        <w:tc>
          <w:tcPr>
            <w:tcW w:w="1674" w:type="dxa"/>
            <w:tcMar>
              <w:top w:w="0" w:type="dxa"/>
              <w:left w:w="108" w:type="dxa"/>
              <w:bottom w:w="0" w:type="dxa"/>
              <w:right w:w="108" w:type="dxa"/>
            </w:tcMar>
          </w:tcPr>
          <w:p w:rsidR="00CE2EE4" w:rsidRDefault="00CE2EE4" w:rsidP="003732C4">
            <w:pPr>
              <w:pStyle w:val="TTableText"/>
            </w:pPr>
            <w:r>
              <w:t>Yes</w:t>
            </w:r>
          </w:p>
        </w:tc>
        <w:tc>
          <w:tcPr>
            <w:tcW w:w="1770" w:type="dxa"/>
            <w:tcMar>
              <w:top w:w="0" w:type="dxa"/>
              <w:left w:w="108" w:type="dxa"/>
              <w:bottom w:w="0" w:type="dxa"/>
              <w:right w:w="108" w:type="dxa"/>
            </w:tcMar>
          </w:tcPr>
          <w:p w:rsidR="00CE2EE4" w:rsidRDefault="00CE2EE4" w:rsidP="003732C4">
            <w:pPr>
              <w:pStyle w:val="TTableText"/>
            </w:pPr>
            <w:r>
              <w:t>Yes</w:t>
            </w:r>
          </w:p>
        </w:tc>
        <w:tc>
          <w:tcPr>
            <w:tcW w:w="1816" w:type="dxa"/>
            <w:tcMar>
              <w:top w:w="0" w:type="dxa"/>
              <w:left w:w="108" w:type="dxa"/>
              <w:bottom w:w="0" w:type="dxa"/>
              <w:right w:w="108" w:type="dxa"/>
            </w:tcMar>
          </w:tcPr>
          <w:p w:rsidR="00CE2EE4" w:rsidRDefault="00CE2EE4" w:rsidP="003732C4">
            <w:pPr>
              <w:pStyle w:val="TTableText"/>
            </w:pPr>
            <w:r>
              <w:t>Yes</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Schedule 2</w:t>
            </w:r>
          </w:p>
        </w:tc>
        <w:tc>
          <w:tcPr>
            <w:tcW w:w="1669" w:type="dxa"/>
            <w:tcMar>
              <w:top w:w="0" w:type="dxa"/>
              <w:left w:w="108" w:type="dxa"/>
              <w:bottom w:w="0" w:type="dxa"/>
              <w:right w:w="108" w:type="dxa"/>
            </w:tcMar>
          </w:tcPr>
          <w:p w:rsidR="00CE2EE4" w:rsidRDefault="00CE2EE4" w:rsidP="003732C4">
            <w:pPr>
              <w:pStyle w:val="TTableText"/>
            </w:pPr>
            <w:r>
              <w:t>Yes</w:t>
            </w:r>
          </w:p>
        </w:tc>
        <w:tc>
          <w:tcPr>
            <w:tcW w:w="1674" w:type="dxa"/>
            <w:tcMar>
              <w:top w:w="0" w:type="dxa"/>
              <w:left w:w="108" w:type="dxa"/>
              <w:bottom w:w="0" w:type="dxa"/>
              <w:right w:w="108" w:type="dxa"/>
            </w:tcMar>
          </w:tcPr>
          <w:p w:rsidR="00CE2EE4" w:rsidRDefault="00CE2EE4" w:rsidP="003732C4">
            <w:pPr>
              <w:pStyle w:val="TTableText"/>
            </w:pPr>
            <w:r>
              <w:t>Yes</w:t>
            </w:r>
          </w:p>
        </w:tc>
        <w:tc>
          <w:tcPr>
            <w:tcW w:w="1770" w:type="dxa"/>
            <w:tcMar>
              <w:top w:w="0" w:type="dxa"/>
              <w:left w:w="108" w:type="dxa"/>
              <w:bottom w:w="0" w:type="dxa"/>
              <w:right w:w="108" w:type="dxa"/>
            </w:tcMar>
          </w:tcPr>
          <w:p w:rsidR="00CE2EE4" w:rsidRDefault="00CE2EE4" w:rsidP="003732C4">
            <w:pPr>
              <w:pStyle w:val="TTableText"/>
            </w:pPr>
            <w:r>
              <w:t>No</w:t>
            </w:r>
          </w:p>
        </w:tc>
        <w:tc>
          <w:tcPr>
            <w:tcW w:w="1816" w:type="dxa"/>
            <w:tcMar>
              <w:top w:w="0" w:type="dxa"/>
              <w:left w:w="108" w:type="dxa"/>
              <w:bottom w:w="0" w:type="dxa"/>
              <w:right w:w="108" w:type="dxa"/>
            </w:tcMar>
          </w:tcPr>
          <w:p w:rsidR="00CE2EE4" w:rsidRDefault="00CE2EE4" w:rsidP="003732C4">
            <w:pPr>
              <w:pStyle w:val="TTableText"/>
            </w:pPr>
            <w:r>
              <w:t>No</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Schedule 3</w:t>
            </w:r>
          </w:p>
        </w:tc>
        <w:tc>
          <w:tcPr>
            <w:tcW w:w="1669" w:type="dxa"/>
            <w:tcMar>
              <w:top w:w="0" w:type="dxa"/>
              <w:left w:w="108" w:type="dxa"/>
              <w:bottom w:w="0" w:type="dxa"/>
              <w:right w:w="108" w:type="dxa"/>
            </w:tcMar>
          </w:tcPr>
          <w:p w:rsidR="00CE2EE4" w:rsidRDefault="00CE2EE4" w:rsidP="003732C4">
            <w:pPr>
              <w:pStyle w:val="TTableText"/>
            </w:pPr>
            <w:r>
              <w:t>No</w:t>
            </w:r>
          </w:p>
        </w:tc>
        <w:tc>
          <w:tcPr>
            <w:tcW w:w="1674" w:type="dxa"/>
            <w:tcMar>
              <w:top w:w="0" w:type="dxa"/>
              <w:left w:w="108" w:type="dxa"/>
              <w:bottom w:w="0" w:type="dxa"/>
              <w:right w:w="108" w:type="dxa"/>
            </w:tcMar>
          </w:tcPr>
          <w:p w:rsidR="00CE2EE4" w:rsidRDefault="00CE2EE4" w:rsidP="003732C4">
            <w:pPr>
              <w:pStyle w:val="TTableText"/>
            </w:pPr>
            <w:r>
              <w:t>No</w:t>
            </w:r>
          </w:p>
        </w:tc>
        <w:tc>
          <w:tcPr>
            <w:tcW w:w="1770" w:type="dxa"/>
            <w:tcMar>
              <w:top w:w="0" w:type="dxa"/>
              <w:left w:w="108" w:type="dxa"/>
              <w:bottom w:w="0" w:type="dxa"/>
              <w:right w:w="108" w:type="dxa"/>
            </w:tcMar>
          </w:tcPr>
          <w:p w:rsidR="00CE2EE4" w:rsidRDefault="00CE2EE4" w:rsidP="003732C4">
            <w:pPr>
              <w:pStyle w:val="TTableText"/>
            </w:pPr>
            <w:r>
              <w:t>Yes</w:t>
            </w:r>
          </w:p>
        </w:tc>
        <w:tc>
          <w:tcPr>
            <w:tcW w:w="1816" w:type="dxa"/>
            <w:tcMar>
              <w:top w:w="0" w:type="dxa"/>
              <w:left w:w="108" w:type="dxa"/>
              <w:bottom w:w="0" w:type="dxa"/>
              <w:right w:w="108" w:type="dxa"/>
            </w:tcMar>
          </w:tcPr>
          <w:p w:rsidR="00CE2EE4" w:rsidRDefault="00CE2EE4" w:rsidP="003732C4">
            <w:pPr>
              <w:pStyle w:val="TTableText"/>
            </w:pPr>
            <w:r>
              <w:t>No</w:t>
            </w:r>
          </w:p>
        </w:tc>
      </w:tr>
      <w:tr w:rsidR="00CE2EE4" w:rsidTr="003732C4">
        <w:trPr>
          <w:trHeight w:val="369"/>
          <w:jc w:val="center"/>
        </w:trPr>
        <w:tc>
          <w:tcPr>
            <w:tcW w:w="1404" w:type="dxa"/>
            <w:tcMar>
              <w:top w:w="0" w:type="dxa"/>
              <w:left w:w="108" w:type="dxa"/>
              <w:bottom w:w="0" w:type="dxa"/>
              <w:right w:w="108" w:type="dxa"/>
            </w:tcMar>
            <w:hideMark/>
          </w:tcPr>
          <w:p w:rsidR="00CE2EE4" w:rsidRDefault="00CE2EE4" w:rsidP="003732C4">
            <w:pPr>
              <w:pStyle w:val="TTableText"/>
            </w:pPr>
            <w:r>
              <w:t>Schedule 4</w:t>
            </w:r>
          </w:p>
        </w:tc>
        <w:tc>
          <w:tcPr>
            <w:tcW w:w="1669" w:type="dxa"/>
            <w:tcMar>
              <w:top w:w="0" w:type="dxa"/>
              <w:left w:w="108" w:type="dxa"/>
              <w:bottom w:w="0" w:type="dxa"/>
              <w:right w:w="108" w:type="dxa"/>
            </w:tcMar>
          </w:tcPr>
          <w:p w:rsidR="00CE2EE4" w:rsidRDefault="00CE2EE4" w:rsidP="003732C4">
            <w:pPr>
              <w:pStyle w:val="TTableText"/>
            </w:pPr>
            <w:r>
              <w:t>No</w:t>
            </w:r>
          </w:p>
        </w:tc>
        <w:tc>
          <w:tcPr>
            <w:tcW w:w="1674" w:type="dxa"/>
            <w:tcMar>
              <w:top w:w="0" w:type="dxa"/>
              <w:left w:w="108" w:type="dxa"/>
              <w:bottom w:w="0" w:type="dxa"/>
              <w:right w:w="108" w:type="dxa"/>
            </w:tcMar>
          </w:tcPr>
          <w:p w:rsidR="00CE2EE4" w:rsidRDefault="00CE2EE4" w:rsidP="003732C4">
            <w:pPr>
              <w:pStyle w:val="TTableText"/>
            </w:pPr>
            <w:r>
              <w:t>No</w:t>
            </w:r>
          </w:p>
        </w:tc>
        <w:tc>
          <w:tcPr>
            <w:tcW w:w="1770" w:type="dxa"/>
            <w:tcMar>
              <w:top w:w="0" w:type="dxa"/>
              <w:left w:w="108" w:type="dxa"/>
              <w:bottom w:w="0" w:type="dxa"/>
              <w:right w:w="108" w:type="dxa"/>
            </w:tcMar>
          </w:tcPr>
          <w:p w:rsidR="00CE2EE4" w:rsidRDefault="00CE2EE4" w:rsidP="003732C4">
            <w:pPr>
              <w:pStyle w:val="TTableText"/>
            </w:pPr>
            <w:r>
              <w:t>No</w:t>
            </w:r>
          </w:p>
        </w:tc>
        <w:tc>
          <w:tcPr>
            <w:tcW w:w="1816" w:type="dxa"/>
            <w:tcMar>
              <w:top w:w="0" w:type="dxa"/>
              <w:left w:w="108" w:type="dxa"/>
              <w:bottom w:w="0" w:type="dxa"/>
              <w:right w:w="108" w:type="dxa"/>
            </w:tcMar>
          </w:tcPr>
          <w:p w:rsidR="00CE2EE4" w:rsidRDefault="00CE2EE4" w:rsidP="003732C4">
            <w:pPr>
              <w:pStyle w:val="TTableText"/>
            </w:pPr>
            <w:r>
              <w:t>Yes</w:t>
            </w:r>
          </w:p>
        </w:tc>
      </w:tr>
    </w:tbl>
    <w:p w:rsidR="00ED6753" w:rsidRDefault="00ED6753" w:rsidP="00ED6753">
      <w:pPr>
        <w:rPr>
          <w:rFonts w:ascii="Arial" w:eastAsia="Arial" w:hAnsi="Arial" w:cs="Arial"/>
          <w:b/>
          <w:color w:val="0070C0"/>
          <w:sz w:val="36"/>
          <w:szCs w:val="36"/>
        </w:rPr>
      </w:pPr>
      <w:r>
        <w:br w:type="page"/>
      </w:r>
    </w:p>
    <w:p w:rsidR="00ED6753" w:rsidRPr="00390F67" w:rsidRDefault="00ED6753" w:rsidP="00ED6753">
      <w:pPr>
        <w:pStyle w:val="Heading1"/>
        <w:keepNext/>
      </w:pPr>
      <w:bookmarkStart w:id="47" w:name="_Toc72857868"/>
      <w:r w:rsidRPr="00390F67">
        <w:lastRenderedPageBreak/>
        <w:t>Annex</w:t>
      </w:r>
      <w:r>
        <w:t xml:space="preserve"> B</w:t>
      </w:r>
      <w:r w:rsidRPr="00390F67">
        <w:t xml:space="preserve"> </w:t>
      </w:r>
      <w:r>
        <w:t>–</w:t>
      </w:r>
      <w:r w:rsidRPr="00390F67">
        <w:t xml:space="preserve"> </w:t>
      </w:r>
      <w:r>
        <w:t>Hansard References</w:t>
      </w:r>
      <w:bookmarkEnd w:id="47"/>
    </w:p>
    <w:p w:rsidR="00ED6753" w:rsidRDefault="00ED6753" w:rsidP="00CE2EE4">
      <w:pPr>
        <w:pStyle w:val="ParaNumbered"/>
        <w:rPr>
          <w:rStyle w:val="CDefault"/>
        </w:rPr>
      </w:pPr>
      <w:r w:rsidRPr="00390F67">
        <w:rPr>
          <w:rFonts w:eastAsia="Palatino Linotype"/>
        </w:rPr>
        <w:t>The</w:t>
      </w:r>
      <w:r>
        <w:rPr>
          <w:rFonts w:eastAsia="Palatino Linotype"/>
        </w:rPr>
        <w:t xml:space="preserve"> </w:t>
      </w:r>
      <w:r w:rsidRPr="00B66ACC">
        <w:rPr>
          <w:rFonts w:eastAsia="Palatino Linotype"/>
        </w:rPr>
        <w:t>following table sets out the dates and Hansard references for each stage of the Act's passage through Parliame</w:t>
      </w:r>
      <w:r>
        <w:rPr>
          <w:rFonts w:eastAsia="Palatino Linotype"/>
        </w:rPr>
        <w:t>nt.</w:t>
      </w:r>
    </w:p>
    <w:tbl>
      <w:tblPr>
        <w:tblStyle w:val="ENGeneralTable"/>
        <w:tblW w:w="9287" w:type="dxa"/>
        <w:tblLayout w:type="fixed"/>
        <w:tblLook w:val="04A0" w:firstRow="1" w:lastRow="0" w:firstColumn="1" w:lastColumn="0" w:noHBand="0" w:noVBand="1"/>
      </w:tblPr>
      <w:tblGrid>
        <w:gridCol w:w="2122"/>
        <w:gridCol w:w="3685"/>
        <w:gridCol w:w="3480"/>
      </w:tblGrid>
      <w:tr w:rsidR="00ED6753" w:rsidTr="00E36B34">
        <w:trPr>
          <w:cnfStyle w:val="100000000000" w:firstRow="1" w:lastRow="0" w:firstColumn="0" w:lastColumn="0" w:oddVBand="0" w:evenVBand="0" w:oddHBand="0" w:evenHBand="0" w:firstRowFirstColumn="0" w:firstRowLastColumn="0" w:lastRowFirstColumn="0" w:lastRowLastColumn="0"/>
          <w:tblHeader/>
        </w:trPr>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rPr>
            </w:pPr>
            <w:r>
              <w:rPr>
                <w:rStyle w:val="TTableHeadings"/>
                <w:lang w:val="en-GB"/>
              </w:rPr>
              <w:t>Stage</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Date</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Hansard Reference</w:t>
            </w:r>
          </w:p>
        </w:tc>
      </w:tr>
      <w:tr w:rsidR="00ED6753" w:rsidTr="00191B00">
        <w:tc>
          <w:tcPr>
            <w:tcW w:w="9287" w:type="dxa"/>
            <w:gridSpan w:val="3"/>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CItalic"/>
              </w:rPr>
            </w:pPr>
            <w:r>
              <w:rPr>
                <w:rStyle w:val="CItalic"/>
                <w:lang w:val="en-GB"/>
              </w:rPr>
              <w:t>House of Commons</w:t>
            </w:r>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rPr>
                <w:lang w:val="en-GB"/>
              </w:rPr>
              <w:t>Introduction</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sidRPr="002F0BF9">
              <w:rPr>
                <w:lang w:val="en-GB"/>
              </w:rPr>
              <w:t>18 March 2020</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15" w:history="1">
              <w:r w:rsidR="00ED6753" w:rsidRPr="002F0BF9">
                <w:rPr>
                  <w:rStyle w:val="Hyperlink"/>
                  <w:lang w:val="en-GB"/>
                </w:rPr>
                <w:t>Vol. 673 Col. 1005</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Second Reading</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rFonts w:cs="Arial"/>
                <w:szCs w:val="16"/>
              </w:rPr>
              <w:t>23 September 2020</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16" w:history="1">
              <w:r w:rsidR="00ED6753" w:rsidRPr="002F0BF9">
                <w:rPr>
                  <w:rStyle w:val="Hyperlink"/>
                  <w:lang w:val="en-GB"/>
                </w:rPr>
                <w:t>Vol. 680 Col. 984</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Public Bill Committee</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spacing w:after="0"/>
              <w:rPr>
                <w:lang w:val="en-GB"/>
              </w:rPr>
            </w:pPr>
            <w:r>
              <w:rPr>
                <w:lang w:val="en-GB"/>
              </w:rPr>
              <w:t>6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6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8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8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14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14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20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20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22 October 2020</w:t>
            </w:r>
          </w:p>
          <w:p w:rsidR="00ED6753" w:rsidRDefault="00ED6753" w:rsidP="00191B00">
            <w:pPr>
              <w:pStyle w:val="TTableText"/>
              <w:spacing w:after="0"/>
              <w:rPr>
                <w:lang w:val="en-GB"/>
              </w:rPr>
            </w:pPr>
          </w:p>
          <w:p w:rsidR="00ED6753" w:rsidRDefault="00ED6753" w:rsidP="00191B00">
            <w:pPr>
              <w:pStyle w:val="TTableText"/>
              <w:spacing w:after="0"/>
              <w:rPr>
                <w:lang w:val="en-GB"/>
              </w:rPr>
            </w:pPr>
            <w:r>
              <w:rPr>
                <w:lang w:val="en-GB"/>
              </w:rPr>
              <w:t>22 October 2020</w:t>
            </w:r>
          </w:p>
          <w:p w:rsidR="00ED6753" w:rsidRDefault="00ED6753" w:rsidP="00191B00">
            <w:pPr>
              <w:pStyle w:val="TTableText"/>
              <w:spacing w:after="0"/>
              <w:rPr>
                <w:lang w:val="en-GB"/>
              </w:rPr>
            </w:pPr>
          </w:p>
        </w:tc>
        <w:tc>
          <w:tcPr>
            <w:tcW w:w="3480" w:type="dxa"/>
            <w:tcBorders>
              <w:top w:val="single" w:sz="4" w:space="0" w:color="0070C0"/>
              <w:left w:val="single" w:sz="4" w:space="0" w:color="0070C0"/>
              <w:bottom w:val="single" w:sz="4" w:space="0" w:color="0070C0"/>
              <w:right w:val="single" w:sz="4" w:space="0" w:color="0070C0"/>
            </w:tcBorders>
            <w:hideMark/>
          </w:tcPr>
          <w:p w:rsidR="00ED6753" w:rsidRPr="0089419C" w:rsidRDefault="0049791A" w:rsidP="00191B00">
            <w:pPr>
              <w:pStyle w:val="TTableText"/>
              <w:spacing w:after="0"/>
              <w:rPr>
                <w:lang w:val="en-GB"/>
              </w:rPr>
            </w:pPr>
            <w:hyperlink r:id="rId17" w:history="1">
              <w:r w:rsidR="00ED6753" w:rsidRPr="00004931">
                <w:rPr>
                  <w:rStyle w:val="Hyperlink"/>
                  <w:lang w:val="en-GB"/>
                </w:rPr>
                <w:t>First sitting Vol. 681 Col.</w:t>
              </w:r>
              <w:r w:rsidR="00ED6753">
                <w:rPr>
                  <w:rStyle w:val="Hyperlink"/>
                  <w:lang w:val="en-GB"/>
                </w:rPr>
                <w:t xml:space="preserve"> </w:t>
              </w:r>
              <w:r w:rsidR="00ED6753" w:rsidRPr="00004931">
                <w:rPr>
                  <w:rStyle w:val="Hyperlink"/>
                  <w:lang w:val="en-GB"/>
                </w:rPr>
                <w:t>1</w:t>
              </w:r>
            </w:hyperlink>
          </w:p>
          <w:p w:rsidR="00ED6753" w:rsidRPr="0089419C"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18" w:history="1">
              <w:r w:rsidR="00ED6753" w:rsidRPr="00004931">
                <w:rPr>
                  <w:rStyle w:val="Hyperlink"/>
                  <w:lang w:val="en-GB"/>
                </w:rPr>
                <w:t>Second sitting Vol.</w:t>
              </w:r>
              <w:r w:rsidR="00ED6753">
                <w:rPr>
                  <w:rStyle w:val="Hyperlink"/>
                  <w:lang w:val="en-GB"/>
                </w:rPr>
                <w:t xml:space="preserve"> </w:t>
              </w:r>
              <w:r w:rsidR="00ED6753" w:rsidRPr="00004931">
                <w:rPr>
                  <w:rStyle w:val="Hyperlink"/>
                  <w:lang w:val="en-GB"/>
                </w:rPr>
                <w:t>681 Col.</w:t>
              </w:r>
              <w:r w:rsidR="00ED6753">
                <w:rPr>
                  <w:rStyle w:val="Hyperlink"/>
                  <w:lang w:val="en-GB"/>
                </w:rPr>
                <w:t xml:space="preserve"> </w:t>
              </w:r>
              <w:r w:rsidR="00ED6753" w:rsidRPr="00004931">
                <w:rPr>
                  <w:rStyle w:val="Hyperlink"/>
                  <w:lang w:val="en-GB"/>
                </w:rPr>
                <w:t>31</w:t>
              </w:r>
            </w:hyperlink>
          </w:p>
          <w:p w:rsidR="00ED6753" w:rsidRPr="00004931"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19" w:history="1">
              <w:r w:rsidR="00ED6753" w:rsidRPr="002C1688">
                <w:rPr>
                  <w:rStyle w:val="Hyperlink"/>
                  <w:lang w:val="en-GB"/>
                </w:rPr>
                <w:t>Third sitting Vol. 681 Col</w:t>
              </w:r>
              <w:r w:rsidR="00ED6753">
                <w:rPr>
                  <w:rStyle w:val="Hyperlink"/>
                  <w:lang w:val="en-GB"/>
                </w:rPr>
                <w:t xml:space="preserve"> </w:t>
              </w:r>
              <w:r w:rsidR="00ED6753" w:rsidRPr="002C1688">
                <w:rPr>
                  <w:rStyle w:val="Hyperlink"/>
                  <w:lang w:val="en-GB"/>
                </w:rPr>
                <w:t>.81</w:t>
              </w:r>
            </w:hyperlink>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0" w:history="1">
              <w:r w:rsidR="00ED6753" w:rsidRPr="002C1688">
                <w:rPr>
                  <w:rStyle w:val="Hyperlink"/>
                  <w:lang w:val="en-GB"/>
                </w:rPr>
                <w:t xml:space="preserve">Fourth Sitting </w:t>
              </w:r>
              <w:r w:rsidR="00ED6753" w:rsidRPr="002C1688">
                <w:rPr>
                  <w:rStyle w:val="Hyperlink"/>
                  <w:rFonts w:cs="Arial"/>
                  <w:szCs w:val="16"/>
                </w:rPr>
                <w:t>Vol. 681 Col.</w:t>
              </w:r>
              <w:r w:rsidR="00ED6753">
                <w:rPr>
                  <w:rStyle w:val="Hyperlink"/>
                  <w:rFonts w:cs="Arial"/>
                  <w:szCs w:val="16"/>
                </w:rPr>
                <w:t xml:space="preserve"> </w:t>
              </w:r>
              <w:r w:rsidR="00ED6753" w:rsidRPr="002C1688">
                <w:rPr>
                  <w:rStyle w:val="Hyperlink"/>
                  <w:rFonts w:cs="Arial"/>
                  <w:szCs w:val="16"/>
                </w:rPr>
                <w:t>103</w:t>
              </w:r>
            </w:hyperlink>
            <w:r w:rsidR="00ED6753" w:rsidRPr="00D74B7F">
              <w:rPr>
                <w:lang w:val="en-GB"/>
              </w:rPr>
              <w:t xml:space="preserve"> </w:t>
            </w:r>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1" w:history="1">
              <w:r w:rsidR="00ED6753" w:rsidRPr="002C1688">
                <w:rPr>
                  <w:rStyle w:val="Hyperlink"/>
                  <w:lang w:val="en-GB"/>
                </w:rPr>
                <w:t xml:space="preserve">Fifth sitting </w:t>
              </w:r>
              <w:r w:rsidR="00ED6753" w:rsidRPr="002C1688">
                <w:rPr>
                  <w:rStyle w:val="Hyperlink"/>
                  <w:rFonts w:cs="Arial"/>
                  <w:szCs w:val="16"/>
                </w:rPr>
                <w:t>Vol. 682 Col.</w:t>
              </w:r>
              <w:r w:rsidR="00ED6753">
                <w:rPr>
                  <w:rStyle w:val="Hyperlink"/>
                  <w:rFonts w:cs="Arial"/>
                  <w:szCs w:val="16"/>
                </w:rPr>
                <w:t xml:space="preserve"> </w:t>
              </w:r>
              <w:r w:rsidR="00ED6753" w:rsidRPr="002C1688">
                <w:rPr>
                  <w:rStyle w:val="Hyperlink"/>
                  <w:rFonts w:cs="Arial"/>
                  <w:szCs w:val="16"/>
                </w:rPr>
                <w:t>131</w:t>
              </w:r>
            </w:hyperlink>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2" w:history="1">
              <w:r w:rsidR="00ED6753" w:rsidRPr="002C1688">
                <w:rPr>
                  <w:rStyle w:val="Hyperlink"/>
                  <w:lang w:val="en-GB"/>
                </w:rPr>
                <w:t xml:space="preserve">Sixth sitting </w:t>
              </w:r>
              <w:r w:rsidR="00ED6753" w:rsidRPr="002C1688">
                <w:rPr>
                  <w:rStyle w:val="Hyperlink"/>
                  <w:rFonts w:cs="Arial"/>
                  <w:szCs w:val="16"/>
                </w:rPr>
                <w:t>Vol. 682 Col.</w:t>
              </w:r>
              <w:r w:rsidR="00ED6753">
                <w:rPr>
                  <w:rStyle w:val="Hyperlink"/>
                  <w:rFonts w:cs="Arial"/>
                  <w:szCs w:val="16"/>
                </w:rPr>
                <w:t xml:space="preserve"> </w:t>
              </w:r>
              <w:r w:rsidR="00ED6753" w:rsidRPr="002C1688">
                <w:rPr>
                  <w:rStyle w:val="Hyperlink"/>
                  <w:rFonts w:cs="Arial"/>
                  <w:szCs w:val="16"/>
                </w:rPr>
                <w:t>163</w:t>
              </w:r>
            </w:hyperlink>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3" w:history="1">
              <w:r w:rsidR="00ED6753" w:rsidRPr="002C1688">
                <w:rPr>
                  <w:rStyle w:val="Hyperlink"/>
                  <w:lang w:val="en-GB"/>
                </w:rPr>
                <w:t xml:space="preserve">Seventh sitting </w:t>
              </w:r>
              <w:r w:rsidR="00ED6753" w:rsidRPr="002C1688">
                <w:rPr>
                  <w:rStyle w:val="Hyperlink"/>
                  <w:rFonts w:cs="Arial"/>
                  <w:szCs w:val="16"/>
                </w:rPr>
                <w:t>Vol. 682 Col.</w:t>
              </w:r>
              <w:r w:rsidR="00ED6753">
                <w:rPr>
                  <w:rStyle w:val="Hyperlink"/>
                  <w:rFonts w:cs="Arial"/>
                  <w:szCs w:val="16"/>
                </w:rPr>
                <w:t xml:space="preserve"> </w:t>
              </w:r>
              <w:r w:rsidR="00ED6753" w:rsidRPr="002C1688">
                <w:rPr>
                  <w:rStyle w:val="Hyperlink"/>
                  <w:rFonts w:cs="Arial"/>
                  <w:szCs w:val="16"/>
                </w:rPr>
                <w:t>211</w:t>
              </w:r>
            </w:hyperlink>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4" w:history="1">
              <w:r w:rsidR="00ED6753" w:rsidRPr="002C1688">
                <w:rPr>
                  <w:rStyle w:val="Hyperlink"/>
                  <w:lang w:val="en-GB"/>
                </w:rPr>
                <w:t>Eighth sitting</w:t>
              </w:r>
              <w:r w:rsidR="00ED6753" w:rsidRPr="002C1688">
                <w:rPr>
                  <w:rStyle w:val="Hyperlink"/>
                  <w:rFonts w:cs="Arial"/>
                  <w:szCs w:val="16"/>
                </w:rPr>
                <w:t xml:space="preserve"> Vol. 682 Col.</w:t>
              </w:r>
              <w:r w:rsidR="00ED6753">
                <w:rPr>
                  <w:rStyle w:val="Hyperlink"/>
                  <w:rFonts w:cs="Arial"/>
                  <w:szCs w:val="16"/>
                </w:rPr>
                <w:t xml:space="preserve"> </w:t>
              </w:r>
              <w:r w:rsidR="00ED6753" w:rsidRPr="002C1688">
                <w:rPr>
                  <w:rStyle w:val="Hyperlink"/>
                  <w:rFonts w:cs="Arial"/>
                  <w:szCs w:val="16"/>
                </w:rPr>
                <w:t>243</w:t>
              </w:r>
            </w:hyperlink>
          </w:p>
          <w:p w:rsidR="00ED6753" w:rsidRDefault="00ED6753" w:rsidP="00191B00">
            <w:pPr>
              <w:pStyle w:val="TTableText"/>
              <w:spacing w:after="0"/>
              <w:rPr>
                <w:lang w:val="en-GB"/>
              </w:rPr>
            </w:pPr>
          </w:p>
          <w:p w:rsidR="00ED6753" w:rsidRPr="00004931" w:rsidRDefault="0049791A" w:rsidP="00191B00">
            <w:pPr>
              <w:pStyle w:val="TTableText"/>
              <w:spacing w:after="0"/>
              <w:rPr>
                <w:lang w:val="en-GB"/>
              </w:rPr>
            </w:pPr>
            <w:hyperlink r:id="rId25" w:history="1">
              <w:r w:rsidR="00ED6753" w:rsidRPr="002C1688">
                <w:rPr>
                  <w:rStyle w:val="Hyperlink"/>
                  <w:lang w:val="en-GB"/>
                </w:rPr>
                <w:t>Ninth sitting</w:t>
              </w:r>
              <w:r w:rsidR="00ED6753" w:rsidRPr="002C1688">
                <w:rPr>
                  <w:rStyle w:val="Hyperlink"/>
                  <w:rFonts w:cs="Arial"/>
                  <w:szCs w:val="16"/>
                </w:rPr>
                <w:t xml:space="preserve"> Vol. 681 Col.</w:t>
              </w:r>
              <w:r w:rsidR="00ED6753">
                <w:rPr>
                  <w:rStyle w:val="Hyperlink"/>
                  <w:rFonts w:cs="Arial"/>
                  <w:szCs w:val="16"/>
                </w:rPr>
                <w:t xml:space="preserve"> </w:t>
              </w:r>
              <w:r w:rsidR="00ED6753" w:rsidRPr="002C1688">
                <w:rPr>
                  <w:rStyle w:val="Hyperlink"/>
                  <w:rFonts w:cs="Arial"/>
                  <w:szCs w:val="16"/>
                </w:rPr>
                <w:t>297</w:t>
              </w:r>
            </w:hyperlink>
          </w:p>
          <w:p w:rsidR="00ED6753" w:rsidRDefault="00ED6753" w:rsidP="00191B00">
            <w:pPr>
              <w:pStyle w:val="TTableText"/>
              <w:spacing w:after="0"/>
              <w:rPr>
                <w:lang w:val="en-GB"/>
              </w:rPr>
            </w:pPr>
          </w:p>
          <w:p w:rsidR="00ED6753" w:rsidRDefault="0049791A" w:rsidP="00191B00">
            <w:pPr>
              <w:pStyle w:val="TTableText"/>
              <w:spacing w:after="0"/>
              <w:rPr>
                <w:lang w:val="en-GB"/>
              </w:rPr>
            </w:pPr>
            <w:hyperlink r:id="rId26" w:history="1">
              <w:r w:rsidR="00ED6753" w:rsidRPr="002C1688">
                <w:rPr>
                  <w:rStyle w:val="Hyperlink"/>
                  <w:lang w:val="en-GB"/>
                </w:rPr>
                <w:t>Tenth sitting</w:t>
              </w:r>
              <w:r w:rsidR="00ED6753" w:rsidRPr="002C1688">
                <w:rPr>
                  <w:rStyle w:val="Hyperlink"/>
                  <w:rFonts w:cs="Arial"/>
                  <w:szCs w:val="16"/>
                </w:rPr>
                <w:t xml:space="preserve"> Vol. 681 Col.</w:t>
              </w:r>
              <w:r w:rsidR="00ED6753">
                <w:rPr>
                  <w:rStyle w:val="Hyperlink"/>
                  <w:rFonts w:cs="Arial"/>
                  <w:szCs w:val="16"/>
                </w:rPr>
                <w:t xml:space="preserve"> </w:t>
              </w:r>
              <w:r w:rsidR="00ED6753" w:rsidRPr="002C1688">
                <w:rPr>
                  <w:rStyle w:val="Hyperlink"/>
                  <w:rFonts w:cs="Arial"/>
                  <w:szCs w:val="16"/>
                </w:rPr>
                <w:t>325</w:t>
              </w:r>
              <w:r w:rsidR="00ED6753" w:rsidRPr="002C1688">
                <w:rPr>
                  <w:rStyle w:val="Hyperlink"/>
                  <w:lang w:val="en-GB"/>
                </w:rPr>
                <w:t xml:space="preserve">  </w:t>
              </w:r>
            </w:hyperlink>
            <w:r w:rsidR="00ED6753">
              <w:rPr>
                <w:lang w:val="en-GB"/>
              </w:rPr>
              <w:t xml:space="preserve"> </w:t>
            </w:r>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Report and Third Reading</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3 November 2020</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27" w:history="1">
              <w:r w:rsidR="00ED6753" w:rsidRPr="002C1688">
                <w:rPr>
                  <w:rStyle w:val="Hyperlink"/>
                  <w:lang w:val="en-GB"/>
                </w:rPr>
                <w:t>Vol. 683 Col. 201</w:t>
              </w:r>
            </w:hyperlink>
          </w:p>
        </w:tc>
      </w:tr>
      <w:tr w:rsidR="00ED6753" w:rsidTr="00191B00">
        <w:tc>
          <w:tcPr>
            <w:tcW w:w="9287" w:type="dxa"/>
            <w:gridSpan w:val="3"/>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CItalic"/>
              </w:rPr>
            </w:pPr>
            <w:r>
              <w:rPr>
                <w:rStyle w:val="CItalic"/>
                <w:lang w:val="en-GB"/>
              </w:rPr>
              <w:t>House of Lords</w:t>
            </w:r>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rPr>
                <w:lang w:val="en-GB"/>
              </w:rPr>
              <w:t>Introduction</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4 November 2020</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28" w:history="1">
              <w:r w:rsidR="00ED6753" w:rsidRPr="00DB0AE6">
                <w:rPr>
                  <w:rStyle w:val="Hyperlink"/>
                  <w:lang w:val="en-GB"/>
                </w:rPr>
                <w:t>Vol. 807 Col.</w:t>
              </w:r>
              <w:r w:rsidR="00ED6753">
                <w:rPr>
                  <w:rStyle w:val="Hyperlink"/>
                  <w:lang w:val="en-GB"/>
                </w:rPr>
                <w:t xml:space="preserve"> </w:t>
              </w:r>
              <w:r w:rsidR="00ED6753" w:rsidRPr="00DB0AE6">
                <w:rPr>
                  <w:rStyle w:val="Hyperlink"/>
                  <w:lang w:val="en-GB"/>
                </w:rPr>
                <w:t>795</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Second Reading</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20 January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29" w:history="1">
              <w:r w:rsidR="00ED6753" w:rsidRPr="00DB0AE6">
                <w:rPr>
                  <w:rStyle w:val="Hyperlink"/>
                  <w:lang w:val="en-GB"/>
                </w:rPr>
                <w:t>Vol. 809 Col. 1170</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Committee of the whole House</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9 March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0" w:history="1">
              <w:r w:rsidR="00ED6753" w:rsidRPr="00DB0AE6">
                <w:rPr>
                  <w:rStyle w:val="Hyperlink"/>
                  <w:lang w:val="en-GB"/>
                </w:rPr>
                <w:t>Vol. 810 Col. 1493</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 xml:space="preserve">Report </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13 April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1" w:history="1">
              <w:r w:rsidR="00ED6753" w:rsidRPr="00DB0AE6">
                <w:rPr>
                  <w:rStyle w:val="Hyperlink"/>
                  <w:lang w:val="en-GB"/>
                </w:rPr>
                <w:t>Vol. 811 Col. 1167</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Third Reading</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19 April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2" w:history="1">
              <w:r w:rsidR="00ED6753" w:rsidRPr="007B6CA6">
                <w:rPr>
                  <w:rStyle w:val="Hyperlink"/>
                  <w:lang w:val="en-GB"/>
                </w:rPr>
                <w:t>Vol. 811 Col. 1651</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Commons Consideration of Lords Amendments</w:t>
            </w:r>
          </w:p>
        </w:tc>
        <w:tc>
          <w:tcPr>
            <w:tcW w:w="3685"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21 April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3" w:history="1">
              <w:r w:rsidR="00ED6753" w:rsidRPr="00DB657F">
                <w:rPr>
                  <w:rStyle w:val="Hyperlink"/>
                  <w:lang w:val="en-GB"/>
                </w:rPr>
                <w:t>Vol. 692 Col. 1014</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Lords Consideration of Commons Amendments</w:t>
            </w:r>
          </w:p>
        </w:tc>
        <w:tc>
          <w:tcPr>
            <w:tcW w:w="3685"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26 April 2021</w:t>
            </w:r>
          </w:p>
        </w:tc>
        <w:tc>
          <w:tcPr>
            <w:tcW w:w="3480" w:type="dxa"/>
            <w:tcBorders>
              <w:top w:val="single" w:sz="4" w:space="0" w:color="0070C0"/>
              <w:left w:val="single" w:sz="4" w:space="0" w:color="0070C0"/>
              <w:bottom w:val="single" w:sz="4" w:space="0" w:color="0070C0"/>
              <w:right w:val="single" w:sz="4" w:space="0" w:color="0070C0"/>
            </w:tcBorders>
          </w:tcPr>
          <w:p w:rsidR="00ED6753" w:rsidRDefault="0049791A" w:rsidP="00191B00">
            <w:pPr>
              <w:pStyle w:val="TTableText"/>
              <w:rPr>
                <w:lang w:val="en-GB"/>
              </w:rPr>
            </w:pPr>
            <w:hyperlink r:id="rId34" w:history="1">
              <w:r w:rsidR="00ED6753" w:rsidRPr="00CD01E2">
                <w:rPr>
                  <w:rStyle w:val="Hyperlink"/>
                  <w:lang w:val="en-GB"/>
                </w:rPr>
                <w:t>Vol. 811 Col. 2089</w:t>
              </w:r>
            </w:hyperlink>
          </w:p>
        </w:tc>
      </w:tr>
      <w:tr w:rsidR="00ED6753" w:rsidTr="00E36B34">
        <w:trPr>
          <w:cantSplit/>
        </w:trPr>
        <w:tc>
          <w:tcPr>
            <w:tcW w:w="2122"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Commons Consideration of Lords message</w:t>
            </w:r>
          </w:p>
        </w:tc>
        <w:tc>
          <w:tcPr>
            <w:tcW w:w="3685"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27 April 2021</w:t>
            </w:r>
          </w:p>
        </w:tc>
        <w:tc>
          <w:tcPr>
            <w:tcW w:w="3480" w:type="dxa"/>
            <w:tcBorders>
              <w:top w:val="single" w:sz="4" w:space="0" w:color="0070C0"/>
              <w:left w:val="single" w:sz="4" w:space="0" w:color="0070C0"/>
              <w:bottom w:val="single" w:sz="4" w:space="0" w:color="0070C0"/>
              <w:right w:val="single" w:sz="4" w:space="0" w:color="0070C0"/>
            </w:tcBorders>
          </w:tcPr>
          <w:p w:rsidR="00ED6753" w:rsidRDefault="0049791A" w:rsidP="00191B00">
            <w:pPr>
              <w:pStyle w:val="TTableText"/>
              <w:rPr>
                <w:lang w:val="en-GB"/>
              </w:rPr>
            </w:pPr>
            <w:hyperlink r:id="rId35" w:history="1">
              <w:r w:rsidR="00ED6753" w:rsidRPr="00CD01E2">
                <w:rPr>
                  <w:rStyle w:val="Hyperlink"/>
                  <w:lang w:val="en-GB"/>
                </w:rPr>
                <w:t>Vol. 693 Col. 286</w:t>
              </w:r>
            </w:hyperlink>
          </w:p>
        </w:tc>
      </w:tr>
      <w:tr w:rsidR="00ED6753" w:rsidTr="00E36B34">
        <w:tc>
          <w:tcPr>
            <w:tcW w:w="2122"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Lords Consideration of Commons Amendments</w:t>
            </w:r>
          </w:p>
        </w:tc>
        <w:tc>
          <w:tcPr>
            <w:tcW w:w="3685"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rPr>
                <w:lang w:val="en-GB"/>
              </w:rPr>
            </w:pPr>
            <w:r>
              <w:rPr>
                <w:lang w:val="en-GB"/>
              </w:rPr>
              <w:t>28 April 2021</w:t>
            </w:r>
          </w:p>
        </w:tc>
        <w:tc>
          <w:tcPr>
            <w:tcW w:w="3480" w:type="dxa"/>
            <w:tcBorders>
              <w:top w:val="single" w:sz="4" w:space="0" w:color="0070C0"/>
              <w:left w:val="single" w:sz="4" w:space="0" w:color="0070C0"/>
              <w:bottom w:val="single" w:sz="4" w:space="0" w:color="0070C0"/>
              <w:right w:val="single" w:sz="4" w:space="0" w:color="0070C0"/>
            </w:tcBorders>
          </w:tcPr>
          <w:p w:rsidR="00ED6753" w:rsidRDefault="0049791A" w:rsidP="00191B00">
            <w:pPr>
              <w:pStyle w:val="TTableText"/>
              <w:rPr>
                <w:lang w:val="en-GB"/>
              </w:rPr>
            </w:pPr>
            <w:hyperlink r:id="rId36" w:history="1">
              <w:r w:rsidR="00ED6753" w:rsidRPr="001802D2">
                <w:rPr>
                  <w:rStyle w:val="Hyperlink"/>
                  <w:lang w:val="en-GB"/>
                </w:rPr>
                <w:t>Vol. 811 Col. 2345</w:t>
              </w:r>
            </w:hyperlink>
          </w:p>
        </w:tc>
      </w:tr>
      <w:tr w:rsidR="00ED6753" w:rsidTr="00E36B34">
        <w:tc>
          <w:tcPr>
            <w:tcW w:w="2122" w:type="dxa"/>
            <w:vMerge w:val="restart"/>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Royal Assent</w:t>
            </w:r>
          </w:p>
        </w:tc>
        <w:tc>
          <w:tcPr>
            <w:tcW w:w="3685" w:type="dxa"/>
            <w:vMerge w:val="restart"/>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lang w:val="en-GB"/>
              </w:rPr>
            </w:pPr>
            <w:r>
              <w:rPr>
                <w:lang w:val="en-GB"/>
              </w:rPr>
              <w:t>29 April 2021</w:t>
            </w: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7" w:history="1">
              <w:r w:rsidR="00ED6753" w:rsidRPr="001802D2">
                <w:rPr>
                  <w:rStyle w:val="Hyperlink"/>
                  <w:lang w:val="en-GB"/>
                </w:rPr>
                <w:t>House of Commons Vol. 693 Col. 520</w:t>
              </w:r>
            </w:hyperlink>
          </w:p>
        </w:tc>
      </w:tr>
      <w:tr w:rsidR="00ED6753" w:rsidTr="00E36B34">
        <w:tc>
          <w:tcPr>
            <w:tcW w:w="2122" w:type="dxa"/>
            <w:vMerge/>
            <w:tcBorders>
              <w:top w:val="single" w:sz="4" w:space="0" w:color="0070C0"/>
              <w:left w:val="single" w:sz="4" w:space="0" w:color="0070C0"/>
              <w:bottom w:val="single" w:sz="4" w:space="0" w:color="0070C0"/>
              <w:right w:val="single" w:sz="4" w:space="0" w:color="0070C0"/>
            </w:tcBorders>
            <w:vAlign w:val="center"/>
            <w:hideMark/>
          </w:tcPr>
          <w:p w:rsidR="00ED6753" w:rsidRDefault="00ED6753" w:rsidP="00191B00">
            <w:pPr>
              <w:rPr>
                <w:rFonts w:cs="HelveticaNeue"/>
                <w:color w:val="000000"/>
                <w:szCs w:val="20"/>
              </w:rPr>
            </w:pPr>
          </w:p>
        </w:tc>
        <w:tc>
          <w:tcPr>
            <w:tcW w:w="3685" w:type="dxa"/>
            <w:vMerge/>
            <w:tcBorders>
              <w:top w:val="single" w:sz="4" w:space="0" w:color="0070C0"/>
              <w:left w:val="single" w:sz="4" w:space="0" w:color="0070C0"/>
              <w:bottom w:val="single" w:sz="4" w:space="0" w:color="0070C0"/>
              <w:right w:val="single" w:sz="4" w:space="0" w:color="0070C0"/>
            </w:tcBorders>
            <w:vAlign w:val="center"/>
            <w:hideMark/>
          </w:tcPr>
          <w:p w:rsidR="00ED6753" w:rsidRDefault="00ED6753" w:rsidP="00191B00">
            <w:pPr>
              <w:rPr>
                <w:rFonts w:cs="HelveticaNeue"/>
                <w:color w:val="000000"/>
                <w:szCs w:val="20"/>
              </w:rPr>
            </w:pPr>
          </w:p>
        </w:tc>
        <w:tc>
          <w:tcPr>
            <w:tcW w:w="3480" w:type="dxa"/>
            <w:tcBorders>
              <w:top w:val="single" w:sz="4" w:space="0" w:color="0070C0"/>
              <w:left w:val="single" w:sz="4" w:space="0" w:color="0070C0"/>
              <w:bottom w:val="single" w:sz="4" w:space="0" w:color="0070C0"/>
              <w:right w:val="single" w:sz="4" w:space="0" w:color="0070C0"/>
            </w:tcBorders>
            <w:hideMark/>
          </w:tcPr>
          <w:p w:rsidR="00ED6753" w:rsidRDefault="0049791A" w:rsidP="00191B00">
            <w:pPr>
              <w:pStyle w:val="TTableText"/>
              <w:rPr>
                <w:lang w:val="en-GB"/>
              </w:rPr>
            </w:pPr>
            <w:hyperlink r:id="rId38" w:history="1">
              <w:r w:rsidR="00ED6753" w:rsidRPr="001802D2">
                <w:rPr>
                  <w:rStyle w:val="Hyperlink"/>
                  <w:lang w:val="en-GB"/>
                </w:rPr>
                <w:t>House of Lords Vol. 811 Col. 2413</w:t>
              </w:r>
            </w:hyperlink>
          </w:p>
        </w:tc>
      </w:tr>
    </w:tbl>
    <w:p w:rsidR="00ED6753" w:rsidRDefault="00ED6753" w:rsidP="00ED6753">
      <w:r>
        <w:br w:type="page"/>
      </w:r>
    </w:p>
    <w:p w:rsidR="00ED6753" w:rsidRPr="00390F67" w:rsidRDefault="00ED6753" w:rsidP="00ED6753">
      <w:pPr>
        <w:pStyle w:val="Heading1"/>
        <w:keepNext/>
      </w:pPr>
      <w:bookmarkStart w:id="48" w:name="_Toc72857869"/>
      <w:r w:rsidRPr="00390F67">
        <w:lastRenderedPageBreak/>
        <w:t>Annex</w:t>
      </w:r>
      <w:r>
        <w:t xml:space="preserve"> C</w:t>
      </w:r>
      <w:r w:rsidRPr="00390F67">
        <w:t xml:space="preserve"> </w:t>
      </w:r>
      <w:r>
        <w:t>–</w:t>
      </w:r>
      <w:r w:rsidRPr="00390F67">
        <w:t xml:space="preserve"> </w:t>
      </w:r>
      <w:r>
        <w:t>Progress of the Bill table</w:t>
      </w:r>
      <w:bookmarkEnd w:id="48"/>
    </w:p>
    <w:p w:rsidR="00ED6753" w:rsidRDefault="00ED6753" w:rsidP="00CE2EE4">
      <w:pPr>
        <w:pStyle w:val="ParaNumbered"/>
      </w:pPr>
      <w:r w:rsidRPr="00CD01E2">
        <w:rPr>
          <w:rFonts w:eastAsia="Palatino Linotype"/>
        </w:rPr>
        <w:t xml:space="preserve">This Annex </w:t>
      </w:r>
      <w:r w:rsidRPr="00CE2EE4">
        <w:rPr>
          <w:rFonts w:eastAsia="Palatino Linotype"/>
        </w:rPr>
        <w:t>shows</w:t>
      </w:r>
      <w:r w:rsidRPr="00CD01E2">
        <w:rPr>
          <w:rFonts w:eastAsia="Palatino Linotype"/>
        </w:rPr>
        <w:t xml:space="preserve"> how each section and Schedule of the Act was numbered during the passage of the Bill through Parliament.</w:t>
      </w:r>
    </w:p>
    <w:tbl>
      <w:tblPr>
        <w:tblStyle w:val="ENGeneralTable"/>
        <w:tblW w:w="9287" w:type="dxa"/>
        <w:tblLook w:val="04A0" w:firstRow="1" w:lastRow="0" w:firstColumn="1" w:lastColumn="0" w:noHBand="0" w:noVBand="1"/>
      </w:tblPr>
      <w:tblGrid>
        <w:gridCol w:w="1547"/>
        <w:gridCol w:w="1548"/>
        <w:gridCol w:w="1548"/>
        <w:gridCol w:w="1548"/>
        <w:gridCol w:w="1548"/>
        <w:gridCol w:w="1548"/>
      </w:tblGrid>
      <w:tr w:rsidR="00ED6753" w:rsidTr="00191B00">
        <w:trPr>
          <w:cnfStyle w:val="100000000000" w:firstRow="1" w:lastRow="0" w:firstColumn="0" w:lastColumn="0" w:oddVBand="0" w:evenVBand="0" w:oddHBand="0" w:evenHBand="0" w:firstRowFirstColumn="0" w:firstRowLastColumn="0" w:lastRowFirstColumn="0" w:lastRowLastColumn="0"/>
          <w:tblHeader/>
        </w:trPr>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rPr>
            </w:pPr>
            <w:r>
              <w:rPr>
                <w:rStyle w:val="TTableHeadings"/>
                <w:lang w:val="en-GB"/>
              </w:rPr>
              <w:t>Section of the Act</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Bill as Introduced in the Commons</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 xml:space="preserve">Bill as amended in Committee in the Commons </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Bill as introduced in the Lords</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Bill as amended in Committee in the Lords</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rPr>
                <w:rStyle w:val="TTableHeadings"/>
                <w:lang w:val="en-GB"/>
              </w:rPr>
            </w:pPr>
            <w:r>
              <w:rPr>
                <w:rStyle w:val="TTableHeadings"/>
                <w:lang w:val="en-GB"/>
              </w:rPr>
              <w:t>Bill as amended on Report in the Lords</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2</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3</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4</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5</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6</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7</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8</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8</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9</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9</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10</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10</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11</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12</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12</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12</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12</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12</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15</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16</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Section 14</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15</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Clause 17</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Section 15</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16</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Clause 18</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1</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1</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1</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2</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3</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3</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3</w:t>
            </w:r>
          </w:p>
        </w:tc>
        <w:tc>
          <w:tcPr>
            <w:tcW w:w="1548" w:type="dxa"/>
            <w:tcBorders>
              <w:top w:val="single" w:sz="4" w:space="0" w:color="0070C0"/>
              <w:left w:val="single" w:sz="4" w:space="0" w:color="0070C0"/>
              <w:bottom w:val="single" w:sz="4" w:space="0" w:color="0070C0"/>
              <w:right w:val="single" w:sz="4" w:space="0" w:color="0070C0"/>
            </w:tcBorders>
            <w:hideMark/>
          </w:tcPr>
          <w:p w:rsidR="00ED6753" w:rsidRDefault="00ED6753" w:rsidP="00191B00">
            <w:pPr>
              <w:pStyle w:val="TTableText"/>
            </w:pPr>
            <w:r>
              <w:t>Schedule 3</w:t>
            </w:r>
          </w:p>
        </w:tc>
      </w:tr>
      <w:tr w:rsidR="00ED6753" w:rsidTr="00191B00">
        <w:tc>
          <w:tcPr>
            <w:tcW w:w="1547"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c>
          <w:tcPr>
            <w:tcW w:w="1548" w:type="dxa"/>
            <w:tcBorders>
              <w:top w:val="single" w:sz="4" w:space="0" w:color="0070C0"/>
              <w:left w:val="single" w:sz="4" w:space="0" w:color="0070C0"/>
              <w:bottom w:val="single" w:sz="4" w:space="0" w:color="0070C0"/>
              <w:right w:val="single" w:sz="4" w:space="0" w:color="0070C0"/>
            </w:tcBorders>
          </w:tcPr>
          <w:p w:rsidR="00ED6753" w:rsidRDefault="00ED6753" w:rsidP="00191B00">
            <w:pPr>
              <w:pStyle w:val="TTableText"/>
            </w:pPr>
            <w:r>
              <w:t>Schedule 4</w:t>
            </w:r>
          </w:p>
        </w:tc>
      </w:tr>
    </w:tbl>
    <w:p w:rsidR="005F6F2A" w:rsidRPr="00ED6753" w:rsidRDefault="005F6F2A" w:rsidP="00821418">
      <w:bookmarkStart w:id="49" w:name="_Toc33686089"/>
      <w:bookmarkStart w:id="50" w:name="_1v1yuxt" w:colFirst="0" w:colLast="0"/>
      <w:bookmarkEnd w:id="49"/>
      <w:bookmarkEnd w:id="50"/>
    </w:p>
    <w:sectPr w:rsidR="005F6F2A" w:rsidRPr="00ED6753" w:rsidSect="005B5D58">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791A" w:rsidRDefault="0049791A">
      <w:r>
        <w:separator/>
      </w:r>
    </w:p>
    <w:p w:rsidR="0049791A" w:rsidRDefault="0049791A"/>
    <w:p w:rsidR="0049791A" w:rsidRDefault="0049791A"/>
  </w:endnote>
  <w:endnote w:type="continuationSeparator" w:id="0">
    <w:p w:rsidR="0049791A" w:rsidRDefault="0049791A">
      <w:r>
        <w:continuationSeparator/>
      </w:r>
    </w:p>
    <w:p w:rsidR="0049791A" w:rsidRDefault="0049791A"/>
    <w:p w:rsidR="0049791A" w:rsidRDefault="00497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F0" w:rsidRDefault="00F010F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010F0" w:rsidRDefault="00F010F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F0" w:rsidRDefault="00F010F0"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15953">
      <w:rPr>
        <w:noProof/>
      </w:rPr>
      <w:t>6</w:t>
    </w:r>
    <w:r>
      <w:rPr>
        <w:noProof/>
      </w:rPr>
      <w:fldChar w:fldCharType="end"/>
    </w:r>
  </w:p>
  <w:p w:rsidR="00F010F0" w:rsidRPr="006A0D49" w:rsidRDefault="00F010F0"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15953">
      <w:rPr>
        <w:noProof/>
      </w:rPr>
      <w:t>6</w:t>
    </w:r>
    <w:r>
      <w:rPr>
        <w:noProof/>
      </w:rPr>
      <w:fldChar w:fldCharType="end"/>
    </w:r>
  </w:p>
  <w:p w:rsidR="00F010F0" w:rsidRPr="00F010F0" w:rsidRDefault="00F010F0" w:rsidP="00AE7634">
    <w:pPr>
      <w:pStyle w:val="Footer"/>
      <w:rPr>
        <w:rStyle w:val="FooterText"/>
      </w:rPr>
    </w:pPr>
    <w:r w:rsidRPr="00DE0805">
      <w:rPr>
        <w:rStyle w:val="FooterText"/>
      </w:rPr>
      <w:t xml:space="preserve">These Explanatory Notes relate to </w:t>
    </w:r>
    <w:r w:rsidRPr="00F010F0">
      <w:rPr>
        <w:rStyle w:val="FooterText"/>
      </w:rPr>
      <w:t xml:space="preserve">the </w:t>
    </w:r>
    <w:r w:rsidRPr="00F010F0">
      <w:rPr>
        <w:rStyle w:val="FooterText"/>
        <w:rFonts w:eastAsia="Palatino Linotype"/>
      </w:rPr>
      <w:t>Overseas Operations (Service Personnel and Veterans) Act 2021 (c. 23) which received Royal Assent on 29 April 2021</w:t>
    </w:r>
    <w:r w:rsidRPr="00F010F0">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076"/>
      <w:gridCol w:w="4077"/>
    </w:tblGrid>
    <w:tr w:rsidR="00F010F0" w:rsidRPr="00A64BF2" w:rsidTr="00A64BF2">
      <w:tc>
        <w:tcPr>
          <w:tcW w:w="4076" w:type="dxa"/>
          <w:shd w:val="clear" w:color="auto" w:fill="auto"/>
        </w:tcPr>
        <w:p w:rsidR="00F010F0" w:rsidRPr="00A64BF2" w:rsidRDefault="00F010F0" w:rsidP="001E3774">
          <w:pPr>
            <w:pStyle w:val="Footer"/>
          </w:pPr>
          <w:r>
            <w:t>c. 23</w:t>
          </w:r>
          <w:r w:rsidRPr="00A64BF2">
            <w:t>–EN</w:t>
          </w:r>
        </w:p>
      </w:tc>
      <w:tc>
        <w:tcPr>
          <w:tcW w:w="4077" w:type="dxa"/>
          <w:shd w:val="clear" w:color="auto" w:fill="auto"/>
        </w:tcPr>
        <w:p w:rsidR="00F010F0" w:rsidRPr="00A64BF2" w:rsidRDefault="00F010F0" w:rsidP="00191B00">
          <w:pPr>
            <w:pStyle w:val="Footer"/>
            <w:jc w:val="right"/>
          </w:pPr>
        </w:p>
      </w:tc>
    </w:tr>
  </w:tbl>
  <w:p w:rsidR="00F010F0" w:rsidRDefault="00F010F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791A" w:rsidRDefault="0049791A">
      <w:r>
        <w:separator/>
      </w:r>
    </w:p>
    <w:p w:rsidR="0049791A" w:rsidRDefault="0049791A"/>
    <w:p w:rsidR="0049791A" w:rsidRDefault="0049791A"/>
  </w:footnote>
  <w:footnote w:type="continuationSeparator" w:id="0">
    <w:p w:rsidR="0049791A" w:rsidRDefault="0049791A">
      <w:r>
        <w:continuationSeparator/>
      </w:r>
    </w:p>
    <w:p w:rsidR="0049791A" w:rsidRDefault="0049791A"/>
    <w:p w:rsidR="0049791A" w:rsidRDefault="0049791A"/>
  </w:footnote>
  <w:footnote w:id="1">
    <w:p w:rsidR="00F010F0" w:rsidRDefault="00F010F0" w:rsidP="00ED6753">
      <w:pPr>
        <w:pStyle w:val="FootnoteText"/>
      </w:pPr>
      <w:r>
        <w:rPr>
          <w:rStyle w:val="FootnoteReference"/>
        </w:rPr>
        <w:footnoteRef/>
      </w:r>
      <w:r w:rsidR="00E96375">
        <w:t xml:space="preserve"> </w:t>
      </w:r>
      <w:r>
        <w:t xml:space="preserve">The offences listed in Schedule 1 include sexual offences, torture and offences under the International Criminal Court Act 2001.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F0" w:rsidRDefault="00F010F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F0" w:rsidRDefault="00F010F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F0" w:rsidRDefault="00F010F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BA6FA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E25B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AA4B4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FEC1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B7A7E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1826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ABE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C00D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C04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AABD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035006"/>
    <w:multiLevelType w:val="multilevel"/>
    <w:tmpl w:val="8F44B9D6"/>
    <w:lvl w:ilvl="0">
      <w:start w:val="1"/>
      <w:numFmt w:val="bullet"/>
      <w:lvlText w:val="●"/>
      <w:lvlJc w:val="left"/>
      <w:pPr>
        <w:ind w:left="221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11" w15:restartNumberingAfterBreak="0">
    <w:nsid w:val="17C768A7"/>
    <w:multiLevelType w:val="multilevel"/>
    <w:tmpl w:val="376A68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8173C8E"/>
    <w:multiLevelType w:val="hybridMultilevel"/>
    <w:tmpl w:val="52D05CB2"/>
    <w:lvl w:ilvl="0" w:tplc="6CAC5C86">
      <w:start w:val="1"/>
      <w:numFmt w:val="decimal"/>
      <w:pStyle w:val="ParaNumbered"/>
      <w:lvlText w:val="%1 "/>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B72EDA"/>
    <w:multiLevelType w:val="multilevel"/>
    <w:tmpl w:val="376A68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A7122A9"/>
    <w:multiLevelType w:val="multilevel"/>
    <w:tmpl w:val="D4CE86CE"/>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7B5FB3"/>
    <w:multiLevelType w:val="multilevel"/>
    <w:tmpl w:val="376A68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C492E8F"/>
    <w:multiLevelType w:val="multilevel"/>
    <w:tmpl w:val="376A68C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5ECD32D2"/>
    <w:multiLevelType w:val="multilevel"/>
    <w:tmpl w:val="376A68C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7A6B70"/>
    <w:multiLevelType w:val="multilevel"/>
    <w:tmpl w:val="283E184E"/>
    <w:lvl w:ilvl="0">
      <w:start w:val="1"/>
      <w:numFmt w:val="decimal"/>
      <w:lvlText w:val="%1 "/>
      <w:lvlJc w:val="left"/>
      <w:pPr>
        <w:ind w:left="720"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0694E87"/>
    <w:multiLevelType w:val="multilevel"/>
    <w:tmpl w:val="CAB4E8AE"/>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2"/>
  </w:num>
  <w:num w:numId="4">
    <w:abstractNumId w:val="21"/>
  </w:num>
  <w:num w:numId="5">
    <w:abstractNumId w:val="13"/>
  </w:num>
  <w:num w:numId="6">
    <w:abstractNumId w:val="25"/>
  </w:num>
  <w:num w:numId="7">
    <w:abstractNumId w:val="14"/>
  </w:num>
  <w:num w:numId="8">
    <w:abstractNumId w:val="26"/>
  </w:num>
  <w:num w:numId="9">
    <w:abstractNumId w:val="24"/>
  </w:num>
  <w:num w:numId="10">
    <w:abstractNumId w:val="23"/>
  </w:num>
  <w:num w:numId="11">
    <w:abstractNumId w:val="10"/>
  </w:num>
  <w:num w:numId="12">
    <w:abstractNumId w:val="15"/>
  </w:num>
  <w:num w:numId="13">
    <w:abstractNumId w:val="19"/>
  </w:num>
  <w:num w:numId="14">
    <w:abstractNumId w:val="11"/>
  </w:num>
  <w:num w:numId="15">
    <w:abstractNumId w:val="18"/>
  </w:num>
  <w:num w:numId="16">
    <w:abstractNumId w:val="16"/>
  </w:num>
  <w:num w:numId="17">
    <w:abstractNumId w:val="20"/>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1B00"/>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5B61"/>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2C4"/>
    <w:rsid w:val="00373D55"/>
    <w:rsid w:val="003743AA"/>
    <w:rsid w:val="00375FF7"/>
    <w:rsid w:val="00376177"/>
    <w:rsid w:val="00386BD4"/>
    <w:rsid w:val="00387A1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06C96"/>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9791A"/>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418"/>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15953"/>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6B3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2EE4"/>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6B34"/>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96375"/>
    <w:rsid w:val="00EA27F4"/>
    <w:rsid w:val="00EA68DF"/>
    <w:rsid w:val="00EC1236"/>
    <w:rsid w:val="00EC4FF9"/>
    <w:rsid w:val="00ED18AB"/>
    <w:rsid w:val="00ED3346"/>
    <w:rsid w:val="00ED6753"/>
    <w:rsid w:val="00ED7B08"/>
    <w:rsid w:val="00EE02E2"/>
    <w:rsid w:val="00EE5C92"/>
    <w:rsid w:val="00EE73A6"/>
    <w:rsid w:val="00EF084F"/>
    <w:rsid w:val="00EF0944"/>
    <w:rsid w:val="00EF0EFF"/>
    <w:rsid w:val="00EF13EB"/>
    <w:rsid w:val="00EF2DFE"/>
    <w:rsid w:val="00EF50B5"/>
    <w:rsid w:val="00EF5798"/>
    <w:rsid w:val="00F010F0"/>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2DC92CBE-1F84-41B2-B868-B51263FF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iPriority="0"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191B00"/>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qFormat/>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91B00"/>
    <w:pPr>
      <w:tabs>
        <w:tab w:val="right" w:pos="9061"/>
      </w:tabs>
      <w:spacing w:before="120" w:after="120"/>
      <w:jc w:val="right"/>
    </w:pPr>
    <w:rPr>
      <w:rFonts w:ascii="Palatino Linotype" w:hAnsi="Palatino Linotype"/>
      <w:b/>
      <w:bCs/>
      <w:noProof/>
      <w:sz w:val="28"/>
      <w:szCs w:val="28"/>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 Linotype"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Cs w:val="24"/>
      <w:lang w:val="en-US" w:eastAsia="en-US" w:bidi="en-US"/>
    </w:rPr>
  </w:style>
  <w:style w:type="character" w:customStyle="1" w:styleId="ParaBulletedChar">
    <w:name w:val="Para: Bulleted Char"/>
    <w:link w:val="ParaBulleted"/>
    <w:rsid w:val="009A4422"/>
    <w:rPr>
      <w:rFonts w:ascii="Palatino Linotype" w:hAnsi="Palatino Linotype" w:cs="PalatinoLinotype-Roman"/>
      <w:color w:val="000000"/>
      <w:szCs w:val="24"/>
      <w:lang w:val="en-US" w:eastAsia="en-US" w:bidi="en-US"/>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 Linotype" w:hAnsi="Palatino Linotype" w:cs="PalatinoLinotype-Roman"/>
      <w:color w:val="000000"/>
      <w:szCs w:val="24"/>
      <w:lang w:val="en-US" w:eastAsia="en-US" w:bidi="en-US"/>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Arial" w:hAnsi="Arial"/>
      <w:b/>
      <w:bCs/>
      <w:color w:val="0070C0"/>
      <w:sz w:val="28"/>
      <w:szCs w:val="32"/>
      <w:lang w:eastAsia="en-US" w:bidi="en-US"/>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 Linotype" w:hAnsi="Palatino Linotype"/>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UnresolvedMention1">
    <w:name w:val="Unresolved Mention1"/>
    <w:uiPriority w:val="99"/>
    <w:semiHidden/>
    <w:unhideWhenUsed/>
    <w:rsid w:val="00ED6753"/>
    <w:rPr>
      <w:color w:val="605E5C"/>
      <w:shd w:val="clear" w:color="auto" w:fill="E1DFDD"/>
    </w:rPr>
  </w:style>
  <w:style w:type="character" w:styleId="CommentReference">
    <w:name w:val="annotation reference"/>
    <w:unhideWhenUsed/>
    <w:locked/>
    <w:rsid w:val="00ED6753"/>
    <w:rPr>
      <w:sz w:val="16"/>
      <w:szCs w:val="16"/>
    </w:rPr>
  </w:style>
  <w:style w:type="paragraph" w:styleId="CommentText">
    <w:name w:val="annotation text"/>
    <w:basedOn w:val="Normal"/>
    <w:link w:val="CommentTextChar"/>
    <w:uiPriority w:val="99"/>
    <w:semiHidden/>
    <w:unhideWhenUsed/>
    <w:locked/>
    <w:rsid w:val="00ED6753"/>
    <w:pPr>
      <w:spacing w:after="160" w:line="240" w:lineRule="auto"/>
    </w:pPr>
    <w:rPr>
      <w:rFonts w:ascii="Cambria" w:eastAsia="Cambria" w:hAnsi="Cambria" w:cs="Arial"/>
      <w:sz w:val="20"/>
      <w:szCs w:val="20"/>
    </w:rPr>
  </w:style>
  <w:style w:type="character" w:customStyle="1" w:styleId="CommentTextChar">
    <w:name w:val="Comment Text Char"/>
    <w:basedOn w:val="DefaultParagraphFont"/>
    <w:link w:val="CommentText"/>
    <w:uiPriority w:val="99"/>
    <w:semiHidden/>
    <w:rsid w:val="00ED6753"/>
    <w:rPr>
      <w:rFonts w:ascii="Cambria" w:eastAsia="Cambria" w:hAnsi="Cambria" w:cs="Arial"/>
      <w:lang w:eastAsia="en-US" w:bidi="en-US"/>
    </w:rPr>
  </w:style>
  <w:style w:type="character" w:customStyle="1" w:styleId="normaltextrun">
    <w:name w:val="normaltextrun"/>
    <w:rsid w:val="00ED6753"/>
  </w:style>
  <w:style w:type="paragraph" w:styleId="CommentSubject">
    <w:name w:val="annotation subject"/>
    <w:basedOn w:val="CommentText"/>
    <w:next w:val="CommentText"/>
    <w:link w:val="CommentSubjectChar"/>
    <w:uiPriority w:val="99"/>
    <w:semiHidden/>
    <w:unhideWhenUsed/>
    <w:locked/>
    <w:rsid w:val="00ED6753"/>
    <w:pPr>
      <w:spacing w:after="200"/>
    </w:pPr>
    <w:rPr>
      <w:rFonts w:ascii="Calibri" w:eastAsia="Calibri" w:hAnsi="Calibri" w:cs="Calibri"/>
      <w:b/>
      <w:bCs/>
      <w:lang w:eastAsia="en-GB"/>
    </w:rPr>
  </w:style>
  <w:style w:type="character" w:customStyle="1" w:styleId="CommentSubjectChar">
    <w:name w:val="Comment Subject Char"/>
    <w:basedOn w:val="CommentTextChar"/>
    <w:link w:val="CommentSubject"/>
    <w:uiPriority w:val="99"/>
    <w:semiHidden/>
    <w:rsid w:val="00ED6753"/>
    <w:rPr>
      <w:rFonts w:ascii="Cambria" w:eastAsia="Calibri" w:hAnsi="Cambria" w:cs="Calibri"/>
      <w:b/>
      <w:bCs/>
      <w:lang w:eastAsia="en-US" w:bidi="en-US"/>
    </w:rPr>
  </w:style>
  <w:style w:type="paragraph" w:customStyle="1" w:styleId="Default">
    <w:name w:val="Default"/>
    <w:rsid w:val="00ED6753"/>
    <w:pPr>
      <w:autoSpaceDE w:val="0"/>
      <w:autoSpaceDN w:val="0"/>
      <w:adjustRightInd w:val="0"/>
    </w:pPr>
    <w:rPr>
      <w:rFonts w:ascii="Times New Roman" w:eastAsia="Calibri" w:hAnsi="Times New Roman"/>
      <w:color w:val="000000"/>
      <w:sz w:val="24"/>
      <w:szCs w:val="24"/>
    </w:rPr>
  </w:style>
  <w:style w:type="paragraph" w:styleId="Revision">
    <w:name w:val="Revision"/>
    <w:hidden/>
    <w:uiPriority w:val="99"/>
    <w:rsid w:val="00ED6753"/>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publications.parliament.uk/pa/jt5801/jtselect/jtrights/665/66502.htm" TargetMode="External"/><Relationship Id="rId18" Type="http://schemas.openxmlformats.org/officeDocument/2006/relationships/hyperlink" Target="https://hansard.parliament.uk/commons/2020-10-06/debates/8fc1f42e-4869-491e-b027-be530d1a5b1d/OverseasOperations(ServicePersonnelAndVeterans)Bill(SecondSitting)" TargetMode="External"/><Relationship Id="rId26" Type="http://schemas.openxmlformats.org/officeDocument/2006/relationships/hyperlink" Target="https://hansard.parliament.uk/commons/2020-10-22/debates/f88cee46-6088-4ac9-880e-1ac4f96a859c/OverseasOperations(ServicePersonnelAndVeterans)Bill(TenthSitting)" TargetMode="External"/><Relationship Id="rId39" Type="http://schemas.openxmlformats.org/officeDocument/2006/relationships/header" Target="header1.xml"/><Relationship Id="rId21" Type="http://schemas.openxmlformats.org/officeDocument/2006/relationships/hyperlink" Target="https://hansard.parliament.uk/commons/2020-10-14/debates/d0073222-0f7c-4136-a541-2ca38b05e4b4/OverseasOperations(ServicePersonnelAndVeterans)Bill(FifthSitting)" TargetMode="External"/><Relationship Id="rId34" Type="http://schemas.openxmlformats.org/officeDocument/2006/relationships/hyperlink" Target="https://hansard.parliament.uk/lords/2021-04-26/debates/77C518E2-F5DF-4DFF-8C47-7E6FCC0BB791/OverseasOperations(ServicePersonnelAndVeterans)Bill"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commons/2020-09-23/debates/BE01763F-2480-4C4B-9FAA-E36AC7158566/OverseasOperations(ServicePersonnelAndVeterans)Bill" TargetMode="External"/><Relationship Id="rId29" Type="http://schemas.openxmlformats.org/officeDocument/2006/relationships/hyperlink" Target="https://hansard.parliament.uk/lords/2021-01-20/debates/3CCFD6D5-5182-484F-8F0C-28DB13339980/OverseasOperations(ServicePersonnelAndVeterans)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lications.parliament.uk/pa/cm201719/cmselect/cmdfence/1224/1224.pdf" TargetMode="External"/><Relationship Id="rId24" Type="http://schemas.openxmlformats.org/officeDocument/2006/relationships/hyperlink" Target="https://hansard.parliament.uk/commons/2020-10-20/debates/1072e425-214d-48fc-aae6-5d045ba88099/OverseasOperations(ServicePersonnelAndVeterans)Bill(EighthSitting)" TargetMode="External"/><Relationship Id="rId32" Type="http://schemas.openxmlformats.org/officeDocument/2006/relationships/hyperlink" Target="https://hansard.parliament.uk/lords/2021-04-19/debates/195A73DE-B5C3-4B26-AFA1-50688F5BDC7F/OverseasOperations(ServicePersonnelAndVeterans)Bill" TargetMode="External"/><Relationship Id="rId37" Type="http://schemas.openxmlformats.org/officeDocument/2006/relationships/hyperlink" Target="https://hansard.parliament.uk/commons/2021-04-29/debates/92DD6573-5F72-4D23-8B86-6AF148BEC641/MessageToAttendTheLordsCommissioners"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Commons/2020-03-18/debates/20031829000001/BILLPRESENTED" TargetMode="External"/><Relationship Id="rId23" Type="http://schemas.openxmlformats.org/officeDocument/2006/relationships/hyperlink" Target="https://hansard.parliament.uk/commons/2020-10-20/debates/a16c3d96-fbb4-4487-86a5-adcedb658b31/OverseasOperations(ServicePersonnelAndVeterans)Bill(SeventhSitting)" TargetMode="External"/><Relationship Id="rId28" Type="http://schemas.openxmlformats.org/officeDocument/2006/relationships/hyperlink" Target="https://hansard.parliament.uk/lords/2020-11-04/debates/C35BB610-83F5-46EA-B83E-45DBC28331DE/OverseasOperations(ServicePersonnelAndVeterans)Bill" TargetMode="External"/><Relationship Id="rId36" Type="http://schemas.openxmlformats.org/officeDocument/2006/relationships/hyperlink" Target="https://bills.parliament.uk/bills/2727/stages/12920" TargetMode="External"/><Relationship Id="rId10" Type="http://schemas.openxmlformats.org/officeDocument/2006/relationships/hyperlink" Target="https://assets.publishing.service.gov.uk/government/uploads/system/uploads/attachment_data/file/918790/20200907-MOD_Analysis_and_Response-FINAL__accessible_.pdf" TargetMode="External"/><Relationship Id="rId19" Type="http://schemas.openxmlformats.org/officeDocument/2006/relationships/hyperlink" Target="https://hansard.parliament.uk/commons/2020-10-08/debates/0978324f-c831-4b3d-8f09-6f8302b7541d/OverseasOperations(ServicePersonnelAndVeterans)Bill(ThirdSitting)" TargetMode="External"/><Relationship Id="rId31" Type="http://schemas.openxmlformats.org/officeDocument/2006/relationships/hyperlink" Target="https://hansard.parliament.uk/lords/2021-04-13/debates/44CAE6C7-41C6-4D84-AA8F-39727B660205/OverseasOperations(ServicePersonnelAndVeterans)Bill"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919822/20190718-MOD_consultation_document-FINAL.pdf" TargetMode="External"/><Relationship Id="rId14" Type="http://schemas.openxmlformats.org/officeDocument/2006/relationships/hyperlink" Target="https://committees.parliament.uk/publications/4260/documents/43321/default/" TargetMode="External"/><Relationship Id="rId22" Type="http://schemas.openxmlformats.org/officeDocument/2006/relationships/hyperlink" Target="https://hansard.parliament.uk/commons/2020-10-14/debates/61a41ccd-a513-46ec-bacd-b865adbd6a8e/OverseasOperations(ServicePersonnelAndVeterans)Bill(SixthSitting)" TargetMode="External"/><Relationship Id="rId27" Type="http://schemas.openxmlformats.org/officeDocument/2006/relationships/hyperlink" Target="https://hansard.parliament.uk/commons/2020-11-03/debates/FB4C7182-567C-49B9-A7DE-EFE9EC75B9B4/OverseasOperations(ServicePersonnelAndVeterans)Bill" TargetMode="External"/><Relationship Id="rId30" Type="http://schemas.openxmlformats.org/officeDocument/2006/relationships/hyperlink" Target="https://hansard.parliament.uk/lords/2021-03-09/debates/B82D5065-8436-4DC1-8360-ADC61B9B8A05/OverseasOperations(ServicePersonnelAndVeterans)Bill" TargetMode="External"/><Relationship Id="rId35" Type="http://schemas.openxmlformats.org/officeDocument/2006/relationships/hyperlink" Target="https://hansard.parliament.uk/commons/2021-04-27/debates/8FE9DB67-14E5-47CD-AD0C-62AC9C0DF22D/OverseasOperations(ServicePersonnelAndVeterans)Bill" TargetMode="External"/><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committees.parliament.uk/publications/943/documents/7321/default/" TargetMode="External"/><Relationship Id="rId17" Type="http://schemas.openxmlformats.org/officeDocument/2006/relationships/hyperlink" Target="https://hansard.parliament.uk/Commons/2020-10-06/debates/15edfc84-1958-4d58-afbc-c1f834b5f803/OverseasOperations(ServicePersonnelAndVeterans)Bill(FirstSitting)" TargetMode="External"/><Relationship Id="rId25" Type="http://schemas.openxmlformats.org/officeDocument/2006/relationships/hyperlink" Target="https://hansard.parliament.uk/commons/2020-10-22/debates/5a4ffd37-cc1b-4e0b-ae57-7af214bf3cb5/OverseasOperations(ServicePersonnelAndVeterans)Bill(NinthSitting)" TargetMode="External"/><Relationship Id="rId33" Type="http://schemas.openxmlformats.org/officeDocument/2006/relationships/hyperlink" Target="https://hansard.parliament.uk/commons/2021-04-21/debates/5881B68B-E609-4005-A565-E2BB3404B313/OverseasOperations(ServicePersonnelAndVeterans)Bill" TargetMode="External"/><Relationship Id="rId38" Type="http://schemas.openxmlformats.org/officeDocument/2006/relationships/hyperlink" Target="https://hansard.parliament.uk/lords/2021-04-29/debates/6B29F4C1-4077-4A0D-8A4C-9E0D8324A14B/RoyalAssent" TargetMode="External"/><Relationship Id="rId46" Type="http://schemas.openxmlformats.org/officeDocument/2006/relationships/theme" Target="theme/theme1.xml"/><Relationship Id="rId20" Type="http://schemas.openxmlformats.org/officeDocument/2006/relationships/hyperlink" Target="https://hansard.parliament.uk/commons/2020-10-08/debates/f7a00940-5c69-4b9d-9c03-dbc31feadc8d/OverseasOperations(ServicePersonnelAndVeterans)Bill(FourthSitting)"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140E43-EF09-49C7-A14C-75CAFE04B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6937</Words>
  <Characters>39543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46388</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12</cp:revision>
  <cp:lastPrinted>2016-01-06T10:34:00Z</cp:lastPrinted>
  <dcterms:created xsi:type="dcterms:W3CDTF">2021-05-12T14:59:00Z</dcterms:created>
  <dcterms:modified xsi:type="dcterms:W3CDTF">2021-06-14T14:58:00Z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2021-05-12T14:59:10Z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9dc779a7-0de7-4e47-a251-372ed58b9a22</vt:lpwstr>
  </property>
  <property fmtid="{D5CDD505-2E9C-101B-9397-08002B2CF9AE}" pid="8" name="MSIP_Label_61c22e59-6e76-40e7-9277-37c464fc6354_ContentBits">
    <vt:lpwstr>0</vt:lpwstr>
  </property>
</Properties>
</file>