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customXml/itemProps5.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ENBilltitleText1"/>
        <w:rPr>
          <w:color w:val="auto"/>
          <w:lang w:val="en-GB"/>
        </w:rPr>
      </w:pPr>
      <w:sdt>
        <w:sdtPr>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alias w:val="Title"/>
          <w:tag w:val="Title"/>
          <w:id w:val="8930836"/>
          <w:lock w:val="sdtLocked"/>
          <w:text/>
        </w:sdtPr>
        <w:sdtContent>
          <w:r>
            <w:rPr>
              <w:color w:val="auto"/>
              <w:lang w:val="en-GB"/>
            </w:rPr>
          </w:r>
          <w:r>
            <w:rPr>
              <w:color w:val="auto"/>
              <w:lang w:val="en-GB"/>
            </w:rPr>
            <w:t>Health and Social Care Levy</w:t>
          </w:r>
        </w:sdtContent>
      </w:sdt>
      <w:r>
        <w:rPr>
          <w:rFonts w:cs="Arial"/>
          <w:bCs w:val="false"/>
          <w:color w:val="000000"/>
          <w:lang w:val="en-GB"/>
        </w:rPr>
        <w:t xml:space="preserve"> </w:t>
      </w:r>
      <w:sdt>
        <w:sdtPr>
          <w:placeholder>
            <w:docPart w:val="AA6E0A2FDC944D3F973BC56C7811C961"/>
          </w:placeholder>
          <w:alias w:val="BillAct1"/>
          <w:tag w:val="BillAct1"/>
          <w:id w:val="22676688"/>
          <w:lock w:val="sdtLocked"/>
        </w:sdtPr>
        <w:sdtContent>
          <w:r>
            <w:rPr>
              <w:rFonts w:cs="Arial"/>
              <w:bCs w:val="false"/>
              <w:color w:val="000000"/>
              <w:lang w:val="en-GB"/>
            </w:rPr>
          </w:r>
          <w:r>
            <w:rPr>
              <w:color w:val="auto"/>
              <w:lang w:val="en-GB"/>
            </w:rPr>
            <w:t>Act</w:t>
          </w:r>
        </w:sdtContent>
      </w:sdt>
      <w:r>
        <w:rPr>
          <w:color w:val="auto"/>
          <w:lang w:val="en-GB"/>
        </w:rPr>
        <w:t xml:space="preserve"> </w:t>
      </w:r>
      <w:r>
        <w:rPr>
          <w:color w:val="auto"/>
          <w:lang w:val="en-GB"/>
        </w:rPr>
        <w:t>2021</w:t>
      </w:r>
    </w:p>
    <w:p>
      <w:pPr>
        <w:pStyle w:val="ENnotestitle"/>
        <w:rPr>
          <w:rFonts w:cs="Arial"/>
          <w:lang w:val="en-GB"/>
        </w:rPr>
      </w:pPr>
      <w:r>
        <w:rPr>
          <w:rFonts w:cs="Arial"/>
          <w:lang w:val="en-GB"/>
        </w:rPr>
        <w:t>EXPLANATORY NOTES</w:t>
      </w:r>
      <w:bookmarkStart w:id="0" w:name="_GoBack"/>
      <w:bookmarkEnd w:id="0"/>
    </w:p>
    <w:p>
      <w:pPr>
        <w:pStyle w:val="ENHeading1Unindexed"/>
        <w:rPr>
          <w:lang w:val="en-GB"/>
        </w:rPr>
      </w:pPr>
      <w:sdt>
        <w:sdtPr>
          <w:placeholder>
            <w:docPart w:val="E981BF7FA6DB4EBF8FCB1771437805B3"/>
          </w:placeholder>
          <w:id w:val="2373131"/>
          <w:lock w:val="sdtContentLocked"/>
          <w:text/>
        </w:sdtPr>
        <w:sdtContent>
          <w:r>
            <w:rPr>
              <w:lang w:val="en-GB"/>
            </w:rPr>
          </w:r>
          <w:r>
            <w:rPr>
              <w:lang w:val="en-GB"/>
            </w:rPr>
            <w:t>What these notes do </w:t>
          </w:r>
        </w:sdtContent>
      </w:sdt>
    </w:p>
    <w:p>
      <w:pPr>
        <w:pStyle w:val="StyleStyleENIntroTextLatinPalatinoLinotype-RomanBackg"/>
        <w:rPr>
          <w:color w:val="auto"/>
        </w:rPr>
      </w:pPr>
      <w:r>
        <w:rPr>
          <w:color w:val="auto"/>
        </w:rPr>
        <w:t xml:space="preserve">These Explanatory Notes relate to the </w:t>
      </w:r>
      <w:sdt>
        <w:sdtPr>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alias w:val="Title"/>
          <w:tag w:val="Title"/>
          <w:id w:val="8930838"/>
          <w:lock w:val="sdtLocked"/>
          <w:text/>
        </w:sdtPr>
        <w:sdtContent>
          <w:r>
            <w:rPr>
              <w:color w:val="auto"/>
            </w:rPr>
          </w:r>
          <w:r>
            <w:rPr>
              <w:color w:val="auto"/>
              <w:lang w:val="en-GB"/>
            </w:rPr>
            <w:t>Health and Social Care Levy</w:t>
          </w:r>
        </w:sdtContent>
      </w:sdt>
      <w:r>
        <w:rPr>
          <w:color w:val="auto"/>
        </w:rPr>
        <w:t xml:space="preserve"> </w:t>
      </w:r>
      <w:sdt>
        <w:sdtPr>
          <w:placeholder>
            <w:docPart w:val="AA6E0A2FDC944D3F973BC56C7811C961"/>
          </w:placeholder>
          <w:alias w:val="BillAct"/>
          <w:tag w:val="BillAct"/>
          <w:id w:val="22676691"/>
          <w:lock w:val="sdtLocked"/>
        </w:sdtPr>
        <w:sdtContent>
          <w:r>
            <w:rPr>
              <w:color w:val="auto"/>
            </w:rPr>
          </w:r>
          <w:r>
            <w:rPr>
              <w:color w:val="auto"/>
            </w:rPr>
            <w:t>Act</w:t>
          </w:r>
        </w:sdtContent>
      </w:sdt>
      <w:r>
        <w:rPr>
          <w:color w:val="auto"/>
        </w:rPr>
        <w:t xml:space="preserve"> 2021</w:t>
      </w:r>
      <w:r>
        <w:rPr>
          <w:color w:val="auto"/>
        </w:rPr>
        <w:t xml:space="preserve"> </w:t>
      </w:r>
      <w:sdt>
        <w:sdtPr>
          <w:placeholder>
            <w:docPart w:val="6E18831CD9A8448481441BB6E1544FFD"/>
          </w:placeholder>
          <w:alias w:val="Stage"/>
          <w:tag w:val="Stage"/>
          <w:id w:val="15540177"/>
          <w:lock w:val="sdtLocked"/>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Pr>
              <w:color w:val="auto"/>
            </w:rPr>
          </w:r>
          <w:r>
            <w:rPr>
              <w:color w:val="auto"/>
            </w:rPr>
            <w:t>which received Royal Assent</w:t>
          </w:r>
        </w:sdtContent>
      </w:sdt>
      <w:r>
        <w:rPr>
          <w:color w:val="auto"/>
        </w:rPr>
        <w:t xml:space="preserve"> </w:t>
      </w:r>
      <w:r>
        <w:rPr>
          <w:color w:val="auto"/>
        </w:rPr>
        <w:t xml:space="preserve">on </w:t>
      </w:r>
      <w:sdt>
        <w:sdtPr>
          <w:placeholder>
            <w:docPart w:val="CD3D908E5859454DA8862ED367C34F9E"/>
          </w:placeholder>
          <w:dataBinding w:prefixMappings="xmlns:ns0='http://schemas.microsoft.com/office/2006/coverPageProps' " w:xpath="/ns0:CoverPageProperties[1]/ns0:PublishDate[1]" w:storeItemID="{55AF091B-3C7A-41E3-B477-F2FDAA23CFDA}"/>
          <w:alias w:val="Publish Date"/>
          <w:tag w:val="Publish Date"/>
          <w:id w:val="11451112"/>
          <w:lock w:val="sdtLocked"/>
          <w:date w:fullDate="2021-10-20T00:00:00">
            <w:dateFormat w:val="d MMMM yyyy"/>
            <w:lid w:val="en-GB"/>
          </w:date>
        </w:sdtPr>
        <w:sdtContent>
          <w:r>
            <w:rPr>
              <w:color w:val="auto"/>
            </w:rPr>
          </w:r>
          <w:r>
            <w:rPr>
              <w:color w:val="auto"/>
            </w:rPr>
            <w:t>20 October 2021</w:t>
          </w:r>
          <w:r>
            <w:rPr>
              <w:color w:val="auto"/>
              <w:lang w:val="en-GB"/>
            </w:rPr>
          </w:r>
        </w:sdtContent>
      </w:sdt>
      <w:r>
        <w:rPr>
          <w:color w:val="auto"/>
        </w:rPr>
        <w:t xml:space="preserve"> (</w:t>
      </w:r>
      <w:sdt>
        <w:sdtPr>
          <w:placeholder>
            <w:docPart w:val="246ADE67FC014772B2EF02DA894C34DC"/>
          </w:placeholder>
          <w:alias w:val="BNumber"/>
          <w:tag w:val="BNumber"/>
          <w:id w:val="15540180"/>
          <w:lock w:val="sdtLocked"/>
        </w:sdtPr>
        <w:sdtContent>
          <w:r>
            <w:rPr>
              <w:color w:val="auto"/>
            </w:rPr>
          </w:r>
          <w:r>
            <w:rPr>
              <w:color w:val="auto"/>
            </w:rPr>
            <w:t>c.</w:t>
          </w:r>
        </w:sdtContent>
      </w:sdt>
      <w:r>
        <w:rPr>
          <w:color w:val="auto"/>
        </w:rPr>
        <w:t xml:space="preserve"> </w:t>
      </w:r>
      <w:sdt>
        <w:sdtPr>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alias w:val="BillNumber"/>
          <w:tag w:val="BillNumber"/>
          <w:id w:val="15540186"/>
          <w:lock w:val="sdtLocked"/>
          <w:text/>
        </w:sdtPr>
        <w:sdtContent>
          <w:r>
            <w:rPr>
              <w:color w:val="auto"/>
            </w:rPr>
          </w:r>
          <w:r>
            <w:rPr>
              <w:color w:val="auto"/>
            </w:rPr>
            <w:t>28</w:t>
          </w:r>
        </w:sdtContent>
      </w:sdt>
      <w:r>
        <w:rPr>
          <w:color w:val="auto"/>
        </w:rPr>
        <w:t>).</w:t>
      </w:r>
      <w:r>
        <w:rPr>
          <w:color w:val="auto"/>
        </w:rPr>
        <w:t xml:space="preserve"> </w:t>
      </w:r>
    </w:p>
    <w:p>
      <w:pPr>
        <w:pStyle w:val="StyleENIntroTextBulletedLatinPalatinoLinotype-Roman"/>
        <w:numPr>
          <w:ilvl w:val="0"/>
          <w:numId w:val="4"/>
        </w:numPr>
        <w:rPr/>
      </w:pPr>
      <w:r>
        <w:rPr>
          <w:color w:val="auto"/>
        </w:rPr>
        <w:t xml:space="preserve">These Explanatory Notes have been prepared by </w:t>
      </w:r>
      <w:sdt>
        <w:sdtPr>
          <w:placeholder>
            <w:docPart w:val="30336CFBD2894D8AA66A1E1BD8489F6E"/>
          </w:placeholder>
          <w:dataBinding w:prefixMappings="xmlns:ns0='http://schemas.openxmlformats.org/officeDocument/2006/extended-properties' " w:xpath="/ns0:Properties[1]/ns0:Company[1]" w:storeItemID="{6668398D-A668-4E3E-A5EB-62B293D839F1}"/>
          <w:alias w:val="Department"/>
          <w:tag w:val="Department"/>
          <w:id w:val="8930886"/>
          <w:lock w:val="sdtLocked"/>
          <w:text/>
        </w:sdtPr>
        <w:sdtContent>
          <w:r>
            <w:rPr>
              <w:color w:val="auto"/>
            </w:rPr>
          </w:r>
          <w:r>
            <w:rPr>
              <w:color w:val="auto"/>
            </w:rPr>
            <w:t>HM Revenue and Customs (HMRC)</w:t>
          </w:r>
        </w:sdtContent>
      </w:sdt>
      <w:r>
        <w:rPr>
          <w:color w:val="auto"/>
        </w:rPr>
        <w:t xml:space="preserve"> to assist the reader </w:t>
      </w:r>
      <w:sdt>
        <w:sdtPr>
          <w:placeholder>
            <w:docPart w:val="AA6E0A2FDC944D3F973BC56C7811C961"/>
          </w:placeholder>
          <w:alias w:val="BillAct2"/>
          <w:tag w:val="BillAct2"/>
          <w:id w:val="22676694"/>
          <w:lock w:val="sdtLocked"/>
        </w:sdtPr>
        <w:sdtContent>
          <w:r>
            <w:rPr>
              <w:color w:val="auto"/>
            </w:rPr>
          </w:r>
          <w:r>
            <w:rPr/>
            <w:t xml:space="preserve">in </w:t>
          </w:r>
          <w:r>
            <w:rPr>
              <w:color w:val="auto"/>
            </w:rPr>
            <w:t>understanding the Act</w:t>
          </w:r>
        </w:sdtContent>
      </w:sdt>
      <w:r>
        <w:rPr>
          <w:color w:val="auto"/>
        </w:rPr>
        <w:t>. They do not form part of the</w:t>
      </w:r>
      <w:r>
        <w:rPr/>
        <w:t xml:space="preserve"> </w:t>
      </w:r>
      <w:sdt>
        <w:sdtPr>
          <w:placeholder>
            <w:docPart w:val="AA6E0A2FDC944D3F973BC56C7811C961"/>
          </w:placeholder>
          <w:alias w:val="BillAct3"/>
          <w:tag w:val="BillAct3"/>
          <w:id w:val="22676698"/>
          <w:lock w:val="sdtLocked"/>
        </w:sdtPr>
        <w:sdtContent>
          <w:r>
            <w:rPr/>
          </w:r>
          <w:r>
            <w:rPr/>
            <w:t>Act</w:t>
          </w:r>
        </w:sdtContent>
      </w:sdt>
      <w:r>
        <w:rPr/>
        <w:t xml:space="preserve"> </w:t>
      </w:r>
      <w:r>
        <w:rPr/>
        <w:t>and have not been endorsed by Parliament.</w:t>
      </w:r>
    </w:p>
    <w:p>
      <w:pPr>
        <w:pStyle w:val="StyleENIntroTextBulletedLatinPalatinoLinotype-Roman"/>
        <w:numPr>
          <w:ilvl w:val="0"/>
          <w:numId w:val="4"/>
        </w:numPr>
        <w:rPr/>
      </w:pPr>
      <w:r>
        <w:rPr/>
        <w:t xml:space="preserve">These Explanatory Notes explain what each part of the </w:t>
      </w:r>
      <w:sdt>
        <w:sdtPr>
          <w:placeholder>
            <w:docPart w:val="AA6E0A2FDC944D3F973BC56C7811C961"/>
          </w:placeholder>
          <w:alias w:val="BillAct4"/>
          <w:tag w:val="BillAct4"/>
          <w:id w:val="22676700"/>
          <w:lock w:val="sdtLocked"/>
        </w:sdtPr>
        <w:sdtContent>
          <w:r>
            <w:rPr/>
          </w:r>
          <w:r>
            <w:rPr/>
            <w:t>Act</w:t>
          </w:r>
        </w:sdtContent>
      </w:sdt>
      <w:r>
        <w:rPr/>
        <w:t xml:space="preserve"> </w:t>
      </w:r>
      <w:r>
        <w:rPr/>
        <w:t xml:space="preserve">will mean in practice; provide background information on the development of policy; and provide additional information on how the </w:t>
      </w:r>
      <w:sdt>
        <w:sdtPr>
          <w:placeholder>
            <w:docPart w:val="AA6E0A2FDC944D3F973BC56C7811C961"/>
          </w:placeholder>
          <w:alias w:val="BillAct5"/>
          <w:tag w:val="BillAct5"/>
          <w:id w:val="22676702"/>
          <w:lock w:val="sdtLocked"/>
        </w:sdtPr>
        <w:sdtContent>
          <w:r>
            <w:rPr/>
          </w:r>
          <w:r>
            <w:rPr/>
            <w:t>Act</w:t>
          </w:r>
        </w:sdtContent>
      </w:sdt>
      <w:r>
        <w:rPr/>
        <w:t xml:space="preserve"> </w:t>
      </w:r>
      <w:r>
        <w:rPr/>
        <w:t xml:space="preserve">will affect existing legislation in this area. </w:t>
      </w:r>
    </w:p>
    <w:p>
      <w:pPr>
        <w:sectPr>
          <w:headerReference w:type="even" r:id="rId2"/>
          <w:headerReference w:type="default" r:id="rId3"/>
          <w:headerReference w:type="first" r:id="rId4"/>
          <w:footerReference w:type="even" r:id="rId5"/>
          <w:footerReference w:type="default" r:id="rId6"/>
          <w:footerReference w:type="first" r:id="rId7"/>
          <w:type w:val="oddPage"/>
          <w:pgSz w:w="11906" w:h="16838"/>
          <w:pgMar w:left="1701" w:right="1134" w:gutter="0" w:header="720" w:top="1003" w:footer="720" w:bottom="1003"/>
          <w:paperSrc w:first="0" w:other="0"/>
          <w:paperSrc w:first="0" w:other="0"/>
          <w:pgNumType w:start="0" w:fmt="decimal"/>
          <w:formProt w:val="false"/>
          <w:titlePg/>
          <w:textDirection w:val="lrTb"/>
          <w:docGrid w:type="default" w:linePitch="272" w:charSpace="0"/>
        </w:sectPr>
        <w:pStyle w:val="StyleENIntroTextBulletedLatinPalatinoLinotype-Roman"/>
        <w:numPr>
          <w:ilvl w:val="0"/>
          <w:numId w:val="4"/>
        </w:numPr>
        <w:rPr/>
      </w:pPr>
      <w:r>
        <w:rPr/>
        <w:t xml:space="preserve">These Explanatory Notes might best be read alongside the </w:t>
      </w:r>
      <w:sdt>
        <w:sdtPr>
          <w:placeholder>
            <w:docPart w:val="AA6E0A2FDC944D3F973BC56C7811C961"/>
          </w:placeholder>
          <w:alias w:val="BillAct6"/>
          <w:tag w:val="BillAct6"/>
          <w:id w:val="22676704"/>
          <w:lock w:val="sdtLocked"/>
        </w:sdtPr>
        <w:sdtContent>
          <w:r>
            <w:rPr/>
          </w:r>
          <w:r>
            <w:rPr/>
            <w:t>Act</w:t>
          </w:r>
        </w:sdtContent>
      </w:sdt>
      <w:r>
        <w:rPr/>
        <w:t xml:space="preserve">. They are not, and are not intended to be, a comprehensive description of the </w:t>
      </w:r>
      <w:sdt>
        <w:sdtPr>
          <w:placeholder>
            <w:docPart w:val="AA6E0A2FDC944D3F973BC56C7811C961"/>
          </w:placeholder>
          <w:alias w:val="BillAct7"/>
          <w:tag w:val="BillAct7"/>
          <w:id w:val="22676706"/>
          <w:lock w:val="sdtLocked"/>
        </w:sdtPr>
        <w:sdtContent>
          <w:r>
            <w:rPr/>
          </w:r>
          <w:r>
            <w:rPr/>
            <w:t>Act</w:t>
          </w:r>
        </w:sdtContent>
      </w:sdt>
      <w:r>
        <w:rPr/>
        <w:t>.</w:t>
      </w:r>
    </w:p>
    <w:p>
      <w:pPr>
        <w:pStyle w:val="ENHeading1Unindexed"/>
        <w:spacing w:before="0" w:after="240"/>
        <w:rPr>
          <w:lang w:val="en-GB"/>
        </w:rPr>
      </w:pPr>
      <w:sdt>
        <w:sdtPr>
          <w:placeholder>
            <w:docPart w:val="E981BF7FA6DB4EBF8FCB1771437805B3"/>
          </w:placeholder>
          <w:id w:val="10370503"/>
          <w:lock w:val="sdtContentLocked"/>
        </w:sdtPr>
        <w:sdtContent>
          <w:r>
            <w:rPr>
              <w:lang w:val="en-GB"/>
            </w:rPr>
          </w:r>
          <w:r>
            <w:rPr>
              <w:lang w:val="en-GB"/>
            </w:rPr>
            <w:t>Table of Contents</w:t>
          </w:r>
        </w:sdtContent>
      </w:sdt>
    </w:p>
    <w:tbl>
      <w:tblPr>
        <w:tblStyle w:val="TableGrid"/>
        <w:tblW w:w="921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36"/>
        <w:gridCol w:w="4677"/>
      </w:tblGrid>
      <w:tr>
        <w:trPr/>
        <w:tc>
          <w:tcPr>
            <w:tcW w:w="4536" w:type="dxa"/>
            <w:tcBorders>
              <w:top w:val="nil"/>
              <w:left w:val="nil"/>
              <w:bottom w:val="nil"/>
              <w:right w:val="nil"/>
            </w:tcBorders>
          </w:tcPr>
          <w:sdt>
            <w:sdtPr>
              <w:group/>
              <w:id w:val="21846932"/>
              <w:placeholder>
                <w:docPart w:val="77D4665386684680939F5D96B66B7879"/>
              </w:placeholder>
              <w:lock w:val="sdtContentLocked"/>
            </w:sdtPr>
            <w:sdtContent>
              <w:p>
                <w:pPr>
                  <w:pStyle w:val="StyleTOC1Bold"/>
                  <w:widowControl/>
                  <w:tabs>
                    <w:tab w:val="clear" w:pos="9061"/>
                    <w:tab w:val="right" w:pos="4320" w:leader="none"/>
                  </w:tabs>
                  <w:spacing w:lineRule="auto" w:line="276" w:before="120" w:after="120"/>
                  <w:ind w:left="-108"/>
                  <w:jc w:val="left"/>
                  <w:rPr>
                    <w:b/>
                  </w:rPr>
                </w:pPr>
                <w:r>
                  <w:rPr>
                    <w:rFonts w:eastAsia="ＭＳ 明朝" w:cs=""/>
                    <w:b/>
                    <w:kern w:val="0"/>
                    <w:lang w:eastAsia="en-US" w:bidi="en-US"/>
                  </w:rPr>
                  <w:t>Subject</w:t>
                </w:r>
              </w:p>
            </w:sdtContent>
          </w:sdt>
        </w:tc>
        <w:tc>
          <w:tcPr>
            <w:tcW w:w="4677" w:type="dxa"/>
            <w:tcBorders>
              <w:top w:val="nil"/>
              <w:left w:val="nil"/>
              <w:bottom w:val="nil"/>
              <w:right w:val="nil"/>
            </w:tcBorders>
          </w:tcPr>
          <w:p>
            <w:pPr>
              <w:pStyle w:val="StyleTOC1BoldRight"/>
              <w:widowControl/>
              <w:spacing w:lineRule="auto" w:line="276" w:before="120" w:after="120"/>
              <w:rPr>
                <w:b/>
              </w:rPr>
            </w:pPr>
            <w:r>
              <w:rPr>
                <w:b/>
                <w:kern w:val="0"/>
                <w:lang w:eastAsia="en-US" w:bidi="en-US"/>
              </w:rPr>
              <w:t>Page of these Notes</w:t>
            </w:r>
          </w:p>
        </w:tc>
      </w:tr>
    </w:tbl>
    <w:sdt>
      <w:sdtPr>
        <w:docPartObj>
          <w:docPartGallery w:val="Table of Contents"/>
          <w:docPartUnique w:val="true"/>
        </w:docPartObj>
      </w:sdtPr>
      <w:sdtContent>
        <w:p>
          <w:pPr>
            <w:pStyle w:val="TOC1"/>
            <w:rPr>
              <w:rFonts w:ascii="Calibri" w:hAnsi="Calibri" w:asciiTheme="minorHAnsi" w:hAnsiTheme="minorHAnsi"/>
              <w:b w:val="false"/>
              <w:bCs w:val="false"/>
              <w:sz w:val="22"/>
              <w:szCs w:val="22"/>
              <w:lang w:eastAsia="en-GB" w:bidi="ar-SA"/>
            </w:rPr>
          </w:pPr>
          <w:r>
            <w:fldChar w:fldCharType="begin"/>
          </w:r>
          <w:r>
            <w:rPr>
              <w:webHidden/>
              <w:rStyle w:val="IndexLink"/>
            </w:rPr>
            <w:instrText xml:space="preserve"> TOC \z \o "1-3" \t "heading 4,4,H: Subheading 4,4,Section Heading,4,heading 5,5,H: Subheading 5,5" \h</w:instrText>
          </w:r>
          <w:r>
            <w:rPr>
              <w:webHidden/>
              <w:rStyle w:val="IndexLink"/>
            </w:rPr>
            <w:fldChar w:fldCharType="separate"/>
          </w:r>
          <w:hyperlink w:anchor="_Toc93480502">
            <w:r>
              <w:rPr>
                <w:webHidden/>
                <w:rStyle w:val="IndexLink"/>
              </w:rPr>
              <w:t>Overview of the Act</w:t>
            </w:r>
            <w:r>
              <w:rPr>
                <w:webHidden/>
              </w:rPr>
              <w:fldChar w:fldCharType="begin"/>
            </w:r>
            <w:r>
              <w:rPr>
                <w:webHidden/>
              </w:rPr>
              <w:instrText xml:space="preserve">PAGEREF _Toc93480502 \h</w:instrText>
            </w:r>
            <w:r>
              <w:rPr>
                <w:webHidden/>
              </w:rPr>
              <w:fldChar w:fldCharType="separate"/>
            </w:r>
            <w:r>
              <w:rPr>
                <w:rStyle w:val="IndexLink"/>
                <w:vanish w:val="false"/>
              </w:rPr>
              <w:tab/>
              <w:t>3</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3480503">
            <w:r>
              <w:rPr>
                <w:webHidden/>
                <w:rStyle w:val="IndexLink"/>
              </w:rPr>
              <w:t>Policy background</w:t>
            </w:r>
            <w:r>
              <w:rPr>
                <w:webHidden/>
              </w:rPr>
              <w:fldChar w:fldCharType="begin"/>
            </w:r>
            <w:r>
              <w:rPr>
                <w:webHidden/>
              </w:rPr>
              <w:instrText xml:space="preserve">PAGEREF _Toc93480503 \h</w:instrText>
            </w:r>
            <w:r>
              <w:rPr>
                <w:webHidden/>
              </w:rPr>
              <w:fldChar w:fldCharType="separate"/>
            </w:r>
            <w:r>
              <w:rPr>
                <w:rStyle w:val="IndexLink"/>
                <w:vanish w:val="false"/>
              </w:rPr>
              <w:tab/>
              <w:t>3</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3480504">
            <w:r>
              <w:rPr>
                <w:webHidden/>
                <w:rStyle w:val="IndexLink"/>
              </w:rPr>
              <w:t>Legal background</w:t>
            </w:r>
            <w:r>
              <w:rPr>
                <w:webHidden/>
              </w:rPr>
              <w:fldChar w:fldCharType="begin"/>
            </w:r>
            <w:r>
              <w:rPr>
                <w:webHidden/>
              </w:rPr>
              <w:instrText xml:space="preserve">PAGEREF _Toc93480504 \h</w:instrText>
            </w:r>
            <w:r>
              <w:rPr>
                <w:webHidden/>
              </w:rPr>
              <w:fldChar w:fldCharType="separate"/>
            </w:r>
            <w:r>
              <w:rPr>
                <w:rStyle w:val="IndexLink"/>
                <w:vanish w:val="false"/>
              </w:rPr>
              <w:tab/>
              <w:t>3</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3480505">
            <w:r>
              <w:rPr>
                <w:webHidden/>
                <w:rStyle w:val="IndexLink"/>
              </w:rPr>
              <w:t>Territorial extent and application</w:t>
            </w:r>
            <w:r>
              <w:rPr>
                <w:webHidden/>
              </w:rPr>
              <w:fldChar w:fldCharType="begin"/>
            </w:r>
            <w:r>
              <w:rPr>
                <w:webHidden/>
              </w:rPr>
              <w:instrText xml:space="preserve">PAGEREF _Toc93480505 \h</w:instrText>
            </w:r>
            <w:r>
              <w:rPr>
                <w:webHidden/>
              </w:rPr>
              <w:fldChar w:fldCharType="separate"/>
            </w:r>
            <w:r>
              <w:rPr>
                <w:rStyle w:val="IndexLink"/>
                <w:vanish w:val="false"/>
              </w:rPr>
              <w:tab/>
              <w:t>4</w:t>
            </w:r>
            <w:r>
              <w:rPr>
                <w:webHidden/>
              </w:rPr>
              <w:fldChar w:fldCharType="end"/>
            </w:r>
          </w:hyperlink>
        </w:p>
        <w:p>
          <w:pPr>
            <w:pStyle w:val="TOC3"/>
            <w:tabs>
              <w:tab w:val="clear" w:pos="720"/>
              <w:tab w:val="right" w:pos="9061" w:leader="none"/>
            </w:tabs>
            <w:rPr>
              <w:rFonts w:ascii="Calibri" w:hAnsi="Calibri" w:asciiTheme="minorHAnsi" w:hAnsiTheme="minorHAnsi"/>
              <w:iCs w:val="false"/>
              <w:sz w:val="22"/>
              <w:szCs w:val="22"/>
              <w:lang w:eastAsia="en-GB" w:bidi="ar-SA"/>
            </w:rPr>
          </w:pPr>
          <w:hyperlink w:anchor="_Toc93480506">
            <w:r>
              <w:rPr>
                <w:webHidden/>
                <w:rStyle w:val="IndexLink"/>
              </w:rPr>
              <w:t>Scotland</w:t>
            </w:r>
            <w:r>
              <w:rPr>
                <w:webHidden/>
              </w:rPr>
              <w:fldChar w:fldCharType="begin"/>
            </w:r>
            <w:r>
              <w:rPr>
                <w:webHidden/>
              </w:rPr>
              <w:instrText xml:space="preserve">PAGEREF _Toc93480506 \h</w:instrText>
            </w:r>
            <w:r>
              <w:rPr>
                <w:webHidden/>
              </w:rPr>
              <w:fldChar w:fldCharType="separate"/>
            </w:r>
            <w:r>
              <w:rPr>
                <w:rStyle w:val="IndexLink"/>
                <w:vanish w:val="false"/>
              </w:rPr>
              <w:tab/>
              <w:t>4</w:t>
            </w:r>
            <w:r>
              <w:rPr>
                <w:webHidden/>
              </w:rPr>
              <w:fldChar w:fldCharType="end"/>
            </w:r>
          </w:hyperlink>
        </w:p>
        <w:p>
          <w:pPr>
            <w:pStyle w:val="TOC3"/>
            <w:tabs>
              <w:tab w:val="clear" w:pos="720"/>
              <w:tab w:val="right" w:pos="9061" w:leader="none"/>
            </w:tabs>
            <w:rPr>
              <w:rFonts w:ascii="Calibri" w:hAnsi="Calibri" w:asciiTheme="minorHAnsi" w:hAnsiTheme="minorHAnsi"/>
              <w:iCs w:val="false"/>
              <w:sz w:val="22"/>
              <w:szCs w:val="22"/>
              <w:lang w:eastAsia="en-GB" w:bidi="ar-SA"/>
            </w:rPr>
          </w:pPr>
          <w:hyperlink w:anchor="_Toc93480507">
            <w:r>
              <w:rPr>
                <w:webHidden/>
                <w:rStyle w:val="IndexLink"/>
              </w:rPr>
              <w:t>Wales</w:t>
            </w:r>
            <w:r>
              <w:rPr>
                <w:webHidden/>
              </w:rPr>
              <w:fldChar w:fldCharType="begin"/>
            </w:r>
            <w:r>
              <w:rPr>
                <w:webHidden/>
              </w:rPr>
              <w:instrText xml:space="preserve">PAGEREF _Toc93480507 \h</w:instrText>
            </w:r>
            <w:r>
              <w:rPr>
                <w:webHidden/>
              </w:rPr>
              <w:fldChar w:fldCharType="separate"/>
            </w:r>
            <w:r>
              <w:rPr>
                <w:rStyle w:val="IndexLink"/>
                <w:vanish w:val="false"/>
              </w:rPr>
              <w:tab/>
              <w:t>4</w:t>
            </w:r>
            <w:r>
              <w:rPr>
                <w:webHidden/>
              </w:rPr>
              <w:fldChar w:fldCharType="end"/>
            </w:r>
          </w:hyperlink>
        </w:p>
        <w:p>
          <w:pPr>
            <w:pStyle w:val="TOC3"/>
            <w:tabs>
              <w:tab w:val="clear" w:pos="720"/>
              <w:tab w:val="right" w:pos="9061" w:leader="none"/>
            </w:tabs>
            <w:rPr>
              <w:rFonts w:ascii="Calibri" w:hAnsi="Calibri" w:asciiTheme="minorHAnsi" w:hAnsiTheme="minorHAnsi"/>
              <w:iCs w:val="false"/>
              <w:sz w:val="22"/>
              <w:szCs w:val="22"/>
              <w:lang w:eastAsia="en-GB" w:bidi="ar-SA"/>
            </w:rPr>
          </w:pPr>
          <w:hyperlink w:anchor="_Toc93480508">
            <w:r>
              <w:rPr>
                <w:webHidden/>
                <w:rStyle w:val="IndexLink"/>
              </w:rPr>
              <w:t>Northern Ireland</w:t>
            </w:r>
            <w:r>
              <w:rPr>
                <w:webHidden/>
              </w:rPr>
              <w:fldChar w:fldCharType="begin"/>
            </w:r>
            <w:r>
              <w:rPr>
                <w:webHidden/>
              </w:rPr>
              <w:instrText xml:space="preserve">PAGEREF _Toc93480508 \h</w:instrText>
            </w:r>
            <w:r>
              <w:rPr>
                <w:webHidden/>
              </w:rPr>
              <w:fldChar w:fldCharType="separate"/>
            </w:r>
            <w:r>
              <w:rPr>
                <w:rStyle w:val="IndexLink"/>
                <w:vanish w:val="false"/>
              </w:rPr>
              <w:tab/>
              <w:t>4</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3480509">
            <w:r>
              <w:rPr>
                <w:webHidden/>
                <w:rStyle w:val="IndexLink"/>
              </w:rPr>
              <w:t>Fast-track legislation</w:t>
            </w:r>
            <w:r>
              <w:rPr>
                <w:webHidden/>
              </w:rPr>
              <w:fldChar w:fldCharType="begin"/>
            </w:r>
            <w:r>
              <w:rPr>
                <w:webHidden/>
              </w:rPr>
              <w:instrText xml:space="preserve">PAGEREF _Toc93480509 \h</w:instrText>
            </w:r>
            <w:r>
              <w:rPr>
                <w:webHidden/>
              </w:rPr>
              <w:fldChar w:fldCharType="separate"/>
            </w:r>
            <w:r>
              <w:rPr>
                <w:rStyle w:val="IndexLink"/>
                <w:vanish w:val="false"/>
              </w:rPr>
              <w:tab/>
              <w:t>4</w:t>
            </w:r>
            <w:r>
              <w:rPr>
                <w:webHidden/>
              </w:rPr>
              <w:fldChar w:fldCharType="end"/>
            </w:r>
          </w:hyperlink>
        </w:p>
        <w:p>
          <w:pPr>
            <w:pStyle w:val="TOC4"/>
            <w:tabs>
              <w:tab w:val="clear" w:pos="720"/>
              <w:tab w:val="right" w:pos="9061" w:leader="none"/>
            </w:tabs>
            <w:rPr>
              <w:sz w:val="22"/>
              <w:szCs w:val="22"/>
              <w:lang w:eastAsia="en-GB" w:bidi="ar-SA"/>
            </w:rPr>
          </w:pPr>
          <w:hyperlink w:anchor="_Toc93480510">
            <w:r>
              <w:rPr>
                <w:webHidden/>
                <w:rStyle w:val="IndexLink"/>
              </w:rPr>
              <w:t>What efforts have been made to ensure the amount of time made available for parliamentary scrutiny has been maximised?</w:t>
            </w:r>
            <w:r>
              <w:rPr>
                <w:webHidden/>
              </w:rPr>
              <w:fldChar w:fldCharType="begin"/>
            </w:r>
            <w:r>
              <w:rPr>
                <w:webHidden/>
              </w:rPr>
              <w:instrText xml:space="preserve">PAGEREF _Toc93480510 \h</w:instrText>
            </w:r>
            <w:r>
              <w:rPr>
                <w:webHidden/>
              </w:rPr>
              <w:fldChar w:fldCharType="separate"/>
            </w:r>
            <w:r>
              <w:rPr>
                <w:rStyle w:val="IndexLink"/>
                <w:vanish w:val="false"/>
              </w:rPr>
              <w:tab/>
              <w:t>5</w:t>
            </w:r>
            <w:r>
              <w:rPr>
                <w:webHidden/>
              </w:rPr>
              <w:fldChar w:fldCharType="end"/>
            </w:r>
          </w:hyperlink>
        </w:p>
        <w:p>
          <w:pPr>
            <w:pStyle w:val="TOC4"/>
            <w:tabs>
              <w:tab w:val="clear" w:pos="720"/>
              <w:tab w:val="right" w:pos="9061" w:leader="none"/>
            </w:tabs>
            <w:rPr>
              <w:sz w:val="22"/>
              <w:szCs w:val="22"/>
              <w:lang w:eastAsia="en-GB" w:bidi="ar-SA"/>
            </w:rPr>
          </w:pPr>
          <w:hyperlink w:anchor="_Toc93480511">
            <w:r>
              <w:rPr>
                <w:webHidden/>
                <w:rStyle w:val="IndexLink"/>
              </w:rPr>
              <w:t>To what extent have interested parties and outside groups been given an opportunity to influence the policy proposal?</w:t>
            </w:r>
            <w:r>
              <w:rPr>
                <w:webHidden/>
              </w:rPr>
              <w:fldChar w:fldCharType="begin"/>
            </w:r>
            <w:r>
              <w:rPr>
                <w:webHidden/>
              </w:rPr>
              <w:instrText xml:space="preserve">PAGEREF _Toc93480511 \h</w:instrText>
            </w:r>
            <w:r>
              <w:rPr>
                <w:webHidden/>
              </w:rPr>
              <w:fldChar w:fldCharType="separate"/>
            </w:r>
            <w:r>
              <w:rPr>
                <w:rStyle w:val="IndexLink"/>
                <w:vanish w:val="false"/>
              </w:rPr>
              <w:tab/>
              <w:t>5</w:t>
            </w:r>
            <w:r>
              <w:rPr>
                <w:webHidden/>
              </w:rPr>
              <w:fldChar w:fldCharType="end"/>
            </w:r>
          </w:hyperlink>
        </w:p>
        <w:p>
          <w:pPr>
            <w:pStyle w:val="TOC4"/>
            <w:tabs>
              <w:tab w:val="clear" w:pos="720"/>
              <w:tab w:val="right" w:pos="9061" w:leader="none"/>
            </w:tabs>
            <w:rPr>
              <w:sz w:val="22"/>
              <w:szCs w:val="22"/>
              <w:lang w:eastAsia="en-GB" w:bidi="ar-SA"/>
            </w:rPr>
          </w:pPr>
          <w:hyperlink w:anchor="_Toc93480512">
            <w:r>
              <w:rPr>
                <w:webHidden/>
                <w:rStyle w:val="IndexLink"/>
              </w:rPr>
              <w:t>Does the Act include a sunset clause (as well as any appropriate renewal procedure)? If not, why does the Government judge that their inclusion is not appropriate?</w:t>
            </w:r>
            <w:r>
              <w:rPr>
                <w:webHidden/>
              </w:rPr>
              <w:fldChar w:fldCharType="begin"/>
            </w:r>
            <w:r>
              <w:rPr>
                <w:webHidden/>
              </w:rPr>
              <w:instrText xml:space="preserve">PAGEREF _Toc93480512 \h</w:instrText>
            </w:r>
            <w:r>
              <w:rPr>
                <w:webHidden/>
              </w:rPr>
              <w:fldChar w:fldCharType="separate"/>
            </w:r>
            <w:r>
              <w:rPr>
                <w:rStyle w:val="IndexLink"/>
                <w:vanish w:val="false"/>
              </w:rPr>
              <w:tab/>
              <w:t>5</w:t>
            </w:r>
            <w:r>
              <w:rPr>
                <w:webHidden/>
              </w:rPr>
              <w:fldChar w:fldCharType="end"/>
            </w:r>
          </w:hyperlink>
        </w:p>
        <w:p>
          <w:pPr>
            <w:pStyle w:val="TOC4"/>
            <w:tabs>
              <w:tab w:val="clear" w:pos="720"/>
              <w:tab w:val="right" w:pos="9061" w:leader="none"/>
            </w:tabs>
            <w:rPr>
              <w:sz w:val="22"/>
              <w:szCs w:val="22"/>
              <w:lang w:eastAsia="en-GB" w:bidi="ar-SA"/>
            </w:rPr>
          </w:pPr>
          <w:hyperlink w:anchor="_Toc93480513">
            <w:r>
              <w:rPr>
                <w:webHidden/>
                <w:rStyle w:val="IndexLink"/>
              </w:rPr>
              <w:t>Are mechanisms for effective post-legislative scrutiny and review in place? If not, why does the Government judge that their inclusion is not appropriate?</w:t>
            </w:r>
            <w:r>
              <w:rPr>
                <w:webHidden/>
              </w:rPr>
              <w:fldChar w:fldCharType="begin"/>
            </w:r>
            <w:r>
              <w:rPr>
                <w:webHidden/>
              </w:rPr>
              <w:instrText xml:space="preserve">PAGEREF _Toc93480513 \h</w:instrText>
            </w:r>
            <w:r>
              <w:rPr>
                <w:webHidden/>
              </w:rPr>
              <w:fldChar w:fldCharType="separate"/>
            </w:r>
            <w:r>
              <w:rPr>
                <w:rStyle w:val="IndexLink"/>
                <w:vanish w:val="false"/>
              </w:rPr>
              <w:tab/>
              <w:t>5</w:t>
            </w:r>
            <w:r>
              <w:rPr>
                <w:webHidden/>
              </w:rPr>
              <w:fldChar w:fldCharType="end"/>
            </w:r>
          </w:hyperlink>
        </w:p>
        <w:p>
          <w:pPr>
            <w:pStyle w:val="TOC4"/>
            <w:tabs>
              <w:tab w:val="clear" w:pos="720"/>
              <w:tab w:val="right" w:pos="9061" w:leader="none"/>
            </w:tabs>
            <w:rPr>
              <w:sz w:val="22"/>
              <w:szCs w:val="22"/>
              <w:lang w:eastAsia="en-GB" w:bidi="ar-SA"/>
            </w:rPr>
          </w:pPr>
          <w:hyperlink w:anchor="_Toc93480514">
            <w:r>
              <w:rPr>
                <w:webHidden/>
                <w:rStyle w:val="IndexLink"/>
              </w:rPr>
              <w:t>Has an assessment been made as to whether existing legislation is sufficient to deal with any or all of the issues in question?</w:t>
            </w:r>
            <w:r>
              <w:rPr>
                <w:webHidden/>
              </w:rPr>
              <w:fldChar w:fldCharType="begin"/>
            </w:r>
            <w:r>
              <w:rPr>
                <w:webHidden/>
              </w:rPr>
              <w:instrText xml:space="preserve">PAGEREF _Toc93480514 \h</w:instrText>
            </w:r>
            <w:r>
              <w:rPr>
                <w:webHidden/>
              </w:rPr>
              <w:fldChar w:fldCharType="separate"/>
            </w:r>
            <w:r>
              <w:rPr>
                <w:rStyle w:val="IndexLink"/>
                <w:vanish w:val="false"/>
              </w:rPr>
              <w:tab/>
              <w:t>5</w:t>
            </w:r>
            <w:r>
              <w:rPr>
                <w:webHidden/>
              </w:rPr>
              <w:fldChar w:fldCharType="end"/>
            </w:r>
          </w:hyperlink>
        </w:p>
        <w:p>
          <w:pPr>
            <w:pStyle w:val="TOC4"/>
            <w:tabs>
              <w:tab w:val="clear" w:pos="720"/>
              <w:tab w:val="right" w:pos="9061" w:leader="none"/>
            </w:tabs>
            <w:rPr>
              <w:sz w:val="22"/>
              <w:szCs w:val="22"/>
              <w:lang w:eastAsia="en-GB" w:bidi="ar-SA"/>
            </w:rPr>
          </w:pPr>
          <w:hyperlink w:anchor="_Toc93480515">
            <w:r>
              <w:rPr>
                <w:webHidden/>
                <w:rStyle w:val="IndexLink"/>
              </w:rPr>
              <w:t>Has the relevant parliamentary committee been given the opportunity to scrutinise the legislation?</w:t>
            </w:r>
            <w:r>
              <w:rPr>
                <w:webHidden/>
              </w:rPr>
              <w:fldChar w:fldCharType="begin"/>
            </w:r>
            <w:r>
              <w:rPr>
                <w:webHidden/>
              </w:rPr>
              <w:instrText xml:space="preserve">PAGEREF _Toc93480515 \h</w:instrText>
            </w:r>
            <w:r>
              <w:rPr>
                <w:webHidden/>
              </w:rPr>
              <w:fldChar w:fldCharType="separate"/>
            </w:r>
            <w:r>
              <w:rPr>
                <w:rStyle w:val="IndexLink"/>
                <w:vanish w:val="false"/>
              </w:rPr>
              <w:tab/>
              <w:t>5</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3480516">
            <w:r>
              <w:rPr>
                <w:webHidden/>
                <w:rStyle w:val="IndexLink"/>
              </w:rPr>
              <w:t>Commentary on provisions of Act</w:t>
            </w:r>
            <w:r>
              <w:rPr>
                <w:webHidden/>
              </w:rPr>
              <w:fldChar w:fldCharType="begin"/>
            </w:r>
            <w:r>
              <w:rPr>
                <w:webHidden/>
              </w:rPr>
              <w:instrText xml:space="preserve">PAGEREF _Toc93480516 \h</w:instrText>
            </w:r>
            <w:r>
              <w:rPr>
                <w:webHidden/>
              </w:rPr>
              <w:fldChar w:fldCharType="separate"/>
            </w:r>
            <w:r>
              <w:rPr>
                <w:rStyle w:val="IndexLink"/>
                <w:vanish w:val="false"/>
              </w:rPr>
              <w:tab/>
              <w:t>6</w:t>
            </w:r>
            <w:r>
              <w:rPr>
                <w:webHidden/>
              </w:rPr>
              <w:fldChar w:fldCharType="end"/>
            </w:r>
          </w:hyperlink>
        </w:p>
        <w:p>
          <w:pPr>
            <w:pStyle w:val="TOC4"/>
            <w:tabs>
              <w:tab w:val="clear" w:pos="720"/>
              <w:tab w:val="right" w:pos="9061" w:leader="none"/>
            </w:tabs>
            <w:rPr>
              <w:sz w:val="22"/>
              <w:szCs w:val="22"/>
              <w:lang w:eastAsia="en-GB" w:bidi="ar-SA"/>
            </w:rPr>
          </w:pPr>
          <w:hyperlink w:anchor="_Toc93480517">
            <w:r>
              <w:rPr>
                <w:webHidden/>
                <w:rStyle w:val="IndexLink"/>
              </w:rPr>
              <w:t>Section 1: Health and Social Care Levy</w:t>
            </w:r>
            <w:r>
              <w:rPr>
                <w:webHidden/>
              </w:rPr>
              <w:fldChar w:fldCharType="begin"/>
            </w:r>
            <w:r>
              <w:rPr>
                <w:webHidden/>
              </w:rPr>
              <w:instrText xml:space="preserve">PAGEREF _Toc93480517 \h</w:instrText>
            </w:r>
            <w:r>
              <w:rPr>
                <w:webHidden/>
              </w:rPr>
              <w:fldChar w:fldCharType="separate"/>
            </w:r>
            <w:r>
              <w:rPr>
                <w:rStyle w:val="IndexLink"/>
                <w:vanish w:val="false"/>
              </w:rPr>
              <w:tab/>
              <w:t>6</w:t>
            </w:r>
            <w:r>
              <w:rPr>
                <w:webHidden/>
              </w:rPr>
              <w:fldChar w:fldCharType="end"/>
            </w:r>
          </w:hyperlink>
        </w:p>
        <w:p>
          <w:pPr>
            <w:pStyle w:val="TOC4"/>
            <w:tabs>
              <w:tab w:val="clear" w:pos="720"/>
              <w:tab w:val="right" w:pos="9061" w:leader="none"/>
            </w:tabs>
            <w:rPr>
              <w:sz w:val="22"/>
              <w:szCs w:val="22"/>
              <w:lang w:eastAsia="en-GB" w:bidi="ar-SA"/>
            </w:rPr>
          </w:pPr>
          <w:hyperlink w:anchor="_Toc93480518">
            <w:r>
              <w:rPr>
                <w:webHidden/>
                <w:rStyle w:val="IndexLink"/>
              </w:rPr>
              <w:t>Section 2: Destination of proceeds of Health and Social Care Levy</w:t>
            </w:r>
            <w:r>
              <w:rPr>
                <w:webHidden/>
              </w:rPr>
              <w:fldChar w:fldCharType="begin"/>
            </w:r>
            <w:r>
              <w:rPr>
                <w:webHidden/>
              </w:rPr>
              <w:instrText xml:space="preserve">PAGEREF _Toc93480518 \h</w:instrText>
            </w:r>
            <w:r>
              <w:rPr>
                <w:webHidden/>
              </w:rPr>
              <w:fldChar w:fldCharType="separate"/>
            </w:r>
            <w:r>
              <w:rPr>
                <w:rStyle w:val="IndexLink"/>
                <w:vanish w:val="false"/>
              </w:rPr>
              <w:tab/>
              <w:t>6</w:t>
            </w:r>
            <w:r>
              <w:rPr>
                <w:webHidden/>
              </w:rPr>
              <w:fldChar w:fldCharType="end"/>
            </w:r>
          </w:hyperlink>
        </w:p>
        <w:p>
          <w:pPr>
            <w:pStyle w:val="TOC4"/>
            <w:tabs>
              <w:tab w:val="clear" w:pos="720"/>
              <w:tab w:val="right" w:pos="9061" w:leader="none"/>
            </w:tabs>
            <w:rPr>
              <w:sz w:val="22"/>
              <w:szCs w:val="22"/>
              <w:lang w:eastAsia="en-GB" w:bidi="ar-SA"/>
            </w:rPr>
          </w:pPr>
          <w:hyperlink w:anchor="_Toc93480519">
            <w:r>
              <w:rPr>
                <w:webHidden/>
                <w:rStyle w:val="IndexLink"/>
              </w:rPr>
              <w:t>Section 3: Application of national insurance contributions legislation</w:t>
            </w:r>
            <w:r>
              <w:rPr>
                <w:webHidden/>
              </w:rPr>
              <w:fldChar w:fldCharType="begin"/>
            </w:r>
            <w:r>
              <w:rPr>
                <w:webHidden/>
              </w:rPr>
              <w:instrText xml:space="preserve">PAGEREF _Toc93480519 \h</w:instrText>
            </w:r>
            <w:r>
              <w:rPr>
                <w:webHidden/>
              </w:rPr>
              <w:fldChar w:fldCharType="separate"/>
            </w:r>
            <w:r>
              <w:rPr>
                <w:rStyle w:val="IndexLink"/>
                <w:vanish w:val="false"/>
              </w:rPr>
              <w:tab/>
              <w:t>7</w:t>
            </w:r>
            <w:r>
              <w:rPr>
                <w:webHidden/>
              </w:rPr>
              <w:fldChar w:fldCharType="end"/>
            </w:r>
          </w:hyperlink>
        </w:p>
        <w:p>
          <w:pPr>
            <w:pStyle w:val="TOC4"/>
            <w:tabs>
              <w:tab w:val="clear" w:pos="720"/>
              <w:tab w:val="right" w:pos="9061" w:leader="none"/>
            </w:tabs>
            <w:rPr>
              <w:sz w:val="22"/>
              <w:szCs w:val="22"/>
              <w:lang w:eastAsia="en-GB" w:bidi="ar-SA"/>
            </w:rPr>
          </w:pPr>
          <w:hyperlink w:anchor="_Toc93480520">
            <w:r>
              <w:rPr>
                <w:webHidden/>
                <w:rStyle w:val="IndexLink"/>
              </w:rPr>
              <w:t>Section 4: Regulations</w:t>
            </w:r>
            <w:r>
              <w:rPr>
                <w:webHidden/>
              </w:rPr>
              <w:fldChar w:fldCharType="begin"/>
            </w:r>
            <w:r>
              <w:rPr>
                <w:webHidden/>
              </w:rPr>
              <w:instrText xml:space="preserve">PAGEREF _Toc93480520 \h</w:instrText>
            </w:r>
            <w:r>
              <w:rPr>
                <w:webHidden/>
              </w:rPr>
              <w:fldChar w:fldCharType="separate"/>
            </w:r>
            <w:r>
              <w:rPr>
                <w:rStyle w:val="IndexLink"/>
                <w:vanish w:val="false"/>
              </w:rPr>
              <w:tab/>
              <w:t>7</w:t>
            </w:r>
            <w:r>
              <w:rPr>
                <w:webHidden/>
              </w:rPr>
              <w:fldChar w:fldCharType="end"/>
            </w:r>
          </w:hyperlink>
        </w:p>
        <w:p>
          <w:pPr>
            <w:pStyle w:val="TOC4"/>
            <w:tabs>
              <w:tab w:val="clear" w:pos="720"/>
              <w:tab w:val="right" w:pos="9061" w:leader="none"/>
            </w:tabs>
            <w:rPr>
              <w:sz w:val="22"/>
              <w:szCs w:val="22"/>
              <w:lang w:eastAsia="en-GB" w:bidi="ar-SA"/>
            </w:rPr>
          </w:pPr>
          <w:hyperlink w:anchor="_Toc93480521">
            <w:r>
              <w:rPr>
                <w:webHidden/>
                <w:rStyle w:val="IndexLink"/>
              </w:rPr>
              <w:t>Section 5: Transitional provision: temporary increase in rates of NICs payable to NHS</w:t>
            </w:r>
            <w:r>
              <w:rPr>
                <w:webHidden/>
              </w:rPr>
              <w:fldChar w:fldCharType="begin"/>
            </w:r>
            <w:r>
              <w:rPr>
                <w:webHidden/>
              </w:rPr>
              <w:instrText xml:space="preserve">PAGEREF _Toc93480521 \h</w:instrText>
            </w:r>
            <w:r>
              <w:rPr>
                <w:webHidden/>
              </w:rPr>
              <w:fldChar w:fldCharType="separate"/>
            </w:r>
            <w:r>
              <w:rPr>
                <w:rStyle w:val="IndexLink"/>
                <w:vanish w:val="false"/>
              </w:rPr>
              <w:tab/>
              <w:t>8</w:t>
            </w:r>
            <w:r>
              <w:rPr>
                <w:webHidden/>
              </w:rPr>
              <w:fldChar w:fldCharType="end"/>
            </w:r>
          </w:hyperlink>
        </w:p>
        <w:p>
          <w:pPr>
            <w:pStyle w:val="TOC4"/>
            <w:tabs>
              <w:tab w:val="clear" w:pos="720"/>
              <w:tab w:val="right" w:pos="9061" w:leader="none"/>
            </w:tabs>
            <w:rPr>
              <w:sz w:val="22"/>
              <w:szCs w:val="22"/>
              <w:lang w:eastAsia="en-GB" w:bidi="ar-SA"/>
            </w:rPr>
          </w:pPr>
          <w:hyperlink w:anchor="_Toc93480522">
            <w:r>
              <w:rPr>
                <w:webHidden/>
                <w:rStyle w:val="IndexLink"/>
              </w:rPr>
              <w:t>Section 6: Interpretation</w:t>
            </w:r>
            <w:r>
              <w:rPr>
                <w:webHidden/>
              </w:rPr>
              <w:fldChar w:fldCharType="begin"/>
            </w:r>
            <w:r>
              <w:rPr>
                <w:webHidden/>
              </w:rPr>
              <w:instrText xml:space="preserve">PAGEREF _Toc93480522 \h</w:instrText>
            </w:r>
            <w:r>
              <w:rPr>
                <w:webHidden/>
              </w:rPr>
              <w:fldChar w:fldCharType="separate"/>
            </w:r>
            <w:r>
              <w:rPr>
                <w:rStyle w:val="IndexLink"/>
                <w:vanish w:val="false"/>
              </w:rPr>
              <w:tab/>
              <w:t>8</w:t>
            </w:r>
            <w:r>
              <w:rPr>
                <w:webHidden/>
              </w:rPr>
              <w:fldChar w:fldCharType="end"/>
            </w:r>
          </w:hyperlink>
        </w:p>
        <w:p>
          <w:pPr>
            <w:pStyle w:val="TOC4"/>
            <w:tabs>
              <w:tab w:val="clear" w:pos="720"/>
              <w:tab w:val="right" w:pos="9061" w:leader="none"/>
            </w:tabs>
            <w:rPr>
              <w:sz w:val="22"/>
              <w:szCs w:val="22"/>
              <w:lang w:eastAsia="en-GB" w:bidi="ar-SA"/>
            </w:rPr>
          </w:pPr>
          <w:hyperlink w:anchor="_Toc93480523">
            <w:r>
              <w:rPr>
                <w:webHidden/>
                <w:rStyle w:val="IndexLink"/>
              </w:rPr>
              <w:t>Section 7: Short title and Crown application</w:t>
            </w:r>
            <w:r>
              <w:rPr>
                <w:webHidden/>
              </w:rPr>
              <w:fldChar w:fldCharType="begin"/>
            </w:r>
            <w:r>
              <w:rPr>
                <w:webHidden/>
              </w:rPr>
              <w:instrText xml:space="preserve">PAGEREF _Toc93480523 \h</w:instrText>
            </w:r>
            <w:r>
              <w:rPr>
                <w:webHidden/>
              </w:rPr>
              <w:fldChar w:fldCharType="separate"/>
            </w:r>
            <w:r>
              <w:rPr>
                <w:rStyle w:val="IndexLink"/>
                <w:vanish w:val="false"/>
              </w:rPr>
              <w:tab/>
              <w:t>8</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3480524">
            <w:r>
              <w:rPr>
                <w:webHidden/>
                <w:rStyle w:val="IndexLink"/>
              </w:rPr>
              <w:t>Commencement</w:t>
            </w:r>
            <w:r>
              <w:rPr>
                <w:webHidden/>
              </w:rPr>
              <w:fldChar w:fldCharType="begin"/>
            </w:r>
            <w:r>
              <w:rPr>
                <w:webHidden/>
              </w:rPr>
              <w:instrText xml:space="preserve">PAGEREF _Toc93480524 \h</w:instrText>
            </w:r>
            <w:r>
              <w:rPr>
                <w:webHidden/>
              </w:rPr>
              <w:fldChar w:fldCharType="separate"/>
            </w:r>
            <w:r>
              <w:rPr>
                <w:rStyle w:val="IndexLink"/>
                <w:vanish w:val="false"/>
              </w:rPr>
              <w:tab/>
              <w:t>9</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3480525">
            <w:r>
              <w:rPr>
                <w:webHidden/>
                <w:rStyle w:val="IndexLink"/>
              </w:rPr>
              <w:t>Related documents</w:t>
            </w:r>
            <w:r>
              <w:rPr>
                <w:webHidden/>
              </w:rPr>
              <w:fldChar w:fldCharType="begin"/>
            </w:r>
            <w:r>
              <w:rPr>
                <w:webHidden/>
              </w:rPr>
              <w:instrText xml:space="preserve">PAGEREF _Toc93480525 \h</w:instrText>
            </w:r>
            <w:r>
              <w:rPr>
                <w:webHidden/>
              </w:rPr>
              <w:fldChar w:fldCharType="separate"/>
            </w:r>
            <w:r>
              <w:rPr>
                <w:rStyle w:val="IndexLink"/>
                <w:vanish w:val="false"/>
              </w:rPr>
              <w:tab/>
              <w:t>9</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3480526">
            <w:r>
              <w:rPr>
                <w:webHidden/>
                <w:rStyle w:val="IndexLink"/>
              </w:rPr>
              <w:t xml:space="preserve">Annex A </w:t>
            </w:r>
            <w:r>
              <w:rPr>
                <w:rStyle w:val="IndexLink"/>
                <w:rFonts w:cs="Arial"/>
              </w:rPr>
              <w:t>–</w:t>
            </w:r>
            <w:r>
              <w:rPr>
                <w:rStyle w:val="IndexLink"/>
              </w:rPr>
              <w:t xml:space="preserve"> Territorial extent and application in the United Kingdom</w:t>
            </w:r>
            <w:r>
              <w:rPr>
                <w:webHidden/>
              </w:rPr>
              <w:fldChar w:fldCharType="begin"/>
            </w:r>
            <w:r>
              <w:rPr>
                <w:webHidden/>
              </w:rPr>
              <w:instrText xml:space="preserve">PAGEREF _Toc93480526 \h</w:instrText>
            </w:r>
            <w:r>
              <w:rPr>
                <w:webHidden/>
              </w:rPr>
              <w:fldChar w:fldCharType="separate"/>
            </w:r>
            <w:r>
              <w:rPr>
                <w:rStyle w:val="IndexLink"/>
                <w:vanish w:val="false"/>
              </w:rPr>
              <w:tab/>
              <w:t>10</w:t>
            </w:r>
            <w:r>
              <w:rPr>
                <w:webHidden/>
              </w:rPr>
              <w:fldChar w:fldCharType="end"/>
            </w:r>
          </w:hyperlink>
        </w:p>
        <w:p>
          <w:pPr>
            <w:pStyle w:val="TOC3"/>
            <w:tabs>
              <w:tab w:val="clear" w:pos="720"/>
              <w:tab w:val="right" w:pos="9061" w:leader="none"/>
            </w:tabs>
            <w:rPr>
              <w:rFonts w:ascii="Calibri" w:hAnsi="Calibri" w:asciiTheme="minorHAnsi" w:hAnsiTheme="minorHAnsi"/>
              <w:iCs w:val="false"/>
              <w:sz w:val="22"/>
              <w:szCs w:val="22"/>
              <w:lang w:eastAsia="en-GB" w:bidi="ar-SA"/>
            </w:rPr>
          </w:pPr>
          <w:hyperlink w:anchor="_Toc93480527">
            <w:r>
              <w:rPr>
                <w:webHidden/>
                <w:rStyle w:val="IndexLink"/>
              </w:rPr>
              <w:t>Subject matter and legislative competence of devolved legislatures</w:t>
            </w:r>
            <w:r>
              <w:rPr>
                <w:webHidden/>
              </w:rPr>
              <w:fldChar w:fldCharType="begin"/>
            </w:r>
            <w:r>
              <w:rPr>
                <w:webHidden/>
              </w:rPr>
              <w:instrText xml:space="preserve">PAGEREF _Toc93480527 \h</w:instrText>
            </w:r>
            <w:r>
              <w:rPr>
                <w:webHidden/>
              </w:rPr>
              <w:fldChar w:fldCharType="separate"/>
            </w:r>
            <w:r>
              <w:rPr>
                <w:rStyle w:val="IndexLink"/>
                <w:vanish w:val="false"/>
              </w:rPr>
              <w:tab/>
              <w:t>10</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3480528">
            <w:r>
              <w:rPr>
                <w:webHidden/>
                <w:rStyle w:val="IndexLink"/>
              </w:rPr>
              <w:t>Annex B – Hansard References</w:t>
            </w:r>
            <w:r>
              <w:rPr>
                <w:webHidden/>
              </w:rPr>
              <w:fldChar w:fldCharType="begin"/>
            </w:r>
            <w:r>
              <w:rPr>
                <w:webHidden/>
              </w:rPr>
              <w:instrText xml:space="preserve">PAGEREF _Toc93480528 \h</w:instrText>
            </w:r>
            <w:r>
              <w:rPr>
                <w:webHidden/>
              </w:rPr>
              <w:fldChar w:fldCharType="separate"/>
            </w:r>
            <w:r>
              <w:rPr>
                <w:rStyle w:val="IndexLink"/>
                <w:vanish w:val="false"/>
              </w:rPr>
              <w:tab/>
              <w:t>11</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3480529">
            <w:r>
              <w:rPr>
                <w:webHidden/>
                <w:rStyle w:val="IndexLink"/>
              </w:rPr>
              <w:t>Annex C – Progress of Act Table</w:t>
            </w:r>
            <w:r>
              <w:rPr>
                <w:webHidden/>
              </w:rPr>
              <w:fldChar w:fldCharType="begin"/>
            </w:r>
            <w:r>
              <w:rPr>
                <w:webHidden/>
              </w:rPr>
              <w:instrText xml:space="preserve">PAGEREF _Toc93480529 \h</w:instrText>
            </w:r>
            <w:r>
              <w:rPr>
                <w:webHidden/>
              </w:rPr>
              <w:fldChar w:fldCharType="separate"/>
            </w:r>
            <w:r>
              <w:rPr>
                <w:rStyle w:val="IndexLink"/>
                <w:vanish w:val="false"/>
              </w:rPr>
              <w:tab/>
              <w:t>12</w:t>
            </w:r>
            <w:r>
              <w:rPr>
                <w:webHidden/>
              </w:rPr>
              <w:fldChar w:fldCharType="end"/>
            </w:r>
          </w:hyperlink>
          <w:r>
            <w:rPr>
              <w:rStyle w:val="IndexLink"/>
              <w:vanish w:val="false"/>
            </w:rPr>
            <w:fldChar w:fldCharType="end"/>
          </w:r>
        </w:p>
      </w:sdtContent>
    </w:sdt>
    <w:p>
      <w:pPr>
        <w:pStyle w:val="Heading1"/>
        <w:keepNext w:val="true"/>
        <w:rPr/>
      </w:pPr>
      <w:r>
        <w:rPr/>
      </w:r>
      <w:bookmarkStart w:id="1" w:name="_Toc93480502"/>
      <w:bookmarkStart w:id="2" w:name="_Toc416612126"/>
      <w:bookmarkStart w:id="3" w:name="_Toc410653883"/>
      <w:bookmarkStart w:id="4" w:name="_Toc93480502"/>
      <w:bookmarkStart w:id="5" w:name="_Toc416612126"/>
      <w:bookmarkStart w:id="6" w:name="_Toc410653883"/>
      <w:r>
        <w:br w:type="page"/>
      </w:r>
    </w:p>
    <w:p>
      <w:pPr>
        <w:pStyle w:val="Normal"/>
        <w:keepNext w:val="true"/>
        <w:spacing w:before="0" w:after="200"/>
        <w:ind w:hanging="0"/>
        <w:rPr/>
      </w:pPr>
      <w:bookmarkStart w:id="7" w:name="_Toc410653883"/>
      <w:bookmarkStart w:id="8" w:name="_Toc417648111"/>
      <w:bookmarkStart w:id="9" w:name="_Toc418587917"/>
      <w:r>
        <w:rPr/>
        <w:t xml:space="preserve">Overview of the </w:t>
      </w:r>
      <w:bookmarkEnd w:id="7"/>
      <w:sdt>
        <w:sdtPr>
          <w:placeholder>
            <w:docPart w:val="E82D3A18923F41CBA63F45B87893E40A"/>
          </w:placeholder>
          <w:alias w:val="BillAct9"/>
          <w:tag w:val="BillAct9"/>
          <w:id w:val="18684895"/>
          <w:lock w:val="sdtLocked"/>
        </w:sdtPr>
        <w:sdtContent>
          <w:r>
            <w:rPr/>
          </w:r>
          <w:r>
            <w:rPr/>
            <w:t>Act</w:t>
          </w:r>
        </w:sdtContent>
      </w:sdt>
      <w:bookmarkEnd w:id="4"/>
      <w:bookmarkEnd w:id="5"/>
      <w:bookmarkEnd w:id="8"/>
      <w:bookmarkEnd w:id="9"/>
    </w:p>
    <w:p>
      <w:pPr>
        <w:pStyle w:val="ParaNumbered"/>
        <w:numPr>
          <w:ilvl w:val="0"/>
          <w:numId w:val="5"/>
        </w:numPr>
        <w:rPr>
          <w:lang w:val="en-GB"/>
        </w:rPr>
      </w:pPr>
      <w:r>
        <w:rPr>
          <w:lang w:val="en-GB"/>
        </w:rPr>
        <w:t xml:space="preserve">The Act deals with the introduction of a new Health and Social Care Levy, transitional arrangements to provide for a temporary increase in rates of Class 1, 1A, 1B and Class 4 National Insurance contributions (NICs) and how funds raised will be used. </w:t>
      </w:r>
      <w:bookmarkStart w:id="10" w:name="_Toc417648112"/>
      <w:bookmarkStart w:id="11" w:name="_Toc418587918"/>
    </w:p>
    <w:p>
      <w:pPr>
        <w:pStyle w:val="Heading1"/>
        <w:keepNext w:val="true"/>
        <w:rPr/>
      </w:pPr>
      <w:bookmarkStart w:id="12" w:name="_Toc410653884"/>
      <w:bookmarkStart w:id="13" w:name="_Toc416612127"/>
      <w:bookmarkStart w:id="14" w:name="_Toc93480503"/>
      <w:sdt>
        <w:sdtPr>
          <w:placeholder>
            <w:docPart w:val="E981BF7FA6DB4EBF8FCB1771437805B3"/>
          </w:placeholder>
          <w:text/>
        </w:sdtPr>
        <w:sdtContent>
          <w:r>
            <w:rPr/>
          </w:r>
          <w:r>
            <w:rPr/>
            <w:t>Policy background</w:t>
          </w:r>
        </w:sdtContent>
      </w:sdt>
      <w:bookmarkEnd w:id="10"/>
      <w:bookmarkEnd w:id="11"/>
      <w:bookmarkEnd w:id="13"/>
      <w:bookmarkEnd w:id="14"/>
    </w:p>
    <w:p>
      <w:pPr>
        <w:pStyle w:val="ParaNumbered"/>
        <w:numPr>
          <w:ilvl w:val="0"/>
          <w:numId w:val="5"/>
        </w:numPr>
        <w:rPr/>
      </w:pPr>
      <w:r>
        <w:rPr/>
        <w:t xml:space="preserve">The Government has announced an increase to health and social care funding. To pay for this, it will introduce a Levy based on NICs which already part-fund the NHS and have historically been the way in which money is raised for social security provision. </w:t>
      </w:r>
    </w:p>
    <w:p>
      <w:pPr>
        <w:pStyle w:val="ParaNumbered"/>
        <w:numPr>
          <w:ilvl w:val="0"/>
          <w:numId w:val="5"/>
        </w:numPr>
        <w:rPr>
          <w:lang w:val="en-GB"/>
        </w:rPr>
      </w:pPr>
      <w:r>
        <w:rPr>
          <w:lang w:val="en-GB"/>
        </w:rPr>
        <w:t xml:space="preserve">This Act introduces a new 1.25% Health and Social Care Levy which is payable where an employee, employer or self-employed individual has a liability in respect of a “qualifying National Insurance contribution” – Class 1, Class 1A, Class 1B and Class 4 NICs. The levy will also apply if an individual would be liable in respect of a “qualifying National Insurance contribution” were it not for the relevant pension age restrictions. The effect of this is that individuals in work who are over State Pension age will be liable to this Levy. Funds raised from the Levy will be used for the purpose of health and social care. </w:t>
      </w:r>
    </w:p>
    <w:p>
      <w:pPr>
        <w:pStyle w:val="ParaNumbered"/>
        <w:numPr>
          <w:ilvl w:val="0"/>
          <w:numId w:val="5"/>
        </w:numPr>
        <w:rPr>
          <w:lang w:val="en-GB"/>
        </w:rPr>
      </w:pPr>
      <w:r>
        <w:rPr>
          <w:lang w:val="en-GB"/>
        </w:rPr>
        <w:t xml:space="preserve">This Levy will have effect from April 2023. For the 2022-23 tax year, the Act contains transitional arrangements that provide for a temporary 1.25 percentage point increase to both the main and additional rates of Class 1, Class 1A, Class 1B and Class 4 NICs and a corresponding increase to the NHS allocation. Individuals over State Pension age will not be affected during the 2022-23 tax year. </w:t>
      </w:r>
    </w:p>
    <w:p>
      <w:pPr>
        <w:pStyle w:val="ParaNumbered"/>
        <w:numPr>
          <w:ilvl w:val="0"/>
          <w:numId w:val="5"/>
        </w:numPr>
        <w:rPr>
          <w:lang w:val="en-GB"/>
        </w:rPr>
      </w:pPr>
      <w:bookmarkStart w:id="15" w:name="_Toc410653884"/>
      <w:r>
        <w:rPr>
          <w:lang w:val="en-GB"/>
        </w:rPr>
        <w:t xml:space="preserve">Existing legislative provisions relating to the qualifying National Insurance contributions (thresholds, reliefs, reporting, record keeping requirements etc) will apply to the Levy as they apply to the contribution. </w:t>
      </w:r>
      <w:bookmarkEnd w:id="15"/>
    </w:p>
    <w:p>
      <w:pPr>
        <w:pStyle w:val="Heading1"/>
        <w:keepNext w:val="true"/>
        <w:rPr/>
      </w:pPr>
      <w:bookmarkStart w:id="16" w:name="_Toc418587922"/>
      <w:bookmarkStart w:id="17" w:name="_Toc417648113"/>
      <w:bookmarkStart w:id="18" w:name="_Toc410653885"/>
      <w:bookmarkStart w:id="19" w:name="_Toc416612128"/>
      <w:bookmarkStart w:id="20" w:name="_Toc93480504"/>
      <w:sdt>
        <w:sdtPr>
          <w:placeholder>
            <w:docPart w:val="DefaultPlaceholder_1081868574"/>
          </w:placeholder>
          <w:text/>
        </w:sdtPr>
        <w:sdtContent>
          <w:r>
            <w:rPr/>
          </w:r>
          <w:r>
            <w:rPr/>
            <w:t>Legal background</w:t>
          </w:r>
        </w:sdtContent>
      </w:sdt>
      <w:bookmarkEnd w:id="20"/>
    </w:p>
    <w:p>
      <w:pPr>
        <w:pStyle w:val="ParaNumbered"/>
        <w:numPr>
          <w:ilvl w:val="0"/>
          <w:numId w:val="5"/>
        </w:numPr>
        <w:rPr>
          <w:lang w:val="en-GB"/>
        </w:rPr>
      </w:pPr>
      <w:r>
        <w:rPr>
          <w:lang w:val="en-GB"/>
        </w:rPr>
        <w:t xml:space="preserve">The Health and Social Care Levy is a new tax; there is therefore no existing legislation relating to it. </w:t>
      </w:r>
    </w:p>
    <w:p>
      <w:pPr>
        <w:pStyle w:val="ParaNumbered"/>
        <w:numPr>
          <w:ilvl w:val="0"/>
          <w:numId w:val="5"/>
        </w:numPr>
        <w:rPr>
          <w:lang w:val="en-GB"/>
        </w:rPr>
      </w:pPr>
      <w:r>
        <w:rPr>
          <w:lang w:val="en-GB"/>
        </w:rPr>
        <w:t>However, the Act applies legislation relating to the existing system of NICs to the Levy. The main legislation for that system is contained in a combination of primary and subordinate legislation. That legislation includes:</w:t>
      </w:r>
    </w:p>
    <w:p>
      <w:pPr>
        <w:pStyle w:val="ParaBulleted"/>
        <w:numPr>
          <w:ilvl w:val="0"/>
          <w:numId w:val="8"/>
        </w:numPr>
        <w:rPr/>
      </w:pPr>
      <w:r>
        <w:rPr/>
        <w:t>The Social Security Contributions and Benefits Act 1992 (SSCBA 1992).</w:t>
      </w:r>
    </w:p>
    <w:p>
      <w:pPr>
        <w:pStyle w:val="ParaBulleted"/>
        <w:numPr>
          <w:ilvl w:val="0"/>
          <w:numId w:val="8"/>
        </w:numPr>
        <w:rPr/>
      </w:pPr>
      <w:r>
        <w:rPr/>
        <w:t>The Social Security Contributions and Benefits (Northern Ireland) Act 1992 (SSCB(NI)A 1992).</w:t>
      </w:r>
    </w:p>
    <w:p>
      <w:pPr>
        <w:pStyle w:val="ParaBulleted"/>
        <w:numPr>
          <w:ilvl w:val="0"/>
          <w:numId w:val="8"/>
        </w:numPr>
        <w:rPr/>
      </w:pPr>
      <w:r>
        <w:rPr/>
        <w:t>The Social Security Administration Act 1992 (SSAA 1992).</w:t>
      </w:r>
    </w:p>
    <w:p>
      <w:pPr>
        <w:pStyle w:val="ParaBulleted"/>
        <w:numPr>
          <w:ilvl w:val="0"/>
          <w:numId w:val="8"/>
        </w:numPr>
        <w:rPr/>
      </w:pPr>
      <w:r>
        <w:rPr/>
        <w:t>The Social Security Administration (Northern Ireland) Act 1992 (SAA(NI)A 1992).</w:t>
      </w:r>
    </w:p>
    <w:p>
      <w:pPr>
        <w:pStyle w:val="ParaBulleted"/>
        <w:numPr>
          <w:ilvl w:val="0"/>
          <w:numId w:val="8"/>
        </w:numPr>
        <w:rPr/>
      </w:pPr>
      <w:r>
        <w:rPr/>
        <w:t>The Social Security (Contributions) Regulations 2001 (S.I. 2001/1004).</w:t>
      </w:r>
    </w:p>
    <w:p>
      <w:pPr>
        <w:pStyle w:val="ParaNumbered"/>
        <w:numPr>
          <w:ilvl w:val="0"/>
          <w:numId w:val="5"/>
        </w:numPr>
        <w:rPr>
          <w:lang w:val="en-GB"/>
        </w:rPr>
      </w:pPr>
      <w:bookmarkStart w:id="21" w:name="_Toc418587922"/>
      <w:bookmarkStart w:id="22" w:name="_Toc417648113"/>
      <w:bookmarkStart w:id="23" w:name="_Toc410653885"/>
      <w:bookmarkStart w:id="24" w:name="_Toc416612128"/>
      <w:r>
        <w:rPr>
          <w:lang w:val="en-GB"/>
        </w:rPr>
        <w:t xml:space="preserve">Except for modifications to facilitate the transitional arrangements for the 2022-2023 tax year, the Act does not amend existing NICs and social security benefits legislation. </w:t>
      </w:r>
      <w:bookmarkEnd w:id="21"/>
      <w:bookmarkEnd w:id="22"/>
      <w:bookmarkEnd w:id="23"/>
      <w:bookmarkEnd w:id="24"/>
    </w:p>
    <w:p>
      <w:pPr>
        <w:pStyle w:val="Heading1"/>
        <w:keepNext w:val="true"/>
        <w:rPr/>
      </w:pPr>
      <w:bookmarkStart w:id="25" w:name="_Toc410653886"/>
      <w:bookmarkStart w:id="26" w:name="_Toc416612130"/>
      <w:bookmarkStart w:id="27" w:name="_Toc417648115"/>
      <w:bookmarkStart w:id="28" w:name="_Toc418587924"/>
      <w:bookmarkStart w:id="29" w:name="_Toc93480505"/>
      <w:sdt>
        <w:sdtPr>
          <w:placeholder>
            <w:docPart w:val="E981BF7FA6DB4EBF8FCB1771437805B3"/>
          </w:placeholder>
          <w:text/>
        </w:sdtPr>
        <w:sdtContent>
          <w:r>
            <w:rPr/>
          </w:r>
          <w:r>
            <w:rPr/>
            <w:t>Territorial extent and application</w:t>
          </w:r>
        </w:sdtContent>
      </w:sdt>
      <w:bookmarkEnd w:id="26"/>
      <w:bookmarkEnd w:id="27"/>
      <w:bookmarkEnd w:id="28"/>
      <w:bookmarkEnd w:id="29"/>
    </w:p>
    <w:p>
      <w:pPr>
        <w:pStyle w:val="ParaNumbered"/>
        <w:numPr>
          <w:ilvl w:val="0"/>
          <w:numId w:val="5"/>
        </w:numPr>
        <w:rPr>
          <w:lang w:val="en-GB"/>
        </w:rPr>
      </w:pPr>
      <w:r>
        <w:rPr>
          <w:lang w:val="en-GB"/>
        </w:rPr>
        <w:t xml:space="preserve">The Act extends to England and Wales, Scotland and Northern Ireland. </w:t>
      </w:r>
    </w:p>
    <w:p>
      <w:pPr>
        <w:pStyle w:val="ParaNumbered"/>
        <w:numPr>
          <w:ilvl w:val="0"/>
          <w:numId w:val="5"/>
        </w:numPr>
        <w:rPr>
          <w:lang w:val="en-GB"/>
        </w:rPr>
      </w:pPr>
      <w:r>
        <w:rPr>
          <w:lang w:val="en-GB"/>
        </w:rPr>
        <w:t>There is a convention that Westminster will not normally legislate with regard to matters that are within the legislative competence of the Scottish Parliament, Senedd Cymru or the Northern Ireland Assembly without consent of the legislature concerned.</w:t>
      </w:r>
    </w:p>
    <w:p>
      <w:pPr>
        <w:pStyle w:val="ParaNumbered"/>
        <w:numPr>
          <w:ilvl w:val="0"/>
          <w:numId w:val="5"/>
        </w:numPr>
        <w:rPr>
          <w:lang w:val="en-GB"/>
        </w:rPr>
      </w:pPr>
      <w:r>
        <w:rPr>
          <w:lang w:val="en-GB"/>
        </w:rPr>
        <w:t>See the table in Annex A for a summary of the position regarding territorial extent and application in the United Kingdom.</w:t>
      </w:r>
    </w:p>
    <w:p>
      <w:pPr>
        <w:pStyle w:val="HSubheading3"/>
        <w:rPr/>
      </w:pPr>
      <w:bookmarkStart w:id="30" w:name="_Toc93480506"/>
      <w:r>
        <w:rPr/>
        <w:t>Scotland</w:t>
      </w:r>
      <w:bookmarkEnd w:id="30"/>
    </w:p>
    <w:p>
      <w:pPr>
        <w:pStyle w:val="ParaNumbered"/>
        <w:numPr>
          <w:ilvl w:val="0"/>
          <w:numId w:val="5"/>
        </w:numPr>
        <w:rPr/>
      </w:pPr>
      <w:r>
        <w:rPr/>
        <w:t>The Act does not contain any provisions relating to matters which are within the legislative competence of the Scottish Parliament. Under Schedule 5 of the Scotland Act 1998, tax policy, apart from devolved taxes, is a reserved matter, and NICs are also a reserved matter. The Levy is not a devolved tax. Therefore, no Legislative Consent Motion is being sought in relation to any provisions of the Act. If there are amendments relating to the legislative competence of the Scottish Parliament consent will be sought for them.</w:t>
      </w:r>
    </w:p>
    <w:p>
      <w:pPr>
        <w:pStyle w:val="HSubheading3"/>
        <w:rPr/>
      </w:pPr>
      <w:bookmarkStart w:id="31" w:name="_Toc93480507"/>
      <w:r>
        <w:rPr/>
        <w:t>Wales</w:t>
      </w:r>
      <w:bookmarkEnd w:id="31"/>
    </w:p>
    <w:p>
      <w:pPr>
        <w:pStyle w:val="ParaNumbered"/>
        <w:numPr>
          <w:ilvl w:val="0"/>
          <w:numId w:val="5"/>
        </w:numPr>
        <w:rPr/>
      </w:pPr>
      <w:r>
        <w:rPr/>
        <w:t>The Act does not contain any provisions relating to matters within the legislative competence of Senedd Cymru. Under Schedule 7A of the Government of Wales Act 2006, tax policy, apart from devolved taxes, is a reserved matter, and NICs are also a reserved matter. The Levy is not a devolved tax. Therefore, no Legislative Consent Motion is being sought in relation to any provisions of the Act. If there are amendments which relate to such matters, consent will be sought for them.</w:t>
      </w:r>
    </w:p>
    <w:p>
      <w:pPr>
        <w:pStyle w:val="HSubheading3"/>
        <w:rPr/>
      </w:pPr>
      <w:bookmarkStart w:id="32" w:name="_Toc93480508"/>
      <w:r>
        <w:rPr/>
        <w:t>Northern Ireland</w:t>
      </w:r>
      <w:bookmarkEnd w:id="32"/>
    </w:p>
    <w:p>
      <w:pPr>
        <w:pStyle w:val="ParaNumbered"/>
        <w:numPr>
          <w:ilvl w:val="0"/>
          <w:numId w:val="5"/>
        </w:numPr>
        <w:rPr/>
      </w:pPr>
      <w:r>
        <w:rPr/>
        <w:t>The Act does not contain any provisions relating to matters within the legislative competence of the Northern Ireland Assembly. Under the provisions of Schedule 2 to the Northern Ireland Act 1998, taxes applying to the UK as a whole, including the Levy, and NICs are both excepted matters. Northern Ireland has separate but materially identical National Insurance contribution legislation. The Act therefore applies to the relevant Northern Ireland legislation relating to NICs, where stated. If there are amendments which relate to non-excepted matters, consent of the Northern Ireland Assembly will be sought for them.</w:t>
      </w:r>
    </w:p>
    <w:p>
      <w:pPr>
        <w:pStyle w:val="Heading1"/>
        <w:keepNext w:val="true"/>
        <w:rPr/>
      </w:pPr>
      <w:bookmarkStart w:id="33" w:name="_Toc93480509"/>
      <w:sdt>
        <w:sdtPr>
          <w:placeholder>
            <w:docPart w:val="9108AB4EDBD748E7B7DA8523BA8F4827"/>
          </w:placeholder>
          <w:text/>
        </w:sdtPr>
        <w:sdtContent>
          <w:r>
            <w:rPr/>
          </w:r>
          <w:r>
            <w:rPr/>
            <w:t>Fast-track legislation</w:t>
          </w:r>
        </w:sdtContent>
      </w:sdt>
      <w:bookmarkEnd w:id="33"/>
    </w:p>
    <w:p>
      <w:pPr>
        <w:pStyle w:val="ParaNumbered"/>
        <w:numPr>
          <w:ilvl w:val="0"/>
          <w:numId w:val="5"/>
        </w:numPr>
        <w:rPr/>
      </w:pPr>
      <w:r>
        <w:rPr/>
        <w:t xml:space="preserve">The Government has asked Parliament to expedite the parliamentary progress of this Act. In their report on </w:t>
      </w:r>
      <w:r>
        <w:rPr>
          <w:i/>
          <w:iCs/>
        </w:rPr>
        <w:t>Fast-track Legislation: Constitutional Implications and Safeguards</w:t>
      </w:r>
      <w:r>
        <w:rPr>
          <w:rStyle w:val="FootnoteReference"/>
        </w:rPr>
        <w:footnoteReference w:id="2"/>
      </w:r>
      <w:r>
        <w:rPr/>
        <w:t>, the House of Lords Select Committee on the Constitution recommended that the Government “should provide more information as to why a piece of legislation should be fast-tracked</w:t>
      </w:r>
      <w:r>
        <w:rPr>
          <w:rStyle w:val="FootnoteReference"/>
        </w:rPr>
        <w:footnoteReference w:id="3"/>
      </w:r>
      <w:r>
        <w:rPr/>
        <w:t>". The justification for fast-tracking the Act is explained below.</w:t>
      </w:r>
    </w:p>
    <w:p>
      <w:pPr>
        <w:pStyle w:val="ParaNumbered"/>
        <w:numPr>
          <w:ilvl w:val="0"/>
          <w:numId w:val="5"/>
        </w:numPr>
        <w:rPr/>
      </w:pPr>
      <w:r>
        <w:rPr/>
        <w:t>The legislation is required to be in place for the 2022-23 tax year, which starts on 6 April 2022. The increase in National Insurance rates for that year will require changes to be made to the systems of employers and HMRC (including those designed to facilitate Pay as You Earn). To help ensure that people are not over or under taxed it is important for both those employers and HMRC to have as much time as possible to implement the changes. This is particularly important given all employers in the UK liable for NICs will be affected.</w:t>
      </w:r>
    </w:p>
    <w:p>
      <w:pPr>
        <w:pStyle w:val="HSubheading4"/>
        <w:rPr/>
      </w:pPr>
      <w:bookmarkStart w:id="34" w:name="_Toc93480510"/>
      <w:r>
        <w:rPr/>
        <w:t>What efforts have been made to ensure the amount of time made available for parliamentary scrutiny has been maximised?</w:t>
      </w:r>
      <w:bookmarkEnd w:id="34"/>
    </w:p>
    <w:p>
      <w:pPr>
        <w:pStyle w:val="ParaNumbered"/>
        <w:numPr>
          <w:ilvl w:val="0"/>
          <w:numId w:val="5"/>
        </w:numPr>
        <w:rPr/>
      </w:pPr>
      <w:r>
        <w:rPr/>
        <w:t xml:space="preserve">The Act was introduced as soon as possible after the announcement of the intention to introduce a Health and Social Care Levy. While the Act reflects an important and significant policy, the Act is short (containing only 5 substantive sections). In the House of Commons, the principle of the policy was debated in the context of the ways and means resolution on which it was introduced.  </w:t>
      </w:r>
    </w:p>
    <w:p>
      <w:pPr>
        <w:pStyle w:val="HSubheading4"/>
        <w:rPr/>
      </w:pPr>
      <w:bookmarkStart w:id="35" w:name="_Toc93480511"/>
      <w:r>
        <w:rPr/>
        <w:t>To what extent have interested parties and outside groups been given an opportunity to influence the policy proposal?</w:t>
      </w:r>
      <w:bookmarkEnd w:id="35"/>
      <w:r>
        <w:rPr/>
        <w:t xml:space="preserve"> </w:t>
      </w:r>
    </w:p>
    <w:p>
      <w:pPr>
        <w:pStyle w:val="ParaNumbered"/>
        <w:numPr>
          <w:ilvl w:val="0"/>
          <w:numId w:val="5"/>
        </w:numPr>
        <w:rPr>
          <w:lang w:val="en-GB"/>
        </w:rPr>
      </w:pPr>
      <w:r>
        <w:rPr>
          <w:lang w:val="en-GB"/>
        </w:rPr>
        <w:t xml:space="preserve">No consultation has taken place in relation to the Act </w:t>
      </w:r>
      <w:r>
        <w:rPr>
          <w:color w:val="auto"/>
        </w:rPr>
        <w:t>due to the need to legislate for the measure as soon as possible after announcement to give employers and HMRC enough time as possible to implement the changes</w:t>
      </w:r>
      <w:r>
        <w:rPr>
          <w:color w:val="auto"/>
          <w:lang w:val="en-GB"/>
        </w:rPr>
        <w:t xml:space="preserve">.  </w:t>
      </w:r>
    </w:p>
    <w:p>
      <w:pPr>
        <w:pStyle w:val="HSubheading4"/>
        <w:rPr/>
      </w:pPr>
      <w:bookmarkStart w:id="36" w:name="_Toc93480512"/>
      <w:r>
        <w:rPr/>
        <w:t>Does the Act include a sunset clause (as well as any appropriate renewal procedure)? If not, why does the Government judge that their inclusion is not appropriate?</w:t>
      </w:r>
      <w:bookmarkEnd w:id="36"/>
    </w:p>
    <w:p>
      <w:pPr>
        <w:pStyle w:val="ParaNumbered"/>
        <w:numPr>
          <w:ilvl w:val="0"/>
          <w:numId w:val="5"/>
        </w:numPr>
        <w:rPr/>
      </w:pPr>
      <w:r>
        <w:rPr/>
        <w:t xml:space="preserve">The Levy is a permanent change to the tax system to ensure the increases to health and social care spending are fully funded. A sunset clause is therefore not appropriate. </w:t>
      </w:r>
    </w:p>
    <w:p>
      <w:pPr>
        <w:pStyle w:val="HSubheading4"/>
        <w:rPr/>
      </w:pPr>
      <w:bookmarkStart w:id="37" w:name="_Toc93480513"/>
      <w:r>
        <w:rPr/>
        <w:t>Are mechanisms for effective post-legislative scrutiny and review in place? If not, why does the Government judge that their inclusion is not appropriate?</w:t>
      </w:r>
      <w:bookmarkEnd w:id="37"/>
    </w:p>
    <w:p>
      <w:pPr>
        <w:pStyle w:val="ParaNumbered"/>
        <w:numPr>
          <w:ilvl w:val="0"/>
          <w:numId w:val="5"/>
        </w:numPr>
        <w:rPr/>
      </w:pPr>
      <w:r>
        <w:rPr/>
        <w:t>As is the case for tax policy, the Health and Social Care Levy will be continuously kept under review using information collected from internal systems, National Insurance, and Levy receipts.</w:t>
      </w:r>
    </w:p>
    <w:p>
      <w:pPr>
        <w:pStyle w:val="HSubheading4"/>
        <w:rPr/>
      </w:pPr>
      <w:bookmarkStart w:id="38" w:name="_Toc93480514"/>
      <w:r>
        <w:rPr/>
        <w:t>Has an assessment been made as to whether existing legislation is sufficient to deal with any or all of the issues in question?</w:t>
      </w:r>
      <w:bookmarkEnd w:id="38"/>
    </w:p>
    <w:p>
      <w:pPr>
        <w:pStyle w:val="ParaNumbered"/>
        <w:numPr>
          <w:ilvl w:val="0"/>
          <w:numId w:val="5"/>
        </w:numPr>
        <w:rPr/>
      </w:pPr>
      <w:r>
        <w:rPr/>
        <w:t>The Health and Social Care Levy is a new tax; there is therefore no existing legislation relating to it. The policy could have in part been achieved by a permanent increase in the rates of National Insurance Contributions. However, that would be less transparent (since none of the proceeds are payable to the National Insurance Fund) and it would not secure that payments are made in respect of earning and profits of persons over State Pension age.</w:t>
      </w:r>
    </w:p>
    <w:p>
      <w:pPr>
        <w:pStyle w:val="HSubheading4"/>
        <w:rPr/>
      </w:pPr>
      <w:bookmarkStart w:id="39" w:name="_Toc93480515"/>
      <w:r>
        <w:rPr/>
        <w:t>Has the relevant parliamentary committee been given the opportunity to scrutinise the legislation?</w:t>
      </w:r>
      <w:bookmarkEnd w:id="39"/>
    </w:p>
    <w:p>
      <w:pPr>
        <w:pStyle w:val="ParaNumbered"/>
        <w:numPr>
          <w:ilvl w:val="0"/>
          <w:numId w:val="5"/>
        </w:numPr>
        <w:rPr/>
      </w:pPr>
      <w:bookmarkStart w:id="40" w:name="_Toc410653886"/>
      <w:r>
        <w:rPr/>
        <w:t>A European Convention on Human Rights analysis is included in these Explanatory Notes for the Joint Committee on Human Rights.</w:t>
      </w:r>
      <w:bookmarkStart w:id="41" w:name="_Toc410653887"/>
      <w:bookmarkStart w:id="42" w:name="_Toc417648116"/>
      <w:bookmarkStart w:id="43" w:name="_Toc418587925"/>
      <w:bookmarkStart w:id="44" w:name="_Toc416612131"/>
      <w:bookmarkEnd w:id="40"/>
      <w:r>
        <w:br w:type="page"/>
      </w:r>
    </w:p>
    <w:p>
      <w:pPr>
        <w:pStyle w:val="Heading1"/>
        <w:keepNext w:val="true"/>
        <w:spacing w:before="0" w:after="0"/>
        <w:contextualSpacing/>
        <w:rPr/>
      </w:pPr>
      <w:bookmarkStart w:id="45" w:name="_Toc93480516"/>
      <w:r>
        <w:rPr/>
        <w:t xml:space="preserve">Commentary on provisions of </w:t>
      </w:r>
      <w:sdt>
        <w:sdtPr>
          <w:placeholder>
            <w:docPart w:val="22630BC27A5B4C0F9A412C8D3E205356"/>
          </w:placeholder>
          <w:alias w:val="BillAct10"/>
          <w:tag w:val="BillAct10"/>
          <w:id w:val="18684897"/>
          <w:lock w:val="sdtLocked"/>
        </w:sdtPr>
        <w:sdtContent>
          <w:r>
            <w:rPr/>
          </w:r>
          <w:r>
            <w:rPr/>
            <w:t>Act</w:t>
          </w:r>
        </w:sdtContent>
      </w:sdt>
      <w:r>
        <w:rPr/>
        <w:t> </w:t>
      </w:r>
      <w:bookmarkEnd w:id="42"/>
      <w:bookmarkEnd w:id="43"/>
      <w:bookmarkEnd w:id="44"/>
      <w:bookmarkEnd w:id="45"/>
    </w:p>
    <w:p>
      <w:pPr>
        <w:pStyle w:val="HSubheading4"/>
        <w:rPr/>
      </w:pPr>
      <w:bookmarkStart w:id="46" w:name="_Toc93480517"/>
      <w:bookmarkStart w:id="47" w:name="_Toc418587928"/>
      <w:bookmarkStart w:id="48" w:name="_Toc417648119"/>
      <w:bookmarkStart w:id="49" w:name="_Toc416612134"/>
      <w:bookmarkStart w:id="50" w:name="_Toc410653889"/>
      <w:r>
        <w:rPr/>
        <w:t>Section</w:t>
      </w:r>
      <w:r>
        <w:rPr/>
        <w:t xml:space="preserve"> 1: Health and Social Care Levy</w:t>
      </w:r>
      <w:bookmarkEnd w:id="46"/>
      <w:bookmarkEnd w:id="47"/>
      <w:bookmarkEnd w:id="48"/>
      <w:bookmarkEnd w:id="49"/>
      <w:bookmarkEnd w:id="50"/>
    </w:p>
    <w:p>
      <w:pPr>
        <w:pStyle w:val="ParaNumbered"/>
        <w:numPr>
          <w:ilvl w:val="0"/>
          <w:numId w:val="5"/>
        </w:numPr>
        <w:rPr>
          <w:lang w:val="en-GB"/>
        </w:rPr>
      </w:pPr>
      <w:r>
        <w:rPr>
          <w:lang w:val="en-GB"/>
        </w:rPr>
        <w:t xml:space="preserve">Section 1(1) states that every person who is liable to pay a qualifying National Insurance contribution, or would be liable if the pension age restrictions are ignored, will also be liable to pay a new tax. This tax is to be known as the Health and Social Care Levy (Section 1(2)). This tax will be charged on the same amount of earnings (for employees and employers) or profits (for the self-employed) that the contribution is payable on. It will be equal to 1.25% of the amount of earnings or profits. </w:t>
      </w:r>
    </w:p>
    <w:p>
      <w:pPr>
        <w:pStyle w:val="ParaNumbered"/>
        <w:numPr>
          <w:ilvl w:val="0"/>
          <w:numId w:val="5"/>
        </w:numPr>
        <w:rPr>
          <w:lang w:val="en-GB"/>
        </w:rPr>
      </w:pPr>
      <w:r>
        <w:rPr>
          <w:lang w:val="en-GB"/>
        </w:rPr>
        <w:t>Section 1(3) defines “qualifying National Insurance contribution” as:</w:t>
      </w:r>
    </w:p>
    <w:p>
      <w:pPr>
        <w:pStyle w:val="ParaNumbered"/>
        <w:numPr>
          <w:ilvl w:val="4"/>
          <w:numId w:val="5"/>
        </w:numPr>
        <w:rPr>
          <w:lang w:val="en-GB"/>
        </w:rPr>
      </w:pPr>
      <w:r>
        <w:rPr>
          <w:lang w:val="en-GB"/>
        </w:rPr>
        <w:t>Primary Class 1 contributions (employees),</w:t>
      </w:r>
    </w:p>
    <w:p>
      <w:pPr>
        <w:pStyle w:val="ParaNumbered"/>
        <w:numPr>
          <w:ilvl w:val="4"/>
          <w:numId w:val="5"/>
        </w:numPr>
        <w:rPr>
          <w:lang w:val="en-GB"/>
        </w:rPr>
      </w:pPr>
      <w:r>
        <w:rPr>
          <w:lang w:val="en-GB"/>
        </w:rPr>
        <w:t xml:space="preserve">Secondary Class 1 contributions (employers), </w:t>
      </w:r>
    </w:p>
    <w:p>
      <w:pPr>
        <w:pStyle w:val="ParaNumbered"/>
        <w:numPr>
          <w:ilvl w:val="4"/>
          <w:numId w:val="5"/>
        </w:numPr>
        <w:rPr>
          <w:lang w:val="en-GB"/>
        </w:rPr>
      </w:pPr>
      <w:r>
        <w:rPr>
          <w:lang w:val="en-GB"/>
        </w:rPr>
        <w:t>Class 1A contributions (employers),</w:t>
      </w:r>
    </w:p>
    <w:p>
      <w:pPr>
        <w:pStyle w:val="ParaNumbered"/>
        <w:numPr>
          <w:ilvl w:val="4"/>
          <w:numId w:val="5"/>
        </w:numPr>
        <w:rPr>
          <w:lang w:val="en-GB"/>
        </w:rPr>
      </w:pPr>
      <w:r>
        <w:rPr>
          <w:lang w:val="en-GB"/>
        </w:rPr>
        <w:t>Class 1B contributions (employers),</w:t>
      </w:r>
    </w:p>
    <w:p>
      <w:pPr>
        <w:pStyle w:val="ParaNumbered"/>
        <w:numPr>
          <w:ilvl w:val="4"/>
          <w:numId w:val="5"/>
        </w:numPr>
        <w:rPr>
          <w:lang w:val="en-GB"/>
        </w:rPr>
      </w:pPr>
      <w:r>
        <w:rPr>
          <w:lang w:val="en-GB"/>
        </w:rPr>
        <w:t xml:space="preserve">Class 4 contributions (self-employed).  </w:t>
      </w:r>
    </w:p>
    <w:p>
      <w:pPr>
        <w:pStyle w:val="ParaNumbered"/>
        <w:numPr>
          <w:ilvl w:val="0"/>
          <w:numId w:val="5"/>
        </w:numPr>
        <w:rPr/>
      </w:pPr>
      <w:r>
        <w:rPr/>
        <w:t>Section 1(4) specifies the “pension age restriction provisions” that are to be ignored for the purpose of this Levy are any provisions made by or under any enactment that provides for an exemption from liability to pay a qualifying National Insurance contribution by reference to a person having attained pensionable age.</w:t>
      </w:r>
    </w:p>
    <w:p>
      <w:pPr>
        <w:pStyle w:val="ParaNumbered"/>
        <w:numPr>
          <w:ilvl w:val="0"/>
          <w:numId w:val="5"/>
        </w:numPr>
        <w:rPr/>
      </w:pPr>
      <w:r>
        <w:rPr/>
        <w:t xml:space="preserve">Section 1(5) specifies that when determining the amount of the Levy chargeable in relation to a contribution, where the relevant percentage in respect of secondary Class 1 contributions is 0%, those earnings are to be ignored. This means that where relief is provided from secondary Class 1 contributions by way of a 0% rate (for example, in relation to certain apprentices), that relief will also apply to the Levy.  </w:t>
      </w:r>
    </w:p>
    <w:p>
      <w:pPr>
        <w:pStyle w:val="ParaNumbered"/>
        <w:numPr>
          <w:ilvl w:val="0"/>
          <w:numId w:val="5"/>
        </w:numPr>
        <w:rPr/>
      </w:pPr>
      <w:r>
        <w:rPr/>
        <w:t>Section 1(6) stipulates that the new Levy will have effect in relation to qualifying National Insurance contributions payable on or after 6 April 2023.</w:t>
      </w:r>
    </w:p>
    <w:p>
      <w:pPr>
        <w:pStyle w:val="HSubheading4"/>
        <w:rPr/>
      </w:pPr>
      <w:bookmarkStart w:id="51" w:name="_Toc93480518"/>
      <w:bookmarkStart w:id="52" w:name="_Toc418587930"/>
      <w:bookmarkStart w:id="53" w:name="_Toc417648120"/>
      <w:bookmarkStart w:id="54" w:name="_Toc416612135"/>
      <w:bookmarkStart w:id="55" w:name="_Toc410653890"/>
      <w:r>
        <w:rPr/>
        <w:t xml:space="preserve">Section 2: </w:t>
      </w:r>
      <w:bookmarkEnd w:id="52"/>
      <w:bookmarkEnd w:id="53"/>
      <w:bookmarkEnd w:id="54"/>
      <w:bookmarkEnd w:id="55"/>
      <w:r>
        <w:rPr/>
        <w:t>Destination of proceeds of Health and Social Care Levy</w:t>
      </w:r>
      <w:bookmarkEnd w:id="51"/>
    </w:p>
    <w:p>
      <w:pPr>
        <w:pStyle w:val="ParaNumbered"/>
        <w:numPr>
          <w:ilvl w:val="0"/>
          <w:numId w:val="5"/>
        </w:numPr>
        <w:rPr>
          <w:lang w:val="en-GB"/>
        </w:rPr>
      </w:pPr>
      <w:bookmarkStart w:id="56" w:name="_Toc410653892"/>
      <w:r>
        <w:rPr>
          <w:lang w:val="en-GB"/>
        </w:rPr>
        <w:t xml:space="preserve">Section 2(2) states that the proceeds (including relevant penalties and interest) from this new levy will be paid by HMRC to the Secretary of State towards the cost of health and social care in England, Wales, Scotland and Northern Ireland. Section 2(2) provides the Treasury with a discretionary power to determine the share of the Levy between health and social care and the share that each nation will receive. </w:t>
      </w:r>
    </w:p>
    <w:p>
      <w:pPr>
        <w:pStyle w:val="ParaNumbered"/>
        <w:numPr>
          <w:ilvl w:val="0"/>
          <w:numId w:val="5"/>
        </w:numPr>
        <w:rPr>
          <w:lang w:val="en-GB"/>
        </w:rPr>
      </w:pPr>
      <w:r>
        <w:rPr>
          <w:lang w:val="en-GB"/>
        </w:rPr>
        <w:t xml:space="preserve">Section 2(1) allows HMRC to deduct expenses associated with the collection of the health and social care levy, or recovering any relevant penalties or interest, from the amount paid to the Secretary of State. </w:t>
      </w:r>
    </w:p>
    <w:p>
      <w:pPr>
        <w:pStyle w:val="ParaNumbered"/>
        <w:numPr>
          <w:ilvl w:val="0"/>
          <w:numId w:val="5"/>
        </w:numPr>
        <w:rPr>
          <w:lang w:val="en-GB"/>
        </w:rPr>
      </w:pPr>
      <w:r>
        <w:rPr>
          <w:lang w:val="en-GB"/>
        </w:rPr>
        <w:t>Section 2(3) clarifies that “relevant penalties or interest” means penalties and interest that arise in connection with the Health and Social Care Levy to the extent that they can be attributed to the Levy.</w:t>
      </w:r>
    </w:p>
    <w:p>
      <w:pPr>
        <w:pStyle w:val="ParaNumbered"/>
        <w:numPr>
          <w:ilvl w:val="0"/>
          <w:numId w:val="5"/>
        </w:numPr>
        <w:rPr>
          <w:lang w:val="en-GB"/>
        </w:rPr>
      </w:pPr>
      <w:r>
        <w:rPr>
          <w:lang w:val="en-GB"/>
        </w:rPr>
        <w:t>Section 2(4) requires HMRC to pay any amounts deducted under Section 2(1) into the Consolidated Fund.</w:t>
      </w:r>
      <w:r>
        <w:br w:type="page"/>
      </w:r>
    </w:p>
    <w:p>
      <w:pPr>
        <w:pStyle w:val="HSubheading4"/>
        <w:spacing w:before="0" w:after="0"/>
        <w:contextualSpacing/>
        <w:rPr/>
      </w:pPr>
      <w:bookmarkStart w:id="57" w:name="_Toc93480519"/>
      <w:r>
        <w:rPr/>
        <w:t>Section 3: Application of national insurance contributions legislation</w:t>
      </w:r>
      <w:bookmarkEnd w:id="57"/>
    </w:p>
    <w:p>
      <w:pPr>
        <w:pStyle w:val="ParaNumbered"/>
        <w:numPr>
          <w:ilvl w:val="0"/>
          <w:numId w:val="5"/>
        </w:numPr>
        <w:rPr>
          <w:lang w:val="en-GB"/>
        </w:rPr>
      </w:pPr>
      <w:r>
        <w:rPr>
          <w:lang w:val="en-GB"/>
        </w:rPr>
        <w:t>Section 3(1) states that, for the purpose of operating the Levy, any provisions that apply in relation to a qualifying National Insurance contribution will also apply to the Levy payment corresponding to the contribution.</w:t>
      </w:r>
    </w:p>
    <w:p>
      <w:pPr>
        <w:pStyle w:val="ParaNumbered"/>
        <w:numPr>
          <w:ilvl w:val="0"/>
          <w:numId w:val="5"/>
        </w:numPr>
        <w:rPr/>
      </w:pPr>
      <w:r>
        <w:rPr>
          <w:lang w:val="en-GB"/>
        </w:rPr>
        <w:t xml:space="preserve">Section </w:t>
      </w:r>
      <w:r>
        <w:rPr/>
        <w:t>3(2) provides examples of provisions that may apply in relation to the Levy. These include:</w:t>
      </w:r>
    </w:p>
    <w:p>
      <w:pPr>
        <w:pStyle w:val="ParaNumbered"/>
        <w:numPr>
          <w:ilvl w:val="4"/>
          <w:numId w:val="5"/>
        </w:numPr>
        <w:rPr/>
      </w:pPr>
      <w:r>
        <w:rPr/>
        <w:t xml:space="preserve">information, accounting and reporting requirements, </w:t>
      </w:r>
    </w:p>
    <w:p>
      <w:pPr>
        <w:pStyle w:val="ParaNumbered"/>
        <w:numPr>
          <w:ilvl w:val="4"/>
          <w:numId w:val="5"/>
        </w:numPr>
        <w:rPr/>
      </w:pPr>
      <w:r>
        <w:rPr/>
        <w:t>assessment, collection and payment requirements,</w:t>
      </w:r>
    </w:p>
    <w:p>
      <w:pPr>
        <w:pStyle w:val="ParaNumbered"/>
        <w:numPr>
          <w:ilvl w:val="4"/>
          <w:numId w:val="5"/>
        </w:numPr>
        <w:rPr/>
      </w:pPr>
      <w:r>
        <w:rPr/>
        <w:t xml:space="preserve">rights of appeal, </w:t>
      </w:r>
    </w:p>
    <w:p>
      <w:pPr>
        <w:pStyle w:val="ParaNumbered"/>
        <w:numPr>
          <w:ilvl w:val="4"/>
          <w:numId w:val="5"/>
        </w:numPr>
        <w:rPr/>
      </w:pPr>
      <w:r>
        <w:rPr/>
        <w:t xml:space="preserve">administration, penalties or interest, and </w:t>
      </w:r>
    </w:p>
    <w:p>
      <w:pPr>
        <w:pStyle w:val="ParaNumbered"/>
        <w:numPr>
          <w:ilvl w:val="4"/>
          <w:numId w:val="5"/>
        </w:numPr>
        <w:rPr/>
      </w:pPr>
      <w:r>
        <w:rPr/>
        <w:t>priority of amounts owed to HMRC in cases of insolvency.</w:t>
      </w:r>
    </w:p>
    <w:p>
      <w:pPr>
        <w:pStyle w:val="ParaNumbered"/>
        <w:numPr>
          <w:ilvl w:val="0"/>
          <w:numId w:val="5"/>
        </w:numPr>
        <w:rPr>
          <w:lang w:val="en-GB"/>
        </w:rPr>
      </w:pPr>
      <w:r>
        <w:rPr>
          <w:lang w:val="en-GB"/>
        </w:rPr>
        <w:t xml:space="preserve">However, Section 3(3) specifies that provisions relating to a person’s entitlement to benefits or limiting the maximum amount of National Insurance contributions that are payable do not apply to the Levy. This means that payment of the new Health and Social Care Levy does not give rise to entitlement to contributory benefits. </w:t>
      </w:r>
    </w:p>
    <w:p>
      <w:pPr>
        <w:pStyle w:val="ParaNumbered"/>
        <w:numPr>
          <w:ilvl w:val="0"/>
          <w:numId w:val="5"/>
        </w:numPr>
        <w:rPr/>
      </w:pPr>
      <w:r>
        <w:rPr>
          <w:lang w:val="en-GB"/>
        </w:rPr>
        <w:t>Section</w:t>
      </w:r>
      <w:r>
        <w:rPr/>
        <w:t xml:space="preserve"> 3(4) makes the application of legislation by subsection (1) subject to other provision made by this Act, or by regulations made under this Act, and to any necessary modifications (including any modifications necessary to secure the payment of the Levy by individuals to whom the pension age restrictions provisions apply). </w:t>
      </w:r>
    </w:p>
    <w:p>
      <w:pPr>
        <w:pStyle w:val="HSubheading4"/>
        <w:rPr/>
      </w:pPr>
      <w:bookmarkStart w:id="58" w:name="_Toc93480520"/>
      <w:bookmarkStart w:id="59" w:name="_Toc418587931"/>
      <w:bookmarkStart w:id="60" w:name="_Toc417648121"/>
      <w:bookmarkStart w:id="61" w:name="_Toc416612136"/>
      <w:r>
        <w:rPr/>
        <w:t xml:space="preserve">Section 4: </w:t>
      </w:r>
      <w:bookmarkEnd w:id="59"/>
      <w:bookmarkEnd w:id="60"/>
      <w:bookmarkEnd w:id="61"/>
      <w:r>
        <w:rPr/>
        <w:t>Regulations</w:t>
      </w:r>
      <w:bookmarkEnd w:id="58"/>
    </w:p>
    <w:p>
      <w:pPr>
        <w:pStyle w:val="ParaNumbered"/>
        <w:numPr>
          <w:ilvl w:val="0"/>
          <w:numId w:val="5"/>
        </w:numPr>
        <w:rPr/>
      </w:pPr>
      <w:bookmarkStart w:id="62" w:name="_Hlk81569429"/>
      <w:r>
        <w:rPr/>
        <w:t xml:space="preserve">Section 4(1) provides the Treasury with regulation-making powers to make general provision for the purposes of the Health and Social Care Levy. </w:t>
      </w:r>
      <w:bookmarkEnd w:id="62"/>
    </w:p>
    <w:p>
      <w:pPr>
        <w:pStyle w:val="ParaNumbered"/>
        <w:numPr>
          <w:ilvl w:val="0"/>
          <w:numId w:val="5"/>
        </w:numPr>
        <w:rPr>
          <w:lang w:val="en-GB"/>
        </w:rPr>
      </w:pPr>
      <w:r>
        <w:rPr>
          <w:lang w:val="en-GB"/>
        </w:rPr>
        <w:t>Section 4(2) provides examples of provisions that may be made under Section 4(1) for the purposes of the Levy, which include provisions:</w:t>
      </w:r>
    </w:p>
    <w:p>
      <w:pPr>
        <w:pStyle w:val="ParaNumbered"/>
        <w:numPr>
          <w:ilvl w:val="4"/>
          <w:numId w:val="5"/>
        </w:numPr>
        <w:rPr>
          <w:lang w:val="en-GB"/>
        </w:rPr>
      </w:pPr>
      <w:r>
        <w:rPr>
          <w:lang w:val="en-GB"/>
        </w:rPr>
        <w:t xml:space="preserve">about reliefs or exemptions from the Levy, </w:t>
      </w:r>
    </w:p>
    <w:p>
      <w:pPr>
        <w:pStyle w:val="ParaNumbered"/>
        <w:numPr>
          <w:ilvl w:val="4"/>
          <w:numId w:val="5"/>
        </w:numPr>
        <w:rPr>
          <w:lang w:val="en-GB"/>
        </w:rPr>
      </w:pPr>
      <w:r>
        <w:rPr>
          <w:lang w:val="en-GB"/>
        </w:rPr>
        <w:t>that disapply any provisions of NICs legislation that would otherwise be applied for the Levy by Section 3(1),</w:t>
      </w:r>
    </w:p>
    <w:p>
      <w:pPr>
        <w:pStyle w:val="ParaNumbered"/>
        <w:numPr>
          <w:ilvl w:val="4"/>
          <w:numId w:val="5"/>
        </w:numPr>
        <w:rPr>
          <w:lang w:val="en-GB"/>
        </w:rPr>
      </w:pPr>
      <w:r>
        <w:rPr>
          <w:lang w:val="en-GB"/>
        </w:rPr>
        <w:t>that modify the application of any legislation applied by Section 3(1) in relation to the Levy,</w:t>
      </w:r>
    </w:p>
    <w:p>
      <w:pPr>
        <w:pStyle w:val="ParaNumbered"/>
        <w:numPr>
          <w:ilvl w:val="4"/>
          <w:numId w:val="5"/>
        </w:numPr>
        <w:rPr>
          <w:lang w:val="en-GB"/>
        </w:rPr>
      </w:pPr>
      <w:r>
        <w:rPr>
          <w:lang w:val="en-GB"/>
        </w:rPr>
        <w:t xml:space="preserve">that apply (including with modification) provisions of the Tax Acts (i.e. legislation concerned with Income Tax or Corporation Tax) in relation to the Levy (so far as they would not already be applied by Section 3(1)). </w:t>
      </w:r>
    </w:p>
    <w:p>
      <w:pPr>
        <w:pStyle w:val="ParaNumbered"/>
        <w:numPr>
          <w:ilvl w:val="0"/>
          <w:numId w:val="5"/>
        </w:numPr>
        <w:rPr>
          <w:lang w:val="en-GB"/>
        </w:rPr>
      </w:pPr>
      <w:r>
        <w:rPr>
          <w:lang w:val="en-GB"/>
        </w:rPr>
        <w:t>Section 4(3) allows regulations under Section 4(1) to make:</w:t>
      </w:r>
    </w:p>
    <w:p>
      <w:pPr>
        <w:pStyle w:val="ParaNumbered"/>
        <w:numPr>
          <w:ilvl w:val="4"/>
          <w:numId w:val="5"/>
        </w:numPr>
        <w:rPr>
          <w:lang w:val="en-GB"/>
        </w:rPr>
      </w:pPr>
      <w:r>
        <w:rPr>
          <w:lang w:val="en-GB"/>
        </w:rPr>
        <w:t xml:space="preserve">different provision for different purposes, </w:t>
      </w:r>
    </w:p>
    <w:p>
      <w:pPr>
        <w:pStyle w:val="ParaNumbered"/>
        <w:numPr>
          <w:ilvl w:val="4"/>
          <w:numId w:val="5"/>
        </w:numPr>
        <w:rPr>
          <w:lang w:val="en-GB"/>
        </w:rPr>
      </w:pPr>
      <w:r>
        <w:rPr>
          <w:lang w:val="en-GB"/>
        </w:rPr>
        <w:t>supplementary, incidental and consequential provisions, or</w:t>
      </w:r>
    </w:p>
    <w:p>
      <w:pPr>
        <w:pStyle w:val="ParaNumbered"/>
        <w:numPr>
          <w:ilvl w:val="4"/>
          <w:numId w:val="5"/>
        </w:numPr>
        <w:rPr>
          <w:lang w:val="en-GB"/>
        </w:rPr>
      </w:pPr>
      <w:r>
        <w:rPr>
          <w:lang w:val="en-GB"/>
        </w:rPr>
        <w:t xml:space="preserve">transitional or transitory provisions and savings. </w:t>
      </w:r>
    </w:p>
    <w:p>
      <w:pPr>
        <w:pStyle w:val="ParaNumbered"/>
        <w:widowControl/>
        <w:numPr>
          <w:ilvl w:val="0"/>
          <w:numId w:val="5"/>
        </w:numPr>
        <w:ind w:hanging="357" w:left="714"/>
        <w:rPr>
          <w:lang w:val="en-GB"/>
        </w:rPr>
      </w:pPr>
      <w:r>
        <w:rPr>
          <w:lang w:val="en-GB"/>
        </w:rPr>
        <w:t>Section 4(4) to (6) specifies the Parliamentary procedure for regulations made under Section 4(1). Regulations that have the effect of limiting the application of (or reducing or removing) any existing relief or exemption are subject to the affirmative procedure in the House of Commons only (subsections (4) and (5)). Under Section 4(6), all other regulations will be subject to the negative procedure in the House of Commons only.</w:t>
      </w:r>
    </w:p>
    <w:p>
      <w:pPr>
        <w:pStyle w:val="HSubheading4"/>
        <w:rPr/>
      </w:pPr>
      <w:bookmarkStart w:id="63" w:name="_Toc93480521"/>
      <w:r>
        <w:rPr/>
        <w:t>Section 5: Transitional provision: temporary increase in rates of NICs payable to NHS</w:t>
      </w:r>
      <w:bookmarkEnd w:id="63"/>
    </w:p>
    <w:p>
      <w:pPr>
        <w:pStyle w:val="ParaNumbered"/>
        <w:numPr>
          <w:ilvl w:val="0"/>
          <w:numId w:val="5"/>
        </w:numPr>
        <w:rPr>
          <w:lang w:val="en-GB"/>
        </w:rPr>
      </w:pPr>
      <w:r>
        <w:rPr>
          <w:lang w:val="en-GB"/>
        </w:rPr>
        <w:t>Section 5 sets out the transitional arrangements for this measure. Section 5(1) specifies that these arrangements will only apply for the 2022-2023 tax year.</w:t>
      </w:r>
    </w:p>
    <w:p>
      <w:pPr>
        <w:pStyle w:val="ParaNumbered"/>
        <w:numPr>
          <w:ilvl w:val="0"/>
          <w:numId w:val="5"/>
        </w:numPr>
        <w:rPr>
          <w:lang w:val="en-GB"/>
        </w:rPr>
      </w:pPr>
      <w:r>
        <w:rPr>
          <w:lang w:val="en-GB"/>
        </w:rPr>
        <w:t>Section 5(2) modifies the percentage rates of National Insurance contributions for the 2022-23 tax year set out in Part 1 of the SSCBA 1992 so that, for the 2022-23 tax year:</w:t>
      </w:r>
    </w:p>
    <w:p>
      <w:pPr>
        <w:pStyle w:val="ParaNumbered"/>
        <w:numPr>
          <w:ilvl w:val="4"/>
          <w:numId w:val="5"/>
        </w:numPr>
        <w:rPr>
          <w:lang w:val="en-GB"/>
        </w:rPr>
      </w:pPr>
      <w:r>
        <w:rPr>
          <w:lang w:val="en-GB"/>
        </w:rPr>
        <w:t xml:space="preserve">the main rate of Primary Class 1 will be 13.25% (increased from 12% in 2021-22), </w:t>
      </w:r>
    </w:p>
    <w:p>
      <w:pPr>
        <w:pStyle w:val="ParaNumbered"/>
        <w:numPr>
          <w:ilvl w:val="4"/>
          <w:numId w:val="5"/>
        </w:numPr>
        <w:rPr>
          <w:lang w:val="en-GB"/>
        </w:rPr>
      </w:pPr>
      <w:r>
        <w:rPr>
          <w:lang w:val="en-GB"/>
        </w:rPr>
        <w:t>the additional rate of Primary Class 1 will be 3.25% (increased from 2% in 2021-22),</w:t>
      </w:r>
    </w:p>
    <w:p>
      <w:pPr>
        <w:pStyle w:val="ParaNumbered"/>
        <w:numPr>
          <w:ilvl w:val="4"/>
          <w:numId w:val="5"/>
        </w:numPr>
        <w:rPr>
          <w:lang w:val="en-GB"/>
        </w:rPr>
      </w:pPr>
      <w:r>
        <w:rPr>
          <w:lang w:val="en-GB"/>
        </w:rPr>
        <w:t>Secondary Class 1 will be 15.05% (increased from 13.8% in 2021-22),</w:t>
      </w:r>
    </w:p>
    <w:p>
      <w:pPr>
        <w:pStyle w:val="ParaNumbered"/>
        <w:numPr>
          <w:ilvl w:val="4"/>
          <w:numId w:val="5"/>
        </w:numPr>
        <w:rPr>
          <w:lang w:val="en-GB"/>
        </w:rPr>
      </w:pPr>
      <w:r>
        <w:rPr>
          <w:lang w:val="en-GB"/>
        </w:rPr>
        <w:t>the main rate of Class 4 will be 10.25% (increased from 9% in 2021-22),</w:t>
      </w:r>
    </w:p>
    <w:p>
      <w:pPr>
        <w:pStyle w:val="ParaNumbered"/>
        <w:numPr>
          <w:ilvl w:val="4"/>
          <w:numId w:val="5"/>
        </w:numPr>
        <w:rPr>
          <w:lang w:val="en-GB"/>
        </w:rPr>
      </w:pPr>
      <w:r>
        <w:rPr>
          <w:lang w:val="en-GB"/>
        </w:rPr>
        <w:t xml:space="preserve">the additional rate of Class 4 will be 3.25% (increased from 2% in 2021-22). </w:t>
      </w:r>
    </w:p>
    <w:p>
      <w:pPr>
        <w:pStyle w:val="ParaNumbered"/>
        <w:numPr>
          <w:ilvl w:val="0"/>
          <w:numId w:val="5"/>
        </w:numPr>
        <w:rPr>
          <w:lang w:val="en-GB"/>
        </w:rPr>
      </w:pPr>
      <w:r>
        <w:rPr>
          <w:lang w:val="en-GB"/>
        </w:rPr>
        <w:t>Section 5(3) secures that NICs rates cannot subsequently be raised in tax year 2023-24 by reference to the higher temporary rates in 2022-23.</w:t>
      </w:r>
    </w:p>
    <w:p>
      <w:pPr>
        <w:pStyle w:val="ParaNumbered"/>
        <w:numPr>
          <w:ilvl w:val="0"/>
          <w:numId w:val="5"/>
        </w:numPr>
        <w:rPr>
          <w:lang w:val="en-GB"/>
        </w:rPr>
      </w:pPr>
      <w:r>
        <w:rPr>
          <w:lang w:val="en-GB"/>
        </w:rPr>
        <w:t xml:space="preserve">Section 5(4) replicates the modifications made by Section 5(2) in Part 1 of SSCB(NI)A 1992, so that the temporary rate modifications also apply to Northern Ireland. </w:t>
      </w:r>
    </w:p>
    <w:p>
      <w:pPr>
        <w:pStyle w:val="ParaNumbered"/>
        <w:numPr>
          <w:ilvl w:val="0"/>
          <w:numId w:val="5"/>
        </w:numPr>
        <w:rPr>
          <w:lang w:val="en-GB"/>
        </w:rPr>
      </w:pPr>
      <w:r>
        <w:rPr>
          <w:lang w:val="en-GB"/>
        </w:rPr>
        <w:t xml:space="preserve">Section 5(5) modifies section 162(5) of SSAA 1992. It stipulates that, for the 2022-23 tax year, the amount of contributions that are allocated to the NHS are increased as set out below. This ensures that all of the proceeds raised from the temporary rate increase set out at Section 5(2) and (4) are directed to the NHS. </w:t>
      </w:r>
    </w:p>
    <w:p>
      <w:pPr>
        <w:pStyle w:val="ParaNumbered"/>
        <w:numPr>
          <w:ilvl w:val="4"/>
          <w:numId w:val="5"/>
        </w:numPr>
        <w:rPr>
          <w:lang w:val="en-GB"/>
        </w:rPr>
      </w:pPr>
      <w:r>
        <w:rPr>
          <w:lang w:val="en-GB"/>
        </w:rPr>
        <w:t>69.23% increased from 50% of the proceeds from the additional rate of Class 1 and 4 will be allocated to the NHS</w:t>
      </w:r>
    </w:p>
    <w:p>
      <w:pPr>
        <w:pStyle w:val="ParaNumbered"/>
        <w:numPr>
          <w:ilvl w:val="4"/>
          <w:numId w:val="5"/>
        </w:numPr>
        <w:rPr>
          <w:lang w:val="en-GB"/>
        </w:rPr>
      </w:pPr>
      <w:r>
        <w:rPr>
          <w:lang w:val="en-GB"/>
        </w:rPr>
        <w:t>3.30% increased from 2.05% of earnings in respect of the main rate of Primary Class 1 NICs will be allocated to the NHS</w:t>
      </w:r>
    </w:p>
    <w:p>
      <w:pPr>
        <w:pStyle w:val="ParaNumbered"/>
        <w:numPr>
          <w:ilvl w:val="4"/>
          <w:numId w:val="5"/>
        </w:numPr>
        <w:rPr>
          <w:lang w:val="en-GB"/>
        </w:rPr>
      </w:pPr>
      <w:r>
        <w:rPr>
          <w:lang w:val="en-GB"/>
        </w:rPr>
        <w:t>3.15% increased from 1.9% of earnings in respect of Secondary Class 1 NICs will be allocated to the NHS</w:t>
      </w:r>
    </w:p>
    <w:p>
      <w:pPr>
        <w:pStyle w:val="ParaNumbered"/>
        <w:numPr>
          <w:ilvl w:val="4"/>
          <w:numId w:val="5"/>
        </w:numPr>
        <w:rPr>
          <w:lang w:val="en-GB"/>
        </w:rPr>
      </w:pPr>
      <w:r>
        <w:rPr>
          <w:lang w:val="en-GB"/>
        </w:rPr>
        <w:t>3.15% increased from 1.9% of earnings (and other forms of income) in respect of the Class 1A NICs will be allocated to the NHS</w:t>
      </w:r>
    </w:p>
    <w:p>
      <w:pPr>
        <w:pStyle w:val="ParaNumbered"/>
        <w:numPr>
          <w:ilvl w:val="4"/>
          <w:numId w:val="5"/>
        </w:numPr>
        <w:rPr>
          <w:lang w:val="en-GB"/>
        </w:rPr>
      </w:pPr>
      <w:r>
        <w:rPr>
          <w:lang w:val="en-GB"/>
        </w:rPr>
        <w:t>3.15% increased from 1.9% of earnings (and other forms of income) in respect of the Class 1B NICs will be allocated to the NHS</w:t>
      </w:r>
    </w:p>
    <w:p>
      <w:pPr>
        <w:pStyle w:val="ParaNumbered"/>
        <w:numPr>
          <w:ilvl w:val="4"/>
          <w:numId w:val="5"/>
        </w:numPr>
        <w:rPr>
          <w:lang w:val="en-GB"/>
        </w:rPr>
      </w:pPr>
      <w:r>
        <w:rPr>
          <w:lang w:val="en-GB"/>
        </w:rPr>
        <w:t xml:space="preserve">3.4% increased from 2.15% of profits in respective of Class 4 NICs will be allocated to the NHS. </w:t>
      </w:r>
    </w:p>
    <w:p>
      <w:pPr>
        <w:pStyle w:val="ParaNumbered"/>
        <w:numPr>
          <w:ilvl w:val="0"/>
          <w:numId w:val="5"/>
        </w:numPr>
        <w:rPr/>
      </w:pPr>
      <w:r>
        <w:rPr/>
        <w:t xml:space="preserve">Section 5(6) replicates the provisions of Section 5(5) in respect of section 142(5) of SSA(NI)A 1992, so that the further allocation of contributions to the NHS also applies in Northern Ireland. </w:t>
      </w:r>
    </w:p>
    <w:p>
      <w:pPr>
        <w:pStyle w:val="HSubheading4"/>
        <w:rPr/>
      </w:pPr>
      <w:bookmarkStart w:id="64" w:name="_Toc93480522"/>
      <w:r>
        <w:rPr/>
        <w:t>Section 6: Interpretation</w:t>
      </w:r>
      <w:bookmarkEnd w:id="64"/>
    </w:p>
    <w:p>
      <w:pPr>
        <w:pStyle w:val="ParaNumbered"/>
        <w:numPr>
          <w:ilvl w:val="0"/>
          <w:numId w:val="5"/>
        </w:numPr>
        <w:rPr>
          <w:lang w:val="en-GB"/>
        </w:rPr>
      </w:pPr>
      <w:r>
        <w:rPr>
          <w:lang w:val="en-GB"/>
        </w:rPr>
        <w:t>This Section defines various terms used in the Act.</w:t>
      </w:r>
    </w:p>
    <w:p>
      <w:pPr>
        <w:pStyle w:val="HSubheading4"/>
        <w:rPr/>
      </w:pPr>
      <w:bookmarkStart w:id="65" w:name="_Toc93480523"/>
      <w:r>
        <w:rPr/>
        <w:t>Section 7: Short title and Crown application</w:t>
      </w:r>
      <w:bookmarkEnd w:id="65"/>
    </w:p>
    <w:p>
      <w:pPr>
        <w:pStyle w:val="ParaNumbered"/>
        <w:numPr>
          <w:ilvl w:val="0"/>
          <w:numId w:val="5"/>
        </w:numPr>
        <w:rPr>
          <w:lang w:val="en-GB"/>
        </w:rPr>
      </w:pPr>
      <w:r>
        <w:rPr>
          <w:lang w:val="en-GB"/>
        </w:rPr>
        <w:t xml:space="preserve">Section 7 gives the short title of the Act as the Health and Social Care Levy Act 2021 and provides </w:t>
      </w:r>
      <w:bookmarkStart w:id="66" w:name="_Toc417648129"/>
      <w:bookmarkStart w:id="67" w:name="_Toc418587938"/>
      <w:r>
        <w:rPr>
          <w:lang w:val="en-GB"/>
        </w:rPr>
        <w:t xml:space="preserve">for the Act to apply to the Crown. </w:t>
      </w:r>
      <w:bookmarkEnd w:id="41"/>
      <w:bookmarkEnd w:id="56"/>
    </w:p>
    <w:p>
      <w:pPr>
        <w:pStyle w:val="Heading1"/>
        <w:keepNext w:val="true"/>
        <w:rPr/>
      </w:pPr>
      <w:bookmarkStart w:id="68" w:name="_Toc416612144"/>
      <w:bookmarkStart w:id="69" w:name="_Toc93480524"/>
      <w:sdt>
        <w:sdtPr>
          <w:placeholder>
            <w:docPart w:val="E981BF7FA6DB4EBF8FCB1771437805B3"/>
          </w:placeholder>
          <w:text/>
        </w:sdtPr>
        <w:sdtContent>
          <w:r>
            <w:rPr/>
          </w:r>
          <w:r>
            <w:rPr/>
            <w:t>Commencement</w:t>
          </w:r>
        </w:sdtContent>
      </w:sdt>
      <w:bookmarkEnd w:id="66"/>
      <w:bookmarkEnd w:id="67"/>
      <w:bookmarkEnd w:id="68"/>
      <w:bookmarkEnd w:id="69"/>
    </w:p>
    <w:p>
      <w:pPr>
        <w:pStyle w:val="ParaNumbered"/>
        <w:numPr>
          <w:ilvl w:val="0"/>
          <w:numId w:val="5"/>
        </w:numPr>
        <w:rPr>
          <w:lang w:val="en-GB"/>
        </w:rPr>
      </w:pPr>
      <w:bookmarkStart w:id="70" w:name="_Toc410653894"/>
      <w:bookmarkEnd w:id="70"/>
      <w:r>
        <w:rPr>
          <w:lang w:val="en-GB"/>
        </w:rPr>
        <w:t xml:space="preserve">This Act will commence on Royal Assent. </w:t>
      </w:r>
    </w:p>
    <w:p>
      <w:pPr>
        <w:pStyle w:val="Heading1"/>
        <w:keepNext w:val="true"/>
        <w:rPr/>
      </w:pPr>
      <w:bookmarkStart w:id="71" w:name="_Toc93480525"/>
      <w:bookmarkStart w:id="72" w:name="_Toc418587941"/>
      <w:bookmarkStart w:id="73" w:name="_Toc417648132"/>
      <w:bookmarkStart w:id="74" w:name="_Toc416612147"/>
      <w:r>
        <w:rPr/>
        <w:t>Related documents</w:t>
      </w:r>
      <w:bookmarkEnd w:id="71"/>
      <w:bookmarkEnd w:id="72"/>
      <w:bookmarkEnd w:id="73"/>
      <w:bookmarkEnd w:id="74"/>
    </w:p>
    <w:p>
      <w:pPr>
        <w:pStyle w:val="ParaNumbered"/>
        <w:numPr>
          <w:ilvl w:val="0"/>
          <w:numId w:val="5"/>
        </w:numPr>
        <w:rPr/>
      </w:pPr>
      <w:r>
        <w:rPr/>
        <w:t>The following documents are relevant to the Act and can be read at the stated locations:</w:t>
      </w:r>
    </w:p>
    <w:p>
      <w:pPr>
        <w:pStyle w:val="ParaBulleted"/>
        <w:numPr>
          <w:ilvl w:val="0"/>
          <w:numId w:val="8"/>
        </w:numPr>
        <w:rPr>
          <w:lang w:val="en-GB"/>
        </w:rPr>
      </w:pPr>
      <w:r>
        <w:rPr/>
        <w:t>Build Back Better. Our plan for health and social care</w:t>
      </w:r>
      <w:bookmarkStart w:id="75" w:name="_Toc417648134"/>
      <w:bookmarkStart w:id="76" w:name="_Toc416612149"/>
      <w:bookmarkStart w:id="77" w:name="_Toc410653897"/>
      <w:r>
        <w:rPr/>
        <w:t xml:space="preserve">. </w:t>
      </w:r>
      <w:hyperlink r:id="rId8">
        <w:r>
          <w:rPr>
            <w:rStyle w:val="Hyperlink"/>
            <w:lang w:val="en-GB"/>
          </w:rPr>
          <w:t>https://assets.publishing.service.gov.uk/government/uploads/system/uploads/attachment_data/file/1015736/Build_Back_Better-_Our_Plan_for_Health_and_Social_Care.pdf</w:t>
        </w:r>
      </w:hyperlink>
    </w:p>
    <w:p>
      <w:pPr>
        <w:pStyle w:val="ParaBulleted"/>
        <w:numPr>
          <w:ilvl w:val="0"/>
          <w:numId w:val="8"/>
        </w:numPr>
        <w:rPr>
          <w:rFonts w:ascii="Arial" w:hAnsi="Arial"/>
          <w:b/>
          <w:bCs/>
          <w:color w:val="0070C0"/>
          <w:sz w:val="36"/>
        </w:rPr>
      </w:pPr>
      <w:r>
        <w:rPr/>
        <w:t xml:space="preserve">Tax Information and Impact Note. </w:t>
      </w:r>
      <w:hyperlink r:id="rId9">
        <w:r>
          <w:rPr>
            <w:rStyle w:val="Hyperlink"/>
          </w:rPr>
          <w:t>https://www.gov.uk/government/publications/health-and-social-care-levy/health-and-social-care-levy</w:t>
        </w:r>
      </w:hyperlink>
      <w:bookmarkStart w:id="78" w:name="_Toc418587943"/>
      <w:r>
        <w:br w:type="page"/>
      </w:r>
    </w:p>
    <w:p>
      <w:pPr>
        <w:pStyle w:val="Heading1"/>
        <w:keepNext w:val="true"/>
        <w:spacing w:before="0" w:after="0"/>
        <w:contextualSpacing/>
        <w:rPr/>
      </w:pPr>
      <w:bookmarkStart w:id="79" w:name="_Toc93480526"/>
      <w:r>
        <w:rPr/>
        <w:t xml:space="preserve">Annex </w:t>
      </w:r>
      <w:bookmarkEnd w:id="76"/>
      <w:bookmarkEnd w:id="77"/>
      <w:r>
        <w:rPr/>
        <w:t xml:space="preserve">A </w:t>
      </w:r>
      <w:r>
        <w:rPr>
          <w:rFonts w:cs="Arial"/>
        </w:rPr>
        <w:t>–</w:t>
      </w:r>
      <w:r>
        <w:rPr/>
        <w:t xml:space="preserve"> </w:t>
      </w:r>
      <w:bookmarkStart w:id="80" w:name="_Toc417648133"/>
      <w:bookmarkStart w:id="81" w:name="_Toc416612148"/>
      <w:bookmarkEnd w:id="75"/>
      <w:bookmarkEnd w:id="78"/>
      <w:r>
        <w:rPr/>
        <w:t>Territorial extent and application in the United Kingdom</w:t>
      </w:r>
      <w:bookmarkEnd w:id="79"/>
    </w:p>
    <w:p>
      <w:pPr>
        <w:pStyle w:val="ParaNumbered"/>
        <w:numPr>
          <w:ilvl w:val="0"/>
          <w:numId w:val="0"/>
        </w:numPr>
        <w:ind w:hanging="0" w:left="0"/>
        <w:rPr>
          <w:lang w:val="en-GB"/>
        </w:rPr>
      </w:pPr>
      <w:r>
        <w:rPr>
          <w:lang w:val="en-GB"/>
        </w:rPr>
      </w:r>
    </w:p>
    <w:tbl>
      <w:tblPr>
        <w:tblStyle w:val="ENGeneralTable"/>
        <w:tblW w:w="8359"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1580"/>
        <w:gridCol w:w="1802"/>
        <w:gridCol w:w="1465"/>
        <w:gridCol w:w="1627"/>
        <w:gridCol w:w="1885"/>
      </w:tblGrid>
      <w:tr>
        <w:trPr>
          <w:tblHeader w:val="true"/>
          <w:trHeight w:val="758" w:hRule="atLeast"/>
        </w:trPr>
        <w:tc>
          <w:tcPr>
            <w:tcW w:w="1580" w:type="dxa"/>
            <w:tcBorders/>
          </w:tcPr>
          <w:p>
            <w:pPr>
              <w:pStyle w:val="TTableText"/>
              <w:spacing w:before="0" w:after="120"/>
              <w:jc w:val="left"/>
              <w:rPr>
                <w:rStyle w:val="TTableHeadings"/>
              </w:rPr>
            </w:pPr>
            <w:r>
              <w:rPr>
                <w:rStyle w:val="TTableHeadings"/>
                <w:rFonts w:eastAsia="ＭＳ 明朝"/>
                <w:kern w:val="0"/>
                <w:lang w:val="en-US" w:eastAsia="en-US" w:bidi="en-US"/>
              </w:rPr>
              <w:t>Provision</w:t>
            </w:r>
          </w:p>
        </w:tc>
        <w:tc>
          <w:tcPr>
            <w:tcW w:w="1802" w:type="dxa"/>
            <w:tcBorders/>
          </w:tcPr>
          <w:p>
            <w:pPr>
              <w:pStyle w:val="TTableText"/>
              <w:spacing w:before="0" w:after="120"/>
              <w:jc w:val="left"/>
              <w:rPr>
                <w:rStyle w:val="TTableHeadings"/>
              </w:rPr>
            </w:pPr>
            <w:r>
              <w:rPr>
                <w:rStyle w:val="TTableHeadings"/>
                <w:rFonts w:eastAsia="ＭＳ 明朝"/>
                <w:kern w:val="0"/>
                <w:lang w:val="en-US" w:eastAsia="en-US" w:bidi="en-US"/>
              </w:rPr>
              <w:t>Extends to E &amp; W and applies to England?</w:t>
            </w:r>
          </w:p>
        </w:tc>
        <w:tc>
          <w:tcPr>
            <w:tcW w:w="1465" w:type="dxa"/>
            <w:tcBorders/>
          </w:tcPr>
          <w:p>
            <w:pPr>
              <w:pStyle w:val="TTableText"/>
              <w:spacing w:before="0" w:after="120"/>
              <w:jc w:val="left"/>
              <w:rPr>
                <w:rStyle w:val="TTableHeadings"/>
              </w:rPr>
            </w:pPr>
            <w:r>
              <w:rPr>
                <w:rStyle w:val="TTableHeadings"/>
                <w:rFonts w:eastAsia="ＭＳ 明朝"/>
                <w:kern w:val="0"/>
                <w:lang w:val="en-US" w:eastAsia="en-US" w:bidi="en-US"/>
              </w:rPr>
              <w:t>Extends to E &amp; W and applies to Wales?</w:t>
            </w:r>
          </w:p>
        </w:tc>
        <w:tc>
          <w:tcPr>
            <w:tcW w:w="1627" w:type="dxa"/>
            <w:tcBorders/>
          </w:tcPr>
          <w:p>
            <w:pPr>
              <w:pStyle w:val="TTableText"/>
              <w:spacing w:before="0" w:after="120"/>
              <w:jc w:val="left"/>
              <w:rPr>
                <w:rStyle w:val="TTableHeadings"/>
              </w:rPr>
            </w:pPr>
            <w:r>
              <w:rPr>
                <w:rStyle w:val="TTableHeadings"/>
                <w:rFonts w:eastAsia="ＭＳ 明朝"/>
                <w:kern w:val="0"/>
                <w:lang w:val="en-US" w:eastAsia="en-US" w:bidi="en-US"/>
              </w:rPr>
              <w:t>Extends and applies to Scotland?</w:t>
            </w:r>
          </w:p>
        </w:tc>
        <w:tc>
          <w:tcPr>
            <w:tcW w:w="1885" w:type="dxa"/>
            <w:tcBorders/>
          </w:tcPr>
          <w:p>
            <w:pPr>
              <w:pStyle w:val="TTableText"/>
              <w:spacing w:before="0" w:after="120"/>
              <w:jc w:val="left"/>
              <w:rPr>
                <w:rStyle w:val="TTableHeadings"/>
              </w:rPr>
            </w:pPr>
            <w:r>
              <w:rPr>
                <w:rStyle w:val="TTableHeadings"/>
                <w:rFonts w:eastAsia="ＭＳ 明朝"/>
                <w:kern w:val="0"/>
                <w:lang w:val="en-US" w:eastAsia="en-US" w:bidi="en-US"/>
              </w:rPr>
              <w:t>Extends and applies to Northern Ireland?</w:t>
            </w:r>
          </w:p>
        </w:tc>
      </w:tr>
      <w:tr>
        <w:trPr>
          <w:trHeight w:val="247" w:hRule="atLeast"/>
        </w:trPr>
        <w:tc>
          <w:tcPr>
            <w:tcW w:w="1580" w:type="dxa"/>
            <w:tcBorders/>
          </w:tcPr>
          <w:p>
            <w:pPr>
              <w:pStyle w:val="TTableText"/>
              <w:spacing w:before="0" w:after="120"/>
              <w:jc w:val="left"/>
              <w:rPr>
                <w:lang w:val="en-GB"/>
              </w:rPr>
            </w:pPr>
            <w:r>
              <w:rPr>
                <w:rFonts w:eastAsia="ＭＳ 明朝"/>
                <w:kern w:val="0"/>
                <w:lang w:val="en-GB" w:eastAsia="en-US" w:bidi="en-US"/>
              </w:rPr>
              <w:t>Section 1</w:t>
            </w:r>
          </w:p>
        </w:tc>
        <w:tc>
          <w:tcPr>
            <w:tcW w:w="180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465" w:type="dxa"/>
            <w:tcBorders/>
          </w:tcPr>
          <w:p>
            <w:pPr>
              <w:pStyle w:val="TTableText"/>
              <w:spacing w:before="0" w:after="120"/>
              <w:jc w:val="left"/>
              <w:rPr>
                <w:lang w:val="en-GB"/>
              </w:rPr>
            </w:pPr>
            <w:r>
              <w:rPr>
                <w:rFonts w:eastAsia="ＭＳ 明朝"/>
                <w:kern w:val="0"/>
                <w:lang w:val="en-GB" w:eastAsia="en-US" w:bidi="en-US"/>
              </w:rPr>
              <w:t>Yes</w:t>
            </w:r>
          </w:p>
        </w:tc>
        <w:tc>
          <w:tcPr>
            <w:tcW w:w="1627" w:type="dxa"/>
            <w:tcBorders/>
          </w:tcPr>
          <w:p>
            <w:pPr>
              <w:pStyle w:val="TTableText"/>
              <w:spacing w:before="0" w:after="120"/>
              <w:jc w:val="left"/>
              <w:rPr>
                <w:lang w:val="en-GB"/>
              </w:rPr>
            </w:pPr>
            <w:r>
              <w:rPr>
                <w:rFonts w:eastAsia="ＭＳ 明朝"/>
                <w:kern w:val="0"/>
                <w:lang w:val="en-GB" w:eastAsia="en-US" w:bidi="en-US"/>
              </w:rPr>
              <w:t>Yes</w:t>
            </w:r>
          </w:p>
        </w:tc>
        <w:tc>
          <w:tcPr>
            <w:tcW w:w="1885" w:type="dxa"/>
            <w:tcBorders/>
          </w:tcPr>
          <w:p>
            <w:pPr>
              <w:pStyle w:val="TTableText"/>
              <w:spacing w:before="0" w:after="120"/>
              <w:jc w:val="left"/>
              <w:rPr>
                <w:lang w:val="en-GB"/>
              </w:rPr>
            </w:pPr>
            <w:r>
              <w:rPr>
                <w:rFonts w:eastAsia="ＭＳ 明朝"/>
                <w:kern w:val="0"/>
                <w:lang w:val="en-GB" w:eastAsia="en-US" w:bidi="en-US"/>
              </w:rPr>
              <w:t>Yes</w:t>
            </w:r>
          </w:p>
        </w:tc>
      </w:tr>
      <w:tr>
        <w:trPr>
          <w:trHeight w:val="247" w:hRule="atLeast"/>
        </w:trPr>
        <w:tc>
          <w:tcPr>
            <w:tcW w:w="1580" w:type="dxa"/>
            <w:tcBorders/>
          </w:tcPr>
          <w:p>
            <w:pPr>
              <w:pStyle w:val="TTableText"/>
              <w:spacing w:before="0" w:after="120"/>
              <w:jc w:val="left"/>
              <w:rPr>
                <w:lang w:val="en-GB"/>
              </w:rPr>
            </w:pPr>
            <w:r>
              <w:rPr>
                <w:rFonts w:eastAsia="ＭＳ 明朝"/>
                <w:kern w:val="0"/>
                <w:lang w:val="en-GB" w:eastAsia="en-US" w:bidi="en-US"/>
              </w:rPr>
              <w:t>Section 2</w:t>
            </w:r>
          </w:p>
        </w:tc>
        <w:tc>
          <w:tcPr>
            <w:tcW w:w="180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465" w:type="dxa"/>
            <w:tcBorders/>
          </w:tcPr>
          <w:p>
            <w:pPr>
              <w:pStyle w:val="TTableText"/>
              <w:spacing w:before="0" w:after="120"/>
              <w:jc w:val="left"/>
              <w:rPr>
                <w:lang w:val="en-GB"/>
              </w:rPr>
            </w:pPr>
            <w:r>
              <w:rPr>
                <w:rFonts w:eastAsia="ＭＳ 明朝"/>
                <w:kern w:val="0"/>
                <w:lang w:val="en-GB" w:eastAsia="en-US" w:bidi="en-US"/>
              </w:rPr>
              <w:t>Yes</w:t>
            </w:r>
          </w:p>
        </w:tc>
        <w:tc>
          <w:tcPr>
            <w:tcW w:w="1627" w:type="dxa"/>
            <w:tcBorders/>
          </w:tcPr>
          <w:p>
            <w:pPr>
              <w:pStyle w:val="TTableText"/>
              <w:spacing w:before="0" w:after="120"/>
              <w:jc w:val="left"/>
              <w:rPr>
                <w:lang w:val="en-GB"/>
              </w:rPr>
            </w:pPr>
            <w:r>
              <w:rPr>
                <w:rFonts w:eastAsia="ＭＳ 明朝"/>
                <w:kern w:val="0"/>
                <w:lang w:val="en-GB" w:eastAsia="en-US" w:bidi="en-US"/>
              </w:rPr>
              <w:t>Yes</w:t>
            </w:r>
          </w:p>
        </w:tc>
        <w:tc>
          <w:tcPr>
            <w:tcW w:w="1885" w:type="dxa"/>
            <w:tcBorders/>
          </w:tcPr>
          <w:p>
            <w:pPr>
              <w:pStyle w:val="TTableText"/>
              <w:spacing w:before="0" w:after="120"/>
              <w:jc w:val="left"/>
              <w:rPr>
                <w:lang w:val="en-GB"/>
              </w:rPr>
            </w:pPr>
            <w:r>
              <w:rPr>
                <w:rFonts w:eastAsia="ＭＳ 明朝"/>
                <w:kern w:val="0"/>
                <w:lang w:val="en-GB" w:eastAsia="en-US" w:bidi="en-US"/>
              </w:rPr>
              <w:t>Yes</w:t>
            </w:r>
          </w:p>
        </w:tc>
      </w:tr>
      <w:tr>
        <w:trPr>
          <w:trHeight w:val="247" w:hRule="atLeast"/>
        </w:trPr>
        <w:tc>
          <w:tcPr>
            <w:tcW w:w="1580" w:type="dxa"/>
            <w:tcBorders/>
          </w:tcPr>
          <w:p>
            <w:pPr>
              <w:pStyle w:val="TTableText"/>
              <w:spacing w:before="0" w:after="120"/>
              <w:jc w:val="left"/>
              <w:rPr>
                <w:lang w:val="en-GB"/>
              </w:rPr>
            </w:pPr>
            <w:r>
              <w:rPr>
                <w:rFonts w:eastAsia="ＭＳ 明朝"/>
                <w:kern w:val="0"/>
                <w:lang w:val="en-GB" w:eastAsia="en-US" w:bidi="en-US"/>
              </w:rPr>
              <w:t>Section 3</w:t>
            </w:r>
          </w:p>
        </w:tc>
        <w:tc>
          <w:tcPr>
            <w:tcW w:w="180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465" w:type="dxa"/>
            <w:tcBorders/>
          </w:tcPr>
          <w:p>
            <w:pPr>
              <w:pStyle w:val="TTableText"/>
              <w:spacing w:before="0" w:after="120"/>
              <w:jc w:val="left"/>
              <w:rPr>
                <w:lang w:val="en-GB"/>
              </w:rPr>
            </w:pPr>
            <w:r>
              <w:rPr>
                <w:rFonts w:eastAsia="ＭＳ 明朝"/>
                <w:kern w:val="0"/>
                <w:lang w:val="en-GB" w:eastAsia="en-US" w:bidi="en-US"/>
              </w:rPr>
              <w:t>Yes</w:t>
            </w:r>
          </w:p>
        </w:tc>
        <w:tc>
          <w:tcPr>
            <w:tcW w:w="1627" w:type="dxa"/>
            <w:tcBorders/>
          </w:tcPr>
          <w:p>
            <w:pPr>
              <w:pStyle w:val="TTableText"/>
              <w:spacing w:before="0" w:after="120"/>
              <w:jc w:val="left"/>
              <w:rPr>
                <w:lang w:val="en-GB"/>
              </w:rPr>
            </w:pPr>
            <w:r>
              <w:rPr>
                <w:rFonts w:eastAsia="ＭＳ 明朝"/>
                <w:kern w:val="0"/>
                <w:lang w:val="en-GB" w:eastAsia="en-US" w:bidi="en-US"/>
              </w:rPr>
              <w:t>Yes</w:t>
            </w:r>
          </w:p>
        </w:tc>
        <w:tc>
          <w:tcPr>
            <w:tcW w:w="1885" w:type="dxa"/>
            <w:tcBorders/>
          </w:tcPr>
          <w:p>
            <w:pPr>
              <w:pStyle w:val="TTableText"/>
              <w:spacing w:before="0" w:after="120"/>
              <w:jc w:val="left"/>
              <w:rPr>
                <w:lang w:val="en-GB"/>
              </w:rPr>
            </w:pPr>
            <w:r>
              <w:rPr>
                <w:rFonts w:eastAsia="ＭＳ 明朝"/>
                <w:kern w:val="0"/>
                <w:lang w:val="en-GB" w:eastAsia="en-US" w:bidi="en-US"/>
              </w:rPr>
              <w:t>Yes</w:t>
            </w:r>
          </w:p>
        </w:tc>
      </w:tr>
      <w:tr>
        <w:trPr>
          <w:trHeight w:val="247" w:hRule="atLeast"/>
        </w:trPr>
        <w:tc>
          <w:tcPr>
            <w:tcW w:w="1580" w:type="dxa"/>
            <w:tcBorders/>
          </w:tcPr>
          <w:p>
            <w:pPr>
              <w:pStyle w:val="TTableText"/>
              <w:spacing w:before="0" w:after="120"/>
              <w:jc w:val="left"/>
              <w:rPr>
                <w:lang w:val="en-GB"/>
              </w:rPr>
            </w:pPr>
            <w:r>
              <w:rPr>
                <w:rFonts w:eastAsia="ＭＳ 明朝"/>
                <w:kern w:val="0"/>
                <w:lang w:val="en-GB" w:eastAsia="en-US" w:bidi="en-US"/>
              </w:rPr>
              <w:t>Section 4</w:t>
            </w:r>
          </w:p>
        </w:tc>
        <w:tc>
          <w:tcPr>
            <w:tcW w:w="180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465" w:type="dxa"/>
            <w:tcBorders/>
          </w:tcPr>
          <w:p>
            <w:pPr>
              <w:pStyle w:val="TTableText"/>
              <w:spacing w:before="0" w:after="120"/>
              <w:jc w:val="left"/>
              <w:rPr>
                <w:lang w:val="en-GB"/>
              </w:rPr>
            </w:pPr>
            <w:r>
              <w:rPr>
                <w:rFonts w:eastAsia="ＭＳ 明朝"/>
                <w:kern w:val="0"/>
                <w:lang w:val="en-GB" w:eastAsia="en-US" w:bidi="en-US"/>
              </w:rPr>
              <w:t>Yes</w:t>
            </w:r>
          </w:p>
        </w:tc>
        <w:tc>
          <w:tcPr>
            <w:tcW w:w="1627" w:type="dxa"/>
            <w:tcBorders/>
          </w:tcPr>
          <w:p>
            <w:pPr>
              <w:pStyle w:val="TTableText"/>
              <w:spacing w:before="0" w:after="120"/>
              <w:jc w:val="left"/>
              <w:rPr>
                <w:lang w:val="en-GB"/>
              </w:rPr>
            </w:pPr>
            <w:r>
              <w:rPr>
                <w:rFonts w:eastAsia="ＭＳ 明朝"/>
                <w:kern w:val="0"/>
                <w:lang w:val="en-GB" w:eastAsia="en-US" w:bidi="en-US"/>
              </w:rPr>
              <w:t>Yes</w:t>
            </w:r>
          </w:p>
        </w:tc>
        <w:tc>
          <w:tcPr>
            <w:tcW w:w="1885" w:type="dxa"/>
            <w:tcBorders/>
          </w:tcPr>
          <w:p>
            <w:pPr>
              <w:pStyle w:val="TTableText"/>
              <w:spacing w:before="0" w:after="120"/>
              <w:jc w:val="left"/>
              <w:rPr>
                <w:lang w:val="en-GB"/>
              </w:rPr>
            </w:pPr>
            <w:r>
              <w:rPr>
                <w:rFonts w:eastAsia="ＭＳ 明朝"/>
                <w:kern w:val="0"/>
                <w:lang w:val="en-GB" w:eastAsia="en-US" w:bidi="en-US"/>
              </w:rPr>
              <w:t>Yes</w:t>
            </w:r>
          </w:p>
        </w:tc>
      </w:tr>
      <w:tr>
        <w:trPr>
          <w:trHeight w:val="247" w:hRule="atLeast"/>
        </w:trPr>
        <w:tc>
          <w:tcPr>
            <w:tcW w:w="1580" w:type="dxa"/>
            <w:tcBorders/>
          </w:tcPr>
          <w:p>
            <w:pPr>
              <w:pStyle w:val="TTableText"/>
              <w:spacing w:before="0" w:after="120"/>
              <w:jc w:val="left"/>
              <w:rPr>
                <w:lang w:val="en-GB"/>
              </w:rPr>
            </w:pPr>
            <w:r>
              <w:rPr>
                <w:rFonts w:eastAsia="ＭＳ 明朝"/>
                <w:kern w:val="0"/>
                <w:lang w:val="en-GB" w:eastAsia="en-US" w:bidi="en-US"/>
              </w:rPr>
              <w:t>Section 5</w:t>
            </w:r>
          </w:p>
        </w:tc>
        <w:tc>
          <w:tcPr>
            <w:tcW w:w="180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465" w:type="dxa"/>
            <w:tcBorders/>
          </w:tcPr>
          <w:p>
            <w:pPr>
              <w:pStyle w:val="TTableText"/>
              <w:spacing w:before="0" w:after="120"/>
              <w:jc w:val="left"/>
              <w:rPr>
                <w:lang w:val="en-GB"/>
              </w:rPr>
            </w:pPr>
            <w:r>
              <w:rPr>
                <w:rFonts w:eastAsia="ＭＳ 明朝"/>
                <w:kern w:val="0"/>
                <w:lang w:val="en-GB" w:eastAsia="en-US" w:bidi="en-US"/>
              </w:rPr>
              <w:t>Yes</w:t>
            </w:r>
          </w:p>
        </w:tc>
        <w:tc>
          <w:tcPr>
            <w:tcW w:w="1627" w:type="dxa"/>
            <w:tcBorders/>
          </w:tcPr>
          <w:p>
            <w:pPr>
              <w:pStyle w:val="TTableText"/>
              <w:spacing w:before="0" w:after="120"/>
              <w:jc w:val="left"/>
              <w:rPr>
                <w:lang w:val="en-GB"/>
              </w:rPr>
            </w:pPr>
            <w:r>
              <w:rPr>
                <w:rFonts w:eastAsia="ＭＳ 明朝"/>
                <w:kern w:val="0"/>
                <w:lang w:val="en-GB" w:eastAsia="en-US" w:bidi="en-US"/>
              </w:rPr>
              <w:t>Yes</w:t>
            </w:r>
          </w:p>
        </w:tc>
        <w:tc>
          <w:tcPr>
            <w:tcW w:w="1885" w:type="dxa"/>
            <w:tcBorders/>
          </w:tcPr>
          <w:p>
            <w:pPr>
              <w:pStyle w:val="TTableText"/>
              <w:spacing w:before="0" w:after="120"/>
              <w:jc w:val="left"/>
              <w:rPr>
                <w:lang w:val="en-GB"/>
              </w:rPr>
            </w:pPr>
            <w:r>
              <w:rPr>
                <w:rFonts w:eastAsia="ＭＳ 明朝"/>
                <w:kern w:val="0"/>
                <w:lang w:val="en-GB" w:eastAsia="en-US" w:bidi="en-US"/>
              </w:rPr>
              <w:t>Yes</w:t>
            </w:r>
          </w:p>
        </w:tc>
      </w:tr>
      <w:tr>
        <w:trPr>
          <w:trHeight w:val="247" w:hRule="atLeast"/>
        </w:trPr>
        <w:tc>
          <w:tcPr>
            <w:tcW w:w="1580" w:type="dxa"/>
            <w:tcBorders/>
          </w:tcPr>
          <w:p>
            <w:pPr>
              <w:pStyle w:val="TTableText"/>
              <w:spacing w:before="0" w:after="120"/>
              <w:jc w:val="left"/>
              <w:rPr>
                <w:lang w:val="en-GB"/>
              </w:rPr>
            </w:pPr>
            <w:r>
              <w:rPr>
                <w:rFonts w:eastAsia="ＭＳ 明朝"/>
                <w:kern w:val="0"/>
                <w:lang w:val="en-GB" w:eastAsia="en-US" w:bidi="en-US"/>
              </w:rPr>
              <w:t>Section 6</w:t>
            </w:r>
          </w:p>
        </w:tc>
        <w:tc>
          <w:tcPr>
            <w:tcW w:w="180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465" w:type="dxa"/>
            <w:tcBorders/>
          </w:tcPr>
          <w:p>
            <w:pPr>
              <w:pStyle w:val="TTableText"/>
              <w:spacing w:before="0" w:after="120"/>
              <w:jc w:val="left"/>
              <w:rPr>
                <w:lang w:val="en-GB"/>
              </w:rPr>
            </w:pPr>
            <w:r>
              <w:rPr>
                <w:rFonts w:eastAsia="ＭＳ 明朝"/>
                <w:kern w:val="0"/>
                <w:lang w:val="en-GB" w:eastAsia="en-US" w:bidi="en-US"/>
              </w:rPr>
              <w:t>Yes</w:t>
            </w:r>
          </w:p>
        </w:tc>
        <w:tc>
          <w:tcPr>
            <w:tcW w:w="1627" w:type="dxa"/>
            <w:tcBorders/>
          </w:tcPr>
          <w:p>
            <w:pPr>
              <w:pStyle w:val="TTableText"/>
              <w:spacing w:before="0" w:after="120"/>
              <w:jc w:val="left"/>
              <w:rPr>
                <w:lang w:val="en-GB"/>
              </w:rPr>
            </w:pPr>
            <w:r>
              <w:rPr>
                <w:rFonts w:eastAsia="ＭＳ 明朝"/>
                <w:kern w:val="0"/>
                <w:lang w:val="en-GB" w:eastAsia="en-US" w:bidi="en-US"/>
              </w:rPr>
              <w:t>Yes</w:t>
            </w:r>
          </w:p>
        </w:tc>
        <w:tc>
          <w:tcPr>
            <w:tcW w:w="1885" w:type="dxa"/>
            <w:tcBorders/>
          </w:tcPr>
          <w:p>
            <w:pPr>
              <w:pStyle w:val="TTableText"/>
              <w:spacing w:before="0" w:after="120"/>
              <w:jc w:val="left"/>
              <w:rPr>
                <w:lang w:val="en-GB"/>
              </w:rPr>
            </w:pPr>
            <w:r>
              <w:rPr>
                <w:rFonts w:eastAsia="ＭＳ 明朝"/>
                <w:kern w:val="0"/>
                <w:lang w:val="en-GB" w:eastAsia="en-US" w:bidi="en-US"/>
              </w:rPr>
              <w:t>Yes</w:t>
            </w:r>
          </w:p>
        </w:tc>
      </w:tr>
      <w:tr>
        <w:trPr>
          <w:trHeight w:val="247" w:hRule="atLeast"/>
        </w:trPr>
        <w:tc>
          <w:tcPr>
            <w:tcW w:w="1580" w:type="dxa"/>
            <w:tcBorders/>
          </w:tcPr>
          <w:p>
            <w:pPr>
              <w:pStyle w:val="TTableText"/>
              <w:spacing w:before="0" w:after="120"/>
              <w:jc w:val="left"/>
              <w:rPr>
                <w:lang w:val="en-GB"/>
              </w:rPr>
            </w:pPr>
            <w:r>
              <w:rPr>
                <w:rFonts w:eastAsia="ＭＳ 明朝"/>
                <w:kern w:val="0"/>
                <w:lang w:val="en-GB" w:eastAsia="en-US" w:bidi="en-US"/>
              </w:rPr>
              <w:t>Section 7</w:t>
            </w:r>
          </w:p>
        </w:tc>
        <w:tc>
          <w:tcPr>
            <w:tcW w:w="180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465" w:type="dxa"/>
            <w:tcBorders/>
          </w:tcPr>
          <w:p>
            <w:pPr>
              <w:pStyle w:val="TTableText"/>
              <w:spacing w:before="0" w:after="120"/>
              <w:jc w:val="left"/>
              <w:rPr>
                <w:lang w:val="en-GB"/>
              </w:rPr>
            </w:pPr>
            <w:r>
              <w:rPr>
                <w:rFonts w:eastAsia="ＭＳ 明朝"/>
                <w:kern w:val="0"/>
                <w:lang w:val="en-GB" w:eastAsia="en-US" w:bidi="en-US"/>
              </w:rPr>
              <w:t>Yes</w:t>
            </w:r>
          </w:p>
        </w:tc>
        <w:tc>
          <w:tcPr>
            <w:tcW w:w="1627" w:type="dxa"/>
            <w:tcBorders/>
          </w:tcPr>
          <w:p>
            <w:pPr>
              <w:pStyle w:val="TTableText"/>
              <w:spacing w:before="0" w:after="120"/>
              <w:jc w:val="left"/>
              <w:rPr>
                <w:lang w:val="en-GB"/>
              </w:rPr>
            </w:pPr>
            <w:r>
              <w:rPr>
                <w:rFonts w:eastAsia="ＭＳ 明朝"/>
                <w:kern w:val="0"/>
                <w:lang w:val="en-GB" w:eastAsia="en-US" w:bidi="en-US"/>
              </w:rPr>
              <w:t>Yes</w:t>
            </w:r>
          </w:p>
        </w:tc>
        <w:tc>
          <w:tcPr>
            <w:tcW w:w="1885" w:type="dxa"/>
            <w:tcBorders/>
          </w:tcPr>
          <w:p>
            <w:pPr>
              <w:pStyle w:val="TTableText"/>
              <w:spacing w:before="0" w:after="120"/>
              <w:jc w:val="left"/>
              <w:rPr>
                <w:lang w:val="en-GB"/>
              </w:rPr>
            </w:pPr>
            <w:r>
              <w:rPr>
                <w:rFonts w:eastAsia="ＭＳ 明朝"/>
                <w:kern w:val="0"/>
                <w:lang w:val="en-GB" w:eastAsia="en-US" w:bidi="en-US"/>
              </w:rPr>
              <w:t>Yes</w:t>
            </w:r>
          </w:p>
        </w:tc>
      </w:tr>
    </w:tbl>
    <w:p>
      <w:pPr>
        <w:pStyle w:val="HSubheading3"/>
        <w:spacing w:before="180" w:after="240"/>
        <w:contextualSpacing/>
        <w:rPr/>
      </w:pPr>
      <w:bookmarkStart w:id="82" w:name="_Toc93480527"/>
      <w:r>
        <w:rPr/>
        <w:t>Subject matter and legislative competence of devolved legislatures</w:t>
      </w:r>
      <w:bookmarkEnd w:id="80"/>
      <w:bookmarkEnd w:id="81"/>
      <w:bookmarkEnd w:id="82"/>
    </w:p>
    <w:p>
      <w:pPr>
        <w:pStyle w:val="ParaNumbered"/>
        <w:numPr>
          <w:ilvl w:val="0"/>
          <w:numId w:val="5"/>
        </w:numPr>
        <w:rPr>
          <w:lang w:val="en-GB"/>
        </w:rPr>
      </w:pPr>
      <w:r>
        <w:rPr>
          <w:lang w:val="en-GB"/>
        </w:rPr>
        <w:t>There is no matter in the Act that is within the legislative competence of the devolved legislatures.</w:t>
      </w:r>
      <w:r>
        <w:br w:type="page"/>
      </w:r>
    </w:p>
    <w:p>
      <w:pPr>
        <w:pStyle w:val="Heading1"/>
        <w:spacing w:before="0" w:after="0"/>
        <w:contextualSpacing/>
        <w:rPr/>
      </w:pPr>
      <w:bookmarkStart w:id="83" w:name="_Toc93480528"/>
      <w:bookmarkStart w:id="84" w:name="_Toc437970420"/>
      <w:bookmarkStart w:id="85" w:name="_Toc418587944"/>
      <w:r>
        <w:rPr/>
        <w:t>Annex B – Hansard References</w:t>
      </w:r>
      <w:bookmarkEnd w:id="83"/>
      <w:bookmarkEnd w:id="84"/>
      <w:bookmarkEnd w:id="85"/>
    </w:p>
    <w:p>
      <w:pPr>
        <w:pStyle w:val="ParaNumbered"/>
        <w:numPr>
          <w:ilvl w:val="0"/>
          <w:numId w:val="5"/>
        </w:numPr>
        <w:rPr/>
      </w:pPr>
      <w:r>
        <w:rPr/>
        <w:t xml:space="preserve">The following table sets out the dates and Hansard references for each stage of the Act's passage through Parliament. </w:t>
      </w:r>
    </w:p>
    <w:tbl>
      <w:tblPr>
        <w:tblStyle w:val="ENGeneralTable1"/>
        <w:tblW w:w="906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467"/>
        <w:gridCol w:w="2085"/>
        <w:gridCol w:w="4509"/>
      </w:tblGrid>
      <w:tr>
        <w:trPr>
          <w:tblHeader w:val="true"/>
          <w:cnfStyle w:val="100000000000" w:firstRow="1" w:lastRow="0" w:firstColumn="0" w:lastColumn="0" w:oddVBand="0" w:evenVBand="0" w:oddHBand="0" w:evenHBand="0" w:firstRowFirstColumn="0" w:firstRowLastColumn="0" w:lastRowFirstColumn="0" w:lastRowLastColumn="0"/>
        </w:trPr>
        <w:tc>
          <w:tcPr>
            <w:tcW w:w="2467" w:type="dxa"/>
            <w:tcBorders/>
          </w:tcPr>
          <w:p>
            <w:pPr>
              <w:pStyle w:val="Normal"/>
              <w:widowControl/>
              <w:spacing w:lineRule="atLeast" w:line="240" w:before="0" w:after="120"/>
              <w:jc w:val="left"/>
              <w:rPr>
                <w:rFonts w:cs="PalatinoLinotype-Bold"/>
                <w:bCs/>
                <w:szCs w:val="20"/>
                <w:lang w:val="en-US"/>
              </w:rPr>
            </w:pPr>
            <w:r>
              <w:rPr>
                <w:rFonts w:eastAsia="MS Mincho" w:cs="PalatinoLinotype-Bold" w:ascii="Arial" w:hAnsi="Arial"/>
                <w:b/>
                <w:bCs/>
                <w:kern w:val="0"/>
                <w:sz w:val="16"/>
                <w:szCs w:val="20"/>
                <w:lang w:eastAsia="en-US" w:bidi="en-US"/>
              </w:rPr>
              <w:t>Stage</w:t>
            </w:r>
          </w:p>
        </w:tc>
        <w:tc>
          <w:tcPr>
            <w:tcW w:w="2085" w:type="dxa"/>
            <w:tcBorders/>
          </w:tcPr>
          <w:p>
            <w:pPr>
              <w:pStyle w:val="Normal"/>
              <w:widowControl/>
              <w:spacing w:lineRule="atLeast" w:line="240" w:before="0" w:after="120"/>
              <w:jc w:val="left"/>
              <w:rPr>
                <w:rFonts w:cs="PalatinoLinotype-Bold"/>
                <w:bCs/>
                <w:szCs w:val="20"/>
              </w:rPr>
            </w:pPr>
            <w:r>
              <w:rPr>
                <w:rFonts w:eastAsia="MS Mincho" w:cs="PalatinoLinotype-Bold" w:ascii="Arial" w:hAnsi="Arial"/>
                <w:b/>
                <w:bCs/>
                <w:kern w:val="0"/>
                <w:sz w:val="16"/>
                <w:szCs w:val="20"/>
                <w:lang w:eastAsia="en-US" w:bidi="en-US"/>
              </w:rPr>
              <w:t>Date</w:t>
            </w:r>
          </w:p>
        </w:tc>
        <w:tc>
          <w:tcPr>
            <w:tcW w:w="4509" w:type="dxa"/>
            <w:tcBorders/>
          </w:tcPr>
          <w:p>
            <w:pPr>
              <w:pStyle w:val="Normal"/>
              <w:widowControl/>
              <w:spacing w:lineRule="atLeast" w:line="240" w:before="0" w:after="120"/>
              <w:jc w:val="left"/>
              <w:rPr>
                <w:rFonts w:cs="PalatinoLinotype-Bold"/>
                <w:bCs/>
                <w:szCs w:val="20"/>
              </w:rPr>
            </w:pPr>
            <w:r>
              <w:rPr>
                <w:rFonts w:eastAsia="MS Mincho" w:cs="PalatinoLinotype-Bold" w:ascii="Arial" w:hAnsi="Arial"/>
                <w:b/>
                <w:bCs/>
                <w:kern w:val="0"/>
                <w:sz w:val="16"/>
                <w:szCs w:val="20"/>
                <w:lang w:eastAsia="en-US" w:bidi="en-US"/>
              </w:rPr>
              <w:t>Hansard Reference</w:t>
            </w:r>
          </w:p>
        </w:tc>
      </w:tr>
      <w:tr>
        <w:trPr/>
        <w:tc>
          <w:tcPr>
            <w:tcW w:w="9061" w:type="dxa"/>
            <w:gridSpan w:val="3"/>
            <w:tcBorders/>
          </w:tcPr>
          <w:p>
            <w:pPr>
              <w:pStyle w:val="Normal"/>
              <w:widowControl/>
              <w:spacing w:lineRule="atLeast" w:line="240" w:before="0" w:after="120"/>
              <w:jc w:val="left"/>
              <w:rPr>
                <w:rFonts w:cs="HelveticaNeue"/>
                <w:i/>
                <w:i/>
                <w:szCs w:val="20"/>
                <w:lang w:val="en-US"/>
              </w:rPr>
            </w:pPr>
            <w:r>
              <w:rPr>
                <w:rFonts w:eastAsia="MS Mincho" w:cs="HelveticaNeue" w:ascii="Arial" w:hAnsi="Arial"/>
                <w:i/>
                <w:kern w:val="0"/>
                <w:sz w:val="16"/>
                <w:szCs w:val="20"/>
                <w:lang w:eastAsia="en-US" w:bidi="en-US"/>
              </w:rPr>
              <w:t>House of Commons</w:t>
            </w:r>
          </w:p>
        </w:tc>
      </w:tr>
      <w:tr>
        <w:trPr/>
        <w:tc>
          <w:tcPr>
            <w:tcW w:w="2467"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eastAsia="en-US" w:bidi="en-US"/>
              </w:rPr>
              <w:t>Introduction</w:t>
            </w:r>
          </w:p>
        </w:tc>
        <w:tc>
          <w:tcPr>
            <w:tcW w:w="2085" w:type="dxa"/>
            <w:tcBorders/>
          </w:tcPr>
          <w:p>
            <w:pPr>
              <w:pStyle w:val="Normal"/>
              <w:widowControl/>
              <w:spacing w:lineRule="atLeast" w:line="240" w:before="0" w:after="120"/>
              <w:jc w:val="left"/>
              <w:rPr>
                <w:rFonts w:cs="HelveticaNeue"/>
                <w:szCs w:val="20"/>
              </w:rPr>
            </w:pPr>
            <w:r>
              <w:rPr>
                <w:rFonts w:eastAsia="MS Mincho" w:cs="HelveticaNeue" w:ascii="Arial" w:hAnsi="Arial"/>
                <w:kern w:val="0"/>
                <w:sz w:val="16"/>
                <w:szCs w:val="20"/>
                <w:lang w:eastAsia="en-US" w:bidi="en-US"/>
              </w:rPr>
              <w:t>08 September 2021</w:t>
            </w:r>
          </w:p>
        </w:tc>
        <w:tc>
          <w:tcPr>
            <w:tcW w:w="4509" w:type="dxa"/>
            <w:tcBorders/>
          </w:tcPr>
          <w:p>
            <w:pPr>
              <w:pStyle w:val="Normal"/>
              <w:widowControl/>
              <w:spacing w:lineRule="atLeast" w:line="240" w:before="0" w:after="120"/>
              <w:jc w:val="left"/>
              <w:rPr>
                <w:rFonts w:cs="HelveticaNeue"/>
                <w:szCs w:val="20"/>
              </w:rPr>
            </w:pPr>
            <w:hyperlink r:id="rId10">
              <w:r>
                <w:rPr>
                  <w:rStyle w:val="Hyperlink"/>
                  <w:rFonts w:eastAsia="MS Mincho" w:cs="HelveticaNeue" w:ascii="Arial" w:hAnsi="Arial"/>
                  <w:kern w:val="0"/>
                  <w:sz w:val="16"/>
                  <w:szCs w:val="20"/>
                  <w:lang w:eastAsia="en-US" w:bidi="en-US"/>
                </w:rPr>
                <w:t>Vol. 700 Col. 323</w:t>
              </w:r>
            </w:hyperlink>
          </w:p>
        </w:tc>
      </w:tr>
      <w:tr>
        <w:trPr/>
        <w:tc>
          <w:tcPr>
            <w:tcW w:w="2467" w:type="dxa"/>
            <w:tcBorders/>
          </w:tcPr>
          <w:p>
            <w:pPr>
              <w:pStyle w:val="Normal"/>
              <w:widowControl/>
              <w:spacing w:lineRule="atLeast" w:line="240" w:before="0" w:after="120"/>
              <w:jc w:val="left"/>
              <w:rPr>
                <w:rFonts w:cs="HelveticaNeue"/>
                <w:szCs w:val="20"/>
              </w:rPr>
            </w:pPr>
            <w:r>
              <w:rPr>
                <w:rFonts w:eastAsia="MS Mincho" w:cs="HelveticaNeue" w:ascii="Arial" w:hAnsi="Arial"/>
                <w:kern w:val="0"/>
                <w:sz w:val="16"/>
                <w:szCs w:val="20"/>
                <w:lang w:eastAsia="en-US" w:bidi="en-US"/>
              </w:rPr>
              <w:t>Second Reading</w:t>
            </w:r>
          </w:p>
        </w:tc>
        <w:tc>
          <w:tcPr>
            <w:tcW w:w="2085" w:type="dxa"/>
            <w:tcBorders/>
          </w:tcPr>
          <w:p>
            <w:pPr>
              <w:pStyle w:val="Normal"/>
              <w:widowControl/>
              <w:spacing w:lineRule="atLeast" w:line="240" w:before="0" w:after="120"/>
              <w:jc w:val="left"/>
              <w:rPr>
                <w:rFonts w:cs="HelveticaNeue"/>
                <w:szCs w:val="20"/>
              </w:rPr>
            </w:pPr>
            <w:r>
              <w:rPr>
                <w:rFonts w:eastAsia="MS Mincho" w:cs="HelveticaNeue" w:ascii="Arial" w:hAnsi="Arial"/>
                <w:kern w:val="0"/>
                <w:sz w:val="16"/>
                <w:szCs w:val="20"/>
                <w:lang w:eastAsia="en-US" w:bidi="en-US"/>
              </w:rPr>
              <w:t>14 September 2021</w:t>
            </w:r>
          </w:p>
        </w:tc>
        <w:tc>
          <w:tcPr>
            <w:tcW w:w="4509" w:type="dxa"/>
            <w:tcBorders/>
          </w:tcPr>
          <w:p>
            <w:pPr>
              <w:pStyle w:val="Normal"/>
              <w:widowControl/>
              <w:spacing w:lineRule="atLeast" w:line="240" w:before="0" w:after="120"/>
              <w:jc w:val="left"/>
              <w:rPr>
                <w:rFonts w:cs="HelveticaNeue"/>
                <w:szCs w:val="20"/>
              </w:rPr>
            </w:pPr>
            <w:r>
              <w:fldChar w:fldCharType="begin"/>
            </w:r>
            <w:r>
              <w:rPr>
                <w:rStyle w:val="Hyperlink"/>
                <w:sz w:val="16"/>
                <w:kern w:val="0"/>
                <w:szCs w:val="20"/>
                <w:rFonts w:eastAsia="MS Mincho" w:cs="HelveticaNeue" w:ascii="Arial" w:hAnsi="Arial"/>
                <w:lang w:eastAsia="en-US" w:bidi="en-US"/>
              </w:rPr>
              <w:instrText xml:space="preserve"> HYPERLINK "https://hansard.parliament.uk/commons/2021-09-14/debates/AFE1AEDC-E1B4-4287-9AF2-BEBCA0F7BF91/HealthAndSocialCareLevyBill" \l "840"</w:instrText>
            </w:r>
            <w:r>
              <w:rPr>
                <w:rStyle w:val="Hyperlink"/>
                <w:sz w:val="16"/>
                <w:kern w:val="0"/>
                <w:szCs w:val="20"/>
                <w:rFonts w:eastAsia="MS Mincho" w:cs="HelveticaNeue" w:ascii="Arial" w:hAnsi="Arial"/>
                <w:lang w:eastAsia="en-US" w:bidi="en-US"/>
              </w:rPr>
              <w:fldChar w:fldCharType="separate"/>
            </w:r>
            <w:r>
              <w:rPr>
                <w:rStyle w:val="Hyperlink"/>
                <w:rFonts w:eastAsia="MS Mincho" w:cs="HelveticaNeue" w:ascii="Arial" w:hAnsi="Arial"/>
                <w:kern w:val="0"/>
                <w:sz w:val="16"/>
                <w:szCs w:val="20"/>
                <w:lang w:eastAsia="en-US" w:bidi="en-US"/>
              </w:rPr>
              <w:t>Vol. 700 Col. 840</w:t>
            </w:r>
            <w:r>
              <w:rPr>
                <w:rStyle w:val="Hyperlink"/>
                <w:sz w:val="16"/>
                <w:kern w:val="0"/>
                <w:szCs w:val="20"/>
                <w:rFonts w:eastAsia="MS Mincho" w:cs="HelveticaNeue" w:ascii="Arial" w:hAnsi="Arial"/>
                <w:lang w:eastAsia="en-US" w:bidi="en-US"/>
              </w:rPr>
              <w:fldChar w:fldCharType="end"/>
            </w:r>
          </w:p>
        </w:tc>
      </w:tr>
      <w:tr>
        <w:trPr/>
        <w:tc>
          <w:tcPr>
            <w:tcW w:w="2467" w:type="dxa"/>
            <w:tcBorders/>
          </w:tcPr>
          <w:p>
            <w:pPr>
              <w:pStyle w:val="Normal"/>
              <w:widowControl/>
              <w:spacing w:lineRule="atLeast" w:line="240" w:before="0" w:after="120"/>
              <w:jc w:val="left"/>
              <w:rPr>
                <w:rFonts w:cs="HelveticaNeue"/>
                <w:szCs w:val="20"/>
              </w:rPr>
            </w:pPr>
            <w:r>
              <w:rPr>
                <w:rFonts w:eastAsia="MS Mincho" w:cs="HelveticaNeue" w:ascii="Arial" w:hAnsi="Arial"/>
                <w:kern w:val="0"/>
                <w:sz w:val="16"/>
                <w:szCs w:val="20"/>
                <w:lang w:eastAsia="en-US" w:bidi="en-US"/>
              </w:rPr>
              <w:t>Public Bill Committee</w:t>
            </w:r>
          </w:p>
        </w:tc>
        <w:tc>
          <w:tcPr>
            <w:tcW w:w="2085" w:type="dxa"/>
            <w:tcBorders/>
          </w:tcPr>
          <w:p>
            <w:pPr>
              <w:pStyle w:val="Normal"/>
              <w:widowControl/>
              <w:spacing w:lineRule="atLeast" w:line="240" w:before="0" w:after="120"/>
              <w:jc w:val="left"/>
              <w:rPr>
                <w:rFonts w:cs="HelveticaNeue"/>
                <w:szCs w:val="20"/>
              </w:rPr>
            </w:pPr>
            <w:r>
              <w:rPr>
                <w:rFonts w:eastAsia="MS Mincho" w:cs="HelveticaNeue" w:ascii="Arial" w:hAnsi="Arial"/>
                <w:kern w:val="0"/>
                <w:sz w:val="16"/>
                <w:szCs w:val="20"/>
                <w:lang w:eastAsia="en-US" w:bidi="en-US"/>
              </w:rPr>
              <w:t>14 September 2021</w:t>
            </w:r>
          </w:p>
        </w:tc>
        <w:tc>
          <w:tcPr>
            <w:tcW w:w="4509" w:type="dxa"/>
            <w:tcBorders/>
          </w:tcPr>
          <w:p>
            <w:pPr>
              <w:pStyle w:val="Normal"/>
              <w:widowControl/>
              <w:spacing w:lineRule="atLeast" w:line="240" w:before="0" w:after="120"/>
              <w:jc w:val="left"/>
              <w:rPr>
                <w:rFonts w:cs="HelveticaNeue"/>
                <w:szCs w:val="20"/>
              </w:rPr>
            </w:pPr>
            <w:r>
              <w:fldChar w:fldCharType="begin"/>
            </w:r>
            <w:r>
              <w:rPr>
                <w:rStyle w:val="Hyperlink"/>
                <w:sz w:val="16"/>
                <w:kern w:val="0"/>
                <w:szCs w:val="20"/>
                <w:rFonts w:eastAsia="MS Mincho" w:cs="HelveticaNeue" w:ascii="Arial" w:hAnsi="Arial"/>
                <w:lang w:eastAsia="en-US" w:bidi="en-US"/>
              </w:rPr>
              <w:instrText xml:space="preserve"> HYPERLINK "https://hansard.parliament.uk/commons/2021-09-14/debates/379AC113-D248-4B5D-B50B-C6839E4257AE/HealthAndSocialCareLevyBill" \l "896"</w:instrText>
            </w:r>
            <w:r>
              <w:rPr>
                <w:rStyle w:val="Hyperlink"/>
                <w:sz w:val="16"/>
                <w:kern w:val="0"/>
                <w:szCs w:val="20"/>
                <w:rFonts w:eastAsia="MS Mincho" w:cs="HelveticaNeue" w:ascii="Arial" w:hAnsi="Arial"/>
                <w:lang w:eastAsia="en-US" w:bidi="en-US"/>
              </w:rPr>
              <w:fldChar w:fldCharType="separate"/>
            </w:r>
            <w:r>
              <w:rPr>
                <w:rStyle w:val="Hyperlink"/>
                <w:rFonts w:eastAsia="MS Mincho" w:cs="HelveticaNeue" w:ascii="Arial" w:hAnsi="Arial"/>
                <w:kern w:val="0"/>
                <w:sz w:val="16"/>
                <w:szCs w:val="20"/>
                <w:lang w:eastAsia="en-US" w:bidi="en-US"/>
              </w:rPr>
              <w:t>Vol. 700 Col. 896</w:t>
            </w:r>
            <w:r>
              <w:rPr>
                <w:rStyle w:val="Hyperlink"/>
                <w:sz w:val="16"/>
                <w:kern w:val="0"/>
                <w:szCs w:val="20"/>
                <w:rFonts w:eastAsia="MS Mincho" w:cs="HelveticaNeue" w:ascii="Arial" w:hAnsi="Arial"/>
                <w:lang w:eastAsia="en-US" w:bidi="en-US"/>
              </w:rPr>
              <w:fldChar w:fldCharType="end"/>
            </w:r>
          </w:p>
        </w:tc>
      </w:tr>
      <w:tr>
        <w:trPr/>
        <w:tc>
          <w:tcPr>
            <w:tcW w:w="2467" w:type="dxa"/>
            <w:tcBorders/>
          </w:tcPr>
          <w:p>
            <w:pPr>
              <w:pStyle w:val="Normal"/>
              <w:widowControl/>
              <w:spacing w:lineRule="atLeast" w:line="240" w:before="0" w:after="120"/>
              <w:jc w:val="left"/>
              <w:rPr>
                <w:rFonts w:cs="HelveticaNeue"/>
                <w:szCs w:val="20"/>
              </w:rPr>
            </w:pPr>
            <w:r>
              <w:rPr>
                <w:rFonts w:eastAsia="MS Mincho" w:cs="HelveticaNeue" w:ascii="Arial" w:hAnsi="Arial"/>
                <w:kern w:val="0"/>
                <w:sz w:val="16"/>
                <w:szCs w:val="20"/>
                <w:lang w:eastAsia="en-US" w:bidi="en-US"/>
              </w:rPr>
              <w:t>Report and Third Reading</w:t>
            </w:r>
          </w:p>
        </w:tc>
        <w:tc>
          <w:tcPr>
            <w:tcW w:w="2085" w:type="dxa"/>
            <w:tcBorders/>
          </w:tcPr>
          <w:p>
            <w:pPr>
              <w:pStyle w:val="Normal"/>
              <w:widowControl/>
              <w:spacing w:lineRule="atLeast" w:line="240" w:before="0" w:after="120"/>
              <w:jc w:val="left"/>
              <w:rPr>
                <w:rFonts w:cs="HelveticaNeue"/>
                <w:szCs w:val="20"/>
              </w:rPr>
            </w:pPr>
            <w:r>
              <w:rPr>
                <w:rFonts w:eastAsia="MS Mincho" w:cs="HelveticaNeue" w:ascii="Arial" w:hAnsi="Arial"/>
                <w:kern w:val="0"/>
                <w:sz w:val="16"/>
                <w:szCs w:val="20"/>
                <w:lang w:eastAsia="en-US" w:bidi="en-US"/>
              </w:rPr>
              <w:t>14 September 2021</w:t>
            </w:r>
          </w:p>
        </w:tc>
        <w:tc>
          <w:tcPr>
            <w:tcW w:w="4509" w:type="dxa"/>
            <w:tcBorders/>
          </w:tcPr>
          <w:p>
            <w:pPr>
              <w:pStyle w:val="Normal"/>
              <w:widowControl/>
              <w:spacing w:lineRule="atLeast" w:line="240" w:before="0" w:after="120"/>
              <w:jc w:val="left"/>
              <w:rPr>
                <w:rFonts w:cs="HelveticaNeue"/>
                <w:szCs w:val="20"/>
              </w:rPr>
            </w:pPr>
            <w:r>
              <w:fldChar w:fldCharType="begin"/>
            </w:r>
            <w:r>
              <w:rPr>
                <w:rStyle w:val="Hyperlink"/>
                <w:sz w:val="16"/>
                <w:kern w:val="0"/>
                <w:szCs w:val="20"/>
                <w:rFonts w:eastAsia="MS Mincho" w:cs="HelveticaNeue" w:ascii="Arial" w:hAnsi="Arial"/>
                <w:lang w:eastAsia="en-US" w:bidi="en-US"/>
              </w:rPr>
              <w:instrText xml:space="preserve"> HYPERLINK "https://hansard.parliament.uk/commons/2021-09-14/debates/379AC113-D248-4B5D-B50B-C6839E4257AE/HealthAndSocialCareLevyBill" \l "941"</w:instrText>
            </w:r>
            <w:r>
              <w:rPr>
                <w:rStyle w:val="Hyperlink"/>
                <w:sz w:val="16"/>
                <w:kern w:val="0"/>
                <w:szCs w:val="20"/>
                <w:rFonts w:eastAsia="MS Mincho" w:cs="HelveticaNeue" w:ascii="Arial" w:hAnsi="Arial"/>
                <w:lang w:eastAsia="en-US" w:bidi="en-US"/>
              </w:rPr>
              <w:fldChar w:fldCharType="separate"/>
            </w:r>
            <w:r>
              <w:rPr>
                <w:rStyle w:val="Hyperlink"/>
                <w:rFonts w:eastAsia="MS Mincho" w:cs="HelveticaNeue" w:ascii="Arial" w:hAnsi="Arial"/>
                <w:kern w:val="0"/>
                <w:sz w:val="16"/>
                <w:szCs w:val="20"/>
                <w:lang w:eastAsia="en-US" w:bidi="en-US"/>
              </w:rPr>
              <w:t>Vol. 700 Col. 941</w:t>
            </w:r>
            <w:r>
              <w:rPr>
                <w:rStyle w:val="Hyperlink"/>
                <w:sz w:val="16"/>
                <w:kern w:val="0"/>
                <w:szCs w:val="20"/>
                <w:rFonts w:eastAsia="MS Mincho" w:cs="HelveticaNeue" w:ascii="Arial" w:hAnsi="Arial"/>
                <w:lang w:eastAsia="en-US" w:bidi="en-US"/>
              </w:rPr>
              <w:fldChar w:fldCharType="end"/>
            </w:r>
          </w:p>
        </w:tc>
      </w:tr>
      <w:tr>
        <w:trPr/>
        <w:tc>
          <w:tcPr>
            <w:tcW w:w="9061" w:type="dxa"/>
            <w:gridSpan w:val="3"/>
            <w:tcBorders/>
          </w:tcPr>
          <w:p>
            <w:pPr>
              <w:pStyle w:val="Normal"/>
              <w:widowControl/>
              <w:spacing w:lineRule="atLeast" w:line="240" w:before="0" w:after="120"/>
              <w:jc w:val="left"/>
              <w:rPr>
                <w:rFonts w:cs="HelveticaNeue"/>
                <w:i/>
                <w:i/>
                <w:szCs w:val="20"/>
                <w:lang w:val="en-US"/>
              </w:rPr>
            </w:pPr>
            <w:r>
              <w:rPr>
                <w:rFonts w:eastAsia="MS Mincho" w:cs="HelveticaNeue" w:ascii="Arial" w:hAnsi="Arial"/>
                <w:i/>
                <w:kern w:val="0"/>
                <w:sz w:val="16"/>
                <w:szCs w:val="20"/>
                <w:lang w:eastAsia="en-US" w:bidi="en-US"/>
              </w:rPr>
              <w:t>House of Lords</w:t>
            </w:r>
          </w:p>
        </w:tc>
      </w:tr>
      <w:tr>
        <w:trPr/>
        <w:tc>
          <w:tcPr>
            <w:tcW w:w="2467"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eastAsia="en-US" w:bidi="en-US"/>
              </w:rPr>
              <w:t>Introduction</w:t>
            </w:r>
          </w:p>
        </w:tc>
        <w:tc>
          <w:tcPr>
            <w:tcW w:w="2085" w:type="dxa"/>
            <w:tcBorders/>
          </w:tcPr>
          <w:p>
            <w:pPr>
              <w:pStyle w:val="Normal"/>
              <w:widowControl/>
              <w:spacing w:lineRule="atLeast" w:line="240" w:before="0" w:after="120"/>
              <w:jc w:val="left"/>
              <w:rPr>
                <w:rFonts w:cs="HelveticaNeue"/>
                <w:szCs w:val="20"/>
              </w:rPr>
            </w:pPr>
            <w:r>
              <w:rPr>
                <w:rFonts w:eastAsia="MS Mincho" w:cs="HelveticaNeue" w:ascii="Arial" w:hAnsi="Arial"/>
                <w:kern w:val="0"/>
                <w:sz w:val="16"/>
                <w:szCs w:val="20"/>
                <w:lang w:eastAsia="en-US" w:bidi="en-US"/>
              </w:rPr>
              <w:t>15 September 2021</w:t>
            </w:r>
          </w:p>
        </w:tc>
        <w:tc>
          <w:tcPr>
            <w:tcW w:w="4509" w:type="dxa"/>
            <w:tcBorders/>
          </w:tcPr>
          <w:p>
            <w:pPr>
              <w:pStyle w:val="Normal"/>
              <w:widowControl/>
              <w:spacing w:lineRule="atLeast" w:line="240" w:before="0" w:after="120"/>
              <w:jc w:val="left"/>
              <w:rPr>
                <w:rFonts w:cs="HelveticaNeue"/>
                <w:szCs w:val="20"/>
              </w:rPr>
            </w:pPr>
            <w:hyperlink r:id="rId11">
              <w:r>
                <w:rPr>
                  <w:rStyle w:val="Hyperlink"/>
                  <w:rFonts w:eastAsia="MS Mincho" w:cs="HelveticaNeue" w:ascii="Arial" w:hAnsi="Arial"/>
                  <w:kern w:val="0"/>
                  <w:sz w:val="16"/>
                  <w:szCs w:val="20"/>
                  <w:lang w:eastAsia="en-US" w:bidi="en-US"/>
                </w:rPr>
                <w:t>Vol. 814 Col. 1392</w:t>
              </w:r>
            </w:hyperlink>
          </w:p>
        </w:tc>
      </w:tr>
      <w:tr>
        <w:trPr/>
        <w:tc>
          <w:tcPr>
            <w:tcW w:w="2467" w:type="dxa"/>
            <w:tcBorders/>
          </w:tcPr>
          <w:p>
            <w:pPr>
              <w:pStyle w:val="Normal"/>
              <w:widowControl/>
              <w:spacing w:lineRule="atLeast" w:line="240" w:before="0" w:after="120"/>
              <w:jc w:val="left"/>
              <w:rPr>
                <w:rFonts w:cs="HelveticaNeue"/>
                <w:szCs w:val="20"/>
              </w:rPr>
            </w:pPr>
            <w:r>
              <w:rPr>
                <w:rFonts w:eastAsia="MS Mincho" w:cs="HelveticaNeue" w:ascii="Arial" w:hAnsi="Arial"/>
                <w:kern w:val="0"/>
                <w:sz w:val="16"/>
                <w:szCs w:val="20"/>
                <w:lang w:eastAsia="en-US" w:bidi="en-US"/>
              </w:rPr>
              <w:t>Second Reading</w:t>
            </w:r>
          </w:p>
        </w:tc>
        <w:tc>
          <w:tcPr>
            <w:tcW w:w="2085" w:type="dxa"/>
            <w:tcBorders/>
          </w:tcPr>
          <w:p>
            <w:pPr>
              <w:pStyle w:val="Normal"/>
              <w:widowControl/>
              <w:spacing w:lineRule="atLeast" w:line="240" w:before="0" w:after="120"/>
              <w:jc w:val="left"/>
              <w:rPr>
                <w:rFonts w:cs="HelveticaNeue"/>
                <w:szCs w:val="20"/>
              </w:rPr>
            </w:pPr>
            <w:r>
              <w:rPr>
                <w:rFonts w:eastAsia="MS Mincho" w:cs="HelveticaNeue" w:ascii="Arial" w:hAnsi="Arial"/>
                <w:kern w:val="0"/>
                <w:sz w:val="16"/>
                <w:szCs w:val="20"/>
                <w:lang w:eastAsia="en-US" w:bidi="en-US"/>
              </w:rPr>
              <w:t>11 October 2021</w:t>
            </w:r>
          </w:p>
        </w:tc>
        <w:tc>
          <w:tcPr>
            <w:tcW w:w="4509" w:type="dxa"/>
            <w:tcBorders/>
          </w:tcPr>
          <w:p>
            <w:pPr>
              <w:pStyle w:val="Normal"/>
              <w:widowControl/>
              <w:spacing w:lineRule="atLeast" w:line="240" w:before="0" w:after="120"/>
              <w:jc w:val="left"/>
              <w:rPr>
                <w:rFonts w:cs="HelveticaNeue"/>
                <w:szCs w:val="20"/>
              </w:rPr>
            </w:pPr>
            <w:hyperlink r:id="rId12">
              <w:r>
                <w:rPr>
                  <w:rStyle w:val="Hyperlink"/>
                  <w:rFonts w:eastAsia="MS Mincho" w:cs="HelveticaNeue" w:ascii="Arial" w:hAnsi="Arial"/>
                  <w:kern w:val="0"/>
                  <w:sz w:val="16"/>
                  <w:szCs w:val="20"/>
                  <w:lang w:eastAsia="en-US" w:bidi="en-US"/>
                </w:rPr>
                <w:t>Vol. 814 Col. 1657</w:t>
              </w:r>
            </w:hyperlink>
          </w:p>
        </w:tc>
      </w:tr>
      <w:tr>
        <w:trPr/>
        <w:tc>
          <w:tcPr>
            <w:tcW w:w="2467" w:type="dxa"/>
            <w:tcBorders/>
          </w:tcPr>
          <w:p>
            <w:pPr>
              <w:pStyle w:val="Normal"/>
              <w:widowControl/>
              <w:spacing w:lineRule="atLeast" w:line="240" w:before="0" w:after="120"/>
              <w:jc w:val="left"/>
              <w:rPr>
                <w:rFonts w:cs="HelveticaNeue"/>
                <w:szCs w:val="20"/>
              </w:rPr>
            </w:pPr>
            <w:r>
              <w:rPr>
                <w:rFonts w:eastAsia="MS Mincho" w:cs="HelveticaNeue" w:ascii="Arial" w:hAnsi="Arial"/>
                <w:kern w:val="0"/>
                <w:sz w:val="16"/>
                <w:szCs w:val="20"/>
                <w:lang w:eastAsia="en-US" w:bidi="en-US"/>
              </w:rPr>
              <w:t>Order of Commitment discharged</w:t>
            </w:r>
          </w:p>
        </w:tc>
        <w:tc>
          <w:tcPr>
            <w:tcW w:w="2085" w:type="dxa"/>
            <w:tcBorders/>
          </w:tcPr>
          <w:p>
            <w:pPr>
              <w:pStyle w:val="Normal"/>
              <w:widowControl/>
              <w:spacing w:lineRule="atLeast" w:line="240" w:before="0" w:after="120"/>
              <w:jc w:val="left"/>
              <w:rPr>
                <w:rFonts w:cs="HelveticaNeue"/>
                <w:szCs w:val="20"/>
              </w:rPr>
            </w:pPr>
            <w:r>
              <w:rPr>
                <w:rFonts w:eastAsia="MS Mincho" w:cs="HelveticaNeue" w:ascii="Arial" w:hAnsi="Arial"/>
                <w:kern w:val="0"/>
                <w:sz w:val="16"/>
                <w:szCs w:val="20"/>
                <w:lang w:eastAsia="en-US" w:bidi="en-US"/>
              </w:rPr>
              <w:t>11 October 2021</w:t>
            </w:r>
          </w:p>
        </w:tc>
        <w:tc>
          <w:tcPr>
            <w:tcW w:w="4509" w:type="dxa"/>
            <w:tcBorders/>
          </w:tcPr>
          <w:p>
            <w:pPr>
              <w:pStyle w:val="Normal"/>
              <w:widowControl/>
              <w:spacing w:lineRule="atLeast" w:line="240" w:before="0" w:after="120"/>
              <w:jc w:val="left"/>
              <w:rPr>
                <w:rFonts w:cs="HelveticaNeue"/>
                <w:szCs w:val="20"/>
              </w:rPr>
            </w:pPr>
            <w:hyperlink r:id="rId13">
              <w:r>
                <w:rPr>
                  <w:rStyle w:val="Hyperlink"/>
                  <w:rFonts w:eastAsia="MS Mincho" w:cs="HelveticaNeue" w:ascii="Arial" w:hAnsi="Arial"/>
                  <w:kern w:val="0"/>
                  <w:sz w:val="16"/>
                  <w:szCs w:val="20"/>
                  <w:lang w:eastAsia="en-US" w:bidi="en-US"/>
                </w:rPr>
                <w:t>Vol. 814 Col. 1716</w:t>
              </w:r>
            </w:hyperlink>
          </w:p>
        </w:tc>
      </w:tr>
      <w:tr>
        <w:trPr/>
        <w:tc>
          <w:tcPr>
            <w:tcW w:w="2467" w:type="dxa"/>
            <w:tcBorders/>
          </w:tcPr>
          <w:p>
            <w:pPr>
              <w:pStyle w:val="Normal"/>
              <w:widowControl/>
              <w:spacing w:lineRule="atLeast" w:line="240" w:before="0" w:after="120"/>
              <w:jc w:val="left"/>
              <w:rPr>
                <w:rFonts w:cs="HelveticaNeue"/>
                <w:szCs w:val="20"/>
              </w:rPr>
            </w:pPr>
            <w:r>
              <w:rPr>
                <w:rFonts w:eastAsia="MS Mincho" w:cs="HelveticaNeue" w:ascii="Arial" w:hAnsi="Arial"/>
                <w:kern w:val="0"/>
                <w:sz w:val="16"/>
                <w:szCs w:val="20"/>
                <w:lang w:eastAsia="en-US" w:bidi="en-US"/>
              </w:rPr>
              <w:t>Third Reading</w:t>
            </w:r>
          </w:p>
        </w:tc>
        <w:tc>
          <w:tcPr>
            <w:tcW w:w="2085" w:type="dxa"/>
            <w:tcBorders/>
          </w:tcPr>
          <w:p>
            <w:pPr>
              <w:pStyle w:val="Normal"/>
              <w:widowControl/>
              <w:spacing w:lineRule="atLeast" w:line="240" w:before="0" w:after="120"/>
              <w:jc w:val="left"/>
              <w:rPr>
                <w:rFonts w:cs="HelveticaNeue"/>
                <w:szCs w:val="20"/>
              </w:rPr>
            </w:pPr>
            <w:r>
              <w:rPr>
                <w:rFonts w:eastAsia="MS Mincho" w:cs="HelveticaNeue" w:ascii="Arial" w:hAnsi="Arial"/>
                <w:kern w:val="0"/>
                <w:sz w:val="16"/>
                <w:szCs w:val="20"/>
                <w:lang w:eastAsia="en-US" w:bidi="en-US"/>
              </w:rPr>
              <w:t>11 October 2021</w:t>
            </w:r>
          </w:p>
        </w:tc>
        <w:tc>
          <w:tcPr>
            <w:tcW w:w="4509" w:type="dxa"/>
            <w:tcBorders/>
          </w:tcPr>
          <w:p>
            <w:pPr>
              <w:pStyle w:val="Normal"/>
              <w:widowControl/>
              <w:spacing w:lineRule="atLeast" w:line="240" w:before="0" w:after="120"/>
              <w:jc w:val="left"/>
              <w:rPr>
                <w:rFonts w:cs="HelveticaNeue"/>
                <w:szCs w:val="20"/>
              </w:rPr>
            </w:pPr>
            <w:hyperlink r:id="rId14">
              <w:r>
                <w:rPr>
                  <w:rStyle w:val="Hyperlink"/>
                  <w:rFonts w:eastAsia="MS Mincho" w:cs="HelveticaNeue" w:ascii="Arial" w:hAnsi="Arial"/>
                  <w:kern w:val="0"/>
                  <w:sz w:val="16"/>
                  <w:szCs w:val="20"/>
                  <w:lang w:eastAsia="en-US" w:bidi="en-US"/>
                </w:rPr>
                <w:t>Vol. 814 Col. 1716</w:t>
              </w:r>
            </w:hyperlink>
          </w:p>
        </w:tc>
      </w:tr>
      <w:tr>
        <w:trPr/>
        <w:tc>
          <w:tcPr>
            <w:tcW w:w="2467" w:type="dxa"/>
            <w:vMerge w:val="restart"/>
            <w:tcBorders/>
          </w:tcPr>
          <w:p>
            <w:pPr>
              <w:pStyle w:val="Normal"/>
              <w:widowControl/>
              <w:spacing w:lineRule="atLeast" w:line="240" w:before="0" w:after="120"/>
              <w:jc w:val="left"/>
              <w:rPr>
                <w:rFonts w:cs="HelveticaNeue"/>
                <w:szCs w:val="20"/>
              </w:rPr>
            </w:pPr>
            <w:r>
              <w:rPr>
                <w:rFonts w:eastAsia="MS Mincho" w:cs="HelveticaNeue" w:ascii="Arial" w:hAnsi="Arial"/>
                <w:kern w:val="0"/>
                <w:sz w:val="16"/>
                <w:szCs w:val="20"/>
                <w:lang w:eastAsia="en-US" w:bidi="en-US"/>
              </w:rPr>
              <w:t>Royal Assent</w:t>
            </w:r>
          </w:p>
        </w:tc>
        <w:tc>
          <w:tcPr>
            <w:tcW w:w="2085" w:type="dxa"/>
            <w:vMerge w:val="restart"/>
            <w:tcBorders/>
          </w:tcPr>
          <w:p>
            <w:pPr>
              <w:pStyle w:val="Normal"/>
              <w:widowControl/>
              <w:spacing w:lineRule="atLeast" w:line="240" w:before="0" w:after="120"/>
              <w:jc w:val="left"/>
              <w:rPr>
                <w:rFonts w:cs="HelveticaNeue"/>
                <w:szCs w:val="20"/>
              </w:rPr>
            </w:pPr>
            <w:r>
              <w:rPr>
                <w:rFonts w:eastAsia="MS Mincho" w:cs="HelveticaNeue" w:ascii="Arial" w:hAnsi="Arial"/>
                <w:kern w:val="0"/>
                <w:sz w:val="16"/>
                <w:szCs w:val="20"/>
                <w:lang w:eastAsia="en-US" w:bidi="en-US"/>
              </w:rPr>
              <w:t>20 October 2021</w:t>
            </w:r>
          </w:p>
        </w:tc>
        <w:tc>
          <w:tcPr>
            <w:tcW w:w="4509" w:type="dxa"/>
            <w:tcBorders/>
          </w:tcPr>
          <w:p>
            <w:pPr>
              <w:pStyle w:val="Normal"/>
              <w:widowControl/>
              <w:spacing w:lineRule="atLeast" w:line="240" w:before="0" w:after="120"/>
              <w:jc w:val="left"/>
              <w:rPr>
                <w:rFonts w:cs="HelveticaNeue"/>
                <w:szCs w:val="20"/>
              </w:rPr>
            </w:pPr>
            <w:r>
              <w:fldChar w:fldCharType="begin"/>
            </w:r>
            <w:r>
              <w:rPr>
                <w:rStyle w:val="Hyperlink"/>
                <w:sz w:val="16"/>
                <w:kern w:val="0"/>
                <w:szCs w:val="20"/>
                <w:rFonts w:eastAsia="MS Mincho" w:cs="HelveticaNeue" w:ascii="Arial" w:hAnsi="Arial"/>
                <w:lang w:eastAsia="en-US" w:bidi="en-US"/>
              </w:rPr>
              <w:instrText xml:space="preserve"> HYPERLINK "https://hansard.parliament.uk/commons/2021-10-20/debates/FA1CC1FC-DFEC-4FAE-B9BA-4C804267ADAA/EnvironmentBill" \l "800"</w:instrText>
            </w:r>
            <w:r>
              <w:rPr>
                <w:rStyle w:val="Hyperlink"/>
                <w:sz w:val="16"/>
                <w:kern w:val="0"/>
                <w:szCs w:val="20"/>
                <w:rFonts w:eastAsia="MS Mincho" w:cs="HelveticaNeue" w:ascii="Arial" w:hAnsi="Arial"/>
                <w:lang w:eastAsia="en-US" w:bidi="en-US"/>
              </w:rPr>
              <w:fldChar w:fldCharType="separate"/>
            </w:r>
            <w:r>
              <w:rPr>
                <w:rStyle w:val="Hyperlink"/>
                <w:rFonts w:eastAsia="MS Mincho" w:cs="HelveticaNeue" w:ascii="Arial" w:hAnsi="Arial"/>
                <w:kern w:val="0"/>
                <w:sz w:val="16"/>
                <w:szCs w:val="20"/>
                <w:lang w:eastAsia="en-US" w:bidi="en-US"/>
              </w:rPr>
              <w:t>House of Commons Vol. 701 Col. 800</w:t>
            </w:r>
            <w:r>
              <w:rPr>
                <w:rStyle w:val="Hyperlink"/>
                <w:sz w:val="16"/>
                <w:kern w:val="0"/>
                <w:szCs w:val="20"/>
                <w:rFonts w:eastAsia="MS Mincho" w:cs="HelveticaNeue" w:ascii="Arial" w:hAnsi="Arial"/>
                <w:lang w:eastAsia="en-US" w:bidi="en-US"/>
              </w:rPr>
              <w:fldChar w:fldCharType="end"/>
            </w:r>
          </w:p>
        </w:tc>
      </w:tr>
      <w:tr>
        <w:trPr/>
        <w:tc>
          <w:tcPr>
            <w:tcW w:w="2467" w:type="dxa"/>
            <w:vMerge w:val="continue"/>
            <w:tcBorders/>
            <w:vAlign w:val="center"/>
          </w:tcPr>
          <w:p>
            <w:pPr>
              <w:pStyle w:val="Normal"/>
              <w:widowControl/>
              <w:spacing w:lineRule="auto" w:line="240" w:before="0" w:after="0"/>
              <w:jc w:val="left"/>
              <w:rPr>
                <w:rFonts w:cs="HelveticaNeue"/>
                <w:szCs w:val="20"/>
              </w:rPr>
            </w:pPr>
            <w:r>
              <w:rPr>
                <w:rFonts w:eastAsia="MS Mincho" w:cs="HelveticaNeue" w:ascii="Arial" w:hAnsi="Arial"/>
                <w:kern w:val="0"/>
                <w:sz w:val="16"/>
                <w:szCs w:val="20"/>
                <w:lang w:eastAsia="en-US" w:bidi="en-US"/>
              </w:rPr>
            </w:r>
          </w:p>
        </w:tc>
        <w:tc>
          <w:tcPr>
            <w:tcW w:w="2085" w:type="dxa"/>
            <w:vMerge w:val="continue"/>
            <w:tcBorders/>
            <w:vAlign w:val="center"/>
          </w:tcPr>
          <w:p>
            <w:pPr>
              <w:pStyle w:val="Normal"/>
              <w:widowControl/>
              <w:spacing w:lineRule="auto" w:line="240" w:before="0" w:after="0"/>
              <w:jc w:val="left"/>
              <w:rPr>
                <w:rFonts w:cs="HelveticaNeue"/>
                <w:szCs w:val="20"/>
              </w:rPr>
            </w:pPr>
            <w:r>
              <w:rPr>
                <w:rFonts w:eastAsia="MS Mincho" w:cs="HelveticaNeue" w:ascii="Arial" w:hAnsi="Arial"/>
                <w:kern w:val="0"/>
                <w:sz w:val="16"/>
                <w:szCs w:val="20"/>
                <w:lang w:eastAsia="en-US" w:bidi="en-US"/>
              </w:rPr>
            </w:r>
          </w:p>
        </w:tc>
        <w:tc>
          <w:tcPr>
            <w:tcW w:w="4509" w:type="dxa"/>
            <w:tcBorders/>
          </w:tcPr>
          <w:p>
            <w:pPr>
              <w:pStyle w:val="Normal"/>
              <w:widowControl/>
              <w:spacing w:lineRule="atLeast" w:line="240" w:before="0" w:after="120"/>
              <w:jc w:val="left"/>
              <w:rPr>
                <w:rFonts w:cs="HelveticaNeue"/>
                <w:szCs w:val="20"/>
              </w:rPr>
            </w:pPr>
            <w:hyperlink r:id="rId15">
              <w:r>
                <w:rPr>
                  <w:rStyle w:val="Hyperlink"/>
                  <w:rFonts w:eastAsia="MS Mincho" w:cs="HelveticaNeue" w:ascii="Arial" w:hAnsi="Arial"/>
                  <w:kern w:val="0"/>
                  <w:sz w:val="16"/>
                  <w:szCs w:val="20"/>
                  <w:lang w:eastAsia="en-US" w:bidi="en-US"/>
                </w:rPr>
                <w:t>House of Lords Vol. 815 Col. 129</w:t>
              </w:r>
            </w:hyperlink>
          </w:p>
        </w:tc>
      </w:tr>
    </w:tbl>
    <w:p>
      <w:pPr>
        <w:pStyle w:val="Heading1"/>
        <w:spacing w:before="0" w:after="0"/>
        <w:contextualSpacing/>
        <w:rPr/>
      </w:pPr>
      <w:r>
        <w:br w:type="page"/>
      </w:r>
      <w:bookmarkStart w:id="86" w:name="_Toc93480529"/>
      <w:bookmarkStart w:id="87" w:name="_Toc437970421"/>
      <w:bookmarkStart w:id="88" w:name="_Toc418587945"/>
      <w:bookmarkStart w:id="89" w:name="_Toc417648135"/>
      <w:bookmarkStart w:id="90" w:name="_Toc416612150"/>
      <w:r>
        <w:rPr/>
        <w:t xml:space="preserve">Annex </w:t>
      </w:r>
      <w:bookmarkEnd w:id="90"/>
      <w:r>
        <w:rPr/>
        <w:t>C – Progress of Act Table</w:t>
      </w:r>
      <w:bookmarkEnd w:id="86"/>
      <w:bookmarkEnd w:id="87"/>
      <w:bookmarkEnd w:id="88"/>
      <w:bookmarkEnd w:id="89"/>
    </w:p>
    <w:p>
      <w:pPr>
        <w:pStyle w:val="ParaNumbered"/>
        <w:numPr>
          <w:ilvl w:val="0"/>
          <w:numId w:val="5"/>
        </w:numPr>
        <w:rPr/>
      </w:pPr>
      <w:r>
        <w:rPr/>
        <w:t xml:space="preserve">This Annex shows how each section and Schedule of the Act was numbered during the passage of the Bill through Parliament. </w:t>
      </w:r>
    </w:p>
    <w:tbl>
      <w:tblPr>
        <w:tblStyle w:val="ENGeneralTable1"/>
        <w:tblW w:w="906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497"/>
        <w:gridCol w:w="1515"/>
        <w:gridCol w:w="1514"/>
        <w:gridCol w:w="1514"/>
        <w:gridCol w:w="1515"/>
        <w:gridCol w:w="1505"/>
      </w:tblGrid>
      <w:tr>
        <w:trPr>
          <w:tblHeader w:val="true"/>
          <w:cnfStyle w:val="100000000000" w:firstRow="1" w:lastRow="0" w:firstColumn="0" w:lastColumn="0" w:oddVBand="0" w:evenVBand="0" w:oddHBand="0" w:evenHBand="0" w:firstRowFirstColumn="0" w:firstRowLastColumn="0" w:lastRowFirstColumn="0" w:lastRowLastColumn="0"/>
        </w:trPr>
        <w:tc>
          <w:tcPr>
            <w:tcW w:w="1497" w:type="dxa"/>
            <w:tcBorders/>
          </w:tcPr>
          <w:p>
            <w:pPr>
              <w:pStyle w:val="Normal"/>
              <w:widowControl/>
              <w:spacing w:lineRule="atLeast" w:line="240" w:before="0" w:after="120"/>
              <w:jc w:val="left"/>
              <w:rPr>
                <w:rFonts w:cs="PalatinoLinotype-Bold"/>
                <w:bCs/>
                <w:szCs w:val="20"/>
                <w:lang w:val="en-US"/>
              </w:rPr>
            </w:pPr>
            <w:r>
              <w:rPr>
                <w:rFonts w:eastAsia="MS Mincho" w:cs="PalatinoLinotype-Bold" w:ascii="Arial" w:hAnsi="Arial"/>
                <w:b/>
                <w:bCs/>
                <w:kern w:val="0"/>
                <w:sz w:val="16"/>
                <w:szCs w:val="20"/>
                <w:lang w:eastAsia="en-US" w:bidi="en-US"/>
              </w:rPr>
              <w:t>Section of the Act</w:t>
            </w:r>
          </w:p>
        </w:tc>
        <w:tc>
          <w:tcPr>
            <w:tcW w:w="1515" w:type="dxa"/>
            <w:tcBorders/>
          </w:tcPr>
          <w:p>
            <w:pPr>
              <w:pStyle w:val="Normal"/>
              <w:widowControl/>
              <w:spacing w:lineRule="atLeast" w:line="240" w:before="0" w:after="120"/>
              <w:jc w:val="left"/>
              <w:rPr>
                <w:rFonts w:cs="PalatinoLinotype-Bold"/>
                <w:bCs/>
                <w:szCs w:val="20"/>
              </w:rPr>
            </w:pPr>
            <w:r>
              <w:rPr>
                <w:rFonts w:eastAsia="MS Mincho" w:cs="PalatinoLinotype-Bold" w:ascii="Arial" w:hAnsi="Arial"/>
                <w:b/>
                <w:bCs/>
                <w:kern w:val="0"/>
                <w:sz w:val="16"/>
                <w:szCs w:val="20"/>
                <w:lang w:eastAsia="en-US" w:bidi="en-US"/>
              </w:rPr>
              <w:t>Bill as Introduced in the Commons</w:t>
            </w:r>
          </w:p>
        </w:tc>
        <w:tc>
          <w:tcPr>
            <w:tcW w:w="1514" w:type="dxa"/>
            <w:tcBorders/>
          </w:tcPr>
          <w:p>
            <w:pPr>
              <w:pStyle w:val="Normal"/>
              <w:widowControl/>
              <w:spacing w:lineRule="atLeast" w:line="240" w:before="0" w:after="120"/>
              <w:jc w:val="left"/>
              <w:rPr>
                <w:rFonts w:cs="PalatinoLinotype-Bold"/>
                <w:bCs/>
                <w:szCs w:val="20"/>
              </w:rPr>
            </w:pPr>
            <w:r>
              <w:rPr>
                <w:rFonts w:eastAsia="MS Mincho" w:cs="PalatinoLinotype-Bold" w:ascii="Arial" w:hAnsi="Arial"/>
                <w:b/>
                <w:bCs/>
                <w:kern w:val="0"/>
                <w:sz w:val="16"/>
                <w:szCs w:val="20"/>
                <w:lang w:eastAsia="en-US" w:bidi="en-US"/>
              </w:rPr>
              <w:t xml:space="preserve">Bill as amended in Committee in the Commons </w:t>
            </w:r>
          </w:p>
        </w:tc>
        <w:tc>
          <w:tcPr>
            <w:tcW w:w="1514" w:type="dxa"/>
            <w:tcBorders/>
          </w:tcPr>
          <w:p>
            <w:pPr>
              <w:pStyle w:val="Normal"/>
              <w:widowControl/>
              <w:spacing w:lineRule="atLeast" w:line="240" w:before="0" w:after="120"/>
              <w:jc w:val="left"/>
              <w:rPr>
                <w:rFonts w:cs="PalatinoLinotype-Bold"/>
                <w:bCs/>
                <w:szCs w:val="20"/>
              </w:rPr>
            </w:pPr>
            <w:r>
              <w:rPr>
                <w:rFonts w:eastAsia="MS Mincho" w:cs="PalatinoLinotype-Bold" w:ascii="Arial" w:hAnsi="Arial"/>
                <w:b/>
                <w:bCs/>
                <w:kern w:val="0"/>
                <w:sz w:val="16"/>
                <w:szCs w:val="20"/>
                <w:lang w:eastAsia="en-US" w:bidi="en-US"/>
              </w:rPr>
              <w:t>Bill as introduced in the Lords</w:t>
            </w:r>
          </w:p>
        </w:tc>
        <w:tc>
          <w:tcPr>
            <w:tcW w:w="1515" w:type="dxa"/>
            <w:tcBorders/>
          </w:tcPr>
          <w:p>
            <w:pPr>
              <w:pStyle w:val="Normal"/>
              <w:widowControl/>
              <w:spacing w:lineRule="atLeast" w:line="240" w:before="0" w:after="120"/>
              <w:jc w:val="left"/>
              <w:rPr>
                <w:rFonts w:cs="PalatinoLinotype-Bold"/>
                <w:bCs/>
                <w:szCs w:val="20"/>
              </w:rPr>
            </w:pPr>
            <w:r>
              <w:rPr>
                <w:rFonts w:eastAsia="MS Mincho" w:cs="PalatinoLinotype-Bold" w:ascii="Arial" w:hAnsi="Arial"/>
                <w:b/>
                <w:bCs/>
                <w:kern w:val="0"/>
                <w:sz w:val="16"/>
                <w:szCs w:val="20"/>
                <w:lang w:eastAsia="en-US" w:bidi="en-US"/>
              </w:rPr>
              <w:t>Bill as amended in Committee in the Lords</w:t>
            </w:r>
          </w:p>
        </w:tc>
        <w:tc>
          <w:tcPr>
            <w:tcW w:w="1505" w:type="dxa"/>
            <w:tcBorders/>
          </w:tcPr>
          <w:p>
            <w:pPr>
              <w:pStyle w:val="Normal"/>
              <w:widowControl/>
              <w:spacing w:lineRule="atLeast" w:line="240" w:before="0" w:after="120"/>
              <w:jc w:val="left"/>
              <w:rPr>
                <w:rFonts w:cs="PalatinoLinotype-Bold"/>
                <w:bCs/>
                <w:szCs w:val="20"/>
              </w:rPr>
            </w:pPr>
            <w:r>
              <w:rPr>
                <w:rFonts w:eastAsia="MS Mincho" w:cs="PalatinoLinotype-Bold" w:ascii="Arial" w:hAnsi="Arial"/>
                <w:b/>
                <w:bCs/>
                <w:kern w:val="0"/>
                <w:sz w:val="16"/>
                <w:szCs w:val="20"/>
                <w:lang w:eastAsia="en-US" w:bidi="en-US"/>
              </w:rPr>
              <w:t>Bill as amended on Report in the Lords</w:t>
            </w:r>
          </w:p>
        </w:tc>
      </w:tr>
      <w:tr>
        <w:trPr/>
        <w:tc>
          <w:tcPr>
            <w:tcW w:w="1497"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Section 1</w:t>
            </w:r>
          </w:p>
        </w:tc>
        <w:tc>
          <w:tcPr>
            <w:tcW w:w="151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1</w:t>
            </w:r>
          </w:p>
        </w:tc>
        <w:tc>
          <w:tcPr>
            <w:tcW w:w="1514"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1</w:t>
            </w:r>
          </w:p>
        </w:tc>
        <w:tc>
          <w:tcPr>
            <w:tcW w:w="1514"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1</w:t>
            </w:r>
          </w:p>
        </w:tc>
        <w:tc>
          <w:tcPr>
            <w:tcW w:w="151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1</w:t>
            </w:r>
          </w:p>
        </w:tc>
        <w:tc>
          <w:tcPr>
            <w:tcW w:w="150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1</w:t>
            </w:r>
          </w:p>
        </w:tc>
      </w:tr>
      <w:tr>
        <w:trPr/>
        <w:tc>
          <w:tcPr>
            <w:tcW w:w="1497"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Section 2</w:t>
            </w:r>
          </w:p>
        </w:tc>
        <w:tc>
          <w:tcPr>
            <w:tcW w:w="151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2</w:t>
            </w:r>
          </w:p>
        </w:tc>
        <w:tc>
          <w:tcPr>
            <w:tcW w:w="1514"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2</w:t>
            </w:r>
          </w:p>
        </w:tc>
        <w:tc>
          <w:tcPr>
            <w:tcW w:w="1514"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2</w:t>
            </w:r>
          </w:p>
        </w:tc>
        <w:tc>
          <w:tcPr>
            <w:tcW w:w="151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2</w:t>
            </w:r>
          </w:p>
        </w:tc>
        <w:tc>
          <w:tcPr>
            <w:tcW w:w="150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2</w:t>
            </w:r>
          </w:p>
        </w:tc>
      </w:tr>
      <w:tr>
        <w:trPr/>
        <w:tc>
          <w:tcPr>
            <w:tcW w:w="1497"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Section 3</w:t>
            </w:r>
          </w:p>
        </w:tc>
        <w:tc>
          <w:tcPr>
            <w:tcW w:w="151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3</w:t>
            </w:r>
          </w:p>
        </w:tc>
        <w:tc>
          <w:tcPr>
            <w:tcW w:w="1514"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3</w:t>
            </w:r>
          </w:p>
        </w:tc>
        <w:tc>
          <w:tcPr>
            <w:tcW w:w="1514"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3</w:t>
            </w:r>
          </w:p>
        </w:tc>
        <w:tc>
          <w:tcPr>
            <w:tcW w:w="151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3</w:t>
            </w:r>
          </w:p>
        </w:tc>
        <w:tc>
          <w:tcPr>
            <w:tcW w:w="150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3</w:t>
            </w:r>
          </w:p>
        </w:tc>
      </w:tr>
      <w:tr>
        <w:trPr/>
        <w:tc>
          <w:tcPr>
            <w:tcW w:w="1497"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Section 4</w:t>
            </w:r>
          </w:p>
        </w:tc>
        <w:tc>
          <w:tcPr>
            <w:tcW w:w="151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4</w:t>
            </w:r>
          </w:p>
        </w:tc>
        <w:tc>
          <w:tcPr>
            <w:tcW w:w="1514"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4</w:t>
            </w:r>
          </w:p>
        </w:tc>
        <w:tc>
          <w:tcPr>
            <w:tcW w:w="1514"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4</w:t>
            </w:r>
          </w:p>
        </w:tc>
        <w:tc>
          <w:tcPr>
            <w:tcW w:w="151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4</w:t>
            </w:r>
          </w:p>
        </w:tc>
        <w:tc>
          <w:tcPr>
            <w:tcW w:w="150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4</w:t>
            </w:r>
          </w:p>
        </w:tc>
      </w:tr>
      <w:tr>
        <w:trPr/>
        <w:tc>
          <w:tcPr>
            <w:tcW w:w="1497"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Section 5</w:t>
            </w:r>
          </w:p>
        </w:tc>
        <w:tc>
          <w:tcPr>
            <w:tcW w:w="151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5</w:t>
            </w:r>
          </w:p>
        </w:tc>
        <w:tc>
          <w:tcPr>
            <w:tcW w:w="1514"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5</w:t>
            </w:r>
          </w:p>
        </w:tc>
        <w:tc>
          <w:tcPr>
            <w:tcW w:w="1514"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5</w:t>
            </w:r>
          </w:p>
        </w:tc>
        <w:tc>
          <w:tcPr>
            <w:tcW w:w="151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5</w:t>
            </w:r>
          </w:p>
        </w:tc>
        <w:tc>
          <w:tcPr>
            <w:tcW w:w="150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5</w:t>
            </w:r>
          </w:p>
        </w:tc>
      </w:tr>
      <w:tr>
        <w:trPr/>
        <w:tc>
          <w:tcPr>
            <w:tcW w:w="1497"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Section 6</w:t>
            </w:r>
          </w:p>
        </w:tc>
        <w:tc>
          <w:tcPr>
            <w:tcW w:w="151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6</w:t>
            </w:r>
          </w:p>
        </w:tc>
        <w:tc>
          <w:tcPr>
            <w:tcW w:w="1514"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6</w:t>
            </w:r>
          </w:p>
        </w:tc>
        <w:tc>
          <w:tcPr>
            <w:tcW w:w="1514"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6</w:t>
            </w:r>
          </w:p>
        </w:tc>
        <w:tc>
          <w:tcPr>
            <w:tcW w:w="151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6</w:t>
            </w:r>
          </w:p>
        </w:tc>
        <w:tc>
          <w:tcPr>
            <w:tcW w:w="150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6</w:t>
            </w:r>
          </w:p>
        </w:tc>
      </w:tr>
      <w:tr>
        <w:trPr/>
        <w:tc>
          <w:tcPr>
            <w:tcW w:w="1497"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Section 7</w:t>
            </w:r>
          </w:p>
        </w:tc>
        <w:tc>
          <w:tcPr>
            <w:tcW w:w="151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7</w:t>
            </w:r>
          </w:p>
        </w:tc>
        <w:tc>
          <w:tcPr>
            <w:tcW w:w="1514"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7</w:t>
            </w:r>
          </w:p>
        </w:tc>
        <w:tc>
          <w:tcPr>
            <w:tcW w:w="1514"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7</w:t>
            </w:r>
          </w:p>
        </w:tc>
        <w:tc>
          <w:tcPr>
            <w:tcW w:w="151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7</w:t>
            </w:r>
          </w:p>
        </w:tc>
        <w:tc>
          <w:tcPr>
            <w:tcW w:w="1505" w:type="dxa"/>
            <w:tcBorders/>
          </w:tcPr>
          <w:p>
            <w:pPr>
              <w:pStyle w:val="Normal"/>
              <w:widowControl/>
              <w:spacing w:lineRule="atLeast" w:line="240" w:before="0" w:after="120"/>
              <w:jc w:val="left"/>
              <w:rPr>
                <w:rFonts w:cs="HelveticaNeue"/>
                <w:szCs w:val="20"/>
                <w:lang w:val="en-US"/>
              </w:rPr>
            </w:pPr>
            <w:r>
              <w:rPr>
                <w:rFonts w:eastAsia="MS Mincho" w:cs="HelveticaNeue" w:ascii="Arial" w:hAnsi="Arial"/>
                <w:kern w:val="0"/>
                <w:sz w:val="16"/>
                <w:szCs w:val="20"/>
                <w:lang w:val="en-US" w:eastAsia="en-US" w:bidi="en-US"/>
              </w:rPr>
              <w:t>Clause 7</w:t>
            </w:r>
          </w:p>
        </w:tc>
      </w:tr>
    </w:tbl>
    <w:p>
      <w:pPr>
        <w:pStyle w:val="ParaNumbered"/>
        <w:numPr>
          <w:ilvl w:val="0"/>
          <w:numId w:val="0"/>
        </w:numPr>
        <w:spacing w:before="0" w:after="150"/>
        <w:ind w:hanging="0" w:left="0"/>
        <w:rPr>
          <w:lang w:val="en-GB"/>
        </w:rPr>
      </w:pPr>
      <w:r>
        <w:rPr>
          <w:lang w:val="en-GB"/>
        </w:rPr>
      </w:r>
      <w:bookmarkStart w:id="91" w:name="_Toc410653894"/>
      <w:bookmarkStart w:id="92" w:name="_Toc410653894"/>
      <w:bookmarkEnd w:id="92"/>
    </w:p>
    <w:sectPr>
      <w:headerReference w:type="even" r:id="rId16"/>
      <w:headerReference w:type="default" r:id="rId17"/>
      <w:headerReference w:type="first" r:id="rId18"/>
      <w:footerReference w:type="even" r:id="rId19"/>
      <w:footerReference w:type="default" r:id="rId20"/>
      <w:footerReference w:type="first" r:id="rId21"/>
      <w:footnotePr>
        <w:numFmt w:val="decimal"/>
      </w:footnotePr>
      <w:type w:val="nextPage"/>
      <w:pgSz w:w="11906" w:h="16838"/>
      <w:pgMar w:left="1701" w:right="1134" w:gutter="0" w:header="720" w:top="1134" w:footer="720" w:bottom="1673"/>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Palatino Linotype">
    <w:charset w:val="00"/>
    <w:family w:val="roman"/>
    <w:pitch w:val="variable"/>
  </w:font>
  <w:font w:name="Cambria">
    <w:charset w:val="00"/>
    <w:family w:val="roman"/>
    <w:pitch w:val="variable"/>
  </w:font>
  <w:font w:name="Tahoma">
    <w:charset w:val="00"/>
    <w:family w:val="swiss"/>
    <w:pitch w:val="variable"/>
  </w:font>
  <w:font w:name="HelveticaNeue-Bold">
    <w:charset w:val="00"/>
    <w:family w:val="roman"/>
    <w:pitch w:val="variable"/>
  </w:font>
  <w:font w:name="RdgSwift-Regular">
    <w:charset w:val="00"/>
    <w:family w:val="roman"/>
    <w:pitch w:val="variable"/>
  </w:font>
  <w:font w:name="HelveticaNeue-Bold">
    <w:charset w:val="00"/>
    <w:family w:val="swiss"/>
    <w:pitch w:val="variable"/>
  </w:font>
  <w:font w:name="PalatinoLinotype-Bold">
    <w:charset w:val="00"/>
    <w:family w:val="roman"/>
    <w:pitch w:val="variable"/>
  </w:font>
  <w:font w:name="PalatinoLinotype-Roman">
    <w:charset w:val="00"/>
    <w:family w:val="roman"/>
    <w:pitch w:val="variable"/>
  </w:font>
  <w:font w:name="Liberation Sans">
    <w:altName w:val="Arial"/>
    <w:charset w:val="00"/>
    <w:family w:val="swiss"/>
    <w:pitch w:val="variable"/>
  </w:font>
  <w:font w:name="Calibri">
    <w:charset w:val="00"/>
    <w:family w:val="swiss"/>
    <w:pitch w:val="variable"/>
  </w:font>
  <w:font w:name="Helvetica Neue">
    <w:charset w:val="00"/>
    <w:family w:val="roman"/>
    <w:pitch w:val="variable"/>
  </w:font>
  <w:font w:name="Arial">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 xml:space="preserve">These Explanatory Notes relate to the </w:t>
    </w:r>
    <w:sdt>
      <w:sdtPr>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15:appearance w15:val="hidden"/>
        <w:alias w:val="Title"/>
        <w:tag w:val="Title"/>
        <w:id w:val="-575052222"/>
        <w:lock w:val="sdtLocked"/>
        <w:showingPlcHdr/>
        <w:text/>
      </w:sdtPr>
      <w:sdtContent>
        <w:r>
          <w:rPr>
            <w:rStyle w:val="FooterText"/>
          </w:rPr>
        </w:r>
        <w:r>
          <w:rPr/>
          <w:t>Health and Social Care Levy</w:t>
        </w:r>
      </w:sdtContent>
    </w:sdt>
    <w:r>
      <w:rPr>
        <w:rStyle w:val="FooterText"/>
      </w:rPr>
      <w:t xml:space="preserve"> </w:t>
    </w:r>
    <w:sdt>
      <w:sdtPr>
        <w:placeholder>
          <w:docPart w:val="E981BF7FA6DB4EBF8FCB1771437805B3"/>
        </w:placeholder>
        <w15:appearance w15:val="hidden"/>
        <w:alias w:val="BillAct8"/>
        <w:tag w:val="BillAct8"/>
        <w:id w:val="1495910491"/>
        <w:lock w:val="sdtLocked"/>
      </w:sdtPr>
      <w:sdtContent>
        <w:r>
          <w:rPr>
            <w:rStyle w:val="FooterText"/>
          </w:rPr>
        </w:r>
        <w:r>
          <w:rPr>
            <w:rStyle w:val="FooterText"/>
          </w:rPr>
          <w:t>Act</w:t>
        </w:r>
      </w:sdtContent>
    </w:sdt>
    <w:r>
      <w:rPr>
        <w:rStyle w:val="FooterText"/>
      </w:rPr>
      <w:t xml:space="preserve"> 2021</w:t>
    </w:r>
    <w:r>
      <w:rPr>
        <w:rStyle w:val="FooterText"/>
      </w:rPr>
      <w:t xml:space="preserve"> </w:t>
    </w:r>
    <w:sdt>
      <w:sdtPr>
        <w:placeholder>
          <w:docPart w:val="CD3D908E5859454DA8862ED367C34F9E"/>
        </w:placeholder>
        <w15:appearance w15:val="hidden"/>
        <w:alias w:val="Stage2"/>
        <w:tag w:val="Stage2"/>
        <w:id w:val="-1163623114"/>
        <w:lock w:val="sdtLocked"/>
      </w:sdtPr>
      <w:sdtContent>
        <w:r>
          <w:rPr>
            <w:rStyle w:val="FooterText"/>
          </w:rPr>
        </w:r>
        <w:r>
          <w:rPr>
            <w:rStyle w:val="FooterText"/>
          </w:rPr>
          <w:t>which received Royal Assent</w:t>
        </w:r>
      </w:sdtContent>
    </w:sdt>
    <w:r>
      <w:rPr>
        <w:rStyle w:val="FooterText"/>
      </w:rPr>
      <w:t xml:space="preserve"> on </w:t>
    </w:r>
    <w:sdt>
      <w:sdtPr>
        <w:placeholder>
          <w:docPart w:val="E82D3A18923F41CBA63F45B87893E40A"/>
        </w:placeholder>
        <w:dataBinding w:prefixMappings="xmlns:ns0='http://schemas.microsoft.com/office/2006/coverPageProps' " w:xpath="/ns0:CoverPageProperties[1]/ns0:PublishDate[1]" w:storeItemID="{55AF091B-3C7A-41E3-B477-F2FDAA23CFDA}"/>
        <w15:appearance w15:val="hidden"/>
        <w:alias w:val="Publish Date"/>
        <w:tag w:val="Publish Date"/>
        <w:id w:val="-772318191"/>
        <w:lock w:val="sdtLocked"/>
        <w:date w:fullDate="2021-10-20T00:00:00">
          <w:dateFormat w:val="d MMMM yyyy"/>
          <w:lid w:val="en-GB"/>
        </w:date>
      </w:sdtPr>
      <w:sdtContent>
        <w:r>
          <w:rPr>
            <w:rStyle w:val="FooterText"/>
          </w:rPr>
        </w:r>
        <w:r>
          <w:rPr>
            <w:rStyle w:val="FooterText"/>
          </w:rPr>
          <w:t>20 October 2021</w:t>
        </w:r>
        <w:r>
          <w:rPr/>
        </w:r>
      </w:sdtContent>
    </w:sdt>
    <w:r>
      <w:rPr>
        <w:rStyle w:val="FooterText"/>
      </w:rPr>
      <w:t xml:space="preserve"> (</w:t>
    </w:r>
    <w:sdt>
      <w:sdtPr>
        <w:placeholder>
          <w:docPart w:val="CD3D908E5859454DA8862ED367C34F9E"/>
        </w:placeholder>
        <w15:appearance w15:val="hidden"/>
        <w:alias w:val="BNumber3"/>
        <w:tag w:val="BNumber3"/>
        <w:id w:val="1418747222"/>
        <w:lock w:val="sdtLocked"/>
      </w:sdtPr>
      <w:sdtContent>
        <w:r>
          <w:rPr>
            <w:rStyle w:val="FooterText"/>
          </w:rPr>
        </w:r>
        <w:r>
          <w:rPr>
            <w:rStyle w:val="FooterText"/>
          </w:rPr>
          <w:t>c.</w:t>
        </w:r>
      </w:sdtContent>
    </w:sdt>
    <w:r>
      <w:rPr>
        <w:rStyle w:val="FooterText"/>
      </w:rPr>
      <w:t xml:space="preserve"> </w:t>
    </w:r>
    <w:sdt>
      <w:sdtPr>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15:appearance w15:val="hidden"/>
        <w:alias w:val="BillNumber"/>
        <w:tag w:val="BillNumber"/>
        <w:id w:val="193815190"/>
        <w:lock w:val="sdtLocked"/>
        <w:text/>
      </w:sdtPr>
      <w:sdtContent>
        <w:r>
          <w:rPr>
            <w:rStyle w:val="FooterText"/>
          </w:rPr>
        </w:r>
        <w:r>
          <w:rPr/>
          <w:t>28</w:t>
        </w:r>
      </w:sdtContent>
    </w:sdt>
    <w:r>
      <w:rPr>
        <w:rStyle w:val="FooterText"/>
      </w:rPr>
      <w:t>)</w:t>
    </w:r>
    <w:r>
      <w:rPr>
        <w:rStyle w:val="FooterText"/>
      </w:rPr>
      <w:tab/>
    </w:r>
    <w:r>
      <mc:AlternateContent>
        <mc:Choice Requires="wps">
          <w:drawing>
            <wp:anchor behindDoc="0" distT="0" distB="0" distL="0" distR="0" simplePos="0" locked="0" layoutInCell="1" allowOverlap="1" relativeHeight="0">
              <wp:simplePos x="0" y="0"/>
              <wp:positionH relativeFrom="page">
                <wp:posOffset>3726815</wp:posOffset>
              </wp:positionH>
              <wp:positionV relativeFrom="paragraph">
                <wp:posOffset>444500</wp:posOffset>
              </wp:positionV>
              <wp:extent cx="280035" cy="197485"/>
              <wp:effectExtent l="0" t="0" r="0" b="0"/>
              <wp:wrapSquare wrapText="bothSides"/>
              <wp:docPr id="1" name="Frame3"/>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p>
                              <w:pPr>
                                <w:pStyle w:val="Footer"/>
                                <w:pBdr/>
                                <w:rPr/>
                              </w:pPr>
                              <w:r>
                                <w:rPr/>
                                <w:t>[Type here]</w:t>
                              </w:r>
                            </w:p>
                          </w:sdtContent>
                        </w:sdt>
                        <w:p>
                          <w:pPr>
                            <w:pStyle w:val="Footer"/>
                            <w:pBdr/>
                            <w:jc w:val="center"/>
                            <w:rPr/>
                          </w:pPr>
                          <w:r>
                            <w:rPr/>
                          </w:r>
                        </w:p>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p>
                        <w:pPr>
                          <w:pStyle w:val="Footer"/>
                          <w:pBdr/>
                          <w:rPr/>
                        </w:pPr>
                        <w:r>
                          <w:rPr/>
                          <w:t>[Type here]</w:t>
                        </w:r>
                      </w:p>
                    </w:sdtContent>
                  </w:sdt>
                  <w:p>
                    <w:pPr>
                      <w:pStyle w:val="Footer"/>
                      <w:pBdr/>
                      <w:jc w:val="center"/>
                      <w:rPr/>
                    </w:pPr>
                    <w:r>
                      <w:rPr/>
                    </w:r>
                  </w:p>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 xml:space="preserve">These Explanatory Notes relate to the </w:t>
    </w:r>
    <w:sdt>
      <w:sdtPr>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15:appearance w15:val="hidden"/>
        <w:alias w:val="Title"/>
        <w:tag w:val="Title"/>
        <w:id w:val="-575052222"/>
        <w:lock w:val="sdtLocked"/>
        <w:showingPlcHdr/>
        <w:text/>
      </w:sdtPr>
      <w:sdtContent>
        <w:r>
          <w:rPr>
            <w:rStyle w:val="FooterText"/>
          </w:rPr>
        </w:r>
        <w:r>
          <w:rPr/>
          <w:t>Health and Social Care Levy</w:t>
        </w:r>
      </w:sdtContent>
    </w:sdt>
    <w:r>
      <w:rPr>
        <w:rStyle w:val="FooterText"/>
      </w:rPr>
      <w:t xml:space="preserve"> </w:t>
    </w:r>
    <w:sdt>
      <w:sdtPr>
        <w:placeholder>
          <w:docPart w:val="E981BF7FA6DB4EBF8FCB1771437805B3"/>
        </w:placeholder>
        <w15:appearance w15:val="hidden"/>
        <w:alias w:val="BillAct8"/>
        <w:tag w:val="BillAct8"/>
        <w:id w:val="1495910491"/>
        <w:lock w:val="sdtLocked"/>
      </w:sdtPr>
      <w:sdtContent>
        <w:r>
          <w:rPr>
            <w:rStyle w:val="FooterText"/>
          </w:rPr>
        </w:r>
        <w:r>
          <w:rPr>
            <w:rStyle w:val="FooterText"/>
          </w:rPr>
          <w:t>Act</w:t>
        </w:r>
      </w:sdtContent>
    </w:sdt>
    <w:r>
      <w:rPr>
        <w:rStyle w:val="FooterText"/>
      </w:rPr>
      <w:t xml:space="preserve"> 2021</w:t>
    </w:r>
    <w:r>
      <w:rPr>
        <w:rStyle w:val="FooterText"/>
      </w:rPr>
      <w:t xml:space="preserve"> </w:t>
    </w:r>
    <w:sdt>
      <w:sdtPr>
        <w:placeholder>
          <w:docPart w:val="CD3D908E5859454DA8862ED367C34F9E"/>
        </w:placeholder>
        <w15:appearance w15:val="hidden"/>
        <w:alias w:val="Stage2"/>
        <w:tag w:val="Stage2"/>
        <w:id w:val="-1163623114"/>
        <w:lock w:val="sdtLocked"/>
      </w:sdtPr>
      <w:sdtContent>
        <w:r>
          <w:rPr>
            <w:rStyle w:val="FooterText"/>
          </w:rPr>
        </w:r>
        <w:r>
          <w:rPr>
            <w:rStyle w:val="FooterText"/>
          </w:rPr>
          <w:t>which received Royal Assent</w:t>
        </w:r>
      </w:sdtContent>
    </w:sdt>
    <w:r>
      <w:rPr>
        <w:rStyle w:val="FooterText"/>
      </w:rPr>
      <w:t xml:space="preserve"> on </w:t>
    </w:r>
    <w:sdt>
      <w:sdtPr>
        <w:placeholder>
          <w:docPart w:val="E82D3A18923F41CBA63F45B87893E40A"/>
        </w:placeholder>
        <w:dataBinding w:prefixMappings="xmlns:ns0='http://schemas.microsoft.com/office/2006/coverPageProps' " w:xpath="/ns0:CoverPageProperties[1]/ns0:PublishDate[1]" w:storeItemID="{55AF091B-3C7A-41E3-B477-F2FDAA23CFDA}"/>
        <w15:appearance w15:val="hidden"/>
        <w:alias w:val="Publish Date"/>
        <w:tag w:val="Publish Date"/>
        <w:id w:val="-772318191"/>
        <w:lock w:val="sdtLocked"/>
        <w:date w:fullDate="2021-10-20T00:00:00">
          <w:dateFormat w:val="d MMMM yyyy"/>
          <w:lid w:val="en-GB"/>
        </w:date>
      </w:sdtPr>
      <w:sdtContent>
        <w:r>
          <w:rPr>
            <w:rStyle w:val="FooterText"/>
          </w:rPr>
        </w:r>
        <w:r>
          <w:rPr>
            <w:rStyle w:val="FooterText"/>
          </w:rPr>
          <w:t>20 October 2021</w:t>
        </w:r>
        <w:r>
          <w:rPr/>
        </w:r>
      </w:sdtContent>
    </w:sdt>
    <w:r>
      <w:rPr>
        <w:rStyle w:val="FooterText"/>
      </w:rPr>
      <w:t xml:space="preserve"> (</w:t>
    </w:r>
    <w:sdt>
      <w:sdtPr>
        <w:placeholder>
          <w:docPart w:val="CD3D908E5859454DA8862ED367C34F9E"/>
        </w:placeholder>
        <w15:appearance w15:val="hidden"/>
        <w:alias w:val="BNumber3"/>
        <w:tag w:val="BNumber3"/>
        <w:id w:val="1418747222"/>
        <w:lock w:val="sdtLocked"/>
      </w:sdtPr>
      <w:sdtContent>
        <w:r>
          <w:rPr>
            <w:rStyle w:val="FooterText"/>
          </w:rPr>
        </w:r>
        <w:r>
          <w:rPr>
            <w:rStyle w:val="FooterText"/>
          </w:rPr>
          <w:t>c.</w:t>
        </w:r>
      </w:sdtContent>
    </w:sdt>
    <w:r>
      <w:rPr>
        <w:rStyle w:val="FooterText"/>
      </w:rPr>
      <w:t xml:space="preserve"> </w:t>
    </w:r>
    <w:sdt>
      <w:sdtPr>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15:appearance w15:val="hidden"/>
        <w:alias w:val="BillNumber"/>
        <w:tag w:val="BillNumber"/>
        <w:id w:val="193815190"/>
        <w:lock w:val="sdtLocked"/>
        <w:text/>
      </w:sdtPr>
      <w:sdtContent>
        <w:r>
          <w:rPr>
            <w:rStyle w:val="FooterText"/>
          </w:rPr>
        </w:r>
        <w:r>
          <w:rPr/>
          <w:t>28</w:t>
        </w:r>
      </w:sdtContent>
    </w:sdt>
    <w:r>
      <w:rPr>
        <w:rStyle w:val="FooterText"/>
      </w:rPr>
      <w:t>)</w:t>
    </w:r>
    <w:r>
      <w:rPr>
        <w:rStyle w:val="FooterText"/>
      </w:rPr>
      <w:tab/>
    </w:r>
    <w:r>
      <mc:AlternateContent>
        <mc:Choice Requires="wps">
          <w:drawing>
            <wp:anchor behindDoc="0" distT="0" distB="0" distL="0" distR="0" simplePos="0" locked="0" layoutInCell="1" allowOverlap="1" relativeHeight="0">
              <wp:simplePos x="0" y="0"/>
              <wp:positionH relativeFrom="page">
                <wp:posOffset>3726815</wp:posOffset>
              </wp:positionH>
              <wp:positionV relativeFrom="paragraph">
                <wp:posOffset>444500</wp:posOffset>
              </wp:positionV>
              <wp:extent cx="280035" cy="197485"/>
              <wp:effectExtent l="0" t="0" r="0" b="0"/>
              <wp:wrapSquare wrapText="bothSides"/>
              <wp:docPr id="2" name="Frame3"/>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p>
                              <w:pPr>
                                <w:pStyle w:val="Footer"/>
                                <w:pBdr/>
                                <w:rPr/>
                              </w:pPr>
                              <w:r>
                                <w:rPr/>
                                <w:t>[Type here]</w:t>
                              </w:r>
                            </w:p>
                          </w:sdtContent>
                        </w:sdt>
                        <w:p>
                          <w:pPr>
                            <w:pStyle w:val="Footer"/>
                            <w:pBdr/>
                            <w:jc w:val="center"/>
                            <w:rPr/>
                          </w:pPr>
                          <w:r>
                            <w:rPr/>
                          </w:r>
                        </w:p>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p>
                        <w:pPr>
                          <w:pStyle w:val="Footer"/>
                          <w:pBdr/>
                          <w:rPr/>
                        </w:pPr>
                        <w:r>
                          <w:rPr/>
                          <w:t>[Type here]</w:t>
                        </w:r>
                      </w:p>
                    </w:sdtContent>
                  </w:sdt>
                  <w:p>
                    <w:pPr>
                      <w:pStyle w:val="Footer"/>
                      <w:pBdr/>
                      <w:jc w:val="center"/>
                      <w:rPr/>
                    </w:pPr>
                    <w:r>
                      <w:rPr/>
                    </w:r>
                  </w:p>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8153"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076"/>
      <w:gridCol w:w="4076"/>
    </w:tblGrid>
    <w:tr>
      <w:trPr/>
      <w:tc>
        <w:tcPr>
          <w:tcW w:w="4076" w:type="dxa"/>
          <w:tcBorders>
            <w:top w:val="nil"/>
            <w:left w:val="nil"/>
            <w:bottom w:val="nil"/>
            <w:right w:val="nil"/>
          </w:tcBorders>
        </w:tcPr>
        <w:p>
          <w:pPr>
            <w:pStyle w:val="Footer"/>
            <w:widowControl/>
            <w:spacing w:lineRule="auto" w:line="276" w:before="0" w:after="200"/>
            <w:jc w:val="left"/>
            <w:rPr>
              <w:rFonts w:ascii="Calibri" w:hAnsi="Calibri" w:eastAsia="ＭＳ 明朝" w:cs=""/>
              <w:kern w:val="0"/>
              <w:szCs w:val="22"/>
              <w:lang w:eastAsia="en-US" w:bidi="en-US"/>
            </w:rPr>
          </w:pPr>
          <w:sdt>
            <w:sdtPr>
              <w:placeholder>
                <w:docPart w:val="CD3D908E5859454DA8862ED367C34F9E"/>
              </w:placeholder>
              <w15:appearance w15:val="hidden"/>
              <w:alias w:val="BNumber2"/>
              <w:tag w:val="BNumber2"/>
              <w:id w:val="1669441183"/>
              <w:lock w:val="sdtLocked"/>
            </w:sdtPr>
            <w:sdtContent>
              <w:r>
                <w:rPr>
                  <w:rFonts w:eastAsia="ＭＳ 明朝" w:cs=""/>
                  <w:kern w:val="0"/>
                  <w:szCs w:val="22"/>
                  <w:lang w:eastAsia="en-US" w:bidi="en-US"/>
                </w:rPr>
              </w:r>
              <w:r>
                <w:rPr>
                  <w:rFonts w:eastAsia="ＭＳ 明朝" w:cs=""/>
                  <w:kern w:val="0"/>
                  <w:szCs w:val="22"/>
                  <w:lang w:eastAsia="en-US" w:bidi="en-US"/>
                </w:rPr>
                <w:t>c.</w:t>
              </w:r>
            </w:sdtContent>
          </w:sdt>
          <w:r>
            <w:rPr>
              <w:rFonts w:eastAsia="ＭＳ 明朝" w:cs=""/>
              <w:kern w:val="0"/>
              <w:szCs w:val="22"/>
              <w:lang w:eastAsia="en-US" w:bidi="en-US"/>
            </w:rPr>
            <w:t xml:space="preserve"> </w:t>
          </w:r>
          <w:sdt>
            <w:sdtPr>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15:appearance w15:val="hidden"/>
              <w:alias w:val="BillNumber"/>
              <w:tag w:val="BillNumber"/>
              <w:id w:val="2056115813"/>
              <w:lock w:val="sdtLocked"/>
              <w:text/>
            </w:sdtPr>
            <w:sdtContent>
              <w:r>
                <w:rPr>
                  <w:rFonts w:eastAsia="ＭＳ 明朝" w:cs=""/>
                  <w:kern w:val="0"/>
                  <w:szCs w:val="22"/>
                  <w:lang w:eastAsia="en-US" w:bidi="en-US"/>
                </w:rPr>
              </w:r>
              <w:r>
                <w:rPr>
                  <w:rFonts w:eastAsia="ＭＳ 明朝" w:cs=""/>
                  <w:kern w:val="0"/>
                  <w:szCs w:val="22"/>
                  <w:lang w:eastAsia="en-US" w:bidi="en-US"/>
                </w:rPr>
                <w:t>28</w:t>
              </w:r>
            </w:sdtContent>
          </w:sdt>
          <w:r>
            <w:rPr>
              <w:rFonts w:eastAsia="ＭＳ 明朝" w:cs=""/>
              <w:kern w:val="0"/>
              <w:szCs w:val="22"/>
              <w:lang w:eastAsia="en-US" w:bidi="en-US"/>
            </w:rPr>
            <w:t>–</w:t>
          </w:r>
          <w:r>
            <w:rPr>
              <w:rFonts w:eastAsia="ＭＳ 明朝" w:cs=""/>
              <w:kern w:val="0"/>
              <w:szCs w:val="22"/>
              <w:lang w:eastAsia="en-US" w:bidi="en-US"/>
            </w:rPr>
            <w:t>EN</w:t>
          </w:r>
        </w:p>
      </w:tc>
      <w:tc>
        <w:tcPr>
          <w:tcW w:w="4076" w:type="dxa"/>
          <w:tcBorders>
            <w:top w:val="nil"/>
            <w:left w:val="nil"/>
            <w:bottom w:val="nil"/>
            <w:right w:val="nil"/>
          </w:tcBorders>
        </w:tcPr>
        <w:p>
          <w:pPr>
            <w:pStyle w:val="Footer"/>
            <w:widowControl/>
            <w:spacing w:lineRule="auto" w:line="276" w:before="0" w:after="200"/>
            <w:jc w:val="left"/>
            <w:rPr>
              <w:rFonts w:ascii="Calibri" w:hAnsi="Calibri" w:eastAsia="ＭＳ 明朝" w:cs=""/>
              <w:kern w:val="0"/>
              <w:szCs w:val="22"/>
              <w:lang w:eastAsia="en-US" w:bidi="en-US"/>
            </w:rPr>
          </w:pPr>
          <w:r>
            <w:rPr>
              <w:rFonts w:eastAsia="ＭＳ 明朝" w:cs=""/>
              <w:kern w:val="0"/>
              <w:szCs w:val="22"/>
              <w:lang w:eastAsia="en-US" w:bidi="en-US"/>
            </w:rPr>
          </w:r>
        </w:p>
      </w:tc>
    </w:tr>
  </w:tbl>
  <w:p>
    <w:pPr>
      <w:pStyle w:val="Footer"/>
      <w:spacing w:before="0" w:after="200"/>
      <w:jc w:val="both"/>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 xml:space="preserve">These Explanatory Notes relate to the </w:t>
    </w:r>
    <w:sdt>
      <w:sdtPr>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15:appearance w15:val="hidden"/>
        <w:alias w:val="Title"/>
        <w:tag w:val="Title"/>
        <w:id w:val="-575052222"/>
        <w:lock w:val="sdtLocked"/>
        <w:showingPlcHdr/>
        <w:text/>
      </w:sdtPr>
      <w:sdtContent>
        <w:r>
          <w:rPr>
            <w:rStyle w:val="FooterText"/>
          </w:rPr>
        </w:r>
        <w:r>
          <w:rPr/>
          <w:t>Health and Social Care Levy</w:t>
        </w:r>
      </w:sdtContent>
    </w:sdt>
    <w:r>
      <w:rPr>
        <w:rStyle w:val="FooterText"/>
      </w:rPr>
      <w:t xml:space="preserve"> </w:t>
    </w:r>
    <w:sdt>
      <w:sdtPr>
        <w:placeholder>
          <w:docPart w:val="E981BF7FA6DB4EBF8FCB1771437805B3"/>
        </w:placeholder>
        <w15:appearance w15:val="hidden"/>
        <w:alias w:val="BillAct8"/>
        <w:tag w:val="BillAct8"/>
        <w:id w:val="1495910491"/>
        <w:lock w:val="sdtLocked"/>
      </w:sdtPr>
      <w:sdtContent>
        <w:r>
          <w:rPr>
            <w:rStyle w:val="FooterText"/>
          </w:rPr>
        </w:r>
        <w:r>
          <w:rPr>
            <w:rStyle w:val="FooterText"/>
          </w:rPr>
          <w:t>Act</w:t>
        </w:r>
      </w:sdtContent>
    </w:sdt>
    <w:r>
      <w:rPr>
        <w:rStyle w:val="FooterText"/>
      </w:rPr>
      <w:t xml:space="preserve"> 2021</w:t>
    </w:r>
    <w:r>
      <w:rPr>
        <w:rStyle w:val="FooterText"/>
      </w:rPr>
      <w:t xml:space="preserve"> </w:t>
    </w:r>
    <w:sdt>
      <w:sdtPr>
        <w:placeholder>
          <w:docPart w:val="CD3D908E5859454DA8862ED367C34F9E"/>
        </w:placeholder>
        <w15:appearance w15:val="hidden"/>
        <w:alias w:val="Stage2"/>
        <w:tag w:val="Stage2"/>
        <w:id w:val="-1163623114"/>
        <w:lock w:val="sdtLocked"/>
      </w:sdtPr>
      <w:sdtContent>
        <w:r>
          <w:rPr>
            <w:rStyle w:val="FooterText"/>
          </w:rPr>
        </w:r>
        <w:r>
          <w:rPr>
            <w:rStyle w:val="FooterText"/>
          </w:rPr>
          <w:t>which received Royal Assent</w:t>
        </w:r>
      </w:sdtContent>
    </w:sdt>
    <w:r>
      <w:rPr>
        <w:rStyle w:val="FooterText"/>
      </w:rPr>
      <w:t xml:space="preserve"> on </w:t>
    </w:r>
    <w:sdt>
      <w:sdtPr>
        <w:placeholder>
          <w:docPart w:val="E82D3A18923F41CBA63F45B87893E40A"/>
        </w:placeholder>
        <w:dataBinding w:prefixMappings="xmlns:ns0='http://schemas.microsoft.com/office/2006/coverPageProps' " w:xpath="/ns0:CoverPageProperties[1]/ns0:PublishDate[1]" w:storeItemID="{55AF091B-3C7A-41E3-B477-F2FDAA23CFDA}"/>
        <w15:appearance w15:val="hidden"/>
        <w:alias w:val="Publish Date"/>
        <w:tag w:val="Publish Date"/>
        <w:id w:val="-772318191"/>
        <w:lock w:val="sdtLocked"/>
        <w:date w:fullDate="2021-10-20T00:00:00">
          <w:dateFormat w:val="d MMMM yyyy"/>
          <w:lid w:val="en-GB"/>
        </w:date>
      </w:sdtPr>
      <w:sdtContent>
        <w:r>
          <w:rPr>
            <w:rStyle w:val="FooterText"/>
          </w:rPr>
        </w:r>
        <w:r>
          <w:rPr>
            <w:rStyle w:val="FooterText"/>
          </w:rPr>
          <w:t>20 October 2021</w:t>
        </w:r>
        <w:r>
          <w:rPr/>
        </w:r>
      </w:sdtContent>
    </w:sdt>
    <w:r>
      <w:rPr>
        <w:rStyle w:val="FooterText"/>
      </w:rPr>
      <w:t xml:space="preserve"> (</w:t>
    </w:r>
    <w:sdt>
      <w:sdtPr>
        <w:placeholder>
          <w:docPart w:val="CD3D908E5859454DA8862ED367C34F9E"/>
        </w:placeholder>
        <w15:appearance w15:val="hidden"/>
        <w:alias w:val="BNumber3"/>
        <w:tag w:val="BNumber3"/>
        <w:id w:val="1418747222"/>
        <w:lock w:val="sdtLocked"/>
      </w:sdtPr>
      <w:sdtContent>
        <w:r>
          <w:rPr>
            <w:rStyle w:val="FooterText"/>
          </w:rPr>
        </w:r>
        <w:r>
          <w:rPr>
            <w:rStyle w:val="FooterText"/>
          </w:rPr>
          <w:t>c.</w:t>
        </w:r>
      </w:sdtContent>
    </w:sdt>
    <w:r>
      <w:rPr>
        <w:rStyle w:val="FooterText"/>
      </w:rPr>
      <w:t xml:space="preserve"> </w:t>
    </w:r>
    <w:sdt>
      <w:sdtPr>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15:appearance w15:val="hidden"/>
        <w:alias w:val="BillNumber"/>
        <w:tag w:val="BillNumber"/>
        <w:id w:val="193815190"/>
        <w:lock w:val="sdtLocked"/>
        <w:text/>
      </w:sdtPr>
      <w:sdtContent>
        <w:r>
          <w:rPr>
            <w:rStyle w:val="FooterText"/>
          </w:rPr>
        </w:r>
        <w:r>
          <w:rPr/>
          <w:t>28</w:t>
        </w:r>
      </w:sdtContent>
    </w:sdt>
    <w:r>
      <w:rPr>
        <w:rStyle w:val="FooterText"/>
      </w:rPr>
      <w:t>)</w:t>
    </w:r>
    <w:r>
      <w:rPr>
        <w:rStyle w:val="FooterText"/>
      </w:rPr>
      <w:tab/>
    </w:r>
    <w:r>
      <mc:AlternateContent>
        <mc:Choice Requires="wps">
          <w:drawing>
            <wp:anchor behindDoc="0" distT="0" distB="0" distL="0" distR="0" simplePos="0" locked="0" layoutInCell="0" allowOverlap="1" relativeHeight="13">
              <wp:simplePos x="0" y="0"/>
              <wp:positionH relativeFrom="page">
                <wp:posOffset>3726815</wp:posOffset>
              </wp:positionH>
              <wp:positionV relativeFrom="paragraph">
                <wp:posOffset>444500</wp:posOffset>
              </wp:positionV>
              <wp:extent cx="280035" cy="197485"/>
              <wp:effectExtent l="0" t="0" r="0" b="0"/>
              <wp:wrapSquare wrapText="bothSides"/>
              <wp:docPr id="4" name="Frame2"/>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12</w:t>
                              </w:r>
                              <w:r>
                                <w:rPr/>
                                <w:fldChar w:fldCharType="end"/>
                              </w:r>
                            </w:p>
                            <w:p>
                              <w:pPr>
                                <w:pStyle w:val="Footer"/>
                                <w:pBdr/>
                                <w:rPr/>
                              </w:pPr>
                              <w:r>
                                <w:rPr/>
                                <w:t>[Type here]</w:t>
                              </w:r>
                            </w:p>
                          </w:sdtContent>
                        </w:sdt>
                        <w:p>
                          <w:pPr>
                            <w:pStyle w:val="Footer"/>
                            <w:pBdr/>
                            <w:jc w:val="center"/>
                            <w:rPr/>
                          </w:pPr>
                          <w:r>
                            <w:rPr/>
                          </w:r>
                        </w:p>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12</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12</w:t>
                        </w:r>
                        <w:r>
                          <w:rPr/>
                          <w:fldChar w:fldCharType="end"/>
                        </w:r>
                      </w:p>
                      <w:p>
                        <w:pPr>
                          <w:pStyle w:val="Footer"/>
                          <w:pBdr/>
                          <w:rPr/>
                        </w:pPr>
                        <w:r>
                          <w:rPr/>
                          <w:t>[Type here]</w:t>
                        </w:r>
                      </w:p>
                    </w:sdtContent>
                  </w:sdt>
                  <w:p>
                    <w:pPr>
                      <w:pStyle w:val="Footer"/>
                      <w:pBdr/>
                      <w:jc w:val="center"/>
                      <w:rPr/>
                    </w:pPr>
                    <w:r>
                      <w:rPr/>
                    </w:r>
                  </w:p>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12</w:t>
                    </w:r>
                    <w:r>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 xml:space="preserve">These Explanatory Notes relate to the </w:t>
    </w:r>
    <w:sdt>
      <w:sdtPr>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15:appearance w15:val="hidden"/>
        <w:alias w:val="Title"/>
        <w:tag w:val="Title"/>
        <w:id w:val="-575052222"/>
        <w:lock w:val="sdtLocked"/>
        <w:showingPlcHdr/>
        <w:text/>
      </w:sdtPr>
      <w:sdtContent>
        <w:r>
          <w:rPr>
            <w:rStyle w:val="FooterText"/>
          </w:rPr>
        </w:r>
        <w:r>
          <w:rPr/>
          <w:t>Health and Social Care Levy</w:t>
        </w:r>
      </w:sdtContent>
    </w:sdt>
    <w:r>
      <w:rPr>
        <w:rStyle w:val="FooterText"/>
      </w:rPr>
      <w:t xml:space="preserve"> </w:t>
    </w:r>
    <w:sdt>
      <w:sdtPr>
        <w:placeholder>
          <w:docPart w:val="E981BF7FA6DB4EBF8FCB1771437805B3"/>
        </w:placeholder>
        <w15:appearance w15:val="hidden"/>
        <w:alias w:val="BillAct8"/>
        <w:tag w:val="BillAct8"/>
        <w:id w:val="1495910491"/>
        <w:lock w:val="sdtLocked"/>
      </w:sdtPr>
      <w:sdtContent>
        <w:r>
          <w:rPr>
            <w:rStyle w:val="FooterText"/>
          </w:rPr>
        </w:r>
        <w:r>
          <w:rPr>
            <w:rStyle w:val="FooterText"/>
          </w:rPr>
          <w:t>Act</w:t>
        </w:r>
      </w:sdtContent>
    </w:sdt>
    <w:r>
      <w:rPr>
        <w:rStyle w:val="FooterText"/>
      </w:rPr>
      <w:t xml:space="preserve"> 2021</w:t>
    </w:r>
    <w:r>
      <w:rPr>
        <w:rStyle w:val="FooterText"/>
      </w:rPr>
      <w:t xml:space="preserve"> </w:t>
    </w:r>
    <w:sdt>
      <w:sdtPr>
        <w:placeholder>
          <w:docPart w:val="CD3D908E5859454DA8862ED367C34F9E"/>
        </w:placeholder>
        <w15:appearance w15:val="hidden"/>
        <w:alias w:val="Stage2"/>
        <w:tag w:val="Stage2"/>
        <w:id w:val="-1163623114"/>
        <w:lock w:val="sdtLocked"/>
      </w:sdtPr>
      <w:sdtContent>
        <w:r>
          <w:rPr>
            <w:rStyle w:val="FooterText"/>
          </w:rPr>
        </w:r>
        <w:r>
          <w:rPr>
            <w:rStyle w:val="FooterText"/>
          </w:rPr>
          <w:t>which received Royal Assent</w:t>
        </w:r>
      </w:sdtContent>
    </w:sdt>
    <w:r>
      <w:rPr>
        <w:rStyle w:val="FooterText"/>
      </w:rPr>
      <w:t xml:space="preserve"> on </w:t>
    </w:r>
    <w:sdt>
      <w:sdtPr>
        <w:placeholder>
          <w:docPart w:val="E82D3A18923F41CBA63F45B87893E40A"/>
        </w:placeholder>
        <w:dataBinding w:prefixMappings="xmlns:ns0='http://schemas.microsoft.com/office/2006/coverPageProps' " w:xpath="/ns0:CoverPageProperties[1]/ns0:PublishDate[1]" w:storeItemID="{55AF091B-3C7A-41E3-B477-F2FDAA23CFDA}"/>
        <w15:appearance w15:val="hidden"/>
        <w:alias w:val="Publish Date"/>
        <w:tag w:val="Publish Date"/>
        <w:id w:val="-772318191"/>
        <w:lock w:val="sdtLocked"/>
        <w:date w:fullDate="2021-10-20T00:00:00">
          <w:dateFormat w:val="d MMMM yyyy"/>
          <w:lid w:val="en-GB"/>
        </w:date>
      </w:sdtPr>
      <w:sdtContent>
        <w:r>
          <w:rPr>
            <w:rStyle w:val="FooterText"/>
          </w:rPr>
        </w:r>
        <w:r>
          <w:rPr>
            <w:rStyle w:val="FooterText"/>
          </w:rPr>
          <w:t>20 October 2021</w:t>
        </w:r>
        <w:r>
          <w:rPr/>
        </w:r>
      </w:sdtContent>
    </w:sdt>
    <w:r>
      <w:rPr>
        <w:rStyle w:val="FooterText"/>
      </w:rPr>
      <w:t xml:space="preserve"> (</w:t>
    </w:r>
    <w:sdt>
      <w:sdtPr>
        <w:placeholder>
          <w:docPart w:val="CD3D908E5859454DA8862ED367C34F9E"/>
        </w:placeholder>
        <w15:appearance w15:val="hidden"/>
        <w:alias w:val="BNumber3"/>
        <w:tag w:val="BNumber3"/>
        <w:id w:val="1418747222"/>
        <w:lock w:val="sdtLocked"/>
      </w:sdtPr>
      <w:sdtContent>
        <w:r>
          <w:rPr>
            <w:rStyle w:val="FooterText"/>
          </w:rPr>
        </w:r>
        <w:r>
          <w:rPr>
            <w:rStyle w:val="FooterText"/>
          </w:rPr>
          <w:t>c.</w:t>
        </w:r>
      </w:sdtContent>
    </w:sdt>
    <w:r>
      <w:rPr>
        <w:rStyle w:val="FooterText"/>
      </w:rPr>
      <w:t xml:space="preserve"> </w:t>
    </w:r>
    <w:sdt>
      <w:sdtPr>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15:appearance w15:val="hidden"/>
        <w:alias w:val="BillNumber"/>
        <w:tag w:val="BillNumber"/>
        <w:id w:val="193815190"/>
        <w:lock w:val="sdtLocked"/>
        <w:text/>
      </w:sdtPr>
      <w:sdtContent>
        <w:r>
          <w:rPr>
            <w:rStyle w:val="FooterText"/>
          </w:rPr>
        </w:r>
        <w:r>
          <w:rPr/>
          <w:t>28</w:t>
        </w:r>
      </w:sdtContent>
    </w:sdt>
    <w:r>
      <w:rPr>
        <w:rStyle w:val="FooterText"/>
      </w:rPr>
      <w:t>)</w:t>
    </w:r>
    <w:r>
      <w:rPr>
        <w:rStyle w:val="FooterText"/>
      </w:rPr>
      <w:tab/>
    </w:r>
    <w:r>
      <mc:AlternateContent>
        <mc:Choice Requires="wps">
          <w:drawing>
            <wp:anchor behindDoc="0" distT="0" distB="0" distL="0" distR="0" simplePos="0" locked="0" layoutInCell="0" allowOverlap="1" relativeHeight="13">
              <wp:simplePos x="0" y="0"/>
              <wp:positionH relativeFrom="page">
                <wp:posOffset>3726815</wp:posOffset>
              </wp:positionH>
              <wp:positionV relativeFrom="paragraph">
                <wp:posOffset>444500</wp:posOffset>
              </wp:positionV>
              <wp:extent cx="280035" cy="197485"/>
              <wp:effectExtent l="0" t="0" r="0" b="0"/>
              <wp:wrapSquare wrapText="bothSides"/>
              <wp:docPr id="5" name="Frame2"/>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12</w:t>
                              </w:r>
                              <w:r>
                                <w:rPr/>
                                <w:fldChar w:fldCharType="end"/>
                              </w:r>
                            </w:p>
                            <w:p>
                              <w:pPr>
                                <w:pStyle w:val="Footer"/>
                                <w:pBdr/>
                                <w:rPr/>
                              </w:pPr>
                              <w:r>
                                <w:rPr/>
                                <w:t>[Type here]</w:t>
                              </w:r>
                            </w:p>
                          </w:sdtContent>
                        </w:sdt>
                        <w:p>
                          <w:pPr>
                            <w:pStyle w:val="Footer"/>
                            <w:pBdr/>
                            <w:jc w:val="center"/>
                            <w:rPr/>
                          </w:pPr>
                          <w:r>
                            <w:rPr/>
                          </w:r>
                        </w:p>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12</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12</w:t>
                        </w:r>
                        <w:r>
                          <w:rPr/>
                          <w:fldChar w:fldCharType="end"/>
                        </w:r>
                      </w:p>
                      <w:p>
                        <w:pPr>
                          <w:pStyle w:val="Footer"/>
                          <w:pBdr/>
                          <w:rPr/>
                        </w:pPr>
                        <w:r>
                          <w:rPr/>
                          <w:t>[Type here]</w:t>
                        </w:r>
                      </w:p>
                    </w:sdtContent>
                  </w:sdt>
                  <w:p>
                    <w:pPr>
                      <w:pStyle w:val="Footer"/>
                      <w:pBdr/>
                      <w:jc w:val="center"/>
                      <w:rPr/>
                    </w:pPr>
                    <w:r>
                      <w:rPr/>
                    </w:r>
                  </w:p>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12</w:t>
                    </w:r>
                    <w:r>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120"/>
        <w:rPr/>
      </w:pPr>
      <w:r>
        <w:rPr>
          <w:rStyle w:val="FootnoteCharacters"/>
        </w:rPr>
        <w:footnoteRef/>
      </w:r>
      <w:r>
        <w:rPr/>
        <w:t xml:space="preserve"> </w:t>
      </w:r>
      <w:r>
        <w:rPr/>
        <w:t xml:space="preserve">House of Lords’ Constitution Committee, 15th report of session 2008/09, HL paper 116-I </w:t>
      </w:r>
    </w:p>
  </w:footnote>
  <w:footnote w:id="3">
    <w:p>
      <w:pPr>
        <w:pStyle w:val="FootnoteText"/>
        <w:spacing w:lineRule="auto" w:line="240" w:before="0" w:after="120"/>
        <w:rPr/>
      </w:pPr>
      <w:r>
        <w:rPr>
          <w:rStyle w:val="FootnoteCharacters"/>
        </w:rPr>
        <w:footnoteRef/>
      </w:r>
      <w:r>
        <w:rPr/>
        <w:t xml:space="preserve"> </w:t>
      </w:r>
      <w:r>
        <w:rPr/>
        <w:t>House of Lords’ Constitution Committee, 15th report of session 2008/09, HL paper 116-I, para. 186</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2880" w:hanging="360"/>
      </w:pPr>
      <w:rPr>
        <w:rFonts w:ascii="Symbol" w:hAnsi="Symbol" w:cs="Symbol" w:hint="default"/>
        <w:color w:val="4F81BD"/>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2">
    <w:lvl w:ilvl="0">
      <w:start w:val="1"/>
      <w:numFmt w:val="bullet"/>
      <w:lvlText w:val=""/>
      <w:lvlJc w:val="left"/>
      <w:pPr>
        <w:tabs>
          <w:tab w:val="num" w:pos="907"/>
        </w:tabs>
        <w:ind w:left="907" w:hanging="306"/>
      </w:pPr>
      <w:rPr>
        <w:rFonts w:ascii="Symbol" w:hAnsi="Symbol" w:cs="Symbol" w:hint="default"/>
        <w:color w:val="4F81BD"/>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bullet"/>
      <w:lvlText w:val=""/>
      <w:lvlJc w:val="left"/>
      <w:pPr>
        <w:tabs>
          <w:tab w:val="num" w:pos="794"/>
        </w:tabs>
        <w:ind w:left="794" w:hanging="454"/>
      </w:pPr>
      <w:rPr>
        <w:rFonts w:ascii="Symbol" w:hAnsi="Symbol" w:cs="Symbol" w:hint="default"/>
        <w:color w:val="4F81BD"/>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sz w:val="32"/>
        <w:color w:themeColor="text2" w:themeTint="99" w:val="548DD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1494"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Schedule %1: "/>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Section %1: "/>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0"/>
        </w:tabs>
        <w:ind w:left="1854" w:hanging="360"/>
      </w:pPr>
      <w:rPr>
        <w:rFonts w:ascii="Symbol" w:hAnsi="Symbol" w:cs="Symbol" w:hint="default"/>
        <w:sz w:val="32"/>
        <w:u w:val="none" w:color="FFFFFF" w:themeColor="light1"/>
        <w:color w:themeColor="accent1" w:val="4F81BD"/>
      </w:rPr>
    </w:lvl>
    <w:lvl w:ilvl="1">
      <w:start w:val="1"/>
      <w:numFmt w:val="bullet"/>
      <w:lvlText w:val="o"/>
      <w:lvlJc w:val="left"/>
      <w:pPr>
        <w:tabs>
          <w:tab w:val="num" w:pos="0"/>
        </w:tabs>
        <w:ind w:left="2574" w:hanging="360"/>
      </w:pPr>
      <w:rPr>
        <w:rFonts w:ascii="Courier New" w:hAnsi="Courier New" w:cs="Courier New" w:hint="default"/>
      </w:rPr>
    </w:lvl>
    <w:lvl w:ilvl="2">
      <w:start w:val="1"/>
      <w:numFmt w:val="bullet"/>
      <w:lvlText w:val=""/>
      <w:lvlJc w:val="left"/>
      <w:pPr>
        <w:tabs>
          <w:tab w:val="num" w:pos="0"/>
        </w:tabs>
        <w:ind w:left="3294" w:hanging="360"/>
      </w:pPr>
      <w:rPr>
        <w:rFonts w:ascii="Wingdings" w:hAnsi="Wingdings" w:cs="Wingdings" w:hint="default"/>
      </w:rPr>
    </w:lvl>
    <w:lvl w:ilvl="3">
      <w:start w:val="1"/>
      <w:numFmt w:val="bullet"/>
      <w:lvlText w:val=""/>
      <w:lvlJc w:val="left"/>
      <w:pPr>
        <w:tabs>
          <w:tab w:val="num" w:pos="0"/>
        </w:tabs>
        <w:ind w:left="4014" w:hanging="360"/>
      </w:pPr>
      <w:rPr>
        <w:rFonts w:ascii="Symbol" w:hAnsi="Symbol" w:cs="Symbol" w:hint="default"/>
      </w:rPr>
    </w:lvl>
    <w:lvl w:ilvl="4">
      <w:start w:val="1"/>
      <w:numFmt w:val="bullet"/>
      <w:lvlText w:val="o"/>
      <w:lvlJc w:val="left"/>
      <w:pPr>
        <w:tabs>
          <w:tab w:val="num" w:pos="0"/>
        </w:tabs>
        <w:ind w:left="4734" w:hanging="360"/>
      </w:pPr>
      <w:rPr>
        <w:rFonts w:ascii="Courier New" w:hAnsi="Courier New" w:cs="Courier New" w:hint="default"/>
      </w:rPr>
    </w:lvl>
    <w:lvl w:ilvl="5">
      <w:start w:val="1"/>
      <w:numFmt w:val="bullet"/>
      <w:lvlText w:val=""/>
      <w:lvlJc w:val="left"/>
      <w:pPr>
        <w:tabs>
          <w:tab w:val="num" w:pos="0"/>
        </w:tabs>
        <w:ind w:left="5454" w:hanging="360"/>
      </w:pPr>
      <w:rPr>
        <w:rFonts w:ascii="Wingdings" w:hAnsi="Wingdings" w:cs="Wingdings" w:hint="default"/>
      </w:rPr>
    </w:lvl>
    <w:lvl w:ilvl="6">
      <w:start w:val="1"/>
      <w:numFmt w:val="bullet"/>
      <w:lvlText w:val=""/>
      <w:lvlJc w:val="left"/>
      <w:pPr>
        <w:tabs>
          <w:tab w:val="num" w:pos="0"/>
        </w:tabs>
        <w:ind w:left="6174" w:hanging="360"/>
      </w:pPr>
      <w:rPr>
        <w:rFonts w:ascii="Symbol" w:hAnsi="Symbol" w:cs="Symbol" w:hint="default"/>
      </w:rPr>
    </w:lvl>
    <w:lvl w:ilvl="7">
      <w:start w:val="1"/>
      <w:numFmt w:val="bullet"/>
      <w:lvlText w:val="o"/>
      <w:lvlJc w:val="left"/>
      <w:pPr>
        <w:tabs>
          <w:tab w:val="num" w:pos="0"/>
        </w:tabs>
        <w:ind w:left="6894" w:hanging="360"/>
      </w:pPr>
      <w:rPr>
        <w:rFonts w:ascii="Courier New" w:hAnsi="Courier New" w:cs="Courier New" w:hint="default"/>
      </w:rPr>
    </w:lvl>
    <w:lvl w:ilvl="8">
      <w:start w:val="1"/>
      <w:numFmt w:val="bullet"/>
      <w:lvlText w:val=""/>
      <w:lvlJc w:val="left"/>
      <w:pPr>
        <w:tabs>
          <w:tab w:val="num" w:pos="0"/>
        </w:tabs>
        <w:ind w:left="7614"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mirrorMargins/>
  <w:embedSystemFonts/>
  <w:defaultTabStop w:val="720"/>
  <w:autoHyphenation w:val="true"/>
  <w:hyphenationZone w:val="0"/>
  <w:footnotePr>
    <w:numFmt w:val="decimal"/>
    <w:footnote w:id="0"/>
    <w:footnote w:id="1"/>
  </w:foot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ＭＳ 明朝" w:cs="" w:asciiTheme="minorHAnsi" w:cstheme="minorBidi" w:eastAsiaTheme="minorEastAsia" w:hAnsiTheme="minorHAnsi"/>
        <w:sz w:val="22"/>
        <w:szCs w:val="22"/>
        <w:lang w:val="en-US" w:eastAsia="en-US" w:bidi="en-US"/>
      </w:rPr>
    </w:rPrDefault>
    <w:pPrDefault>
      <w:pPr>
        <w:suppressAutoHyphens w:val="true"/>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uiPriority="9" w:semiHidden="1" w:unhideWhenUsed="1" w:qFormat="1"/>
    <w:lsdException w:name="heading 3" w:locked="0" w:uiPriority="9" w:semiHidden="1" w:unhideWhenUsed="1" w:qFormat="1"/>
    <w:lsdException w:name="heading 4" w:locked="0" w:uiPriority="9" w:semiHidden="1" w:unhideWhenUsed="1" w:qFormat="1"/>
    <w:lsdException w:name="heading 5" w:locked="0" w:uiPriority="9" w:semiHidden="1" w:unhideWhenUsed="1" w:qFormat="1"/>
    <w:lsdException w:name="heading 6" w:locked="0" w:uiPriority="9" w:semiHidden="1" w:unhideWhenUsed="1" w:qFormat="1"/>
    <w:lsdException w:name="heading 7" w:locked="0" w:uiPriority="9" w:semiHidden="1" w:unhideWhenUsed="1" w:qFormat="1"/>
    <w:lsdException w:name="heading 8" w:locked="0" w:uiPriority="9" w:semiHidden="1" w:unhideWhenUsed="1" w:qFormat="1"/>
    <w:lsdException w:name="heading 9" w:locked="0"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uiPriority="39" w:semiHidden="1" w:unhideWhenUsed="1"/>
    <w:lsdException w:name="toc 2" w:locked="0" w:uiPriority="39" w:semiHidden="1" w:unhideWhenUsed="1"/>
    <w:lsdException w:name="toc 3" w:locked="0" w:uiPriority="39" w:semiHidden="1" w:unhideWhenUsed="1"/>
    <w:lsdException w:name="toc 4" w:locked="0" w:uiPriority="39" w:semiHidden="1" w:unhideWhenUsed="1"/>
    <w:lsdException w:name="toc 5" w:locked="0" w:uiPriority="39" w:semiHidden="1" w:unhideWhenUsed="1"/>
    <w:lsdException w:name="toc 6" w:locked="0" w:uiPriority="39" w:semiHidden="1" w:unhideWhenUsed="1"/>
    <w:lsdException w:name="toc 7" w:locked="0" w:uiPriority="39" w:semiHidden="1" w:unhideWhenUsed="1"/>
    <w:lsdException w:name="toc 8" w:locked="0" w:uiPriority="39" w:semiHidden="1" w:unhideWhenUsed="1"/>
    <w:lsdException w:name="toc 9" w:locked="0" w:uiPriority="39" w:semiHidden="1"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semiHidden="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semiHidden="1" w:unhideWhenUsed="1"/>
    <w:lsdException w:name="TOC Heading" w:locked="0" w:uiPriority="39" w:semiHidden="1"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styleId="Normal" w:default="1">
    <w:name w:val="Normal"/>
    <w:qFormat/>
    <w:rsid w:val="007433d8"/>
    <w:pPr>
      <w:widowControl/>
      <w:bidi w:val="0"/>
      <w:spacing w:lineRule="auto" w:line="276" w:before="0" w:after="200"/>
      <w:jc w:val="left"/>
    </w:pPr>
    <w:rPr>
      <w:rFonts w:ascii="Calibri" w:hAnsi="Calibri" w:eastAsia="ＭＳ 明朝" w:cs="" w:asciiTheme="minorHAnsi" w:cstheme="minorBidi" w:eastAsiaTheme="minorEastAsia" w:hAnsiTheme="minorHAnsi"/>
      <w:color w:val="auto"/>
      <w:kern w:val="0"/>
      <w:sz w:val="22"/>
      <w:szCs w:val="22"/>
      <w:lang w:val="en-GB"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eastAsia="ＭＳ ゴシック" w:cs="" w:cstheme="majorBidi" w:eastAsiaTheme="majorEastAsia"/>
      <w:b/>
      <w:bCs/>
      <w:color w:val="0070C0"/>
      <w:sz w:val="36"/>
      <w:szCs w:val="28"/>
    </w:rPr>
  </w:style>
  <w:style w:type="paragraph" w:styleId="Heading2">
    <w:name w:val="heading 2"/>
    <w:basedOn w:val="Heading1"/>
    <w:next w:val="ParaNumbered"/>
    <w:link w:val="Heading2Char"/>
    <w:uiPriority w:val="9"/>
    <w:unhideWhenUsed/>
    <w:qFormat/>
    <w:rsid w:val="001208b2"/>
    <w:pPr>
      <w:spacing w:before="240" w:after="0"/>
      <w:contextualSpacing/>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after="0"/>
      <w:ind w:firstLine="1"/>
      <w:contextualSpacing/>
      <w:outlineLvl w:val="2"/>
    </w:pPr>
    <w:rPr>
      <w:sz w:val="28"/>
    </w:rPr>
  </w:style>
  <w:style w:type="paragraph" w:styleId="Heading4">
    <w:name w:val="heading 4"/>
    <w:basedOn w:val="Heading3"/>
    <w:next w:val="ParaNumbered"/>
    <w:link w:val="Heading4Char"/>
    <w:uiPriority w:val="9"/>
    <w:unhideWhenUsed/>
    <w:qFormat/>
    <w:rsid w:val="005a2759"/>
    <w:pPr>
      <w:spacing w:before="120" w:after="0"/>
      <w:ind w:hanging="0"/>
      <w:contextualSpacing/>
      <w:outlineLvl w:val="3"/>
    </w:pPr>
    <w:rPr>
      <w:rFonts w:ascii="Palatino Linotype" w:hAnsi="Palatino Linotype"/>
      <w:b w:val="false"/>
      <w:sz w:val="24"/>
    </w:rPr>
  </w:style>
  <w:style w:type="paragraph" w:styleId="Heading5">
    <w:name w:val="heading 5"/>
    <w:basedOn w:val="Heading4"/>
    <w:next w:val="ParaNumbered"/>
    <w:link w:val="Heading5Char"/>
    <w:uiPriority w:val="9"/>
    <w:semiHidden/>
    <w:unhideWhenUsed/>
    <w:qFormat/>
    <w:rsid w:val="00cc28d2"/>
    <w:pPr>
      <w:spacing w:before="200" w:after="0"/>
      <w:contextualSpacing/>
      <w:outlineLvl w:val="4"/>
    </w:pPr>
    <w:rPr>
      <w:b/>
      <w:color w:themeColor="text1" w:val="000000"/>
      <w:sz w:val="22"/>
      <w:u w:val="single"/>
    </w:rPr>
  </w:style>
  <w:style w:type="paragraph" w:styleId="Heading6">
    <w:name w:val="heading 6"/>
    <w:basedOn w:val="Normal"/>
    <w:next w:val="Normal"/>
    <w:link w:val="Heading6Char"/>
    <w:uiPriority w:val="9"/>
    <w:semiHidden/>
    <w:unhideWhenUsed/>
    <w:qFormat/>
    <w:locked/>
    <w:rsid w:val="00266ee5"/>
    <w:pPr>
      <w:spacing w:lineRule="auto" w:line="271" w:before="0" w:after="0"/>
      <w:outlineLvl w:val="5"/>
    </w:pPr>
    <w:rPr>
      <w:rFonts w:ascii="Cambria" w:hAnsi="Cambria" w:eastAsia="ＭＳ ゴシック" w:cs="" w:asciiTheme="majorHAnsi" w:cstheme="majorBidi" w:eastAsiaTheme="majorEastAsia" w:hAnsiTheme="majorHAnsi"/>
      <w:b/>
      <w:bCs/>
      <w:i/>
      <w:iCs/>
      <w:color w:themeColor="text1" w:themeTint="80" w:val="7F7F7F"/>
    </w:rPr>
  </w:style>
  <w:style w:type="paragraph" w:styleId="Heading7">
    <w:name w:val="heading 7"/>
    <w:basedOn w:val="Normal"/>
    <w:next w:val="Normal"/>
    <w:link w:val="Heading7Char"/>
    <w:uiPriority w:val="9"/>
    <w:semiHidden/>
    <w:unhideWhenUsed/>
    <w:qFormat/>
    <w:locked/>
    <w:rsid w:val="00266ee5"/>
    <w:pPr>
      <w:spacing w:before="0" w:after="0"/>
      <w:outlineLvl w:val="6"/>
    </w:pPr>
    <w:rPr>
      <w:rFonts w:ascii="Cambria" w:hAnsi="Cambria" w:eastAsia="ＭＳ ゴシック" w:cs="" w:asciiTheme="majorHAnsi" w:cstheme="majorBid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before="0" w:after="0"/>
      <w:outlineLvl w:val="7"/>
    </w:pPr>
    <w:rPr>
      <w:rFonts w:ascii="Cambria" w:hAnsi="Cambria" w:eastAsia="ＭＳ ゴシック" w:cs="" w:asciiTheme="majorHAnsi" w:cstheme="majorBid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before="0" w:after="0"/>
      <w:outlineLvl w:val="8"/>
    </w:pPr>
    <w:rPr>
      <w:rFonts w:ascii="Cambria" w:hAnsi="Cambria" w:eastAsia="ＭＳ ゴシック" w:cs="" w:asciiTheme="majorHAnsi" w:cstheme="majorBidi" w:eastAsiaTheme="majorEastAsia" w:hAnsiTheme="majorHAnsi"/>
      <w:i/>
      <w:iCs/>
      <w:spacing w:val="5"/>
      <w:sz w:val="20"/>
      <w:szCs w:val="20"/>
    </w:rPr>
  </w:style>
  <w:style w:type="character" w:styleId="DefaultParagraphFont" w:default="1">
    <w:name w:val="Default Paragraph Font"/>
    <w:uiPriority w:val="1"/>
    <w:semiHidden/>
    <w:unhideWhenUsed/>
    <w:qFormat/>
    <w:rPr/>
  </w:style>
  <w:style w:type="character" w:styleId="ENbodyboldemphasis" w:customStyle="1">
    <w:name w:val="EN body bold emphasis"/>
    <w:uiPriority w:val="99"/>
    <w:qFormat/>
    <w:locked/>
    <w:rsid w:val="00146fe0"/>
    <w:rPr>
      <w:rFonts w:ascii="Palatino Linotype" w:hAnsi="Palatino Linotype" w:cs="PalatinoLinotype-Bold"/>
      <w:b/>
      <w:bCs/>
    </w:rPr>
  </w:style>
  <w:style w:type="character" w:styleId="footnotenumber" w:customStyle="1">
    <w:name w:val="footnote number"/>
    <w:uiPriority w:val="99"/>
    <w:qFormat/>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styleId="blue" w:customStyle="1">
    <w:name w:val="blue"/>
    <w:uiPriority w:val="99"/>
    <w:qFormat/>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Characters">
    <w:name w:val="Footnote Characters"/>
    <w:basedOn w:val="DefaultParagraphFont"/>
    <w:uiPriority w:val="99"/>
    <w:unhideWhenUsed/>
    <w:qFormat/>
    <w:rsid w:val="003a3b83"/>
    <w:rPr>
      <w:vertAlign w:val="superscript"/>
    </w:rPr>
  </w:style>
  <w:style w:type="character" w:styleId="FootnoteReference">
    <w:name w:val="footnote reference"/>
    <w:rPr>
      <w:vertAlign w:val="superscript"/>
    </w:rPr>
  </w:style>
  <w:style w:type="character" w:styleId="HeaderChar" w:customStyle="1">
    <w:name w:val="Header Char"/>
    <w:basedOn w:val="DefaultParagraphFont"/>
    <w:link w:val="Header"/>
    <w:uiPriority w:val="99"/>
    <w:qFormat/>
    <w:rsid w:val="00a1272a"/>
    <w:rPr/>
  </w:style>
  <w:style w:type="character" w:styleId="FooterChar" w:customStyle="1">
    <w:name w:val="Footer Char"/>
    <w:basedOn w:val="DefaultParagraphFont"/>
    <w:link w:val="Footer"/>
    <w:uiPriority w:val="99"/>
    <w:qFormat/>
    <w:rsid w:val="00b7335e"/>
    <w:rPr>
      <w:sz w:val="20"/>
      <w:lang w:val="en-GB"/>
    </w:rPr>
  </w:style>
  <w:style w:type="character" w:styleId="PageNumber">
    <w:name w:val="page number"/>
    <w:uiPriority w:val="99"/>
    <w:semiHidden/>
    <w:unhideWhenUsed/>
    <w:locked/>
    <w:rsid w:val="00a1272a"/>
    <w:rPr/>
  </w:style>
  <w:style w:type="character" w:styleId="PlaceholderText">
    <w:name w:val="Placeholder Text"/>
    <w:basedOn w:val="DefaultParagraphFont"/>
    <w:uiPriority w:val="99"/>
    <w:unhideWhenUsed/>
    <w:qFormat/>
    <w:locked/>
    <w:rsid w:val="00256d46"/>
    <w:rPr>
      <w:color w:val="808080"/>
    </w:rPr>
  </w:style>
  <w:style w:type="character" w:styleId="BalloonTextChar" w:customStyle="1">
    <w:name w:val="Balloon Text Char"/>
    <w:basedOn w:val="DefaultParagraphFont"/>
    <w:link w:val="BalloonText"/>
    <w:uiPriority w:val="99"/>
    <w:semiHidden/>
    <w:qFormat/>
    <w:rsid w:val="00256d46"/>
    <w:rPr>
      <w:rFonts w:ascii="Tahoma" w:hAnsi="Tahoma" w:cs="Tahoma"/>
      <w:sz w:val="16"/>
      <w:szCs w:val="16"/>
      <w:lang w:eastAsia="en-US"/>
    </w:rPr>
  </w:style>
  <w:style w:type="character" w:styleId="Heading1Char" w:customStyle="1">
    <w:name w:val="Heading 1 Char"/>
    <w:basedOn w:val="DefaultParagraphFont"/>
    <w:link w:val="Heading1"/>
    <w:uiPriority w:val="9"/>
    <w:qFormat/>
    <w:rsid w:val="0013437d"/>
    <w:rPr>
      <w:rFonts w:ascii="Arial" w:hAnsi="Arial" w:eastAsia="ＭＳ ゴシック" w:cs="" w:cstheme="majorBidi" w:eastAsiaTheme="majorEastAsia"/>
      <w:b/>
      <w:bCs/>
      <w:color w:val="0070C0"/>
      <w:sz w:val="36"/>
      <w:szCs w:val="28"/>
    </w:rPr>
  </w:style>
  <w:style w:type="character" w:styleId="Heading2Char" w:customStyle="1">
    <w:name w:val="Heading 2 Char"/>
    <w:basedOn w:val="DefaultParagraphFont"/>
    <w:link w:val="Heading2"/>
    <w:uiPriority w:val="9"/>
    <w:qFormat/>
    <w:rsid w:val="001208b2"/>
    <w:rPr>
      <w:rFonts w:ascii="HelveticaNeue-Bold" w:hAnsi="HelveticaNeue-Bold" w:eastAsia="ＭＳ ゴシック" w:cs="" w:cstheme="majorBidi" w:eastAsiaTheme="majorEastAsia"/>
      <w:b/>
      <w:bCs/>
      <w:color w:val="0070C0"/>
      <w:sz w:val="32"/>
      <w:szCs w:val="32"/>
    </w:rPr>
  </w:style>
  <w:style w:type="character" w:styleId="Heading3Char" w:customStyle="1">
    <w:name w:val="Heading 3 Char"/>
    <w:basedOn w:val="DefaultParagraphFont"/>
    <w:link w:val="Heading3"/>
    <w:uiPriority w:val="9"/>
    <w:qFormat/>
    <w:rsid w:val="001208b2"/>
    <w:rPr>
      <w:rFonts w:ascii="HelveticaNeue-Bold" w:hAnsi="HelveticaNeue-Bold" w:eastAsia="ＭＳ ゴシック" w:cs="" w:cstheme="majorBidi" w:eastAsiaTheme="majorEastAsia"/>
      <w:b/>
      <w:bCs/>
      <w:color w:val="0070C0"/>
      <w:sz w:val="28"/>
      <w:szCs w:val="32"/>
    </w:rPr>
  </w:style>
  <w:style w:type="character" w:styleId="Heading4Char" w:customStyle="1">
    <w:name w:val="Heading 4 Char"/>
    <w:basedOn w:val="DefaultParagraphFont"/>
    <w:link w:val="Heading4"/>
    <w:uiPriority w:val="9"/>
    <w:qFormat/>
    <w:rsid w:val="005a2759"/>
    <w:rPr>
      <w:rFonts w:ascii="Palatino Linotype" w:hAnsi="Palatino Linotype" w:eastAsia="ＭＳ ゴシック" w:cs="" w:cstheme="majorBidi" w:eastAsiaTheme="majorEastAsia"/>
      <w:bCs/>
      <w:color w:val="0070C0"/>
      <w:sz w:val="24"/>
      <w:szCs w:val="32"/>
      <w:lang w:val="en-GB"/>
    </w:rPr>
  </w:style>
  <w:style w:type="character" w:styleId="Heading5Char" w:customStyle="1">
    <w:name w:val="Heading 5 Char"/>
    <w:basedOn w:val="DefaultParagraphFont"/>
    <w:link w:val="Heading5"/>
    <w:uiPriority w:val="9"/>
    <w:semiHidden/>
    <w:qFormat/>
    <w:rsid w:val="00cc28d2"/>
    <w:rPr>
      <w:rFonts w:ascii="Palatino Linotype" w:hAnsi="Palatino Linotype" w:eastAsia="ＭＳ ゴシック" w:cs="" w:cstheme="majorBidi" w:eastAsiaTheme="majorEastAsia"/>
      <w:b/>
      <w:bCs/>
      <w:color w:themeColor="text1" w:val="000000"/>
      <w:szCs w:val="32"/>
      <w:u w:val="single"/>
    </w:rPr>
  </w:style>
  <w:style w:type="character" w:styleId="Heading6Char" w:customStyle="1">
    <w:name w:val="Heading 6 Char"/>
    <w:basedOn w:val="DefaultParagraphFont"/>
    <w:link w:val="Heading6"/>
    <w:uiPriority w:val="9"/>
    <w:semiHidden/>
    <w:qFormat/>
    <w:rsid w:val="00266ee5"/>
    <w:rPr>
      <w:rFonts w:ascii="Cambria" w:hAnsi="Cambria" w:eastAsia="ＭＳ ゴシック" w:cs="" w:asciiTheme="majorHAnsi" w:cstheme="majorBidi" w:eastAsiaTheme="majorEastAsia" w:hAnsiTheme="majorHAnsi"/>
      <w:b/>
      <w:bCs/>
      <w:i/>
      <w:iCs/>
      <w:color w:themeColor="text1" w:themeTint="80" w:val="7F7F7F"/>
    </w:rPr>
  </w:style>
  <w:style w:type="character" w:styleId="Heading7Char" w:customStyle="1">
    <w:name w:val="Heading 7 Char"/>
    <w:basedOn w:val="DefaultParagraphFont"/>
    <w:link w:val="Heading7"/>
    <w:uiPriority w:val="9"/>
    <w:semiHidden/>
    <w:qFormat/>
    <w:rsid w:val="00266ee5"/>
    <w:rPr>
      <w:rFonts w:ascii="Cambria" w:hAnsi="Cambria" w:eastAsia="ＭＳ ゴシック" w:cs="" w:asciiTheme="majorHAnsi" w:cstheme="majorBidi" w:eastAsiaTheme="majorEastAsia" w:hAnsiTheme="majorHAnsi"/>
      <w:i/>
      <w:iCs/>
    </w:rPr>
  </w:style>
  <w:style w:type="character" w:styleId="Heading8Char" w:customStyle="1">
    <w:name w:val="Heading 8 Char"/>
    <w:basedOn w:val="DefaultParagraphFont"/>
    <w:link w:val="Heading8"/>
    <w:uiPriority w:val="9"/>
    <w:semiHidden/>
    <w:qFormat/>
    <w:rsid w:val="00266ee5"/>
    <w:rPr>
      <w:rFonts w:ascii="Cambria" w:hAnsi="Cambria" w:eastAsia="ＭＳ ゴシック" w:cs="" w:asciiTheme="majorHAnsi" w:cstheme="majorBidi" w:eastAsiaTheme="majorEastAsia" w:hAnsiTheme="majorHAnsi"/>
      <w:sz w:val="20"/>
      <w:szCs w:val="20"/>
    </w:rPr>
  </w:style>
  <w:style w:type="character" w:styleId="Heading9Char" w:customStyle="1">
    <w:name w:val="Heading 9 Char"/>
    <w:basedOn w:val="DefaultParagraphFont"/>
    <w:link w:val="Heading9"/>
    <w:uiPriority w:val="9"/>
    <w:semiHidden/>
    <w:qFormat/>
    <w:rsid w:val="00266ee5"/>
    <w:rPr>
      <w:rFonts w:ascii="Cambria" w:hAnsi="Cambria" w:eastAsia="ＭＳ ゴシック" w:cs="" w:asciiTheme="majorHAnsi" w:cstheme="majorBidi" w:eastAsiaTheme="majorEastAsia" w:hAnsiTheme="majorHAnsi"/>
      <w:i/>
      <w:iCs/>
      <w:spacing w:val="5"/>
      <w:sz w:val="20"/>
      <w:szCs w:val="20"/>
    </w:rPr>
  </w:style>
  <w:style w:type="character" w:styleId="TitleChar" w:customStyle="1">
    <w:name w:val="Title Char"/>
    <w:basedOn w:val="DefaultParagraphFont"/>
    <w:link w:val="Title"/>
    <w:uiPriority w:val="10"/>
    <w:qFormat/>
    <w:rsid w:val="00266ee5"/>
    <w:rPr>
      <w:rFonts w:ascii="Cambria" w:hAnsi="Cambria" w:eastAsia="ＭＳ ゴシック" w:cs="" w:asciiTheme="majorHAnsi" w:cstheme="majorBidi" w:eastAsiaTheme="majorEastAsia" w:hAnsiTheme="majorHAnsi"/>
      <w:spacing w:val="5"/>
      <w:sz w:val="52"/>
      <w:szCs w:val="52"/>
    </w:rPr>
  </w:style>
  <w:style w:type="character" w:styleId="SubtitleChar" w:customStyle="1">
    <w:name w:val="Subtitle Char"/>
    <w:basedOn w:val="DefaultParagraphFont"/>
    <w:link w:val="Subtitle"/>
    <w:uiPriority w:val="11"/>
    <w:qFormat/>
    <w:rsid w:val="00266ee5"/>
    <w:rPr>
      <w:rFonts w:ascii="Cambria" w:hAnsi="Cambria" w:eastAsia="ＭＳ ゴシック" w:cs="" w:asciiTheme="majorHAnsi" w:cstheme="majorBidi" w:eastAsiaTheme="majorEastAsia" w:hAnsiTheme="majorHAnsi"/>
      <w:i/>
      <w:iCs/>
      <w:spacing w:val="13"/>
      <w:sz w:val="24"/>
      <w:szCs w:val="24"/>
    </w:rPr>
  </w:style>
  <w:style w:type="character" w:styleId="Strong">
    <w:name w:val="Strong"/>
    <w:uiPriority w:val="22"/>
    <w:qFormat/>
    <w:locked/>
    <w:rsid w:val="00266ee5"/>
    <w:rPr>
      <w:b/>
      <w:bCs/>
    </w:rPr>
  </w:style>
  <w:style w:type="character" w:styleId="Emphasis">
    <w:name w:val="Emphasis"/>
    <w:uiPriority w:val="20"/>
    <w:qFormat/>
    <w:locked/>
    <w:rsid w:val="00266ee5"/>
    <w:rPr>
      <w:b/>
      <w:bCs/>
      <w:i/>
      <w:iCs/>
      <w:spacing w:val="10"/>
      <w:shd w:fill="auto" w:val="clear"/>
    </w:rPr>
  </w:style>
  <w:style w:type="character" w:styleId="NoSpacingChar" w:customStyle="1">
    <w:name w:val="No Spacing Char"/>
    <w:basedOn w:val="DefaultParagraphFont"/>
    <w:link w:val="NoSpacing"/>
    <w:uiPriority w:val="1"/>
    <w:qFormat/>
    <w:rsid w:val="005f0c99"/>
    <w:rPr/>
  </w:style>
  <w:style w:type="character" w:styleId="QuoteChar" w:customStyle="1">
    <w:name w:val="Quote Char"/>
    <w:basedOn w:val="DefaultParagraphFont"/>
    <w:link w:val="Quote"/>
    <w:uiPriority w:val="29"/>
    <w:qFormat/>
    <w:rsid w:val="00266ee5"/>
    <w:rPr>
      <w:i/>
      <w:iCs/>
    </w:rPr>
  </w:style>
  <w:style w:type="character" w:styleId="IntenseQuoteChar" w:customStyle="1">
    <w:name w:val="Intense Quote Char"/>
    <w:basedOn w:val="DefaultParagraphFont"/>
    <w:link w:val="IntenseQuote"/>
    <w:uiPriority w:val="30"/>
    <w:qFormat/>
    <w:rsid w:val="00266ee5"/>
    <w:rPr>
      <w:b/>
      <w:bCs/>
      <w:i/>
      <w:iCs/>
    </w:rPr>
  </w:style>
  <w:style w:type="character" w:styleId="SubtleEmphasis">
    <w:name w:val="Subtle Emphasis"/>
    <w:uiPriority w:val="19"/>
    <w:qFormat/>
    <w:locked/>
    <w:rsid w:val="00266ee5"/>
    <w:rPr>
      <w:i/>
      <w:iCs/>
    </w:rPr>
  </w:style>
  <w:style w:type="character" w:styleId="IntenseEmphasis">
    <w:name w:val="Intense Emphasis"/>
    <w:uiPriority w:val="21"/>
    <w:qFormat/>
    <w:locked/>
    <w:rsid w:val="00266ee5"/>
    <w:rPr>
      <w:b/>
      <w:bCs/>
    </w:rPr>
  </w:style>
  <w:style w:type="character" w:styleId="SubtleReference">
    <w:name w:val="Subtle Reference"/>
    <w:uiPriority w:val="31"/>
    <w:qFormat/>
    <w:locked/>
    <w:rsid w:val="00266ee5"/>
    <w:rPr>
      <w:smallCaps/>
    </w:rPr>
  </w:style>
  <w:style w:type="character" w:styleId="IntenseReference">
    <w:name w:val="Intense Reference"/>
    <w:uiPriority w:val="32"/>
    <w:qFormat/>
    <w:locked/>
    <w:rsid w:val="00266ee5"/>
    <w:rPr>
      <w:smallCaps/>
      <w:spacing w:val="5"/>
      <w:u w:val="single"/>
    </w:rPr>
  </w:style>
  <w:style w:type="character" w:styleId="BookTitle">
    <w:name w:val="Book Title"/>
    <w:uiPriority w:val="33"/>
    <w:qFormat/>
    <w:locked/>
    <w:rsid w:val="00266ee5"/>
    <w:rPr>
      <w:i/>
      <w:iCs/>
      <w:smallCaps/>
      <w:spacing w:val="5"/>
    </w:rPr>
  </w:style>
  <w:style w:type="character" w:styleId="Style11" w:customStyle="1">
    <w:name w:val="Style1"/>
    <w:basedOn w:val="DefaultParagraphFont"/>
    <w:uiPriority w:val="1"/>
    <w:qFormat/>
    <w:locked/>
    <w:rsid w:val="005c27d3"/>
    <w:rPr>
      <w:caps/>
      <w:sz w:val="24"/>
    </w:rPr>
  </w:style>
  <w:style w:type="character" w:styleId="CapitalisedStyle" w:customStyle="1">
    <w:name w:val="Capitalised Style"/>
    <w:basedOn w:val="DefaultParagraphFont"/>
    <w:uiPriority w:val="1"/>
    <w:qFormat/>
    <w:locked/>
    <w:rsid w:val="005c27d3"/>
    <w:rPr>
      <w:caps/>
    </w:rPr>
  </w:style>
  <w:style w:type="character" w:styleId="CapitalisedStyle1" w:customStyle="1">
    <w:name w:val="Capitalised Style 1"/>
    <w:basedOn w:val="DefaultParagraphFont"/>
    <w:uiPriority w:val="1"/>
    <w:qFormat/>
    <w:locked/>
    <w:rsid w:val="00174d63"/>
    <w:rPr>
      <w:caps/>
    </w:rPr>
  </w:style>
  <w:style w:type="character" w:styleId="Style21" w:customStyle="1">
    <w:name w:val="Style2"/>
    <w:basedOn w:val="DefaultParagraphFont"/>
    <w:uiPriority w:val="1"/>
    <w:qFormat/>
    <w:locked/>
    <w:rsid w:val="005c27d3"/>
    <w:rPr/>
  </w:style>
  <w:style w:type="character" w:styleId="FootnoteTextChar" w:customStyle="1">
    <w:name w:val="Footnote Text Char"/>
    <w:basedOn w:val="DefaultParagraphFont"/>
    <w:link w:val="FootnoteText"/>
    <w:uiPriority w:val="99"/>
    <w:qFormat/>
    <w:rsid w:val="003a3b83"/>
    <w:rPr>
      <w:sz w:val="18"/>
      <w:szCs w:val="20"/>
      <w:lang w:val="en-GB"/>
    </w:rPr>
  </w:style>
  <w:style w:type="character" w:styleId="NoParagraphStyleChar" w:customStyle="1">
    <w:name w:val="[No Paragraph Style] Char"/>
    <w:basedOn w:val="DefaultParagraphFont"/>
    <w:link w:val="NoParagraphStyle"/>
    <w:qFormat/>
    <w:rsid w:val="0067758b"/>
    <w:rPr>
      <w:rFonts w:ascii="RdgSwift-Regular" w:hAnsi="RdgSwift-Regular" w:cs="RdgSwift-Regular"/>
      <w:color w:val="000000"/>
      <w:sz w:val="20"/>
      <w:szCs w:val="24"/>
    </w:rPr>
  </w:style>
  <w:style w:type="character" w:styleId="ENHeading1CategoryChar" w:customStyle="1">
    <w:name w:val="EN Heading (1) : Category Char"/>
    <w:basedOn w:val="NoParagraphStyleChar"/>
    <w:link w:val="ENHeading1Category"/>
    <w:uiPriority w:val="99"/>
    <w:qFormat/>
    <w:rsid w:val="0013437d"/>
    <w:rPr>
      <w:rFonts w:ascii="Arial" w:hAnsi="Arial" w:cs="HelveticaNeue-Bold"/>
      <w:b/>
      <w:bCs/>
      <w:color w:val="0076BF"/>
      <w:sz w:val="36"/>
      <w:szCs w:val="36"/>
    </w:rPr>
  </w:style>
  <w:style w:type="character" w:styleId="WhatthesenotesdoChar" w:customStyle="1">
    <w:name w:val="Whatthesenotesdo Char"/>
    <w:basedOn w:val="ENHeading1CategoryChar"/>
    <w:link w:val="ENHeading1Unindexed"/>
    <w:qFormat/>
    <w:rsid w:val="0013437d"/>
    <w:rPr>
      <w:rFonts w:ascii="Arial" w:hAnsi="Arial" w:cs="HelveticaNeue-Bold"/>
      <w:b/>
      <w:bCs/>
      <w:color w:val="0076BF"/>
      <w:sz w:val="32"/>
      <w:szCs w:val="36"/>
    </w:rPr>
  </w:style>
  <w:style w:type="character" w:styleId="ToCHeadingChar" w:customStyle="1">
    <w:name w:val="ToC Heading Char"/>
    <w:basedOn w:val="ENHeading1CategoryChar"/>
    <w:link w:val="TOCHeading1"/>
    <w:qFormat/>
    <w:rsid w:val="001172fe"/>
    <w:rPr>
      <w:rFonts w:ascii="HelveticaNeue-Bold" w:hAnsi="HelveticaNeue-Bold" w:cs="HelveticaNeue-Bold"/>
      <w:b/>
      <w:bCs/>
      <w:color w:val="0076BF"/>
      <w:sz w:val="36"/>
      <w:szCs w:val="36"/>
    </w:rPr>
  </w:style>
  <w:style w:type="character" w:styleId="Style31" w:customStyle="1">
    <w:name w:val="Style3"/>
    <w:basedOn w:val="DefaultParagraphFont"/>
    <w:uiPriority w:val="1"/>
    <w:qFormat/>
    <w:locked/>
    <w:rsid w:val="00604148"/>
    <w:rPr>
      <w:color w:themeColor="background1" w:themeShade="80" w:val="808080"/>
    </w:rPr>
  </w:style>
  <w:style w:type="character" w:styleId="FooterText" w:customStyle="1">
    <w:name w:val="Footer Text"/>
    <w:basedOn w:val="DefaultParagraphFont"/>
    <w:uiPriority w:val="1"/>
    <w:qFormat/>
    <w:locked/>
    <w:rsid w:val="00b7335e"/>
    <w:rPr>
      <w:rFonts w:ascii="Calibri" w:hAnsi="Calibri" w:asciiTheme="minorHAnsi" w:hAnsiTheme="minorHAnsi"/>
      <w:i/>
      <w:color w:val="auto"/>
      <w:sz w:val="20"/>
    </w:rPr>
  </w:style>
  <w:style w:type="character" w:styleId="MinisterialSign-offNameChar" w:customStyle="1">
    <w:name w:val="Ministerial Sign-off Name Char"/>
    <w:basedOn w:val="NoParagraphStyleChar"/>
    <w:link w:val="MinisterialSign-offName"/>
    <w:uiPriority w:val="99"/>
    <w:qFormat/>
    <w:rsid w:val="00146fe0"/>
    <w:rPr>
      <w:rFonts w:ascii="Palatino Linotype" w:hAnsi="Palatino Linotype" w:cs="PalatinoLinotype-Bold"/>
      <w:b/>
      <w:bCs/>
      <w:color w:val="000000"/>
      <w:sz w:val="20"/>
      <w:szCs w:val="24"/>
    </w:rPr>
  </w:style>
  <w:style w:type="character" w:styleId="MinisterialSignoffChar" w:customStyle="1">
    <w:name w:val="Ministerial Sign off Char"/>
    <w:basedOn w:val="MinisterialSign-offNameChar"/>
    <w:link w:val="MinisterialSignoff"/>
    <w:qFormat/>
    <w:rsid w:val="00aa1ae3"/>
    <w:rPr>
      <w:rFonts w:ascii="PalatinoLinotype-Bold" w:hAnsi="PalatinoLinotype-Bold" w:cs="PalatinoLinotype-Bold"/>
      <w:b/>
      <w:bCs/>
      <w:color w:val="000000"/>
      <w:sz w:val="20"/>
      <w:szCs w:val="24"/>
    </w:rPr>
  </w:style>
  <w:style w:type="character" w:styleId="ENBodyTextNumberedChar" w:customStyle="1">
    <w:name w:val="EN Body Text + Numbered Char"/>
    <w:basedOn w:val="NoParagraphStyleChar"/>
    <w:link w:val="ENBodyTextNumbered"/>
    <w:uiPriority w:val="99"/>
    <w:qFormat/>
    <w:rsid w:val="00ae5693"/>
    <w:rPr>
      <w:rFonts w:ascii="Palatino Linotype" w:hAnsi="Palatino Linotype" w:cs="PalatinoLinotype-Roman"/>
      <w:color w:val="000000"/>
      <w:sz w:val="20"/>
      <w:szCs w:val="24"/>
    </w:rPr>
  </w:style>
  <w:style w:type="character" w:styleId="ParaNumberedChar" w:customStyle="1">
    <w:name w:val="Para: Numbered Char"/>
    <w:basedOn w:val="ENBodyTextNumberedChar"/>
    <w:link w:val="ParaNumbered"/>
    <w:qFormat/>
    <w:rsid w:val="009a4422"/>
    <w:rPr>
      <w:rFonts w:ascii="PalatinoLinotype-Roman" w:hAnsi="PalatinoLinotype-Roman" w:cs="PalatinoLinotype-Roman"/>
      <w:color w:val="000000"/>
      <w:sz w:val="20"/>
      <w:szCs w:val="24"/>
    </w:rPr>
  </w:style>
  <w:style w:type="character" w:styleId="ENBodyTextChar" w:customStyle="1">
    <w:name w:val="EN Body Text Char"/>
    <w:basedOn w:val="NoParagraphStyleChar"/>
    <w:link w:val="ENBodyText"/>
    <w:uiPriority w:val="99"/>
    <w:qFormat/>
    <w:rsid w:val="00ae5693"/>
    <w:rPr>
      <w:rFonts w:ascii="Palatino Linotype" w:hAnsi="Palatino Linotype" w:cs="PalatinoLinotype-Roman"/>
      <w:color w:val="000000"/>
      <w:sz w:val="20"/>
      <w:szCs w:val="24"/>
    </w:rPr>
  </w:style>
  <w:style w:type="character" w:styleId="MinisterialStatementTextChar" w:customStyle="1">
    <w:name w:val="Ministerial Statement Text Char"/>
    <w:basedOn w:val="ENBodyTextChar"/>
    <w:link w:val="MinisterialStatementText"/>
    <w:qFormat/>
    <w:rsid w:val="00933688"/>
    <w:rPr>
      <w:rFonts w:ascii="PalatinoLinotype-Roman" w:hAnsi="PalatinoLinotype-Roman" w:cs="PalatinoLinotype-Roman"/>
      <w:color w:val="000000"/>
      <w:sz w:val="20"/>
      <w:szCs w:val="24"/>
    </w:rPr>
  </w:style>
  <w:style w:type="character" w:styleId="ParaMainTextChar" w:customStyle="1">
    <w:name w:val="Para: Main Text Char"/>
    <w:basedOn w:val="ENBodyTextChar"/>
    <w:link w:val="ParaMainText"/>
    <w:qFormat/>
    <w:rsid w:val="0059596a"/>
    <w:rPr>
      <w:rFonts w:ascii="Palatino Linotype" w:hAnsi="Palatino Linotype" w:cs="PalatinoLinotype-Roman"/>
      <w:color w:val="000000"/>
      <w:sz w:val="20"/>
      <w:szCs w:val="24"/>
    </w:rPr>
  </w:style>
  <w:style w:type="character" w:styleId="ENIntroTextChar" w:customStyle="1">
    <w:name w:val="EN Intro Text Char"/>
    <w:basedOn w:val="ENBodyTextChar"/>
    <w:link w:val="ENIntroText"/>
    <w:qFormat/>
    <w:rsid w:val="0067758b"/>
    <w:rPr>
      <w:rFonts w:ascii="PalatinoLinotype-Roman" w:hAnsi="PalatinoLinotype-Roman" w:cs="PalatinoLinotype-Roman"/>
      <w:color w:val="000000"/>
      <w:sz w:val="20"/>
      <w:szCs w:val="24"/>
    </w:rPr>
  </w:style>
  <w:style w:type="character" w:styleId="ENBodyTextBulletsChar" w:customStyle="1">
    <w:name w:val="EN Body Text + Bullets Char"/>
    <w:basedOn w:val="NoParagraphStyleChar"/>
    <w:link w:val="ENBodyTextBullets"/>
    <w:uiPriority w:val="99"/>
    <w:qFormat/>
    <w:rsid w:val="00ae5693"/>
    <w:rPr>
      <w:rFonts w:ascii="Palatino Linotype" w:hAnsi="Palatino Linotype" w:cs="PalatinoLinotype-Roman"/>
      <w:color w:val="000000"/>
      <w:sz w:val="20"/>
      <w:szCs w:val="24"/>
    </w:rPr>
  </w:style>
  <w:style w:type="character" w:styleId="ParaBulletedChar" w:customStyle="1">
    <w:name w:val="Para: Bulleted Char"/>
    <w:basedOn w:val="ENBodyTextBulletsChar"/>
    <w:link w:val="ParaBulleted"/>
    <w:qFormat/>
    <w:rsid w:val="009a4422"/>
    <w:rPr>
      <w:rFonts w:ascii="PalatinoLinotype-Roman" w:hAnsi="PalatinoLinotype-Roman" w:cs="PalatinoLinotype-Roman"/>
      <w:color w:val="000000"/>
      <w:sz w:val="20"/>
      <w:szCs w:val="24"/>
    </w:rPr>
  </w:style>
  <w:style w:type="character" w:styleId="TTableHeadings" w:customStyle="1">
    <w:name w:val="T: Table Headings"/>
    <w:basedOn w:val="ENbodyboldemphasis"/>
    <w:qFormat/>
    <w:rsid w:val="005a2759"/>
    <w:rPr>
      <w:rFonts w:ascii="Arial" w:hAnsi="Arial" w:cs="PalatinoLinotype-Bold"/>
      <w:b/>
      <w:bCs/>
      <w:color w:val="000000"/>
      <w:sz w:val="16"/>
    </w:rPr>
  </w:style>
  <w:style w:type="character" w:styleId="ENIntroTextBulletedChar" w:customStyle="1">
    <w:name w:val="EN Intro Text (Bulleted) Char"/>
    <w:basedOn w:val="ENBodyTextBulletsChar"/>
    <w:link w:val="ENIntroTextBulleted"/>
    <w:qFormat/>
    <w:rsid w:val="0067758b"/>
    <w:rPr>
      <w:rFonts w:ascii="PalatinoLinotype-Roman" w:hAnsi="PalatinoLinotype-Roman" w:cs="PalatinoLinotype-Roman"/>
      <w:color w:val="000000"/>
      <w:sz w:val="20"/>
      <w:szCs w:val="24"/>
    </w:rPr>
  </w:style>
  <w:style w:type="character" w:styleId="HSubheading4Char" w:customStyle="1">
    <w:name w:val="H: Subheading 4 Char"/>
    <w:basedOn w:val="Heading3Char"/>
    <w:link w:val="HSubheading4"/>
    <w:qFormat/>
    <w:rsid w:val="0059596a"/>
    <w:rPr>
      <w:rFonts w:ascii="Palatino Linotype" w:hAnsi="Palatino Linotype" w:eastAsia="ＭＳ ゴシック" w:cs="" w:cstheme="majorBidi" w:eastAsiaTheme="majorEastAsia"/>
      <w:b w:val="false"/>
      <w:bCs/>
      <w:color w:val="0070C0"/>
      <w:sz w:val="24"/>
      <w:szCs w:val="24"/>
      <w:lang w:val="en-GB"/>
    </w:rPr>
  </w:style>
  <w:style w:type="character" w:styleId="ScheduleHeadingChar" w:customStyle="1">
    <w:name w:val="Schedule Heading Char"/>
    <w:basedOn w:val="Heading2Char"/>
    <w:link w:val="ScheduleHeading"/>
    <w:qFormat/>
    <w:rsid w:val="00912abf"/>
    <w:rPr>
      <w:rFonts w:ascii="HelveticaNeue-Bold" w:hAnsi="HelveticaNeue-Bold" w:eastAsia="ＭＳ ゴシック" w:cs="" w:cstheme="majorBidi" w:eastAsiaTheme="majorEastAsia"/>
      <w:b/>
      <w:bCs/>
      <w:color w:val="0070C0"/>
      <w:sz w:val="28"/>
      <w:szCs w:val="32"/>
    </w:rPr>
  </w:style>
  <w:style w:type="character" w:styleId="HSubheading3Char" w:customStyle="1">
    <w:name w:val="H: Subheading 3 Char"/>
    <w:basedOn w:val="Heading2Char"/>
    <w:link w:val="HSubheading3"/>
    <w:qFormat/>
    <w:rsid w:val="001208b2"/>
    <w:rPr>
      <w:rFonts w:ascii="HelveticaNeue-Bold" w:hAnsi="HelveticaNeue-Bold" w:eastAsia="ＭＳ ゴシック" w:cs="" w:cstheme="majorBidi" w:eastAsiaTheme="majorEastAsia"/>
      <w:b/>
      <w:bCs/>
      <w:color w:val="0070C0"/>
      <w:sz w:val="28"/>
      <w:szCs w:val="28"/>
    </w:rPr>
  </w:style>
  <w:style w:type="character" w:styleId="deletedsectionheadingChar" w:customStyle="1">
    <w:name w:val="deleted section heading Char"/>
    <w:basedOn w:val="HSubheading4Char"/>
    <w:link w:val="deletedsectionheading"/>
    <w:qFormat/>
    <w:rsid w:val="00146fe0"/>
    <w:rPr>
      <w:rFonts w:ascii="Palatino Linotype" w:hAnsi="Palatino Linotype" w:eastAsia="ＭＳ ゴシック" w:cs="" w:cstheme="majorBidi" w:eastAsiaTheme="majorEastAsia"/>
      <w:b/>
      <w:bCs/>
      <w:color w:val="0070C0"/>
      <w:sz w:val="24"/>
      <w:szCs w:val="24"/>
      <w:lang w:val="en-GB"/>
    </w:rPr>
  </w:style>
  <w:style w:type="character" w:styleId="HSubheading2Char" w:customStyle="1">
    <w:name w:val="H: Subheading 2 Char"/>
    <w:basedOn w:val="HSubheading3Char"/>
    <w:link w:val="HSubheading2"/>
    <w:qFormat/>
    <w:rsid w:val="001208b2"/>
    <w:rPr>
      <w:rFonts w:ascii="HelveticaNeue-Bold" w:hAnsi="HelveticaNeue-Bold" w:eastAsia="ＭＳ ゴシック" w:cs="" w:cstheme="majorBidi" w:eastAsiaTheme="majorEastAsia"/>
      <w:b/>
      <w:bCs/>
      <w:color w:val="0070C0"/>
      <w:sz w:val="32"/>
      <w:szCs w:val="32"/>
    </w:rPr>
  </w:style>
  <w:style w:type="character" w:styleId="SectionHeadingChar" w:customStyle="1">
    <w:name w:val="Section Heading Char"/>
    <w:basedOn w:val="HSubheading4Char"/>
    <w:link w:val="SectionHeading"/>
    <w:qFormat/>
    <w:rsid w:val="00912abf"/>
    <w:rPr>
      <w:rFonts w:ascii="PalatinoLinotype-Roman" w:hAnsi="PalatinoLinotype-Roman" w:eastAsia="ＭＳ ゴシック" w:cs="" w:cstheme="majorBidi" w:eastAsiaTheme="majorEastAsia"/>
      <w:b w:val="false"/>
      <w:bCs/>
      <w:color w:val="0070C0"/>
      <w:sz w:val="24"/>
      <w:szCs w:val="32"/>
      <w:lang w:val="en-GB"/>
    </w:rPr>
  </w:style>
  <w:style w:type="character" w:styleId="StylePlaceholderTextLatinHelveticaNeue-Bold22ptBoldT" w:customStyle="1">
    <w:name w:val="Style Placeholder Text + (Latin) HelveticaNeue-Bold 22 pt Bold T..."/>
    <w:basedOn w:val="PlaceholderText"/>
    <w:qFormat/>
    <w:rsid w:val="00146fe0"/>
    <w:rPr>
      <w:rFonts w:ascii="Arial" w:hAnsi="Arial"/>
      <w:b/>
      <w:bCs/>
      <w:caps/>
      <w:color w:themeColor="text1" w:val="000000"/>
      <w:spacing w:val="2"/>
      <w:sz w:val="44"/>
    </w:rPr>
  </w:style>
  <w:style w:type="character" w:styleId="StylePlaceholderTextLatinPalatinoLinotype10ptAuto" w:customStyle="1">
    <w:name w:val="Style Placeholder Text + (Latin) Palatino Linotype 10 pt Auto"/>
    <w:basedOn w:val="PlaceholderText"/>
    <w:qFormat/>
    <w:rsid w:val="0067758b"/>
    <w:rPr>
      <w:rFonts w:ascii="Palatino Linotype" w:hAnsi="Palatino Linotype"/>
      <w:color w:val="auto"/>
      <w:sz w:val="20"/>
    </w:rPr>
  </w:style>
  <w:style w:type="character" w:styleId="CDefault" w:customStyle="1">
    <w:name w:val="C: Default"/>
    <w:basedOn w:val="DefaultParagraphFont"/>
    <w:uiPriority w:val="1"/>
    <w:qFormat/>
    <w:rsid w:val="0044491f"/>
    <w:rPr/>
  </w:style>
  <w:style w:type="character" w:styleId="CBold" w:customStyle="1">
    <w:name w:val="C: Bold"/>
    <w:basedOn w:val="CDefault"/>
    <w:uiPriority w:val="1"/>
    <w:qFormat/>
    <w:rsid w:val="0044491f"/>
    <w:rPr>
      <w:b/>
    </w:rPr>
  </w:style>
  <w:style w:type="character" w:styleId="CItalic" w:customStyle="1">
    <w:name w:val="C: Italic"/>
    <w:basedOn w:val="CDefault"/>
    <w:uiPriority w:val="1"/>
    <w:qFormat/>
    <w:rsid w:val="0044491f"/>
    <w:rPr>
      <w:b w:val="false"/>
      <w:i/>
    </w:rPr>
  </w:style>
  <w:style w:type="character" w:styleId="CUnderlined" w:customStyle="1">
    <w:name w:val="C: Underlined"/>
    <w:basedOn w:val="CDefault"/>
    <w:uiPriority w:val="1"/>
    <w:qFormat/>
    <w:rsid w:val="0044491f"/>
    <w:rPr>
      <w:u w:val="single"/>
    </w:rPr>
  </w:style>
  <w:style w:type="character" w:styleId="CBoldItalic" w:customStyle="1">
    <w:name w:val="C: BoldItalic"/>
    <w:basedOn w:val="CDefault"/>
    <w:uiPriority w:val="1"/>
    <w:qFormat/>
    <w:rsid w:val="0044491f"/>
    <w:rPr>
      <w:b/>
      <w:i/>
    </w:rPr>
  </w:style>
  <w:style w:type="character" w:styleId="CBoldUnderlined" w:customStyle="1">
    <w:name w:val="C: BoldUnderlined"/>
    <w:basedOn w:val="CDefault"/>
    <w:uiPriority w:val="1"/>
    <w:qFormat/>
    <w:rsid w:val="0044491f"/>
    <w:rPr>
      <w:b/>
      <w:u w:val="single"/>
    </w:rPr>
  </w:style>
  <w:style w:type="character" w:styleId="CItalicUnderlined" w:customStyle="1">
    <w:name w:val="C: ItalicUnderlined"/>
    <w:basedOn w:val="CDefault"/>
    <w:uiPriority w:val="1"/>
    <w:qFormat/>
    <w:rsid w:val="0044491f"/>
    <w:rPr>
      <w:b w:val="false"/>
      <w:i/>
      <w:u w:val="single"/>
    </w:rPr>
  </w:style>
  <w:style w:type="character" w:styleId="HSubheading5Char" w:customStyle="1">
    <w:name w:val="H: Subheading 5 Char"/>
    <w:basedOn w:val="Heading5Char"/>
    <w:link w:val="HSubheading5"/>
    <w:qFormat/>
    <w:rsid w:val="00cc28d2"/>
    <w:rPr>
      <w:rFonts w:ascii="Palatino Linotype" w:hAnsi="Palatino Linotype" w:eastAsia="ＭＳ ゴシック" w:cs="" w:cstheme="majorBidi" w:eastAsiaTheme="majorEastAsia"/>
      <w:b/>
      <w:bCs/>
      <w:color w:themeColor="text1" w:val="000000"/>
      <w:szCs w:val="32"/>
      <w:u w:val="single"/>
    </w:rPr>
  </w:style>
  <w:style w:type="character" w:styleId="ReferenceExampleChar" w:customStyle="1">
    <w:name w:val="Reference/Example Char"/>
    <w:basedOn w:val="HSubheading4Char"/>
    <w:link w:val="ReferenceExample"/>
    <w:qFormat/>
    <w:rsid w:val="00e15c5e"/>
    <w:rPr>
      <w:rFonts w:ascii="PalatinoLinotype-Roman" w:hAnsi="PalatinoLinotype-Roman" w:eastAsia="ＭＳ ゴシック" w:cs="" w:cstheme="majorBidi" w:eastAsiaTheme="majorEastAsia"/>
      <w:b/>
      <w:bCs/>
      <w:color w:val="0070C0"/>
      <w:sz w:val="24"/>
      <w:szCs w:val="24"/>
      <w:lang w:val="en-GB"/>
    </w:rPr>
  </w:style>
  <w:style w:type="character" w:styleId="BackPageTextChar" w:customStyle="1">
    <w:name w:val="BackPageText Char"/>
    <w:basedOn w:val="DefaultParagraphFont"/>
    <w:link w:val="BackPageText"/>
    <w:qFormat/>
    <w:rsid w:val="00866b9d"/>
    <w:rPr>
      <w:lang w:val="en-GB"/>
    </w:rPr>
  </w:style>
  <w:style w:type="character" w:styleId="EndnoteCharacters">
    <w:name w:val="Endnote Characters"/>
    <w:basedOn w:val="DefaultParagraphFont"/>
    <w:uiPriority w:val="99"/>
    <w:unhideWhenUsed/>
    <w:qFormat/>
    <w:locked/>
    <w:rsid w:val="00e272b9"/>
    <w:rPr>
      <w:vertAlign w:val="superscript"/>
    </w:rPr>
  </w:style>
  <w:style w:type="character" w:styleId="EndnoteReference">
    <w:name w:val="endnote reference"/>
    <w:rPr>
      <w:vertAlign w:val="superscript"/>
    </w:rPr>
  </w:style>
  <w:style w:type="character" w:styleId="StyleLatinPalatinoLinotype-Roman10pt" w:customStyle="1">
    <w:name w:val="Style (Latin) PalatinoLinotype-Roman 10 pt"/>
    <w:basedOn w:val="DefaultParagraphFont"/>
    <w:qFormat/>
    <w:rsid w:val="00ae5693"/>
    <w:rPr>
      <w:rFonts w:ascii="Palatino Linotype" w:hAnsi="Palatino Linotype"/>
      <w:sz w:val="20"/>
    </w:rPr>
  </w:style>
  <w:style w:type="character" w:styleId="StyleLatinPalatinoLinotype10ptBlack" w:customStyle="1">
    <w:name w:val="Style (Latin) Palatino Linotype 10 pt Black"/>
    <w:basedOn w:val="DefaultParagraphFont"/>
    <w:qFormat/>
    <w:rsid w:val="00ae5693"/>
    <w:rPr>
      <w:rFonts w:ascii="Palatino Linotype" w:hAnsi="Palatino Linotype"/>
      <w:color w:val="000000"/>
      <w:sz w:val="20"/>
    </w:rPr>
  </w:style>
  <w:style w:type="character" w:styleId="StyleLatinArial" w:customStyle="1">
    <w:name w:val="Style (Latin) Arial"/>
    <w:basedOn w:val="DefaultParagraphFont"/>
    <w:qFormat/>
    <w:rsid w:val="00ae5693"/>
    <w:rPr>
      <w:rFonts w:ascii="Arial" w:hAnsi="Arial"/>
      <w:b/>
      <w:bCs/>
      <w:color w:val="0070C0"/>
      <w:sz w:val="36"/>
    </w:rPr>
  </w:style>
  <w:style w:type="character" w:styleId="StylePlaceholderTextLatinPalatinoLinotype-Roman10pt" w:customStyle="1">
    <w:name w:val="Style Placeholder Text + (Latin) Palatino Linotype-Roman 10 pt"/>
    <w:basedOn w:val="PlaceholderText"/>
    <w:qFormat/>
    <w:rsid w:val="00146fe0"/>
    <w:rPr>
      <w:rFonts w:ascii="Palatino Linotype" w:hAnsi="Palatino Linotype"/>
      <w:color w:val="808080"/>
      <w:sz w:val="20"/>
    </w:rPr>
  </w:style>
  <w:style w:type="character" w:styleId="CommentReference">
    <w:name w:val="annotation reference"/>
    <w:basedOn w:val="DefaultParagraphFont"/>
    <w:uiPriority w:val="99"/>
    <w:semiHidden/>
    <w:unhideWhenUsed/>
    <w:qFormat/>
    <w:locked/>
    <w:rsid w:val="004c2ed0"/>
    <w:rPr>
      <w:sz w:val="16"/>
      <w:szCs w:val="16"/>
    </w:rPr>
  </w:style>
  <w:style w:type="character" w:styleId="CommentTextChar" w:customStyle="1">
    <w:name w:val="Comment Text Char"/>
    <w:basedOn w:val="DefaultParagraphFont"/>
    <w:link w:val="CommentText"/>
    <w:uiPriority w:val="99"/>
    <w:semiHidden/>
    <w:qFormat/>
    <w:rsid w:val="004c2ed0"/>
    <w:rPr>
      <w:sz w:val="20"/>
      <w:szCs w:val="20"/>
      <w:lang w:val="en-GB"/>
    </w:rPr>
  </w:style>
  <w:style w:type="character" w:styleId="CommentSubjectChar" w:customStyle="1">
    <w:name w:val="Comment Subject Char"/>
    <w:basedOn w:val="CommentTextChar"/>
    <w:link w:val="annotationsubject"/>
    <w:uiPriority w:val="99"/>
    <w:semiHidden/>
    <w:qFormat/>
    <w:rsid w:val="004c2ed0"/>
    <w:rPr>
      <w:b/>
      <w:bCs/>
      <w:sz w:val="20"/>
      <w:szCs w:val="20"/>
      <w:lang w:val="en-GB"/>
    </w:rPr>
  </w:style>
  <w:style w:type="character" w:styleId="UnresolvedMention" w:customStyle="1">
    <w:name w:val="Unresolved Mention"/>
    <w:basedOn w:val="DefaultParagraphFont"/>
    <w:uiPriority w:val="99"/>
    <w:unhideWhenUsed/>
    <w:qFormat/>
    <w:rsid w:val="004c2ed0"/>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semiHidden/>
    <w:unhideWhenUsed/>
    <w:qFormat/>
    <w:locked/>
    <w:rsid w:val="005f0c99"/>
    <w:pPr/>
    <w:rPr>
      <w:caps/>
      <w:spacing w:val="10"/>
      <w:sz w:val="18"/>
      <w:szCs w:val="18"/>
    </w:rPr>
  </w:style>
  <w:style w:type="paragraph" w:styleId="Index">
    <w:name w:val="Index"/>
    <w:basedOn w:val="Normal"/>
    <w:qFormat/>
    <w:pPr>
      <w:suppressLineNumbers/>
    </w:pPr>
    <w:rPr>
      <w:rFonts w:cs="Lucida Sans"/>
    </w:rPr>
  </w:style>
  <w:style w:type="paragraph" w:styleId="NoParagraphStyle" w:customStyle="1">
    <w:name w:val="[No Paragraph Style]"/>
    <w:link w:val="NoParagraphStyleChar"/>
    <w:qFormat/>
    <w:locked/>
    <w:rsid w:val="0067758b"/>
    <w:pPr>
      <w:widowControl w:val="false"/>
      <w:bidi w:val="0"/>
      <w:spacing w:lineRule="auto" w:line="288" w:before="0" w:after="200"/>
      <w:jc w:val="left"/>
      <w:textAlignment w:val="center"/>
    </w:pPr>
    <w:rPr>
      <w:rFonts w:ascii="RdgSwift-Regular" w:hAnsi="RdgSwift-Regular" w:cs="RdgSwift-Regular" w:eastAsia="ＭＳ 明朝"/>
      <w:color w:val="000000"/>
      <w:kern w:val="0"/>
      <w:sz w:val="20"/>
      <w:szCs w:val="24"/>
      <w:lang w:val="en-US" w:eastAsia="en-US" w:bidi="en-US"/>
    </w:rPr>
  </w:style>
  <w:style w:type="paragraph" w:styleId="ENBilltitle" w:customStyle="1">
    <w:name w:val="EN Bill title"/>
    <w:basedOn w:val="NoParagraphStyle"/>
    <w:uiPriority w:val="99"/>
    <w:qFormat/>
    <w:locked/>
    <w:rsid w:val="0013437d"/>
    <w:pPr>
      <w:suppressAutoHyphens w:val="true"/>
      <w:spacing w:lineRule="atLeast" w:line="480" w:before="0" w:after="240"/>
    </w:pPr>
    <w:rPr>
      <w:rFonts w:ascii="Arial" w:hAnsi="Arial" w:cs="HelveticaNeue-Bold"/>
      <w:b/>
      <w:bCs/>
      <w:caps/>
      <w:spacing w:val="2"/>
      <w:sz w:val="44"/>
      <w:szCs w:val="48"/>
    </w:rPr>
  </w:style>
  <w:style w:type="paragraph" w:styleId="ENnotestitle" w:customStyle="1">
    <w:name w:val="EN notes title"/>
    <w:basedOn w:val="NoParagraphStyle"/>
    <w:uiPriority w:val="99"/>
    <w:qFormat/>
    <w:locked/>
    <w:rsid w:val="00146fe0"/>
    <w:pPr>
      <w:suppressAutoHyphens w:val="true"/>
      <w:spacing w:lineRule="atLeast" w:line="480" w:before="0" w:after="720"/>
    </w:pPr>
    <w:rPr>
      <w:rFonts w:ascii="Arial" w:hAnsi="Arial" w:cs="HelveticaNeue"/>
      <w:caps/>
      <w:spacing w:val="2"/>
      <w:sz w:val="44"/>
      <w:szCs w:val="48"/>
    </w:rPr>
  </w:style>
  <w:style w:type="paragraph" w:styleId="ENHeading1Category" w:customStyle="1">
    <w:name w:val="EN Heading (1) : Category"/>
    <w:basedOn w:val="NoParagraphStyle"/>
    <w:link w:val="ENHeading1CategoryChar"/>
    <w:uiPriority w:val="99"/>
    <w:qFormat/>
    <w:locked/>
    <w:rsid w:val="0013437d"/>
    <w:pPr>
      <w:keepNext w:val="true"/>
      <w:keepLines/>
      <w:suppressAutoHyphens w:val="true"/>
      <w:spacing w:lineRule="atLeast" w:line="480" w:before="480" w:after="240"/>
    </w:pPr>
    <w:rPr>
      <w:rFonts w:ascii="Arial" w:hAnsi="Arial" w:cs="HelveticaNeue-Bold"/>
      <w:b/>
      <w:bCs/>
      <w:color w:val="0076BF"/>
      <w:sz w:val="36"/>
      <w:szCs w:val="36"/>
    </w:rPr>
  </w:style>
  <w:style w:type="paragraph" w:styleId="ENBodyText" w:customStyle="1">
    <w:name w:val="EN Body Text"/>
    <w:basedOn w:val="NoParagraphStyle"/>
    <w:link w:val="ENBodyTextChar"/>
    <w:uiPriority w:val="99"/>
    <w:qFormat/>
    <w:locked/>
    <w:rsid w:val="00ae5693"/>
    <w:pPr>
      <w:suppressAutoHyphens w:val="true"/>
      <w:spacing w:lineRule="atLeast" w:line="300" w:before="0" w:after="150"/>
    </w:pPr>
    <w:rPr>
      <w:rFonts w:ascii="Palatino Linotype" w:hAnsi="Palatino Linotype" w:cs="PalatinoLinotype-Roman"/>
    </w:rPr>
  </w:style>
  <w:style w:type="paragraph" w:styleId="ENBodyTextBullets" w:customStyle="1">
    <w:name w:val="EN Body Text + Bullets"/>
    <w:basedOn w:val="NoParagraphStyle"/>
    <w:link w:val="ENBodyTextBulletsChar"/>
    <w:uiPriority w:val="99"/>
    <w:qFormat/>
    <w:locked/>
    <w:rsid w:val="00ae5693"/>
    <w:pPr>
      <w:numPr>
        <w:ilvl w:val="0"/>
        <w:numId w:val="1"/>
      </w:numPr>
      <w:suppressAutoHyphens w:val="true"/>
      <w:spacing w:lineRule="atLeast" w:line="300" w:before="0" w:after="150"/>
      <w:ind w:hanging="357" w:left="357"/>
    </w:pPr>
    <w:rPr>
      <w:rFonts w:ascii="Palatino Linotype" w:hAnsi="Palatino Linotype" w:cs="PalatinoLinotype-Roman"/>
    </w:rPr>
  </w:style>
  <w:style w:type="paragraph" w:styleId="MinisterialSign-offName" w:customStyle="1">
    <w:name w:val="Ministerial Sign-off Name"/>
    <w:basedOn w:val="NoParagraphStyle"/>
    <w:link w:val="MinisterialSign-offNameChar"/>
    <w:uiPriority w:val="99"/>
    <w:qFormat/>
    <w:locked/>
    <w:rsid w:val="00146fe0"/>
    <w:pPr>
      <w:suppressAutoHyphens w:val="true"/>
      <w:spacing w:lineRule="atLeast" w:line="300" w:before="300" w:after="200"/>
    </w:pPr>
    <w:rPr>
      <w:rFonts w:ascii="Palatino Linotype" w:hAnsi="Palatino Linotype" w:cs="PalatinoLinotype-Bold"/>
      <w:b/>
      <w:bCs/>
    </w:rPr>
  </w:style>
  <w:style w:type="paragraph" w:styleId="MinisterialSign-offTitleDate" w:customStyle="1">
    <w:name w:val="Ministerial Sign-off Title+Date"/>
    <w:basedOn w:val="NoParagraphStyle"/>
    <w:uiPriority w:val="99"/>
    <w:qFormat/>
    <w:locked/>
    <w:rsid w:val="00146fe0"/>
    <w:pPr>
      <w:suppressAutoHyphens w:val="true"/>
      <w:spacing w:lineRule="atLeast" w:line="300"/>
    </w:pPr>
    <w:rPr>
      <w:rFonts w:ascii="Palatino Linotype" w:hAnsi="Palatino Linotype" w:cs="PalatinoLinotype-Bold"/>
      <w:b/>
      <w:bCs/>
    </w:rPr>
  </w:style>
  <w:style w:type="paragraph" w:styleId="ENBodyTextNumbered" w:customStyle="1">
    <w:name w:val="EN Body Text + Numbered"/>
    <w:basedOn w:val="NoParagraphStyle"/>
    <w:link w:val="ENBodyTextNumberedChar"/>
    <w:uiPriority w:val="99"/>
    <w:qFormat/>
    <w:locked/>
    <w:rsid w:val="00ae5693"/>
    <w:pPr>
      <w:suppressAutoHyphens w:val="true"/>
      <w:spacing w:lineRule="atLeast" w:line="300" w:before="0" w:after="150"/>
      <w:ind w:hanging="600" w:left="600"/>
    </w:pPr>
    <w:rPr>
      <w:rFonts w:ascii="Palatino Linotype" w:hAnsi="Palatino Linotype" w:cs="PalatinoLinotype-Roman"/>
    </w:rPr>
  </w:style>
  <w:style w:type="paragraph" w:styleId="ENbodytextwithindentENmaintext" w:customStyle="1">
    <w:name w:val="EN body text with indent (EN main text)"/>
    <w:basedOn w:val="NoParagraphStyle"/>
    <w:uiPriority w:val="99"/>
    <w:qFormat/>
    <w:locked/>
    <w:rsid w:val="00ae5693"/>
    <w:pPr>
      <w:suppressAutoHyphens w:val="true"/>
      <w:spacing w:lineRule="atLeast" w:line="300" w:before="0" w:after="150"/>
      <w:ind w:left="600"/>
    </w:pPr>
    <w:rPr>
      <w:rFonts w:ascii="Palatino Linotype" w:hAnsi="Palatino Linotype" w:cs="PalatinoLinotype-Roman"/>
    </w:rPr>
  </w:style>
  <w:style w:type="paragraph" w:styleId="ENbodytextsub-bulletENmaintext" w:customStyle="1">
    <w:name w:val="EN body text sub-bullet (EN main text)"/>
    <w:basedOn w:val="NoParagraphStyle"/>
    <w:uiPriority w:val="99"/>
    <w:qFormat/>
    <w:locked/>
    <w:rsid w:val="00ae5693"/>
    <w:pPr>
      <w:numPr>
        <w:ilvl w:val="0"/>
        <w:numId w:val="2"/>
      </w:numPr>
      <w:suppressAutoHyphens w:val="true"/>
      <w:spacing w:lineRule="atLeast" w:line="300" w:before="0" w:after="150"/>
    </w:pPr>
    <w:rPr>
      <w:rFonts w:ascii="Palatino Linotype" w:hAnsi="Palatino Linotype" w:cs="PalatinoLinotype-Roman"/>
    </w:rPr>
  </w:style>
  <w:style w:type="paragraph" w:styleId="ENpartheading3ENHeadings" w:customStyle="1">
    <w:name w:val="EN part heading 3 (EN Headings)"/>
    <w:basedOn w:val="NoParagraphStyle"/>
    <w:uiPriority w:val="99"/>
    <w:qFormat/>
    <w:locked/>
    <w:rsid w:val="00146fe0"/>
    <w:pPr>
      <w:keepNext w:val="true"/>
      <w:keepLines/>
      <w:suppressAutoHyphens w:val="true"/>
      <w:spacing w:lineRule="atLeast" w:line="480" w:before="480" w:after="240"/>
    </w:pPr>
    <w:rPr>
      <w:rFonts w:ascii="Arial" w:hAnsi="Arial" w:cs="HelveticaNeue-Bold"/>
      <w:b/>
      <w:bCs/>
      <w:color w:val="0076BF"/>
      <w:sz w:val="32"/>
      <w:szCs w:val="32"/>
    </w:rPr>
  </w:style>
  <w:style w:type="paragraph" w:styleId="ENHeading3ClauseSchedule" w:customStyle="1">
    <w:name w:val="EN Heading (3) : Clause + Schedule"/>
    <w:basedOn w:val="NoParagraphStyle"/>
    <w:uiPriority w:val="99"/>
    <w:qFormat/>
    <w:locked/>
    <w:rsid w:val="00146fe0"/>
    <w:pPr>
      <w:keepNext w:val="true"/>
      <w:keepLines/>
      <w:suppressAutoHyphens w:val="true"/>
      <w:spacing w:lineRule="atLeast" w:line="360" w:before="180" w:after="180"/>
    </w:pPr>
    <w:rPr>
      <w:rFonts w:ascii="Arial" w:hAnsi="Arial" w:cs="HelveticaNeue-Bold"/>
      <w:b/>
      <w:bCs/>
      <w:color w:val="0076BF"/>
      <w:sz w:val="28"/>
      <w:szCs w:val="28"/>
    </w:rPr>
  </w:style>
  <w:style w:type="paragraph" w:styleId="ENtableheadingsTables" w:customStyle="1">
    <w:name w:val="EN table headings (Tables"/>
    <w:basedOn w:val="NoParagraphStyle"/>
    <w:uiPriority w:val="99"/>
    <w:qFormat/>
    <w:locked/>
    <w:rsid w:val="00ae5693"/>
    <w:pPr>
      <w:suppressAutoHyphens w:val="true"/>
      <w:spacing w:lineRule="atLeast" w:line="240" w:before="120" w:after="120"/>
    </w:pPr>
    <w:rPr>
      <w:rFonts w:ascii="Arial" w:hAnsi="Arial" w:cs="HelveticaNeue-Bold"/>
      <w:b/>
      <w:bCs/>
      <w:szCs w:val="20"/>
    </w:rPr>
  </w:style>
  <w:style w:type="paragraph" w:styleId="ENtabletext" w:customStyle="1">
    <w:name w:val="EN table text"/>
    <w:basedOn w:val="NoParagraphStyle"/>
    <w:uiPriority w:val="99"/>
    <w:qFormat/>
    <w:rsid w:val="00146fe0"/>
    <w:pPr>
      <w:suppressAutoHyphens w:val="true"/>
      <w:spacing w:lineRule="atLeast" w:line="240" w:before="0" w:after="120"/>
    </w:pPr>
    <w:rPr>
      <w:rFonts w:ascii="Arial" w:hAnsi="Arial" w:cs="HelveticaNeue"/>
      <w:szCs w:val="20"/>
    </w:rPr>
  </w:style>
  <w:style w:type="paragraph" w:styleId="ENFootnotetextENotherfeatures" w:customStyle="1">
    <w:name w:val="EN Footnote text (EN other features)"/>
    <w:basedOn w:val="Normal"/>
    <w:uiPriority w:val="99"/>
    <w:qFormat/>
    <w:locked/>
    <w:rsid w:val="00146fe0"/>
    <w:pPr>
      <w:keepLines/>
      <w:suppressAutoHyphens w:val="true"/>
      <w:spacing w:lineRule="auto" w:line="240" w:before="0" w:after="80"/>
      <w:ind w:hanging="284" w:left="284"/>
    </w:pPr>
    <w:rPr>
      <w:rFonts w:ascii="Arial" w:hAnsi="Arial" w:cs="HelveticaNeue"/>
      <w:sz w:val="12"/>
      <w:szCs w:val="19"/>
    </w:rPr>
  </w:style>
  <w:style w:type="paragraph" w:styleId="ENtablenumberedtextTables" w:customStyle="1">
    <w:name w:val="EN table numbered text (Tables"/>
    <w:basedOn w:val="NoParagraphStyle"/>
    <w:uiPriority w:val="99"/>
    <w:qFormat/>
    <w:locked/>
    <w:rsid w:val="00ae5693"/>
    <w:pPr>
      <w:suppressAutoHyphens w:val="true"/>
      <w:spacing w:lineRule="atLeast" w:line="240" w:before="0" w:after="120"/>
      <w:ind w:hanging="360" w:left="360"/>
    </w:pPr>
    <w:rPr>
      <w:rFonts w:ascii="Arial" w:hAnsi="Arial" w:cs="HelveticaNeue"/>
      <w:szCs w:val="20"/>
    </w:rPr>
  </w:style>
  <w:style w:type="paragraph" w:styleId="ENtabletextsub-bulletsTables" w:customStyle="1">
    <w:name w:val="EN table text sub-bullets (Tables"/>
    <w:basedOn w:val="NoParagraphStyle"/>
    <w:uiPriority w:val="99"/>
    <w:qFormat/>
    <w:locked/>
    <w:rsid w:val="00ae5693"/>
    <w:pPr>
      <w:numPr>
        <w:ilvl w:val="0"/>
        <w:numId w:val="3"/>
      </w:numPr>
      <w:suppressAutoHyphens w:val="true"/>
      <w:spacing w:lineRule="atLeast" w:line="240" w:before="0" w:after="120"/>
    </w:pPr>
    <w:rPr>
      <w:rFonts w:ascii="Arial" w:hAnsi="Arial" w:cs="HelveticaNeue"/>
      <w:szCs w:val="20"/>
    </w:rPr>
  </w:style>
  <w:style w:type="paragraph" w:styleId="ENexampleheading5Tables" w:customStyle="1">
    <w:name w:val="EN example heading 5 (Tables"/>
    <w:basedOn w:val="NoParagraphStyle"/>
    <w:uiPriority w:val="99"/>
    <w:qFormat/>
    <w:locked/>
    <w:rsid w:val="00ae5693"/>
    <w:pPr>
      <w:keepNext w:val="true"/>
      <w:keepLines/>
      <w:suppressAutoHyphens w:val="true"/>
      <w:spacing w:lineRule="atLeast" w:line="300" w:before="180" w:after="180"/>
    </w:pPr>
    <w:rPr>
      <w:rFonts w:ascii="Arial" w:hAnsi="Arial" w:cs="HelveticaNeue"/>
      <w:color w:val="0076BF"/>
      <w:sz w:val="26"/>
      <w:szCs w:val="26"/>
    </w:rPr>
  </w:style>
  <w:style w:type="paragraph" w:styleId="HeaderandFooter">
    <w:name w:val="Header and Footer"/>
    <w:basedOn w:val="Normal"/>
    <w:qFormat/>
    <w:pPr/>
    <w:rPr/>
  </w:style>
  <w:style w:type="paragraph" w:styleId="Header">
    <w:name w:val="header"/>
    <w:basedOn w:val="Normal"/>
    <w:link w:val="HeaderChar"/>
    <w:uiPriority w:val="99"/>
    <w:unhideWhenUsed/>
    <w:locked/>
    <w:rsid w:val="00a1272a"/>
    <w:pPr>
      <w:tabs>
        <w:tab w:val="clear" w:pos="720"/>
        <w:tab w:val="center" w:pos="4320" w:leader="none"/>
        <w:tab w:val="right" w:pos="8640" w:leader="none"/>
      </w:tabs>
    </w:pPr>
    <w:rPr/>
  </w:style>
  <w:style w:type="paragraph" w:styleId="Footer">
    <w:name w:val="footer"/>
    <w:basedOn w:val="Normal"/>
    <w:link w:val="FooterChar"/>
    <w:uiPriority w:val="99"/>
    <w:unhideWhenUsed/>
    <w:locked/>
    <w:rsid w:val="00b7335e"/>
    <w:pPr>
      <w:tabs>
        <w:tab w:val="clear" w:pos="720"/>
        <w:tab w:val="center" w:pos="4320" w:leader="none"/>
        <w:tab w:val="right" w:pos="8640" w:leader="none"/>
      </w:tabs>
    </w:pPr>
    <w:rPr>
      <w:sz w:val="20"/>
    </w:rPr>
  </w:style>
  <w:style w:type="paragraph" w:styleId="ENRunningfooterENotherfeatures" w:customStyle="1">
    <w:name w:val="EN Running footer (EN other features)"/>
    <w:basedOn w:val="NoParagraphStyle"/>
    <w:uiPriority w:val="99"/>
    <w:qFormat/>
    <w:locked/>
    <w:rsid w:val="00146fe0"/>
    <w:pPr>
      <w:tabs>
        <w:tab w:val="clear" w:pos="720"/>
        <w:tab w:val="center" w:pos="4300" w:leader="none"/>
      </w:tabs>
      <w:suppressAutoHyphens w:val="true"/>
      <w:spacing w:lineRule="atLeast" w:line="240" w:before="0" w:after="150"/>
    </w:pPr>
    <w:rPr>
      <w:rFonts w:ascii="Arial" w:hAnsi="Arial" w:cs="HelveticaNeue-Italic"/>
      <w:i/>
      <w:iCs/>
      <w:sz w:val="18"/>
      <w:szCs w:val="18"/>
    </w:rPr>
  </w:style>
  <w:style w:type="paragraph" w:styleId="BalloonText">
    <w:name w:val="Balloon Text"/>
    <w:basedOn w:val="Normal"/>
    <w:link w:val="BalloonTextChar"/>
    <w:uiPriority w:val="99"/>
    <w:semiHidden/>
    <w:unhideWhenUsed/>
    <w:qFormat/>
    <w:locked/>
    <w:rsid w:val="00256d46"/>
    <w:pPr/>
    <w:rPr>
      <w:rFonts w:ascii="Tahoma" w:hAnsi="Tahoma" w:cs="Tahoma"/>
      <w:sz w:val="16"/>
      <w:szCs w:val="16"/>
    </w:rPr>
  </w:style>
  <w:style w:type="paragraph" w:styleId="Title">
    <w:name w:val="Title"/>
    <w:basedOn w:val="Normal"/>
    <w:next w:val="Normal"/>
    <w:link w:val="TitleChar"/>
    <w:uiPriority w:val="10"/>
    <w:qFormat/>
    <w:locked/>
    <w:rsid w:val="00266ee5"/>
    <w:pPr>
      <w:pBdr>
        <w:bottom w:val="single" w:sz="4" w:space="1" w:color="000000"/>
      </w:pBdr>
      <w:spacing w:lineRule="auto" w:line="240" w:before="0" w:after="200"/>
      <w:contextualSpacing/>
    </w:pPr>
    <w:rPr>
      <w:rFonts w:ascii="Cambria" w:hAnsi="Cambria" w:eastAsia="ＭＳ ゴシック" w:cs="" w:asciiTheme="majorHAnsi" w:cstheme="majorBidi" w:eastAsiaTheme="majorEastAsia" w:hAnsiTheme="majorHAnsi"/>
      <w:spacing w:val="5"/>
      <w:sz w:val="52"/>
      <w:szCs w:val="52"/>
    </w:rPr>
  </w:style>
  <w:style w:type="paragraph" w:styleId="Subtitle">
    <w:name w:val="Subtitle"/>
    <w:basedOn w:val="Normal"/>
    <w:next w:val="Normal"/>
    <w:link w:val="SubtitleChar"/>
    <w:uiPriority w:val="11"/>
    <w:qFormat/>
    <w:locked/>
    <w:rsid w:val="00266ee5"/>
    <w:pPr>
      <w:spacing w:before="0" w:after="600"/>
    </w:pPr>
    <w:rPr>
      <w:rFonts w:ascii="Cambria" w:hAnsi="Cambria" w:eastAsia="ＭＳ ゴシック" w:cs="" w:asciiTheme="majorHAnsi" w:cstheme="majorBidi" w:eastAsiaTheme="majorEastAsia" w:hAnsiTheme="majorHAnsi"/>
      <w:i/>
      <w:iCs/>
      <w:spacing w:val="13"/>
      <w:sz w:val="24"/>
      <w:szCs w:val="24"/>
    </w:rPr>
  </w:style>
  <w:style w:type="paragraph" w:styleId="NoSpacing">
    <w:name w:val="No Spacing"/>
    <w:basedOn w:val="Normal"/>
    <w:link w:val="NoSpacingChar"/>
    <w:uiPriority w:val="1"/>
    <w:qFormat/>
    <w:locked/>
    <w:rsid w:val="00266ee5"/>
    <w:pPr>
      <w:spacing w:lineRule="auto" w:line="240" w:before="0" w:after="0"/>
    </w:pPr>
    <w:rPr/>
  </w:style>
  <w:style w:type="paragraph" w:styleId="ListParagraph">
    <w:name w:val="List Paragraph"/>
    <w:basedOn w:val="Normal"/>
    <w:uiPriority w:val="34"/>
    <w:qFormat/>
    <w:locked/>
    <w:rsid w:val="00266ee5"/>
    <w:pPr>
      <w:spacing w:before="0" w:after="200"/>
      <w:ind w:left="720"/>
      <w:contextualSpacing/>
    </w:pPr>
    <w:rPr/>
  </w:style>
  <w:style w:type="paragraph" w:styleId="Quote">
    <w:name w:val="Quote"/>
    <w:basedOn w:val="Normal"/>
    <w:next w:val="Normal"/>
    <w:link w:val="QuoteChar"/>
    <w:uiPriority w:val="29"/>
    <w:qFormat/>
    <w:locked/>
    <w:rsid w:val="00266ee5"/>
    <w:pPr>
      <w:spacing w:before="200" w:after="0"/>
      <w:ind w:left="360" w:right="360"/>
    </w:pPr>
    <w:rPr>
      <w:i/>
      <w:iCs/>
    </w:rPr>
  </w:style>
  <w:style w:type="paragraph" w:styleId="IntenseQuote">
    <w:name w:val="Intense Quote"/>
    <w:basedOn w:val="Normal"/>
    <w:next w:val="Normal"/>
    <w:link w:val="IntenseQuoteChar"/>
    <w:uiPriority w:val="30"/>
    <w:qFormat/>
    <w:locked/>
    <w:rsid w:val="00266ee5"/>
    <w:pPr>
      <w:pBdr>
        <w:bottom w:val="single" w:sz="4" w:space="1" w:color="000000"/>
      </w:pBdr>
      <w:spacing w:before="200" w:after="280"/>
      <w:ind w:left="1008" w:right="1152"/>
      <w:jc w:val="both"/>
    </w:pPr>
    <w:rPr>
      <w:b/>
      <w:bCs/>
      <w:i/>
      <w:iCs/>
    </w:rPr>
  </w:style>
  <w:style w:type="paragraph" w:styleId="IndexHeading">
    <w:name w:val="index heading"/>
    <w:basedOn w:val="Heading"/>
    <w:pPr/>
    <w:rPr/>
  </w:style>
  <w:style w:type="paragraph" w:styleId="TOCHeading">
    <w:name w:val="TOC Heading"/>
    <w:basedOn w:val="Heading1"/>
    <w:next w:val="Normal"/>
    <w:uiPriority w:val="39"/>
    <w:unhideWhenUsed/>
    <w:qFormat/>
    <w:locked/>
    <w:rsid w:val="00266ee5"/>
    <w:pPr>
      <w:outlineLvl w:val="9"/>
    </w:pPr>
    <w:rPr/>
  </w:style>
  <w:style w:type="paragraph" w:styleId="FootnoteText">
    <w:name w:val="footnote text"/>
    <w:basedOn w:val="Normal"/>
    <w:link w:val="FootnoteTextChar"/>
    <w:uiPriority w:val="99"/>
    <w:unhideWhenUsed/>
    <w:qFormat/>
    <w:rsid w:val="003a3b83"/>
    <w:pPr>
      <w:spacing w:lineRule="auto" w:line="240" w:before="0" w:after="120"/>
    </w:pPr>
    <w:rPr>
      <w:sz w:val="18"/>
      <w:szCs w:val="20"/>
    </w:rPr>
  </w:style>
  <w:style w:type="paragraph" w:styleId="TOC1">
    <w:name w:val="toc 1"/>
    <w:basedOn w:val="Normal"/>
    <w:next w:val="Normal"/>
    <w:autoRedefine/>
    <w:uiPriority w:val="39"/>
    <w:unhideWhenUsed/>
    <w:rsid w:val="00146fe0"/>
    <w:pPr>
      <w:tabs>
        <w:tab w:val="clear" w:pos="720"/>
        <w:tab w:val="right" w:pos="9061" w:leader="none"/>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before="0"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before="0"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before="0" w:after="0"/>
      <w:ind w:left="660"/>
    </w:pPr>
    <w:rPr>
      <w:sz w:val="18"/>
      <w:szCs w:val="18"/>
    </w:rPr>
  </w:style>
  <w:style w:type="paragraph" w:styleId="TOC5">
    <w:name w:val="toc 5"/>
    <w:basedOn w:val="Normal"/>
    <w:next w:val="Normal"/>
    <w:autoRedefine/>
    <w:uiPriority w:val="39"/>
    <w:unhideWhenUsed/>
    <w:rsid w:val="00086349"/>
    <w:pPr>
      <w:spacing w:before="0" w:after="0"/>
      <w:ind w:left="880"/>
    </w:pPr>
    <w:rPr>
      <w:sz w:val="18"/>
      <w:szCs w:val="18"/>
    </w:rPr>
  </w:style>
  <w:style w:type="paragraph" w:styleId="TOC6">
    <w:name w:val="toc 6"/>
    <w:basedOn w:val="Normal"/>
    <w:next w:val="Normal"/>
    <w:autoRedefine/>
    <w:uiPriority w:val="39"/>
    <w:unhideWhenUsed/>
    <w:locked/>
    <w:rsid w:val="00086349"/>
    <w:pPr>
      <w:spacing w:before="0" w:after="0"/>
      <w:ind w:left="1100"/>
    </w:pPr>
    <w:rPr>
      <w:sz w:val="18"/>
      <w:szCs w:val="18"/>
    </w:rPr>
  </w:style>
  <w:style w:type="paragraph" w:styleId="TOC7">
    <w:name w:val="toc 7"/>
    <w:basedOn w:val="Normal"/>
    <w:next w:val="Normal"/>
    <w:autoRedefine/>
    <w:uiPriority w:val="39"/>
    <w:unhideWhenUsed/>
    <w:locked/>
    <w:rsid w:val="00086349"/>
    <w:pPr>
      <w:spacing w:before="0" w:after="0"/>
      <w:ind w:left="1320"/>
    </w:pPr>
    <w:rPr>
      <w:sz w:val="18"/>
      <w:szCs w:val="18"/>
    </w:rPr>
  </w:style>
  <w:style w:type="paragraph" w:styleId="TOC8">
    <w:name w:val="toc 8"/>
    <w:basedOn w:val="Normal"/>
    <w:next w:val="Normal"/>
    <w:autoRedefine/>
    <w:uiPriority w:val="39"/>
    <w:unhideWhenUsed/>
    <w:locked/>
    <w:rsid w:val="00086349"/>
    <w:pPr>
      <w:spacing w:before="0" w:after="0"/>
      <w:ind w:left="1540"/>
    </w:pPr>
    <w:rPr>
      <w:sz w:val="18"/>
      <w:szCs w:val="18"/>
    </w:rPr>
  </w:style>
  <w:style w:type="paragraph" w:styleId="TOC9">
    <w:name w:val="toc 9"/>
    <w:basedOn w:val="Normal"/>
    <w:next w:val="Normal"/>
    <w:autoRedefine/>
    <w:uiPriority w:val="39"/>
    <w:unhideWhenUsed/>
    <w:locked/>
    <w:rsid w:val="00086349"/>
    <w:pPr>
      <w:spacing w:before="0" w:after="0"/>
      <w:ind w:left="1760"/>
    </w:pPr>
    <w:rPr>
      <w:sz w:val="18"/>
      <w:szCs w:val="18"/>
    </w:rPr>
  </w:style>
  <w:style w:type="paragraph" w:styleId="ENHeading1Unindexed" w:customStyle="1">
    <w:name w:val="EN Heading (1) : Unindexed"/>
    <w:basedOn w:val="ENHeading1Category"/>
    <w:link w:val="WhatthesenotesdoChar"/>
    <w:qFormat/>
    <w:locked/>
    <w:rsid w:val="0013437d"/>
    <w:pPr/>
    <w:rPr>
      <w:sz w:val="32"/>
    </w:rPr>
  </w:style>
  <w:style w:type="paragraph" w:styleId="TOCHeading1" w:customStyle="1">
    <w:name w:val="TOC Heading1"/>
    <w:basedOn w:val="ENHeading1Category"/>
    <w:link w:val="ToCHeadingChar"/>
    <w:qFormat/>
    <w:rsid w:val="001172fe"/>
    <w:pPr/>
    <w:rPr/>
  </w:style>
  <w:style w:type="paragraph" w:styleId="TTableText" w:customStyle="1">
    <w:name w:val="T: Table Text"/>
    <w:basedOn w:val="ENtabletext"/>
    <w:qFormat/>
    <w:rsid w:val="005a2759"/>
    <w:pPr/>
    <w:rPr>
      <w:sz w:val="16"/>
    </w:rPr>
  </w:style>
  <w:style w:type="paragraph" w:styleId="MinisterialSignoff" w:customStyle="1">
    <w:name w:val="Ministerial Sign off"/>
    <w:basedOn w:val="MinisterialSign-offName"/>
    <w:link w:val="MinisterialSignoffChar"/>
    <w:qFormat/>
    <w:locked/>
    <w:rsid w:val="00aa1ae3"/>
    <w:pPr/>
    <w:rPr/>
  </w:style>
  <w:style w:type="paragraph" w:styleId="ParaNumbered" w:customStyle="1">
    <w:name w:val="Para: Numbered"/>
    <w:basedOn w:val="ParaMainText"/>
    <w:link w:val="ParaNumberedChar"/>
    <w:qFormat/>
    <w:rsid w:val="0067758b"/>
    <w:pPr>
      <w:numPr>
        <w:ilvl w:val="0"/>
        <w:numId w:val="5"/>
      </w:numPr>
      <w:spacing w:lineRule="atLeast" w:line="200"/>
    </w:pPr>
    <w:rPr/>
  </w:style>
  <w:style w:type="paragraph" w:styleId="MinisterialStatementText" w:customStyle="1">
    <w:name w:val="Ministerial Statement Text"/>
    <w:basedOn w:val="ENBodyText"/>
    <w:link w:val="MinisterialStatementTextChar"/>
    <w:qFormat/>
    <w:locked/>
    <w:rsid w:val="00933688"/>
    <w:pPr/>
    <w:rPr/>
  </w:style>
  <w:style w:type="paragraph" w:styleId="ParaMainText" w:customStyle="1">
    <w:name w:val="Para: Main Text"/>
    <w:basedOn w:val="ENBodyText"/>
    <w:link w:val="ParaMainTextChar"/>
    <w:qFormat/>
    <w:rsid w:val="0059596a"/>
    <w:pPr/>
    <w:rPr/>
  </w:style>
  <w:style w:type="paragraph" w:styleId="ENIntroText" w:customStyle="1">
    <w:name w:val="EN Intro Text"/>
    <w:basedOn w:val="ENBodyText"/>
    <w:link w:val="ENIntroTextChar"/>
    <w:qFormat/>
    <w:locked/>
    <w:rsid w:val="0067758b"/>
    <w:pPr/>
    <w:rPr/>
  </w:style>
  <w:style w:type="paragraph" w:styleId="ParaBulleted" w:customStyle="1">
    <w:name w:val="Para: Bulleted"/>
    <w:basedOn w:val="ParaMainText"/>
    <w:link w:val="ParaBulletedChar"/>
    <w:qFormat/>
    <w:rsid w:val="009a4422"/>
    <w:pPr>
      <w:numPr>
        <w:ilvl w:val="0"/>
        <w:numId w:val="8"/>
      </w:numPr>
    </w:pPr>
    <w:rPr/>
  </w:style>
  <w:style w:type="paragraph" w:styleId="ENIntroTextBulleted" w:customStyle="1">
    <w:name w:val="EN Intro Text (Bulleted)"/>
    <w:basedOn w:val="ENBodyTextBullets"/>
    <w:link w:val="ENIntroTextBulletedChar"/>
    <w:qFormat/>
    <w:locked/>
    <w:rsid w:val="0067758b"/>
    <w:pPr>
      <w:numPr>
        <w:ilvl w:val="0"/>
        <w:numId w:val="4"/>
      </w:numPr>
    </w:pPr>
    <w:rPr/>
  </w:style>
  <w:style w:type="paragraph" w:styleId="HSubheading4" w:customStyle="1">
    <w:name w:val="H: Subheading 4"/>
    <w:basedOn w:val="Heading4"/>
    <w:next w:val="ParaNumbered"/>
    <w:link w:val="HSubheading4Char"/>
    <w:qFormat/>
    <w:rsid w:val="0059596a"/>
    <w:pPr/>
    <w:rPr>
      <w:szCs w:val="24"/>
    </w:rPr>
  </w:style>
  <w:style w:type="paragraph" w:styleId="ScheduleHeading" w:customStyle="1">
    <w:name w:val="Schedule Heading"/>
    <w:basedOn w:val="Heading3"/>
    <w:link w:val="ScheduleHeadingChar"/>
    <w:qFormat/>
    <w:locked/>
    <w:rsid w:val="00885ce8"/>
    <w:pPr>
      <w:numPr>
        <w:ilvl w:val="0"/>
        <w:numId w:val="6"/>
      </w:numPr>
      <w:ind w:hanging="1701" w:left="1701"/>
    </w:pPr>
    <w:rPr/>
  </w:style>
  <w:style w:type="paragraph" w:styleId="HSubheading3" w:customStyle="1">
    <w:name w:val="H: Subheading 3"/>
    <w:basedOn w:val="Heading3"/>
    <w:next w:val="ParaNumbered"/>
    <w:link w:val="HSubheading3Char"/>
    <w:qFormat/>
    <w:rsid w:val="001208b2"/>
    <w:pPr>
      <w:ind w:hanging="0"/>
    </w:pPr>
    <w:rPr>
      <w:szCs w:val="28"/>
    </w:rPr>
  </w:style>
  <w:style w:type="paragraph" w:styleId="deletedsectionheading" w:customStyle="1">
    <w:name w:val="deleted section heading"/>
    <w:basedOn w:val="HSubheading4"/>
    <w:link w:val="deletedsectionheadingChar"/>
    <w:qFormat/>
    <w:locked/>
    <w:rsid w:val="00146fe0"/>
    <w:pPr/>
    <w:rPr>
      <w:b/>
    </w:rPr>
  </w:style>
  <w:style w:type="paragraph" w:styleId="HSubheading2" w:customStyle="1">
    <w:name w:val="H: Subheading 2"/>
    <w:basedOn w:val="Heading2"/>
    <w:next w:val="ParaNumbered"/>
    <w:link w:val="HSubheading2Char"/>
    <w:qFormat/>
    <w:rsid w:val="001208b2"/>
    <w:pPr/>
    <w:rPr/>
  </w:style>
  <w:style w:type="paragraph" w:styleId="SectionHeading" w:customStyle="1">
    <w:name w:val="Section Heading"/>
    <w:basedOn w:val="Heading4"/>
    <w:link w:val="SectionHeadingChar"/>
    <w:qFormat/>
    <w:locked/>
    <w:rsid w:val="00a05c6d"/>
    <w:pPr>
      <w:numPr>
        <w:ilvl w:val="0"/>
        <w:numId w:val="7"/>
      </w:numPr>
      <w:ind w:hanging="1134" w:left="1134"/>
    </w:pPr>
    <w:rPr/>
  </w:style>
  <w:style w:type="paragraph" w:styleId="StyleENBilltitleLatinPalatinoLinotype12ptNotBo" w:customStyle="1">
    <w:name w:val="Style EN Bill title + (Latin) Palatino Linotype 12 pt Not Bo..."/>
    <w:basedOn w:val="ENBilltitle"/>
    <w:qFormat/>
    <w:rsid w:val="00ae5693"/>
    <w:pPr/>
    <w:rPr>
      <w:rFonts w:ascii="Palatino Linotype" w:hAnsi="Palatino Linotype"/>
      <w:b w:val="false"/>
      <w:bCs w:val="false"/>
      <w:caps w:val="false"/>
      <w:smallCaps w:val="false"/>
      <w:spacing w:val="0"/>
      <w:sz w:val="20"/>
    </w:rPr>
  </w:style>
  <w:style w:type="paragraph" w:styleId="StyleENBilltitleText1" w:customStyle="1">
    <w:name w:val="Style EN Bill title + Text 1"/>
    <w:basedOn w:val="ENBilltitle"/>
    <w:qFormat/>
    <w:rsid w:val="0013437d"/>
    <w:pPr/>
    <w:rPr>
      <w:color w:themeColor="text1" w:val="000000"/>
    </w:rPr>
  </w:style>
  <w:style w:type="paragraph" w:styleId="StyleENIntroTextBulletedText1" w:customStyle="1">
    <w:name w:val="Style EN Intro Text (Bulleted) + Text 1"/>
    <w:basedOn w:val="ENIntroTextBulleted"/>
    <w:qFormat/>
    <w:rsid w:val="0067758b"/>
    <w:pPr/>
    <w:rPr>
      <w:color w:themeColor="text1" w:val="000000"/>
    </w:rPr>
  </w:style>
  <w:style w:type="paragraph" w:styleId="StyleENIntroText16pt" w:customStyle="1">
    <w:name w:val="Style EN Intro Text + 16 pt"/>
    <w:basedOn w:val="ENIntroText"/>
    <w:qFormat/>
    <w:rsid w:val="0067758b"/>
    <w:pPr/>
    <w:rPr/>
  </w:style>
  <w:style w:type="paragraph" w:styleId="StyleENIntroTextLatinPalatinoLinotypeAuto" w:customStyle="1">
    <w:name w:val="Style EN Intro Text + (Latin) Palatino Linotype Auto"/>
    <w:basedOn w:val="ENIntroText"/>
    <w:qFormat/>
    <w:rsid w:val="0067758b"/>
    <w:pPr/>
    <w:rPr>
      <w:color w:val="auto"/>
    </w:rPr>
  </w:style>
  <w:style w:type="paragraph" w:styleId="StyleMainTextBoldAllcapsExpandedby01pt" w:customStyle="1">
    <w:name w:val="Style Main Text + Bold All caps Expanded by  0.1 pt"/>
    <w:basedOn w:val="ParaMainText"/>
    <w:qFormat/>
    <w:rsid w:val="0067758b"/>
    <w:pPr/>
    <w:rPr>
      <w:b/>
      <w:bCs/>
      <w:caps/>
      <w:spacing w:val="2"/>
    </w:rPr>
  </w:style>
  <w:style w:type="paragraph" w:styleId="StyleTOC112pt" w:customStyle="1">
    <w:name w:val="Style TOC 1 + 12 pt"/>
    <w:basedOn w:val="TOC1"/>
    <w:qFormat/>
    <w:rsid w:val="0067758b"/>
    <w:pPr/>
    <w:rPr>
      <w:bCs w:val="false"/>
      <w:sz w:val="20"/>
    </w:rPr>
  </w:style>
  <w:style w:type="paragraph" w:styleId="StyleTOC1Bold" w:customStyle="1">
    <w:name w:val="Style TOC 1 + Bold"/>
    <w:basedOn w:val="TOC1"/>
    <w:qFormat/>
    <w:rsid w:val="0067758b"/>
    <w:pPr/>
    <w:rPr>
      <w:b w:val="false"/>
      <w:sz w:val="24"/>
    </w:rPr>
  </w:style>
  <w:style w:type="paragraph" w:styleId="StyleTOC1BoldRight" w:customStyle="1">
    <w:name w:val="Style TOC 1 + Bold Right"/>
    <w:basedOn w:val="TOC1"/>
    <w:qFormat/>
    <w:rsid w:val="0067758b"/>
    <w:pPr/>
    <w:rPr>
      <w:rFonts w:eastAsia="Times New Roman" w:cs="Times New Roman"/>
      <w:b w:val="false"/>
      <w:sz w:val="24"/>
    </w:rPr>
  </w:style>
  <w:style w:type="paragraph" w:styleId="HSubheading5" w:customStyle="1">
    <w:name w:val="H: Subheading 5"/>
    <w:basedOn w:val="Heading5"/>
    <w:next w:val="ParaNumbered"/>
    <w:link w:val="HSubheading5Char"/>
    <w:qFormat/>
    <w:rsid w:val="00cc28d2"/>
    <w:pPr/>
    <w:rPr/>
  </w:style>
  <w:style w:type="paragraph" w:styleId="ReferenceExample" w:customStyle="1">
    <w:name w:val="Reference/Example"/>
    <w:basedOn w:val="HSubheading4"/>
    <w:next w:val="ParaMainText"/>
    <w:link w:val="ReferenceExampleChar"/>
    <w:qFormat/>
    <w:rsid w:val="00e15c5e"/>
    <w:pPr>
      <w:spacing w:lineRule="auto" w:line="240"/>
    </w:pPr>
    <w:rPr/>
  </w:style>
  <w:style w:type="paragraph" w:styleId="BackPageText" w:customStyle="1">
    <w:name w:val="BackPageText"/>
    <w:basedOn w:val="Normal"/>
    <w:link w:val="BackPageTextChar"/>
    <w:qFormat/>
    <w:locked/>
    <w:rsid w:val="00866b9d"/>
    <w:pPr/>
    <w:rPr/>
  </w:style>
  <w:style w:type="paragraph" w:styleId="StyleLatinPalatinoLinotype10ptFirstline127cm" w:customStyle="1">
    <w:name w:val="Style (Latin) Palatino Linotype 10 pt First line:  1.27 cm"/>
    <w:basedOn w:val="Normal"/>
    <w:qFormat/>
    <w:rsid w:val="00ae5693"/>
    <w:pPr>
      <w:ind w:firstLine="720"/>
    </w:pPr>
    <w:rPr>
      <w:rFonts w:ascii="Palatino Linotype" w:hAnsi="Palatino Linotype" w:eastAsia="Times New Roman" w:cs="Times New Roman"/>
      <w:sz w:val="20"/>
      <w:szCs w:val="20"/>
    </w:rPr>
  </w:style>
  <w:style w:type="paragraph" w:styleId="StyleENIntroTextBulletedLatinPalatinoLinotype-Roman" w:customStyle="1">
    <w:name w:val="Style EN Intro Text (Bulleted) + (Latin) Palatino Linotype-Roman"/>
    <w:basedOn w:val="ENIntroTextBulleted"/>
    <w:qFormat/>
    <w:rsid w:val="00146fe0"/>
    <w:pPr/>
    <w:rPr/>
  </w:style>
  <w:style w:type="paragraph" w:styleId="StyleENIntroTextLatinPalatinoLinotype-Roman" w:customStyle="1">
    <w:name w:val="Style EN Intro Text + (Latin) Palatino Linotype-Roman"/>
    <w:basedOn w:val="ENIntroText"/>
    <w:qFormat/>
    <w:rsid w:val="00146fe0"/>
    <w:pPr/>
    <w:rPr/>
  </w:style>
  <w:style w:type="paragraph" w:styleId="StyleStyleENIntroTextLatinPalatinoLinotype-RomanBackg" w:customStyle="1">
    <w:name w:val="Style Style EN Intro Text + (Latin) Palatino Linotype-Roman + Backg..."/>
    <w:basedOn w:val="StyleENIntroTextLatinPalatinoLinotype-Roman"/>
    <w:qFormat/>
    <w:rsid w:val="00146fe0"/>
    <w:pPr/>
    <w:rPr>
      <w:color w:themeColor="background1" w:themeShade="80" w:val="808080"/>
    </w:rPr>
  </w:style>
  <w:style w:type="paragraph" w:styleId="CommentText">
    <w:name w:val="annotation text"/>
    <w:basedOn w:val="Normal"/>
    <w:link w:val="CommentTextChar"/>
    <w:uiPriority w:val="99"/>
    <w:semiHidden/>
    <w:unhideWhenUsed/>
    <w:locked/>
    <w:rsid w:val="004c2ed0"/>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locked/>
    <w:rsid w:val="004c2ed0"/>
    <w:pPr/>
    <w:rPr>
      <w:b/>
      <w:bCs/>
    </w:rPr>
  </w:style>
  <w:style w:type="paragraph" w:styleId="NormalWeb">
    <w:name w:val="Normal (Web)"/>
    <w:basedOn w:val="Normal"/>
    <w:uiPriority w:val="99"/>
    <w:semiHidden/>
    <w:unhideWhenUsed/>
    <w:qFormat/>
    <w:rsid w:val="003a6248"/>
    <w:pPr>
      <w:spacing w:lineRule="auto" w:line="240" w:beforeAutospacing="1" w:afterAutospacing="1"/>
    </w:pPr>
    <w:rPr>
      <w:rFonts w:ascii="Calibri" w:hAnsi="Calibri" w:eastAsia="Calibri" w:cs="Calibri" w:eastAsiaTheme="minorHAnsi"/>
      <w:lang w:eastAsia="en-GB" w:bidi="ar-SA"/>
    </w:rPr>
  </w:style>
  <w:style w:type="paragraph" w:styleId="Revision">
    <w:name w:val="Revision"/>
    <w:uiPriority w:val="71"/>
    <w:semiHidden/>
    <w:qFormat/>
    <w:rsid w:val="00cd696e"/>
    <w:pPr>
      <w:widowControl/>
      <w:bidi w:val="0"/>
      <w:spacing w:lineRule="auto" w:line="240" w:before="0" w:after="0"/>
      <w:jc w:val="left"/>
    </w:pPr>
    <w:rPr>
      <w:rFonts w:ascii="Calibri" w:hAnsi="Calibri" w:eastAsia="ＭＳ 明朝" w:cs="" w:asciiTheme="minorHAnsi" w:cstheme="minorBidi" w:eastAsiaTheme="minorEastAsia" w:hAnsiTheme="minorHAnsi"/>
      <w:color w:val="auto"/>
      <w:kern w:val="0"/>
      <w:sz w:val="22"/>
      <w:szCs w:val="22"/>
      <w:lang w:val="en-GB" w:eastAsia="en-US" w:bidi="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118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ENGeneralTable">
    <w:name w:val="EN General Table"/>
    <w:basedOn w:val="TableNormal"/>
    <w:uiPriority w:val="99"/>
    <w:qFormat/>
    <w:rsid w:val="0027009a"/>
    <w:pPr>
      <w:spacing w:after="0" w:line="240" w:lineRule="auto"/>
    </w:pPr>
    <w:rPr>
      <w:sz w:val="16"/>
    </w:rPr>
    <w:tblP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Pr>
    <w:tblStylePr w:type="firstRow">
      <w:rPr>
        <w:b/>
        <w:sz w:val="16"/>
      </w:rPr>
      <w:tblPr/>
    </w:tblStylePr>
  </w:style>
  <w:style w:type="table" w:customStyle="1" w:styleId="EN-ExampleRefTable">
    <w:name w:val="EN-Example/Ref Table"/>
    <w:basedOn w:val="TableNormal"/>
    <w:uiPriority w:val="99"/>
    <w:rsid w:val="00a968ba"/>
    <w:pPr>
      <w:spacing w:after="0" w:line="240" w:lineRule="auto"/>
    </w:pPr>
    <w:rPr>
      <w:sz w:val="20"/>
    </w:rPr>
    <w:tblPr>
      <w:tblBorders>
        <w:top w:val="single" w:color="0070C0" w:sz="8" w:space="0"/>
        <w:left w:val="single" w:color="0070C0" w:sz="8" w:space="0"/>
        <w:bottom w:val="single" w:color="0070C0" w:sz="8" w:space="0"/>
        <w:right w:val="single" w:color="0070C0" w:sz="8" w:space="0"/>
      </w:tblBorders>
    </w:tblPr>
  </w:style>
  <w:style w:type="table" w:customStyle="1" w:styleId="TableGrid1">
    <w:name w:val="Table Grid1"/>
    <w:basedOn w:val="TableNormal"/>
    <w:uiPriority w:val="59"/>
    <w:rsid w:val="00443a1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ENGeneralTable1">
    <w:name w:val="EN General Table1"/>
    <w:basedOn w:val="TableNormal"/>
    <w:uiPriority w:val="99"/>
    <w:qFormat/>
    <w:rsid w:val="006e7be7"/>
    <w:pPr>
      <w:spacing w:after="0" w:line="240" w:lineRule="auto"/>
    </w:pPr>
    <w:rPr>
      <w:sz w:val="16"/>
    </w:rPr>
    <w:tblP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Pr>
    <w:tblStylePr w:type="firstRow">
      <w:rPr>
        <w:b/>
        <w:sz w:val="16"/>
        <w:szCs w:val="16"/>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assets.publishing.service.gov.uk/government/uploads/system/uploads/attachment_data/file/1015736/Build_Back_Better-_Our_Plan_for_Health_and_Social_Care.pdf" TargetMode="External"/><Relationship Id="rId9" Type="http://schemas.openxmlformats.org/officeDocument/2006/relationships/hyperlink" Target="https://www.gov.uk/government/publications/health-and-social-care-levy/health-and-social-care-levy" TargetMode="External"/><Relationship Id="rId10" Type="http://schemas.openxmlformats.org/officeDocument/2006/relationships/hyperlink" Target="https://hansard.parliament.uk/Commons/2021-09-08/debates/E0259EE3-411F-4944-A3B6-B9AFF753B2AE/HealthAndSocialCareLevy" TargetMode="External"/><Relationship Id="rId11" Type="http://schemas.openxmlformats.org/officeDocument/2006/relationships/hyperlink" Target="https://hansard.parliament.uk/Lords/2021-09-15/debates/B572CADC-6EF7-4FEE-8888-C932380AB27D/HealthAndSocialCareLevyBill" TargetMode="External"/><Relationship Id="rId12" Type="http://schemas.openxmlformats.org/officeDocument/2006/relationships/hyperlink" Target="https://hansard.parliament.uk/Lords/2021-10-11/debates/D8582F1D-578F-4996-A1C7-EF2E891C30B1/HealthAndSocialCareLevyBill" TargetMode="External"/><Relationship Id="rId13" Type="http://schemas.openxmlformats.org/officeDocument/2006/relationships/hyperlink" Target="https://hansard.parliament.uk/Lords/2021-10-11/debates/D8582F1D-578F-4996-A1C7-EF2E891C30B1/HealthAndSocialCareLevyBill" TargetMode="External"/><Relationship Id="rId14" Type="http://schemas.openxmlformats.org/officeDocument/2006/relationships/hyperlink" Target="https://hansard.parliament.uk/Lords/2021-10-11/debates/D8582F1D-578F-4996-A1C7-EF2E891C30B1/HealthAndSocialCareLevyBill" TargetMode="External"/><Relationship Id="rId15" Type="http://schemas.openxmlformats.org/officeDocument/2006/relationships/hyperlink" Target="https://hansard.parliament.uk/Lords/2021-10-20/debates/700B6D41-F715-49F2-845F-AC1B7E2EB5C6/RoyalAssent" TargetMode="Externa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footnotes" Target="footnote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glossaryDocument" Target="glossary/document.xml"/><Relationship Id="rId28" Type="http://schemas.openxmlformats.org/officeDocument/2006/relationships/customXml" Target="../customXml/item1.xml"/><Relationship Id="rId29" Type="http://schemas.openxmlformats.org/officeDocument/2006/relationships/customXml" Target="../customXml/item2.xml"/><Relationship Id="rId30" Type="http://schemas.openxmlformats.org/officeDocument/2006/relationships/customXml" Target="../customXml/item3.xml"/><Relationship Id="rId31" Type="http://schemas.openxmlformats.org/officeDocument/2006/relationships/customXml" Target="../customXml/item4.xml"/><Relationship Id="rId32" Type="http://schemas.openxmlformats.org/officeDocument/2006/relationships/customXml" Target="../customXml/item5.xml"/>
</Relationships>
</file>

<file path=word/glossary/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1B5AB1" w:rsidP="001B5AB1">
          <w:pPr>
            <w:pStyle w:val="CD3D908E5859454DA8862ED367C34F9E"/>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1B5AB1" w:rsidP="001B5AB1">
          <w:pPr>
            <w:pStyle w:val="429B95C62CE54A678415E0E7152C4720"/>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1B5AB1">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1B5AB1" w:rsidP="001B5AB1">
          <w:pPr>
            <w:pStyle w:val="0FDD4D9B0F5C4AFF84E1FD63808F8140"/>
          </w:pPr>
          <w:r w:rsidRPr="00AE5693">
            <w:rPr>
              <w:szCs w:val="20"/>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1B5AB1" w:rsidP="001B5AB1">
          <w:pPr>
            <w:pStyle w:val="11DD78EF168E419980891885524C23DD"/>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9108AB4EDBD748E7B7DA8523BA8F4827"/>
        <w:category>
          <w:name w:val="General"/>
          <w:gallery w:val="placeholder"/>
        </w:category>
        <w:types>
          <w:type w:val="bbPlcHdr"/>
        </w:types>
        <w:behaviors>
          <w:behavior w:val="content"/>
        </w:behaviors>
        <w:guid w:val="{AC6AE1D6-0520-410D-9C9A-D37C0F2DE0B3}"/>
      </w:docPartPr>
      <w:docPartBody>
        <w:p w:rsidR="00EC0879" w:rsidRDefault="00EC0879" w:rsidP="00EC0879">
          <w:pPr>
            <w:pStyle w:val="9108AB4EDBD748E7B7DA8523BA8F4827"/>
          </w:pPr>
          <w:r w:rsidRPr="00DE0805">
            <w:rPr>
              <w:rStyle w:val="FooterText"/>
            </w:rPr>
            <w:t>[AUTOGENERATED]</w:t>
          </w:r>
        </w:p>
      </w:docPartBody>
    </w:docPart>
    <w:docPart>
      <w:docPartPr>
        <w:name w:val="5727D81E0281421B8DBE582D4FCBCA2E"/>
        <w:category>
          <w:name w:val="General"/>
          <w:gallery w:val="placeholder"/>
        </w:category>
        <w:types>
          <w:type w:val="bbPlcHdr"/>
        </w:types>
        <w:behaviors>
          <w:behavior w:val="content"/>
        </w:behaviors>
        <w:guid w:val="{5240B22B-0C0C-4EC8-AEAE-7242574DF86B}"/>
      </w:docPartPr>
      <w:docPartBody>
        <w:p w:rsidR="00EC0879" w:rsidRDefault="005D0904" w:rsidP="00EC0879">
          <w:pPr>
            <w:pStyle w:val="5727D81E0281421B8DBE582D4FCBCA2E"/>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auto"/>
    <w:pitch w:val="variable"/>
    <w:sig w:usb0="E50002FF" w:usb1="500079DB" w:usb2="0000001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C0056"/>
    <w:rsid w:val="000C3F06"/>
    <w:rsid w:val="00124D2B"/>
    <w:rsid w:val="00141991"/>
    <w:rsid w:val="00161D68"/>
    <w:rsid w:val="00191E21"/>
    <w:rsid w:val="001A03B5"/>
    <w:rsid w:val="001A3081"/>
    <w:rsid w:val="001B21BF"/>
    <w:rsid w:val="001B5AB1"/>
    <w:rsid w:val="001D0336"/>
    <w:rsid w:val="0037197D"/>
    <w:rsid w:val="003A0273"/>
    <w:rsid w:val="003A3D5D"/>
    <w:rsid w:val="003E5242"/>
    <w:rsid w:val="003E5FCA"/>
    <w:rsid w:val="00405D11"/>
    <w:rsid w:val="00455AEC"/>
    <w:rsid w:val="004618E2"/>
    <w:rsid w:val="00462FDA"/>
    <w:rsid w:val="00491233"/>
    <w:rsid w:val="00505749"/>
    <w:rsid w:val="00533698"/>
    <w:rsid w:val="00535479"/>
    <w:rsid w:val="0055517D"/>
    <w:rsid w:val="005D0904"/>
    <w:rsid w:val="005D5D3C"/>
    <w:rsid w:val="005E0F29"/>
    <w:rsid w:val="00682B26"/>
    <w:rsid w:val="006C7129"/>
    <w:rsid w:val="006F47F9"/>
    <w:rsid w:val="00796867"/>
    <w:rsid w:val="007F2C94"/>
    <w:rsid w:val="007F468B"/>
    <w:rsid w:val="0081343A"/>
    <w:rsid w:val="00846138"/>
    <w:rsid w:val="0085144C"/>
    <w:rsid w:val="0086178D"/>
    <w:rsid w:val="008D64A5"/>
    <w:rsid w:val="00900407"/>
    <w:rsid w:val="0095375F"/>
    <w:rsid w:val="009B0CA8"/>
    <w:rsid w:val="00A65B53"/>
    <w:rsid w:val="00A675C6"/>
    <w:rsid w:val="00A732F0"/>
    <w:rsid w:val="00A862F7"/>
    <w:rsid w:val="00AE5C5F"/>
    <w:rsid w:val="00B570B0"/>
    <w:rsid w:val="00C03D15"/>
    <w:rsid w:val="00C12B07"/>
    <w:rsid w:val="00C20CAA"/>
    <w:rsid w:val="00C44655"/>
    <w:rsid w:val="00C634C3"/>
    <w:rsid w:val="00D140D8"/>
    <w:rsid w:val="00D466D4"/>
    <w:rsid w:val="00D94424"/>
    <w:rsid w:val="00DB5606"/>
    <w:rsid w:val="00E011C5"/>
    <w:rsid w:val="00E17A45"/>
    <w:rsid w:val="00E60839"/>
    <w:rsid w:val="00E6269C"/>
    <w:rsid w:val="00EC0879"/>
    <w:rsid w:val="00F24353"/>
    <w:rsid w:val="00F251A8"/>
    <w:rsid w:val="00F264AC"/>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5D0904"/>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EC0879"/>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9108AB4EDBD748E7B7DA8523BA8F4827">
    <w:name w:val="9108AB4EDBD748E7B7DA8523BA8F4827"/>
    <w:rsid w:val="00EC0879"/>
  </w:style>
  <w:style w:type="paragraph" w:customStyle="1" w:styleId="5727D81E0281421B8DBE582D4FCBCA2E">
    <w:name w:val="5727D81E0281421B8DBE582D4FCBCA2E"/>
    <w:rsid w:val="00EC0879"/>
  </w:style>
  <w:style w:type="paragraph" w:customStyle="1" w:styleId="CD3D908E5859454DA8862ED367C34F9E">
    <w:name w:val="CD3D908E5859454DA8862ED367C34F9E"/>
    <w:rsid w:val="001B5AB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
    <w:name w:val="429B95C62CE54A678415E0E7152C4720"/>
    <w:rsid w:val="001B5AB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
    <w:name w:val="DD03C12CC5B24099B00CD38F74E9A2E3"/>
    <w:rsid w:val="001B5AB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
    <w:name w:val="D2874CB57EBE49FF89EB9FCEAAEBDFC0"/>
    <w:rsid w:val="001B5AB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
    <w:name w:val="44F0C7A9C318463CA0728FCAEC0730AF"/>
    <w:rsid w:val="001B5AB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
    <w:name w:val="7A83D6DB23064DFD9CE55CD3CE9AF8EB"/>
    <w:rsid w:val="001B5AB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
    <w:name w:val="0FDD4D9B0F5C4AFF84E1FD63808F8140"/>
    <w:rsid w:val="001B5AB1"/>
    <w:pPr>
      <w:tabs>
        <w:tab w:val="center" w:pos="4320"/>
        <w:tab w:val="right" w:pos="8640"/>
      </w:tabs>
      <w:spacing w:after="200" w:line="276" w:lineRule="auto"/>
    </w:pPr>
    <w:rPr>
      <w:sz w:val="20"/>
      <w:lang w:eastAsia="en-US" w:bidi="en-US"/>
    </w:rPr>
  </w:style>
  <w:style w:type="paragraph" w:customStyle="1" w:styleId="11DD78EF168E419980891885524C23DD">
    <w:name w:val="11DD78EF168E419980891885524C23DD"/>
    <w:rsid w:val="001B5AB1"/>
    <w:pPr>
      <w:tabs>
        <w:tab w:val="center" w:pos="4320"/>
        <w:tab w:val="right" w:pos="8640"/>
      </w:tabs>
      <w:spacing w:after="200" w:line="276" w:lineRule="auto"/>
    </w:pPr>
    <w:rPr>
      <w:sz w:val="20"/>
      <w:lang w:eastAsia="en-US" w:bidi="en-US"/>
    </w:rPr>
  </w:style>
  <w:style w:type="paragraph" w:customStyle="1" w:styleId="6CFDFD1D581448C18E49389A02131C2D">
    <w:name w:val="6CFDFD1D581448C18E49389A02131C2D"/>
    <w:rsid w:val="00405D11"/>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overPageProperties xmlns="http://schemas.microsoft.com/office/2006/coverPageProps">
  <PublishDate>20 October 2021</PublishDate>
  <Abstract/>
  <CompanyAddress/>
  <CompanyPhone/>
  <CompanyFax/>
  <CompanyEmail/>
</CoverPage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1F2067F230EAE4419FCFFB4D0ECA5C63" ma:contentTypeVersion="6" ma:contentTypeDescription="Create a new document." ma:contentTypeScope="" ma:versionID="48ceb9c380dab1ba3f5aed2506f7b311">
  <xsd:schema xmlns:xsd="http://www.w3.org/2001/XMLSchema" xmlns:xs="http://www.w3.org/2001/XMLSchema" xmlns:p="http://schemas.microsoft.com/office/2006/metadata/properties" xmlns:ns2="47aa791e-5678-43b5-ac5f-d99b7b99a9ee" xmlns:ns3="e4848785-8fab-4d40-9824-7948d5e0ec2a" targetNamespace="http://schemas.microsoft.com/office/2006/metadata/properties" ma:root="true" ma:fieldsID="d5614f881c850ff1dac2faf052390a0b" ns2:_="" ns3:_="">
    <xsd:import namespace="47aa791e-5678-43b5-ac5f-d99b7b99a9ee"/>
    <xsd:import namespace="e4848785-8fab-4d40-9824-7948d5e0ec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aa791e-5678-43b5-ac5f-d99b7b99a9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848785-8fab-4d40-9824-7948d5e0ec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765E20-2C62-4B17-B6B0-978C147F8E7C}">
  <ds:schemaRefs>
    <ds:schemaRef ds:uri="http://schemas.microsoft.com/sharepoint/v3/contenttype/forms"/>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3.xml><?xml version="1.0" encoding="utf-8"?>
<ds:datastoreItem xmlns:ds="http://schemas.openxmlformats.org/officeDocument/2006/customXml" ds:itemID="{D3E06C60-CCB1-4223-AA93-CD69C242C205}">
  <ds:schemaRefs>
    <ds:schemaRef ds:uri="http://schemas.openxmlformats.org/officeDocument/2006/bibliography"/>
  </ds:schemaRefs>
</ds:datastoreItem>
</file>

<file path=customXml/itemProps4.xml><?xml version="1.0" encoding="utf-8"?>
<ds:datastoreItem xmlns:ds="http://schemas.openxmlformats.org/officeDocument/2006/customXml" ds:itemID="{975E1401-4CDB-41FC-B6A8-8890D32B32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aa791e-5678-43b5-ac5f-d99b7b99a9ee"/>
    <ds:schemaRef ds:uri="e4848785-8fab-4d40-9824-7948d5e0e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16DDE97-F29E-46E5-AE12-78E82FB31595}">
  <ds:schemaRefs>
    <ds:schemaRef ds:uri="http://purl.org/dc/elements/1.1/"/>
    <ds:schemaRef ds:uri="http://schemas.microsoft.com/office/2006/metadata/properties"/>
    <ds:schemaRef ds:uri="http://purl.org/dc/terms/"/>
    <ds:schemaRef ds:uri="http://schemas.openxmlformats.org/package/2006/metadata/core-properties"/>
    <ds:schemaRef ds:uri="47aa791e-5678-43b5-ac5f-d99b7b99a9ee"/>
    <ds:schemaRef ds:uri="http://schemas.microsoft.com/office/2006/documentManagement/types"/>
    <ds:schemaRef ds:uri="http://schemas.microsoft.com/office/infopath/2007/PartnerControls"/>
    <ds:schemaRef ds:uri="e4848785-8fab-4d40-9824-7948d5e0ec2a"/>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171</TotalTime>
  <Application>LibreOffice/25.2.7.2$Windows_X86_64 LibreOffice_project/5cbfd1ab6520636bb5f7b99185aa69bd7456825d</Application>
  <AppVersion>15.0000</AppVersion>
  <Pages>12</Pages>
  <Words>3511</Words>
  <Characters>21277</Characters>
  <CharactersWithSpaces>24739</CharactersWithSpaces>
  <Paragraphs>49</Paragraphs>
  <Company>HM Revenue and Customs (HMRC)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28</cp:category>
  <dcterms:created xsi:type="dcterms:W3CDTF">2022-01-07T15:18:00Z</dcterms:created>
  <dc:creator>Guidance</dc:creator>
  <dc:description>Template last amended 01/02/2016</dc:description>
  <cp:keywords>v.1.5.2</cp:keywords>
  <dc:language>en-GB</dc:language>
  <cp:lastModifiedBy>Patel, Anjalee</cp:lastModifiedBy>
  <cp:lastPrinted>2022-01-11T09:07:00Z</cp:lastPrinted>
  <dcterms:modified xsi:type="dcterms:W3CDTF">2022-01-19T10:28:00Z</dcterms:modified>
  <cp:revision>10</cp:revision>
  <dc:subject/>
  <dc:title>Health and Social Care Levy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0x0101001F2067F230EAE4419FCFFB4D0ECA5C63</vt:lpwstr>
  </property>
  <property fmtid="{D5CDD505-2E9C-101B-9397-08002B2CF9AE}" pid="3" name="MSIP_Label_61c22e59-6e76-40e7-9277-37c464fc6354_ActionId">
    <vt:lpwstr>e6e0e07c-7a0f-4d88-98df-2ab6fe332652</vt:lpwstr>
  </property>
  <property fmtid="{D5CDD505-2E9C-101B-9397-08002B2CF9AE}" pid="4" name="MSIP_Label_61c22e59-6e76-40e7-9277-37c464fc6354_ContentBits">
    <vt:lpwstr>0</vt:lpwstr>
  </property>
  <property fmtid="{D5CDD505-2E9C-101B-9397-08002B2CF9AE}" pid="5" name="MSIP_Label_61c22e59-6e76-40e7-9277-37c464fc6354_Enabled">
    <vt:lpwstr>true</vt:lpwstr>
  </property>
  <property fmtid="{D5CDD505-2E9C-101B-9397-08002B2CF9AE}" pid="6" name="MSIP_Label_61c22e59-6e76-40e7-9277-37c464fc6354_Method">
    <vt:lpwstr>Privileged</vt:lpwstr>
  </property>
  <property fmtid="{D5CDD505-2E9C-101B-9397-08002B2CF9AE}" pid="7" name="MSIP_Label_61c22e59-6e76-40e7-9277-37c464fc6354_Name">
    <vt:lpwstr>OFFICIAL</vt:lpwstr>
  </property>
  <property fmtid="{D5CDD505-2E9C-101B-9397-08002B2CF9AE}" pid="8" name="MSIP_Label_61c22e59-6e76-40e7-9277-37c464fc6354_SetDate">
    <vt:lpwstr>2022-01-07T15:18:31Z</vt:lpwstr>
  </property>
  <property fmtid="{D5CDD505-2E9C-101B-9397-08002B2CF9AE}" pid="9" name="MSIP_Label_61c22e59-6e76-40e7-9277-37c464fc6354_SiteId">
    <vt:lpwstr>f99512c1-fd9f-4475-9896-9a0b3cdc50ec</vt:lpwstr>
  </property>
  <property fmtid="{D5CDD505-2E9C-101B-9397-08002B2CF9AE}" pid="10" name="MSIP_Label_f9af038e-07b4-4369-a678-c835687cb272_ActionId">
    <vt:lpwstr>fe637302-31af-49b4-9968-a1f83b44f8c5</vt:lpwstr>
  </property>
  <property fmtid="{D5CDD505-2E9C-101B-9397-08002B2CF9AE}" pid="11" name="MSIP_Label_f9af038e-07b4-4369-a678-c835687cb272_ContentBits">
    <vt:lpwstr>2</vt:lpwstr>
  </property>
  <property fmtid="{D5CDD505-2E9C-101B-9397-08002B2CF9AE}" pid="12" name="MSIP_Label_f9af038e-07b4-4369-a678-c835687cb272_Enabled">
    <vt:lpwstr>true</vt:lpwstr>
  </property>
  <property fmtid="{D5CDD505-2E9C-101B-9397-08002B2CF9AE}" pid="13" name="MSIP_Label_f9af038e-07b4-4369-a678-c835687cb272_Method">
    <vt:lpwstr>Standard</vt:lpwstr>
  </property>
  <property fmtid="{D5CDD505-2E9C-101B-9397-08002B2CF9AE}" pid="14" name="MSIP_Label_f9af038e-07b4-4369-a678-c835687cb272_Name">
    <vt:lpwstr>OFFICIAL</vt:lpwstr>
  </property>
  <property fmtid="{D5CDD505-2E9C-101B-9397-08002B2CF9AE}" pid="15" name="MSIP_Label_f9af038e-07b4-4369-a678-c835687cb272_SetDate">
    <vt:lpwstr>2021-09-03T11:11:30Z</vt:lpwstr>
  </property>
  <property fmtid="{D5CDD505-2E9C-101B-9397-08002B2CF9AE}" pid="16" name="MSIP_Label_f9af038e-07b4-4369-a678-c835687cb272_SiteId">
    <vt:lpwstr>ac52f73c-fd1a-4a9a-8e7a-4a248f3139e1</vt:lpwstr>
  </property>
</Properties>
</file>