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7DD0" w14:textId="02B31C45" w:rsidR="009E0D5A" w:rsidRPr="00CA4237" w:rsidRDefault="009E0D5A" w:rsidP="009E0D5A">
      <w:pPr>
        <w:pStyle w:val="StyleENBilltitleText1"/>
        <w:rPr>
          <w:color w:val="auto"/>
          <w:lang w:val="en-GB"/>
        </w:rPr>
      </w:pPr>
      <w:r>
        <w:rPr>
          <w:color w:val="auto"/>
          <w:lang w:val="en-GB"/>
        </w:rPr>
        <w:t>Child Support (Enforcement)</w:t>
      </w:r>
      <w:r w:rsidRPr="00AE5693">
        <w:rPr>
          <w:rFonts w:cs="Arial"/>
          <w:bCs w:val="0"/>
          <w:lang w:val="en-GB"/>
        </w:rPr>
        <w:t xml:space="preserve"> </w:t>
      </w:r>
      <w:r>
        <w:rPr>
          <w:color w:val="auto"/>
          <w:lang w:val="en-GB"/>
        </w:rPr>
        <w:t xml:space="preserve">Act </w:t>
      </w:r>
      <w:r w:rsidR="002034DD">
        <w:rPr>
          <w:color w:val="auto"/>
          <w:lang w:val="en-GB"/>
        </w:rPr>
        <w:t>2023</w:t>
      </w:r>
    </w:p>
    <w:p w14:paraId="55B350BB" w14:textId="77777777" w:rsidR="009E0D5A" w:rsidRPr="00AE5693" w:rsidRDefault="009E0D5A" w:rsidP="009E0D5A">
      <w:pPr>
        <w:pStyle w:val="ENnotestitle"/>
        <w:rPr>
          <w:rFonts w:cs="Arial"/>
          <w:lang w:val="en-GB"/>
        </w:rPr>
      </w:pPr>
      <w:r w:rsidRPr="00AE5693">
        <w:rPr>
          <w:rFonts w:cs="Arial"/>
          <w:lang w:val="en-GB"/>
        </w:rPr>
        <w:t>EXPLANATORY NOTES</w:t>
      </w:r>
    </w:p>
    <w:p w14:paraId="5B2CEA4D" w14:textId="1E453FF2" w:rsidR="009E0D5A" w:rsidRPr="00CA4237" w:rsidRDefault="009E0D5A" w:rsidP="009E0D5A">
      <w:pPr>
        <w:pStyle w:val="ENHeading1Unindexed"/>
        <w:rPr>
          <w:lang w:val="en-GB"/>
        </w:rPr>
      </w:pPr>
      <w:r w:rsidRPr="00CA4237">
        <w:rPr>
          <w:lang w:val="en-GB"/>
        </w:rPr>
        <w:t>What these notes do</w:t>
      </w:r>
      <w:r w:rsidRPr="00CA4237">
        <w:rPr>
          <w:lang w:val="en-GB"/>
        </w:rPr>
        <w:t> </w:t>
      </w:r>
    </w:p>
    <w:p w14:paraId="65257A0A" w14:textId="69BA9A5C" w:rsidR="009E0D5A" w:rsidRPr="007879DF" w:rsidRDefault="009E0D5A" w:rsidP="009E0D5A">
      <w:pPr>
        <w:pStyle w:val="StyleStyleENIntroTextLatinPalatinoLinotype-RomanBackg"/>
        <w:rPr>
          <w:color w:val="auto"/>
        </w:rPr>
      </w:pPr>
      <w:r w:rsidRPr="007879DF">
        <w:rPr>
          <w:color w:val="auto"/>
        </w:rPr>
        <w:t xml:space="preserve">These Explanatory Notes relate to the </w:t>
      </w:r>
      <w:r w:rsidRPr="00A56F89">
        <w:rPr>
          <w:rStyle w:val="ENIntroTextChar"/>
          <w:rFonts w:ascii="Palatino Linotype" w:hAnsi="Palatino Linotype"/>
          <w:color w:val="auto"/>
          <w:lang w:val="en-GB"/>
        </w:rPr>
        <w:t>Child Support (Enforcement)</w:t>
      </w:r>
      <w:r w:rsidRPr="007879DF">
        <w:rPr>
          <w:color w:val="auto"/>
        </w:rPr>
        <w:t xml:space="preserve"> </w:t>
      </w:r>
      <w:r>
        <w:rPr>
          <w:color w:val="auto"/>
        </w:rPr>
        <w:t>Act 2023</w:t>
      </w:r>
      <w:r w:rsidRPr="007879DF">
        <w:rPr>
          <w:color w:val="auto"/>
        </w:rPr>
        <w:t xml:space="preserve"> </w:t>
      </w:r>
      <w:r>
        <w:rPr>
          <w:color w:val="auto"/>
        </w:rPr>
        <w:t>which received Royal Assent</w:t>
      </w:r>
      <w:r w:rsidRPr="007879DF">
        <w:rPr>
          <w:color w:val="auto"/>
        </w:rPr>
        <w:t xml:space="preserve"> on </w:t>
      </w:r>
      <w:r>
        <w:rPr>
          <w:color w:val="auto"/>
          <w:lang w:val="en-GB"/>
        </w:rPr>
        <w:t>20 July 2023</w:t>
      </w:r>
      <w:r w:rsidRPr="007879DF">
        <w:rPr>
          <w:color w:val="auto"/>
        </w:rPr>
        <w:t xml:space="preserve"> (</w:t>
      </w:r>
      <w:r w:rsidR="002956CE">
        <w:rPr>
          <w:color w:val="auto"/>
        </w:rPr>
        <w:t>c. 35)</w:t>
      </w:r>
      <w:r w:rsidRPr="007879DF">
        <w:rPr>
          <w:color w:val="auto"/>
        </w:rPr>
        <w:t xml:space="preserve">. </w:t>
      </w:r>
    </w:p>
    <w:p w14:paraId="69C7CB50" w14:textId="0537F2D3" w:rsidR="009E0D5A" w:rsidRPr="00AE5693" w:rsidRDefault="009E0D5A" w:rsidP="009E0D5A">
      <w:pPr>
        <w:pStyle w:val="StyleENIntroTextBulletedLatinPalatinoLinotype-Roman"/>
      </w:pPr>
      <w:r w:rsidRPr="007879DF">
        <w:rPr>
          <w:color w:val="auto"/>
        </w:rPr>
        <w:t>These Explanatory Notes have been</w:t>
      </w:r>
      <w:r>
        <w:rPr>
          <w:color w:val="auto"/>
        </w:rPr>
        <w:t xml:space="preserve"> provided by the</w:t>
      </w:r>
      <w:r w:rsidRPr="007879DF">
        <w:rPr>
          <w:color w:val="auto"/>
        </w:rPr>
        <w:t xml:space="preserve"> </w:t>
      </w:r>
      <w:r>
        <w:rPr>
          <w:color w:val="auto"/>
        </w:rPr>
        <w:t>Department for Work and Pensions,</w:t>
      </w:r>
      <w:r w:rsidRPr="007879DF">
        <w:rPr>
          <w:color w:val="auto"/>
        </w:rPr>
        <w:t xml:space="preserve"> </w:t>
      </w:r>
      <w:proofErr w:type="gramStart"/>
      <w:r w:rsidRPr="007879DF">
        <w:rPr>
          <w:color w:val="auto"/>
        </w:rPr>
        <w:t>in order to</w:t>
      </w:r>
      <w:proofErr w:type="gramEnd"/>
      <w:r w:rsidRPr="007879DF">
        <w:rPr>
          <w:color w:val="auto"/>
        </w:rPr>
        <w:t xml:space="preserve"> assist the reader </w:t>
      </w:r>
      <w:r>
        <w:rPr>
          <w:color w:val="auto"/>
        </w:rPr>
        <w:t>in understanding the Act</w:t>
      </w:r>
      <w:r w:rsidRPr="007879DF">
        <w:rPr>
          <w:color w:val="auto"/>
        </w:rPr>
        <w:t>. They do not form part of the</w:t>
      </w:r>
      <w:r w:rsidRPr="00146FE0">
        <w:t xml:space="preserve"> </w:t>
      </w:r>
      <w:r>
        <w:t>Act</w:t>
      </w:r>
      <w:r w:rsidRPr="00AE5693">
        <w:t xml:space="preserve"> and have not been endorsed by Parliament.</w:t>
      </w:r>
    </w:p>
    <w:p w14:paraId="30CFBBAB" w14:textId="5A433DA2" w:rsidR="009E0D5A" w:rsidRPr="00AE5693" w:rsidRDefault="009E0D5A" w:rsidP="009E0D5A">
      <w:pPr>
        <w:pStyle w:val="StyleENIntroTextBulletedLatinPalatinoLinotype-Roman"/>
      </w:pPr>
      <w:r w:rsidRPr="00AE5693">
        <w:t xml:space="preserve">These Explanatory Notes explain what each part of the </w:t>
      </w:r>
      <w:r>
        <w:t>Act</w:t>
      </w:r>
      <w:r w:rsidRPr="00146FE0">
        <w:t xml:space="preserve"> will mean in practice; provide background information on the development of policy; and provide additional information on how the </w:t>
      </w:r>
      <w:r>
        <w:t>Act</w:t>
      </w:r>
      <w:r w:rsidRPr="00AE5693">
        <w:t xml:space="preserve"> will affect existing legislation in this area. </w:t>
      </w:r>
    </w:p>
    <w:p w14:paraId="2C5F4F69" w14:textId="71AF7063" w:rsidR="009E0D5A" w:rsidRPr="00146FE0" w:rsidRDefault="009E0D5A" w:rsidP="009E0D5A">
      <w:pPr>
        <w:pStyle w:val="StyleENIntroTextBulletedLatinPalatinoLinotype-Roman"/>
      </w:pPr>
      <w:r w:rsidRPr="00AE5693">
        <w:t xml:space="preserve">These Explanatory Notes might best be read alongside the </w:t>
      </w:r>
      <w:r>
        <w:t>Act</w:t>
      </w:r>
      <w:r w:rsidRPr="00146FE0">
        <w:t xml:space="preserve">. They are not, and are not intended to be, a comprehensive description of the </w:t>
      </w:r>
      <w:r>
        <w:t>Act</w:t>
      </w:r>
      <w:r w:rsidRPr="00146FE0">
        <w:t>.</w:t>
      </w:r>
    </w:p>
    <w:p w14:paraId="5F764323" w14:textId="7B23ED17" w:rsidR="009E0D5A" w:rsidRPr="00CA4237" w:rsidRDefault="009E0D5A" w:rsidP="009E0D5A">
      <w:pPr>
        <w:pStyle w:val="ENHeading1Unindexed"/>
        <w:rPr>
          <w:lang w:val="en-GB"/>
        </w:rPr>
      </w:pPr>
      <w:r w:rsidRPr="00CA4237">
        <w:rPr>
          <w:lang w:val="en-GB"/>
        </w:rPr>
        <w:br w:type="page"/>
      </w:r>
      <w:r w:rsidRPr="00CA4237">
        <w:rPr>
          <w:lang w:val="en-GB"/>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9E0D5A" w:rsidRPr="00AE5693" w14:paraId="12F518B6" w14:textId="77777777" w:rsidTr="00677278">
        <w:tc>
          <w:tcPr>
            <w:tcW w:w="4643" w:type="dxa"/>
          </w:tcPr>
          <w:p w14:paraId="56FA874E" w14:textId="23F5F75B" w:rsidR="009E0D5A" w:rsidRPr="00AE5693" w:rsidRDefault="009E0D5A" w:rsidP="00677278">
            <w:pPr>
              <w:pStyle w:val="StyleTOC1Bold"/>
              <w:jc w:val="left"/>
              <w:rPr>
                <w:b/>
              </w:rPr>
            </w:pPr>
            <w:r w:rsidRPr="00AE5693">
              <w:rPr>
                <w:b/>
              </w:rPr>
              <w:t>Subject</w:t>
            </w:r>
          </w:p>
        </w:tc>
        <w:tc>
          <w:tcPr>
            <w:tcW w:w="4644" w:type="dxa"/>
          </w:tcPr>
          <w:p w14:paraId="6425A342" w14:textId="70847128" w:rsidR="009E0D5A" w:rsidRPr="00AE5693" w:rsidRDefault="009E0D5A" w:rsidP="00677278">
            <w:pPr>
              <w:pStyle w:val="StyleTOC1BoldRight"/>
              <w:rPr>
                <w:b/>
              </w:rPr>
            </w:pPr>
            <w:r w:rsidRPr="00AE5693">
              <w:rPr>
                <w:b/>
              </w:rPr>
              <w:t>Page of these Notes</w:t>
            </w:r>
          </w:p>
        </w:tc>
      </w:tr>
    </w:tbl>
    <w:p w14:paraId="69BFAAA7" w14:textId="7AA3E8A3" w:rsidR="002751DB" w:rsidRDefault="009E0D5A">
      <w:pPr>
        <w:pStyle w:val="TOC1"/>
        <w:rPr>
          <w:rFonts w:asciiTheme="minorHAnsi" w:eastAsiaTheme="minorEastAsia" w:hAnsiTheme="minorHAnsi" w:cstheme="minorBidi"/>
          <w:b w:val="0"/>
          <w:bCs w:val="0"/>
          <w:noProof/>
          <w:sz w:val="22"/>
          <w:szCs w:val="22"/>
          <w:lang w:eastAsia="en-GB" w:bidi="ar-SA"/>
        </w:rPr>
      </w:pPr>
      <w:r w:rsidRPr="009E0D5A">
        <w:fldChar w:fldCharType="begin"/>
      </w:r>
      <w:r>
        <w:instrText xml:space="preserve"> TOC \o "1-3" \h \z \t "Heading 4,4,Heading 5,5,H: Subheading 4,4,Section Heading,4,H: Subheading 5,5" </w:instrText>
      </w:r>
      <w:r w:rsidRPr="009E0D5A">
        <w:fldChar w:fldCharType="separate"/>
      </w:r>
      <w:hyperlink w:anchor="_Toc143595888" w:history="1">
        <w:r w:rsidR="002751DB" w:rsidRPr="00A24AB3">
          <w:rPr>
            <w:rStyle w:val="Hyperlink"/>
            <w:noProof/>
          </w:rPr>
          <w:t>Overview of the Act</w:t>
        </w:r>
        <w:r w:rsidR="002751DB">
          <w:rPr>
            <w:noProof/>
            <w:webHidden/>
          </w:rPr>
          <w:tab/>
        </w:r>
        <w:r w:rsidR="002751DB">
          <w:rPr>
            <w:noProof/>
            <w:webHidden/>
          </w:rPr>
          <w:fldChar w:fldCharType="begin"/>
        </w:r>
        <w:r w:rsidR="002751DB">
          <w:rPr>
            <w:noProof/>
            <w:webHidden/>
          </w:rPr>
          <w:instrText xml:space="preserve"> PAGEREF _Toc143595888 \h </w:instrText>
        </w:r>
        <w:r w:rsidR="002751DB">
          <w:rPr>
            <w:noProof/>
            <w:webHidden/>
          </w:rPr>
        </w:r>
        <w:r w:rsidR="002751DB">
          <w:rPr>
            <w:noProof/>
            <w:webHidden/>
          </w:rPr>
          <w:fldChar w:fldCharType="separate"/>
        </w:r>
        <w:r w:rsidR="002751DB">
          <w:rPr>
            <w:noProof/>
            <w:webHidden/>
          </w:rPr>
          <w:t>3</w:t>
        </w:r>
        <w:r w:rsidR="002751DB">
          <w:rPr>
            <w:noProof/>
            <w:webHidden/>
          </w:rPr>
          <w:fldChar w:fldCharType="end"/>
        </w:r>
      </w:hyperlink>
    </w:p>
    <w:p w14:paraId="7902AA85" w14:textId="2ED0324D" w:rsidR="002751DB" w:rsidRDefault="002751DB">
      <w:pPr>
        <w:pStyle w:val="TOC1"/>
        <w:rPr>
          <w:rFonts w:asciiTheme="minorHAnsi" w:eastAsiaTheme="minorEastAsia" w:hAnsiTheme="minorHAnsi" w:cstheme="minorBidi"/>
          <w:b w:val="0"/>
          <w:bCs w:val="0"/>
          <w:noProof/>
          <w:sz w:val="22"/>
          <w:szCs w:val="22"/>
          <w:lang w:eastAsia="en-GB" w:bidi="ar-SA"/>
        </w:rPr>
      </w:pPr>
      <w:hyperlink w:anchor="_Toc143595889" w:history="1">
        <w:r w:rsidRPr="00A24AB3">
          <w:rPr>
            <w:rStyle w:val="Hyperlink"/>
            <w:noProof/>
          </w:rPr>
          <w:t>Policy background</w:t>
        </w:r>
        <w:r>
          <w:rPr>
            <w:noProof/>
            <w:webHidden/>
          </w:rPr>
          <w:tab/>
        </w:r>
        <w:r>
          <w:rPr>
            <w:noProof/>
            <w:webHidden/>
          </w:rPr>
          <w:fldChar w:fldCharType="begin"/>
        </w:r>
        <w:r>
          <w:rPr>
            <w:noProof/>
            <w:webHidden/>
          </w:rPr>
          <w:instrText xml:space="preserve"> PAGEREF _Toc143595889 \h </w:instrText>
        </w:r>
        <w:r>
          <w:rPr>
            <w:noProof/>
            <w:webHidden/>
          </w:rPr>
        </w:r>
        <w:r>
          <w:rPr>
            <w:noProof/>
            <w:webHidden/>
          </w:rPr>
          <w:fldChar w:fldCharType="separate"/>
        </w:r>
        <w:r>
          <w:rPr>
            <w:noProof/>
            <w:webHidden/>
          </w:rPr>
          <w:t>3</w:t>
        </w:r>
        <w:r>
          <w:rPr>
            <w:noProof/>
            <w:webHidden/>
          </w:rPr>
          <w:fldChar w:fldCharType="end"/>
        </w:r>
      </w:hyperlink>
    </w:p>
    <w:p w14:paraId="7654B90F" w14:textId="08B4F40C" w:rsidR="002751DB" w:rsidRDefault="002751DB">
      <w:pPr>
        <w:pStyle w:val="TOC1"/>
        <w:rPr>
          <w:rFonts w:asciiTheme="minorHAnsi" w:eastAsiaTheme="minorEastAsia" w:hAnsiTheme="minorHAnsi" w:cstheme="minorBidi"/>
          <w:b w:val="0"/>
          <w:bCs w:val="0"/>
          <w:noProof/>
          <w:sz w:val="22"/>
          <w:szCs w:val="22"/>
          <w:lang w:eastAsia="en-GB" w:bidi="ar-SA"/>
        </w:rPr>
      </w:pPr>
      <w:hyperlink w:anchor="_Toc143595890" w:history="1">
        <w:r w:rsidRPr="00A24AB3">
          <w:rPr>
            <w:rStyle w:val="Hyperlink"/>
            <w:noProof/>
          </w:rPr>
          <w:t>Legal background</w:t>
        </w:r>
        <w:r>
          <w:rPr>
            <w:noProof/>
            <w:webHidden/>
          </w:rPr>
          <w:tab/>
        </w:r>
        <w:r>
          <w:rPr>
            <w:noProof/>
            <w:webHidden/>
          </w:rPr>
          <w:fldChar w:fldCharType="begin"/>
        </w:r>
        <w:r>
          <w:rPr>
            <w:noProof/>
            <w:webHidden/>
          </w:rPr>
          <w:instrText xml:space="preserve"> PAGEREF _Toc143595890 \h </w:instrText>
        </w:r>
        <w:r>
          <w:rPr>
            <w:noProof/>
            <w:webHidden/>
          </w:rPr>
        </w:r>
        <w:r>
          <w:rPr>
            <w:noProof/>
            <w:webHidden/>
          </w:rPr>
          <w:fldChar w:fldCharType="separate"/>
        </w:r>
        <w:r>
          <w:rPr>
            <w:noProof/>
            <w:webHidden/>
          </w:rPr>
          <w:t>4</w:t>
        </w:r>
        <w:r>
          <w:rPr>
            <w:noProof/>
            <w:webHidden/>
          </w:rPr>
          <w:fldChar w:fldCharType="end"/>
        </w:r>
      </w:hyperlink>
    </w:p>
    <w:p w14:paraId="2B4C6152" w14:textId="5036D325" w:rsidR="002751DB" w:rsidRDefault="002751DB">
      <w:pPr>
        <w:pStyle w:val="TOC1"/>
        <w:rPr>
          <w:rFonts w:asciiTheme="minorHAnsi" w:eastAsiaTheme="minorEastAsia" w:hAnsiTheme="minorHAnsi" w:cstheme="minorBidi"/>
          <w:b w:val="0"/>
          <w:bCs w:val="0"/>
          <w:noProof/>
          <w:sz w:val="22"/>
          <w:szCs w:val="22"/>
          <w:lang w:eastAsia="en-GB" w:bidi="ar-SA"/>
        </w:rPr>
      </w:pPr>
      <w:hyperlink w:anchor="_Toc143595891" w:history="1">
        <w:r w:rsidRPr="00A24AB3">
          <w:rPr>
            <w:rStyle w:val="Hyperlink"/>
            <w:noProof/>
          </w:rPr>
          <w:t>Territorial extent and application</w:t>
        </w:r>
        <w:r>
          <w:rPr>
            <w:noProof/>
            <w:webHidden/>
          </w:rPr>
          <w:tab/>
        </w:r>
        <w:r>
          <w:rPr>
            <w:noProof/>
            <w:webHidden/>
          </w:rPr>
          <w:fldChar w:fldCharType="begin"/>
        </w:r>
        <w:r>
          <w:rPr>
            <w:noProof/>
            <w:webHidden/>
          </w:rPr>
          <w:instrText xml:space="preserve"> PAGEREF _Toc143595891 \h </w:instrText>
        </w:r>
        <w:r>
          <w:rPr>
            <w:noProof/>
            <w:webHidden/>
          </w:rPr>
        </w:r>
        <w:r>
          <w:rPr>
            <w:noProof/>
            <w:webHidden/>
          </w:rPr>
          <w:fldChar w:fldCharType="separate"/>
        </w:r>
        <w:r>
          <w:rPr>
            <w:noProof/>
            <w:webHidden/>
          </w:rPr>
          <w:t>4</w:t>
        </w:r>
        <w:r>
          <w:rPr>
            <w:noProof/>
            <w:webHidden/>
          </w:rPr>
          <w:fldChar w:fldCharType="end"/>
        </w:r>
      </w:hyperlink>
    </w:p>
    <w:p w14:paraId="2C3E5DC8" w14:textId="59DCBE9D" w:rsidR="002751DB" w:rsidRDefault="002751DB">
      <w:pPr>
        <w:pStyle w:val="TOC1"/>
        <w:rPr>
          <w:rFonts w:asciiTheme="minorHAnsi" w:eastAsiaTheme="minorEastAsia" w:hAnsiTheme="minorHAnsi" w:cstheme="minorBidi"/>
          <w:b w:val="0"/>
          <w:bCs w:val="0"/>
          <w:noProof/>
          <w:sz w:val="22"/>
          <w:szCs w:val="22"/>
          <w:lang w:eastAsia="en-GB" w:bidi="ar-SA"/>
        </w:rPr>
      </w:pPr>
      <w:hyperlink w:anchor="_Toc143595892" w:history="1">
        <w:r w:rsidRPr="00A24AB3">
          <w:rPr>
            <w:rStyle w:val="Hyperlink"/>
            <w:noProof/>
          </w:rPr>
          <w:t>Commentary on provisions of Act</w:t>
        </w:r>
        <w:r>
          <w:rPr>
            <w:noProof/>
            <w:webHidden/>
          </w:rPr>
          <w:tab/>
        </w:r>
        <w:r>
          <w:rPr>
            <w:noProof/>
            <w:webHidden/>
          </w:rPr>
          <w:fldChar w:fldCharType="begin"/>
        </w:r>
        <w:r>
          <w:rPr>
            <w:noProof/>
            <w:webHidden/>
          </w:rPr>
          <w:instrText xml:space="preserve"> PAGEREF _Toc143595892 \h </w:instrText>
        </w:r>
        <w:r>
          <w:rPr>
            <w:noProof/>
            <w:webHidden/>
          </w:rPr>
        </w:r>
        <w:r>
          <w:rPr>
            <w:noProof/>
            <w:webHidden/>
          </w:rPr>
          <w:fldChar w:fldCharType="separate"/>
        </w:r>
        <w:r>
          <w:rPr>
            <w:noProof/>
            <w:webHidden/>
          </w:rPr>
          <w:t>5</w:t>
        </w:r>
        <w:r>
          <w:rPr>
            <w:noProof/>
            <w:webHidden/>
          </w:rPr>
          <w:fldChar w:fldCharType="end"/>
        </w:r>
      </w:hyperlink>
    </w:p>
    <w:p w14:paraId="6FA09712" w14:textId="253BC7B7" w:rsidR="002751DB" w:rsidRDefault="002751DB">
      <w:pPr>
        <w:pStyle w:val="TOC4"/>
        <w:tabs>
          <w:tab w:val="right" w:pos="9061"/>
        </w:tabs>
        <w:rPr>
          <w:rFonts w:asciiTheme="minorHAnsi" w:eastAsiaTheme="minorEastAsia" w:hAnsiTheme="minorHAnsi" w:cstheme="minorBidi"/>
          <w:noProof/>
          <w:sz w:val="22"/>
          <w:szCs w:val="22"/>
          <w:lang w:eastAsia="en-GB" w:bidi="ar-SA"/>
        </w:rPr>
      </w:pPr>
      <w:hyperlink w:anchor="_Toc143595893" w:history="1">
        <w:r w:rsidRPr="00A24AB3">
          <w:rPr>
            <w:rStyle w:val="Hyperlink"/>
            <w:noProof/>
          </w:rPr>
          <w:t>Section 1: Interpretation</w:t>
        </w:r>
        <w:r>
          <w:rPr>
            <w:noProof/>
            <w:webHidden/>
          </w:rPr>
          <w:tab/>
        </w:r>
        <w:r>
          <w:rPr>
            <w:noProof/>
            <w:webHidden/>
          </w:rPr>
          <w:fldChar w:fldCharType="begin"/>
        </w:r>
        <w:r>
          <w:rPr>
            <w:noProof/>
            <w:webHidden/>
          </w:rPr>
          <w:instrText xml:space="preserve"> PAGEREF _Toc143595893 \h </w:instrText>
        </w:r>
        <w:r>
          <w:rPr>
            <w:noProof/>
            <w:webHidden/>
          </w:rPr>
        </w:r>
        <w:r>
          <w:rPr>
            <w:noProof/>
            <w:webHidden/>
          </w:rPr>
          <w:fldChar w:fldCharType="separate"/>
        </w:r>
        <w:r>
          <w:rPr>
            <w:noProof/>
            <w:webHidden/>
          </w:rPr>
          <w:t>5</w:t>
        </w:r>
        <w:r>
          <w:rPr>
            <w:noProof/>
            <w:webHidden/>
          </w:rPr>
          <w:fldChar w:fldCharType="end"/>
        </w:r>
      </w:hyperlink>
    </w:p>
    <w:p w14:paraId="7ED0906F" w14:textId="139B440E" w:rsidR="002751DB" w:rsidRDefault="002751DB">
      <w:pPr>
        <w:pStyle w:val="TOC4"/>
        <w:tabs>
          <w:tab w:val="right" w:pos="9061"/>
        </w:tabs>
        <w:rPr>
          <w:rFonts w:asciiTheme="minorHAnsi" w:eastAsiaTheme="minorEastAsia" w:hAnsiTheme="minorHAnsi" w:cstheme="minorBidi"/>
          <w:noProof/>
          <w:sz w:val="22"/>
          <w:szCs w:val="22"/>
          <w:lang w:eastAsia="en-GB" w:bidi="ar-SA"/>
        </w:rPr>
      </w:pPr>
      <w:hyperlink w:anchor="_Toc143595894" w:history="1">
        <w:r w:rsidRPr="00A24AB3">
          <w:rPr>
            <w:rStyle w:val="Hyperlink"/>
            <w:noProof/>
          </w:rPr>
          <w:t>Section 2: Making of liability order</w:t>
        </w:r>
        <w:r>
          <w:rPr>
            <w:noProof/>
            <w:webHidden/>
          </w:rPr>
          <w:tab/>
        </w:r>
        <w:r>
          <w:rPr>
            <w:noProof/>
            <w:webHidden/>
          </w:rPr>
          <w:fldChar w:fldCharType="begin"/>
        </w:r>
        <w:r>
          <w:rPr>
            <w:noProof/>
            <w:webHidden/>
          </w:rPr>
          <w:instrText xml:space="preserve"> PAGEREF _Toc143595894 \h </w:instrText>
        </w:r>
        <w:r>
          <w:rPr>
            <w:noProof/>
            <w:webHidden/>
          </w:rPr>
        </w:r>
        <w:r>
          <w:rPr>
            <w:noProof/>
            <w:webHidden/>
          </w:rPr>
          <w:fldChar w:fldCharType="separate"/>
        </w:r>
        <w:r>
          <w:rPr>
            <w:noProof/>
            <w:webHidden/>
          </w:rPr>
          <w:t>5</w:t>
        </w:r>
        <w:r>
          <w:rPr>
            <w:noProof/>
            <w:webHidden/>
          </w:rPr>
          <w:fldChar w:fldCharType="end"/>
        </w:r>
      </w:hyperlink>
    </w:p>
    <w:p w14:paraId="2241FF1E" w14:textId="35752526" w:rsidR="002751DB" w:rsidRDefault="002751DB">
      <w:pPr>
        <w:pStyle w:val="TOC4"/>
        <w:tabs>
          <w:tab w:val="right" w:pos="9061"/>
        </w:tabs>
        <w:rPr>
          <w:rFonts w:asciiTheme="minorHAnsi" w:eastAsiaTheme="minorEastAsia" w:hAnsiTheme="minorHAnsi" w:cstheme="minorBidi"/>
          <w:noProof/>
          <w:sz w:val="22"/>
          <w:szCs w:val="22"/>
          <w:lang w:eastAsia="en-GB" w:bidi="ar-SA"/>
        </w:rPr>
      </w:pPr>
      <w:hyperlink w:anchor="_Toc143595895" w:history="1">
        <w:r w:rsidRPr="00A24AB3">
          <w:rPr>
            <w:rStyle w:val="Hyperlink"/>
            <w:noProof/>
          </w:rPr>
          <w:t>Section 3: Power to vary liability order</w:t>
        </w:r>
        <w:r>
          <w:rPr>
            <w:noProof/>
            <w:webHidden/>
          </w:rPr>
          <w:tab/>
        </w:r>
        <w:r>
          <w:rPr>
            <w:noProof/>
            <w:webHidden/>
          </w:rPr>
          <w:fldChar w:fldCharType="begin"/>
        </w:r>
        <w:r>
          <w:rPr>
            <w:noProof/>
            <w:webHidden/>
          </w:rPr>
          <w:instrText xml:space="preserve"> PAGEREF _Toc143595895 \h </w:instrText>
        </w:r>
        <w:r>
          <w:rPr>
            <w:noProof/>
            <w:webHidden/>
          </w:rPr>
        </w:r>
        <w:r>
          <w:rPr>
            <w:noProof/>
            <w:webHidden/>
          </w:rPr>
          <w:fldChar w:fldCharType="separate"/>
        </w:r>
        <w:r>
          <w:rPr>
            <w:noProof/>
            <w:webHidden/>
          </w:rPr>
          <w:t>5</w:t>
        </w:r>
        <w:r>
          <w:rPr>
            <w:noProof/>
            <w:webHidden/>
          </w:rPr>
          <w:fldChar w:fldCharType="end"/>
        </w:r>
      </w:hyperlink>
    </w:p>
    <w:p w14:paraId="58E4E110" w14:textId="1170C266" w:rsidR="002751DB" w:rsidRDefault="002751DB">
      <w:pPr>
        <w:pStyle w:val="TOC4"/>
        <w:tabs>
          <w:tab w:val="right" w:pos="9061"/>
        </w:tabs>
        <w:rPr>
          <w:rFonts w:asciiTheme="minorHAnsi" w:eastAsiaTheme="minorEastAsia" w:hAnsiTheme="minorHAnsi" w:cstheme="minorBidi"/>
          <w:noProof/>
          <w:sz w:val="22"/>
          <w:szCs w:val="22"/>
          <w:lang w:eastAsia="en-GB" w:bidi="ar-SA"/>
        </w:rPr>
      </w:pPr>
      <w:hyperlink w:anchor="_Toc143595896" w:history="1">
        <w:r w:rsidRPr="00A24AB3">
          <w:rPr>
            <w:rStyle w:val="Hyperlink"/>
            <w:noProof/>
          </w:rPr>
          <w:t>Section 4: Appeal of a liability order</w:t>
        </w:r>
        <w:r>
          <w:rPr>
            <w:noProof/>
            <w:webHidden/>
          </w:rPr>
          <w:tab/>
        </w:r>
        <w:r>
          <w:rPr>
            <w:noProof/>
            <w:webHidden/>
          </w:rPr>
          <w:fldChar w:fldCharType="begin"/>
        </w:r>
        <w:r>
          <w:rPr>
            <w:noProof/>
            <w:webHidden/>
          </w:rPr>
          <w:instrText xml:space="preserve"> PAGEREF _Toc143595896 \h </w:instrText>
        </w:r>
        <w:r>
          <w:rPr>
            <w:noProof/>
            <w:webHidden/>
          </w:rPr>
        </w:r>
        <w:r>
          <w:rPr>
            <w:noProof/>
            <w:webHidden/>
          </w:rPr>
          <w:fldChar w:fldCharType="separate"/>
        </w:r>
        <w:r>
          <w:rPr>
            <w:noProof/>
            <w:webHidden/>
          </w:rPr>
          <w:t>5</w:t>
        </w:r>
        <w:r>
          <w:rPr>
            <w:noProof/>
            <w:webHidden/>
          </w:rPr>
          <w:fldChar w:fldCharType="end"/>
        </w:r>
      </w:hyperlink>
    </w:p>
    <w:p w14:paraId="5F9B015F" w14:textId="7D1B0B74" w:rsidR="002751DB" w:rsidRDefault="002751DB">
      <w:pPr>
        <w:pStyle w:val="TOC4"/>
        <w:tabs>
          <w:tab w:val="right" w:pos="9061"/>
        </w:tabs>
        <w:rPr>
          <w:rFonts w:asciiTheme="minorHAnsi" w:eastAsiaTheme="minorEastAsia" w:hAnsiTheme="minorHAnsi" w:cstheme="minorBidi"/>
          <w:noProof/>
          <w:sz w:val="22"/>
          <w:szCs w:val="22"/>
          <w:lang w:eastAsia="en-GB" w:bidi="ar-SA"/>
        </w:rPr>
      </w:pPr>
      <w:hyperlink w:anchor="_Toc143595897" w:history="1">
        <w:r w:rsidRPr="00A24AB3">
          <w:rPr>
            <w:rStyle w:val="Hyperlink"/>
            <w:noProof/>
          </w:rPr>
          <w:t>Section 5: Consequential amendments</w:t>
        </w:r>
        <w:r>
          <w:rPr>
            <w:noProof/>
            <w:webHidden/>
          </w:rPr>
          <w:tab/>
        </w:r>
        <w:r>
          <w:rPr>
            <w:noProof/>
            <w:webHidden/>
          </w:rPr>
          <w:fldChar w:fldCharType="begin"/>
        </w:r>
        <w:r>
          <w:rPr>
            <w:noProof/>
            <w:webHidden/>
          </w:rPr>
          <w:instrText xml:space="preserve"> PAGEREF _Toc143595897 \h </w:instrText>
        </w:r>
        <w:r>
          <w:rPr>
            <w:noProof/>
            <w:webHidden/>
          </w:rPr>
        </w:r>
        <w:r>
          <w:rPr>
            <w:noProof/>
            <w:webHidden/>
          </w:rPr>
          <w:fldChar w:fldCharType="separate"/>
        </w:r>
        <w:r>
          <w:rPr>
            <w:noProof/>
            <w:webHidden/>
          </w:rPr>
          <w:t>5</w:t>
        </w:r>
        <w:r>
          <w:rPr>
            <w:noProof/>
            <w:webHidden/>
          </w:rPr>
          <w:fldChar w:fldCharType="end"/>
        </w:r>
      </w:hyperlink>
    </w:p>
    <w:p w14:paraId="58907C31" w14:textId="01C40AC5" w:rsidR="002751DB" w:rsidRDefault="002751DB">
      <w:pPr>
        <w:pStyle w:val="TOC4"/>
        <w:tabs>
          <w:tab w:val="right" w:pos="9061"/>
        </w:tabs>
        <w:rPr>
          <w:rFonts w:asciiTheme="minorHAnsi" w:eastAsiaTheme="minorEastAsia" w:hAnsiTheme="minorHAnsi" w:cstheme="minorBidi"/>
          <w:noProof/>
          <w:sz w:val="22"/>
          <w:szCs w:val="22"/>
          <w:lang w:eastAsia="en-GB" w:bidi="ar-SA"/>
        </w:rPr>
      </w:pPr>
      <w:hyperlink w:anchor="_Toc143595898" w:history="1">
        <w:r w:rsidRPr="00A24AB3">
          <w:rPr>
            <w:rStyle w:val="Hyperlink"/>
            <w:noProof/>
          </w:rPr>
          <w:t>Section 6: Extent, commencement and short title</w:t>
        </w:r>
        <w:r>
          <w:rPr>
            <w:noProof/>
            <w:webHidden/>
          </w:rPr>
          <w:tab/>
        </w:r>
        <w:r>
          <w:rPr>
            <w:noProof/>
            <w:webHidden/>
          </w:rPr>
          <w:fldChar w:fldCharType="begin"/>
        </w:r>
        <w:r>
          <w:rPr>
            <w:noProof/>
            <w:webHidden/>
          </w:rPr>
          <w:instrText xml:space="preserve"> PAGEREF _Toc143595898 \h </w:instrText>
        </w:r>
        <w:r>
          <w:rPr>
            <w:noProof/>
            <w:webHidden/>
          </w:rPr>
        </w:r>
        <w:r>
          <w:rPr>
            <w:noProof/>
            <w:webHidden/>
          </w:rPr>
          <w:fldChar w:fldCharType="separate"/>
        </w:r>
        <w:r>
          <w:rPr>
            <w:noProof/>
            <w:webHidden/>
          </w:rPr>
          <w:t>6</w:t>
        </w:r>
        <w:r>
          <w:rPr>
            <w:noProof/>
            <w:webHidden/>
          </w:rPr>
          <w:fldChar w:fldCharType="end"/>
        </w:r>
      </w:hyperlink>
    </w:p>
    <w:p w14:paraId="39F9461B" w14:textId="5216512A" w:rsidR="002751DB" w:rsidRDefault="002751DB">
      <w:pPr>
        <w:pStyle w:val="TOC1"/>
        <w:rPr>
          <w:rFonts w:asciiTheme="minorHAnsi" w:eastAsiaTheme="minorEastAsia" w:hAnsiTheme="minorHAnsi" w:cstheme="minorBidi"/>
          <w:b w:val="0"/>
          <w:bCs w:val="0"/>
          <w:noProof/>
          <w:sz w:val="22"/>
          <w:szCs w:val="22"/>
          <w:lang w:eastAsia="en-GB" w:bidi="ar-SA"/>
        </w:rPr>
      </w:pPr>
      <w:hyperlink w:anchor="_Toc143595899" w:history="1">
        <w:r w:rsidRPr="00A24AB3">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_Toc143595899 \h </w:instrText>
        </w:r>
        <w:r>
          <w:rPr>
            <w:noProof/>
            <w:webHidden/>
          </w:rPr>
        </w:r>
        <w:r>
          <w:rPr>
            <w:noProof/>
            <w:webHidden/>
          </w:rPr>
          <w:fldChar w:fldCharType="separate"/>
        </w:r>
        <w:r>
          <w:rPr>
            <w:noProof/>
            <w:webHidden/>
          </w:rPr>
          <w:t>7</w:t>
        </w:r>
        <w:r>
          <w:rPr>
            <w:noProof/>
            <w:webHidden/>
          </w:rPr>
          <w:fldChar w:fldCharType="end"/>
        </w:r>
      </w:hyperlink>
    </w:p>
    <w:p w14:paraId="2B035FA3" w14:textId="4B12FAF9" w:rsidR="002751DB" w:rsidRDefault="002751DB">
      <w:pPr>
        <w:pStyle w:val="TOC1"/>
        <w:rPr>
          <w:rFonts w:asciiTheme="minorHAnsi" w:eastAsiaTheme="minorEastAsia" w:hAnsiTheme="minorHAnsi" w:cstheme="minorBidi"/>
          <w:b w:val="0"/>
          <w:bCs w:val="0"/>
          <w:noProof/>
          <w:sz w:val="22"/>
          <w:szCs w:val="22"/>
          <w:lang w:eastAsia="en-GB" w:bidi="ar-SA"/>
        </w:rPr>
      </w:pPr>
      <w:hyperlink w:anchor="_Toc143595900" w:history="1">
        <w:r w:rsidRPr="00A24AB3">
          <w:rPr>
            <w:rStyle w:val="Hyperlink"/>
            <w:noProof/>
          </w:rPr>
          <w:t>Annex B – Hansard references</w:t>
        </w:r>
        <w:r>
          <w:rPr>
            <w:noProof/>
            <w:webHidden/>
          </w:rPr>
          <w:tab/>
        </w:r>
        <w:r>
          <w:rPr>
            <w:noProof/>
            <w:webHidden/>
          </w:rPr>
          <w:fldChar w:fldCharType="begin"/>
        </w:r>
        <w:r>
          <w:rPr>
            <w:noProof/>
            <w:webHidden/>
          </w:rPr>
          <w:instrText xml:space="preserve"> PAGEREF _Toc143595900 \h </w:instrText>
        </w:r>
        <w:r>
          <w:rPr>
            <w:noProof/>
            <w:webHidden/>
          </w:rPr>
        </w:r>
        <w:r>
          <w:rPr>
            <w:noProof/>
            <w:webHidden/>
          </w:rPr>
          <w:fldChar w:fldCharType="separate"/>
        </w:r>
        <w:r>
          <w:rPr>
            <w:noProof/>
            <w:webHidden/>
          </w:rPr>
          <w:t>8</w:t>
        </w:r>
        <w:r>
          <w:rPr>
            <w:noProof/>
            <w:webHidden/>
          </w:rPr>
          <w:fldChar w:fldCharType="end"/>
        </w:r>
      </w:hyperlink>
    </w:p>
    <w:p w14:paraId="35D469E0" w14:textId="3B78C449" w:rsidR="009E0D5A" w:rsidRPr="00CA4237" w:rsidRDefault="009E0D5A" w:rsidP="009E0D5A">
      <w:pPr>
        <w:pStyle w:val="Heading1"/>
        <w:keepNext/>
      </w:pPr>
      <w:r w:rsidRPr="009E0D5A">
        <w:rPr>
          <w:rFonts w:ascii="PalatinoLinotype-Roman" w:hAnsi="PalatinoLinotype-Roman"/>
          <w:color w:val="auto"/>
          <w:sz w:val="28"/>
          <w:szCs w:val="20"/>
        </w:rPr>
        <w:fldChar w:fldCharType="end"/>
      </w:r>
      <w:r w:rsidRPr="00CA4237">
        <w:br w:type="page"/>
      </w:r>
      <w:bookmarkStart w:id="0" w:name="_Toc410653883"/>
      <w:bookmarkStart w:id="1" w:name="_Toc416612126"/>
      <w:bookmarkStart w:id="2" w:name="_Toc417648111"/>
      <w:bookmarkStart w:id="3" w:name="_Toc418587917"/>
      <w:bookmarkStart w:id="4" w:name="_Toc143595888"/>
      <w:r w:rsidRPr="00CA4237">
        <w:t xml:space="preserve">Overview of the </w:t>
      </w:r>
      <w:bookmarkEnd w:id="0"/>
      <w:r>
        <w:t>Act</w:t>
      </w:r>
      <w:bookmarkEnd w:id="1"/>
      <w:bookmarkEnd w:id="2"/>
      <w:bookmarkEnd w:id="3"/>
      <w:bookmarkEnd w:id="4"/>
    </w:p>
    <w:p w14:paraId="30EE95E9" w14:textId="77777777" w:rsidR="009E0D5A" w:rsidRPr="00E60A25" w:rsidRDefault="009E0D5A" w:rsidP="00E60A25">
      <w:pPr>
        <w:pStyle w:val="ParaNumbered"/>
      </w:pPr>
      <w:r w:rsidRPr="00E60A25">
        <w:t xml:space="preserve">Section 25 of the Child Maintenance and Other Payments Act 2008 (2008 Act) makes provision for the Secretary of State (SoS) to make administrative liability orders. It replaces the existing requirement under section 33 of the Child Support Act 1991 (1991 Act) for the SoS to apply to the courts for a liability order. The 2008 Act makes significant amendments to the 1991 Act, including repealing sections 33 and 34 of the 1991 Act and inserting sections 32M and 32N into the 1991 Act. Section 25 of the 2008 Act (which inserts new sections 32M and 32N) has not yet been commenced.  </w:t>
      </w:r>
    </w:p>
    <w:p w14:paraId="4BF9D5D3" w14:textId="77777777" w:rsidR="009E0D5A" w:rsidRPr="00E60A25" w:rsidRDefault="009E0D5A" w:rsidP="00E60A25">
      <w:pPr>
        <w:pStyle w:val="ParaNumbered"/>
      </w:pPr>
      <w:r w:rsidRPr="00E60A25">
        <w:t xml:space="preserve">This Act amends </w:t>
      </w:r>
      <w:proofErr w:type="spellStart"/>
      <w:r w:rsidRPr="00E60A25">
        <w:t>uncommenced</w:t>
      </w:r>
      <w:proofErr w:type="spellEnd"/>
      <w:r w:rsidRPr="00E60A25">
        <w:t xml:space="preserve"> sections 32M and 32N of the 1991 Act to alter the basis on which an administrative liability order is made, allow regulations under section 32N to make provision about variation of liability orders, and require regulations under section 32N to make provision about appeals (while repealing 2008 Act changes to the 1991 Act dealing with appeals of liability orders). It also makes some consequential amendments.</w:t>
      </w:r>
      <w:bookmarkStart w:id="5" w:name="_Toc417648112"/>
      <w:bookmarkStart w:id="6" w:name="_Toc418587918"/>
    </w:p>
    <w:p w14:paraId="4A8CD2BF" w14:textId="35E1F723" w:rsidR="009E0D5A" w:rsidRPr="00CA4237" w:rsidRDefault="009E0D5A" w:rsidP="009E0D5A">
      <w:pPr>
        <w:pStyle w:val="Heading1"/>
        <w:keepNext/>
      </w:pPr>
      <w:bookmarkStart w:id="7" w:name="_Toc416612127"/>
      <w:bookmarkStart w:id="8" w:name="_Toc410653884"/>
      <w:bookmarkStart w:id="9" w:name="_Toc143595889"/>
      <w:r w:rsidRPr="00CA4237">
        <w:t>Policy background</w:t>
      </w:r>
      <w:bookmarkEnd w:id="5"/>
      <w:bookmarkEnd w:id="6"/>
      <w:bookmarkEnd w:id="7"/>
      <w:bookmarkEnd w:id="9"/>
    </w:p>
    <w:p w14:paraId="177DD416" w14:textId="56E158FB" w:rsidR="009E0D5A" w:rsidRPr="004B319B" w:rsidRDefault="009E0D5A" w:rsidP="009E0D5A">
      <w:pPr>
        <w:pStyle w:val="ParaNumbered"/>
        <w:ind w:left="720" w:hanging="360"/>
      </w:pPr>
      <w:r w:rsidRPr="004B319B">
        <w:t xml:space="preserve">All parents have a legal responsibility to support their children financially until they are 16 </w:t>
      </w:r>
      <w:bookmarkEnd w:id="8"/>
      <w:r w:rsidRPr="004B319B">
        <w:t>years old and, in some circumstances, until they are 20. This can be through voluntary arrangements between separated parents, arrangements made by way of a court order, or by way of child maintenance calculated and enforced under the statutory child maintenance scheme run by</w:t>
      </w:r>
      <w:r>
        <w:t xml:space="preserve"> the</w:t>
      </w:r>
      <w:r w:rsidRPr="004B319B">
        <w:t xml:space="preserve"> D</w:t>
      </w:r>
      <w:r>
        <w:t xml:space="preserve">epartment for </w:t>
      </w:r>
      <w:r w:rsidRPr="004B319B">
        <w:t>W</w:t>
      </w:r>
      <w:r>
        <w:t xml:space="preserve">ork and </w:t>
      </w:r>
      <w:r w:rsidRPr="004B319B">
        <w:t>P</w:t>
      </w:r>
      <w:r>
        <w:t>ensions</w:t>
      </w:r>
      <w:r w:rsidRPr="004B319B">
        <w:t xml:space="preserve"> </w:t>
      </w:r>
      <w:r>
        <w:t xml:space="preserve">(DWP) </w:t>
      </w:r>
      <w:r w:rsidRPr="004B319B">
        <w:t xml:space="preserve">and administered by the </w:t>
      </w:r>
      <w:r>
        <w:t>Child Maintenance Service (</w:t>
      </w:r>
      <w:r w:rsidRPr="004B319B">
        <w:t>CMS</w:t>
      </w:r>
      <w:r>
        <w:t>)</w:t>
      </w:r>
      <w:r w:rsidRPr="004B319B">
        <w:t>.  </w:t>
      </w:r>
    </w:p>
    <w:p w14:paraId="513E1CA5" w14:textId="77777777" w:rsidR="009E0D5A" w:rsidRDefault="009E0D5A" w:rsidP="009E0D5A">
      <w:pPr>
        <w:pStyle w:val="ParaNumbered"/>
        <w:ind w:left="720" w:hanging="360"/>
      </w:pPr>
      <w:r>
        <w:t>The statutory child maintenance scheme was introduced by the 1991 Act and has been in operation since 1993.</w:t>
      </w:r>
      <w:r>
        <w:rPr>
          <w:rFonts w:ascii="Times New Roman" w:hAnsi="Times New Roman" w:cs="Times New Roman"/>
        </w:rPr>
        <w:t> </w:t>
      </w:r>
      <w:r>
        <w:t>The current scheme was introduced in December 2012 and all applications since November 2013 have been calculated under the “2012 rules”.</w:t>
      </w:r>
      <w:r>
        <w:rPr>
          <w:rFonts w:ascii="Times New Roman" w:hAnsi="Times New Roman" w:cs="Times New Roman"/>
        </w:rPr>
        <w:t> </w:t>
      </w:r>
      <w:r>
        <w:t>(The two previous schemes, the “1993 rules” and the “2003 rules” are now closed.)</w:t>
      </w:r>
      <w:r>
        <w:rPr>
          <w:rFonts w:ascii="Times New Roman" w:hAnsi="Times New Roman" w:cs="Times New Roman"/>
        </w:rPr>
        <w:t>  </w:t>
      </w:r>
      <w:r>
        <w:t xml:space="preserve">Under the statutory scheme, the CMS is responsible for calculating child maintenance payments and, in some cases, collecting and enforcing them. A Parent </w:t>
      </w:r>
      <w:proofErr w:type="gramStart"/>
      <w:r>
        <w:t>With</w:t>
      </w:r>
      <w:proofErr w:type="gramEnd"/>
      <w:r>
        <w:t xml:space="preserve"> Care (PWC) cannot bring enforcement proceedings against the Non Resident Parent (NRP) for the child maintenance payments due. Only the CMS has legal standing to take enforcement action against the NRP.</w:t>
      </w:r>
      <w:r>
        <w:rPr>
          <w:rFonts w:ascii="Times New Roman" w:hAnsi="Times New Roman" w:cs="Times New Roman"/>
        </w:rPr>
        <w:t> </w:t>
      </w:r>
      <w:r>
        <w:t>  </w:t>
      </w:r>
    </w:p>
    <w:p w14:paraId="56DDB8D0" w14:textId="77777777" w:rsidR="009E0D5A" w:rsidRPr="00AA2036" w:rsidRDefault="009E0D5A" w:rsidP="009E0D5A">
      <w:pPr>
        <w:pStyle w:val="ParaNumbered"/>
        <w:ind w:left="720" w:hanging="360"/>
      </w:pPr>
      <w:r w:rsidRPr="00AA2036">
        <w:t>The CMS manages cases through one of two service types: direct pay and collect and pay. In direct pay cases, the CMS calculates how much maintenance should be paid, issues a payment schedule, and the NRP pays the maintenance to the PWC. For collect and pay, CMS calculates how much maintenance should be paid, collects the money from the NRP and pays it to the PWC.  </w:t>
      </w:r>
    </w:p>
    <w:p w14:paraId="1307D95C" w14:textId="77777777" w:rsidR="009E0D5A" w:rsidRDefault="009E0D5A" w:rsidP="009E0D5A">
      <w:pPr>
        <w:pStyle w:val="ParaNumbered"/>
        <w:ind w:left="720" w:hanging="360"/>
      </w:pPr>
      <w:r w:rsidRPr="00AA2036">
        <w:t>There are collection charges set out in regulations for the use of the collect and pay service: 20% on top of the liability for the NRP, and 4% of the maintenance received for the PWC.</w:t>
      </w:r>
    </w:p>
    <w:p w14:paraId="2F2A5113" w14:textId="77777777" w:rsidR="009E0D5A" w:rsidRDefault="009E0D5A" w:rsidP="009E0D5A">
      <w:pPr>
        <w:pStyle w:val="ParaNumbered"/>
        <w:ind w:left="720" w:hanging="360"/>
      </w:pPr>
      <w:r w:rsidRPr="007C4AFA">
        <w:t xml:space="preserve">If the </w:t>
      </w:r>
      <w:r>
        <w:t>NR</w:t>
      </w:r>
      <w:r w:rsidRPr="007C4AFA">
        <w:t xml:space="preserve">P fails to make one or more payments as instructed, arrears </w:t>
      </w:r>
      <w:proofErr w:type="gramStart"/>
      <w:r w:rsidRPr="007C4AFA">
        <w:t>accrue</w:t>
      </w:r>
      <w:proofErr w:type="gramEnd"/>
      <w:r w:rsidRPr="007C4AFA">
        <w:t xml:space="preserve"> and stand-alone administrative enforcement powers can be used to collect those arrears.</w:t>
      </w:r>
      <w:r>
        <w:t xml:space="preserve"> These administrative enforcement powers are a Deduction from Earnings Order (DEO) or a Deduction from Bank or Building Society Accounts (DOs). </w:t>
      </w:r>
      <w:bookmarkStart w:id="10" w:name="_Hlk140662067"/>
      <w:r>
        <w:t xml:space="preserve">Once commenced, this Act will also allow administrative liability orders to be made. </w:t>
      </w:r>
      <w:bookmarkEnd w:id="10"/>
    </w:p>
    <w:p w14:paraId="057517A7" w14:textId="77777777" w:rsidR="009E0D5A" w:rsidRDefault="009E0D5A" w:rsidP="009E0D5A">
      <w:pPr>
        <w:pStyle w:val="ParaNumbered"/>
        <w:ind w:left="720" w:hanging="360"/>
      </w:pPr>
      <w:r w:rsidRPr="007C4AFA">
        <w:t xml:space="preserve">For employed </w:t>
      </w:r>
      <w:r>
        <w:t>NRP</w:t>
      </w:r>
      <w:r w:rsidRPr="007C4AFA">
        <w:t>s,</w:t>
      </w:r>
      <w:r>
        <w:t xml:space="preserve"> the CMS may make a </w:t>
      </w:r>
      <w:r w:rsidRPr="007C4AFA">
        <w:t>DEO instruct</w:t>
      </w:r>
      <w:r>
        <w:t>ing</w:t>
      </w:r>
      <w:r w:rsidRPr="007C4AFA">
        <w:t xml:space="preserve"> the </w:t>
      </w:r>
      <w:r>
        <w:t xml:space="preserve">NRP’s </w:t>
      </w:r>
      <w:r w:rsidRPr="007C4AFA">
        <w:t xml:space="preserve">employer to make deductions directly from the </w:t>
      </w:r>
      <w:r>
        <w:t>NRP</w:t>
      </w:r>
      <w:r w:rsidRPr="007C4AFA">
        <w:t>’s earnings and</w:t>
      </w:r>
      <w:r>
        <w:t xml:space="preserve"> pay</w:t>
      </w:r>
      <w:r w:rsidRPr="007C4AFA">
        <w:t xml:space="preserve"> the CMS. For </w:t>
      </w:r>
      <w:r>
        <w:t>NRP</w:t>
      </w:r>
      <w:r w:rsidRPr="007C4AFA">
        <w:t xml:space="preserve">s who are not in employment, </w:t>
      </w:r>
      <w:r>
        <w:t xml:space="preserve">CMS may make a </w:t>
      </w:r>
      <w:r w:rsidRPr="007C4AFA">
        <w:t>DO</w:t>
      </w:r>
      <w:r>
        <w:t xml:space="preserve"> requiring a Bank or Building Society to make deductions</w:t>
      </w:r>
      <w:r w:rsidRPr="007C4AFA">
        <w:t xml:space="preserve"> from a </w:t>
      </w:r>
      <w:r>
        <w:t>NRP</w:t>
      </w:r>
      <w:r w:rsidRPr="007C4AFA">
        <w:t xml:space="preserve">’s </w:t>
      </w:r>
      <w:r>
        <w:t>B</w:t>
      </w:r>
      <w:r w:rsidRPr="007C4AFA">
        <w:t>ank</w:t>
      </w:r>
      <w:r>
        <w:t xml:space="preserve"> or Building Society Account and pay the CMS. </w:t>
      </w:r>
    </w:p>
    <w:p w14:paraId="78191BA9" w14:textId="77777777" w:rsidR="009E0D5A" w:rsidRDefault="009E0D5A" w:rsidP="009E0D5A">
      <w:pPr>
        <w:pStyle w:val="ParaNumbered"/>
        <w:ind w:left="720" w:hanging="360"/>
      </w:pPr>
      <w:r>
        <w:t>Under current legislation, w</w:t>
      </w:r>
      <w:r w:rsidRPr="007C4AFA">
        <w:t>here CMS administrative enforcement functions</w:t>
      </w:r>
      <w:r>
        <w:t xml:space="preserve"> are inappropriate or </w:t>
      </w:r>
      <w:r w:rsidRPr="007C4AFA">
        <w:t xml:space="preserve">prove ineffective in collecting the arrears, the CMS </w:t>
      </w:r>
      <w:r>
        <w:t>is required to</w:t>
      </w:r>
      <w:r w:rsidRPr="007C4AFA">
        <w:t xml:space="preserve"> apply to the Magistrates’ Court </w:t>
      </w:r>
      <w:r>
        <w:t xml:space="preserve">in England and Wales, or Sheriff’s Court in Scotland </w:t>
      </w:r>
      <w:r w:rsidRPr="007C4AFA">
        <w:t xml:space="preserve">to obtain a </w:t>
      </w:r>
      <w:r>
        <w:t xml:space="preserve">LO </w:t>
      </w:r>
      <w:r w:rsidRPr="007C4AFA">
        <w:t>before the use of more stringent enforcement powers such as instructing enforcement agents</w:t>
      </w:r>
      <w:r>
        <w:t xml:space="preserve"> or other court-based enforcement actions. </w:t>
      </w:r>
      <w:r w:rsidRPr="00FF5A3E">
        <w:t xml:space="preserve">Once commenced, this </w:t>
      </w:r>
      <w:r>
        <w:t>A</w:t>
      </w:r>
      <w:r w:rsidRPr="00FF5A3E">
        <w:t xml:space="preserve">ct will </w:t>
      </w:r>
      <w:r>
        <w:t xml:space="preserve">allow the CMS to make an </w:t>
      </w:r>
      <w:r w:rsidRPr="00FF5A3E">
        <w:t xml:space="preserve">administrative liability order </w:t>
      </w:r>
      <w:r>
        <w:t>without requiring application to the</w:t>
      </w:r>
      <w:r w:rsidRPr="00FF5A3E">
        <w:t xml:space="preserve"> Magistrates’ Court in England and Wales, or Sheriff’s Court in Scotland.</w:t>
      </w:r>
    </w:p>
    <w:p w14:paraId="764712DC" w14:textId="3A488479" w:rsidR="009E0D5A" w:rsidRPr="00CA4237" w:rsidRDefault="009E0D5A" w:rsidP="009E0D5A">
      <w:pPr>
        <w:pStyle w:val="Heading1"/>
        <w:keepNext/>
      </w:pPr>
      <w:bookmarkStart w:id="11" w:name="_Toc416612128"/>
      <w:bookmarkStart w:id="12" w:name="_Toc410653885"/>
      <w:bookmarkStart w:id="13" w:name="_Toc417648113"/>
      <w:bookmarkStart w:id="14" w:name="_Toc418587922"/>
      <w:bookmarkStart w:id="15" w:name="_Toc143595890"/>
      <w:r w:rsidRPr="00CA4237">
        <w:t>Legal background</w:t>
      </w:r>
      <w:bookmarkEnd w:id="15"/>
    </w:p>
    <w:p w14:paraId="1FAB747D" w14:textId="77777777" w:rsidR="009E0D5A" w:rsidRPr="00313520" w:rsidRDefault="009E0D5A" w:rsidP="009E0D5A">
      <w:pPr>
        <w:pStyle w:val="ParaNumbered"/>
        <w:ind w:left="720" w:hanging="360"/>
      </w:pPr>
      <w:r w:rsidRPr="00313520">
        <w:t xml:space="preserve">Under section 4 of the 1991 Act, either parent (or a child in Scotland under s.7) may apply </w:t>
      </w:r>
      <w:r>
        <w:t xml:space="preserve">to the CMS </w:t>
      </w:r>
      <w:r w:rsidRPr="00313520">
        <w:t>for a maintenance calculation to be made.  </w:t>
      </w:r>
      <w:r>
        <w:t xml:space="preserve">Where a maintenance calculation has been made, the PWC may apply to the CMS to arrange for collection and enforcement of child maintenance.  </w:t>
      </w:r>
    </w:p>
    <w:p w14:paraId="0FA0AEEA" w14:textId="77777777" w:rsidR="009E0D5A" w:rsidRPr="00313520" w:rsidRDefault="009E0D5A" w:rsidP="009E0D5A">
      <w:pPr>
        <w:pStyle w:val="ParaNumbered"/>
        <w:ind w:left="720" w:hanging="360"/>
      </w:pPr>
      <w:r w:rsidRPr="00313520">
        <w:t>Liability for child maintenance is calculated under section 11 and in accordance with Schedule 1 of the 1991 Act.   </w:t>
      </w:r>
    </w:p>
    <w:p w14:paraId="2262EFC5" w14:textId="77777777" w:rsidR="009E0D5A" w:rsidRPr="00313520" w:rsidRDefault="009E0D5A" w:rsidP="009E0D5A">
      <w:pPr>
        <w:pStyle w:val="ParaNumbered"/>
        <w:ind w:left="720" w:hanging="360"/>
      </w:pPr>
      <w:r w:rsidRPr="00313520">
        <w:t>When the SoS (through the CMS) exercises any discretionary power in the 1991 Act, he is obliged to consider the welfare of any child affected by the decision (section 2 of the 1991 Act). </w:t>
      </w:r>
    </w:p>
    <w:p w14:paraId="48952B36" w14:textId="77777777" w:rsidR="009E0D5A" w:rsidRDefault="009E0D5A" w:rsidP="009E0D5A">
      <w:pPr>
        <w:pStyle w:val="ParaNumbered"/>
        <w:ind w:left="720" w:hanging="360"/>
      </w:pPr>
      <w:r>
        <w:t xml:space="preserve">Section 29 of the 1991 Act permits the SoS to </w:t>
      </w:r>
      <w:proofErr w:type="gramStart"/>
      <w:r>
        <w:t>make arrangements</w:t>
      </w:r>
      <w:proofErr w:type="gramEnd"/>
      <w:r>
        <w:t xml:space="preserve"> to collect child support maintenance.</w:t>
      </w:r>
    </w:p>
    <w:p w14:paraId="1DA79DDF" w14:textId="77777777" w:rsidR="009E0D5A" w:rsidRDefault="009E0D5A" w:rsidP="009E0D5A">
      <w:pPr>
        <w:pStyle w:val="ParaNumbered"/>
        <w:ind w:left="720" w:hanging="360"/>
      </w:pPr>
      <w:r w:rsidRPr="002055E5">
        <w:t>Sections 31 – 32K of the 1991 Act set</w:t>
      </w:r>
      <w:r>
        <w:t>s</w:t>
      </w:r>
      <w:r w:rsidRPr="002055E5">
        <w:t xml:space="preserve"> out the administrative enforcement measures (DEOs and D</w:t>
      </w:r>
      <w:r>
        <w:t>O</w:t>
      </w:r>
      <w:r w:rsidRPr="002055E5">
        <w:t>s) that can be used to secure arrears of child support maintenance</w:t>
      </w:r>
      <w:r>
        <w:t>.</w:t>
      </w:r>
    </w:p>
    <w:p w14:paraId="42603307" w14:textId="77777777" w:rsidR="009E0D5A" w:rsidRDefault="009E0D5A" w:rsidP="009E0D5A">
      <w:pPr>
        <w:pStyle w:val="ParaNumbered"/>
        <w:ind w:left="720" w:hanging="360"/>
      </w:pPr>
      <w:r>
        <w:t xml:space="preserve">Under section 33 of the 1991 Act, where a NRP fails to make one or more child maintenance payments, and it appears a DEO is inappropriate or ineffective, the CMS may apply to a Magistrates court (or Sheriff’s Court in Scotland) for a LO against the NRP.  </w:t>
      </w:r>
    </w:p>
    <w:p w14:paraId="7F92642A" w14:textId="77777777" w:rsidR="009E0D5A" w:rsidRDefault="009E0D5A" w:rsidP="009E0D5A">
      <w:pPr>
        <w:pStyle w:val="ParaNumbered"/>
        <w:ind w:left="720" w:hanging="360"/>
      </w:pPr>
      <w:r>
        <w:t xml:space="preserve">The 2008 Act was introduced to establish the Child Maintenance and Enforcement Commission CMEC (a non-departmental government body) to take on some of the functions previously undertaken by DWP under the Child Support Agency (CSA). </w:t>
      </w:r>
      <w:r w:rsidRPr="00F4647B">
        <w:t xml:space="preserve">CMEC was </w:t>
      </w:r>
      <w:r>
        <w:t xml:space="preserve">subsequently </w:t>
      </w:r>
      <w:r w:rsidRPr="00F4647B">
        <w:t>abolished</w:t>
      </w:r>
      <w:r>
        <w:t>,</w:t>
      </w:r>
      <w:r w:rsidRPr="00F4647B">
        <w:t xml:space="preserve"> and </w:t>
      </w:r>
      <w:r>
        <w:t xml:space="preserve">the functions of the statutory </w:t>
      </w:r>
      <w:r w:rsidRPr="00F4647B">
        <w:t>child maintenance</w:t>
      </w:r>
      <w:r>
        <w:t xml:space="preserve"> system </w:t>
      </w:r>
      <w:r w:rsidRPr="00F4647B">
        <w:t>were</w:t>
      </w:r>
      <w:r>
        <w:t xml:space="preserve"> transferred</w:t>
      </w:r>
      <w:r w:rsidRPr="00F4647B">
        <w:t xml:space="preserve"> back to </w:t>
      </w:r>
      <w:r>
        <w:t xml:space="preserve">the </w:t>
      </w:r>
      <w:r w:rsidRPr="00F4647B">
        <w:t>DWP</w:t>
      </w:r>
      <w:r>
        <w:t xml:space="preserve">. The 2008 Act made </w:t>
      </w:r>
      <w:proofErr w:type="gramStart"/>
      <w:r>
        <w:t>a number of</w:t>
      </w:r>
      <w:proofErr w:type="gramEnd"/>
      <w:r>
        <w:t xml:space="preserve"> amendments to the 1991 Act. Some of those amendments, such as those set out in section 25 of the 2008 Act, were not commenced at the time that Act was passed.</w:t>
      </w:r>
    </w:p>
    <w:p w14:paraId="2E198A2F" w14:textId="77777777" w:rsidR="009E0D5A" w:rsidRPr="008564CD" w:rsidRDefault="009E0D5A" w:rsidP="009E0D5A">
      <w:pPr>
        <w:pStyle w:val="ParaNumbered"/>
        <w:ind w:left="720" w:hanging="360"/>
      </w:pPr>
      <w:r w:rsidRPr="008564CD">
        <w:rPr>
          <w:rFonts w:eastAsia="Palatino Linotype" w:cs="Palatino Linotype"/>
          <w:szCs w:val="20"/>
        </w:rPr>
        <w:t xml:space="preserve">This </w:t>
      </w:r>
      <w:r>
        <w:rPr>
          <w:rFonts w:eastAsia="Palatino Linotype" w:cs="Palatino Linotype"/>
          <w:szCs w:val="20"/>
        </w:rPr>
        <w:t xml:space="preserve">Act </w:t>
      </w:r>
      <w:r w:rsidRPr="008564CD">
        <w:rPr>
          <w:rFonts w:eastAsia="Palatino Linotype" w:cs="Palatino Linotype"/>
          <w:szCs w:val="20"/>
        </w:rPr>
        <w:t xml:space="preserve">amends the </w:t>
      </w:r>
      <w:proofErr w:type="spellStart"/>
      <w:r w:rsidRPr="008564CD">
        <w:rPr>
          <w:rFonts w:eastAsia="Palatino Linotype" w:cs="Palatino Linotype"/>
          <w:szCs w:val="20"/>
        </w:rPr>
        <w:t>uncommenced</w:t>
      </w:r>
      <w:proofErr w:type="spellEnd"/>
      <w:r w:rsidRPr="008564CD">
        <w:rPr>
          <w:rFonts w:eastAsia="Palatino Linotype" w:cs="Palatino Linotype"/>
          <w:szCs w:val="20"/>
        </w:rPr>
        <w:t xml:space="preserve"> provisions in section 25 of the 2008 Act. When these provisions are commenced, it will enable the SoS to make administrative liability orders. They will have similar effect to liability orders currently issued by the courts under section 3</w:t>
      </w:r>
      <w:r>
        <w:rPr>
          <w:rFonts w:eastAsia="Palatino Linotype" w:cs="Palatino Linotype"/>
          <w:szCs w:val="20"/>
        </w:rPr>
        <w:t>3</w:t>
      </w:r>
      <w:r w:rsidRPr="008564CD">
        <w:rPr>
          <w:rFonts w:eastAsia="Palatino Linotype" w:cs="Palatino Linotype"/>
          <w:szCs w:val="20"/>
        </w:rPr>
        <w:t xml:space="preserve"> of the 1991 Act in that it certifies the debt that is owed by the NRP and allows the CMS to take further enforcement actions. A liability order is required before the CMS can </w:t>
      </w:r>
      <w:proofErr w:type="gramStart"/>
      <w:r w:rsidRPr="008564CD">
        <w:rPr>
          <w:rFonts w:eastAsia="Palatino Linotype" w:cs="Palatino Linotype"/>
          <w:szCs w:val="20"/>
        </w:rPr>
        <w:t>take action</w:t>
      </w:r>
      <w:proofErr w:type="gramEnd"/>
      <w:r w:rsidRPr="008564CD">
        <w:rPr>
          <w:rFonts w:eastAsia="Palatino Linotype" w:cs="Palatino Linotype"/>
          <w:szCs w:val="20"/>
        </w:rPr>
        <w:t xml:space="preserve"> to:</w:t>
      </w:r>
    </w:p>
    <w:p w14:paraId="24D6E858" w14:textId="77777777" w:rsidR="009E0D5A" w:rsidRDefault="009E0D5A" w:rsidP="009E0D5A">
      <w:pPr>
        <w:pStyle w:val="ListParagraph"/>
        <w:numPr>
          <w:ilvl w:val="0"/>
          <w:numId w:val="26"/>
        </w:numPr>
        <w:pBdr>
          <w:top w:val="nil"/>
          <w:left w:val="nil"/>
          <w:bottom w:val="nil"/>
          <w:right w:val="nil"/>
          <w:between w:val="nil"/>
        </w:pBdr>
        <w:spacing w:after="0" w:line="240" w:lineRule="auto"/>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Take control of and sell goods.</w:t>
      </w:r>
    </w:p>
    <w:p w14:paraId="639C4571" w14:textId="77777777" w:rsidR="009E0D5A" w:rsidRDefault="009E0D5A" w:rsidP="009E0D5A">
      <w:pPr>
        <w:pStyle w:val="ListParagraph"/>
        <w:numPr>
          <w:ilvl w:val="0"/>
          <w:numId w:val="26"/>
        </w:numPr>
        <w:pBdr>
          <w:top w:val="nil"/>
          <w:left w:val="nil"/>
          <w:bottom w:val="nil"/>
          <w:right w:val="nil"/>
          <w:between w:val="nil"/>
        </w:pBdr>
        <w:spacing w:after="0" w:line="240" w:lineRule="auto"/>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Disqualify the NRP from driving or from holding or obtaining a UK passport.</w:t>
      </w:r>
    </w:p>
    <w:p w14:paraId="7D20F935" w14:textId="77777777" w:rsidR="009E0D5A" w:rsidRPr="008564CD" w:rsidRDefault="009E0D5A" w:rsidP="009E0D5A">
      <w:pPr>
        <w:pStyle w:val="ListParagraph"/>
        <w:numPr>
          <w:ilvl w:val="0"/>
          <w:numId w:val="26"/>
        </w:numPr>
        <w:pBdr>
          <w:top w:val="nil"/>
          <w:left w:val="nil"/>
          <w:bottom w:val="nil"/>
          <w:right w:val="nil"/>
          <w:between w:val="nil"/>
        </w:pBdr>
        <w:spacing w:after="0" w:line="240" w:lineRule="auto"/>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Imprison the NRP.</w:t>
      </w:r>
      <w:bookmarkStart w:id="16" w:name="_Toc416612130"/>
      <w:bookmarkStart w:id="17" w:name="_Toc417648115"/>
      <w:bookmarkStart w:id="18" w:name="_Toc418587924"/>
      <w:bookmarkStart w:id="19" w:name="_Toc410653886"/>
    </w:p>
    <w:p w14:paraId="75055B70" w14:textId="7A1B641E" w:rsidR="009E0D5A" w:rsidRPr="00CA4237" w:rsidRDefault="009E0D5A" w:rsidP="009E0D5A">
      <w:pPr>
        <w:pStyle w:val="Heading1"/>
        <w:keepNext/>
      </w:pPr>
      <w:bookmarkStart w:id="20" w:name="_Toc143595891"/>
      <w:bookmarkEnd w:id="11"/>
      <w:bookmarkEnd w:id="12"/>
      <w:bookmarkEnd w:id="13"/>
      <w:bookmarkEnd w:id="14"/>
      <w:r w:rsidRPr="00CA4237">
        <w:t>Territorial extent and application</w:t>
      </w:r>
      <w:bookmarkEnd w:id="16"/>
      <w:bookmarkEnd w:id="17"/>
      <w:bookmarkEnd w:id="18"/>
      <w:bookmarkEnd w:id="20"/>
    </w:p>
    <w:p w14:paraId="6991DB2F" w14:textId="77777777" w:rsidR="009E0D5A" w:rsidRPr="008564CD" w:rsidRDefault="009E0D5A" w:rsidP="009E0D5A">
      <w:pPr>
        <w:pStyle w:val="ParaNumbered"/>
        <w:ind w:left="720" w:hanging="360"/>
        <w:rPr>
          <w:color w:val="auto"/>
        </w:rPr>
      </w:pPr>
      <w:r>
        <w:rPr>
          <w:color w:val="auto"/>
        </w:rPr>
        <w:t xml:space="preserve">Section </w:t>
      </w:r>
      <w:r w:rsidRPr="008564CD">
        <w:rPr>
          <w:color w:val="auto"/>
        </w:rPr>
        <w:t xml:space="preserve">6 of the </w:t>
      </w:r>
      <w:r>
        <w:rPr>
          <w:color w:val="auto"/>
        </w:rPr>
        <w:t>Act</w:t>
      </w:r>
      <w:r w:rsidRPr="008564CD">
        <w:rPr>
          <w:color w:val="auto"/>
        </w:rPr>
        <w:t xml:space="preserve"> sets out the extent, that is the jurisdiction in which the </w:t>
      </w:r>
      <w:r>
        <w:rPr>
          <w:color w:val="auto"/>
        </w:rPr>
        <w:t xml:space="preserve">Act </w:t>
      </w:r>
      <w:r w:rsidRPr="008564CD">
        <w:rPr>
          <w:color w:val="auto"/>
        </w:rPr>
        <w:t xml:space="preserve">forms part of the law. The </w:t>
      </w:r>
      <w:r>
        <w:rPr>
          <w:color w:val="auto"/>
        </w:rPr>
        <w:t xml:space="preserve">Act </w:t>
      </w:r>
      <w:r w:rsidRPr="008564CD">
        <w:rPr>
          <w:color w:val="auto"/>
        </w:rPr>
        <w:t>extends to England and Wales, and Scotland.  </w:t>
      </w:r>
    </w:p>
    <w:p w14:paraId="1B9291E3" w14:textId="77777777" w:rsidR="009E0D5A" w:rsidRDefault="009E0D5A" w:rsidP="009E0D5A">
      <w:pPr>
        <w:pStyle w:val="ParaNumbered"/>
        <w:ind w:left="720" w:hanging="360"/>
      </w:pPr>
      <w:r w:rsidRPr="003A0AA9">
        <w:t xml:space="preserve">In Scotland, whilst Child Maintenance is reserved, the judicial system is devolved. As such Scottish Government </w:t>
      </w:r>
      <w:r>
        <w:t xml:space="preserve">is engaged </w:t>
      </w:r>
      <w:r w:rsidRPr="003A0AA9">
        <w:t>on its impact in Scotland and how it will be reflected in legislation</w:t>
      </w:r>
      <w:r>
        <w:t>.</w:t>
      </w:r>
      <w:r w:rsidRPr="003A0AA9">
        <w:t xml:space="preserve"> </w:t>
      </w:r>
    </w:p>
    <w:p w14:paraId="60F375F3" w14:textId="77777777" w:rsidR="009E0D5A" w:rsidRPr="00422EDE" w:rsidRDefault="009E0D5A" w:rsidP="009E0D5A">
      <w:pPr>
        <w:pStyle w:val="ParaNumbered"/>
      </w:pPr>
      <w:r>
        <w:t xml:space="preserve">Child maintenance is a transferred matter in Northern Ireland.  </w:t>
      </w:r>
    </w:p>
    <w:p w14:paraId="7700C5DD" w14:textId="77777777" w:rsidR="009E0D5A" w:rsidRPr="00AE5693" w:rsidRDefault="009E0D5A" w:rsidP="009E0D5A">
      <w:pPr>
        <w:pStyle w:val="ParaNumbered"/>
        <w:ind w:left="720" w:hanging="360"/>
        <w:rPr>
          <w:rStyle w:val="StyleLatinPalatinoLinotype10ptBlack"/>
        </w:rPr>
      </w:pPr>
      <w:r w:rsidRPr="00F77218">
        <w:rPr>
          <w:lang w:val="en-GB"/>
        </w:rPr>
        <w:t>See the table in Annex A for a summary of the position regarding territorial extent and application</w:t>
      </w:r>
      <w:r>
        <w:t xml:space="preserve"> in the United Kingdom</w:t>
      </w:r>
      <w:r w:rsidRPr="00F77218">
        <w:rPr>
          <w:lang w:val="en-GB"/>
        </w:rPr>
        <w:t xml:space="preserve">. </w:t>
      </w:r>
      <w:bookmarkStart w:id="21" w:name="_Toc417648116"/>
      <w:bookmarkStart w:id="22" w:name="_Toc418587925"/>
    </w:p>
    <w:p w14:paraId="73B3A046" w14:textId="5A7AE6A7" w:rsidR="009E0D5A" w:rsidRPr="00CA4237" w:rsidRDefault="009E0D5A" w:rsidP="009E0D5A">
      <w:pPr>
        <w:pStyle w:val="Heading1"/>
        <w:keepNext/>
      </w:pPr>
      <w:bookmarkStart w:id="23" w:name="_Toc416612131"/>
      <w:bookmarkStart w:id="24" w:name="_Toc410653887"/>
      <w:bookmarkStart w:id="25" w:name="_Toc143595892"/>
      <w:bookmarkEnd w:id="19"/>
      <w:r w:rsidRPr="00CA4237">
        <w:t xml:space="preserve">Commentary on provisions of </w:t>
      </w:r>
      <w:r>
        <w:t>Act</w:t>
      </w:r>
      <w:r w:rsidRPr="00CA4237">
        <w:t> </w:t>
      </w:r>
      <w:bookmarkEnd w:id="21"/>
      <w:bookmarkEnd w:id="22"/>
      <w:bookmarkEnd w:id="23"/>
      <w:bookmarkEnd w:id="25"/>
    </w:p>
    <w:p w14:paraId="4D189A56" w14:textId="77777777" w:rsidR="009E0D5A" w:rsidRPr="00CA4237" w:rsidRDefault="009E0D5A" w:rsidP="009E0D5A">
      <w:pPr>
        <w:pStyle w:val="HSubheading4"/>
      </w:pPr>
      <w:bookmarkStart w:id="26" w:name="_Toc410653889"/>
      <w:bookmarkStart w:id="27" w:name="_Toc416612134"/>
      <w:bookmarkStart w:id="28" w:name="_Toc417648119"/>
      <w:bookmarkStart w:id="29" w:name="_Toc418587928"/>
      <w:bookmarkStart w:id="30" w:name="_Toc143595893"/>
      <w:r>
        <w:t>Section</w:t>
      </w:r>
      <w:r w:rsidRPr="00CA4237">
        <w:t xml:space="preserve"> 1</w:t>
      </w:r>
      <w:r>
        <w:t>: Interpretation</w:t>
      </w:r>
      <w:bookmarkEnd w:id="26"/>
      <w:bookmarkEnd w:id="27"/>
      <w:bookmarkEnd w:id="28"/>
      <w:bookmarkEnd w:id="29"/>
      <w:bookmarkEnd w:id="30"/>
    </w:p>
    <w:p w14:paraId="43E5A74A" w14:textId="77777777" w:rsidR="009E0D5A" w:rsidRPr="009049BF" w:rsidRDefault="009E0D5A" w:rsidP="009E0D5A">
      <w:pPr>
        <w:pStyle w:val="ParaNumbered"/>
        <w:ind w:left="720" w:hanging="360"/>
      </w:pPr>
      <w:r>
        <w:t xml:space="preserve">Section </w:t>
      </w:r>
      <w:r w:rsidRPr="009049BF">
        <w:t xml:space="preserve">1 </w:t>
      </w:r>
      <w:r>
        <w:t>defines</w:t>
      </w:r>
      <w:r w:rsidRPr="009049BF">
        <w:t xml:space="preserve"> “the 1991 Act”</w:t>
      </w:r>
      <w:r>
        <w:t xml:space="preserve"> and </w:t>
      </w:r>
      <w:r w:rsidRPr="009049BF">
        <w:t>“the 2008 Act”</w:t>
      </w:r>
      <w:r>
        <w:t xml:space="preserve">. </w:t>
      </w:r>
      <w:r w:rsidRPr="009049BF">
        <w:t xml:space="preserve"> </w:t>
      </w:r>
    </w:p>
    <w:p w14:paraId="5C4F97C0" w14:textId="77777777" w:rsidR="009E0D5A" w:rsidRPr="00CA4237" w:rsidRDefault="009E0D5A" w:rsidP="009E0D5A">
      <w:pPr>
        <w:pStyle w:val="HSubheading4"/>
      </w:pPr>
      <w:bookmarkStart w:id="31" w:name="_Toc410653890"/>
      <w:bookmarkStart w:id="32" w:name="_Toc416612135"/>
      <w:bookmarkStart w:id="33" w:name="_Toc417648120"/>
      <w:bookmarkStart w:id="34" w:name="_Toc418587930"/>
      <w:bookmarkStart w:id="35" w:name="_Toc143595894"/>
      <w:r>
        <w:t>Section</w:t>
      </w:r>
      <w:r w:rsidRPr="00CA4237">
        <w:t xml:space="preserve"> </w:t>
      </w:r>
      <w:r>
        <w:t>2</w:t>
      </w:r>
      <w:r w:rsidRPr="00CA4237">
        <w:t xml:space="preserve">: </w:t>
      </w:r>
      <w:r>
        <w:t xml:space="preserve">Making of liability </w:t>
      </w:r>
      <w:proofErr w:type="gramStart"/>
      <w:r>
        <w:t>order</w:t>
      </w:r>
      <w:bookmarkEnd w:id="31"/>
      <w:bookmarkEnd w:id="32"/>
      <w:bookmarkEnd w:id="33"/>
      <w:bookmarkEnd w:id="34"/>
      <w:bookmarkEnd w:id="35"/>
      <w:proofErr w:type="gramEnd"/>
    </w:p>
    <w:p w14:paraId="747D80BB" w14:textId="77777777" w:rsidR="009E0D5A" w:rsidRPr="00422EDE" w:rsidRDefault="009E0D5A" w:rsidP="009E0D5A">
      <w:pPr>
        <w:pStyle w:val="ParaNumbered"/>
      </w:pPr>
      <w:r>
        <w:t>Section</w:t>
      </w:r>
      <w:r w:rsidRPr="00AC4571">
        <w:t xml:space="preserve"> 2 amends section 32</w:t>
      </w:r>
      <w:proofErr w:type="gramStart"/>
      <w:r w:rsidRPr="00AC4571">
        <w:t>M(</w:t>
      </w:r>
      <w:proofErr w:type="gramEnd"/>
      <w:r w:rsidRPr="00AC4571">
        <w:t xml:space="preserve">1) of the 1991 Act (as inserted by section 25 of the 2008 Act) for the making of administrative liability orders. It provides that the SoS may make an administrative liability order where a NRP has failed to pay an amount of child maintenance due and where a DEO is inappropriate or ineffective.  </w:t>
      </w:r>
      <w:bookmarkStart w:id="36" w:name="_Toc410653892"/>
    </w:p>
    <w:p w14:paraId="0DC079ED" w14:textId="77777777" w:rsidR="009E0D5A" w:rsidRPr="00CA4237" w:rsidRDefault="009E0D5A" w:rsidP="009E0D5A">
      <w:pPr>
        <w:pStyle w:val="HSubheading4"/>
      </w:pPr>
      <w:bookmarkStart w:id="37" w:name="_Toc416612136"/>
      <w:bookmarkStart w:id="38" w:name="_Toc417648121"/>
      <w:bookmarkStart w:id="39" w:name="_Toc418587931"/>
      <w:bookmarkStart w:id="40" w:name="_Toc143595895"/>
      <w:r>
        <w:t>Section</w:t>
      </w:r>
      <w:r w:rsidRPr="00CA4237">
        <w:t xml:space="preserve"> </w:t>
      </w:r>
      <w:r>
        <w:t>3</w:t>
      </w:r>
      <w:r w:rsidRPr="00CA4237">
        <w:t xml:space="preserve">: </w:t>
      </w:r>
      <w:r>
        <w:t xml:space="preserve">Power to vary liability </w:t>
      </w:r>
      <w:proofErr w:type="gramStart"/>
      <w:r>
        <w:t>order</w:t>
      </w:r>
      <w:bookmarkEnd w:id="37"/>
      <w:bookmarkEnd w:id="38"/>
      <w:bookmarkEnd w:id="39"/>
      <w:bookmarkEnd w:id="40"/>
      <w:proofErr w:type="gramEnd"/>
      <w:r w:rsidRPr="00CA4237">
        <w:t xml:space="preserve"> </w:t>
      </w:r>
    </w:p>
    <w:p w14:paraId="2C123378" w14:textId="77777777" w:rsidR="009E0D5A" w:rsidRPr="009049BF" w:rsidRDefault="009E0D5A" w:rsidP="009E0D5A">
      <w:pPr>
        <w:pStyle w:val="ParaNumbered"/>
        <w:ind w:left="720" w:hanging="360"/>
      </w:pPr>
      <w:r>
        <w:t>Section</w:t>
      </w:r>
      <w:r w:rsidRPr="009049BF">
        <w:t xml:space="preserve"> 3 amends section 32N of the 1991 Act (as inserted by section 25 of the 2008 Act) </w:t>
      </w:r>
      <w:r>
        <w:t xml:space="preserve">to </w:t>
      </w:r>
      <w:r w:rsidRPr="009049BF">
        <w:t xml:space="preserve">expand the power to </w:t>
      </w:r>
      <w:r>
        <w:t xml:space="preserve">make </w:t>
      </w:r>
      <w:r w:rsidRPr="009049BF">
        <w:t>regulations for the variation of a liability order. For example, the amount of arrears upon which the LO is based is subsequently found to have been incorrect.</w:t>
      </w:r>
    </w:p>
    <w:p w14:paraId="514D492D" w14:textId="77777777" w:rsidR="009E0D5A" w:rsidRPr="00CA4237" w:rsidRDefault="009E0D5A" w:rsidP="009E0D5A">
      <w:pPr>
        <w:pStyle w:val="HSubheading4"/>
      </w:pPr>
      <w:bookmarkStart w:id="41" w:name="_Toc416612140"/>
      <w:bookmarkStart w:id="42" w:name="_Toc417648125"/>
      <w:bookmarkStart w:id="43" w:name="_Toc418587936"/>
      <w:bookmarkStart w:id="44" w:name="_Toc143595896"/>
      <w:r>
        <w:t>Section</w:t>
      </w:r>
      <w:r w:rsidRPr="00CA4237">
        <w:t xml:space="preserve"> </w:t>
      </w:r>
      <w:r>
        <w:t>4</w:t>
      </w:r>
      <w:r w:rsidRPr="00CA4237">
        <w:t xml:space="preserve">: </w:t>
      </w:r>
      <w:r>
        <w:t>Appeal of a liability order</w:t>
      </w:r>
      <w:bookmarkEnd w:id="41"/>
      <w:bookmarkEnd w:id="42"/>
      <w:bookmarkEnd w:id="43"/>
      <w:bookmarkEnd w:id="44"/>
    </w:p>
    <w:p w14:paraId="1CFD213C" w14:textId="77777777" w:rsidR="009E0D5A" w:rsidRPr="00C05C82" w:rsidRDefault="009E0D5A" w:rsidP="009E0D5A">
      <w:pPr>
        <w:pStyle w:val="ParaNumbered"/>
        <w:ind w:left="720" w:hanging="360"/>
      </w:pPr>
      <w:r>
        <w:t xml:space="preserve">Section </w:t>
      </w:r>
      <w:r w:rsidRPr="009049BF">
        <w:t>4</w:t>
      </w:r>
      <w:r>
        <w:t xml:space="preserve"> amends the route of appeal to allow a right of appeal to a court and provides for consequential amendments.</w:t>
      </w:r>
    </w:p>
    <w:p w14:paraId="35F0C520" w14:textId="77777777" w:rsidR="009E0D5A" w:rsidRDefault="009E0D5A" w:rsidP="009E0D5A">
      <w:pPr>
        <w:pStyle w:val="ParaNumbered"/>
        <w:ind w:left="720" w:hanging="360"/>
      </w:pPr>
      <w:r>
        <w:t>Subsection (2) inserts new provisions in new section 32N of the 1991 Act which sets out regulation making powers of the SoS:</w:t>
      </w:r>
    </w:p>
    <w:p w14:paraId="70C73DA8" w14:textId="77777777" w:rsidR="009E0D5A" w:rsidRDefault="009E0D5A" w:rsidP="00E60A25">
      <w:pPr>
        <w:pStyle w:val="ParaBulleted"/>
      </w:pPr>
      <w:r>
        <w:t>New section 32</w:t>
      </w:r>
      <w:proofErr w:type="gramStart"/>
      <w:r>
        <w:t>N(</w:t>
      </w:r>
      <w:proofErr w:type="gramEnd"/>
      <w:r>
        <w:t>3) of the 1991 Act requires the SoS to make regulations giving a NRP a right of appeal to a court against a liability order.</w:t>
      </w:r>
    </w:p>
    <w:p w14:paraId="2695387D" w14:textId="77777777" w:rsidR="009E0D5A" w:rsidRDefault="009E0D5A" w:rsidP="00E60A25">
      <w:pPr>
        <w:pStyle w:val="ParaBulleted"/>
      </w:pPr>
      <w:r>
        <w:t>New section 32</w:t>
      </w:r>
      <w:proofErr w:type="gramStart"/>
      <w:r>
        <w:t>N(</w:t>
      </w:r>
      <w:proofErr w:type="gramEnd"/>
      <w:r>
        <w:t>4) of the 1991 Act provides that on an appeal the court cannot question the maintenance calculation itself (this was previously the case with liability orders issued under section 33 of the 1991 Act).</w:t>
      </w:r>
    </w:p>
    <w:p w14:paraId="45A4E0F6" w14:textId="77777777" w:rsidR="009E0D5A" w:rsidRDefault="009E0D5A" w:rsidP="00E60A25">
      <w:pPr>
        <w:pStyle w:val="ParaBulleted"/>
      </w:pPr>
      <w:r>
        <w:t>New section 32</w:t>
      </w:r>
      <w:proofErr w:type="gramStart"/>
      <w:r>
        <w:t>N(</w:t>
      </w:r>
      <w:proofErr w:type="gramEnd"/>
      <w:r>
        <w:t xml:space="preserve">5) of the 1991 Act provides that the SoS may make regulations about the period in which to exercise the right of appeal and about the powers of the court on appeal. </w:t>
      </w:r>
    </w:p>
    <w:p w14:paraId="61571721" w14:textId="77777777" w:rsidR="009E0D5A" w:rsidRPr="009049BF" w:rsidRDefault="009E0D5A" w:rsidP="009E0D5A">
      <w:pPr>
        <w:pStyle w:val="ParaNumbered"/>
        <w:ind w:left="720" w:hanging="360"/>
      </w:pPr>
      <w:r w:rsidRPr="009049BF">
        <w:t xml:space="preserve">Subsection (3) </w:t>
      </w:r>
      <w:r>
        <w:t>sets out consequential amendments to section 32</w:t>
      </w:r>
      <w:proofErr w:type="gramStart"/>
      <w:r>
        <w:t>M(</w:t>
      </w:r>
      <w:proofErr w:type="gramEnd"/>
      <w:r>
        <w:t xml:space="preserve">3) of the 1991 Act. </w:t>
      </w:r>
    </w:p>
    <w:p w14:paraId="651F3E0E" w14:textId="77777777" w:rsidR="009E0D5A" w:rsidRPr="009049BF" w:rsidRDefault="009E0D5A" w:rsidP="009E0D5A">
      <w:pPr>
        <w:pStyle w:val="ParaNumbered"/>
        <w:ind w:left="720" w:hanging="360"/>
      </w:pPr>
      <w:r w:rsidRPr="009049BF">
        <w:t xml:space="preserve">Subsection (4) amends section 52 of the 1991 Act by requiring the first regulations under </w:t>
      </w:r>
      <w:r>
        <w:t>the new s</w:t>
      </w:r>
      <w:r w:rsidRPr="009049BF">
        <w:t>ection 32</w:t>
      </w:r>
      <w:proofErr w:type="gramStart"/>
      <w:r w:rsidRPr="009049BF">
        <w:t>N(</w:t>
      </w:r>
      <w:proofErr w:type="gramEnd"/>
      <w:r w:rsidRPr="009049BF">
        <w:t xml:space="preserve">3) to be subject to the affirmative parliamentary procedure.  </w:t>
      </w:r>
    </w:p>
    <w:p w14:paraId="7A9C7C98" w14:textId="77777777" w:rsidR="009E0D5A" w:rsidRPr="00856D84" w:rsidRDefault="009E0D5A" w:rsidP="009E0D5A">
      <w:pPr>
        <w:pStyle w:val="ParaNumbered"/>
        <w:ind w:left="720" w:hanging="360"/>
      </w:pPr>
      <w:r w:rsidRPr="009049BF">
        <w:t xml:space="preserve">Subsection (5) amends Schedule 7 to the 2008 Act by removing paragraph 1(3) to (6), which </w:t>
      </w:r>
      <w:r>
        <w:t>provide for consequential amendments to</w:t>
      </w:r>
      <w:r w:rsidRPr="009049BF">
        <w:t xml:space="preserve"> section 20 of the 1991 Act</w:t>
      </w:r>
      <w:r>
        <w:t xml:space="preserve"> relating to</w:t>
      </w:r>
      <w:r w:rsidRPr="009049BF">
        <w:t xml:space="preserve"> an appeal to the First-tier Tribunal. </w:t>
      </w:r>
    </w:p>
    <w:p w14:paraId="6064C76E" w14:textId="77777777" w:rsidR="009E0D5A" w:rsidRDefault="009E0D5A" w:rsidP="009E0D5A">
      <w:pPr>
        <w:pStyle w:val="HSubheading4"/>
      </w:pPr>
      <w:bookmarkStart w:id="45" w:name="_Toc416612143"/>
      <w:bookmarkStart w:id="46" w:name="_Toc417648128"/>
      <w:bookmarkStart w:id="47" w:name="_Toc418587937"/>
      <w:bookmarkStart w:id="48" w:name="_Toc143595897"/>
      <w:r>
        <w:t>Section 5: Consequential amendments</w:t>
      </w:r>
      <w:bookmarkEnd w:id="48"/>
    </w:p>
    <w:p w14:paraId="1543BCAD" w14:textId="77777777" w:rsidR="009E0D5A" w:rsidRPr="009049BF" w:rsidRDefault="009E0D5A" w:rsidP="009E0D5A">
      <w:pPr>
        <w:pStyle w:val="ParaNumbered"/>
        <w:ind w:left="720" w:hanging="360"/>
      </w:pPr>
      <w:r>
        <w:t xml:space="preserve">Section </w:t>
      </w:r>
      <w:r w:rsidRPr="009049BF">
        <w:t>5 sets out minor and consequential amendments to section 59 of the 2008 Act.</w:t>
      </w:r>
    </w:p>
    <w:p w14:paraId="62A9FA09" w14:textId="77777777" w:rsidR="009E0D5A" w:rsidRPr="00CA4237" w:rsidRDefault="009E0D5A" w:rsidP="009E0D5A">
      <w:pPr>
        <w:pStyle w:val="HSubheading4"/>
      </w:pPr>
      <w:bookmarkStart w:id="49" w:name="_Toc143595898"/>
      <w:r>
        <w:t xml:space="preserve">Section 6: Extent, </w:t>
      </w:r>
      <w:proofErr w:type="gramStart"/>
      <w:r>
        <w:t>commencement</w:t>
      </w:r>
      <w:proofErr w:type="gramEnd"/>
      <w:r>
        <w:t xml:space="preserve"> and short title</w:t>
      </w:r>
      <w:bookmarkEnd w:id="36"/>
      <w:bookmarkEnd w:id="45"/>
      <w:bookmarkEnd w:id="46"/>
      <w:bookmarkEnd w:id="47"/>
      <w:bookmarkEnd w:id="49"/>
    </w:p>
    <w:p w14:paraId="2DEA0629" w14:textId="77777777" w:rsidR="009E0D5A" w:rsidRPr="009049BF" w:rsidRDefault="009E0D5A" w:rsidP="009E0D5A">
      <w:pPr>
        <w:pStyle w:val="ParaNumbered"/>
        <w:ind w:left="720" w:hanging="360"/>
      </w:pPr>
      <w:r w:rsidRPr="009049BF">
        <w:t xml:space="preserve">Subsection (1) provides that this Act extends to England and Wales and Scotland. </w:t>
      </w:r>
    </w:p>
    <w:p w14:paraId="05FB1309" w14:textId="77777777" w:rsidR="009E0D5A" w:rsidRPr="009049BF" w:rsidRDefault="009E0D5A" w:rsidP="009E0D5A">
      <w:pPr>
        <w:pStyle w:val="ParaNumbered"/>
        <w:ind w:left="720" w:hanging="360"/>
      </w:pPr>
      <w:r w:rsidRPr="009049BF">
        <w:t xml:space="preserve">Subsection (2) provides that </w:t>
      </w:r>
      <w:r>
        <w:t xml:space="preserve">section </w:t>
      </w:r>
      <w:r w:rsidRPr="009049BF">
        <w:t>1</w:t>
      </w:r>
      <w:r>
        <w:t xml:space="preserve"> and section 6 </w:t>
      </w:r>
      <w:r w:rsidRPr="009049BF">
        <w:t>come into force on the day on which the Act receives Royal Assent.</w:t>
      </w:r>
    </w:p>
    <w:p w14:paraId="0C160655" w14:textId="77777777" w:rsidR="009E0D5A" w:rsidRPr="009049BF" w:rsidRDefault="009E0D5A" w:rsidP="009E0D5A">
      <w:pPr>
        <w:pStyle w:val="ParaNumbered"/>
        <w:ind w:left="720" w:hanging="360"/>
      </w:pPr>
      <w:r w:rsidRPr="009049BF">
        <w:t xml:space="preserve">Subsection (3) provides that </w:t>
      </w:r>
      <w:r>
        <w:t xml:space="preserve">section </w:t>
      </w:r>
      <w:r w:rsidRPr="009049BF">
        <w:t xml:space="preserve">4(5) and </w:t>
      </w:r>
      <w:r>
        <w:t xml:space="preserve">section </w:t>
      </w:r>
      <w:r w:rsidRPr="009049BF">
        <w:t xml:space="preserve">5 come into force at the end of the period of two months beginning with the day on which this Act is passed. </w:t>
      </w:r>
    </w:p>
    <w:p w14:paraId="43FD97FC" w14:textId="77777777" w:rsidR="009E0D5A" w:rsidRPr="009049BF" w:rsidRDefault="009E0D5A" w:rsidP="009E0D5A">
      <w:pPr>
        <w:pStyle w:val="ParaNumbered"/>
        <w:ind w:left="720" w:hanging="360"/>
      </w:pPr>
      <w:r w:rsidRPr="009049BF">
        <w:t xml:space="preserve">Subsection (4)(a) provides that the rest of this Act comes into force in England and Wales, at the same time as section 25 of the 2008 Act comes into force in England and Wales. </w:t>
      </w:r>
    </w:p>
    <w:p w14:paraId="72BC85B8" w14:textId="77777777" w:rsidR="009E0D5A" w:rsidRDefault="009E0D5A" w:rsidP="009E0D5A">
      <w:pPr>
        <w:pStyle w:val="ParaNumbered"/>
        <w:ind w:left="720" w:hanging="360"/>
      </w:pPr>
      <w:r w:rsidRPr="009049BF">
        <w:t xml:space="preserve">Subsection (4)(b) provides that the rest of this Act comes into force in Scotland, at the same time as section 25 of the 2008 Act comes into force in Scotland.  </w:t>
      </w:r>
    </w:p>
    <w:p w14:paraId="4562E89E" w14:textId="77777777" w:rsidR="009E0D5A" w:rsidRDefault="009E0D5A" w:rsidP="009E0D5A">
      <w:pPr>
        <w:pStyle w:val="ParaNumbered"/>
        <w:ind w:left="720" w:hanging="360"/>
      </w:pPr>
      <w:r>
        <w:t>Subsection (5) provides that this Act may be cited as the Child Support (Enforcement) Act 2023.</w:t>
      </w:r>
    </w:p>
    <w:p w14:paraId="7E82CA24" w14:textId="77777777" w:rsidR="009E0D5A" w:rsidRDefault="009E0D5A" w:rsidP="009E0D5A">
      <w:pPr>
        <w:rPr>
          <w:rFonts w:ascii="Palatino Linotype" w:hAnsi="Palatino Linotype" w:cs="PalatinoLinotype-Roman"/>
          <w:color w:val="000000"/>
          <w:sz w:val="20"/>
          <w:szCs w:val="24"/>
          <w:lang w:val="en-US"/>
        </w:rPr>
      </w:pPr>
      <w:r>
        <w:br w:type="page"/>
      </w:r>
    </w:p>
    <w:p w14:paraId="6277890F" w14:textId="4224DEE2" w:rsidR="009E0D5A" w:rsidRPr="00C853C6" w:rsidRDefault="009E0D5A" w:rsidP="00E60A25">
      <w:pPr>
        <w:pStyle w:val="Heading1"/>
      </w:pPr>
      <w:bookmarkStart w:id="50" w:name="_Toc410653897"/>
      <w:bookmarkStart w:id="51" w:name="_Toc416612149"/>
      <w:bookmarkStart w:id="52" w:name="_Toc417648134"/>
      <w:bookmarkStart w:id="53" w:name="_Toc418587943"/>
      <w:bookmarkStart w:id="54" w:name="_Toc416612148"/>
      <w:bookmarkStart w:id="55" w:name="_Toc417648133"/>
      <w:bookmarkStart w:id="56" w:name="_Toc143595899"/>
      <w:r w:rsidRPr="00CA4237">
        <w:t xml:space="preserve">Annex </w:t>
      </w:r>
      <w:bookmarkEnd w:id="50"/>
      <w:bookmarkEnd w:id="51"/>
      <w:r w:rsidRPr="00CA4237">
        <w:t xml:space="preserve">A - </w:t>
      </w:r>
      <w:bookmarkEnd w:id="52"/>
      <w:bookmarkEnd w:id="53"/>
      <w:r w:rsidRPr="00E60A25">
        <w:t>Territorial</w:t>
      </w:r>
      <w:r w:rsidRPr="00A46160">
        <w:t xml:space="preserve"> extent and application in the United Kingdom</w:t>
      </w:r>
      <w:bookmarkEnd w:id="56"/>
    </w:p>
    <w:tbl>
      <w:tblPr>
        <w:tblStyle w:val="ENGeneralTable"/>
        <w:tblW w:w="8926" w:type="dxa"/>
        <w:jc w:val="center"/>
        <w:tblLayout w:type="fixed"/>
        <w:tblLook w:val="0000" w:firstRow="0" w:lastRow="0" w:firstColumn="0" w:lastColumn="0" w:noHBand="0" w:noVBand="0"/>
      </w:tblPr>
      <w:tblGrid>
        <w:gridCol w:w="1101"/>
        <w:gridCol w:w="2013"/>
        <w:gridCol w:w="1843"/>
        <w:gridCol w:w="2126"/>
        <w:gridCol w:w="1843"/>
      </w:tblGrid>
      <w:tr w:rsidR="009E0D5A" w:rsidRPr="00CA4237" w14:paraId="12A56FDA" w14:textId="77777777" w:rsidTr="002751DB">
        <w:trPr>
          <w:trHeight w:val="1153"/>
          <w:tblHeader/>
          <w:jc w:val="center"/>
        </w:trPr>
        <w:tc>
          <w:tcPr>
            <w:tcW w:w="1101" w:type="dxa"/>
          </w:tcPr>
          <w:p w14:paraId="1ED1E123" w14:textId="77777777" w:rsidR="009E0D5A" w:rsidRPr="00BC7958" w:rsidRDefault="009E0D5A" w:rsidP="00677278">
            <w:pPr>
              <w:pStyle w:val="TTableText"/>
              <w:rPr>
                <w:rStyle w:val="TTableHeadings"/>
              </w:rPr>
            </w:pPr>
            <w:r>
              <w:rPr>
                <w:rStyle w:val="TTableHeadings"/>
              </w:rPr>
              <w:t>Provision</w:t>
            </w:r>
          </w:p>
        </w:tc>
        <w:tc>
          <w:tcPr>
            <w:tcW w:w="2013" w:type="dxa"/>
          </w:tcPr>
          <w:p w14:paraId="74B6C9A3" w14:textId="77777777" w:rsidR="009E0D5A" w:rsidRPr="00BC7958" w:rsidRDefault="009E0D5A" w:rsidP="00677278">
            <w:pPr>
              <w:pStyle w:val="TTableText"/>
              <w:rPr>
                <w:rStyle w:val="TTableHeadings"/>
              </w:rPr>
            </w:pPr>
            <w:r w:rsidRPr="00BC7958">
              <w:rPr>
                <w:rStyle w:val="TTableHeadings"/>
              </w:rPr>
              <w:t>Extends to E &amp; W and applies to England?</w:t>
            </w:r>
          </w:p>
        </w:tc>
        <w:tc>
          <w:tcPr>
            <w:tcW w:w="1843" w:type="dxa"/>
          </w:tcPr>
          <w:p w14:paraId="23626ED3" w14:textId="77777777" w:rsidR="009E0D5A" w:rsidRPr="00BC7958" w:rsidRDefault="009E0D5A" w:rsidP="00677278">
            <w:pPr>
              <w:pStyle w:val="TTableText"/>
              <w:rPr>
                <w:rStyle w:val="TTableHeadings"/>
              </w:rPr>
            </w:pPr>
            <w:r w:rsidRPr="00BC7958">
              <w:rPr>
                <w:rStyle w:val="TTableHeadings"/>
              </w:rPr>
              <w:t>Extends to E &amp; W and applies to Wales?</w:t>
            </w:r>
          </w:p>
        </w:tc>
        <w:tc>
          <w:tcPr>
            <w:tcW w:w="2126" w:type="dxa"/>
          </w:tcPr>
          <w:p w14:paraId="12424AD4" w14:textId="77777777" w:rsidR="009E0D5A" w:rsidRPr="00BC7958" w:rsidRDefault="009E0D5A" w:rsidP="00677278">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1843" w:type="dxa"/>
          </w:tcPr>
          <w:p w14:paraId="143D6702" w14:textId="77777777" w:rsidR="009E0D5A" w:rsidRPr="00BC7958" w:rsidRDefault="009E0D5A" w:rsidP="00677278">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bookmarkEnd w:id="24"/>
      <w:bookmarkEnd w:id="54"/>
      <w:bookmarkEnd w:id="55"/>
      <w:tr w:rsidR="002751DB" w:rsidRPr="002751DB" w14:paraId="5BDED5B6" w14:textId="77777777" w:rsidTr="002751DB">
        <w:tblPrEx>
          <w:jc w:val="left"/>
          <w:tblLook w:val="04A0" w:firstRow="1" w:lastRow="0" w:firstColumn="1" w:lastColumn="0" w:noHBand="0" w:noVBand="1"/>
        </w:tblPrEx>
        <w:trPr>
          <w:trHeight w:val="300"/>
        </w:trPr>
        <w:tc>
          <w:tcPr>
            <w:tcW w:w="1101" w:type="dxa"/>
            <w:hideMark/>
          </w:tcPr>
          <w:p w14:paraId="346344B3" w14:textId="77777777" w:rsidR="002751DB" w:rsidRPr="002751DB" w:rsidRDefault="002751DB" w:rsidP="002751DB">
            <w:pPr>
              <w:spacing w:after="0" w:line="240" w:lineRule="auto"/>
              <w:rPr>
                <w:rFonts w:cs="Arial"/>
                <w:color w:val="000000"/>
                <w:sz w:val="16"/>
                <w:szCs w:val="16"/>
                <w:lang w:eastAsia="en-GB" w:bidi="ar-SA"/>
              </w:rPr>
            </w:pPr>
            <w:r w:rsidRPr="002751DB">
              <w:rPr>
                <w:rFonts w:cs="Arial"/>
                <w:color w:val="000000"/>
                <w:sz w:val="16"/>
                <w:szCs w:val="16"/>
                <w:lang w:eastAsia="en-GB" w:bidi="ar-SA"/>
              </w:rPr>
              <w:t>Section 1</w:t>
            </w:r>
          </w:p>
        </w:tc>
        <w:tc>
          <w:tcPr>
            <w:tcW w:w="2013" w:type="dxa"/>
            <w:hideMark/>
          </w:tcPr>
          <w:p w14:paraId="5F4F4A16"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7FDA1DA2"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2126" w:type="dxa"/>
            <w:hideMark/>
          </w:tcPr>
          <w:p w14:paraId="6DAFC26A"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0AC25260"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No</w:t>
            </w:r>
          </w:p>
        </w:tc>
      </w:tr>
      <w:tr w:rsidR="002751DB" w:rsidRPr="002751DB" w14:paraId="18AC4EE3" w14:textId="77777777" w:rsidTr="002751DB">
        <w:tblPrEx>
          <w:jc w:val="left"/>
          <w:tblLook w:val="04A0" w:firstRow="1" w:lastRow="0" w:firstColumn="1" w:lastColumn="0" w:noHBand="0" w:noVBand="1"/>
        </w:tblPrEx>
        <w:trPr>
          <w:trHeight w:val="300"/>
        </w:trPr>
        <w:tc>
          <w:tcPr>
            <w:tcW w:w="1101" w:type="dxa"/>
            <w:hideMark/>
          </w:tcPr>
          <w:p w14:paraId="0EB980BC"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eastAsia="en-GB" w:bidi="ar-SA"/>
              </w:rPr>
              <w:t>Section 2</w:t>
            </w:r>
          </w:p>
        </w:tc>
        <w:tc>
          <w:tcPr>
            <w:tcW w:w="2013" w:type="dxa"/>
            <w:hideMark/>
          </w:tcPr>
          <w:p w14:paraId="7D8C690F"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0EA77092"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2126" w:type="dxa"/>
            <w:hideMark/>
          </w:tcPr>
          <w:p w14:paraId="489637ED"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45EC635A"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No</w:t>
            </w:r>
          </w:p>
        </w:tc>
      </w:tr>
      <w:tr w:rsidR="002751DB" w:rsidRPr="002751DB" w14:paraId="2F4B4D47" w14:textId="77777777" w:rsidTr="002751DB">
        <w:tblPrEx>
          <w:jc w:val="left"/>
          <w:tblLook w:val="04A0" w:firstRow="1" w:lastRow="0" w:firstColumn="1" w:lastColumn="0" w:noHBand="0" w:noVBand="1"/>
        </w:tblPrEx>
        <w:trPr>
          <w:trHeight w:val="300"/>
        </w:trPr>
        <w:tc>
          <w:tcPr>
            <w:tcW w:w="1101" w:type="dxa"/>
            <w:hideMark/>
          </w:tcPr>
          <w:p w14:paraId="255B101E"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eastAsia="en-GB" w:bidi="ar-SA"/>
              </w:rPr>
              <w:t>Section 3</w:t>
            </w:r>
          </w:p>
        </w:tc>
        <w:tc>
          <w:tcPr>
            <w:tcW w:w="2013" w:type="dxa"/>
            <w:hideMark/>
          </w:tcPr>
          <w:p w14:paraId="31860479"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7D666AEC"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2126" w:type="dxa"/>
            <w:hideMark/>
          </w:tcPr>
          <w:p w14:paraId="5D20DF30"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511F0D3A"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No</w:t>
            </w:r>
          </w:p>
        </w:tc>
      </w:tr>
      <w:tr w:rsidR="002751DB" w:rsidRPr="002751DB" w14:paraId="05216DB7" w14:textId="77777777" w:rsidTr="002751DB">
        <w:tblPrEx>
          <w:jc w:val="left"/>
          <w:tblLook w:val="04A0" w:firstRow="1" w:lastRow="0" w:firstColumn="1" w:lastColumn="0" w:noHBand="0" w:noVBand="1"/>
        </w:tblPrEx>
        <w:trPr>
          <w:trHeight w:val="300"/>
        </w:trPr>
        <w:tc>
          <w:tcPr>
            <w:tcW w:w="1101" w:type="dxa"/>
            <w:hideMark/>
          </w:tcPr>
          <w:p w14:paraId="76E06326"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eastAsia="en-GB" w:bidi="ar-SA"/>
              </w:rPr>
              <w:t>Section 4</w:t>
            </w:r>
          </w:p>
        </w:tc>
        <w:tc>
          <w:tcPr>
            <w:tcW w:w="2013" w:type="dxa"/>
            <w:hideMark/>
          </w:tcPr>
          <w:p w14:paraId="19489827"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1101C0A6"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2126" w:type="dxa"/>
            <w:hideMark/>
          </w:tcPr>
          <w:p w14:paraId="0B4867CA"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73C26ECC"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No</w:t>
            </w:r>
          </w:p>
        </w:tc>
      </w:tr>
      <w:tr w:rsidR="002751DB" w:rsidRPr="002751DB" w14:paraId="4382EB86" w14:textId="77777777" w:rsidTr="002751DB">
        <w:tblPrEx>
          <w:jc w:val="left"/>
          <w:tblLook w:val="04A0" w:firstRow="1" w:lastRow="0" w:firstColumn="1" w:lastColumn="0" w:noHBand="0" w:noVBand="1"/>
        </w:tblPrEx>
        <w:trPr>
          <w:trHeight w:val="300"/>
        </w:trPr>
        <w:tc>
          <w:tcPr>
            <w:tcW w:w="1101" w:type="dxa"/>
            <w:hideMark/>
          </w:tcPr>
          <w:p w14:paraId="6E7AC4A4"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eastAsia="en-GB" w:bidi="ar-SA"/>
              </w:rPr>
              <w:t>Section 5</w:t>
            </w:r>
          </w:p>
        </w:tc>
        <w:tc>
          <w:tcPr>
            <w:tcW w:w="2013" w:type="dxa"/>
            <w:hideMark/>
          </w:tcPr>
          <w:p w14:paraId="76D6CC7F"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29702D55"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2126" w:type="dxa"/>
            <w:hideMark/>
          </w:tcPr>
          <w:p w14:paraId="4F87DFD5"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2AA2D2EF"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No</w:t>
            </w:r>
          </w:p>
        </w:tc>
      </w:tr>
      <w:tr w:rsidR="002751DB" w:rsidRPr="002751DB" w14:paraId="16D57A02" w14:textId="77777777" w:rsidTr="002751DB">
        <w:tblPrEx>
          <w:jc w:val="left"/>
          <w:tblLook w:val="04A0" w:firstRow="1" w:lastRow="0" w:firstColumn="1" w:lastColumn="0" w:noHBand="0" w:noVBand="1"/>
        </w:tblPrEx>
        <w:trPr>
          <w:trHeight w:val="315"/>
        </w:trPr>
        <w:tc>
          <w:tcPr>
            <w:tcW w:w="1101" w:type="dxa"/>
            <w:hideMark/>
          </w:tcPr>
          <w:p w14:paraId="10923F36"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eastAsia="en-GB" w:bidi="ar-SA"/>
              </w:rPr>
              <w:t>Section 6</w:t>
            </w:r>
          </w:p>
        </w:tc>
        <w:tc>
          <w:tcPr>
            <w:tcW w:w="2013" w:type="dxa"/>
            <w:hideMark/>
          </w:tcPr>
          <w:p w14:paraId="558FB1B0"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04A09A30"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2126" w:type="dxa"/>
            <w:hideMark/>
          </w:tcPr>
          <w:p w14:paraId="2047D079"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Yes</w:t>
            </w:r>
          </w:p>
        </w:tc>
        <w:tc>
          <w:tcPr>
            <w:tcW w:w="1843" w:type="dxa"/>
            <w:hideMark/>
          </w:tcPr>
          <w:p w14:paraId="7E156BCC" w14:textId="77777777" w:rsidR="002751DB" w:rsidRPr="002751DB" w:rsidRDefault="002751DB" w:rsidP="002751DB">
            <w:pPr>
              <w:spacing w:after="0" w:line="240" w:lineRule="auto"/>
              <w:rPr>
                <w:rFonts w:ascii="Arial" w:hAnsi="Arial" w:cs="Arial"/>
                <w:color w:val="000000"/>
                <w:sz w:val="16"/>
                <w:szCs w:val="16"/>
                <w:lang w:eastAsia="en-GB" w:bidi="ar-SA"/>
              </w:rPr>
            </w:pPr>
            <w:r w:rsidRPr="002751DB">
              <w:rPr>
                <w:rFonts w:ascii="Arial" w:hAnsi="Arial" w:cs="Arial"/>
                <w:color w:val="000000"/>
                <w:sz w:val="16"/>
                <w:szCs w:val="16"/>
                <w:lang w:val="en-US" w:eastAsia="en-GB" w:bidi="ar-SA"/>
              </w:rPr>
              <w:t>No</w:t>
            </w:r>
          </w:p>
        </w:tc>
      </w:tr>
    </w:tbl>
    <w:p w14:paraId="18893E5C" w14:textId="77777777" w:rsidR="009E0D5A" w:rsidRPr="00AE5693" w:rsidRDefault="009E0D5A" w:rsidP="009E0D5A">
      <w:pPr>
        <w:rPr>
          <w:rStyle w:val="StyleLatinPalatinoLinotype-Roman10pt"/>
        </w:rPr>
      </w:pPr>
    </w:p>
    <w:p w14:paraId="642A169A" w14:textId="77777777" w:rsidR="009E0D5A" w:rsidRDefault="009E0D5A" w:rsidP="009E0D5A">
      <w:pPr>
        <w:rPr>
          <w:rStyle w:val="StyleLatinPalatinoLinotype-Roman10pt"/>
        </w:rPr>
      </w:pPr>
      <w:r>
        <w:rPr>
          <w:rStyle w:val="StyleLatinPalatinoLinotype-Roman10pt"/>
        </w:rPr>
        <w:br w:type="page"/>
      </w:r>
    </w:p>
    <w:p w14:paraId="3DB20137" w14:textId="77777777" w:rsidR="009E0D5A" w:rsidRDefault="009E0D5A" w:rsidP="009E0D5A">
      <w:pPr>
        <w:pStyle w:val="Heading1"/>
        <w:keepNext/>
      </w:pPr>
      <w:bookmarkStart w:id="57" w:name="_Toc143595900"/>
      <w:r w:rsidRPr="00CA4237">
        <w:lastRenderedPageBreak/>
        <w:t xml:space="preserve">Annex </w:t>
      </w:r>
      <w:r>
        <w:t>B</w:t>
      </w:r>
      <w:r w:rsidRPr="00CA4237">
        <w:t xml:space="preserve"> </w:t>
      </w:r>
      <w:r>
        <w:t>–</w:t>
      </w:r>
      <w:r w:rsidRPr="00CA4237">
        <w:t xml:space="preserve"> </w:t>
      </w:r>
      <w:r>
        <w:t>Hansard references</w:t>
      </w:r>
      <w:bookmarkEnd w:id="57"/>
    </w:p>
    <w:p w14:paraId="70E56AB4" w14:textId="77777777" w:rsidR="009E0D5A" w:rsidRPr="000A6670" w:rsidRDefault="009E0D5A" w:rsidP="00E60A25">
      <w:pPr>
        <w:pStyle w:val="ParaNumbered"/>
      </w:pPr>
      <w:r w:rsidRPr="000A6670">
        <w:t>The following table sets out the dates and Hansard references for each stage of the Act’s passage</w:t>
      </w:r>
      <w:r>
        <w:t xml:space="preserve"> </w:t>
      </w:r>
      <w:r w:rsidRPr="000A6670">
        <w:t>through Parliament.</w:t>
      </w:r>
    </w:p>
    <w:tbl>
      <w:tblPr>
        <w:tblW w:w="8272" w:type="dxa"/>
        <w:tblInd w:w="-10"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3244"/>
        <w:gridCol w:w="1923"/>
        <w:gridCol w:w="3105"/>
      </w:tblGrid>
      <w:tr w:rsidR="009E0D5A" w:rsidRPr="000A6670" w14:paraId="405E035F" w14:textId="77777777" w:rsidTr="00677278">
        <w:trPr>
          <w:trHeight w:val="420"/>
        </w:trPr>
        <w:tc>
          <w:tcPr>
            <w:tcW w:w="3244" w:type="dxa"/>
            <w:vAlign w:val="center"/>
          </w:tcPr>
          <w:p w14:paraId="2C3B5F6C" w14:textId="77777777" w:rsidR="009E0D5A" w:rsidRPr="00E60A25" w:rsidRDefault="009E0D5A" w:rsidP="00677278">
            <w:pPr>
              <w:widowControl w:val="0"/>
              <w:pBdr>
                <w:top w:val="nil"/>
                <w:left w:val="nil"/>
                <w:bottom w:val="nil"/>
                <w:right w:val="nil"/>
                <w:between w:val="nil"/>
              </w:pBdr>
              <w:spacing w:after="120" w:line="288" w:lineRule="auto"/>
              <w:jc w:val="center"/>
              <w:rPr>
                <w:rStyle w:val="TTableHeadings"/>
                <w:rFonts w:eastAsia="Arial"/>
              </w:rPr>
            </w:pPr>
            <w:r w:rsidRPr="00E60A25">
              <w:rPr>
                <w:rStyle w:val="TTableHeadings"/>
                <w:rFonts w:eastAsia="Arial"/>
              </w:rPr>
              <w:t>Stage</w:t>
            </w:r>
          </w:p>
        </w:tc>
        <w:tc>
          <w:tcPr>
            <w:tcW w:w="1923" w:type="dxa"/>
            <w:vAlign w:val="center"/>
          </w:tcPr>
          <w:p w14:paraId="7CC87897" w14:textId="77777777" w:rsidR="009E0D5A" w:rsidRPr="00E60A25" w:rsidRDefault="009E0D5A" w:rsidP="00677278">
            <w:pPr>
              <w:widowControl w:val="0"/>
              <w:pBdr>
                <w:top w:val="nil"/>
                <w:left w:val="nil"/>
                <w:bottom w:val="nil"/>
                <w:right w:val="nil"/>
                <w:between w:val="nil"/>
              </w:pBdr>
              <w:spacing w:after="120" w:line="288" w:lineRule="auto"/>
              <w:rPr>
                <w:rStyle w:val="TTableHeadings"/>
                <w:rFonts w:eastAsia="Arial"/>
              </w:rPr>
            </w:pPr>
            <w:r w:rsidRPr="00E60A25">
              <w:rPr>
                <w:rStyle w:val="TTableHeadings"/>
                <w:rFonts w:eastAsia="Arial"/>
              </w:rPr>
              <w:t>Date</w:t>
            </w:r>
          </w:p>
        </w:tc>
        <w:tc>
          <w:tcPr>
            <w:tcW w:w="3105" w:type="dxa"/>
            <w:vAlign w:val="center"/>
          </w:tcPr>
          <w:p w14:paraId="31C72833" w14:textId="77777777" w:rsidR="009E0D5A" w:rsidRPr="00E60A25" w:rsidRDefault="009E0D5A" w:rsidP="00677278">
            <w:pPr>
              <w:widowControl w:val="0"/>
              <w:pBdr>
                <w:top w:val="nil"/>
                <w:left w:val="nil"/>
                <w:bottom w:val="nil"/>
                <w:right w:val="nil"/>
                <w:between w:val="nil"/>
              </w:pBdr>
              <w:spacing w:after="120" w:line="288" w:lineRule="auto"/>
              <w:rPr>
                <w:rStyle w:val="TTableHeadings"/>
                <w:rFonts w:eastAsia="Arial"/>
              </w:rPr>
            </w:pPr>
            <w:r w:rsidRPr="00E60A25">
              <w:rPr>
                <w:rStyle w:val="TTableHeadings"/>
                <w:rFonts w:eastAsia="Arial"/>
              </w:rPr>
              <w:t>Hansard reference</w:t>
            </w:r>
          </w:p>
        </w:tc>
      </w:tr>
      <w:tr w:rsidR="009E0D5A" w:rsidRPr="000A6670" w14:paraId="257C670E" w14:textId="77777777" w:rsidTr="00677278">
        <w:trPr>
          <w:trHeight w:val="420"/>
        </w:trPr>
        <w:tc>
          <w:tcPr>
            <w:tcW w:w="8272" w:type="dxa"/>
            <w:gridSpan w:val="3"/>
            <w:vAlign w:val="center"/>
          </w:tcPr>
          <w:p w14:paraId="71B41AFE" w14:textId="77777777" w:rsidR="009E0D5A" w:rsidRPr="00E60A25" w:rsidRDefault="009E0D5A" w:rsidP="00E60A25">
            <w:pPr>
              <w:pStyle w:val="TTableText"/>
              <w:rPr>
                <w:rFonts w:eastAsia="Arial"/>
                <w:i/>
                <w:iCs/>
              </w:rPr>
            </w:pPr>
            <w:r w:rsidRPr="00E60A25">
              <w:rPr>
                <w:rFonts w:eastAsia="Arial"/>
                <w:i/>
                <w:iCs/>
              </w:rPr>
              <w:t>House of Commons</w:t>
            </w:r>
          </w:p>
        </w:tc>
      </w:tr>
      <w:tr w:rsidR="009E0D5A" w:rsidRPr="000A6670" w14:paraId="2ECB8790" w14:textId="77777777" w:rsidTr="00677278">
        <w:trPr>
          <w:trHeight w:val="456"/>
        </w:trPr>
        <w:tc>
          <w:tcPr>
            <w:tcW w:w="3244" w:type="dxa"/>
            <w:vAlign w:val="center"/>
          </w:tcPr>
          <w:p w14:paraId="308A4367" w14:textId="77777777" w:rsidR="009E0D5A" w:rsidRPr="000A6670" w:rsidRDefault="009E0D5A" w:rsidP="00E60A25">
            <w:pPr>
              <w:pStyle w:val="TTableText"/>
              <w:rPr>
                <w:rFonts w:eastAsia="Arial"/>
              </w:rPr>
            </w:pPr>
            <w:r w:rsidRPr="000A6670">
              <w:rPr>
                <w:rFonts w:eastAsia="Arial"/>
              </w:rPr>
              <w:t>Introduction</w:t>
            </w:r>
          </w:p>
        </w:tc>
        <w:tc>
          <w:tcPr>
            <w:tcW w:w="1923" w:type="dxa"/>
            <w:vAlign w:val="center"/>
          </w:tcPr>
          <w:p w14:paraId="43488C8D" w14:textId="77777777" w:rsidR="009E0D5A" w:rsidRPr="000A6670" w:rsidRDefault="009E0D5A" w:rsidP="00E60A25">
            <w:pPr>
              <w:pStyle w:val="TTableText"/>
              <w:rPr>
                <w:rFonts w:eastAsia="Arial"/>
              </w:rPr>
            </w:pPr>
            <w:r>
              <w:rPr>
                <w:rFonts w:eastAsia="Arial"/>
              </w:rPr>
              <w:t>15</w:t>
            </w:r>
            <w:r w:rsidRPr="000A6670">
              <w:rPr>
                <w:rFonts w:eastAsia="Arial"/>
              </w:rPr>
              <w:t xml:space="preserve"> June 2022</w:t>
            </w:r>
          </w:p>
        </w:tc>
        <w:tc>
          <w:tcPr>
            <w:tcW w:w="3105" w:type="dxa"/>
            <w:vAlign w:val="center"/>
          </w:tcPr>
          <w:p w14:paraId="5144D7A9" w14:textId="77777777" w:rsidR="009E0D5A" w:rsidRPr="000A6670" w:rsidRDefault="002751DB" w:rsidP="00E60A25">
            <w:pPr>
              <w:pStyle w:val="TTableText"/>
              <w:rPr>
                <w:rFonts w:eastAsia="Arial"/>
                <w:color w:val="0070C0"/>
                <w:u w:val="single" w:color="0070C0"/>
              </w:rPr>
            </w:pPr>
            <w:hyperlink r:id="rId9" w:history="1">
              <w:r w:rsidR="009E0D5A" w:rsidRPr="000A6670">
                <w:rPr>
                  <w:rFonts w:eastAsia="Arial"/>
                  <w:color w:val="0070C0"/>
                  <w:u w:val="single" w:color="0070C0"/>
                </w:rPr>
                <w:t>Bill as introduced</w:t>
              </w:r>
            </w:hyperlink>
          </w:p>
          <w:p w14:paraId="59125173" w14:textId="77777777" w:rsidR="009E0D5A" w:rsidRPr="000A6670" w:rsidRDefault="002751DB" w:rsidP="00E60A25">
            <w:pPr>
              <w:pStyle w:val="TTableText"/>
              <w:rPr>
                <w:rFonts w:eastAsia="Arial"/>
              </w:rPr>
            </w:pPr>
            <w:hyperlink r:id="rId10" w:history="1">
              <w:r w:rsidR="009E0D5A">
                <w:rPr>
                  <w:rFonts w:eastAsia="Arial"/>
                  <w:color w:val="0070C0"/>
                  <w:u w:val="single" w:color="0070C0"/>
                </w:rPr>
                <w:t>Vol. 716 col. 315</w:t>
              </w:r>
            </w:hyperlink>
          </w:p>
        </w:tc>
      </w:tr>
      <w:tr w:rsidR="009E0D5A" w:rsidRPr="000A6670" w14:paraId="5E3F0A0B" w14:textId="77777777" w:rsidTr="00677278">
        <w:trPr>
          <w:trHeight w:val="420"/>
        </w:trPr>
        <w:tc>
          <w:tcPr>
            <w:tcW w:w="3244" w:type="dxa"/>
            <w:vAlign w:val="center"/>
          </w:tcPr>
          <w:p w14:paraId="511C7089" w14:textId="77777777" w:rsidR="009E0D5A" w:rsidRPr="000A6670" w:rsidRDefault="009E0D5A" w:rsidP="00E60A25">
            <w:pPr>
              <w:pStyle w:val="TTableText"/>
              <w:rPr>
                <w:rFonts w:eastAsia="Arial"/>
              </w:rPr>
            </w:pPr>
            <w:r w:rsidRPr="000A6670">
              <w:rPr>
                <w:rFonts w:eastAsia="Arial"/>
              </w:rPr>
              <w:t>Second Reading</w:t>
            </w:r>
          </w:p>
        </w:tc>
        <w:tc>
          <w:tcPr>
            <w:tcW w:w="1923" w:type="dxa"/>
            <w:vAlign w:val="center"/>
          </w:tcPr>
          <w:p w14:paraId="4B160DB6" w14:textId="77777777" w:rsidR="009E0D5A" w:rsidRPr="000A6670" w:rsidRDefault="009E0D5A" w:rsidP="00E60A25">
            <w:pPr>
              <w:pStyle w:val="TTableText"/>
              <w:rPr>
                <w:rFonts w:eastAsia="Arial"/>
              </w:rPr>
            </w:pPr>
            <w:r>
              <w:rPr>
                <w:rFonts w:eastAsia="Arial"/>
              </w:rPr>
              <w:t>09 December</w:t>
            </w:r>
            <w:r w:rsidRPr="000A6670">
              <w:rPr>
                <w:rFonts w:eastAsia="Arial"/>
              </w:rPr>
              <w:t xml:space="preserve"> 2022</w:t>
            </w:r>
          </w:p>
        </w:tc>
        <w:tc>
          <w:tcPr>
            <w:tcW w:w="3105" w:type="dxa"/>
            <w:vAlign w:val="center"/>
          </w:tcPr>
          <w:p w14:paraId="2818E612" w14:textId="77777777" w:rsidR="009E0D5A" w:rsidRPr="000A6670" w:rsidRDefault="002751DB" w:rsidP="00E60A25">
            <w:pPr>
              <w:pStyle w:val="TTableText"/>
              <w:rPr>
                <w:rFonts w:eastAsia="Arial"/>
              </w:rPr>
            </w:pPr>
            <w:hyperlink r:id="rId11" w:history="1">
              <w:r w:rsidR="009E0D5A">
                <w:rPr>
                  <w:rFonts w:eastAsia="Arial"/>
                  <w:color w:val="0070C0"/>
                  <w:u w:val="single" w:color="0070C0"/>
                </w:rPr>
                <w:t>Vol. 724 col. 664</w:t>
              </w:r>
            </w:hyperlink>
          </w:p>
        </w:tc>
      </w:tr>
      <w:tr w:rsidR="009E0D5A" w:rsidRPr="000A6670" w14:paraId="651E7872" w14:textId="77777777" w:rsidTr="00677278">
        <w:trPr>
          <w:trHeight w:val="420"/>
        </w:trPr>
        <w:tc>
          <w:tcPr>
            <w:tcW w:w="3244" w:type="dxa"/>
            <w:vAlign w:val="center"/>
          </w:tcPr>
          <w:p w14:paraId="3371291B" w14:textId="77777777" w:rsidR="009E0D5A" w:rsidRPr="000A6670" w:rsidRDefault="009E0D5A" w:rsidP="00E60A25">
            <w:pPr>
              <w:pStyle w:val="TTableText"/>
              <w:rPr>
                <w:rFonts w:eastAsia="Arial"/>
              </w:rPr>
            </w:pPr>
            <w:r w:rsidRPr="000A6670">
              <w:rPr>
                <w:rFonts w:eastAsia="Arial"/>
              </w:rPr>
              <w:t>Public Bill Committee</w:t>
            </w:r>
          </w:p>
        </w:tc>
        <w:tc>
          <w:tcPr>
            <w:tcW w:w="1923" w:type="dxa"/>
            <w:vAlign w:val="center"/>
          </w:tcPr>
          <w:p w14:paraId="1742B3DF" w14:textId="77777777" w:rsidR="009E0D5A" w:rsidRPr="000A6670" w:rsidRDefault="009E0D5A" w:rsidP="00E60A25">
            <w:pPr>
              <w:pStyle w:val="TTableText"/>
              <w:rPr>
                <w:rFonts w:eastAsia="Arial"/>
              </w:rPr>
            </w:pPr>
            <w:r>
              <w:rPr>
                <w:rFonts w:eastAsia="Arial"/>
              </w:rPr>
              <w:t>14</w:t>
            </w:r>
            <w:r w:rsidRPr="000A6670">
              <w:rPr>
                <w:rFonts w:eastAsia="Arial"/>
              </w:rPr>
              <w:t xml:space="preserve"> </w:t>
            </w:r>
            <w:r>
              <w:rPr>
                <w:rFonts w:eastAsia="Arial"/>
              </w:rPr>
              <w:t>Decemb</w:t>
            </w:r>
            <w:r w:rsidRPr="000A6670">
              <w:rPr>
                <w:rFonts w:eastAsia="Arial"/>
              </w:rPr>
              <w:t>er 2022</w:t>
            </w:r>
          </w:p>
        </w:tc>
        <w:tc>
          <w:tcPr>
            <w:tcW w:w="3105" w:type="dxa"/>
            <w:vAlign w:val="center"/>
          </w:tcPr>
          <w:p w14:paraId="74FB3B4A" w14:textId="77777777" w:rsidR="009E0D5A" w:rsidRPr="000A6670" w:rsidRDefault="002751DB" w:rsidP="00E60A25">
            <w:pPr>
              <w:pStyle w:val="TTableText"/>
              <w:rPr>
                <w:rFonts w:eastAsia="Arial"/>
              </w:rPr>
            </w:pPr>
            <w:hyperlink r:id="rId12" w:history="1">
              <w:r w:rsidR="009E0D5A" w:rsidRPr="000A6670">
                <w:rPr>
                  <w:rFonts w:eastAsia="Arial"/>
                  <w:color w:val="0070C0"/>
                  <w:u w:val="single" w:color="0070C0"/>
                </w:rPr>
                <w:t>Col. 1</w:t>
              </w:r>
            </w:hyperlink>
          </w:p>
        </w:tc>
      </w:tr>
      <w:tr w:rsidR="009E0D5A" w:rsidRPr="000A6670" w14:paraId="20E5D3B5" w14:textId="77777777" w:rsidTr="00677278">
        <w:trPr>
          <w:trHeight w:val="420"/>
        </w:trPr>
        <w:tc>
          <w:tcPr>
            <w:tcW w:w="3244" w:type="dxa"/>
            <w:vAlign w:val="center"/>
          </w:tcPr>
          <w:p w14:paraId="5CFFA346" w14:textId="77777777" w:rsidR="009E0D5A" w:rsidRPr="000A6670" w:rsidRDefault="009E0D5A" w:rsidP="00E60A25">
            <w:pPr>
              <w:pStyle w:val="TTableText"/>
              <w:rPr>
                <w:rFonts w:eastAsia="Arial"/>
              </w:rPr>
            </w:pPr>
            <w:r w:rsidRPr="009C4889">
              <w:rPr>
                <w:rFonts w:eastAsia="Arial"/>
              </w:rPr>
              <w:t>Third Reading</w:t>
            </w:r>
          </w:p>
        </w:tc>
        <w:tc>
          <w:tcPr>
            <w:tcW w:w="1923" w:type="dxa"/>
            <w:vAlign w:val="center"/>
          </w:tcPr>
          <w:p w14:paraId="5627A9EB" w14:textId="77777777" w:rsidR="009E0D5A" w:rsidRDefault="009E0D5A" w:rsidP="00E60A25">
            <w:pPr>
              <w:pStyle w:val="TTableText"/>
              <w:rPr>
                <w:rFonts w:eastAsia="Arial"/>
              </w:rPr>
            </w:pPr>
            <w:r w:rsidRPr="009C4889">
              <w:rPr>
                <w:rFonts w:eastAsia="Arial"/>
              </w:rPr>
              <w:t>17 March 2023</w:t>
            </w:r>
          </w:p>
        </w:tc>
        <w:tc>
          <w:tcPr>
            <w:tcW w:w="3105" w:type="dxa"/>
            <w:vAlign w:val="center"/>
          </w:tcPr>
          <w:p w14:paraId="4AAE6F04" w14:textId="77777777" w:rsidR="009E0D5A" w:rsidRPr="009C4889" w:rsidRDefault="002751DB" w:rsidP="00E60A25">
            <w:pPr>
              <w:pStyle w:val="TTableText"/>
            </w:pPr>
            <w:hyperlink r:id="rId13" w:history="1">
              <w:r w:rsidR="009E0D5A">
                <w:rPr>
                  <w:rStyle w:val="Hyperlink"/>
                  <w:rFonts w:ascii="Palatino Linotype" w:hAnsi="Palatino Linotype"/>
                  <w:szCs w:val="16"/>
                </w:rPr>
                <w:t>Vol. 229 col. 1103</w:t>
              </w:r>
            </w:hyperlink>
          </w:p>
        </w:tc>
      </w:tr>
      <w:tr w:rsidR="009E0D5A" w:rsidRPr="000A6670" w14:paraId="51D3A730" w14:textId="77777777" w:rsidTr="00677278">
        <w:trPr>
          <w:trHeight w:val="402"/>
        </w:trPr>
        <w:tc>
          <w:tcPr>
            <w:tcW w:w="8272" w:type="dxa"/>
            <w:gridSpan w:val="3"/>
            <w:vAlign w:val="center"/>
          </w:tcPr>
          <w:p w14:paraId="2BF785C5" w14:textId="42D3771F" w:rsidR="009E0D5A" w:rsidRPr="00E60A25" w:rsidRDefault="009E0D5A" w:rsidP="00E60A25">
            <w:pPr>
              <w:pStyle w:val="TTableText"/>
              <w:rPr>
                <w:rFonts w:eastAsia="Arial"/>
                <w:i/>
                <w:iCs/>
              </w:rPr>
            </w:pPr>
            <w:r w:rsidRPr="00E60A25">
              <w:rPr>
                <w:rFonts w:eastAsia="Arial"/>
                <w:i/>
                <w:iCs/>
              </w:rPr>
              <w:t>House of Lords</w:t>
            </w:r>
          </w:p>
        </w:tc>
      </w:tr>
      <w:tr w:rsidR="009E0D5A" w:rsidRPr="000A6670" w14:paraId="19707FCC" w14:textId="77777777" w:rsidTr="00677278">
        <w:trPr>
          <w:trHeight w:val="420"/>
        </w:trPr>
        <w:tc>
          <w:tcPr>
            <w:tcW w:w="3244" w:type="dxa"/>
            <w:vAlign w:val="center"/>
          </w:tcPr>
          <w:p w14:paraId="3FC1C75C" w14:textId="77777777" w:rsidR="009E0D5A" w:rsidRPr="000A6670" w:rsidRDefault="009E0D5A" w:rsidP="00E60A25">
            <w:pPr>
              <w:pStyle w:val="TTableText"/>
              <w:rPr>
                <w:rFonts w:eastAsia="Arial"/>
              </w:rPr>
            </w:pPr>
            <w:r w:rsidRPr="000A6670">
              <w:rPr>
                <w:rFonts w:eastAsia="Arial"/>
              </w:rPr>
              <w:t>Introduction</w:t>
            </w:r>
          </w:p>
        </w:tc>
        <w:tc>
          <w:tcPr>
            <w:tcW w:w="1923" w:type="dxa"/>
            <w:vAlign w:val="center"/>
          </w:tcPr>
          <w:p w14:paraId="0809F5FB" w14:textId="77777777" w:rsidR="009E0D5A" w:rsidRPr="000A6670" w:rsidRDefault="009E0D5A" w:rsidP="00E60A25">
            <w:pPr>
              <w:pStyle w:val="TTableText"/>
              <w:rPr>
                <w:rFonts w:eastAsia="Arial"/>
              </w:rPr>
            </w:pPr>
            <w:r>
              <w:rPr>
                <w:rFonts w:eastAsia="Arial"/>
              </w:rPr>
              <w:t>20</w:t>
            </w:r>
            <w:r w:rsidRPr="000A6670">
              <w:rPr>
                <w:rFonts w:eastAsia="Arial"/>
              </w:rPr>
              <w:t xml:space="preserve"> </w:t>
            </w:r>
            <w:r>
              <w:rPr>
                <w:rFonts w:eastAsia="Arial"/>
              </w:rPr>
              <w:t xml:space="preserve">March </w:t>
            </w:r>
            <w:r w:rsidRPr="000A6670">
              <w:rPr>
                <w:rFonts w:eastAsia="Arial"/>
              </w:rPr>
              <w:t>2023</w:t>
            </w:r>
          </w:p>
        </w:tc>
        <w:tc>
          <w:tcPr>
            <w:tcW w:w="3105" w:type="dxa"/>
            <w:vAlign w:val="center"/>
          </w:tcPr>
          <w:p w14:paraId="012E64B2" w14:textId="77777777" w:rsidR="009E0D5A" w:rsidRPr="000A6670" w:rsidRDefault="002751DB" w:rsidP="00E60A25">
            <w:pPr>
              <w:pStyle w:val="TTableText"/>
              <w:rPr>
                <w:rFonts w:eastAsia="Arial"/>
              </w:rPr>
            </w:pPr>
            <w:hyperlink r:id="rId14" w:history="1">
              <w:r w:rsidR="009E0D5A" w:rsidRPr="000A6670">
                <w:rPr>
                  <w:rFonts w:eastAsia="Arial"/>
                  <w:color w:val="0070C0"/>
                  <w:u w:val="single" w:color="0070C0"/>
                </w:rPr>
                <w:t>Bill as introduced</w:t>
              </w:r>
            </w:hyperlink>
          </w:p>
          <w:p w14:paraId="6BD9B137" w14:textId="77777777" w:rsidR="009E0D5A" w:rsidRPr="000A6670" w:rsidRDefault="002751DB" w:rsidP="00E60A25">
            <w:pPr>
              <w:pStyle w:val="TTableText"/>
              <w:rPr>
                <w:rFonts w:eastAsia="Arial"/>
              </w:rPr>
            </w:pPr>
            <w:hyperlink r:id="rId15" w:history="1">
              <w:r w:rsidR="009E0D5A">
                <w:rPr>
                  <w:rFonts w:eastAsia="Arial"/>
                  <w:color w:val="0070C0"/>
                  <w:u w:val="single" w:color="0070C0"/>
                </w:rPr>
                <w:t>Vol. 828 col. 1546</w:t>
              </w:r>
            </w:hyperlink>
          </w:p>
        </w:tc>
      </w:tr>
      <w:tr w:rsidR="009E0D5A" w:rsidRPr="000A6670" w14:paraId="224A886A" w14:textId="77777777" w:rsidTr="00677278">
        <w:trPr>
          <w:trHeight w:val="420"/>
        </w:trPr>
        <w:tc>
          <w:tcPr>
            <w:tcW w:w="3244" w:type="dxa"/>
            <w:vAlign w:val="center"/>
          </w:tcPr>
          <w:p w14:paraId="0BE37B05" w14:textId="77777777" w:rsidR="009E0D5A" w:rsidRPr="000A6670" w:rsidRDefault="009E0D5A" w:rsidP="00E60A25">
            <w:pPr>
              <w:pStyle w:val="TTableText"/>
              <w:rPr>
                <w:rFonts w:eastAsia="Arial"/>
              </w:rPr>
            </w:pPr>
            <w:r w:rsidRPr="000A6670">
              <w:rPr>
                <w:rFonts w:eastAsia="Arial"/>
              </w:rPr>
              <w:t>Second Reading</w:t>
            </w:r>
          </w:p>
        </w:tc>
        <w:tc>
          <w:tcPr>
            <w:tcW w:w="1923" w:type="dxa"/>
            <w:vAlign w:val="center"/>
          </w:tcPr>
          <w:p w14:paraId="30F3345A" w14:textId="77777777" w:rsidR="009E0D5A" w:rsidRPr="000A6670" w:rsidRDefault="009E0D5A" w:rsidP="00E60A25">
            <w:pPr>
              <w:pStyle w:val="TTableText"/>
              <w:rPr>
                <w:rFonts w:eastAsia="Arial"/>
              </w:rPr>
            </w:pPr>
            <w:r>
              <w:rPr>
                <w:rFonts w:eastAsia="Arial"/>
              </w:rPr>
              <w:t>19 May</w:t>
            </w:r>
            <w:r w:rsidRPr="000A6670">
              <w:rPr>
                <w:rFonts w:eastAsia="Arial"/>
              </w:rPr>
              <w:t xml:space="preserve"> 2023</w:t>
            </w:r>
          </w:p>
        </w:tc>
        <w:tc>
          <w:tcPr>
            <w:tcW w:w="3105" w:type="dxa"/>
            <w:vAlign w:val="center"/>
          </w:tcPr>
          <w:p w14:paraId="7D2C29BF" w14:textId="77777777" w:rsidR="009E0D5A" w:rsidRPr="000A6670" w:rsidRDefault="002751DB" w:rsidP="00E60A25">
            <w:pPr>
              <w:pStyle w:val="TTableText"/>
              <w:rPr>
                <w:rFonts w:eastAsia="Arial"/>
              </w:rPr>
            </w:pPr>
            <w:hyperlink r:id="rId16" w:history="1">
              <w:r w:rsidR="009E0D5A">
                <w:rPr>
                  <w:rFonts w:eastAsia="Arial"/>
                  <w:color w:val="0070C0"/>
                  <w:u w:val="single" w:color="0070C0"/>
                </w:rPr>
                <w:t>Vol. 830 col. 560</w:t>
              </w:r>
            </w:hyperlink>
          </w:p>
        </w:tc>
      </w:tr>
      <w:tr w:rsidR="009E0D5A" w:rsidRPr="000A6670" w14:paraId="7986D732" w14:textId="77777777" w:rsidTr="00677278">
        <w:trPr>
          <w:trHeight w:val="420"/>
        </w:trPr>
        <w:tc>
          <w:tcPr>
            <w:tcW w:w="3244" w:type="dxa"/>
            <w:vAlign w:val="center"/>
          </w:tcPr>
          <w:p w14:paraId="20600015" w14:textId="77777777" w:rsidR="009E0D5A" w:rsidRPr="000A6670" w:rsidRDefault="009E0D5A" w:rsidP="00E60A25">
            <w:pPr>
              <w:pStyle w:val="TTableText"/>
              <w:rPr>
                <w:rFonts w:eastAsia="Arial"/>
              </w:rPr>
            </w:pPr>
            <w:r w:rsidRPr="000A6670">
              <w:rPr>
                <w:rFonts w:eastAsia="Arial"/>
              </w:rPr>
              <w:t>Grand Committee</w:t>
            </w:r>
          </w:p>
        </w:tc>
        <w:tc>
          <w:tcPr>
            <w:tcW w:w="1923" w:type="dxa"/>
            <w:vAlign w:val="center"/>
          </w:tcPr>
          <w:p w14:paraId="1DEFFA9A" w14:textId="77777777" w:rsidR="009E0D5A" w:rsidRPr="000A6670" w:rsidRDefault="009E0D5A" w:rsidP="00E60A25">
            <w:pPr>
              <w:pStyle w:val="TTableText"/>
              <w:rPr>
                <w:rFonts w:eastAsia="Arial"/>
              </w:rPr>
            </w:pPr>
            <w:r>
              <w:rPr>
                <w:rFonts w:eastAsia="Arial"/>
              </w:rPr>
              <w:t>19</w:t>
            </w:r>
            <w:r w:rsidRPr="000A6670">
              <w:rPr>
                <w:rFonts w:eastAsia="Arial"/>
              </w:rPr>
              <w:t xml:space="preserve"> </w:t>
            </w:r>
            <w:r>
              <w:rPr>
                <w:rFonts w:eastAsia="Arial"/>
              </w:rPr>
              <w:t>June</w:t>
            </w:r>
            <w:r w:rsidRPr="000A6670">
              <w:rPr>
                <w:rFonts w:eastAsia="Arial"/>
              </w:rPr>
              <w:t xml:space="preserve"> 2023</w:t>
            </w:r>
          </w:p>
        </w:tc>
        <w:tc>
          <w:tcPr>
            <w:tcW w:w="3105" w:type="dxa"/>
            <w:vAlign w:val="center"/>
          </w:tcPr>
          <w:p w14:paraId="1A6D98AD" w14:textId="77777777" w:rsidR="009E0D5A" w:rsidRPr="000A6670" w:rsidRDefault="002751DB" w:rsidP="00E60A25">
            <w:pPr>
              <w:pStyle w:val="TTableText"/>
              <w:rPr>
                <w:rFonts w:eastAsia="Arial"/>
              </w:rPr>
            </w:pPr>
            <w:hyperlink r:id="rId17" w:history="1">
              <w:r w:rsidR="009E0D5A">
                <w:rPr>
                  <w:rFonts w:eastAsia="Arial"/>
                  <w:color w:val="0070C0"/>
                  <w:u w:val="single" w:color="0070C0"/>
                </w:rPr>
                <w:t>Vol. 831 col. 17</w:t>
              </w:r>
            </w:hyperlink>
          </w:p>
        </w:tc>
      </w:tr>
      <w:tr w:rsidR="009E0D5A" w:rsidRPr="000A6670" w14:paraId="1F2E1AD1" w14:textId="77777777" w:rsidTr="00677278">
        <w:trPr>
          <w:trHeight w:val="420"/>
        </w:trPr>
        <w:tc>
          <w:tcPr>
            <w:tcW w:w="3244" w:type="dxa"/>
            <w:vAlign w:val="center"/>
          </w:tcPr>
          <w:p w14:paraId="44FA9BC4" w14:textId="77777777" w:rsidR="009E0D5A" w:rsidRPr="000A6670" w:rsidRDefault="009E0D5A" w:rsidP="00E60A25">
            <w:pPr>
              <w:pStyle w:val="TTableText"/>
              <w:rPr>
                <w:rFonts w:eastAsia="Arial"/>
              </w:rPr>
            </w:pPr>
            <w:r w:rsidRPr="000A6670">
              <w:rPr>
                <w:rFonts w:eastAsia="Arial"/>
              </w:rPr>
              <w:t>Third Reading</w:t>
            </w:r>
          </w:p>
        </w:tc>
        <w:tc>
          <w:tcPr>
            <w:tcW w:w="1923" w:type="dxa"/>
            <w:vAlign w:val="center"/>
          </w:tcPr>
          <w:p w14:paraId="5D3678C1" w14:textId="77777777" w:rsidR="009E0D5A" w:rsidRPr="000A6670" w:rsidRDefault="009E0D5A" w:rsidP="00E60A25">
            <w:pPr>
              <w:pStyle w:val="TTableText"/>
              <w:rPr>
                <w:rFonts w:eastAsia="Arial"/>
              </w:rPr>
            </w:pPr>
            <w:r>
              <w:rPr>
                <w:rFonts w:eastAsia="Arial"/>
              </w:rPr>
              <w:t>14 July</w:t>
            </w:r>
            <w:r w:rsidRPr="000A6670">
              <w:rPr>
                <w:rFonts w:eastAsia="Arial"/>
              </w:rPr>
              <w:t xml:space="preserve"> 2023</w:t>
            </w:r>
          </w:p>
        </w:tc>
        <w:tc>
          <w:tcPr>
            <w:tcW w:w="3105" w:type="dxa"/>
            <w:vAlign w:val="center"/>
          </w:tcPr>
          <w:p w14:paraId="0DC37A0E" w14:textId="77777777" w:rsidR="009E0D5A" w:rsidRPr="000A6670" w:rsidRDefault="002751DB" w:rsidP="00E60A25">
            <w:pPr>
              <w:pStyle w:val="TTableText"/>
              <w:rPr>
                <w:rFonts w:eastAsia="Arial"/>
              </w:rPr>
            </w:pPr>
            <w:hyperlink r:id="rId18" w:history="1">
              <w:r w:rsidR="009E0D5A">
                <w:rPr>
                  <w:rFonts w:eastAsia="Arial"/>
                  <w:color w:val="0070C0"/>
                  <w:u w:val="single" w:color="0070C0"/>
                </w:rPr>
                <w:t>Vol. 831 col. 1979</w:t>
              </w:r>
            </w:hyperlink>
          </w:p>
        </w:tc>
      </w:tr>
      <w:tr w:rsidR="009E0D5A" w:rsidRPr="000A6670" w14:paraId="71DD21F5" w14:textId="77777777" w:rsidTr="00677278">
        <w:trPr>
          <w:trHeight w:val="232"/>
        </w:trPr>
        <w:tc>
          <w:tcPr>
            <w:tcW w:w="3244" w:type="dxa"/>
            <w:vMerge w:val="restart"/>
            <w:vAlign w:val="center"/>
          </w:tcPr>
          <w:p w14:paraId="46C79273" w14:textId="77777777" w:rsidR="009E0D5A" w:rsidRPr="000A6670" w:rsidRDefault="009E0D5A" w:rsidP="00E60A25">
            <w:pPr>
              <w:pStyle w:val="TTableText"/>
              <w:rPr>
                <w:rFonts w:eastAsia="Arial"/>
              </w:rPr>
            </w:pPr>
            <w:r w:rsidRPr="000A6670">
              <w:rPr>
                <w:rFonts w:eastAsia="Arial"/>
              </w:rPr>
              <w:t>Royal Assent</w:t>
            </w:r>
          </w:p>
        </w:tc>
        <w:tc>
          <w:tcPr>
            <w:tcW w:w="1923" w:type="dxa"/>
            <w:vMerge w:val="restart"/>
            <w:vAlign w:val="center"/>
          </w:tcPr>
          <w:p w14:paraId="714A2D67" w14:textId="77777777" w:rsidR="009E0D5A" w:rsidRPr="000A6670" w:rsidRDefault="009E0D5A" w:rsidP="00E60A25">
            <w:pPr>
              <w:pStyle w:val="TTableText"/>
              <w:rPr>
                <w:rFonts w:eastAsia="Arial"/>
              </w:rPr>
            </w:pPr>
            <w:r w:rsidRPr="009E0D5A">
              <w:rPr>
                <w:rFonts w:eastAsia="Arial"/>
              </w:rPr>
              <w:t>20 July 2023</w:t>
            </w:r>
          </w:p>
        </w:tc>
        <w:tc>
          <w:tcPr>
            <w:tcW w:w="3105" w:type="dxa"/>
            <w:vAlign w:val="center"/>
          </w:tcPr>
          <w:p w14:paraId="45BCAA46" w14:textId="77777777" w:rsidR="009E0D5A" w:rsidRPr="000A6670" w:rsidRDefault="009E0D5A" w:rsidP="00E60A25">
            <w:pPr>
              <w:pStyle w:val="TTableText"/>
              <w:rPr>
                <w:rFonts w:eastAsia="Arial"/>
              </w:rPr>
            </w:pPr>
            <w:r w:rsidRPr="000A6670">
              <w:rPr>
                <w:rFonts w:eastAsia="Arial"/>
              </w:rPr>
              <w:t xml:space="preserve">House of Commons: </w:t>
            </w:r>
            <w:hyperlink r:id="rId19" w:anchor="undefined" w:history="1">
              <w:r w:rsidRPr="00775876">
                <w:rPr>
                  <w:rStyle w:val="Hyperlink"/>
                  <w:rFonts w:ascii="Palatino Linotype" w:eastAsia="Arial" w:hAnsi="Palatino Linotype" w:cs="Arial"/>
                  <w:szCs w:val="16"/>
                </w:rPr>
                <w:t>Vol. 736 col. 1073</w:t>
              </w:r>
            </w:hyperlink>
          </w:p>
        </w:tc>
      </w:tr>
      <w:tr w:rsidR="009E0D5A" w:rsidRPr="000A6670" w14:paraId="2B8F1D9E" w14:textId="77777777" w:rsidTr="00677278">
        <w:trPr>
          <w:trHeight w:val="231"/>
        </w:trPr>
        <w:tc>
          <w:tcPr>
            <w:tcW w:w="3244" w:type="dxa"/>
            <w:vMerge/>
            <w:vAlign w:val="center"/>
          </w:tcPr>
          <w:p w14:paraId="4B6CAEBC" w14:textId="77777777" w:rsidR="009E0D5A" w:rsidRPr="000A6670" w:rsidRDefault="009E0D5A" w:rsidP="00E60A25">
            <w:pPr>
              <w:pStyle w:val="TTableText"/>
              <w:rPr>
                <w:rFonts w:eastAsia="Arial"/>
              </w:rPr>
            </w:pPr>
          </w:p>
        </w:tc>
        <w:tc>
          <w:tcPr>
            <w:tcW w:w="1923" w:type="dxa"/>
            <w:vMerge/>
            <w:vAlign w:val="center"/>
          </w:tcPr>
          <w:p w14:paraId="23785085" w14:textId="77777777" w:rsidR="009E0D5A" w:rsidRPr="000A6670" w:rsidRDefault="009E0D5A" w:rsidP="00E60A25">
            <w:pPr>
              <w:pStyle w:val="TTableText"/>
              <w:rPr>
                <w:rFonts w:eastAsia="Arial"/>
              </w:rPr>
            </w:pPr>
          </w:p>
        </w:tc>
        <w:tc>
          <w:tcPr>
            <w:tcW w:w="3105" w:type="dxa"/>
            <w:vAlign w:val="center"/>
          </w:tcPr>
          <w:p w14:paraId="59B5B935" w14:textId="77777777" w:rsidR="009E0D5A" w:rsidRPr="000A6670" w:rsidRDefault="009E0D5A" w:rsidP="00E60A25">
            <w:pPr>
              <w:pStyle w:val="TTableText"/>
              <w:rPr>
                <w:rFonts w:eastAsia="Arial"/>
              </w:rPr>
            </w:pPr>
            <w:r w:rsidRPr="009E0D5A">
              <w:rPr>
                <w:rFonts w:eastAsia="Arial"/>
              </w:rPr>
              <w:t xml:space="preserve">House of Lords: </w:t>
            </w:r>
            <w:hyperlink r:id="rId20" w:history="1">
              <w:r w:rsidRPr="00F3024B">
                <w:rPr>
                  <w:rStyle w:val="Hyperlink"/>
                  <w:rFonts w:ascii="Palatino Linotype" w:eastAsia="Arial" w:hAnsi="Palatino Linotype" w:cs="Arial"/>
                  <w:szCs w:val="16"/>
                </w:rPr>
                <w:t>Vol. 831 col. 2498</w:t>
              </w:r>
            </w:hyperlink>
          </w:p>
        </w:tc>
      </w:tr>
    </w:tbl>
    <w:p w14:paraId="2C6FF770" w14:textId="77777777" w:rsidR="009E0D5A" w:rsidRPr="000A6670" w:rsidRDefault="009E0D5A" w:rsidP="009E0D5A">
      <w:pPr>
        <w:widowControl w:val="0"/>
        <w:suppressAutoHyphens/>
        <w:autoSpaceDE w:val="0"/>
        <w:autoSpaceDN w:val="0"/>
        <w:adjustRightInd w:val="0"/>
        <w:spacing w:after="150" w:line="200" w:lineRule="atLeast"/>
        <w:ind w:left="360" w:hanging="360"/>
        <w:textAlignment w:val="center"/>
        <w:rPr>
          <w:rFonts w:ascii="Palatino Linotype" w:hAnsi="Palatino Linotype" w:cs="PalatinoLinotype-Roman"/>
          <w:color w:val="000000"/>
          <w:sz w:val="20"/>
          <w:szCs w:val="24"/>
        </w:rPr>
      </w:pPr>
    </w:p>
    <w:sectPr w:rsidR="009E0D5A" w:rsidRPr="000A6670" w:rsidSect="005B5D58">
      <w:headerReference w:type="even" r:id="rId21"/>
      <w:headerReference w:type="default" r:id="rId22"/>
      <w:footerReference w:type="even" r:id="rId23"/>
      <w:footerReference w:type="default" r:id="rId24"/>
      <w:headerReference w:type="first" r:id="rId25"/>
      <w:footerReference w:type="first" r:id="rId26"/>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363F0" w14:textId="77777777" w:rsidR="00983A58" w:rsidRDefault="00983A58">
      <w:r>
        <w:separator/>
      </w:r>
    </w:p>
    <w:p w14:paraId="64DDCB9F" w14:textId="77777777" w:rsidR="00983A58" w:rsidRDefault="00983A58"/>
    <w:p w14:paraId="2BD98002" w14:textId="77777777" w:rsidR="00983A58" w:rsidRDefault="00983A58"/>
  </w:endnote>
  <w:endnote w:type="continuationSeparator" w:id="0">
    <w:p w14:paraId="62DBA578" w14:textId="77777777" w:rsidR="00983A58" w:rsidRDefault="00983A58">
      <w:r>
        <w:continuationSeparator/>
      </w:r>
    </w:p>
    <w:p w14:paraId="1F67CF20" w14:textId="77777777" w:rsidR="00983A58" w:rsidRDefault="00983A58"/>
    <w:p w14:paraId="6C81D2FE" w14:textId="77777777"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DC7E7"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1AE572"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DF464"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EE73A6">
      <w:rPr>
        <w:noProof/>
      </w:rPr>
      <w:t>12</w:t>
    </w:r>
    <w:r>
      <w:rPr>
        <w:noProof/>
      </w:rPr>
      <w:fldChar w:fldCharType="end"/>
    </w:r>
  </w:p>
  <w:p w14:paraId="4C555AEC"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EE73A6">
      <w:rPr>
        <w:noProof/>
      </w:rPr>
      <w:t>12</w:t>
    </w:r>
    <w:r>
      <w:rPr>
        <w:noProof/>
      </w:rPr>
      <w:fldChar w:fldCharType="end"/>
    </w:r>
  </w:p>
  <w:p w14:paraId="018DEB3A" w14:textId="4162FAE0" w:rsidR="00AE5693" w:rsidRPr="00DE0805" w:rsidRDefault="00AE5693" w:rsidP="009A604A">
    <w:pPr>
      <w:pStyle w:val="StyleStyleENIntroTextLatinPalatinoLinotype-RomanBackg"/>
      <w:rPr>
        <w:rStyle w:val="FooterText"/>
      </w:rPr>
    </w:pPr>
    <w:r w:rsidRPr="009A604A">
      <w:rPr>
        <w:rStyle w:val="FooterText"/>
      </w:rPr>
      <w:t xml:space="preserve">These Explanatory Notes relate to </w:t>
    </w:r>
    <w:r w:rsidR="009A604A" w:rsidRPr="009A604A">
      <w:rPr>
        <w:rStyle w:val="FooterText"/>
      </w:rPr>
      <w:t xml:space="preserve">the Child Support (Enforcement) Act 2023 which received Royal Assent on 20 July 2023 (c. 35).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rsidRPr="00A64BF2" w14:paraId="5968CA14" w14:textId="77777777" w:rsidTr="00A64BF2">
      <w:tc>
        <w:tcPr>
          <w:tcW w:w="4076" w:type="dxa"/>
          <w:shd w:val="clear" w:color="auto" w:fill="auto"/>
        </w:tcPr>
        <w:p w14:paraId="4A18A170" w14:textId="13FF5923" w:rsidR="00AE5693" w:rsidRPr="00A64BF2" w:rsidRDefault="000D2B27" w:rsidP="001E3774">
          <w:pPr>
            <w:pStyle w:val="Footer"/>
          </w:pPr>
          <w:r>
            <w:t>c. 35</w:t>
          </w:r>
          <w:r w:rsidR="00AE5693" w:rsidRPr="00A64BF2">
            <w:t>–EN</w:t>
          </w:r>
        </w:p>
      </w:tc>
      <w:tc>
        <w:tcPr>
          <w:tcW w:w="4077" w:type="dxa"/>
          <w:shd w:val="clear" w:color="auto" w:fill="auto"/>
        </w:tcPr>
        <w:p w14:paraId="2DF63555" w14:textId="26BF8829" w:rsidR="00AE5693" w:rsidRPr="00A64BF2" w:rsidRDefault="00AE5693" w:rsidP="00A64BF2">
          <w:pPr>
            <w:pStyle w:val="Footer"/>
            <w:jc w:val="right"/>
          </w:pPr>
        </w:p>
      </w:tc>
    </w:tr>
  </w:tbl>
  <w:p w14:paraId="241D570E"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3A46C" w14:textId="77777777" w:rsidR="00983A58" w:rsidRDefault="00983A58">
      <w:r>
        <w:separator/>
      </w:r>
    </w:p>
    <w:p w14:paraId="2857A132" w14:textId="77777777" w:rsidR="00983A58" w:rsidRDefault="00983A58"/>
    <w:p w14:paraId="44CFCC76" w14:textId="77777777" w:rsidR="00983A58" w:rsidRDefault="00983A58"/>
  </w:footnote>
  <w:footnote w:type="continuationSeparator" w:id="0">
    <w:p w14:paraId="22A86020" w14:textId="77777777" w:rsidR="00983A58" w:rsidRDefault="00983A58">
      <w:r>
        <w:continuationSeparator/>
      </w:r>
    </w:p>
    <w:p w14:paraId="307C7595" w14:textId="77777777" w:rsidR="00983A58" w:rsidRDefault="00983A58"/>
    <w:p w14:paraId="31B79352" w14:textId="77777777"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C2B5D"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6E8CD"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F0A2E"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220D6B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8A84F2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2204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A4450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6C96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BCAA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FE41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B6CF9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06A1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C656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363D30"/>
    <w:multiLevelType w:val="hybridMultilevel"/>
    <w:tmpl w:val="4C40965E"/>
    <w:lvl w:ilvl="0" w:tplc="0809001B">
      <w:start w:val="1"/>
      <w:numFmt w:val="lowerRoman"/>
      <w:lvlText w:val="%1."/>
      <w:lvlJc w:val="right"/>
      <w:pPr>
        <w:ind w:left="1428" w:hanging="360"/>
      </w:p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95A5E32"/>
    <w:multiLevelType w:val="hybridMultilevel"/>
    <w:tmpl w:val="D8908A76"/>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638455277">
    <w:abstractNumId w:val="12"/>
  </w:num>
  <w:num w:numId="2" w16cid:durableId="1722746199">
    <w:abstractNumId w:val="20"/>
  </w:num>
  <w:num w:numId="3" w16cid:durableId="2133160049">
    <w:abstractNumId w:val="23"/>
  </w:num>
  <w:num w:numId="4" w16cid:durableId="2128498856">
    <w:abstractNumId w:val="22"/>
  </w:num>
  <w:num w:numId="5" w16cid:durableId="140461590">
    <w:abstractNumId w:val="17"/>
  </w:num>
  <w:num w:numId="6" w16cid:durableId="1790539486">
    <w:abstractNumId w:val="24"/>
  </w:num>
  <w:num w:numId="7" w16cid:durableId="2078703162">
    <w:abstractNumId w:val="11"/>
  </w:num>
  <w:num w:numId="8" w16cid:durableId="1180631212">
    <w:abstractNumId w:val="13"/>
  </w:num>
  <w:num w:numId="9" w16cid:durableId="1984046758">
    <w:abstractNumId w:val="21"/>
  </w:num>
  <w:num w:numId="10" w16cid:durableId="1565532524">
    <w:abstractNumId w:val="18"/>
  </w:num>
  <w:num w:numId="11" w16cid:durableId="1588150171">
    <w:abstractNumId w:val="25"/>
  </w:num>
  <w:num w:numId="12" w16cid:durableId="1630865342">
    <w:abstractNumId w:val="17"/>
    <w:lvlOverride w:ilvl="0">
      <w:startOverride w:val="1"/>
    </w:lvlOverride>
  </w:num>
  <w:num w:numId="13" w16cid:durableId="888607694">
    <w:abstractNumId w:val="9"/>
  </w:num>
  <w:num w:numId="14" w16cid:durableId="2023896233">
    <w:abstractNumId w:val="7"/>
  </w:num>
  <w:num w:numId="15" w16cid:durableId="1797411800">
    <w:abstractNumId w:val="6"/>
  </w:num>
  <w:num w:numId="16" w16cid:durableId="1110734810">
    <w:abstractNumId w:val="5"/>
  </w:num>
  <w:num w:numId="17" w16cid:durableId="844250458">
    <w:abstractNumId w:val="4"/>
  </w:num>
  <w:num w:numId="18" w16cid:durableId="1466778104">
    <w:abstractNumId w:val="8"/>
  </w:num>
  <w:num w:numId="19" w16cid:durableId="88042005">
    <w:abstractNumId w:val="3"/>
  </w:num>
  <w:num w:numId="20" w16cid:durableId="1667317370">
    <w:abstractNumId w:val="2"/>
  </w:num>
  <w:num w:numId="21" w16cid:durableId="326903922">
    <w:abstractNumId w:val="1"/>
  </w:num>
  <w:num w:numId="22" w16cid:durableId="1592005071">
    <w:abstractNumId w:val="0"/>
  </w:num>
  <w:num w:numId="23" w16cid:durableId="1402481737">
    <w:abstractNumId w:val="15"/>
  </w:num>
  <w:num w:numId="24" w16cid:durableId="542787604">
    <w:abstractNumId w:val="22"/>
    <w:lvlOverride w:ilvl="0">
      <w:startOverride w:val="1"/>
    </w:lvlOverride>
  </w:num>
  <w:num w:numId="25" w16cid:durableId="2102792288">
    <w:abstractNumId w:val="10"/>
  </w:num>
  <w:num w:numId="26" w16cid:durableId="1260913259">
    <w:abstractNumId w:val="14"/>
  </w:num>
  <w:num w:numId="27" w16cid:durableId="1851289494">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B27"/>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49E6"/>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34DD"/>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751DB"/>
    <w:rsid w:val="002833D1"/>
    <w:rsid w:val="00287AE9"/>
    <w:rsid w:val="002901F5"/>
    <w:rsid w:val="002956CE"/>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C764F"/>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A604A"/>
    <w:rsid w:val="009B0D8E"/>
    <w:rsid w:val="009B2ED0"/>
    <w:rsid w:val="009B4D4E"/>
    <w:rsid w:val="009B662C"/>
    <w:rsid w:val="009C32E2"/>
    <w:rsid w:val="009C5ED4"/>
    <w:rsid w:val="009D1AD9"/>
    <w:rsid w:val="009D52F0"/>
    <w:rsid w:val="009D5753"/>
    <w:rsid w:val="009E0D41"/>
    <w:rsid w:val="009E0D5A"/>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0A25"/>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o:shapelayout v:ext="edit">
      <o:idmap v:ext="edit" data="1"/>
    </o:shapelayout>
  </w:shapeDefaults>
  <w:decimalSymbol w:val="."/>
  <w:listSeparator w:val=","/>
  <w14:docId w14:val="2131722B"/>
  <w15:docId w15:val="{DB7278DB-5CBF-4618-90DE-764286DCB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2956CE"/>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971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3-03-17/debates/4395025E-A771-48F6-95B0-255689AB260B/ChildSupport(Enforcement)Bill" TargetMode="External"/><Relationship Id="rId18" Type="http://schemas.openxmlformats.org/officeDocument/2006/relationships/hyperlink" Target="https://hansard.parliament.uk/Lords/2023-07-14/debates/E469D58C-AC45-4881-B24B-269057E6DE5F/ChildSupport(Enforcement)Bill"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hansard.parliament.uk/commons/2023-03-01/debates/52b49271-3a84-4cb6-9683-484548c337b6/ChildSupport(Enforcement)Bill" TargetMode="External"/><Relationship Id="rId17" Type="http://schemas.openxmlformats.org/officeDocument/2006/relationships/hyperlink" Target="https://hansard.parliament.uk/lords/2023-06-19/debates/33742461-EBB8-4C52-9968-243B6E1EE389/ChildSupport(Enforcement)Bill"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hansard.parliament.uk/Lords/2023-05-19/debates/7702D381-2BF2-4AD0-9410-BD33E03FCF9F/ChildSupport(Enforcement)Bill" TargetMode="External"/><Relationship Id="rId20" Type="http://schemas.openxmlformats.org/officeDocument/2006/relationships/hyperlink" Target="https://hansard.parliament.uk/Lords/2023-07-20/debates/B4D727F5-C825-47E0-84E6-FAD54F417244/RoyalAsse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2-12-09/debates/C787785F-B63E-422A-81BB-A3F3534B4575/ChildSupport(Enforcement)Bill"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hansard.parliament.uk/lords/2023-03-20/debates/D63662B4-E788-4959-8570-518C0B675E2A/ChildSupport(Enforcement)Bil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hansard.parliament.uk/Commons/2022-06-15/debates/10ed5b44-97ae-46cb-ab4c-f87f0aa7c33c/CommonsChamber" TargetMode="External"/><Relationship Id="rId19" Type="http://schemas.openxmlformats.org/officeDocument/2006/relationships/hyperlink" Target="https://hansard.parliament.uk/commons/2023-07-20" TargetMode="External"/><Relationship Id="rId4" Type="http://schemas.openxmlformats.org/officeDocument/2006/relationships/styles" Target="styles.xml"/><Relationship Id="rId9" Type="http://schemas.openxmlformats.org/officeDocument/2006/relationships/hyperlink" Target="https://publications.parliament.uk/pa/bills/cbill/58-03/0027/220027.pdf" TargetMode="External"/><Relationship Id="rId14" Type="http://schemas.openxmlformats.org/officeDocument/2006/relationships/hyperlink" Target="https://bills.parliament.uk/publications/50388/documents/3163"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2147</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14795</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9</cp:revision>
  <cp:lastPrinted>2016-01-06T10:34:00Z</cp:lastPrinted>
  <dcterms:created xsi:type="dcterms:W3CDTF">2023-08-10T11:24:00Z</dcterms:created>
  <dcterms:modified xsi:type="dcterms:W3CDTF">2023-08-22T10:26:00Z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2023-08-10T11:24:47Z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19b502bf-36b6-437e-b0d6-93bff3583d4d</vt:lpwstr>
  </property>
  <property fmtid="{D5CDD505-2E9C-101B-9397-08002B2CF9AE}" pid="8" name="MSIP_Label_61c22e59-6e76-40e7-9277-37c464fc6354_ContentBits">
    <vt:lpwstr>0</vt:lpwstr>
  </property>
</Properties>
</file>