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19B6" w14:textId="2A84853D" w:rsidR="00E718E1" w:rsidRPr="00CA4237" w:rsidRDefault="00B60F75"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271F13">
            <w:rPr>
              <w:color w:val="auto"/>
              <w:lang w:val="en-GB"/>
            </w:rPr>
            <w:t>Arbitration</w:t>
          </w:r>
        </w:sdtContent>
      </w:sdt>
      <w:r w:rsidR="00533E5B">
        <w:rPr>
          <w:color w:val="auto"/>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2E2D47">
            <w:rPr>
              <w:color w:val="auto"/>
              <w:lang w:val="en-GB"/>
            </w:rPr>
            <w:t>Act</w:t>
          </w:r>
        </w:sdtContent>
      </w:sdt>
      <w:r w:rsidR="00630235">
        <w:rPr>
          <w:color w:val="auto"/>
          <w:lang w:val="en-GB"/>
        </w:rPr>
        <w:t xml:space="preserve"> </w:t>
      </w:r>
      <w:r w:rsidR="003114D8">
        <w:rPr>
          <w:color w:val="auto"/>
          <w:lang w:val="en-GB"/>
        </w:rPr>
        <w:t>2025</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2F7B11C3" w:rsidR="00E718E1" w:rsidRPr="00E51AB6" w:rsidRDefault="00E718E1" w:rsidP="00146FE0">
      <w:pPr>
        <w:pStyle w:val="StyleStyleENIntroTextLatinPalatinoLinotype-RomanBackg"/>
        <w:rPr>
          <w:color w:val="auto"/>
        </w:rPr>
      </w:pPr>
      <w:r w:rsidRPr="00E51AB6">
        <w:rPr>
          <w:color w:val="auto"/>
        </w:rPr>
        <w:t>These Explanatory Notes re</w:t>
      </w:r>
      <w:r w:rsidR="007959B1" w:rsidRPr="00E51AB6">
        <w:rPr>
          <w:color w:val="auto"/>
        </w:rPr>
        <w:t>l</w:t>
      </w:r>
      <w:r w:rsidRPr="00E51AB6">
        <w:rPr>
          <w:color w:val="auto"/>
        </w:rPr>
        <w:t>ate to the</w:t>
      </w:r>
      <w:r w:rsidR="00C90D4A" w:rsidRPr="00E51AB6">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271F13" w:rsidRPr="00E51AB6">
            <w:rPr>
              <w:rStyle w:val="ENIntroTextChar"/>
              <w:rFonts w:ascii="Palatino Linotype" w:hAnsi="Palatino Linotype"/>
              <w:color w:val="auto"/>
              <w:lang w:val="en-GB"/>
            </w:rPr>
            <w:t>Arbitration</w:t>
          </w:r>
        </w:sdtContent>
      </w:sdt>
      <w:r w:rsidR="00533E5B">
        <w:rPr>
          <w:color w:val="auto"/>
        </w:rPr>
        <w:t xml:space="preserve"> </w:t>
      </w:r>
      <w:sdt>
        <w:sdtPr>
          <w:rPr>
            <w:color w:val="auto"/>
          </w:rPr>
          <w:alias w:val="BillAct"/>
          <w:tag w:val="BillAct"/>
          <w:id w:val="22676691"/>
          <w:lock w:val="sdtLocked"/>
          <w:placeholder>
            <w:docPart w:val="AA6E0A2FDC944D3F973BC56C7811C961"/>
          </w:placeholder>
        </w:sdtPr>
        <w:sdtEndPr/>
        <w:sdtContent>
          <w:r w:rsidR="002E2D47">
            <w:rPr>
              <w:color w:val="auto"/>
            </w:rPr>
            <w:t>Act</w:t>
          </w:r>
        </w:sdtContent>
      </w:sdt>
      <w:r w:rsidR="00444E06" w:rsidRPr="00E51AB6">
        <w:rPr>
          <w:color w:val="auto"/>
        </w:rPr>
        <w:t xml:space="preserve"> </w:t>
      </w:r>
      <w:r w:rsidR="003114D8">
        <w:rPr>
          <w:color w:val="auto"/>
        </w:rPr>
        <w:t xml:space="preserve">2025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2E2D47">
            <w:rPr>
              <w:color w:val="auto"/>
            </w:rPr>
            <w:t>which received Royal Assent</w:t>
          </w:r>
        </w:sdtContent>
      </w:sdt>
      <w:r w:rsidRPr="00E51AB6">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5-02-24T00:00:00Z">
            <w:dateFormat w:val="d MMMM yyyy"/>
            <w:lid w:val="en-GB"/>
            <w:storeMappedDataAs w:val="dateTime"/>
            <w:calendar w:val="gregorian"/>
          </w:date>
        </w:sdtPr>
        <w:sdtEndPr/>
        <w:sdtContent>
          <w:r w:rsidR="002E2D47">
            <w:rPr>
              <w:color w:val="auto"/>
              <w:lang w:val="en-GB"/>
            </w:rPr>
            <w:t>24 February 2025</w:t>
          </w:r>
        </w:sdtContent>
      </w:sdt>
      <w:r w:rsidRPr="00E51AB6">
        <w:rPr>
          <w:color w:val="auto"/>
        </w:rPr>
        <w:t xml:space="preserve"> (</w:t>
      </w:r>
      <w:sdt>
        <w:sdtPr>
          <w:rPr>
            <w:color w:val="auto"/>
          </w:rPr>
          <w:alias w:val="BNumber"/>
          <w:tag w:val="BNumber"/>
          <w:id w:val="15540180"/>
          <w:lock w:val="sdtLocked"/>
          <w:placeholder>
            <w:docPart w:val="246ADE67FC014772B2EF02DA894C34DC"/>
          </w:placeholder>
        </w:sdtPr>
        <w:sdtEndPr/>
        <w:sdtContent>
          <w:r w:rsidR="002E2D47">
            <w:rPr>
              <w:color w:val="auto"/>
            </w:rPr>
            <w:t>c.</w:t>
          </w:r>
        </w:sdtContent>
      </w:sdt>
      <w:r w:rsidR="00E151B3" w:rsidRPr="00E51AB6">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2E2D47">
            <w:rPr>
              <w:color w:val="auto"/>
            </w:rPr>
            <w:t>4</w:t>
          </w:r>
        </w:sdtContent>
      </w:sdt>
      <w:r w:rsidR="00782D13" w:rsidRPr="00E51AB6">
        <w:rPr>
          <w:color w:val="auto"/>
        </w:rPr>
        <w:t>).</w:t>
      </w:r>
      <w:r w:rsidR="005F4902" w:rsidRPr="00E51AB6">
        <w:rPr>
          <w:color w:val="auto"/>
        </w:rPr>
        <w:t xml:space="preserve"> </w:t>
      </w:r>
    </w:p>
    <w:p w14:paraId="24491278" w14:textId="4909A754" w:rsidR="00E718E1" w:rsidRPr="00AE5693" w:rsidRDefault="00E718E1" w:rsidP="00055355">
      <w:pPr>
        <w:pStyle w:val="StyleENIntroTextBulletedLatinPalatinoLinotype-Roman"/>
        <w:jc w:val="both"/>
      </w:pPr>
      <w:r w:rsidRPr="3BF333A6">
        <w:rPr>
          <w:color w:val="auto"/>
          <w:lang w:val="en-GB"/>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445CB3" w:rsidRPr="3BF333A6">
            <w:rPr>
              <w:color w:val="auto"/>
              <w:lang w:val="en-GB"/>
            </w:rPr>
            <w:t>prepared by the Ministry of Justice</w:t>
          </w:r>
        </w:sdtContent>
      </w:sdt>
      <w:r w:rsidRPr="3BF333A6">
        <w:rPr>
          <w:color w:val="auto"/>
          <w:lang w:val="en-GB"/>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2E2D47">
            <w:rPr>
              <w:color w:val="auto"/>
              <w:lang w:val="en-GB"/>
            </w:rPr>
            <w:t>in understanding the Act</w:t>
          </w:r>
        </w:sdtContent>
      </w:sdt>
      <w:r w:rsidRPr="3BF333A6">
        <w:rPr>
          <w:color w:val="auto"/>
          <w:lang w:val="en-GB"/>
        </w:rPr>
        <w:t>. They do not form part of the</w:t>
      </w:r>
      <w:r w:rsidRPr="3BF333A6">
        <w:rPr>
          <w:lang w:val="en-GB"/>
        </w:rPr>
        <w:t xml:space="preserve"> </w:t>
      </w:r>
      <w:sdt>
        <w:sdtPr>
          <w:alias w:val="BillAct3"/>
          <w:tag w:val="BillAct3"/>
          <w:id w:val="22676698"/>
          <w:lock w:val="sdtLocked"/>
          <w:placeholder>
            <w:docPart w:val="AA6E0A2FDC944D3F973BC56C7811C961"/>
          </w:placeholder>
        </w:sdtPr>
        <w:sdtEndPr/>
        <w:sdtContent>
          <w:r w:rsidR="002E2D47">
            <w:rPr>
              <w:lang w:val="en-GB"/>
            </w:rPr>
            <w:t>Act</w:t>
          </w:r>
        </w:sdtContent>
      </w:sdt>
      <w:r w:rsidR="002E2D47">
        <w:rPr>
          <w:lang w:val="en-GB"/>
        </w:rPr>
        <w:t xml:space="preserve"> </w:t>
      </w:r>
      <w:r w:rsidRPr="3BF333A6">
        <w:rPr>
          <w:lang w:val="en-GB"/>
        </w:rPr>
        <w:t>and have not been endorsed by Parliament.</w:t>
      </w:r>
    </w:p>
    <w:p w14:paraId="22565ACA" w14:textId="389E2C65" w:rsidR="00FD6AE0" w:rsidRPr="00AE5693" w:rsidRDefault="00D063E5" w:rsidP="00055355">
      <w:pPr>
        <w:pStyle w:val="StyleENIntroTextBulletedLatinPalatinoLinotype-Roman"/>
        <w:jc w:val="both"/>
      </w:pPr>
      <w:r w:rsidRPr="3BF333A6">
        <w:rPr>
          <w:lang w:val="en-GB"/>
        </w:rPr>
        <w:t xml:space="preserve">These </w:t>
      </w:r>
      <w:r w:rsidR="004D14CE" w:rsidRPr="3BF333A6">
        <w:rPr>
          <w:lang w:val="en-GB"/>
        </w:rPr>
        <w:t xml:space="preserve">Explanatory </w:t>
      </w:r>
      <w:r w:rsidRPr="3BF333A6">
        <w:rPr>
          <w:lang w:val="en-GB"/>
        </w:rPr>
        <w:t>N</w:t>
      </w:r>
      <w:r w:rsidR="00FD6AE0" w:rsidRPr="3BF333A6">
        <w:rPr>
          <w:lang w:val="en-GB"/>
        </w:rPr>
        <w:t xml:space="preserve">otes explain what each part of the </w:t>
      </w:r>
      <w:sdt>
        <w:sdtPr>
          <w:alias w:val="BillAct4"/>
          <w:tag w:val="BillAct4"/>
          <w:id w:val="22676700"/>
          <w:lock w:val="sdtLocked"/>
          <w:placeholder>
            <w:docPart w:val="AA6E0A2FDC944D3F973BC56C7811C961"/>
          </w:placeholder>
        </w:sdtPr>
        <w:sdtEndPr/>
        <w:sdtContent>
          <w:r w:rsidR="002E2D47">
            <w:rPr>
              <w:lang w:val="en-GB"/>
            </w:rPr>
            <w:t>Act</w:t>
          </w:r>
        </w:sdtContent>
      </w:sdt>
      <w:r w:rsidR="00F4644B" w:rsidRPr="3BF333A6">
        <w:rPr>
          <w:lang w:val="en-GB"/>
        </w:rPr>
        <w:t xml:space="preserve"> </w:t>
      </w:r>
      <w:r w:rsidR="00FD6AE0" w:rsidRPr="3BF333A6">
        <w:rPr>
          <w:lang w:val="en-GB"/>
        </w:rPr>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2E2D47">
            <w:rPr>
              <w:lang w:val="en-GB"/>
            </w:rPr>
            <w:t>Act</w:t>
          </w:r>
        </w:sdtContent>
      </w:sdt>
      <w:r w:rsidR="00F4644B" w:rsidRPr="3BF333A6">
        <w:rPr>
          <w:lang w:val="en-GB"/>
        </w:rPr>
        <w:t xml:space="preserve"> </w:t>
      </w:r>
      <w:r w:rsidR="00FD6AE0" w:rsidRPr="3BF333A6">
        <w:rPr>
          <w:lang w:val="en-GB"/>
        </w:rPr>
        <w:t xml:space="preserve">will affect existing legislation in this area. </w:t>
      </w:r>
    </w:p>
    <w:p w14:paraId="65E5BF03" w14:textId="13A346CB" w:rsidR="00E718E1" w:rsidRPr="00146FE0" w:rsidRDefault="00E718E1" w:rsidP="00055355">
      <w:pPr>
        <w:pStyle w:val="StyleENIntroTextBulletedLatinPalatinoLinotype-Roman"/>
        <w:jc w:val="both"/>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2E2D47">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2E2D47">
            <w:t>Act</w:t>
          </w:r>
        </w:sdtContent>
      </w:sdt>
      <w:r w:rsidR="005D36BD" w:rsidRPr="00146FE0">
        <w:t>.</w:t>
      </w: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rPr>
          <w:id w:val="21846932"/>
          <w:lock w:val="sdtContentLocked"/>
          <w:placeholder>
            <w:docPart w:val="77D4665386684680939F5D96B66B7879"/>
          </w:placeholder>
          <w:group/>
        </w:sdtPr>
        <w:sdtEndPr/>
        <w:sdtContent>
          <w:tr w:rsidR="00EC4FF9" w:rsidRPr="00AE5693" w14:paraId="19159E92" w14:textId="77777777" w:rsidTr="00EC4FF9">
            <w:tc>
              <w:tcPr>
                <w:tcW w:w="4643" w:type="dxa"/>
              </w:tcPr>
              <w:p w14:paraId="0C6D6433" w14:textId="77777777" w:rsidR="00EC4FF9" w:rsidRPr="00AE5693" w:rsidRDefault="00EC4FF9" w:rsidP="00C11F24">
                <w:pPr>
                  <w:pStyle w:val="StyleTOC1Bold"/>
                  <w:jc w:val="left"/>
                </w:pPr>
                <w:r w:rsidRPr="00C11F24">
                  <w:rPr>
                    <w:b/>
                    <w:bCs w:val="0"/>
                  </w:rPr>
                  <w:t>Subject</w:t>
                </w:r>
              </w:p>
            </w:tc>
            <w:tc>
              <w:tcPr>
                <w:tcW w:w="4644" w:type="dxa"/>
              </w:tcPr>
              <w:p w14:paraId="5BA9B871" w14:textId="77777777" w:rsidR="00EC4FF9" w:rsidRPr="00AE5693" w:rsidRDefault="00EC4FF9" w:rsidP="00E51AB6">
                <w:pPr>
                  <w:pStyle w:val="StyleTOC1BoldRight"/>
                </w:pPr>
                <w:r w:rsidRPr="00C11F24">
                  <w:rPr>
                    <w:b/>
                    <w:bCs w:val="0"/>
                  </w:rPr>
                  <w:t>Page of these Notes</w:t>
                </w:r>
              </w:p>
            </w:tc>
          </w:tr>
        </w:sdtContent>
      </w:sdt>
    </w:tbl>
    <w:p w14:paraId="03EFD079" w14:textId="1B32011F" w:rsidR="000B2DAF" w:rsidRDefault="000B2DAF">
      <w:pPr>
        <w:pStyle w:val="TOC1"/>
        <w:rPr>
          <w:rFonts w:asciiTheme="minorHAnsi" w:hAnsiTheme="minorHAnsi"/>
          <w:b w:val="0"/>
          <w:bCs w:val="0"/>
          <w:noProof/>
          <w:kern w:val="2"/>
          <w:sz w:val="24"/>
          <w:szCs w:val="24"/>
          <w:lang w:eastAsia="en-GB" w:bidi="ar-SA"/>
          <w14:ligatures w14:val="standardContextual"/>
        </w:rPr>
      </w:pPr>
      <w:r>
        <w:fldChar w:fldCharType="begin"/>
      </w:r>
      <w:r>
        <w:instrText xml:space="preserve"> TOC \o "1-1" \h \z \u </w:instrText>
      </w:r>
      <w:r>
        <w:fldChar w:fldCharType="separate"/>
      </w:r>
      <w:hyperlink w:anchor="_Toc194071830" w:history="1">
        <w:r w:rsidRPr="00EA5D0F">
          <w:rPr>
            <w:rStyle w:val="Hyperlink"/>
            <w:noProof/>
          </w:rPr>
          <w:t>Overview of the Act</w:t>
        </w:r>
        <w:r>
          <w:rPr>
            <w:noProof/>
            <w:webHidden/>
          </w:rPr>
          <w:tab/>
        </w:r>
        <w:r>
          <w:rPr>
            <w:noProof/>
            <w:webHidden/>
          </w:rPr>
          <w:fldChar w:fldCharType="begin"/>
        </w:r>
        <w:r>
          <w:rPr>
            <w:noProof/>
            <w:webHidden/>
          </w:rPr>
          <w:instrText xml:space="preserve"> PAGEREF _Toc194071830 \h </w:instrText>
        </w:r>
        <w:r>
          <w:rPr>
            <w:noProof/>
            <w:webHidden/>
          </w:rPr>
        </w:r>
        <w:r>
          <w:rPr>
            <w:noProof/>
            <w:webHidden/>
          </w:rPr>
          <w:fldChar w:fldCharType="separate"/>
        </w:r>
        <w:r>
          <w:rPr>
            <w:noProof/>
            <w:webHidden/>
          </w:rPr>
          <w:t>3</w:t>
        </w:r>
        <w:r>
          <w:rPr>
            <w:noProof/>
            <w:webHidden/>
          </w:rPr>
          <w:fldChar w:fldCharType="end"/>
        </w:r>
      </w:hyperlink>
    </w:p>
    <w:p w14:paraId="221D6715" w14:textId="65984BDE"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1" w:history="1">
        <w:r w:rsidRPr="00EA5D0F">
          <w:rPr>
            <w:rStyle w:val="Hyperlink"/>
            <w:noProof/>
          </w:rPr>
          <w:t>Policy background</w:t>
        </w:r>
        <w:r>
          <w:rPr>
            <w:noProof/>
            <w:webHidden/>
          </w:rPr>
          <w:tab/>
        </w:r>
        <w:r>
          <w:rPr>
            <w:noProof/>
            <w:webHidden/>
          </w:rPr>
          <w:fldChar w:fldCharType="begin"/>
        </w:r>
        <w:r>
          <w:rPr>
            <w:noProof/>
            <w:webHidden/>
          </w:rPr>
          <w:instrText xml:space="preserve"> PAGEREF _Toc194071831 \h </w:instrText>
        </w:r>
        <w:r>
          <w:rPr>
            <w:noProof/>
            <w:webHidden/>
          </w:rPr>
        </w:r>
        <w:r>
          <w:rPr>
            <w:noProof/>
            <w:webHidden/>
          </w:rPr>
          <w:fldChar w:fldCharType="separate"/>
        </w:r>
        <w:r>
          <w:rPr>
            <w:noProof/>
            <w:webHidden/>
          </w:rPr>
          <w:t>3</w:t>
        </w:r>
        <w:r>
          <w:rPr>
            <w:noProof/>
            <w:webHidden/>
          </w:rPr>
          <w:fldChar w:fldCharType="end"/>
        </w:r>
      </w:hyperlink>
    </w:p>
    <w:p w14:paraId="5D086226" w14:textId="4A39EEF5"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2" w:history="1">
        <w:r w:rsidRPr="00EA5D0F">
          <w:rPr>
            <w:rStyle w:val="Hyperlink"/>
            <w:noProof/>
          </w:rPr>
          <w:t>Legal background</w:t>
        </w:r>
        <w:r>
          <w:rPr>
            <w:noProof/>
            <w:webHidden/>
          </w:rPr>
          <w:tab/>
        </w:r>
        <w:r>
          <w:rPr>
            <w:noProof/>
            <w:webHidden/>
          </w:rPr>
          <w:fldChar w:fldCharType="begin"/>
        </w:r>
        <w:r>
          <w:rPr>
            <w:noProof/>
            <w:webHidden/>
          </w:rPr>
          <w:instrText xml:space="preserve"> PAGEREF _Toc194071832 \h </w:instrText>
        </w:r>
        <w:r>
          <w:rPr>
            <w:noProof/>
            <w:webHidden/>
          </w:rPr>
        </w:r>
        <w:r>
          <w:rPr>
            <w:noProof/>
            <w:webHidden/>
          </w:rPr>
          <w:fldChar w:fldCharType="separate"/>
        </w:r>
        <w:r>
          <w:rPr>
            <w:noProof/>
            <w:webHidden/>
          </w:rPr>
          <w:t>4</w:t>
        </w:r>
        <w:r>
          <w:rPr>
            <w:noProof/>
            <w:webHidden/>
          </w:rPr>
          <w:fldChar w:fldCharType="end"/>
        </w:r>
      </w:hyperlink>
    </w:p>
    <w:p w14:paraId="25AA3D9F" w14:textId="75EA6D3C"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3" w:history="1">
        <w:r w:rsidRPr="00EA5D0F">
          <w:rPr>
            <w:rStyle w:val="Hyperlink"/>
            <w:noProof/>
          </w:rPr>
          <w:t>Territorial extent and application</w:t>
        </w:r>
        <w:r>
          <w:rPr>
            <w:noProof/>
            <w:webHidden/>
          </w:rPr>
          <w:tab/>
        </w:r>
        <w:r>
          <w:rPr>
            <w:noProof/>
            <w:webHidden/>
          </w:rPr>
          <w:fldChar w:fldCharType="begin"/>
        </w:r>
        <w:r>
          <w:rPr>
            <w:noProof/>
            <w:webHidden/>
          </w:rPr>
          <w:instrText xml:space="preserve"> PAGEREF _Toc194071833 \h </w:instrText>
        </w:r>
        <w:r>
          <w:rPr>
            <w:noProof/>
            <w:webHidden/>
          </w:rPr>
        </w:r>
        <w:r>
          <w:rPr>
            <w:noProof/>
            <w:webHidden/>
          </w:rPr>
          <w:fldChar w:fldCharType="separate"/>
        </w:r>
        <w:r>
          <w:rPr>
            <w:noProof/>
            <w:webHidden/>
          </w:rPr>
          <w:t>5</w:t>
        </w:r>
        <w:r>
          <w:rPr>
            <w:noProof/>
            <w:webHidden/>
          </w:rPr>
          <w:fldChar w:fldCharType="end"/>
        </w:r>
      </w:hyperlink>
    </w:p>
    <w:p w14:paraId="0F0AD33B" w14:textId="5A0D33AB"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4" w:history="1">
        <w:r w:rsidRPr="00EA5D0F">
          <w:rPr>
            <w:rStyle w:val="Hyperlink"/>
            <w:noProof/>
          </w:rPr>
          <w:t>Commentary on provisions of Act</w:t>
        </w:r>
        <w:r>
          <w:rPr>
            <w:noProof/>
            <w:webHidden/>
          </w:rPr>
          <w:tab/>
        </w:r>
        <w:r>
          <w:rPr>
            <w:noProof/>
            <w:webHidden/>
          </w:rPr>
          <w:fldChar w:fldCharType="begin"/>
        </w:r>
        <w:r>
          <w:rPr>
            <w:noProof/>
            <w:webHidden/>
          </w:rPr>
          <w:instrText xml:space="preserve"> PAGEREF _Toc194071834 \h </w:instrText>
        </w:r>
        <w:r>
          <w:rPr>
            <w:noProof/>
            <w:webHidden/>
          </w:rPr>
        </w:r>
        <w:r>
          <w:rPr>
            <w:noProof/>
            <w:webHidden/>
          </w:rPr>
          <w:fldChar w:fldCharType="separate"/>
        </w:r>
        <w:r>
          <w:rPr>
            <w:noProof/>
            <w:webHidden/>
          </w:rPr>
          <w:t>6</w:t>
        </w:r>
        <w:r>
          <w:rPr>
            <w:noProof/>
            <w:webHidden/>
          </w:rPr>
          <w:fldChar w:fldCharType="end"/>
        </w:r>
      </w:hyperlink>
    </w:p>
    <w:p w14:paraId="2D564970" w14:textId="4AB146B1"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5" w:history="1">
        <w:r w:rsidRPr="00EA5D0F">
          <w:rPr>
            <w:rStyle w:val="Hyperlink"/>
            <w:noProof/>
          </w:rPr>
          <w:t>Commencement</w:t>
        </w:r>
        <w:r>
          <w:rPr>
            <w:noProof/>
            <w:webHidden/>
          </w:rPr>
          <w:tab/>
        </w:r>
        <w:r>
          <w:rPr>
            <w:noProof/>
            <w:webHidden/>
          </w:rPr>
          <w:fldChar w:fldCharType="begin"/>
        </w:r>
        <w:r>
          <w:rPr>
            <w:noProof/>
            <w:webHidden/>
          </w:rPr>
          <w:instrText xml:space="preserve"> PAGEREF _Toc194071835 \h </w:instrText>
        </w:r>
        <w:r>
          <w:rPr>
            <w:noProof/>
            <w:webHidden/>
          </w:rPr>
        </w:r>
        <w:r>
          <w:rPr>
            <w:noProof/>
            <w:webHidden/>
          </w:rPr>
          <w:fldChar w:fldCharType="separate"/>
        </w:r>
        <w:r>
          <w:rPr>
            <w:noProof/>
            <w:webHidden/>
          </w:rPr>
          <w:t>11</w:t>
        </w:r>
        <w:r>
          <w:rPr>
            <w:noProof/>
            <w:webHidden/>
          </w:rPr>
          <w:fldChar w:fldCharType="end"/>
        </w:r>
      </w:hyperlink>
    </w:p>
    <w:p w14:paraId="624C20B5" w14:textId="07784B63"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6" w:history="1">
        <w:r w:rsidRPr="00EA5D0F">
          <w:rPr>
            <w:rStyle w:val="Hyperlink"/>
            <w:noProof/>
          </w:rPr>
          <w:t>Related documents</w:t>
        </w:r>
        <w:r>
          <w:rPr>
            <w:noProof/>
            <w:webHidden/>
          </w:rPr>
          <w:tab/>
        </w:r>
        <w:r>
          <w:rPr>
            <w:noProof/>
            <w:webHidden/>
          </w:rPr>
          <w:fldChar w:fldCharType="begin"/>
        </w:r>
        <w:r>
          <w:rPr>
            <w:noProof/>
            <w:webHidden/>
          </w:rPr>
          <w:instrText xml:space="preserve"> PAGEREF _Toc194071836 \h </w:instrText>
        </w:r>
        <w:r>
          <w:rPr>
            <w:noProof/>
            <w:webHidden/>
          </w:rPr>
        </w:r>
        <w:r>
          <w:rPr>
            <w:noProof/>
            <w:webHidden/>
          </w:rPr>
          <w:fldChar w:fldCharType="separate"/>
        </w:r>
        <w:r>
          <w:rPr>
            <w:noProof/>
            <w:webHidden/>
          </w:rPr>
          <w:t>11</w:t>
        </w:r>
        <w:r>
          <w:rPr>
            <w:noProof/>
            <w:webHidden/>
          </w:rPr>
          <w:fldChar w:fldCharType="end"/>
        </w:r>
      </w:hyperlink>
    </w:p>
    <w:p w14:paraId="1D8FA37C" w14:textId="61903EB6"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7" w:history="1">
        <w:r w:rsidRPr="00EA5D0F">
          <w:rPr>
            <w:rStyle w:val="Hyperlink"/>
            <w:noProof/>
          </w:rPr>
          <w:t>Annex A – Hansard References</w:t>
        </w:r>
        <w:r>
          <w:rPr>
            <w:noProof/>
            <w:webHidden/>
          </w:rPr>
          <w:tab/>
        </w:r>
        <w:r>
          <w:rPr>
            <w:noProof/>
            <w:webHidden/>
          </w:rPr>
          <w:fldChar w:fldCharType="begin"/>
        </w:r>
        <w:r>
          <w:rPr>
            <w:noProof/>
            <w:webHidden/>
          </w:rPr>
          <w:instrText xml:space="preserve"> PAGEREF _Toc194071837 \h </w:instrText>
        </w:r>
        <w:r>
          <w:rPr>
            <w:noProof/>
            <w:webHidden/>
          </w:rPr>
        </w:r>
        <w:r>
          <w:rPr>
            <w:noProof/>
            <w:webHidden/>
          </w:rPr>
          <w:fldChar w:fldCharType="separate"/>
        </w:r>
        <w:r>
          <w:rPr>
            <w:noProof/>
            <w:webHidden/>
          </w:rPr>
          <w:t>12</w:t>
        </w:r>
        <w:r>
          <w:rPr>
            <w:noProof/>
            <w:webHidden/>
          </w:rPr>
          <w:fldChar w:fldCharType="end"/>
        </w:r>
      </w:hyperlink>
    </w:p>
    <w:p w14:paraId="2A7F9CD2" w14:textId="2FC66AE9" w:rsidR="000B2DAF" w:rsidRDefault="000B2DAF">
      <w:pPr>
        <w:pStyle w:val="TOC1"/>
        <w:rPr>
          <w:rFonts w:asciiTheme="minorHAnsi" w:hAnsiTheme="minorHAnsi"/>
          <w:b w:val="0"/>
          <w:bCs w:val="0"/>
          <w:noProof/>
          <w:kern w:val="2"/>
          <w:sz w:val="24"/>
          <w:szCs w:val="24"/>
          <w:lang w:eastAsia="en-GB" w:bidi="ar-SA"/>
          <w14:ligatures w14:val="standardContextual"/>
        </w:rPr>
      </w:pPr>
      <w:hyperlink w:anchor="_Toc194071838" w:history="1">
        <w:r w:rsidRPr="00EA5D0F">
          <w:rPr>
            <w:rStyle w:val="Hyperlink"/>
            <w:noProof/>
          </w:rPr>
          <w:t>Annex B – Progress of Bill Table</w:t>
        </w:r>
        <w:r>
          <w:rPr>
            <w:noProof/>
            <w:webHidden/>
          </w:rPr>
          <w:tab/>
        </w:r>
        <w:r>
          <w:rPr>
            <w:noProof/>
            <w:webHidden/>
          </w:rPr>
          <w:fldChar w:fldCharType="begin"/>
        </w:r>
        <w:r>
          <w:rPr>
            <w:noProof/>
            <w:webHidden/>
          </w:rPr>
          <w:instrText xml:space="preserve"> PAGEREF _Toc194071838 \h </w:instrText>
        </w:r>
        <w:r>
          <w:rPr>
            <w:noProof/>
            <w:webHidden/>
          </w:rPr>
        </w:r>
        <w:r>
          <w:rPr>
            <w:noProof/>
            <w:webHidden/>
          </w:rPr>
          <w:fldChar w:fldCharType="separate"/>
        </w:r>
        <w:r>
          <w:rPr>
            <w:noProof/>
            <w:webHidden/>
          </w:rPr>
          <w:t>13</w:t>
        </w:r>
        <w:r>
          <w:rPr>
            <w:noProof/>
            <w:webHidden/>
          </w:rPr>
          <w:fldChar w:fldCharType="end"/>
        </w:r>
      </w:hyperlink>
    </w:p>
    <w:p w14:paraId="39B2E5D3" w14:textId="7CAFF6C8" w:rsidR="00E718E1" w:rsidRPr="00CA4237" w:rsidRDefault="000B2DAF" w:rsidP="005E1288">
      <w:pPr>
        <w:pStyle w:val="Heading1"/>
        <w:keepNext/>
      </w:pPr>
      <w:r>
        <w:rPr>
          <w:rFonts w:ascii="Palatino Linotype" w:eastAsiaTheme="minorEastAsia" w:hAnsi="Palatino Linotype" w:cstheme="minorBidi"/>
          <w:color w:val="auto"/>
          <w:sz w:val="28"/>
          <w:szCs w:val="20"/>
        </w:rPr>
        <w:fldChar w:fldCharType="end"/>
      </w:r>
      <w:r w:rsidR="000815DA" w:rsidRPr="00CA4237">
        <w:br w:type="page"/>
      </w:r>
      <w:bookmarkStart w:id="0" w:name="_Toc416612126"/>
      <w:bookmarkStart w:id="1" w:name="_Toc410653883"/>
      <w:bookmarkStart w:id="2" w:name="_Toc194071830"/>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1"/>
              <w:r w:rsidR="002E2D47">
                <w:t>Act</w:t>
              </w:r>
            </w:sdtContent>
          </w:sdt>
        </w:sdtContent>
      </w:sdt>
      <w:bookmarkEnd w:id="0"/>
      <w:bookmarkEnd w:id="3"/>
      <w:bookmarkEnd w:id="4"/>
      <w:bookmarkEnd w:id="2"/>
    </w:p>
    <w:p w14:paraId="039EFB10" w14:textId="31F859D4" w:rsidR="00271F13" w:rsidRPr="00CA4237" w:rsidRDefault="00271F13" w:rsidP="002F4FEF">
      <w:pPr>
        <w:pStyle w:val="ParaNumbered"/>
        <w:ind w:left="714" w:hanging="357"/>
        <w:jc w:val="both"/>
        <w:rPr>
          <w:lang w:val="en-GB"/>
        </w:rPr>
      </w:pPr>
      <w:bookmarkStart w:id="5" w:name="_Toc410653884"/>
      <w:bookmarkStart w:id="6" w:name="_Toc416612127"/>
      <w:r w:rsidRPr="5A2FD8C7">
        <w:rPr>
          <w:lang w:val="en-GB"/>
        </w:rPr>
        <w:t xml:space="preserve">The </w:t>
      </w:r>
      <w:r w:rsidR="00DC204D">
        <w:rPr>
          <w:lang w:val="en-GB"/>
        </w:rPr>
        <w:t xml:space="preserve">Arbitration </w:t>
      </w:r>
      <w:r w:rsidR="00533E5B">
        <w:rPr>
          <w:lang w:val="en-GB"/>
        </w:rPr>
        <w:t>Act</w:t>
      </w:r>
      <w:r w:rsidRPr="5A2FD8C7">
        <w:rPr>
          <w:lang w:val="en-GB"/>
        </w:rPr>
        <w:t xml:space="preserve"> </w:t>
      </w:r>
      <w:r w:rsidR="00DC204D">
        <w:rPr>
          <w:lang w:val="en-GB"/>
        </w:rPr>
        <w:t>2025 (“</w:t>
      </w:r>
      <w:r w:rsidR="00DC204D">
        <w:rPr>
          <w:b/>
          <w:bCs/>
          <w:lang w:val="en-GB"/>
        </w:rPr>
        <w:t>this</w:t>
      </w:r>
      <w:r w:rsidR="00DC204D" w:rsidRPr="00DC204D">
        <w:rPr>
          <w:b/>
          <w:bCs/>
          <w:lang w:val="en-GB"/>
        </w:rPr>
        <w:t xml:space="preserve"> Act</w:t>
      </w:r>
      <w:r w:rsidR="00DC204D">
        <w:rPr>
          <w:lang w:val="en-GB"/>
        </w:rPr>
        <w:t xml:space="preserve">”) </w:t>
      </w:r>
      <w:r w:rsidRPr="5A2FD8C7">
        <w:rPr>
          <w:lang w:val="en-GB"/>
        </w:rPr>
        <w:t>is concerned with arbitration, which is typically when disputes are resolved by an arbitrator who is privately appointed rather than by a judge sitting in court. Arbitration in England, Wales</w:t>
      </w:r>
      <w:r w:rsidR="00A9043D">
        <w:rPr>
          <w:lang w:val="en-GB"/>
        </w:rPr>
        <w:t>,</w:t>
      </w:r>
      <w:r w:rsidRPr="5A2FD8C7">
        <w:rPr>
          <w:lang w:val="en-GB"/>
        </w:rPr>
        <w:t xml:space="preserve"> and Northern Ireland is regulated by the Arbitration Act 1996</w:t>
      </w:r>
      <w:r w:rsidR="00DC204D">
        <w:rPr>
          <w:lang w:val="en-GB"/>
        </w:rPr>
        <w:t xml:space="preserve"> (“</w:t>
      </w:r>
      <w:r w:rsidR="00DC204D" w:rsidRPr="00DC204D">
        <w:rPr>
          <w:b/>
          <w:bCs/>
          <w:lang w:val="en-GB"/>
        </w:rPr>
        <w:t>the 1996 Act</w:t>
      </w:r>
      <w:r w:rsidR="00DC204D">
        <w:rPr>
          <w:lang w:val="en-GB"/>
        </w:rPr>
        <w:t>”)</w:t>
      </w:r>
      <w:r w:rsidRPr="5A2FD8C7">
        <w:rPr>
          <w:lang w:val="en-GB"/>
        </w:rPr>
        <w:t>. Th</w:t>
      </w:r>
      <w:r w:rsidR="00DC204D">
        <w:rPr>
          <w:lang w:val="en-GB"/>
        </w:rPr>
        <w:t>is</w:t>
      </w:r>
      <w:r w:rsidRPr="5A2FD8C7">
        <w:rPr>
          <w:lang w:val="en-GB"/>
        </w:rPr>
        <w:t xml:space="preserve"> </w:t>
      </w:r>
      <w:r w:rsidR="00533E5B">
        <w:rPr>
          <w:lang w:val="en-GB"/>
        </w:rPr>
        <w:t>Act</w:t>
      </w:r>
      <w:r w:rsidRPr="5A2FD8C7">
        <w:rPr>
          <w:lang w:val="en-GB"/>
        </w:rPr>
        <w:t xml:space="preserve"> gives effect to the recommendations of the Law Commission of England and Wales to amend the 1996</w:t>
      </w:r>
      <w:r w:rsidR="00DC204D">
        <w:rPr>
          <w:lang w:val="en-GB"/>
        </w:rPr>
        <w:t xml:space="preserve"> Act</w:t>
      </w:r>
      <w:r w:rsidRPr="5A2FD8C7">
        <w:rPr>
          <w:lang w:val="en-GB"/>
        </w:rPr>
        <w:t>.</w:t>
      </w:r>
      <w:bookmarkStart w:id="7" w:name="_Toc417648112"/>
      <w:bookmarkStart w:id="8" w:name="_Toc418587918"/>
      <w:r w:rsidRPr="5A2FD8C7">
        <w:rPr>
          <w:rStyle w:val="FootnoteReference"/>
          <w:lang w:val="en-GB"/>
        </w:rPr>
        <w:footnoteReference w:id="2"/>
      </w:r>
    </w:p>
    <w:bookmarkStart w:id="9" w:name="_Toc194071831" w:displacedByCustomXml="next"/>
    <w:sdt>
      <w:sdtPr>
        <w:id w:val="263720"/>
        <w:lock w:val="sdtContentLocked"/>
        <w:placeholder>
          <w:docPart w:val="E981BF7FA6DB4EBF8FCB1771437805B3"/>
        </w:placeholder>
        <w:group/>
      </w:sdtPr>
      <w:sdtEndPr/>
      <w:sdtContent>
        <w:p w14:paraId="1BE2545B" w14:textId="77777777" w:rsidR="00E718E1" w:rsidRPr="00CA4237" w:rsidRDefault="00E718E1" w:rsidP="005E1288">
          <w:pPr>
            <w:pStyle w:val="Heading1"/>
            <w:keepNext/>
          </w:pPr>
          <w:r w:rsidRPr="00CA4237">
            <w:t>Policy background</w:t>
          </w:r>
        </w:p>
      </w:sdtContent>
    </w:sdt>
    <w:bookmarkEnd w:id="9" w:displacedByCustomXml="prev"/>
    <w:bookmarkEnd w:id="8" w:displacedByCustomXml="prev"/>
    <w:bookmarkEnd w:id="7" w:displacedByCustomXml="prev"/>
    <w:bookmarkEnd w:id="6" w:displacedByCustomXml="prev"/>
    <w:p w14:paraId="051B3B5F" w14:textId="7B28DB0D" w:rsidR="00271F13" w:rsidRPr="00271F13" w:rsidRDefault="00271F13" w:rsidP="002F4FEF">
      <w:pPr>
        <w:pStyle w:val="ParaNumbered"/>
        <w:ind w:left="714" w:hanging="357"/>
        <w:jc w:val="both"/>
        <w:rPr>
          <w:rStyle w:val="eop"/>
          <w:lang w:val="en-GB"/>
        </w:rPr>
      </w:pPr>
      <w:bookmarkStart w:id="10" w:name="_Toc418587919"/>
      <w:r w:rsidRPr="5A2FD8C7">
        <w:rPr>
          <w:rStyle w:val="normaltextrun"/>
          <w:shd w:val="clear" w:color="auto" w:fill="FFFFFF"/>
        </w:rPr>
        <w:t xml:space="preserve">Arbitration happens in a wide range of settings, both domestic and international, from family law and rent reviews, through commodity trades and shipping, to international commercial contracts and investor claims against states. The Law Commission estimates that there are at least 5000 arbitrations annually in England and Wales, worth at least £2.5 </w:t>
      </w:r>
      <w:r w:rsidR="006E12CD">
        <w:rPr>
          <w:rStyle w:val="normaltextrun"/>
          <w:shd w:val="clear" w:color="auto" w:fill="FFFFFF"/>
        </w:rPr>
        <w:t>billion</w:t>
      </w:r>
      <w:r w:rsidR="006E12CD" w:rsidRPr="5A2FD8C7">
        <w:rPr>
          <w:rStyle w:val="normaltextrun"/>
          <w:shd w:val="clear" w:color="auto" w:fill="FFFFFF"/>
        </w:rPr>
        <w:t xml:space="preserve"> </w:t>
      </w:r>
      <w:r w:rsidRPr="5A2FD8C7">
        <w:rPr>
          <w:rStyle w:val="normaltextrun"/>
          <w:shd w:val="clear" w:color="auto" w:fill="FFFFFF"/>
        </w:rPr>
        <w:t>to the economy in arbitrator and legal fees alone. Arbitration is also an important node in a mutually supporting network of business that includes legal</w:t>
      </w:r>
      <w:r w:rsidR="007B0CB7">
        <w:rPr>
          <w:rStyle w:val="normaltextrun"/>
          <w:shd w:val="clear" w:color="auto" w:fill="FFFFFF"/>
        </w:rPr>
        <w:t xml:space="preserve"> </w:t>
      </w:r>
      <w:r w:rsidR="007B0CB7" w:rsidRPr="00123488">
        <w:rPr>
          <w:rStyle w:val="normaltextrun"/>
          <w:shd w:val="clear" w:color="auto" w:fill="FFFFFF"/>
        </w:rPr>
        <w:t>services</w:t>
      </w:r>
      <w:r w:rsidRPr="5A2FD8C7">
        <w:rPr>
          <w:rStyle w:val="normaltextrun"/>
          <w:shd w:val="clear" w:color="auto" w:fill="FFFFFF"/>
        </w:rPr>
        <w:t>, banking, insurance, and trade. In a 2021 survey by Queen Mary University of London and White &amp; Case LLP, London was ranked equal first with Singapore as the world’s most preferred seat for international arbitration.</w:t>
      </w:r>
      <w:r w:rsidRPr="5A2FD8C7">
        <w:rPr>
          <w:rStyle w:val="FootnoteReference"/>
          <w:lang w:val="en-GB"/>
        </w:rPr>
        <w:footnoteReference w:id="3"/>
      </w:r>
    </w:p>
    <w:p w14:paraId="157A00AE" w14:textId="5914B287" w:rsidR="00271F13" w:rsidRDefault="00271F13" w:rsidP="002F4FEF">
      <w:pPr>
        <w:pStyle w:val="ParaNumbered"/>
        <w:ind w:left="714" w:hanging="357"/>
        <w:jc w:val="both"/>
        <w:rPr>
          <w:lang w:val="en-GB"/>
        </w:rPr>
      </w:pPr>
      <w:r w:rsidRPr="7F9BC277">
        <w:rPr>
          <w:lang w:val="en-GB"/>
        </w:rPr>
        <w:t>The 1996</w:t>
      </w:r>
      <w:r w:rsidR="00DC204D">
        <w:rPr>
          <w:lang w:val="en-GB"/>
        </w:rPr>
        <w:t xml:space="preserve"> Act</w:t>
      </w:r>
      <w:r w:rsidRPr="7F9BC277">
        <w:rPr>
          <w:lang w:val="en-GB"/>
        </w:rPr>
        <w:t>, which governs arbitration in England, Wales, and Northern Ireland, is now over 25 years old. Other countries competing for a greater share of international arbitration have enacted or revised their arbitration legislation more recently. In March 2021, the Ministry of Justice asked the Law Commission to review the 1996</w:t>
      </w:r>
      <w:r w:rsidR="00DC204D">
        <w:rPr>
          <w:lang w:val="en-GB"/>
        </w:rPr>
        <w:t xml:space="preserve"> Act</w:t>
      </w:r>
      <w:r w:rsidRPr="7F9BC277">
        <w:rPr>
          <w:lang w:val="en-GB"/>
        </w:rPr>
        <w:t xml:space="preserve">. The Law Commission began its review in January 2022. It published its first consultation paper in September 2022, and its second consultation paper in March 2023. It published its final report, along with a draft </w:t>
      </w:r>
      <w:r w:rsidR="00A9043D">
        <w:rPr>
          <w:lang w:val="en-GB"/>
        </w:rPr>
        <w:t>bill</w:t>
      </w:r>
      <w:r w:rsidRPr="7F9BC277">
        <w:rPr>
          <w:lang w:val="en-GB"/>
        </w:rPr>
        <w:t>, in September 2023. The final report of the Law Commission concluded that the 1996</w:t>
      </w:r>
      <w:r w:rsidR="00DC204D">
        <w:rPr>
          <w:lang w:val="en-GB"/>
        </w:rPr>
        <w:t xml:space="preserve"> Act</w:t>
      </w:r>
      <w:r w:rsidRPr="7F9BC277">
        <w:rPr>
          <w:lang w:val="en-GB"/>
        </w:rPr>
        <w:t xml:space="preserve"> generally works well, and that root and branch reform is not needed </w:t>
      </w:r>
      <w:r w:rsidR="00876AEC" w:rsidRPr="7F9BC277">
        <w:rPr>
          <w:lang w:val="en-GB"/>
        </w:rPr>
        <w:t>n</w:t>
      </w:r>
      <w:r w:rsidRPr="7F9BC277">
        <w:rPr>
          <w:lang w:val="en-GB"/>
        </w:rPr>
        <w:t xml:space="preserve">or wanted. Nevertheless, the Law Commission made a number of recommendations for targeted reform. </w:t>
      </w:r>
      <w:r w:rsidR="00DC204D">
        <w:rPr>
          <w:lang w:val="en-GB"/>
        </w:rPr>
        <w:t xml:space="preserve">This Act </w:t>
      </w:r>
      <w:r w:rsidR="70257334" w:rsidRPr="7F9BC277">
        <w:rPr>
          <w:lang w:val="en-GB"/>
        </w:rPr>
        <w:t>enacts the</w:t>
      </w:r>
      <w:r w:rsidR="57050839" w:rsidRPr="7F9BC277">
        <w:rPr>
          <w:lang w:val="en-GB"/>
        </w:rPr>
        <w:t xml:space="preserve"> Law Commission’s</w:t>
      </w:r>
      <w:r w:rsidR="70257334" w:rsidRPr="7F9BC277">
        <w:rPr>
          <w:lang w:val="en-GB"/>
        </w:rPr>
        <w:t xml:space="preserve"> recommendations.</w:t>
      </w:r>
    </w:p>
    <w:p w14:paraId="1F91F4E9" w14:textId="342810CA" w:rsidR="00271F13" w:rsidRPr="008C18BD" w:rsidRDefault="00271F13" w:rsidP="002F4FEF">
      <w:pPr>
        <w:pStyle w:val="ParaNumbered"/>
        <w:ind w:left="714" w:hanging="357"/>
        <w:jc w:val="both"/>
        <w:rPr>
          <w:rStyle w:val="eop"/>
          <w:lang w:val="en-GB"/>
        </w:rPr>
      </w:pPr>
      <w:r w:rsidRPr="5A2FD8C7">
        <w:rPr>
          <w:rStyle w:val="normaltextrun"/>
          <w:shd w:val="clear" w:color="auto" w:fill="FFFFFF"/>
        </w:rPr>
        <w:t>Th</w:t>
      </w:r>
      <w:r w:rsidR="00DC204D">
        <w:rPr>
          <w:rStyle w:val="normaltextrun"/>
          <w:shd w:val="clear" w:color="auto" w:fill="FFFFFF"/>
        </w:rPr>
        <w:t>is</w:t>
      </w:r>
      <w:r w:rsidRPr="5A2FD8C7">
        <w:rPr>
          <w:rStyle w:val="normaltextrun"/>
          <w:shd w:val="clear" w:color="auto" w:fill="FFFFFF"/>
        </w:rPr>
        <w:t xml:space="preserve"> </w:t>
      </w:r>
      <w:r w:rsidR="00533E5B">
        <w:rPr>
          <w:rStyle w:val="normaltextrun"/>
          <w:shd w:val="clear" w:color="auto" w:fill="FFFFFF"/>
        </w:rPr>
        <w:t>Act</w:t>
      </w:r>
      <w:r w:rsidRPr="5A2FD8C7">
        <w:rPr>
          <w:rStyle w:val="normaltextrun"/>
          <w:shd w:val="clear" w:color="auto" w:fill="FFFFFF"/>
        </w:rPr>
        <w:t xml:space="preserve"> contains the following substantial initiatives:</w:t>
      </w:r>
      <w:r w:rsidRPr="5A2FD8C7">
        <w:rPr>
          <w:rStyle w:val="normaltextrun"/>
          <w:rFonts w:ascii="Times New Roman" w:hAnsi="Times New Roman" w:cs="Times New Roman"/>
          <w:shd w:val="clear" w:color="auto" w:fill="FFFFFF"/>
        </w:rPr>
        <w:t>  </w:t>
      </w:r>
      <w:r w:rsidRPr="5A2FD8C7">
        <w:rPr>
          <w:rStyle w:val="eop"/>
          <w:shd w:val="clear" w:color="auto" w:fill="FFFFFF"/>
        </w:rPr>
        <w:t> </w:t>
      </w:r>
    </w:p>
    <w:p w14:paraId="3CED0AE6" w14:textId="74B3018C" w:rsidR="00FA1FC5" w:rsidRPr="00123488" w:rsidRDefault="00FA1FC5" w:rsidP="00E51AB6">
      <w:pPr>
        <w:pStyle w:val="ParaNumbered"/>
        <w:numPr>
          <w:ilvl w:val="0"/>
          <w:numId w:val="27"/>
        </w:numPr>
        <w:jc w:val="both"/>
        <w:rPr>
          <w:rStyle w:val="eop"/>
          <w:lang w:val="en-GB"/>
        </w:rPr>
      </w:pPr>
      <w:r w:rsidRPr="00123488">
        <w:rPr>
          <w:lang w:val="en-GB"/>
        </w:rPr>
        <w:t>clarification of the law applicable to arbitration agreements;</w:t>
      </w:r>
    </w:p>
    <w:p w14:paraId="3D6D48DD" w14:textId="51FEF440" w:rsidR="00271F13" w:rsidRPr="00123488" w:rsidRDefault="00271F13" w:rsidP="00E51AB6">
      <w:pPr>
        <w:pStyle w:val="ParaNumbered"/>
        <w:numPr>
          <w:ilvl w:val="0"/>
          <w:numId w:val="27"/>
        </w:numPr>
        <w:jc w:val="both"/>
        <w:rPr>
          <w:rStyle w:val="eop"/>
          <w:lang w:val="en-GB"/>
        </w:rPr>
      </w:pPr>
      <w:r w:rsidRPr="00123488">
        <w:rPr>
          <w:rStyle w:val="eop"/>
          <w:lang w:val="en-GB"/>
        </w:rPr>
        <w:t>codification of an arbitrator’s duty of disclosure;</w:t>
      </w:r>
      <w:r w:rsidRPr="00123488">
        <w:rPr>
          <w:rStyle w:val="eop"/>
          <w:rFonts w:ascii="Times New Roman" w:hAnsi="Times New Roman" w:cs="Times New Roman"/>
          <w:lang w:val="en-GB"/>
        </w:rPr>
        <w:t>  </w:t>
      </w:r>
      <w:r w:rsidRPr="00123488">
        <w:rPr>
          <w:rStyle w:val="eop"/>
          <w:lang w:val="en-GB"/>
        </w:rPr>
        <w:t xml:space="preserve"> </w:t>
      </w:r>
    </w:p>
    <w:p w14:paraId="2491254C" w14:textId="77777777" w:rsidR="00271F13" w:rsidRPr="00123488" w:rsidRDefault="00271F13" w:rsidP="00E51AB6">
      <w:pPr>
        <w:pStyle w:val="ParaNumbered"/>
        <w:numPr>
          <w:ilvl w:val="0"/>
          <w:numId w:val="27"/>
        </w:numPr>
        <w:jc w:val="both"/>
        <w:rPr>
          <w:rStyle w:val="eop"/>
          <w:lang w:val="en-GB"/>
        </w:rPr>
      </w:pPr>
      <w:r w:rsidRPr="00123488">
        <w:rPr>
          <w:rStyle w:val="eop"/>
          <w:lang w:val="en-GB"/>
        </w:rPr>
        <w:t>strengthening of arbitrator immunity around resignation and applications for removal;</w:t>
      </w:r>
      <w:r w:rsidRPr="00123488">
        <w:rPr>
          <w:rStyle w:val="eop"/>
          <w:rFonts w:ascii="Times New Roman" w:hAnsi="Times New Roman" w:cs="Times New Roman"/>
          <w:lang w:val="en-GB"/>
        </w:rPr>
        <w:t>  </w:t>
      </w:r>
      <w:r w:rsidRPr="00123488">
        <w:rPr>
          <w:rStyle w:val="eop"/>
          <w:lang w:val="en-GB"/>
        </w:rPr>
        <w:t xml:space="preserve"> </w:t>
      </w:r>
    </w:p>
    <w:p w14:paraId="6FD1B835" w14:textId="77777777" w:rsidR="00FA1FC5" w:rsidRPr="00123488" w:rsidRDefault="00271F13" w:rsidP="00FA1FC5">
      <w:pPr>
        <w:pStyle w:val="ParaNumbered"/>
        <w:numPr>
          <w:ilvl w:val="0"/>
          <w:numId w:val="27"/>
        </w:numPr>
        <w:jc w:val="both"/>
        <w:rPr>
          <w:rStyle w:val="eop"/>
          <w:lang w:val="en-GB"/>
        </w:rPr>
      </w:pPr>
      <w:r w:rsidRPr="00123488">
        <w:rPr>
          <w:rStyle w:val="eop"/>
          <w:lang w:val="en-GB"/>
        </w:rPr>
        <w:t>introduction of a power for arbitrators to dispose summarily of issues which have no real prospect of success;</w:t>
      </w:r>
      <w:r w:rsidRPr="00123488">
        <w:rPr>
          <w:rStyle w:val="eop"/>
          <w:rFonts w:ascii="Times New Roman" w:hAnsi="Times New Roman" w:cs="Times New Roman"/>
          <w:lang w:val="en-GB"/>
        </w:rPr>
        <w:t>  </w:t>
      </w:r>
      <w:r w:rsidRPr="00123488">
        <w:rPr>
          <w:rStyle w:val="eop"/>
          <w:lang w:val="en-GB"/>
        </w:rPr>
        <w:t xml:space="preserve"> </w:t>
      </w:r>
    </w:p>
    <w:p w14:paraId="78F46867" w14:textId="5F665AC5" w:rsidR="00FA1FC5" w:rsidRPr="00123488" w:rsidRDefault="00FA1FC5" w:rsidP="00FA1FC5">
      <w:pPr>
        <w:pStyle w:val="ParaNumbered"/>
        <w:numPr>
          <w:ilvl w:val="0"/>
          <w:numId w:val="27"/>
        </w:numPr>
        <w:jc w:val="both"/>
        <w:rPr>
          <w:rStyle w:val="eop"/>
          <w:lang w:val="en-GB"/>
        </w:rPr>
      </w:pPr>
      <w:r w:rsidRPr="00123488">
        <w:rPr>
          <w:lang w:val="en-GB"/>
        </w:rPr>
        <w:t>clarification of court powers in support of arbitral proceedings, and in support of emergency arbitrators; and</w:t>
      </w:r>
    </w:p>
    <w:p w14:paraId="0158F075" w14:textId="1DC70B53" w:rsidR="00271F13" w:rsidRPr="00123488" w:rsidRDefault="00271F13" w:rsidP="00E51AB6">
      <w:pPr>
        <w:pStyle w:val="ParaNumbered"/>
        <w:numPr>
          <w:ilvl w:val="0"/>
          <w:numId w:val="27"/>
        </w:numPr>
        <w:jc w:val="both"/>
        <w:rPr>
          <w:rStyle w:val="eop"/>
          <w:lang w:val="en-GB"/>
        </w:rPr>
      </w:pPr>
      <w:r w:rsidRPr="00123488">
        <w:rPr>
          <w:rStyle w:val="eop"/>
          <w:lang w:val="en-GB"/>
        </w:rPr>
        <w:t>a revised framework for challenges under section 67 of the 1996</w:t>
      </w:r>
      <w:r w:rsidR="00DC204D">
        <w:rPr>
          <w:rStyle w:val="eop"/>
          <w:lang w:val="en-GB"/>
        </w:rPr>
        <w:t xml:space="preserve"> Act</w:t>
      </w:r>
      <w:r w:rsidRPr="00123488">
        <w:rPr>
          <w:rStyle w:val="eop"/>
          <w:lang w:val="en-GB"/>
        </w:rPr>
        <w:t xml:space="preserve"> (where the challenge alleges that the arbitral tribunal lacked jurisdiction)</w:t>
      </w:r>
      <w:r w:rsidR="00FA1FC5" w:rsidRPr="00123488">
        <w:rPr>
          <w:rStyle w:val="eop"/>
          <w:lang w:val="en-GB"/>
        </w:rPr>
        <w:t xml:space="preserve">. </w:t>
      </w:r>
    </w:p>
    <w:p w14:paraId="062CCC8B" w14:textId="4D2B4CEC" w:rsidR="00271F13" w:rsidRPr="008C18BD" w:rsidRDefault="00271F13" w:rsidP="002F4FEF">
      <w:pPr>
        <w:pStyle w:val="ParaNumbered"/>
        <w:ind w:left="714" w:hanging="357"/>
        <w:jc w:val="both"/>
        <w:rPr>
          <w:rStyle w:val="normaltextrun"/>
          <w:lang w:val="en-GB"/>
        </w:rPr>
      </w:pPr>
      <w:r w:rsidRPr="5A2FD8C7">
        <w:rPr>
          <w:rStyle w:val="normaltextrun"/>
          <w:shd w:val="clear" w:color="auto" w:fill="FFFFFF"/>
        </w:rPr>
        <w:t>Th</w:t>
      </w:r>
      <w:r w:rsidR="00DC204D">
        <w:rPr>
          <w:rStyle w:val="normaltextrun"/>
          <w:shd w:val="clear" w:color="auto" w:fill="FFFFFF"/>
        </w:rPr>
        <w:t>is</w:t>
      </w:r>
      <w:r w:rsidRPr="5A2FD8C7">
        <w:rPr>
          <w:rStyle w:val="normaltextrun"/>
          <w:shd w:val="clear" w:color="auto" w:fill="FFFFFF"/>
        </w:rPr>
        <w:t xml:space="preserve"> </w:t>
      </w:r>
      <w:r w:rsidR="00533E5B">
        <w:rPr>
          <w:rStyle w:val="normaltextrun"/>
          <w:shd w:val="clear" w:color="auto" w:fill="FFFFFF"/>
        </w:rPr>
        <w:t>Act</w:t>
      </w:r>
      <w:r w:rsidRPr="5A2FD8C7">
        <w:rPr>
          <w:rStyle w:val="normaltextrun"/>
          <w:shd w:val="clear" w:color="auto" w:fill="FFFFFF"/>
        </w:rPr>
        <w:t xml:space="preserve"> contains the following minor changes to the 1996</w:t>
      </w:r>
      <w:r w:rsidR="00DC204D">
        <w:rPr>
          <w:rStyle w:val="normaltextrun"/>
          <w:shd w:val="clear" w:color="auto" w:fill="FFFFFF"/>
        </w:rPr>
        <w:t xml:space="preserve"> Act</w:t>
      </w:r>
      <w:r w:rsidRPr="5A2FD8C7">
        <w:rPr>
          <w:rStyle w:val="normaltextrun"/>
          <w:shd w:val="clear" w:color="auto" w:fill="FFFFFF"/>
        </w:rPr>
        <w:t>: </w:t>
      </w:r>
    </w:p>
    <w:p w14:paraId="7FAFA22C" w14:textId="6131663D" w:rsidR="00271F13" w:rsidRPr="008C18BD" w:rsidRDefault="00123488" w:rsidP="00E51AB6">
      <w:pPr>
        <w:pStyle w:val="ParaNumbered"/>
        <w:numPr>
          <w:ilvl w:val="0"/>
          <w:numId w:val="28"/>
        </w:numPr>
        <w:jc w:val="both"/>
        <w:rPr>
          <w:rStyle w:val="eop"/>
          <w:lang w:val="en-GB"/>
        </w:rPr>
      </w:pPr>
      <w:r>
        <w:rPr>
          <w:rStyle w:val="eop"/>
          <w:lang w:val="en-GB"/>
        </w:rPr>
        <w:t xml:space="preserve">clarifying the availability of appeals under Part </w:t>
      </w:r>
      <w:r w:rsidR="00306CD2">
        <w:rPr>
          <w:rStyle w:val="eop"/>
          <w:lang w:val="en-GB"/>
        </w:rPr>
        <w:t>I</w:t>
      </w:r>
      <w:r>
        <w:rPr>
          <w:rStyle w:val="eop"/>
          <w:lang w:val="en-GB"/>
        </w:rPr>
        <w:t xml:space="preserve"> of the </w:t>
      </w:r>
      <w:r w:rsidR="00DC204D">
        <w:rPr>
          <w:rStyle w:val="eop"/>
          <w:lang w:val="en-GB"/>
        </w:rPr>
        <w:t xml:space="preserve">1996 </w:t>
      </w:r>
      <w:r>
        <w:rPr>
          <w:rStyle w:val="eop"/>
          <w:lang w:val="en-GB"/>
        </w:rPr>
        <w:t>Act;</w:t>
      </w:r>
    </w:p>
    <w:p w14:paraId="0FED5C3C" w14:textId="77777777" w:rsidR="00271F13" w:rsidRPr="008C18BD" w:rsidRDefault="00271F13" w:rsidP="00E51AB6">
      <w:pPr>
        <w:pStyle w:val="ParaNumbered"/>
        <w:numPr>
          <w:ilvl w:val="0"/>
          <w:numId w:val="28"/>
        </w:numPr>
        <w:jc w:val="both"/>
        <w:rPr>
          <w:rStyle w:val="eop"/>
          <w:lang w:val="en-GB"/>
        </w:rPr>
      </w:pPr>
      <w:r w:rsidRPr="008C18BD">
        <w:rPr>
          <w:rStyle w:val="eop"/>
          <w:lang w:val="en-GB"/>
        </w:rPr>
        <w:lastRenderedPageBreak/>
        <w:t xml:space="preserve">simplifying preliminary applications to court on questions of jurisdiction and points of law;   </w:t>
      </w:r>
    </w:p>
    <w:p w14:paraId="1FF83327" w14:textId="77777777" w:rsidR="00271F13" w:rsidRPr="008C18BD" w:rsidRDefault="00271F13" w:rsidP="00E51AB6">
      <w:pPr>
        <w:pStyle w:val="ParaNumbered"/>
        <w:numPr>
          <w:ilvl w:val="0"/>
          <w:numId w:val="28"/>
        </w:numPr>
        <w:jc w:val="both"/>
        <w:rPr>
          <w:rStyle w:val="eop"/>
          <w:lang w:val="en-GB"/>
        </w:rPr>
      </w:pPr>
      <w:r w:rsidRPr="008C18BD">
        <w:rPr>
          <w:rStyle w:val="eop"/>
          <w:lang w:val="en-GB"/>
        </w:rPr>
        <w:t xml:space="preserve">clarifying time limits for challenging awards; and   </w:t>
      </w:r>
    </w:p>
    <w:p w14:paraId="0FCF3257" w14:textId="77777777" w:rsidR="00271F13" w:rsidRPr="008C18BD" w:rsidRDefault="00271F13" w:rsidP="00E51AB6">
      <w:pPr>
        <w:pStyle w:val="ParaNumbered"/>
        <w:numPr>
          <w:ilvl w:val="0"/>
          <w:numId w:val="28"/>
        </w:numPr>
        <w:jc w:val="both"/>
        <w:rPr>
          <w:rStyle w:val="eop"/>
          <w:lang w:val="en-GB"/>
        </w:rPr>
      </w:pPr>
      <w:r w:rsidRPr="008C18BD">
        <w:rPr>
          <w:rStyle w:val="eop"/>
          <w:lang w:val="en-GB"/>
        </w:rPr>
        <w:t xml:space="preserve">repealing unused provisions on domestic arbitration agreements.  </w:t>
      </w:r>
    </w:p>
    <w:p w14:paraId="7AB1E656" w14:textId="55C28E08" w:rsidR="002E482E" w:rsidRDefault="00271F13" w:rsidP="00E51AB6">
      <w:pPr>
        <w:pStyle w:val="ParaNumbered"/>
        <w:ind w:left="714" w:hanging="357"/>
        <w:jc w:val="both"/>
        <w:rPr>
          <w:lang w:val="en-GB"/>
        </w:rPr>
      </w:pPr>
      <w:r w:rsidRPr="5A2FD8C7">
        <w:rPr>
          <w:lang w:val="en-GB"/>
        </w:rPr>
        <w:t>The intent of th</w:t>
      </w:r>
      <w:r w:rsidR="00DC204D">
        <w:rPr>
          <w:lang w:val="en-GB"/>
        </w:rPr>
        <w:t>is</w:t>
      </w:r>
      <w:r w:rsidRPr="5A2FD8C7">
        <w:rPr>
          <w:lang w:val="en-GB"/>
        </w:rPr>
        <w:t xml:space="preserve"> </w:t>
      </w:r>
      <w:r w:rsidR="00533E5B">
        <w:rPr>
          <w:lang w:val="en-GB"/>
        </w:rPr>
        <w:t>Act</w:t>
      </w:r>
      <w:r w:rsidRPr="5A2FD8C7">
        <w:rPr>
          <w:lang w:val="en-GB"/>
        </w:rPr>
        <w:t xml:space="preserve"> is to further the principle found in section 1 of the 1996</w:t>
      </w:r>
      <w:r w:rsidR="00DC204D">
        <w:rPr>
          <w:lang w:val="en-GB"/>
        </w:rPr>
        <w:t xml:space="preserve"> Act</w:t>
      </w:r>
      <w:r w:rsidRPr="5A2FD8C7">
        <w:rPr>
          <w:lang w:val="en-GB"/>
        </w:rPr>
        <w:t xml:space="preserve">: to obtain the fair resolution of disputes by an impartial tribunal without unnecessary delay or expense. Thereby, the aim is to fulfil the policy objective of ensuring that the </w:t>
      </w:r>
      <w:r w:rsidR="00DC204D">
        <w:rPr>
          <w:lang w:val="en-GB"/>
        </w:rPr>
        <w:t xml:space="preserve">1996 </w:t>
      </w:r>
      <w:r w:rsidRPr="5A2FD8C7">
        <w:rPr>
          <w:lang w:val="en-GB"/>
        </w:rPr>
        <w:t>Act is fit for purpose and that it continues to promote the UK as a leading destination for arbitration. Further policy and background to the Law Commission’s recommendations is provided in its final report and the two consultation papers which preceded it.</w:t>
      </w:r>
      <w:r w:rsidRPr="5A2FD8C7">
        <w:rPr>
          <w:rStyle w:val="FootnoteReference"/>
          <w:lang w:val="en-GB"/>
        </w:rPr>
        <w:footnoteReference w:id="4"/>
      </w:r>
    </w:p>
    <w:p w14:paraId="06AC1D1D" w14:textId="382E84A7" w:rsidR="0051228A" w:rsidRPr="00E51AB6" w:rsidRDefault="4DBD3748">
      <w:pPr>
        <w:pStyle w:val="ParaNumbered"/>
        <w:ind w:left="714" w:hanging="357"/>
        <w:jc w:val="both"/>
        <w:rPr>
          <w:lang w:val="en-GB"/>
        </w:rPr>
      </w:pPr>
      <w:r w:rsidRPr="1F954826">
        <w:rPr>
          <w:lang w:val="en-GB"/>
        </w:rPr>
        <w:t xml:space="preserve">An Arbitration </w:t>
      </w:r>
      <w:r w:rsidR="00386CC1">
        <w:rPr>
          <w:lang w:val="en-GB"/>
        </w:rPr>
        <w:t>Bill</w:t>
      </w:r>
      <w:r w:rsidRPr="1F954826">
        <w:rPr>
          <w:lang w:val="en-GB"/>
        </w:rPr>
        <w:t xml:space="preserve"> that sought to enact the Law Commission’s recommended reforms was introduced </w:t>
      </w:r>
      <w:r w:rsidR="00D23651">
        <w:rPr>
          <w:lang w:val="en-GB"/>
        </w:rPr>
        <w:t>in November 2023</w:t>
      </w:r>
      <w:r w:rsidRPr="1F954826">
        <w:rPr>
          <w:lang w:val="en-GB"/>
        </w:rPr>
        <w:t xml:space="preserve">. However, that </w:t>
      </w:r>
      <w:r w:rsidR="00DC204D">
        <w:rPr>
          <w:lang w:val="en-GB"/>
        </w:rPr>
        <w:t>Bill</w:t>
      </w:r>
      <w:r w:rsidRPr="1F954826">
        <w:rPr>
          <w:lang w:val="en-GB"/>
        </w:rPr>
        <w:t xml:space="preserve"> fell upon prorogation while awaiting its Report Stage in the first House</w:t>
      </w:r>
      <w:r w:rsidR="00D23651">
        <w:rPr>
          <w:lang w:val="en-GB"/>
        </w:rPr>
        <w:t xml:space="preserve"> after passing through a Special Public </w:t>
      </w:r>
      <w:r w:rsidR="00386CC1">
        <w:rPr>
          <w:lang w:val="en-GB"/>
        </w:rPr>
        <w:t>Bill</w:t>
      </w:r>
      <w:r w:rsidR="00D23651">
        <w:rPr>
          <w:lang w:val="en-GB"/>
        </w:rPr>
        <w:t xml:space="preserve"> Committee</w:t>
      </w:r>
      <w:r w:rsidRPr="1F954826">
        <w:rPr>
          <w:lang w:val="en-GB"/>
        </w:rPr>
        <w:t xml:space="preserve">. This </w:t>
      </w:r>
      <w:r w:rsidR="00533E5B">
        <w:rPr>
          <w:lang w:val="en-GB"/>
        </w:rPr>
        <w:t>Act</w:t>
      </w:r>
      <w:r w:rsidRPr="1F954826">
        <w:rPr>
          <w:lang w:val="en-GB"/>
        </w:rPr>
        <w:t xml:space="preserve"> replicates the provisions of that previous </w:t>
      </w:r>
      <w:r w:rsidR="00386CC1">
        <w:rPr>
          <w:lang w:val="en-GB"/>
        </w:rPr>
        <w:t>Bill</w:t>
      </w:r>
      <w:r w:rsidRPr="1F954826">
        <w:rPr>
          <w:lang w:val="en-GB"/>
        </w:rPr>
        <w:t xml:space="preserve"> as amended at Lords </w:t>
      </w:r>
      <w:r w:rsidR="00D23651">
        <w:rPr>
          <w:lang w:val="en-GB"/>
        </w:rPr>
        <w:t xml:space="preserve">Special Public </w:t>
      </w:r>
      <w:r w:rsidR="00386CC1">
        <w:rPr>
          <w:lang w:val="en-GB"/>
        </w:rPr>
        <w:t>Bill</w:t>
      </w:r>
      <w:r w:rsidR="00D23651">
        <w:rPr>
          <w:lang w:val="en-GB"/>
        </w:rPr>
        <w:t xml:space="preserve"> </w:t>
      </w:r>
      <w:r w:rsidRPr="1F954826">
        <w:rPr>
          <w:lang w:val="en-GB"/>
        </w:rPr>
        <w:t>Committee Stage</w:t>
      </w:r>
      <w:r w:rsidR="0074648E">
        <w:rPr>
          <w:lang w:val="en-GB"/>
        </w:rPr>
        <w:t xml:space="preserve"> with one</w:t>
      </w:r>
      <w:r w:rsidR="0E0A2380" w:rsidRPr="1F954826">
        <w:rPr>
          <w:lang w:val="en-GB"/>
        </w:rPr>
        <w:t xml:space="preserve"> change to ensure </w:t>
      </w:r>
      <w:r w:rsidR="00533E5B">
        <w:rPr>
          <w:lang w:val="en-GB"/>
        </w:rPr>
        <w:t>Section</w:t>
      </w:r>
      <w:r w:rsidR="0E0A2380" w:rsidRPr="1F954826">
        <w:rPr>
          <w:lang w:val="en-GB"/>
        </w:rPr>
        <w:t xml:space="preserve"> 1 (</w:t>
      </w:r>
      <w:r w:rsidR="0E0A2380" w:rsidRPr="1F954826">
        <w:rPr>
          <w:i/>
          <w:iCs/>
          <w:lang w:val="en-GB"/>
        </w:rPr>
        <w:t>Law applicable to arbitration agreement</w:t>
      </w:r>
      <w:r w:rsidR="0E0A2380" w:rsidRPr="1F954826">
        <w:rPr>
          <w:lang w:val="en-GB"/>
        </w:rPr>
        <w:t>) does not apply to arbitration agreements made between investors and states</w:t>
      </w:r>
      <w:r w:rsidR="5A8181B2" w:rsidRPr="1F954826">
        <w:rPr>
          <w:lang w:val="en-GB"/>
        </w:rPr>
        <w:t>,</w:t>
      </w:r>
      <w:r w:rsidR="3CC71C82" w:rsidRPr="1F954826">
        <w:rPr>
          <w:lang w:val="en-GB"/>
        </w:rPr>
        <w:t xml:space="preserve"> where</w:t>
      </w:r>
      <w:r w:rsidR="02BC7225" w:rsidRPr="1F954826">
        <w:rPr>
          <w:lang w:val="en-GB"/>
        </w:rPr>
        <w:t xml:space="preserve"> those agreements are</w:t>
      </w:r>
      <w:r w:rsidR="3CC71C82" w:rsidRPr="1F954826">
        <w:rPr>
          <w:lang w:val="en-GB"/>
        </w:rPr>
        <w:t xml:space="preserve"> </w:t>
      </w:r>
      <w:r w:rsidR="1B919354" w:rsidRPr="1F954826">
        <w:rPr>
          <w:lang w:val="en-GB"/>
        </w:rPr>
        <w:t xml:space="preserve">derived </w:t>
      </w:r>
      <w:r w:rsidR="548A22B0" w:rsidRPr="1F954826">
        <w:rPr>
          <w:lang w:val="en-GB"/>
        </w:rPr>
        <w:t>from</w:t>
      </w:r>
      <w:r w:rsidR="1B919354" w:rsidRPr="1F954826">
        <w:rPr>
          <w:lang w:val="en-GB"/>
        </w:rPr>
        <w:t xml:space="preserve"> </w:t>
      </w:r>
      <w:r w:rsidR="3CC71C82" w:rsidRPr="1F954826">
        <w:rPr>
          <w:lang w:val="en-GB"/>
        </w:rPr>
        <w:t xml:space="preserve">treaties or </w:t>
      </w:r>
      <w:r w:rsidR="66B43699" w:rsidRPr="1F954826">
        <w:rPr>
          <w:lang w:val="en-GB"/>
        </w:rPr>
        <w:t xml:space="preserve">non-UK </w:t>
      </w:r>
      <w:r w:rsidR="060533B7" w:rsidRPr="1F954826">
        <w:rPr>
          <w:lang w:val="en-GB"/>
        </w:rPr>
        <w:t xml:space="preserve">legislation </w:t>
      </w:r>
      <w:r w:rsidR="0E0A2380" w:rsidRPr="1F954826">
        <w:rPr>
          <w:lang w:val="en-GB"/>
        </w:rPr>
        <w:t>(see para. 1</w:t>
      </w:r>
      <w:r w:rsidR="00386CC1">
        <w:rPr>
          <w:lang w:val="en-GB"/>
        </w:rPr>
        <w:t>7</w:t>
      </w:r>
      <w:r w:rsidR="0E0A2380" w:rsidRPr="1F954826">
        <w:rPr>
          <w:lang w:val="en-GB"/>
        </w:rPr>
        <w:t xml:space="preserve"> below).</w:t>
      </w:r>
      <w:r w:rsidR="0074648E">
        <w:rPr>
          <w:lang w:val="en-GB"/>
        </w:rPr>
        <w:t xml:space="preserve"> This </w:t>
      </w:r>
      <w:r w:rsidR="00533E5B">
        <w:rPr>
          <w:lang w:val="en-GB"/>
        </w:rPr>
        <w:t>Act</w:t>
      </w:r>
      <w:r w:rsidR="0074648E">
        <w:rPr>
          <w:lang w:val="en-GB"/>
        </w:rPr>
        <w:t xml:space="preserve"> was amended in the House of Lords at Committee Stage, so the wording of </w:t>
      </w:r>
      <w:r w:rsidR="00533E5B">
        <w:rPr>
          <w:lang w:val="en-GB"/>
        </w:rPr>
        <w:t>Section</w:t>
      </w:r>
      <w:r w:rsidR="0074648E">
        <w:rPr>
          <w:lang w:val="en-GB"/>
        </w:rPr>
        <w:t xml:space="preserve"> 13 (</w:t>
      </w:r>
      <w:r w:rsidR="0074648E" w:rsidRPr="003C2F3A">
        <w:rPr>
          <w:i/>
          <w:iCs/>
          <w:lang w:val="en-GB"/>
        </w:rPr>
        <w:t>Appeals</w:t>
      </w:r>
      <w:r w:rsidR="00856CE8">
        <w:rPr>
          <w:i/>
          <w:iCs/>
          <w:lang w:val="en-GB"/>
        </w:rPr>
        <w:t xml:space="preserve"> to Court of Appeal</w:t>
      </w:r>
      <w:r w:rsidR="0074648E" w:rsidRPr="003C2F3A">
        <w:rPr>
          <w:i/>
          <w:iCs/>
          <w:lang w:val="en-GB"/>
        </w:rPr>
        <w:t xml:space="preserve"> from High Court decisions</w:t>
      </w:r>
      <w:r w:rsidR="0074648E">
        <w:rPr>
          <w:lang w:val="en-GB"/>
        </w:rPr>
        <w:t xml:space="preserve">) gives better effect to the underlying policy intention (see para. 45 below).  </w:t>
      </w:r>
    </w:p>
    <w:bookmarkEnd w:id="5" w:displacedByCustomXml="next"/>
    <w:bookmarkEnd w:id="10" w:displacedByCustomXml="next"/>
    <w:bookmarkStart w:id="11" w:name="_Toc194071832" w:displacedByCustomXml="next"/>
    <w:bookmarkStart w:id="12" w:name="_Toc416612128" w:displacedByCustomXml="next"/>
    <w:bookmarkStart w:id="13" w:name="_Toc410653885" w:displacedByCustomXml="next"/>
    <w:bookmarkStart w:id="14" w:name="_Toc417648113" w:displacedByCustomXml="next"/>
    <w:bookmarkStart w:id="15" w:name="_Toc418587922" w:displacedByCustomXml="next"/>
    <w:sdt>
      <w:sdtPr>
        <w:id w:val="-916626073"/>
        <w:lock w:val="sdtContentLocked"/>
        <w:placeholder>
          <w:docPart w:val="DefaultPlaceholder_1081868574"/>
        </w:placeholder>
        <w:group/>
      </w:sdtPr>
      <w:sdtEndPr/>
      <w:sdtContent>
        <w:p w14:paraId="460847F1" w14:textId="77777777" w:rsidR="00E718E1" w:rsidRPr="00CA4237" w:rsidRDefault="00E718E1" w:rsidP="005E1288">
          <w:pPr>
            <w:pStyle w:val="Heading1"/>
            <w:keepNext/>
          </w:pPr>
          <w:r w:rsidRPr="00CA4237">
            <w:t>Legal background</w:t>
          </w:r>
        </w:p>
      </w:sdtContent>
    </w:sdt>
    <w:bookmarkEnd w:id="11" w:displacedByCustomXml="prev"/>
    <w:p w14:paraId="2D4A55B0" w14:textId="50CB70C6" w:rsidR="0029426E" w:rsidRPr="0029426E" w:rsidRDefault="0029426E" w:rsidP="002F4FEF">
      <w:pPr>
        <w:pStyle w:val="ParaNumbered"/>
        <w:ind w:left="714" w:hanging="357"/>
        <w:jc w:val="both"/>
      </w:pPr>
      <w:r w:rsidRPr="3BF333A6">
        <w:rPr>
          <w:lang w:val="en-GB"/>
        </w:rPr>
        <w:t>The current legislation governing arbitration in England, Wales, and Northern Ireland, is primarily the 1996</w:t>
      </w:r>
      <w:r w:rsidR="00DC204D">
        <w:rPr>
          <w:lang w:val="en-GB"/>
        </w:rPr>
        <w:t xml:space="preserve"> Act</w:t>
      </w:r>
      <w:r w:rsidRPr="3BF333A6">
        <w:rPr>
          <w:lang w:val="en-GB"/>
        </w:rPr>
        <w:t xml:space="preserve">. By section 99 of the 1996 Act, Part II of the Arbitration Act 1950 continues to apply to the enforcement of foreign arbitral awards under the Geneva Convention 1923. However, for the enforcement of foreign arbitral awards, almost all countries have signed up instead to the later New York Convention 1958. Part III of the 1996 Act gives effect to the New York Convention. </w:t>
      </w:r>
      <w:r w:rsidR="0051202B">
        <w:rPr>
          <w:lang w:val="en-GB"/>
        </w:rPr>
        <w:t xml:space="preserve">Investor-state arbitrations which fall under the Convention on the Settlement of Investment Disputes between States and Nationals of Other States (the ICSID Convention) are separately governed by the Arbitration (International Investment Disputes) Act 1966. </w:t>
      </w:r>
      <w:r w:rsidRPr="3BF333A6">
        <w:rPr>
          <w:lang w:val="en-GB"/>
        </w:rPr>
        <w:t xml:space="preserve">The Arbitration (Scotland) Act 2010 governs arbitration in Scotland. </w:t>
      </w:r>
    </w:p>
    <w:p w14:paraId="6F9BDDA6" w14:textId="3CE20927" w:rsidR="00BA33C6" w:rsidRDefault="00BA33C6">
      <w:pPr>
        <w:rPr>
          <w:rFonts w:ascii="Arial" w:eastAsiaTheme="majorEastAsia" w:hAnsi="Arial" w:cstheme="majorBidi"/>
          <w:b/>
          <w:bCs/>
          <w:color w:val="0070C0"/>
          <w:sz w:val="36"/>
          <w:szCs w:val="28"/>
        </w:rPr>
      </w:pPr>
      <w:bookmarkStart w:id="16" w:name="_Toc410653886"/>
      <w:bookmarkStart w:id="17" w:name="_Toc416612130"/>
      <w:r>
        <w:br w:type="page"/>
      </w:r>
      <w:bookmarkStart w:id="18" w:name="_Toc417648115"/>
      <w:bookmarkStart w:id="19" w:name="_Toc418587924"/>
    </w:p>
    <w:bookmarkEnd w:id="12" w:displacedByCustomXml="next"/>
    <w:bookmarkEnd w:id="13" w:displacedByCustomXml="next"/>
    <w:bookmarkEnd w:id="14" w:displacedByCustomXml="next"/>
    <w:bookmarkEnd w:id="15" w:displacedByCustomXml="next"/>
    <w:bookmarkStart w:id="20" w:name="_Toc194071833" w:displacedByCustomXml="next"/>
    <w:sdt>
      <w:sdtPr>
        <w:id w:val="263728"/>
        <w:lock w:val="sdtContentLocked"/>
        <w:placeholder>
          <w:docPart w:val="E981BF7FA6DB4EBF8FCB1771437805B3"/>
        </w:placeholder>
        <w:group/>
      </w:sdtPr>
      <w:sdtEndPr/>
      <w:sdtContent>
        <w:p w14:paraId="49931CEB" w14:textId="77777777" w:rsidR="00E718E1" w:rsidRPr="00CA4237" w:rsidRDefault="00E718E1" w:rsidP="005E1288">
          <w:pPr>
            <w:pStyle w:val="Heading1"/>
            <w:keepNext/>
          </w:pPr>
          <w:r w:rsidRPr="00CA4237">
            <w:t>Territorial extent and application</w:t>
          </w:r>
        </w:p>
      </w:sdtContent>
    </w:sdt>
    <w:bookmarkEnd w:id="20" w:displacedByCustomXml="prev"/>
    <w:bookmarkEnd w:id="19" w:displacedByCustomXml="prev"/>
    <w:bookmarkEnd w:id="18" w:displacedByCustomXml="prev"/>
    <w:bookmarkEnd w:id="17" w:displacedByCustomXml="prev"/>
    <w:p w14:paraId="5F01AAFC" w14:textId="732C28AB" w:rsidR="00B11FDE" w:rsidRDefault="00B11FDE" w:rsidP="000C0655">
      <w:pPr>
        <w:pStyle w:val="ParaNumbered"/>
        <w:ind w:left="714" w:hanging="357"/>
        <w:jc w:val="both"/>
        <w:rPr>
          <w:lang w:val="en-GB"/>
        </w:rPr>
      </w:pPr>
      <w:r>
        <w:rPr>
          <w:lang w:val="en-GB"/>
        </w:rPr>
        <w:t>Section 16 sets out the territorial extent of th</w:t>
      </w:r>
      <w:r w:rsidR="00DC204D">
        <w:rPr>
          <w:lang w:val="en-GB"/>
        </w:rPr>
        <w:t>is</w:t>
      </w:r>
      <w:r>
        <w:rPr>
          <w:lang w:val="en-GB"/>
        </w:rPr>
        <w:t xml:space="preserve"> Act. </w:t>
      </w:r>
    </w:p>
    <w:p w14:paraId="391CA860" w14:textId="399A65CF" w:rsidR="00B11FDE" w:rsidRDefault="00B11FDE" w:rsidP="000C0655">
      <w:pPr>
        <w:pStyle w:val="ParaNumbered"/>
        <w:ind w:left="714" w:hanging="357"/>
        <w:jc w:val="both"/>
        <w:rPr>
          <w:lang w:val="en-GB"/>
        </w:rPr>
      </w:pPr>
      <w:r>
        <w:rPr>
          <w:lang w:val="en-GB"/>
        </w:rPr>
        <w:t>The provisions of th</w:t>
      </w:r>
      <w:r w:rsidR="00DC204D">
        <w:rPr>
          <w:lang w:val="en-GB"/>
        </w:rPr>
        <w:t>is</w:t>
      </w:r>
      <w:r>
        <w:rPr>
          <w:lang w:val="en-GB"/>
        </w:rPr>
        <w:t xml:space="preserve"> Act extend and apply to England, Wales</w:t>
      </w:r>
      <w:r w:rsidR="000C0655">
        <w:rPr>
          <w:lang w:val="en-GB"/>
        </w:rPr>
        <w:t>,</w:t>
      </w:r>
      <w:r>
        <w:rPr>
          <w:lang w:val="en-GB"/>
        </w:rPr>
        <w:t xml:space="preserve"> and Northern Ireland. This mirrors the territorial extent and application of the 1996</w:t>
      </w:r>
      <w:r w:rsidR="00DC204D">
        <w:rPr>
          <w:lang w:val="en-GB"/>
        </w:rPr>
        <w:t xml:space="preserve"> Act</w:t>
      </w:r>
      <w:r>
        <w:rPr>
          <w:lang w:val="en-GB"/>
        </w:rPr>
        <w:t xml:space="preserve">. </w:t>
      </w:r>
    </w:p>
    <w:p w14:paraId="4832500B" w14:textId="1228FFD0" w:rsidR="00DF3153" w:rsidRPr="00B11FDE" w:rsidRDefault="00DF3153" w:rsidP="000C0655">
      <w:pPr>
        <w:pStyle w:val="ParaNumbered"/>
        <w:ind w:left="714" w:hanging="357"/>
        <w:jc w:val="both"/>
        <w:rPr>
          <w:lang w:val="en-GB"/>
        </w:rPr>
      </w:pPr>
      <w:r>
        <w:rPr>
          <w:lang w:val="en-GB"/>
        </w:rPr>
        <w:t>Th</w:t>
      </w:r>
      <w:r w:rsidR="00DC204D">
        <w:rPr>
          <w:lang w:val="en-GB"/>
        </w:rPr>
        <w:t>is</w:t>
      </w:r>
      <w:r>
        <w:rPr>
          <w:lang w:val="en-GB"/>
        </w:rPr>
        <w:t xml:space="preserve"> Act does not extend to the Channel Islands, the Isle of Man or the British Overseas Territories. </w:t>
      </w:r>
    </w:p>
    <w:p w14:paraId="50D262F7" w14:textId="77777777" w:rsidR="0035622C" w:rsidRPr="00AE5693" w:rsidRDefault="0035622C" w:rsidP="00803912">
      <w:pPr>
        <w:spacing w:after="150"/>
        <w:ind w:left="363"/>
        <w:rPr>
          <w:rStyle w:val="StyleLatinPalatinoLinotype10ptBlack"/>
        </w:rPr>
      </w:pPr>
      <w:r w:rsidRPr="00CA4237">
        <w:br w:type="page"/>
      </w:r>
      <w:bookmarkStart w:id="21" w:name="_Toc417648116"/>
      <w:bookmarkStart w:id="22" w:name="_Toc418587925"/>
    </w:p>
    <w:bookmarkEnd w:id="16" w:displacedByCustomXml="next"/>
    <w:bookmarkStart w:id="23" w:name="_Toc194071834" w:displacedByCustomXml="next"/>
    <w:bookmarkStart w:id="24" w:name="_Toc416612131" w:displacedByCustomXml="next"/>
    <w:bookmarkStart w:id="25" w:name="_Toc410653887" w:displacedByCustomXml="next"/>
    <w:sdt>
      <w:sdtPr>
        <w:id w:val="263729"/>
        <w:lock w:val="sdtContentLocked"/>
        <w:placeholder>
          <w:docPart w:val="E981BF7FA6DB4EBF8FCB1771437805B3"/>
        </w:placeholder>
        <w:group/>
      </w:sdtPr>
      <w:sdtEndPr/>
      <w:sdtContent>
        <w:p w14:paraId="322B7A0B" w14:textId="35937391" w:rsidR="00E718E1" w:rsidRPr="00CA4237" w:rsidRDefault="00E718E1" w:rsidP="00AC258C">
          <w:pPr>
            <w:pStyle w:val="Heading1"/>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2E2D47">
                <w:t>Act</w:t>
              </w:r>
            </w:sdtContent>
          </w:sdt>
        </w:p>
      </w:sdtContent>
    </w:sdt>
    <w:bookmarkEnd w:id="23" w:displacedByCustomXml="prev"/>
    <w:bookmarkEnd w:id="24" w:displacedByCustomXml="prev"/>
    <w:bookmarkEnd w:id="22" w:displacedByCustomXml="prev"/>
    <w:bookmarkEnd w:id="21" w:displacedByCustomXml="prev"/>
    <w:p w14:paraId="34EC81C6" w14:textId="77777777" w:rsidR="0029426E" w:rsidRPr="00DE1282" w:rsidRDefault="0029426E" w:rsidP="005705CE">
      <w:pPr>
        <w:pStyle w:val="Heading3"/>
      </w:pPr>
      <w:bookmarkStart w:id="26" w:name="_Toc410653892"/>
      <w:bookmarkStart w:id="27" w:name="_Toc416612139"/>
      <w:bookmarkStart w:id="28" w:name="_Toc417648124"/>
      <w:bookmarkStart w:id="29" w:name="_Toc418587934"/>
      <w:r w:rsidRPr="00DE1282">
        <w:t>Applicable law</w:t>
      </w:r>
    </w:p>
    <w:p w14:paraId="703B5AAD" w14:textId="4285BA72" w:rsidR="0029426E" w:rsidRPr="005705CE" w:rsidRDefault="00533E5B" w:rsidP="005705CE">
      <w:pPr>
        <w:pStyle w:val="HSubheading4"/>
      </w:pPr>
      <w:bookmarkStart w:id="30" w:name="_Toc410653889"/>
      <w:bookmarkStart w:id="31" w:name="_Toc416612134"/>
      <w:bookmarkStart w:id="32" w:name="_Toc417648119"/>
      <w:bookmarkStart w:id="33" w:name="_Toc418587928"/>
      <w:bookmarkStart w:id="34" w:name="_Toc150515255"/>
      <w:r w:rsidRPr="005705CE">
        <w:t>Section</w:t>
      </w:r>
      <w:r w:rsidR="0029426E" w:rsidRPr="005705CE">
        <w:t xml:space="preserve"> 1</w:t>
      </w:r>
      <w:bookmarkEnd w:id="30"/>
      <w:bookmarkEnd w:id="31"/>
      <w:bookmarkEnd w:id="32"/>
      <w:bookmarkEnd w:id="33"/>
      <w:r w:rsidR="0029426E" w:rsidRPr="005705CE">
        <w:t>: Law applicable to arbitration agreement</w:t>
      </w:r>
      <w:bookmarkEnd w:id="34"/>
    </w:p>
    <w:p w14:paraId="30127F35" w14:textId="60B34424" w:rsidR="0029426E" w:rsidRPr="0029426E" w:rsidRDefault="00533E5B" w:rsidP="00823D48">
      <w:pPr>
        <w:pStyle w:val="ParaNumbered"/>
        <w:ind w:left="717"/>
        <w:jc w:val="both"/>
      </w:pPr>
      <w:r>
        <w:rPr>
          <w:lang w:val="en-GB"/>
        </w:rPr>
        <w:t>Section</w:t>
      </w:r>
      <w:r w:rsidR="0029426E" w:rsidRPr="3BF333A6">
        <w:rPr>
          <w:lang w:val="en-GB"/>
        </w:rPr>
        <w:t xml:space="preserve"> 1 replaces the common law in </w:t>
      </w:r>
      <w:r w:rsidR="0029426E" w:rsidRPr="003C2F3A">
        <w:rPr>
          <w:i/>
          <w:iCs/>
          <w:lang w:val="en-GB"/>
        </w:rPr>
        <w:t>Enka v Chubb</w:t>
      </w:r>
      <w:r w:rsidR="0029426E" w:rsidRPr="3BF333A6">
        <w:rPr>
          <w:lang w:val="en-GB"/>
        </w:rPr>
        <w:t xml:space="preserve"> (2020)</w:t>
      </w:r>
      <w:r w:rsidR="0029426E" w:rsidRPr="3BF333A6">
        <w:rPr>
          <w:rStyle w:val="FootnoteReference"/>
          <w:lang w:val="en-GB"/>
        </w:rPr>
        <w:footnoteReference w:id="5"/>
      </w:r>
      <w:r w:rsidR="000C0655">
        <w:rPr>
          <w:lang w:val="en-GB"/>
        </w:rPr>
        <w:t xml:space="preserve"> </w:t>
      </w:r>
      <w:r w:rsidR="0029426E" w:rsidRPr="3BF333A6">
        <w:rPr>
          <w:lang w:val="en-GB"/>
        </w:rPr>
        <w:t>with a statutory rule. By insert</w:t>
      </w:r>
      <w:r w:rsidR="00882291" w:rsidRPr="3BF333A6">
        <w:rPr>
          <w:lang w:val="en-GB"/>
        </w:rPr>
        <w:t>ing</w:t>
      </w:r>
      <w:r w:rsidR="0029426E" w:rsidRPr="3BF333A6">
        <w:rPr>
          <w:lang w:val="en-GB"/>
        </w:rPr>
        <w:t xml:space="preserve"> section 6A(1)</w:t>
      </w:r>
      <w:r w:rsidR="00882291" w:rsidRPr="3BF333A6">
        <w:rPr>
          <w:lang w:val="en-GB"/>
        </w:rPr>
        <w:t xml:space="preserve"> into the 1996</w:t>
      </w:r>
      <w:r w:rsidR="00645C20">
        <w:rPr>
          <w:lang w:val="en-GB"/>
        </w:rPr>
        <w:t xml:space="preserve"> Act</w:t>
      </w:r>
      <w:r w:rsidR="0029426E" w:rsidRPr="3BF333A6">
        <w:rPr>
          <w:lang w:val="en-GB"/>
        </w:rPr>
        <w:t xml:space="preserve">, the law governing the arbitration agreement </w:t>
      </w:r>
      <w:r w:rsidR="00DF3153">
        <w:rPr>
          <w:lang w:val="en-GB"/>
        </w:rPr>
        <w:t>is</w:t>
      </w:r>
      <w:r w:rsidR="0029426E" w:rsidRPr="3BF333A6">
        <w:rPr>
          <w:lang w:val="en-GB"/>
        </w:rPr>
        <w:t xml:space="preserve"> the law expressly chosen by the parties, otherwise it </w:t>
      </w:r>
      <w:r w:rsidR="00DF3153">
        <w:rPr>
          <w:lang w:val="en-GB"/>
        </w:rPr>
        <w:t>is</w:t>
      </w:r>
      <w:r w:rsidR="0029426E" w:rsidRPr="3BF333A6">
        <w:rPr>
          <w:lang w:val="en-GB"/>
        </w:rPr>
        <w:t xml:space="preserve"> the law of the seat</w:t>
      </w:r>
      <w:r w:rsidR="00BD2009">
        <w:rPr>
          <w:lang w:val="en-GB"/>
        </w:rPr>
        <w:t xml:space="preserve">, except in the cases where the </w:t>
      </w:r>
      <w:r w:rsidR="00BD2009" w:rsidRPr="002B79B4">
        <w:rPr>
          <w:lang w:val="en-GB"/>
        </w:rPr>
        <w:t>arbitration agreement arises from a treaty</w:t>
      </w:r>
      <w:r w:rsidR="00BD2009">
        <w:rPr>
          <w:lang w:val="en-GB"/>
        </w:rPr>
        <w:t xml:space="preserve"> (see below)</w:t>
      </w:r>
      <w:r w:rsidR="0029426E" w:rsidRPr="3BF333A6">
        <w:rPr>
          <w:lang w:val="en-GB"/>
        </w:rPr>
        <w:t>. This is regardless of where the arbitration is seated. For example, where the arbitration is seated in England and Wales, then the agreement to arbitrate will usually be governed by the law of England and Wales. By inserted section 6A(2), any law chosen to govern the main contract does not count as an express choice of law to govern the agreement to arbitrate.</w:t>
      </w:r>
    </w:p>
    <w:p w14:paraId="50A6DE82" w14:textId="6C25ED3B" w:rsidR="0029426E" w:rsidRDefault="0029426E" w:rsidP="00823D48">
      <w:pPr>
        <w:pStyle w:val="ParaNumbered"/>
        <w:ind w:left="714" w:hanging="357"/>
        <w:jc w:val="both"/>
        <w:rPr>
          <w:lang w:val="en-GB"/>
        </w:rPr>
      </w:pPr>
      <w:r w:rsidRPr="5A2FD8C7">
        <w:rPr>
          <w:lang w:val="en-GB"/>
        </w:rPr>
        <w:t xml:space="preserve">The reason for </w:t>
      </w:r>
      <w:r w:rsidR="00DF3153">
        <w:rPr>
          <w:lang w:val="en-GB"/>
        </w:rPr>
        <w:t>s</w:t>
      </w:r>
      <w:r w:rsidR="00533E5B">
        <w:rPr>
          <w:lang w:val="en-GB"/>
        </w:rPr>
        <w:t>ection</w:t>
      </w:r>
      <w:r w:rsidRPr="5A2FD8C7">
        <w:rPr>
          <w:lang w:val="en-GB"/>
        </w:rPr>
        <w:t xml:space="preserve"> 1 is as follows. The 1996</w:t>
      </w:r>
      <w:r w:rsidR="00645C20">
        <w:rPr>
          <w:lang w:val="en-GB"/>
        </w:rPr>
        <w:t xml:space="preserve"> Act</w:t>
      </w:r>
      <w:r w:rsidRPr="5A2FD8C7">
        <w:rPr>
          <w:lang w:val="en-GB"/>
        </w:rPr>
        <w:t xml:space="preserve"> applies when the parties have agreed in writing to arbitrate their dispute. Often the agreement to arbitrate is a </w:t>
      </w:r>
      <w:r w:rsidR="00DF3153">
        <w:rPr>
          <w:lang w:val="en-GB"/>
        </w:rPr>
        <w:t>s</w:t>
      </w:r>
      <w:r w:rsidR="00533E5B">
        <w:rPr>
          <w:lang w:val="en-GB"/>
        </w:rPr>
        <w:t>ection</w:t>
      </w:r>
      <w:r w:rsidRPr="5A2FD8C7">
        <w:rPr>
          <w:lang w:val="en-GB"/>
        </w:rPr>
        <w:t xml:space="preserve"> in a main contract. For example, there might be a main contract to build a factory, and one of the </w:t>
      </w:r>
      <w:r w:rsidR="00DF3153">
        <w:rPr>
          <w:lang w:val="en-GB"/>
        </w:rPr>
        <w:t>clauses</w:t>
      </w:r>
      <w:r w:rsidRPr="5A2FD8C7">
        <w:rPr>
          <w:lang w:val="en-GB"/>
        </w:rPr>
        <w:t xml:space="preserve"> provides that any dispute will be resolved through arbitration. Although the agreement to arbitrate is a </w:t>
      </w:r>
      <w:r w:rsidR="00DF3153">
        <w:rPr>
          <w:lang w:val="en-GB"/>
        </w:rPr>
        <w:t>clause</w:t>
      </w:r>
      <w:r w:rsidRPr="5A2FD8C7">
        <w:rPr>
          <w:lang w:val="en-GB"/>
        </w:rPr>
        <w:t xml:space="preserve"> in a main contract, the law sometimes treats the agreement to arbitrate as a free-standing or separable agreement.</w:t>
      </w:r>
    </w:p>
    <w:p w14:paraId="2CB2FB4B" w14:textId="77777777" w:rsidR="0029426E" w:rsidRDefault="0029426E" w:rsidP="00823D48">
      <w:pPr>
        <w:pStyle w:val="ParaNumbered"/>
        <w:ind w:left="714" w:hanging="357"/>
        <w:jc w:val="both"/>
        <w:rPr>
          <w:lang w:val="en-GB"/>
        </w:rPr>
      </w:pPr>
      <w:r w:rsidRPr="5A2FD8C7">
        <w:rPr>
          <w:lang w:val="en-GB"/>
        </w:rPr>
        <w:t>There may be an international dimension to a main contract and its agreement to arbitrate. For example, one party might be German, and the other party Chinese, with both agreeing to resolve their dispute by way of arbitration in London (as a neutral venue). In such circumstances, it is necessary to determine which country’s laws govern the agreement to arbitrate. In the present example, the agreement to arbitrate could be governed by the law of Germany, or China, or England and Wales, or another law entirely. Determining the governing law is important, as different governing laws may give different answers to important questions like who is party to the agreement (for example, whether the agreement extends to a subsidiary company), and whether this type of dispute is even capable of resolution by arbitration (as a matter of public policy, some types of dispute must be resolved by the courts rather than through arbitration).</w:t>
      </w:r>
    </w:p>
    <w:p w14:paraId="695F2C75" w14:textId="4116AD41" w:rsidR="0029426E" w:rsidRDefault="0029426E" w:rsidP="00823D48">
      <w:pPr>
        <w:pStyle w:val="ParaNumbered"/>
        <w:ind w:left="714" w:hanging="357"/>
        <w:jc w:val="both"/>
        <w:rPr>
          <w:lang w:val="en-GB"/>
        </w:rPr>
      </w:pPr>
      <w:r w:rsidRPr="5A2FD8C7">
        <w:rPr>
          <w:lang w:val="en-GB"/>
        </w:rPr>
        <w:t xml:space="preserve">In its decision in </w:t>
      </w:r>
      <w:r w:rsidRPr="003C2F3A">
        <w:rPr>
          <w:i/>
          <w:iCs/>
          <w:lang w:val="en-GB"/>
        </w:rPr>
        <w:t>Enka v Chubb</w:t>
      </w:r>
      <w:r w:rsidRPr="5A2FD8C7">
        <w:rPr>
          <w:lang w:val="en-GB"/>
        </w:rPr>
        <w:t xml:space="preserve">, the Supreme Court said, broadly, as follows. The agreement to arbitrate is governed by the law chosen by the parties. </w:t>
      </w:r>
      <w:r w:rsidR="0074648E">
        <w:rPr>
          <w:lang w:val="en-GB"/>
        </w:rPr>
        <w:t>This can mean that</w:t>
      </w:r>
      <w:r w:rsidRPr="5A2FD8C7">
        <w:rPr>
          <w:lang w:val="en-GB"/>
        </w:rPr>
        <w:t xml:space="preserve"> the agreement to arbitrate is governed by the law chosen to govern the main contract – unless, for example, that law would invalidate the agreement to arbitrate. Otherwise the agreement to arbitrate will be governed by the law with which it is most closely connected, which is usually the law of the seat. The seat is the place where the arbitration is deemed legally to occur (even if hearings take place elsewhere or online). In the above example, the seat of the arbitration is England and Wales (London).</w:t>
      </w:r>
    </w:p>
    <w:p w14:paraId="77D3AC28" w14:textId="11BFB5D2" w:rsidR="0029426E" w:rsidRDefault="0029426E" w:rsidP="00823D48">
      <w:pPr>
        <w:pStyle w:val="ParaNumbered"/>
        <w:ind w:left="714" w:hanging="357"/>
        <w:jc w:val="both"/>
        <w:rPr>
          <w:lang w:val="en-GB"/>
        </w:rPr>
      </w:pPr>
      <w:r w:rsidRPr="5A2FD8C7">
        <w:rPr>
          <w:lang w:val="en-GB"/>
        </w:rPr>
        <w:t>It is common for there to be an express choice of law to govern the main contract, and an express choice of seat for an arbitration, but no</w:t>
      </w:r>
      <w:r w:rsidR="0074648E">
        <w:rPr>
          <w:lang w:val="en-GB"/>
        </w:rPr>
        <w:t xml:space="preserve"> express</w:t>
      </w:r>
      <w:r w:rsidRPr="5A2FD8C7">
        <w:rPr>
          <w:lang w:val="en-GB"/>
        </w:rPr>
        <w:t xml:space="preserve"> choice of law to govern the agreement to arbitrate. It is therefore common for an arbitration to be seated in England and Wales but, as a result of the decision in </w:t>
      </w:r>
      <w:r w:rsidRPr="003C2F3A">
        <w:rPr>
          <w:i/>
          <w:iCs/>
          <w:lang w:val="en-GB"/>
        </w:rPr>
        <w:t>Enka v Chubb</w:t>
      </w:r>
      <w:r w:rsidRPr="5A2FD8C7">
        <w:rPr>
          <w:lang w:val="en-GB"/>
        </w:rPr>
        <w:t xml:space="preserve">, for the arbitration agreement to be governed by a foreign law (the law governing the main contract). </w:t>
      </w:r>
      <w:r w:rsidR="00533E5B">
        <w:rPr>
          <w:lang w:val="en-GB"/>
        </w:rPr>
        <w:t>Section</w:t>
      </w:r>
      <w:r w:rsidRPr="5A2FD8C7">
        <w:rPr>
          <w:lang w:val="en-GB"/>
        </w:rPr>
        <w:t xml:space="preserve"> 1 provides a new default rule that aligns the seat of the arbitration with the law governing the arbitration agreement. For example, where an arbitration is seated in England and Wales, then by default the agreement to arbitrate will now </w:t>
      </w:r>
      <w:r w:rsidRPr="5A2FD8C7">
        <w:rPr>
          <w:lang w:val="en-GB"/>
        </w:rPr>
        <w:lastRenderedPageBreak/>
        <w:t>be governed by the law of England and Wales. This is unless the parties expressly agree a different law to govern the arbitration agreement.</w:t>
      </w:r>
      <w:r w:rsidR="0074648E">
        <w:rPr>
          <w:lang w:val="en-GB"/>
        </w:rPr>
        <w:t xml:space="preserve"> Where no seat has yet been agreed or designated, </w:t>
      </w:r>
      <w:r w:rsidR="005270A1">
        <w:rPr>
          <w:lang w:val="en-GB"/>
        </w:rPr>
        <w:t>the courts could if necessary resolve the matter.</w:t>
      </w:r>
      <w:r w:rsidR="0074648E">
        <w:rPr>
          <w:lang w:val="en-GB"/>
        </w:rPr>
        <w:t xml:space="preserve"> </w:t>
      </w:r>
    </w:p>
    <w:p w14:paraId="2A963238" w14:textId="10E5EBE6" w:rsidR="00F15E08" w:rsidRPr="00E51AB6" w:rsidRDefault="00AA6C2E" w:rsidP="00823D48">
      <w:pPr>
        <w:pStyle w:val="ParaNumbered"/>
        <w:ind w:left="714" w:hanging="357"/>
        <w:jc w:val="both"/>
        <w:rPr>
          <w:lang w:val="en-GB"/>
        </w:rPr>
      </w:pPr>
      <w:r>
        <w:rPr>
          <w:lang w:val="en-GB"/>
        </w:rPr>
        <w:t xml:space="preserve">However, inserted section 6A(3) and (4) provide that the section </w:t>
      </w:r>
      <w:r w:rsidR="00F94695" w:rsidRPr="00123488">
        <w:rPr>
          <w:lang w:val="en-GB"/>
        </w:rPr>
        <w:t>does not apply to arbitration agreements derived from standing offers to arbitrate contained in treaties or non-UK legislation</w:t>
      </w:r>
      <w:r w:rsidRPr="00F94695">
        <w:rPr>
          <w:lang w:val="en-GB"/>
        </w:rPr>
        <w:t>.</w:t>
      </w:r>
      <w:r>
        <w:rPr>
          <w:lang w:val="en-GB"/>
        </w:rPr>
        <w:t xml:space="preserve"> This means</w:t>
      </w:r>
      <w:r w:rsidR="0074648E">
        <w:rPr>
          <w:lang w:val="en-GB"/>
        </w:rPr>
        <w:t>, for example,</w:t>
      </w:r>
      <w:r>
        <w:rPr>
          <w:lang w:val="en-GB"/>
        </w:rPr>
        <w:t xml:space="preserve"> that </w:t>
      </w:r>
      <w:r w:rsidRPr="00AA6C2E">
        <w:rPr>
          <w:lang w:val="en-GB"/>
        </w:rPr>
        <w:t xml:space="preserve">non-ICSID investor-state arbitration agreements </w:t>
      </w:r>
      <w:r>
        <w:rPr>
          <w:lang w:val="en-GB"/>
        </w:rPr>
        <w:t xml:space="preserve">will </w:t>
      </w:r>
      <w:r w:rsidR="0074648E">
        <w:rPr>
          <w:lang w:val="en-GB"/>
        </w:rPr>
        <w:t xml:space="preserve">tend </w:t>
      </w:r>
      <w:r>
        <w:rPr>
          <w:lang w:val="en-GB"/>
        </w:rPr>
        <w:t xml:space="preserve">not </w:t>
      </w:r>
      <w:r w:rsidR="0074648E">
        <w:rPr>
          <w:lang w:val="en-GB"/>
        </w:rPr>
        <w:t xml:space="preserve">to </w:t>
      </w:r>
      <w:r>
        <w:rPr>
          <w:lang w:val="en-GB"/>
        </w:rPr>
        <w:t xml:space="preserve">be covered by the </w:t>
      </w:r>
      <w:r w:rsidR="00D30C1D">
        <w:rPr>
          <w:lang w:val="en-GB"/>
        </w:rPr>
        <w:t>default</w:t>
      </w:r>
      <w:r>
        <w:rPr>
          <w:lang w:val="en-GB"/>
        </w:rPr>
        <w:t xml:space="preserve"> rule in section 6A</w:t>
      </w:r>
      <w:r w:rsidR="0074648E">
        <w:rPr>
          <w:lang w:val="en-GB"/>
        </w:rPr>
        <w:t>(1)</w:t>
      </w:r>
      <w:r w:rsidR="00F15E08">
        <w:rPr>
          <w:lang w:val="en-GB"/>
        </w:rPr>
        <w:t xml:space="preserve">. </w:t>
      </w:r>
      <w:r w:rsidR="001F5763">
        <w:rPr>
          <w:lang w:val="en-GB"/>
        </w:rPr>
        <w:t>However, i</w:t>
      </w:r>
      <w:r w:rsidR="00F15E08" w:rsidRPr="00F15E08">
        <w:rPr>
          <w:lang w:val="en-GB"/>
        </w:rPr>
        <w:t>nvestor-state agreements which arise under commercial contracts</w:t>
      </w:r>
      <w:r w:rsidR="00F15E08">
        <w:rPr>
          <w:lang w:val="en-GB"/>
        </w:rPr>
        <w:t xml:space="preserve"> </w:t>
      </w:r>
      <w:r w:rsidR="0074648E">
        <w:rPr>
          <w:lang w:val="en-GB"/>
        </w:rPr>
        <w:t xml:space="preserve">(rather than treaties or foreign legislation) </w:t>
      </w:r>
      <w:r w:rsidR="00E75015">
        <w:rPr>
          <w:lang w:val="en-GB"/>
        </w:rPr>
        <w:t xml:space="preserve">will remain to be captured by the </w:t>
      </w:r>
      <w:r w:rsidR="003C74EF">
        <w:rPr>
          <w:lang w:val="en-GB"/>
        </w:rPr>
        <w:t xml:space="preserve">default </w:t>
      </w:r>
      <w:r w:rsidR="00E75015">
        <w:rPr>
          <w:lang w:val="en-GB"/>
        </w:rPr>
        <w:t>rule in</w:t>
      </w:r>
      <w:r w:rsidR="00F15E08">
        <w:rPr>
          <w:lang w:val="en-GB"/>
        </w:rPr>
        <w:t xml:space="preserve"> inserted section 6A</w:t>
      </w:r>
      <w:r w:rsidR="0074648E">
        <w:rPr>
          <w:lang w:val="en-GB"/>
        </w:rPr>
        <w:t>(1)</w:t>
      </w:r>
      <w:r w:rsidR="008E695A">
        <w:rPr>
          <w:lang w:val="en-GB"/>
        </w:rPr>
        <w:t>.</w:t>
      </w:r>
    </w:p>
    <w:p w14:paraId="54B2938E" w14:textId="77777777" w:rsidR="0029426E" w:rsidRPr="00DE1282" w:rsidRDefault="0029426E" w:rsidP="005705CE">
      <w:pPr>
        <w:pStyle w:val="Heading3"/>
      </w:pPr>
      <w:r>
        <w:t>The arbitral tribunal</w:t>
      </w:r>
    </w:p>
    <w:p w14:paraId="61D3935D" w14:textId="0CEBBF4D" w:rsidR="0029426E" w:rsidRPr="005705CE" w:rsidRDefault="00533E5B" w:rsidP="005705CE">
      <w:pPr>
        <w:pStyle w:val="HSubheading4"/>
      </w:pPr>
      <w:bookmarkStart w:id="35" w:name="_Toc418587930"/>
      <w:bookmarkStart w:id="36" w:name="_Toc150515256"/>
      <w:r w:rsidRPr="005705CE">
        <w:t>Section</w:t>
      </w:r>
      <w:r w:rsidR="0029426E" w:rsidRPr="005705CE">
        <w:t xml:space="preserve"> 2: </w:t>
      </w:r>
      <w:bookmarkEnd w:id="35"/>
      <w:r w:rsidR="0029426E" w:rsidRPr="005705CE">
        <w:t>Impartiality: duty of disclosure</w:t>
      </w:r>
      <w:bookmarkEnd w:id="36"/>
    </w:p>
    <w:p w14:paraId="0CC93C64" w14:textId="1059263D" w:rsidR="0029426E" w:rsidRPr="0029426E" w:rsidRDefault="0029426E" w:rsidP="00DF3153">
      <w:pPr>
        <w:pStyle w:val="ParaNumbered"/>
        <w:ind w:left="714" w:hanging="357"/>
        <w:jc w:val="both"/>
      </w:pPr>
      <w:r w:rsidRPr="3BF333A6">
        <w:t>The 1996</w:t>
      </w:r>
      <w:r w:rsidR="00645C20">
        <w:t xml:space="preserve"> Act</w:t>
      </w:r>
      <w:r w:rsidRPr="3BF333A6">
        <w:t xml:space="preserve"> </w:t>
      </w:r>
      <w:r w:rsidR="00645C20">
        <w:t xml:space="preserve">(section 33) </w:t>
      </w:r>
      <w:r w:rsidRPr="3BF333A6">
        <w:t xml:space="preserve">imposes a duty of impartiality on arbitrators. Additionally, a duty of disclosure was recognised by the Supreme Court in its decision in </w:t>
      </w:r>
      <w:r w:rsidRPr="003C2F3A">
        <w:rPr>
          <w:i/>
          <w:iCs/>
        </w:rPr>
        <w:t>Halliburton v Chubb</w:t>
      </w:r>
      <w:r w:rsidRPr="3BF333A6">
        <w:t xml:space="preserve"> (2020).</w:t>
      </w:r>
      <w:r w:rsidRPr="3BF333A6">
        <w:rPr>
          <w:rStyle w:val="FootnoteReference"/>
          <w:lang w:val="en-GB"/>
        </w:rPr>
        <w:footnoteReference w:id="6"/>
      </w:r>
      <w:r w:rsidRPr="3BF333A6">
        <w:t xml:space="preserve"> </w:t>
      </w:r>
      <w:r w:rsidR="00533E5B">
        <w:t>Section</w:t>
      </w:r>
      <w:r w:rsidRPr="3BF333A6">
        <w:t xml:space="preserve"> 2 </w:t>
      </w:r>
      <w:r w:rsidR="00645C20">
        <w:t xml:space="preserve">of this Act </w:t>
      </w:r>
      <w:r w:rsidRPr="3BF333A6">
        <w:t>codifies the general duty of disclosure as articulated in that case.</w:t>
      </w:r>
    </w:p>
    <w:p w14:paraId="1F1E877F" w14:textId="58BC0CA7" w:rsidR="0029426E" w:rsidRPr="00CA4237" w:rsidRDefault="00533E5B" w:rsidP="00DF3153">
      <w:pPr>
        <w:pStyle w:val="ParaNumbered"/>
        <w:ind w:left="714" w:hanging="357"/>
        <w:jc w:val="both"/>
      </w:pPr>
      <w:r>
        <w:rPr>
          <w:lang w:val="en-GB"/>
        </w:rPr>
        <w:t>Section</w:t>
      </w:r>
      <w:r w:rsidR="0029426E" w:rsidRPr="06BE39DF">
        <w:rPr>
          <w:lang w:val="en-GB"/>
        </w:rPr>
        <w:t xml:space="preserve"> 2 </w:t>
      </w:r>
      <w:r w:rsidR="00645C20">
        <w:rPr>
          <w:lang w:val="en-GB"/>
        </w:rPr>
        <w:t xml:space="preserve">of this Act </w:t>
      </w:r>
      <w:r w:rsidR="0029426E" w:rsidRPr="06BE39DF">
        <w:rPr>
          <w:lang w:val="en-GB"/>
        </w:rPr>
        <w:t xml:space="preserve">requires an arbitrator to disclose circumstances that might reasonably give rise to justifiable doubts as to their impartiality. It applies prior to the arbitrator’s appointment, when they are being approached with a view to appointment. It is a continuing duty which also applies after their appointment. Where an arbitrator is appointed by someone other than the parties, the arbitrator may need to repeat their disclosure to the parties upon appointment. The duty extends to circumstances of which the arbitrator is aware, and of which they ought reasonably to be aware. Inserted section 23A </w:t>
      </w:r>
      <w:r w:rsidR="002F4FEF">
        <w:rPr>
          <w:lang w:val="en-GB"/>
        </w:rPr>
        <w:t>is</w:t>
      </w:r>
      <w:r w:rsidR="0029426E" w:rsidRPr="06BE39DF">
        <w:rPr>
          <w:lang w:val="en-GB"/>
        </w:rPr>
        <w:t xml:space="preserve"> a mandatory provision (like the duty of impartiality in section 33</w:t>
      </w:r>
      <w:r w:rsidR="00645C20">
        <w:rPr>
          <w:lang w:val="en-GB"/>
        </w:rPr>
        <w:t xml:space="preserve"> of the 1996 Act</w:t>
      </w:r>
      <w:r w:rsidR="0029426E" w:rsidRPr="06BE39DF">
        <w:rPr>
          <w:lang w:val="en-GB"/>
        </w:rPr>
        <w:t>); the parties cannot agree to dispense with the duty of disclosure.</w:t>
      </w:r>
    </w:p>
    <w:p w14:paraId="7140CB55" w14:textId="1DBA28B9" w:rsidR="0029426E" w:rsidRPr="005705CE" w:rsidRDefault="00533E5B" w:rsidP="005705CE">
      <w:pPr>
        <w:pStyle w:val="HSubheading4"/>
      </w:pPr>
      <w:bookmarkStart w:id="37" w:name="_Toc416612136"/>
      <w:bookmarkStart w:id="38" w:name="_Toc417648121"/>
      <w:bookmarkStart w:id="39" w:name="_Toc418587931"/>
      <w:bookmarkStart w:id="40" w:name="_Toc150515257"/>
      <w:r w:rsidRPr="005705CE">
        <w:t>Section</w:t>
      </w:r>
      <w:r w:rsidR="0029426E" w:rsidRPr="005705CE">
        <w:t xml:space="preserve"> 3</w:t>
      </w:r>
      <w:bookmarkEnd w:id="37"/>
      <w:bookmarkEnd w:id="38"/>
      <w:bookmarkEnd w:id="39"/>
      <w:r w:rsidR="00A9043D" w:rsidRPr="005705CE">
        <w:t>:</w:t>
      </w:r>
      <w:r w:rsidR="0029426E" w:rsidRPr="005705CE">
        <w:t xml:space="preserve"> (Immunity of arbitrator: application for removal) and </w:t>
      </w:r>
      <w:r w:rsidRPr="005705CE">
        <w:t>Section</w:t>
      </w:r>
      <w:r w:rsidR="0029426E" w:rsidRPr="005705CE">
        <w:t xml:space="preserve"> 4</w:t>
      </w:r>
      <w:r w:rsidR="00A9043D" w:rsidRPr="005705CE">
        <w:t>:</w:t>
      </w:r>
      <w:r w:rsidR="0029426E" w:rsidRPr="005705CE">
        <w:t xml:space="preserve"> (Immunity of arbitrator: resignation)</w:t>
      </w:r>
      <w:bookmarkEnd w:id="40"/>
    </w:p>
    <w:p w14:paraId="5DC55E8F" w14:textId="464BB879" w:rsidR="0029426E" w:rsidRDefault="0029426E" w:rsidP="00075147">
      <w:pPr>
        <w:pStyle w:val="ParaNumbered"/>
        <w:ind w:left="714" w:hanging="357"/>
        <w:jc w:val="both"/>
      </w:pPr>
      <w:r w:rsidRPr="5A2FD8C7">
        <w:t>The 1996</w:t>
      </w:r>
      <w:r w:rsidR="00645C20">
        <w:t xml:space="preserve"> Act (</w:t>
      </w:r>
      <w:r w:rsidRPr="5A2FD8C7">
        <w:t>section 29</w:t>
      </w:r>
      <w:r w:rsidR="00645C20">
        <w:t>)</w:t>
      </w:r>
      <w:r w:rsidRPr="5A2FD8C7">
        <w:t xml:space="preserve"> provides that an arbitrator is not liable for anything done in the discharge of their functions unless they acted in bad faith. Such immunity supports an arbitrator to make robust and impartial decisions without fear that a party will express their disappointment by suing the arbitrator. It also supports the finality of the dispute resolution process by preventing a party who is disappointed with losing the arbitration from bringing further proceedings against the arbitrator. Judges enjoy a similar immunity for similar reasons.</w:t>
      </w:r>
    </w:p>
    <w:p w14:paraId="77C97654" w14:textId="2B65C155" w:rsidR="0029426E" w:rsidRDefault="0029426E" w:rsidP="00075147">
      <w:pPr>
        <w:pStyle w:val="ParaNumbered"/>
        <w:ind w:left="714" w:hanging="357"/>
        <w:jc w:val="both"/>
      </w:pPr>
      <w:r w:rsidRPr="5A2FD8C7">
        <w:t>There are still ways of dealing with a recalcitrant arbitrator. For example, the parties can revoke an arbitrator’s authority (by section 23</w:t>
      </w:r>
      <w:r w:rsidR="00645C20">
        <w:t xml:space="preserve"> of the 1996 Act</w:t>
      </w:r>
      <w:r w:rsidRPr="5A2FD8C7">
        <w:t>) or apply to court to remove an arbitrator (by section 24</w:t>
      </w:r>
      <w:r w:rsidR="00645C20">
        <w:t xml:space="preserve"> of the 1996 Act</w:t>
      </w:r>
      <w:r w:rsidRPr="5A2FD8C7">
        <w:t>). In both cases, the arbitrator may lose their entitlement to fees and expenses.</w:t>
      </w:r>
    </w:p>
    <w:p w14:paraId="06CD6151" w14:textId="5747111F" w:rsidR="0029426E" w:rsidRDefault="00533E5B" w:rsidP="000069C4">
      <w:pPr>
        <w:pStyle w:val="ParaNumbered"/>
        <w:ind w:left="714" w:hanging="357"/>
        <w:jc w:val="both"/>
      </w:pPr>
      <w:r>
        <w:t>Section</w:t>
      </w:r>
      <w:r w:rsidR="0029426E" w:rsidRPr="5A2FD8C7">
        <w:t xml:space="preserve">s 3 and 4 </w:t>
      </w:r>
      <w:r w:rsidR="00645C20">
        <w:t xml:space="preserve">of this Act </w:t>
      </w:r>
      <w:r w:rsidR="0029426E" w:rsidRPr="5A2FD8C7">
        <w:t>extend the scope of arbitrator immunity, up to a limit, as follows.</w:t>
      </w:r>
    </w:p>
    <w:p w14:paraId="101B0A04" w14:textId="71CBF967" w:rsidR="0029426E" w:rsidRDefault="00533E5B" w:rsidP="000069C4">
      <w:pPr>
        <w:pStyle w:val="ParaNumbered"/>
        <w:ind w:left="714" w:hanging="357"/>
        <w:jc w:val="both"/>
      </w:pPr>
      <w:r>
        <w:rPr>
          <w:lang w:val="en-GB"/>
        </w:rPr>
        <w:t>Section</w:t>
      </w:r>
      <w:r w:rsidR="0029426E" w:rsidRPr="3BF333A6">
        <w:rPr>
          <w:lang w:val="en-GB"/>
        </w:rPr>
        <w:t xml:space="preserve"> 3 </w:t>
      </w:r>
      <w:r w:rsidR="00645C20">
        <w:rPr>
          <w:lang w:val="en-GB"/>
        </w:rPr>
        <w:t xml:space="preserve">of this Act </w:t>
      </w:r>
      <w:r w:rsidR="0029426E" w:rsidRPr="3BF333A6">
        <w:rPr>
          <w:lang w:val="en-GB"/>
        </w:rPr>
        <w:t>provides that an arbitrator will not be liable for the costs of an application to court under section 24</w:t>
      </w:r>
      <w:r w:rsidR="00645C20">
        <w:rPr>
          <w:lang w:val="en-GB"/>
        </w:rPr>
        <w:t xml:space="preserve"> of the 1996 Act</w:t>
      </w:r>
      <w:r w:rsidR="0029426E" w:rsidRPr="3BF333A6">
        <w:rPr>
          <w:lang w:val="en-GB"/>
        </w:rPr>
        <w:t xml:space="preserve"> for their </w:t>
      </w:r>
      <w:r w:rsidR="00645C20" w:rsidRPr="3BF333A6">
        <w:rPr>
          <w:lang w:val="en-GB"/>
        </w:rPr>
        <w:t>removal unless</w:t>
      </w:r>
      <w:r w:rsidR="0029426E" w:rsidRPr="3BF333A6">
        <w:rPr>
          <w:lang w:val="en-GB"/>
        </w:rPr>
        <w:t xml:space="preserve"> the arbitrator has acted in bad faith. This aligns with the general immunity already provided by section 29</w:t>
      </w:r>
      <w:r w:rsidR="00645C20">
        <w:rPr>
          <w:lang w:val="en-GB"/>
        </w:rPr>
        <w:t xml:space="preserve"> of the 1996 Act</w:t>
      </w:r>
      <w:r w:rsidR="0029426E" w:rsidRPr="3BF333A6">
        <w:rPr>
          <w:lang w:val="en-GB"/>
        </w:rPr>
        <w:t>. This reverses case law which held that an arbitrator could be liable for those costs.</w:t>
      </w:r>
    </w:p>
    <w:p w14:paraId="633660A4" w14:textId="3811C792" w:rsidR="00075147" w:rsidRPr="00645C20" w:rsidRDefault="00533E5B" w:rsidP="00645C20">
      <w:pPr>
        <w:pStyle w:val="ParaNumbered"/>
        <w:ind w:left="714" w:hanging="357"/>
        <w:jc w:val="both"/>
        <w:rPr>
          <w:lang w:val="en-GB"/>
        </w:rPr>
      </w:pPr>
      <w:r>
        <w:rPr>
          <w:rStyle w:val="normaltextrun"/>
          <w:shd w:val="clear" w:color="auto" w:fill="FFFFFF"/>
        </w:rPr>
        <w:t>Section</w:t>
      </w:r>
      <w:r w:rsidR="0029426E" w:rsidRPr="346307B6">
        <w:rPr>
          <w:rStyle w:val="normaltextrun"/>
          <w:shd w:val="clear" w:color="auto" w:fill="FFFFFF"/>
        </w:rPr>
        <w:t xml:space="preserve"> 4 </w:t>
      </w:r>
      <w:r w:rsidR="00645C20">
        <w:rPr>
          <w:rStyle w:val="normaltextrun"/>
          <w:shd w:val="clear" w:color="auto" w:fill="FFFFFF"/>
        </w:rPr>
        <w:t xml:space="preserve">of this Act </w:t>
      </w:r>
      <w:r w:rsidR="0029426E" w:rsidRPr="346307B6">
        <w:rPr>
          <w:rStyle w:val="normaltextrun"/>
          <w:shd w:val="clear" w:color="auto" w:fill="FFFFFF"/>
        </w:rPr>
        <w:t xml:space="preserve">provides that an arbitrator will no longer be liable for resignation unless </w:t>
      </w:r>
      <w:r w:rsidR="0029426E" w:rsidRPr="346307B6">
        <w:rPr>
          <w:rStyle w:val="normaltextrun"/>
          <w:shd w:val="clear" w:color="auto" w:fill="FFFFFF"/>
        </w:rPr>
        <w:lastRenderedPageBreak/>
        <w:t>the resignation is shown by a complainant to be unreasonable.</w:t>
      </w:r>
      <w:r w:rsidR="0029426E" w:rsidRPr="346307B6">
        <w:rPr>
          <w:rStyle w:val="normaltextrun"/>
          <w:rFonts w:ascii="Times New Roman" w:hAnsi="Times New Roman" w:cs="Times New Roman"/>
          <w:shd w:val="clear" w:color="auto" w:fill="FFFFFF"/>
        </w:rPr>
        <w:t> </w:t>
      </w:r>
      <w:bookmarkStart w:id="41" w:name="_Toc416612140"/>
      <w:bookmarkStart w:id="42" w:name="_Toc417648125"/>
    </w:p>
    <w:p w14:paraId="63B456AA" w14:textId="720FCCF2" w:rsidR="0029426E" w:rsidRPr="00DE1282" w:rsidRDefault="0029426E" w:rsidP="005705CE">
      <w:pPr>
        <w:pStyle w:val="Heading3"/>
      </w:pPr>
      <w:r>
        <w:t>Jurisdiction of tribunal</w:t>
      </w:r>
    </w:p>
    <w:p w14:paraId="186D9233" w14:textId="2FD4DC35" w:rsidR="0029426E" w:rsidRPr="005705CE" w:rsidRDefault="00533E5B" w:rsidP="005705CE">
      <w:pPr>
        <w:pStyle w:val="HSubheading4"/>
      </w:pPr>
      <w:bookmarkStart w:id="43" w:name="_Toc418587936"/>
      <w:bookmarkStart w:id="44" w:name="_Toc150515258"/>
      <w:r w:rsidRPr="005705CE">
        <w:t>Section</w:t>
      </w:r>
      <w:r w:rsidR="0029426E" w:rsidRPr="005705CE">
        <w:t xml:space="preserve"> 5: </w:t>
      </w:r>
      <w:bookmarkEnd w:id="41"/>
      <w:bookmarkEnd w:id="42"/>
      <w:bookmarkEnd w:id="43"/>
      <w:r w:rsidR="0029426E" w:rsidRPr="005705CE">
        <w:t>Court determination of jurisdiction of tribunal</w:t>
      </w:r>
      <w:bookmarkEnd w:id="44"/>
    </w:p>
    <w:p w14:paraId="3E8E6B38" w14:textId="0AF82320" w:rsidR="0029426E" w:rsidRPr="0029426E" w:rsidRDefault="00645C20" w:rsidP="00075147">
      <w:pPr>
        <w:pStyle w:val="ParaNumbered"/>
        <w:ind w:left="714" w:hanging="357"/>
        <w:jc w:val="both"/>
      </w:pPr>
      <w:r>
        <w:rPr>
          <w:lang w:val="en-GB"/>
        </w:rPr>
        <w:t>The 1996 Act (</w:t>
      </w:r>
      <w:r w:rsidR="0029426E" w:rsidRPr="3BF333A6">
        <w:rPr>
          <w:lang w:val="en-GB"/>
        </w:rPr>
        <w:t>sections 82 and 30</w:t>
      </w:r>
      <w:r>
        <w:rPr>
          <w:lang w:val="en-GB"/>
        </w:rPr>
        <w:t xml:space="preserve">) provide that </w:t>
      </w:r>
      <w:r w:rsidR="0029426E" w:rsidRPr="00123488">
        <w:rPr>
          <w:lang w:val="en-GB"/>
        </w:rPr>
        <w:t xml:space="preserve">an arbitral tribunal has jurisdiction if there is a valid arbitration agreement, the tribunal is properly constituted, and </w:t>
      </w:r>
      <w:r w:rsidR="00625809" w:rsidRPr="00123488">
        <w:rPr>
          <w:lang w:val="en-GB"/>
        </w:rPr>
        <w:t>the</w:t>
      </w:r>
      <w:r w:rsidR="0029426E" w:rsidRPr="00123488">
        <w:rPr>
          <w:lang w:val="en-GB"/>
        </w:rPr>
        <w:t xml:space="preserve"> matters which have been submitted to arbitration </w:t>
      </w:r>
      <w:r w:rsidR="00625809" w:rsidRPr="00123488">
        <w:rPr>
          <w:lang w:val="en-GB"/>
        </w:rPr>
        <w:t xml:space="preserve">are </w:t>
      </w:r>
      <w:r w:rsidR="0029426E" w:rsidRPr="00123488">
        <w:rPr>
          <w:lang w:val="en-GB"/>
        </w:rPr>
        <w:t>in accordance with the arbitration agreement</w:t>
      </w:r>
      <w:r w:rsidR="0029426E" w:rsidRPr="3BF333A6">
        <w:rPr>
          <w:lang w:val="en-GB"/>
        </w:rPr>
        <w:t>.</w:t>
      </w:r>
    </w:p>
    <w:p w14:paraId="78B42220" w14:textId="7E67DF07" w:rsidR="0029426E" w:rsidRDefault="0029426E" w:rsidP="00075147">
      <w:pPr>
        <w:pStyle w:val="ParaNumbered"/>
        <w:ind w:left="714" w:hanging="357"/>
        <w:jc w:val="both"/>
        <w:rPr>
          <w:lang w:val="en-GB"/>
        </w:rPr>
      </w:pPr>
      <w:r w:rsidRPr="5A2FD8C7">
        <w:rPr>
          <w:lang w:val="en-GB"/>
        </w:rPr>
        <w:t>A party who participates in the arbitration proceedings might object that the arbitral tribunal lacks jurisdiction. The tribunal itself is usually empowered to decide, in the first instance, whether it has jurisdiction (by section 30</w:t>
      </w:r>
      <w:r w:rsidR="00645C20">
        <w:rPr>
          <w:lang w:val="en-GB"/>
        </w:rPr>
        <w:t xml:space="preserve"> of the 1996 Act</w:t>
      </w:r>
      <w:r w:rsidRPr="5A2FD8C7">
        <w:rPr>
          <w:lang w:val="en-GB"/>
        </w:rPr>
        <w:t>). The court can be asked to rule on whether the tribunal has jurisdiction, including as follows. One way is to wait until the tribunal has issued a ruling, and then challenge that ruling under section 67</w:t>
      </w:r>
      <w:r w:rsidR="00645C20">
        <w:rPr>
          <w:lang w:val="en-GB"/>
        </w:rPr>
        <w:t xml:space="preserve"> of the 1996 Act</w:t>
      </w:r>
      <w:r w:rsidRPr="5A2FD8C7">
        <w:rPr>
          <w:lang w:val="en-GB"/>
        </w:rPr>
        <w:t>, which allows a challenge to an arbitral award on the basis that the tribunal lacked jurisdiction. Another way is by invoking section 32</w:t>
      </w:r>
      <w:r w:rsidR="00645C20">
        <w:rPr>
          <w:lang w:val="en-GB"/>
        </w:rPr>
        <w:t xml:space="preserve"> of the 1996 Act</w:t>
      </w:r>
      <w:r w:rsidRPr="5A2FD8C7">
        <w:rPr>
          <w:lang w:val="en-GB"/>
        </w:rPr>
        <w:t>, which allows the court to decide whether the tribunal has jurisdiction as a preliminary point. Sections 32 and 67</w:t>
      </w:r>
      <w:r w:rsidR="00645C20">
        <w:rPr>
          <w:lang w:val="en-GB"/>
        </w:rPr>
        <w:t xml:space="preserve"> of the 1996 Act</w:t>
      </w:r>
      <w:r w:rsidRPr="5A2FD8C7">
        <w:rPr>
          <w:lang w:val="en-GB"/>
        </w:rPr>
        <w:t xml:space="preserve"> have different requirements.</w:t>
      </w:r>
    </w:p>
    <w:p w14:paraId="318E1D36" w14:textId="022C8B04" w:rsidR="0029426E" w:rsidRPr="00DE1282" w:rsidRDefault="00533E5B" w:rsidP="00075147">
      <w:pPr>
        <w:pStyle w:val="ParaNumbered"/>
        <w:ind w:left="714" w:hanging="357"/>
        <w:jc w:val="both"/>
        <w:rPr>
          <w:lang w:val="en-GB"/>
        </w:rPr>
      </w:pPr>
      <w:r>
        <w:rPr>
          <w:lang w:val="en-GB"/>
        </w:rPr>
        <w:t>Section</w:t>
      </w:r>
      <w:r w:rsidR="0029426E" w:rsidRPr="5A2FD8C7">
        <w:rPr>
          <w:lang w:val="en-GB"/>
        </w:rPr>
        <w:t xml:space="preserve"> 5 </w:t>
      </w:r>
      <w:r w:rsidR="00645C20">
        <w:rPr>
          <w:lang w:val="en-GB"/>
        </w:rPr>
        <w:t xml:space="preserve">of this Act </w:t>
      </w:r>
      <w:r w:rsidR="0029426E" w:rsidRPr="5A2FD8C7">
        <w:rPr>
          <w:lang w:val="en-GB"/>
        </w:rPr>
        <w:t xml:space="preserve">amends section 32 </w:t>
      </w:r>
      <w:r w:rsidR="00645C20">
        <w:rPr>
          <w:lang w:val="en-GB"/>
        </w:rPr>
        <w:t xml:space="preserve">of the 1996 Act </w:t>
      </w:r>
      <w:r w:rsidR="0029426E" w:rsidRPr="5A2FD8C7">
        <w:rPr>
          <w:lang w:val="en-GB"/>
        </w:rPr>
        <w:t>to make clear that it can only be invoked instead of the tribunal ruling on its jurisdiction. If the tribunal has already ruled, then any challenge must be brought through section 67</w:t>
      </w:r>
      <w:r w:rsidR="00645C20">
        <w:rPr>
          <w:lang w:val="en-GB"/>
        </w:rPr>
        <w:t xml:space="preserve"> of the 1996 Act</w:t>
      </w:r>
      <w:r w:rsidR="0029426E" w:rsidRPr="5A2FD8C7">
        <w:rPr>
          <w:lang w:val="en-GB"/>
        </w:rPr>
        <w:t>.</w:t>
      </w:r>
    </w:p>
    <w:p w14:paraId="34037690" w14:textId="76EB1D36" w:rsidR="0029426E" w:rsidRPr="005705CE" w:rsidRDefault="00533E5B" w:rsidP="005705CE">
      <w:pPr>
        <w:pStyle w:val="HSubheading4"/>
      </w:pPr>
      <w:bookmarkStart w:id="45" w:name="_Toc150515259"/>
      <w:r w:rsidRPr="005705CE">
        <w:t>Section</w:t>
      </w:r>
      <w:r w:rsidR="0029426E" w:rsidRPr="005705CE">
        <w:t xml:space="preserve"> 6: Power to award costs despite no substantive jurisdiction</w:t>
      </w:r>
      <w:bookmarkEnd w:id="45"/>
    </w:p>
    <w:p w14:paraId="7214E9AD" w14:textId="48DDCFF4" w:rsidR="0029426E" w:rsidRPr="00272EB3" w:rsidRDefault="0029426E" w:rsidP="00075147">
      <w:pPr>
        <w:pStyle w:val="ParaNumbered"/>
        <w:ind w:left="714" w:hanging="357"/>
        <w:jc w:val="both"/>
        <w:rPr>
          <w:lang w:val="en-GB"/>
        </w:rPr>
      </w:pPr>
      <w:r w:rsidRPr="5A2FD8C7">
        <w:rPr>
          <w:lang w:val="en-GB"/>
        </w:rPr>
        <w:t xml:space="preserve">The arbitral tribunal or the court might rule that the tribunal has no jurisdiction to resolve a particular dispute. In this case, the arbitration proceedings must come to an end. </w:t>
      </w:r>
      <w:r w:rsidR="00533E5B">
        <w:rPr>
          <w:lang w:val="en-GB"/>
        </w:rPr>
        <w:t>Section</w:t>
      </w:r>
      <w:r w:rsidRPr="5A2FD8C7">
        <w:rPr>
          <w:lang w:val="en-GB"/>
        </w:rPr>
        <w:t xml:space="preserve"> 6 </w:t>
      </w:r>
      <w:r w:rsidR="00E475CE">
        <w:rPr>
          <w:lang w:val="en-GB"/>
        </w:rPr>
        <w:t xml:space="preserve">of this Act </w:t>
      </w:r>
      <w:r w:rsidRPr="5A2FD8C7">
        <w:rPr>
          <w:lang w:val="en-GB"/>
        </w:rPr>
        <w:t>provides that, in those circumstances, the tribunal can nevertheless award the costs of the arbitration proceedings up until that point.</w:t>
      </w:r>
    </w:p>
    <w:p w14:paraId="1EDAA134" w14:textId="1E015F5F" w:rsidR="0029426E" w:rsidRPr="00DE1282" w:rsidRDefault="003E644D" w:rsidP="005705CE">
      <w:pPr>
        <w:pStyle w:val="Heading3"/>
      </w:pPr>
      <w:r>
        <w:t xml:space="preserve">Arbitral </w:t>
      </w:r>
      <w:r w:rsidR="00BE10EF">
        <w:t>p</w:t>
      </w:r>
      <w:r>
        <w:t>roceedings and powers of the court</w:t>
      </w:r>
    </w:p>
    <w:p w14:paraId="446712AB" w14:textId="2823B2BD" w:rsidR="0029426E" w:rsidRPr="005705CE" w:rsidRDefault="00533E5B" w:rsidP="005705CE">
      <w:pPr>
        <w:pStyle w:val="HSubheading4"/>
      </w:pPr>
      <w:bookmarkStart w:id="46" w:name="_Toc150515260"/>
      <w:r w:rsidRPr="005705CE">
        <w:t>Section</w:t>
      </w:r>
      <w:r w:rsidR="0029426E" w:rsidRPr="005705CE">
        <w:t xml:space="preserve"> 7: Power to make award on summary basis</w:t>
      </w:r>
      <w:bookmarkEnd w:id="46"/>
    </w:p>
    <w:p w14:paraId="6AF0F3AC" w14:textId="2B0E695F" w:rsidR="0029426E" w:rsidRPr="00445CB3" w:rsidRDefault="00533E5B" w:rsidP="00075147">
      <w:pPr>
        <w:pStyle w:val="ParaNumbered"/>
        <w:ind w:left="714" w:hanging="357"/>
        <w:jc w:val="both"/>
      </w:pPr>
      <w:r>
        <w:rPr>
          <w:lang w:val="en-GB"/>
        </w:rPr>
        <w:t>Section</w:t>
      </w:r>
      <w:r w:rsidR="0029426E" w:rsidRPr="3BF333A6">
        <w:rPr>
          <w:lang w:val="en-GB"/>
        </w:rPr>
        <w:t xml:space="preserve"> 7 </w:t>
      </w:r>
      <w:r w:rsidR="00E475CE">
        <w:rPr>
          <w:lang w:val="en-GB"/>
        </w:rPr>
        <w:t xml:space="preserve">of this Act </w:t>
      </w:r>
      <w:r w:rsidR="0029426E" w:rsidRPr="3BF333A6">
        <w:rPr>
          <w:lang w:val="en-GB"/>
        </w:rPr>
        <w:t xml:space="preserve">confers express power on arbitrators to make an award on a summary basis to dispose of an issue where an arbitrating party has no real prospect of succeeding on that issue. “Summary basis” means that the tribunal has adopted an expedited procedure to consider whether a party has a real prospect of succeeding on that issue. Inserted section 39A </w:t>
      </w:r>
      <w:r w:rsidR="002F4FEF">
        <w:rPr>
          <w:lang w:val="en-GB"/>
        </w:rPr>
        <w:t>is</w:t>
      </w:r>
      <w:r w:rsidR="002F4FEF" w:rsidRPr="3BF333A6">
        <w:rPr>
          <w:lang w:val="en-GB"/>
        </w:rPr>
        <w:t xml:space="preserve"> </w:t>
      </w:r>
      <w:r w:rsidR="0029426E" w:rsidRPr="3BF333A6">
        <w:rPr>
          <w:lang w:val="en-GB"/>
        </w:rPr>
        <w:t xml:space="preserve">not mandatory; the parties can agree to disapply it (they can “opt out”). Arbitrators can exercise the power to make an award on a summary basis only upon an application by one of the arbitrating parties. The “no real prospect of success” threshold is the same as that applied in court proceedings in England and Wales. As for the expedited procedure, this is not prescribed by </w:t>
      </w:r>
      <w:r w:rsidR="00DF3153">
        <w:rPr>
          <w:lang w:val="en-GB"/>
        </w:rPr>
        <w:t>s</w:t>
      </w:r>
      <w:r>
        <w:rPr>
          <w:lang w:val="en-GB"/>
        </w:rPr>
        <w:t>ection</w:t>
      </w:r>
      <w:r w:rsidR="0029426E" w:rsidRPr="3BF333A6">
        <w:rPr>
          <w:lang w:val="en-GB"/>
        </w:rPr>
        <w:t xml:space="preserve"> 7</w:t>
      </w:r>
      <w:r w:rsidR="00E475CE">
        <w:rPr>
          <w:lang w:val="en-GB"/>
        </w:rPr>
        <w:t xml:space="preserve"> of this Act</w:t>
      </w:r>
      <w:r w:rsidR="0029426E" w:rsidRPr="3BF333A6">
        <w:rPr>
          <w:lang w:val="en-GB"/>
        </w:rPr>
        <w:t xml:space="preserve"> but </w:t>
      </w:r>
      <w:r w:rsidR="002F4FEF">
        <w:rPr>
          <w:lang w:val="en-GB"/>
        </w:rPr>
        <w:t>is</w:t>
      </w:r>
      <w:r w:rsidR="0029426E" w:rsidRPr="3BF333A6">
        <w:rPr>
          <w:lang w:val="en-GB"/>
        </w:rPr>
        <w:t xml:space="preserve"> a matter for the arbitrator to decide on a case-by-case basis; inserted section 39A(3) requires the tribunal to give the parties a reasonable opportunity to make representations about the procedure to adopt.</w:t>
      </w:r>
    </w:p>
    <w:p w14:paraId="38C1037F" w14:textId="382BCC2B" w:rsidR="0029426E" w:rsidRPr="005705CE" w:rsidRDefault="00533E5B" w:rsidP="005705CE">
      <w:pPr>
        <w:pStyle w:val="HSubheading4"/>
      </w:pPr>
      <w:bookmarkStart w:id="47" w:name="_Toc150515261"/>
      <w:r w:rsidRPr="005705CE">
        <w:t>Section</w:t>
      </w:r>
      <w:r w:rsidR="0029426E" w:rsidRPr="005705CE">
        <w:t xml:space="preserve"> 8: Emergency arbitrators</w:t>
      </w:r>
      <w:bookmarkEnd w:id="47"/>
    </w:p>
    <w:p w14:paraId="5FAFFC45" w14:textId="77777777" w:rsidR="0029426E" w:rsidRDefault="0029426E" w:rsidP="00075147">
      <w:pPr>
        <w:pStyle w:val="ParaNumbered"/>
        <w:ind w:left="714" w:hanging="357"/>
        <w:jc w:val="both"/>
        <w:rPr>
          <w:lang w:val="en-GB"/>
        </w:rPr>
      </w:pPr>
      <w:r w:rsidRPr="5A2FD8C7">
        <w:rPr>
          <w:lang w:val="en-GB"/>
        </w:rPr>
        <w:t xml:space="preserve">Arbitral rules sometimes provide a regime for the appointment of emergency arbitrators. An emergency arbitrator is appointed on an interim basis, pending the constitution of the full arbitral tribunal, to make orders on urgent matters, for example for the preservation of evidence. Once constituted, the full tribunal can usually review the orders of the emergency arbitrator.  </w:t>
      </w:r>
    </w:p>
    <w:p w14:paraId="7A6FCE59" w14:textId="55857FE2" w:rsidR="0029426E" w:rsidRPr="00445CB3" w:rsidRDefault="0029426E" w:rsidP="00075147">
      <w:pPr>
        <w:pStyle w:val="ParaNumbered"/>
        <w:ind w:left="714" w:hanging="357"/>
        <w:jc w:val="both"/>
        <w:rPr>
          <w:lang w:val="en-GB"/>
        </w:rPr>
      </w:pPr>
      <w:r w:rsidRPr="5A2FD8C7">
        <w:rPr>
          <w:lang w:val="en-GB"/>
        </w:rPr>
        <w:t>Under the 1996</w:t>
      </w:r>
      <w:r w:rsidR="00E475CE">
        <w:rPr>
          <w:lang w:val="en-GB"/>
        </w:rPr>
        <w:t xml:space="preserve"> Act</w:t>
      </w:r>
      <w:r w:rsidRPr="5A2FD8C7">
        <w:rPr>
          <w:lang w:val="en-GB"/>
        </w:rPr>
        <w:t xml:space="preserve">, when a normal arbitrator makes an order during arbitration proceedings, and an arbitrating party fails to comply with that order, possible consequences include the </w:t>
      </w:r>
      <w:r w:rsidRPr="5A2FD8C7">
        <w:rPr>
          <w:lang w:val="en-GB"/>
        </w:rPr>
        <w:lastRenderedPageBreak/>
        <w:t>following. The arbitrator can issue a peremptory order (by section 41</w:t>
      </w:r>
      <w:r w:rsidR="00E475CE">
        <w:rPr>
          <w:lang w:val="en-GB"/>
        </w:rPr>
        <w:t xml:space="preserve"> of the 1996 Act</w:t>
      </w:r>
      <w:r w:rsidRPr="5A2FD8C7">
        <w:rPr>
          <w:lang w:val="en-GB"/>
        </w:rPr>
        <w:t>), and if there is still no compliance, an application can be made to court for the court to order compliance with the arbitrator’s order (by section 42</w:t>
      </w:r>
      <w:r w:rsidR="00E475CE">
        <w:rPr>
          <w:lang w:val="en-GB"/>
        </w:rPr>
        <w:t xml:space="preserve"> of the 1996 Act</w:t>
      </w:r>
      <w:r w:rsidRPr="5A2FD8C7">
        <w:rPr>
          <w:lang w:val="en-GB"/>
        </w:rPr>
        <w:t>). Alternatively, an application can be made directly to court, for the court to make its own order (by section 44</w:t>
      </w:r>
      <w:r w:rsidR="00E475CE">
        <w:rPr>
          <w:lang w:val="en-GB"/>
        </w:rPr>
        <w:t xml:space="preserve"> of the 1996 Act</w:t>
      </w:r>
      <w:r w:rsidRPr="5A2FD8C7">
        <w:rPr>
          <w:lang w:val="en-GB"/>
        </w:rPr>
        <w:t xml:space="preserve">). </w:t>
      </w:r>
      <w:r w:rsidR="00533E5B">
        <w:rPr>
          <w:lang w:val="en-GB"/>
        </w:rPr>
        <w:t>Section</w:t>
      </w:r>
      <w:r w:rsidRPr="5A2FD8C7">
        <w:rPr>
          <w:lang w:val="en-GB"/>
        </w:rPr>
        <w:t xml:space="preserve"> 8 </w:t>
      </w:r>
      <w:r w:rsidR="00E475CE">
        <w:rPr>
          <w:lang w:val="en-GB"/>
        </w:rPr>
        <w:t xml:space="preserve">of this Act </w:t>
      </w:r>
      <w:r w:rsidRPr="5A2FD8C7">
        <w:rPr>
          <w:lang w:val="en-GB"/>
        </w:rPr>
        <w:t xml:space="preserve">amends the </w:t>
      </w:r>
      <w:r w:rsidR="000069C4">
        <w:rPr>
          <w:lang w:val="en-GB"/>
        </w:rPr>
        <w:t>1996</w:t>
      </w:r>
      <w:r w:rsidRPr="5A2FD8C7">
        <w:rPr>
          <w:lang w:val="en-GB"/>
        </w:rPr>
        <w:t xml:space="preserve"> </w:t>
      </w:r>
      <w:r w:rsidR="00E475CE">
        <w:rPr>
          <w:lang w:val="en-GB"/>
        </w:rPr>
        <w:t xml:space="preserve">Act </w:t>
      </w:r>
      <w:r w:rsidRPr="5A2FD8C7">
        <w:rPr>
          <w:lang w:val="en-GB"/>
        </w:rPr>
        <w:t>to extend that scheme to emergency arbitrators.</w:t>
      </w:r>
    </w:p>
    <w:p w14:paraId="2E4C317B" w14:textId="6A671CEB" w:rsidR="0029426E" w:rsidRPr="005705CE" w:rsidRDefault="00533E5B" w:rsidP="005705CE">
      <w:pPr>
        <w:pStyle w:val="HSubheading4"/>
      </w:pPr>
      <w:bookmarkStart w:id="48" w:name="_Toc150515262"/>
      <w:r w:rsidRPr="005705CE">
        <w:t>Section</w:t>
      </w:r>
      <w:r w:rsidR="0029426E" w:rsidRPr="005705CE">
        <w:t xml:space="preserve"> 9: Court powers exercisable in support of arbitral proceedings in respect of third parties</w:t>
      </w:r>
      <w:bookmarkEnd w:id="48"/>
    </w:p>
    <w:p w14:paraId="3C130CFB" w14:textId="5B6666D0" w:rsidR="0029426E" w:rsidRDefault="00E475CE" w:rsidP="00075147">
      <w:pPr>
        <w:pStyle w:val="ParaNumbered"/>
        <w:ind w:left="714" w:hanging="357"/>
        <w:jc w:val="both"/>
        <w:rPr>
          <w:lang w:val="en-GB"/>
        </w:rPr>
      </w:pPr>
      <w:r>
        <w:rPr>
          <w:lang w:val="en-GB"/>
        </w:rPr>
        <w:t>The</w:t>
      </w:r>
      <w:r w:rsidR="0029426E" w:rsidRPr="5A2FD8C7">
        <w:rPr>
          <w:lang w:val="en-GB"/>
        </w:rPr>
        <w:t xml:space="preserve"> 1996</w:t>
      </w:r>
      <w:r>
        <w:rPr>
          <w:lang w:val="en-GB"/>
        </w:rPr>
        <w:t xml:space="preserve"> Act (section 44) provides that</w:t>
      </w:r>
      <w:r w:rsidR="0029426E" w:rsidRPr="5A2FD8C7">
        <w:rPr>
          <w:lang w:val="en-GB"/>
        </w:rPr>
        <w:t xml:space="preserve"> the court can make orders in support of arbitration proceedings on the following matters: taking of witness evidence, preservation of evidence, orders relating to relevant property, sale of goods, interim injunctions, and the appointment of a receiver. Arbitrating parties require the leave (permission) of the court to appeal </w:t>
      </w:r>
      <w:r w:rsidR="00CB4586">
        <w:rPr>
          <w:lang w:val="en-GB"/>
        </w:rPr>
        <w:t xml:space="preserve">decisions made </w:t>
      </w:r>
      <w:r w:rsidR="0029426E" w:rsidRPr="5A2FD8C7">
        <w:rPr>
          <w:lang w:val="en-GB"/>
        </w:rPr>
        <w:t xml:space="preserve">under section 44.  </w:t>
      </w:r>
    </w:p>
    <w:p w14:paraId="22EB2200" w14:textId="24DC7DF1" w:rsidR="0029426E" w:rsidRPr="00272EB3" w:rsidRDefault="00533E5B" w:rsidP="00075147">
      <w:pPr>
        <w:pStyle w:val="ParaNumbered"/>
        <w:ind w:left="714" w:hanging="357"/>
        <w:jc w:val="both"/>
        <w:rPr>
          <w:lang w:val="en-GB"/>
        </w:rPr>
      </w:pPr>
      <w:r>
        <w:rPr>
          <w:lang w:val="en-GB"/>
        </w:rPr>
        <w:t>Section</w:t>
      </w:r>
      <w:r w:rsidR="0029426E" w:rsidRPr="5A2FD8C7">
        <w:rPr>
          <w:lang w:val="en-GB"/>
        </w:rPr>
        <w:t xml:space="preserve"> 9 </w:t>
      </w:r>
      <w:r w:rsidR="00E475CE">
        <w:rPr>
          <w:lang w:val="en-GB"/>
        </w:rPr>
        <w:t xml:space="preserve">of this Act </w:t>
      </w:r>
      <w:r w:rsidR="0029426E" w:rsidRPr="5A2FD8C7">
        <w:rPr>
          <w:lang w:val="en-GB"/>
        </w:rPr>
        <w:t xml:space="preserve">amends section 44 </w:t>
      </w:r>
      <w:r w:rsidR="00E475CE">
        <w:rPr>
          <w:lang w:val="en-GB"/>
        </w:rPr>
        <w:t xml:space="preserve">of the 1996 Act </w:t>
      </w:r>
      <w:r w:rsidR="0029426E" w:rsidRPr="5A2FD8C7">
        <w:rPr>
          <w:lang w:val="en-GB"/>
        </w:rPr>
        <w:t xml:space="preserve">to make it clear that court orders under that section are available against third parties (people who are not party to the arbitration proceedings). For example, orders might be made against third parties who hold relevant evidence, or against banks which hold relevant funds. This aligns the position in arbitration proceedings with the position in court proceedings. Also, </w:t>
      </w:r>
      <w:r w:rsidR="000069C4">
        <w:rPr>
          <w:lang w:val="en-GB"/>
        </w:rPr>
        <w:t>s</w:t>
      </w:r>
      <w:r>
        <w:rPr>
          <w:lang w:val="en-GB"/>
        </w:rPr>
        <w:t>ection</w:t>
      </w:r>
      <w:r w:rsidR="0029426E" w:rsidRPr="5A2FD8C7">
        <w:rPr>
          <w:lang w:val="en-GB"/>
        </w:rPr>
        <w:t xml:space="preserve"> 9 </w:t>
      </w:r>
      <w:r w:rsidR="00E475CE">
        <w:rPr>
          <w:lang w:val="en-GB"/>
        </w:rPr>
        <w:t xml:space="preserve">of this Act </w:t>
      </w:r>
      <w:r w:rsidR="0029426E" w:rsidRPr="5A2FD8C7">
        <w:rPr>
          <w:lang w:val="en-GB"/>
        </w:rPr>
        <w:t xml:space="preserve">provides that third parties </w:t>
      </w:r>
      <w:r w:rsidR="002F4FEF">
        <w:rPr>
          <w:lang w:val="en-GB"/>
        </w:rPr>
        <w:t>do</w:t>
      </w:r>
      <w:r w:rsidR="002F4FEF" w:rsidRPr="5A2FD8C7">
        <w:rPr>
          <w:lang w:val="en-GB"/>
        </w:rPr>
        <w:t xml:space="preserve"> </w:t>
      </w:r>
      <w:r w:rsidR="0029426E" w:rsidRPr="5A2FD8C7">
        <w:rPr>
          <w:lang w:val="en-GB"/>
        </w:rPr>
        <w:t>not require the leave of the court to bring an appeal, thereby giving third parties the full rights of appeal usually available in court proceedings.</w:t>
      </w:r>
    </w:p>
    <w:p w14:paraId="58C5833C" w14:textId="01B54A2C" w:rsidR="0029426E" w:rsidRPr="00DE1282" w:rsidRDefault="0029426E" w:rsidP="005705CE">
      <w:pPr>
        <w:pStyle w:val="Heading3"/>
      </w:pPr>
      <w:r>
        <w:t>Powers of the court in relation to award</w:t>
      </w:r>
    </w:p>
    <w:p w14:paraId="2C487C6D" w14:textId="1C6203ED" w:rsidR="0029426E" w:rsidRDefault="00533E5B" w:rsidP="0029426E">
      <w:pPr>
        <w:pStyle w:val="HSubheading4"/>
      </w:pPr>
      <w:bookmarkStart w:id="49" w:name="_Toc150515263"/>
      <w:r>
        <w:t>Section</w:t>
      </w:r>
      <w:r w:rsidR="0029426E" w:rsidRPr="00CA4237">
        <w:t xml:space="preserve"> </w:t>
      </w:r>
      <w:r w:rsidR="0029426E">
        <w:t>10</w:t>
      </w:r>
      <w:r w:rsidR="0029426E" w:rsidRPr="00CA4237">
        <w:t xml:space="preserve">: </w:t>
      </w:r>
      <w:r w:rsidR="0029426E">
        <w:t>Challenging the award: remedies available to the court</w:t>
      </w:r>
      <w:bookmarkEnd w:id="49"/>
    </w:p>
    <w:p w14:paraId="73DA1D16" w14:textId="3F88689E" w:rsidR="0029426E" w:rsidRPr="0029426E" w:rsidRDefault="0029426E" w:rsidP="00075147">
      <w:pPr>
        <w:pStyle w:val="ParaNumbered"/>
        <w:ind w:left="714" w:hanging="357"/>
        <w:jc w:val="both"/>
        <w:rPr>
          <w:lang w:val="en-GB"/>
        </w:rPr>
      </w:pPr>
      <w:r w:rsidRPr="3BF333A6">
        <w:rPr>
          <w:lang w:val="en-GB"/>
        </w:rPr>
        <w:t xml:space="preserve">An arbitral tribunal can issue an award on whether it has jurisdiction, and it can issue an award on the merits of the dispute. Either type of award can be challenged under section 67 of the 1996 </w:t>
      </w:r>
      <w:r w:rsidR="00E475CE">
        <w:rPr>
          <w:lang w:val="en-GB"/>
        </w:rPr>
        <w:t xml:space="preserve">Act </w:t>
      </w:r>
      <w:r w:rsidRPr="3BF333A6">
        <w:rPr>
          <w:lang w:val="en-GB"/>
        </w:rPr>
        <w:t xml:space="preserve">on the basis that the arbitral tribunal did not have jurisdiction.  </w:t>
      </w:r>
    </w:p>
    <w:p w14:paraId="119ADDBD" w14:textId="78FBA82B" w:rsidR="0029426E" w:rsidRDefault="0029426E" w:rsidP="00075147">
      <w:pPr>
        <w:pStyle w:val="ParaNumbered"/>
        <w:ind w:left="714" w:hanging="357"/>
        <w:jc w:val="both"/>
        <w:rPr>
          <w:lang w:val="en-GB"/>
        </w:rPr>
      </w:pPr>
      <w:r w:rsidRPr="58551244">
        <w:rPr>
          <w:lang w:val="en-GB"/>
        </w:rPr>
        <w:t>Awards can also be challenged for serious irregularity (by section 68</w:t>
      </w:r>
      <w:r w:rsidR="00E475CE">
        <w:rPr>
          <w:lang w:val="en-GB"/>
        </w:rPr>
        <w:t xml:space="preserve"> of the 1996 Act</w:t>
      </w:r>
      <w:r w:rsidRPr="58551244">
        <w:rPr>
          <w:lang w:val="en-GB"/>
        </w:rPr>
        <w:t xml:space="preserve">), where the remedies are: remit the award to the tribunal for reconsideration, </w:t>
      </w:r>
      <w:r w:rsidR="14AD1A25" w:rsidRPr="58551244">
        <w:rPr>
          <w:lang w:val="en-GB"/>
        </w:rPr>
        <w:t>set aside the award, or declare the award to be of no effect</w:t>
      </w:r>
      <w:r w:rsidRPr="58551244">
        <w:rPr>
          <w:lang w:val="en-GB"/>
        </w:rPr>
        <w:t>. And awards can be appealed on a point of law (by section 69</w:t>
      </w:r>
      <w:r w:rsidR="00E475CE">
        <w:rPr>
          <w:lang w:val="en-GB"/>
        </w:rPr>
        <w:t xml:space="preserve"> of the 1996 Act</w:t>
      </w:r>
      <w:r w:rsidRPr="58551244">
        <w:rPr>
          <w:lang w:val="en-GB"/>
        </w:rPr>
        <w:t xml:space="preserve">), where the remedies are: confirm, vary, remit for reconsideration, or set aside the award. In both sections there is a proviso that an award will not be set aside unless it is inappropriate to remit the award to the tribunal.  </w:t>
      </w:r>
    </w:p>
    <w:p w14:paraId="1D77E28A" w14:textId="36428B69" w:rsidR="0029426E" w:rsidRPr="00445CB3" w:rsidRDefault="00533E5B" w:rsidP="00075147">
      <w:pPr>
        <w:pStyle w:val="ParaNumbered"/>
        <w:ind w:left="714" w:hanging="357"/>
        <w:jc w:val="both"/>
        <w:rPr>
          <w:lang w:val="en-GB"/>
        </w:rPr>
      </w:pPr>
      <w:r>
        <w:rPr>
          <w:lang w:val="en-GB"/>
        </w:rPr>
        <w:t>Section</w:t>
      </w:r>
      <w:r w:rsidR="0029426E" w:rsidRPr="5A2FD8C7">
        <w:rPr>
          <w:lang w:val="en-GB"/>
        </w:rPr>
        <w:t xml:space="preserve"> 10</w:t>
      </w:r>
      <w:r w:rsidR="00E475CE">
        <w:rPr>
          <w:lang w:val="en-GB"/>
        </w:rPr>
        <w:t xml:space="preserve"> of this Act</w:t>
      </w:r>
      <w:r w:rsidR="0029426E" w:rsidRPr="5A2FD8C7">
        <w:rPr>
          <w:lang w:val="en-GB"/>
        </w:rPr>
        <w:t xml:space="preserve"> amends section 67</w:t>
      </w:r>
      <w:r w:rsidR="00E475CE">
        <w:rPr>
          <w:lang w:val="en-GB"/>
        </w:rPr>
        <w:t xml:space="preserve"> of the 1996 Act</w:t>
      </w:r>
      <w:r w:rsidR="0029426E" w:rsidRPr="5A2FD8C7">
        <w:rPr>
          <w:lang w:val="en-GB"/>
        </w:rPr>
        <w:t xml:space="preserve"> to provide the remedies of remittance for </w:t>
      </w:r>
      <w:r w:rsidR="008D0652" w:rsidRPr="5A2FD8C7">
        <w:rPr>
          <w:lang w:val="en-GB"/>
        </w:rPr>
        <w:t>reconsideration and</w:t>
      </w:r>
      <w:r w:rsidR="0029426E" w:rsidRPr="5A2FD8C7">
        <w:rPr>
          <w:lang w:val="en-GB"/>
        </w:rPr>
        <w:t xml:space="preserve"> </w:t>
      </w:r>
      <w:r w:rsidR="002F3EF7">
        <w:rPr>
          <w:lang w:val="en-GB"/>
        </w:rPr>
        <w:t>declaring the award to be of no effect</w:t>
      </w:r>
      <w:r w:rsidR="0029426E" w:rsidRPr="5A2FD8C7">
        <w:rPr>
          <w:lang w:val="en-GB"/>
        </w:rPr>
        <w:t>. This render</w:t>
      </w:r>
      <w:r w:rsidR="002F4FEF">
        <w:rPr>
          <w:lang w:val="en-GB"/>
        </w:rPr>
        <w:t>s</w:t>
      </w:r>
      <w:r w:rsidR="0029426E" w:rsidRPr="5A2FD8C7">
        <w:rPr>
          <w:lang w:val="en-GB"/>
        </w:rPr>
        <w:t xml:space="preserve"> section 67</w:t>
      </w:r>
      <w:r w:rsidR="008D0652">
        <w:rPr>
          <w:lang w:val="en-GB"/>
        </w:rPr>
        <w:t xml:space="preserve"> of the 1996 Act</w:t>
      </w:r>
      <w:r w:rsidR="0029426E" w:rsidRPr="5A2FD8C7">
        <w:rPr>
          <w:lang w:val="en-GB"/>
        </w:rPr>
        <w:t xml:space="preserve"> consistent with the scheme of remedies in sections 68 and 69</w:t>
      </w:r>
      <w:r w:rsidR="008D0652">
        <w:rPr>
          <w:lang w:val="en-GB"/>
        </w:rPr>
        <w:t xml:space="preserve"> of the 1996 Act</w:t>
      </w:r>
      <w:r w:rsidR="0029426E" w:rsidRPr="5A2FD8C7">
        <w:rPr>
          <w:lang w:val="en-GB"/>
        </w:rPr>
        <w:t xml:space="preserve">, and consistent with the assumptions in the case law that these remedies were intended to be available.  </w:t>
      </w:r>
    </w:p>
    <w:p w14:paraId="1B3A9696" w14:textId="4C6DCC9E" w:rsidR="0029426E" w:rsidRDefault="00533E5B" w:rsidP="0029426E">
      <w:pPr>
        <w:pStyle w:val="HSubheading4"/>
      </w:pPr>
      <w:bookmarkStart w:id="50" w:name="_Toc150515264"/>
      <w:r>
        <w:t>Section</w:t>
      </w:r>
      <w:r w:rsidR="0029426E" w:rsidRPr="00CA4237">
        <w:t xml:space="preserve"> </w:t>
      </w:r>
      <w:r w:rsidR="0029426E" w:rsidRPr="002E1D29">
        <w:t>1</w:t>
      </w:r>
      <w:r w:rsidR="0029426E">
        <w:t>1</w:t>
      </w:r>
      <w:r w:rsidR="0029426E" w:rsidRPr="002E1D29">
        <w:t>: Procedure on challenge under section 67 of the Arbitration Act 1996</w:t>
      </w:r>
      <w:bookmarkEnd w:id="50"/>
    </w:p>
    <w:p w14:paraId="31AFB2CA" w14:textId="3A01BDC0" w:rsidR="0029426E" w:rsidRDefault="008D0652" w:rsidP="00075147">
      <w:pPr>
        <w:pStyle w:val="ParaNumbered"/>
        <w:ind w:left="714" w:hanging="357"/>
        <w:jc w:val="both"/>
        <w:rPr>
          <w:lang w:val="en-GB"/>
        </w:rPr>
      </w:pPr>
      <w:r>
        <w:rPr>
          <w:lang w:val="en-GB"/>
        </w:rPr>
        <w:t>The 1996 Act (</w:t>
      </w:r>
      <w:r w:rsidR="0029426E" w:rsidRPr="5A2FD8C7">
        <w:rPr>
          <w:lang w:val="en-GB"/>
        </w:rPr>
        <w:t>sections 82 and 30</w:t>
      </w:r>
      <w:r>
        <w:rPr>
          <w:lang w:val="en-GB"/>
        </w:rPr>
        <w:t>) provides that</w:t>
      </w:r>
      <w:r w:rsidR="0029426E" w:rsidRPr="5A2FD8C7">
        <w:rPr>
          <w:lang w:val="en-GB"/>
        </w:rPr>
        <w:t xml:space="preserve"> </w:t>
      </w:r>
      <w:r w:rsidR="0029426E" w:rsidRPr="00123488">
        <w:rPr>
          <w:lang w:val="en-GB"/>
        </w:rPr>
        <w:t xml:space="preserve">an arbitral tribunal has jurisdiction if there is a valid arbitration agreement, the tribunal is properly constituted, and </w:t>
      </w:r>
      <w:r w:rsidR="00864EA3" w:rsidRPr="00123488">
        <w:rPr>
          <w:lang w:val="en-GB"/>
        </w:rPr>
        <w:t>the</w:t>
      </w:r>
      <w:r w:rsidR="0029426E" w:rsidRPr="00123488">
        <w:rPr>
          <w:lang w:val="en-GB"/>
        </w:rPr>
        <w:t xml:space="preserve"> matters which have been submitted to arbitration</w:t>
      </w:r>
      <w:r w:rsidR="00864EA3" w:rsidRPr="00123488">
        <w:rPr>
          <w:lang w:val="en-GB"/>
        </w:rPr>
        <w:t xml:space="preserve"> are</w:t>
      </w:r>
      <w:r w:rsidR="0029426E" w:rsidRPr="00123488">
        <w:rPr>
          <w:lang w:val="en-GB"/>
        </w:rPr>
        <w:t xml:space="preserve"> in accordance with the arbitration agreement.</w:t>
      </w:r>
      <w:r w:rsidR="0029426E" w:rsidRPr="5A2FD8C7">
        <w:rPr>
          <w:lang w:val="en-GB"/>
        </w:rPr>
        <w:t xml:space="preserve">  </w:t>
      </w:r>
    </w:p>
    <w:p w14:paraId="3C6AAEFF" w14:textId="66545455" w:rsidR="0029426E" w:rsidRPr="002E1D29" w:rsidRDefault="0029426E" w:rsidP="00E51AB6">
      <w:pPr>
        <w:pStyle w:val="ParaNumbered"/>
        <w:ind w:left="714" w:hanging="357"/>
        <w:jc w:val="both"/>
        <w:rPr>
          <w:rStyle w:val="eop"/>
          <w:lang w:val="en-GB"/>
        </w:rPr>
      </w:pPr>
      <w:r w:rsidRPr="346307B6">
        <w:rPr>
          <w:rStyle w:val="normaltextrun"/>
          <w:shd w:val="clear" w:color="auto" w:fill="FFFFFF"/>
        </w:rPr>
        <w:t>A party who participates in the arbitration proceedings might object that the arbitral tribunal lacks jurisdiction. The tribunal itself is usually empowered to decide, in the first instance, whether it has jurisdiction (by section 30</w:t>
      </w:r>
      <w:r w:rsidR="008D0652">
        <w:rPr>
          <w:rStyle w:val="normaltextrun"/>
          <w:shd w:val="clear" w:color="auto" w:fill="FFFFFF"/>
        </w:rPr>
        <w:t xml:space="preserve"> of the 1996 Act</w:t>
      </w:r>
      <w:r w:rsidRPr="346307B6">
        <w:rPr>
          <w:rStyle w:val="normaltextrun"/>
          <w:shd w:val="clear" w:color="auto" w:fill="FFFFFF"/>
        </w:rPr>
        <w:t>). Once the tribunal has issued an award, either on its jurisdiction or also on the merits of the dispute, a party can challenge that award before the court under section 67</w:t>
      </w:r>
      <w:r w:rsidR="008D0652">
        <w:rPr>
          <w:rStyle w:val="normaltextrun"/>
          <w:shd w:val="clear" w:color="auto" w:fill="FFFFFF"/>
        </w:rPr>
        <w:t xml:space="preserve"> of the 1996 Act</w:t>
      </w:r>
      <w:r w:rsidRPr="346307B6">
        <w:rPr>
          <w:rStyle w:val="normaltextrun"/>
          <w:shd w:val="clear" w:color="auto" w:fill="FFFFFF"/>
        </w:rPr>
        <w:t xml:space="preserve"> on the basis that the tribunal had no jurisdiction </w:t>
      </w:r>
      <w:r w:rsidRPr="346307B6">
        <w:rPr>
          <w:rStyle w:val="normaltextrun"/>
          <w:shd w:val="clear" w:color="auto" w:fill="FFFFFF"/>
        </w:rPr>
        <w:lastRenderedPageBreak/>
        <w:t>after all. </w:t>
      </w:r>
      <w:r w:rsidRPr="346307B6">
        <w:rPr>
          <w:rStyle w:val="eop"/>
          <w:shd w:val="clear" w:color="auto" w:fill="FFFFFF"/>
        </w:rPr>
        <w:t> </w:t>
      </w:r>
    </w:p>
    <w:p w14:paraId="63C84EA4" w14:textId="2844CD91" w:rsidR="0029426E" w:rsidRPr="002E1D29" w:rsidRDefault="0029426E" w:rsidP="00E51AB6">
      <w:pPr>
        <w:pStyle w:val="ParaNumbered"/>
        <w:ind w:left="714" w:hanging="357"/>
        <w:jc w:val="both"/>
        <w:rPr>
          <w:rStyle w:val="eop"/>
          <w:lang w:val="en-GB"/>
        </w:rPr>
      </w:pPr>
      <w:r w:rsidRPr="346307B6">
        <w:rPr>
          <w:rStyle w:val="normaltextrun"/>
          <w:shd w:val="clear" w:color="auto" w:fill="FFFFFF"/>
        </w:rPr>
        <w:t xml:space="preserve">In its decision in </w:t>
      </w:r>
      <w:r w:rsidRPr="003C2F3A">
        <w:rPr>
          <w:rStyle w:val="normaltextrun"/>
          <w:i/>
          <w:iCs/>
          <w:shd w:val="clear" w:color="auto" w:fill="FFFFFF"/>
        </w:rPr>
        <w:t>Dallah v Pakistan</w:t>
      </w:r>
      <w:r w:rsidRPr="346307B6">
        <w:rPr>
          <w:rStyle w:val="normaltextrun"/>
          <w:shd w:val="clear" w:color="auto" w:fill="FFFFFF"/>
        </w:rPr>
        <w:t xml:space="preserve"> (2010),</w:t>
      </w:r>
      <w:r w:rsidR="00503258">
        <w:rPr>
          <w:rStyle w:val="FootnoteReference"/>
          <w:shd w:val="clear" w:color="auto" w:fill="FFFFFF"/>
        </w:rPr>
        <w:footnoteReference w:id="7"/>
      </w:r>
      <w:r w:rsidRPr="346307B6">
        <w:rPr>
          <w:rStyle w:val="normaltextrun"/>
          <w:shd w:val="clear" w:color="auto" w:fill="FFFFFF"/>
        </w:rPr>
        <w:t xml:space="preserve"> the Supreme Court said that, even where the question of the tribunal’s jurisdiction has been fully debated before the tribunal, a challenge under section 67</w:t>
      </w:r>
      <w:r w:rsidR="008D0652">
        <w:rPr>
          <w:rStyle w:val="normaltextrun"/>
          <w:shd w:val="clear" w:color="auto" w:fill="FFFFFF"/>
        </w:rPr>
        <w:t xml:space="preserve"> of the 1996 Act</w:t>
      </w:r>
      <w:r w:rsidRPr="346307B6">
        <w:rPr>
          <w:rStyle w:val="normaltextrun"/>
          <w:shd w:val="clear" w:color="auto" w:fill="FFFFFF"/>
        </w:rPr>
        <w:t xml:space="preserve"> is a full rehearing before the court. </w:t>
      </w:r>
      <w:r w:rsidRPr="346307B6">
        <w:rPr>
          <w:rStyle w:val="eop"/>
          <w:shd w:val="clear" w:color="auto" w:fill="FFFFFF"/>
        </w:rPr>
        <w:t> </w:t>
      </w:r>
    </w:p>
    <w:p w14:paraId="0919EAB6" w14:textId="7CC17C6C" w:rsidR="00445CB3" w:rsidRPr="002B67F6" w:rsidRDefault="00533E5B" w:rsidP="00075147">
      <w:pPr>
        <w:pStyle w:val="ParaNumbered"/>
        <w:ind w:left="714" w:hanging="357"/>
        <w:jc w:val="both"/>
        <w:rPr>
          <w:lang w:val="en-GB"/>
        </w:rPr>
      </w:pPr>
      <w:r>
        <w:rPr>
          <w:rStyle w:val="normaltextrun"/>
          <w:shd w:val="clear" w:color="auto" w:fill="FFFFFF"/>
        </w:rPr>
        <w:t>Section</w:t>
      </w:r>
      <w:r w:rsidR="0029426E" w:rsidRPr="346307B6">
        <w:rPr>
          <w:rStyle w:val="normaltextrun"/>
          <w:shd w:val="clear" w:color="auto" w:fill="FFFFFF"/>
        </w:rPr>
        <w:t xml:space="preserve"> 11 </w:t>
      </w:r>
      <w:r w:rsidR="008D0652">
        <w:rPr>
          <w:rStyle w:val="normaltextrun"/>
          <w:shd w:val="clear" w:color="auto" w:fill="FFFFFF"/>
        </w:rPr>
        <w:t xml:space="preserve">of this Act </w:t>
      </w:r>
      <w:r w:rsidR="0029426E" w:rsidRPr="346307B6">
        <w:rPr>
          <w:rStyle w:val="normaltextrun"/>
          <w:shd w:val="clear" w:color="auto" w:fill="FFFFFF"/>
        </w:rPr>
        <w:t xml:space="preserve">amends section 67 </w:t>
      </w:r>
      <w:r w:rsidR="009B1DAD">
        <w:rPr>
          <w:rStyle w:val="normaltextrun"/>
          <w:shd w:val="clear" w:color="auto" w:fill="FFFFFF"/>
        </w:rPr>
        <w:t xml:space="preserve">of the 1996 </w:t>
      </w:r>
      <w:r w:rsidR="008D0652">
        <w:rPr>
          <w:rStyle w:val="normaltextrun"/>
          <w:shd w:val="clear" w:color="auto" w:fill="FFFFFF"/>
        </w:rPr>
        <w:t xml:space="preserve">Act </w:t>
      </w:r>
      <w:r w:rsidR="0029426E" w:rsidRPr="346307B6">
        <w:rPr>
          <w:rStyle w:val="normaltextrun"/>
          <w:shd w:val="clear" w:color="auto" w:fill="FFFFFF"/>
        </w:rPr>
        <w:t>to confer power for rules of court to provide as follows. Where an application is made under section 67</w:t>
      </w:r>
      <w:r w:rsidR="008D0652">
        <w:rPr>
          <w:rStyle w:val="normaltextrun"/>
          <w:shd w:val="clear" w:color="auto" w:fill="FFFFFF"/>
        </w:rPr>
        <w:t xml:space="preserve"> of the 1996 Act</w:t>
      </w:r>
      <w:r w:rsidR="0029426E" w:rsidRPr="346307B6">
        <w:rPr>
          <w:rStyle w:val="normaltextrun"/>
          <w:shd w:val="clear" w:color="auto" w:fill="FFFFFF"/>
        </w:rPr>
        <w:t xml:space="preserve">, by a party who took part in the arbitration proceedings, that relates to an objection on which the tribunal has already ruled, then there will generally be no full rehearing before the court. This </w:t>
      </w:r>
      <w:r w:rsidR="00F71941">
        <w:rPr>
          <w:rStyle w:val="normaltextrun"/>
          <w:shd w:val="clear" w:color="auto" w:fill="FFFFFF"/>
        </w:rPr>
        <w:t xml:space="preserve">is </w:t>
      </w:r>
      <w:r w:rsidR="0029426E" w:rsidRPr="346307B6">
        <w:rPr>
          <w:rStyle w:val="normaltextrun"/>
          <w:shd w:val="clear" w:color="auto" w:fill="FFFFFF"/>
        </w:rPr>
        <w:t xml:space="preserve">a departure from </w:t>
      </w:r>
      <w:r w:rsidR="0029426E" w:rsidRPr="003C2F3A">
        <w:rPr>
          <w:rStyle w:val="normaltextrun"/>
          <w:i/>
          <w:iCs/>
          <w:shd w:val="clear" w:color="auto" w:fill="FFFFFF"/>
        </w:rPr>
        <w:t>Dallah v Pakistan</w:t>
      </w:r>
      <w:r w:rsidR="0029426E" w:rsidRPr="346307B6">
        <w:rPr>
          <w:rStyle w:val="normaltextrun"/>
          <w:shd w:val="clear" w:color="auto" w:fill="FFFFFF"/>
        </w:rPr>
        <w:t>. Specifically, rules of court will be able to provide that</w:t>
      </w:r>
      <w:r w:rsidR="00A97BB8">
        <w:rPr>
          <w:rStyle w:val="normaltextrun"/>
          <w:shd w:val="clear" w:color="auto" w:fill="FFFFFF"/>
        </w:rPr>
        <w:t>, unless necessary in the interests of justice,</w:t>
      </w:r>
      <w:r w:rsidR="0029426E" w:rsidRPr="346307B6">
        <w:rPr>
          <w:rStyle w:val="normaltextrun"/>
          <w:shd w:val="clear" w:color="auto" w:fill="FFFFFF"/>
        </w:rPr>
        <w:t xml:space="preserve"> there should be no new grounds of objection</w:t>
      </w:r>
      <w:r w:rsidR="003E644D">
        <w:rPr>
          <w:rStyle w:val="normaltextrun"/>
          <w:shd w:val="clear" w:color="auto" w:fill="FFFFFF"/>
        </w:rPr>
        <w:t xml:space="preserve"> and</w:t>
      </w:r>
      <w:r w:rsidR="0029426E" w:rsidRPr="346307B6">
        <w:rPr>
          <w:rStyle w:val="normaltextrun"/>
          <w:shd w:val="clear" w:color="auto" w:fill="FFFFFF"/>
        </w:rPr>
        <w:t xml:space="preserve"> no new evidence before the court, unless it was not reasonably possible to put these before the tribunal; and evidence should not be reheard by the court. </w:t>
      </w:r>
      <w:r w:rsidR="0029426E" w:rsidRPr="346307B6">
        <w:rPr>
          <w:rStyle w:val="eop"/>
          <w:shd w:val="clear" w:color="auto" w:fill="FFFFFF"/>
        </w:rPr>
        <w:t> </w:t>
      </w:r>
    </w:p>
    <w:p w14:paraId="76321215" w14:textId="1C865FFF" w:rsidR="0029426E" w:rsidRDefault="00533E5B" w:rsidP="0029426E">
      <w:pPr>
        <w:pStyle w:val="HSubheading4"/>
      </w:pPr>
      <w:bookmarkStart w:id="51" w:name="_Toc150515265"/>
      <w:r>
        <w:t>Section</w:t>
      </w:r>
      <w:r w:rsidR="0029426E" w:rsidRPr="00CA4237">
        <w:t xml:space="preserve"> </w:t>
      </w:r>
      <w:r w:rsidR="0029426E" w:rsidRPr="002E1D29">
        <w:t>1</w:t>
      </w:r>
      <w:r w:rsidR="0029426E">
        <w:t>2</w:t>
      </w:r>
      <w:r w:rsidR="0029426E" w:rsidRPr="002E1D29">
        <w:t>: Challenging the award: time limit</w:t>
      </w:r>
      <w:bookmarkEnd w:id="51"/>
    </w:p>
    <w:p w14:paraId="79ECA197" w14:textId="42CE6B85" w:rsidR="0029426E" w:rsidRDefault="008D0652" w:rsidP="00075147">
      <w:pPr>
        <w:pStyle w:val="ParaNumbered"/>
        <w:ind w:left="714" w:hanging="357"/>
        <w:jc w:val="both"/>
        <w:rPr>
          <w:lang w:val="en-GB"/>
        </w:rPr>
      </w:pPr>
      <w:r>
        <w:rPr>
          <w:lang w:val="en-GB"/>
        </w:rPr>
        <w:t>The</w:t>
      </w:r>
      <w:r w:rsidR="0029426E" w:rsidRPr="5A2FD8C7">
        <w:rPr>
          <w:lang w:val="en-GB"/>
        </w:rPr>
        <w:t xml:space="preserve"> 1996</w:t>
      </w:r>
      <w:r>
        <w:rPr>
          <w:lang w:val="en-GB"/>
        </w:rPr>
        <w:t xml:space="preserve"> Act provides that</w:t>
      </w:r>
      <w:r w:rsidR="0029426E" w:rsidRPr="5A2FD8C7">
        <w:rPr>
          <w:lang w:val="en-GB"/>
        </w:rPr>
        <w:t xml:space="preserve"> an arbitral award can be challenged before the courts on the basis that the tribunal lacked jurisdiction (section 67), or on the basis of serious irregularity (section 68), or the award can be appealed on a point of law (section 69). In all cases, the challenge must comply with the further requirements of section 70</w:t>
      </w:r>
      <w:r>
        <w:rPr>
          <w:lang w:val="en-GB"/>
        </w:rPr>
        <w:t xml:space="preserve"> of the 1996 Act</w:t>
      </w:r>
      <w:r w:rsidR="0029426E" w:rsidRPr="5A2FD8C7">
        <w:rPr>
          <w:lang w:val="en-GB"/>
        </w:rPr>
        <w:t>.</w:t>
      </w:r>
    </w:p>
    <w:p w14:paraId="060028B4" w14:textId="0E8AD977" w:rsidR="0029426E" w:rsidRPr="002E1D29" w:rsidRDefault="0029426E" w:rsidP="00E51AB6">
      <w:pPr>
        <w:pStyle w:val="ParaNumbered"/>
        <w:ind w:left="714" w:hanging="357"/>
        <w:jc w:val="both"/>
        <w:rPr>
          <w:rStyle w:val="eop"/>
          <w:lang w:val="en-GB"/>
        </w:rPr>
      </w:pPr>
      <w:r w:rsidRPr="346307B6">
        <w:rPr>
          <w:rStyle w:val="normaltextrun"/>
          <w:shd w:val="clear" w:color="auto" w:fill="FFFFFF"/>
        </w:rPr>
        <w:t>By section 70</w:t>
      </w:r>
      <w:r w:rsidR="008D0652">
        <w:rPr>
          <w:rStyle w:val="normaltextrun"/>
          <w:shd w:val="clear" w:color="auto" w:fill="FFFFFF"/>
        </w:rPr>
        <w:t xml:space="preserve"> of the 1996 Act</w:t>
      </w:r>
      <w:r w:rsidRPr="346307B6">
        <w:rPr>
          <w:rStyle w:val="normaltextrun"/>
          <w:shd w:val="clear" w:color="auto" w:fill="FFFFFF"/>
        </w:rPr>
        <w:t>, an applicant must first exhaust any available arbitral process of appeal or review (section 70(2)(a)) and any available recourse under section 57 to correct the award or issue an additional award (section 70(2)(b)). The application to court must be made within 28 days.</w:t>
      </w:r>
      <w:r w:rsidRPr="346307B6">
        <w:rPr>
          <w:rStyle w:val="normaltextrun"/>
          <w:rFonts w:ascii="Times New Roman" w:hAnsi="Times New Roman" w:cs="Times New Roman"/>
          <w:shd w:val="clear" w:color="auto" w:fill="FFFFFF"/>
        </w:rPr>
        <w:t> </w:t>
      </w:r>
      <w:r w:rsidRPr="346307B6">
        <w:rPr>
          <w:rStyle w:val="eop"/>
          <w:shd w:val="clear" w:color="auto" w:fill="FFFFFF"/>
        </w:rPr>
        <w:t> </w:t>
      </w:r>
    </w:p>
    <w:p w14:paraId="4E4CB98F" w14:textId="68BEB548" w:rsidR="0029426E" w:rsidRPr="00445CB3" w:rsidRDefault="00533E5B" w:rsidP="00075147">
      <w:pPr>
        <w:pStyle w:val="ParaNumbered"/>
        <w:ind w:left="714" w:hanging="357"/>
        <w:jc w:val="both"/>
        <w:rPr>
          <w:lang w:val="en-GB"/>
        </w:rPr>
      </w:pPr>
      <w:r>
        <w:rPr>
          <w:rStyle w:val="normaltextrun"/>
          <w:shd w:val="clear" w:color="auto" w:fill="FFFFFF"/>
        </w:rPr>
        <w:t>Section</w:t>
      </w:r>
      <w:r w:rsidR="0029426E" w:rsidRPr="346307B6">
        <w:rPr>
          <w:rStyle w:val="normaltextrun"/>
          <w:shd w:val="clear" w:color="auto" w:fill="FFFFFF"/>
        </w:rPr>
        <w:t xml:space="preserve"> 12 </w:t>
      </w:r>
      <w:r w:rsidR="008D0652">
        <w:rPr>
          <w:rStyle w:val="normaltextrun"/>
          <w:shd w:val="clear" w:color="auto" w:fill="FFFFFF"/>
        </w:rPr>
        <w:t xml:space="preserve">of this Act </w:t>
      </w:r>
      <w:r w:rsidR="0029426E" w:rsidRPr="346307B6">
        <w:rPr>
          <w:rStyle w:val="normaltextrun"/>
          <w:shd w:val="clear" w:color="auto" w:fill="FFFFFF"/>
        </w:rPr>
        <w:t xml:space="preserve">amends section 70 </w:t>
      </w:r>
      <w:r w:rsidR="009B1DAD">
        <w:rPr>
          <w:rStyle w:val="normaltextrun"/>
          <w:shd w:val="clear" w:color="auto" w:fill="FFFFFF"/>
        </w:rPr>
        <w:t>of the 1996</w:t>
      </w:r>
      <w:r w:rsidR="008D0652">
        <w:rPr>
          <w:rStyle w:val="normaltextrun"/>
          <w:shd w:val="clear" w:color="auto" w:fill="FFFFFF"/>
        </w:rPr>
        <w:t xml:space="preserve"> Act</w:t>
      </w:r>
      <w:r w:rsidR="009B1DAD">
        <w:rPr>
          <w:rStyle w:val="normaltextrun"/>
          <w:shd w:val="clear" w:color="auto" w:fill="FFFFFF"/>
        </w:rPr>
        <w:t xml:space="preserve"> </w:t>
      </w:r>
      <w:r w:rsidR="0029426E" w:rsidRPr="346307B6">
        <w:rPr>
          <w:rStyle w:val="normaltextrun"/>
          <w:shd w:val="clear" w:color="auto" w:fill="FFFFFF"/>
        </w:rPr>
        <w:t>to clarify that the time limit of 28 days begins to run after any arbitral appeal or any application under section 57</w:t>
      </w:r>
      <w:r w:rsidR="008D0652">
        <w:rPr>
          <w:rStyle w:val="normaltextrun"/>
          <w:shd w:val="clear" w:color="auto" w:fill="FFFFFF"/>
        </w:rPr>
        <w:t xml:space="preserve"> of the 1996 Act</w:t>
      </w:r>
      <w:r w:rsidR="0029426E" w:rsidRPr="346307B6">
        <w:rPr>
          <w:rStyle w:val="normaltextrun"/>
          <w:shd w:val="clear" w:color="auto" w:fill="FFFFFF"/>
        </w:rPr>
        <w:t>. (In any other case, it begins to run from the date of the award.)</w:t>
      </w:r>
      <w:r w:rsidR="0029426E" w:rsidRPr="346307B6">
        <w:rPr>
          <w:rStyle w:val="normaltextrun"/>
          <w:rFonts w:ascii="Times New Roman" w:hAnsi="Times New Roman" w:cs="Times New Roman"/>
          <w:shd w:val="clear" w:color="auto" w:fill="FFFFFF"/>
        </w:rPr>
        <w:t> </w:t>
      </w:r>
      <w:r w:rsidR="0029426E" w:rsidRPr="346307B6">
        <w:rPr>
          <w:rStyle w:val="eop"/>
          <w:shd w:val="clear" w:color="auto" w:fill="FFFFFF"/>
        </w:rPr>
        <w:t> </w:t>
      </w:r>
    </w:p>
    <w:p w14:paraId="39C89CA2" w14:textId="3BB39FA3" w:rsidR="0029426E" w:rsidRPr="002E1D29" w:rsidRDefault="003E644D" w:rsidP="005705CE">
      <w:pPr>
        <w:pStyle w:val="Heading3"/>
      </w:pPr>
      <w:r>
        <w:t>Appeals from High Court decisions</w:t>
      </w:r>
    </w:p>
    <w:p w14:paraId="602DB503" w14:textId="49B1A5A5" w:rsidR="0029426E" w:rsidRDefault="00533E5B" w:rsidP="0029426E">
      <w:pPr>
        <w:pStyle w:val="HSubheading4"/>
      </w:pPr>
      <w:bookmarkStart w:id="52" w:name="_Toc150515266"/>
      <w:r>
        <w:t>Section</w:t>
      </w:r>
      <w:r w:rsidR="0029426E" w:rsidRPr="00CA4237">
        <w:t xml:space="preserve"> </w:t>
      </w:r>
      <w:r w:rsidR="0029426E" w:rsidRPr="002E1D29">
        <w:t>1</w:t>
      </w:r>
      <w:r w:rsidR="0029426E">
        <w:t xml:space="preserve">3: </w:t>
      </w:r>
      <w:bookmarkEnd w:id="52"/>
      <w:r w:rsidR="003E644D">
        <w:t>Appeals to Court of Appeal from High Court decisions</w:t>
      </w:r>
    </w:p>
    <w:p w14:paraId="596CD356" w14:textId="0FBB4851" w:rsidR="003E644D" w:rsidRPr="003C2F3A" w:rsidRDefault="003E644D" w:rsidP="00075147">
      <w:pPr>
        <w:pStyle w:val="ParaNumbered"/>
        <w:ind w:left="714" w:hanging="357"/>
        <w:jc w:val="both"/>
        <w:rPr>
          <w:lang w:val="en-GB"/>
        </w:rPr>
      </w:pPr>
      <w:r>
        <w:rPr>
          <w:rStyle w:val="normaltextrun"/>
          <w:shd w:val="clear" w:color="auto" w:fill="FFFFFF"/>
        </w:rPr>
        <w:t>Various</w:t>
      </w:r>
      <w:r w:rsidRPr="0029426E">
        <w:rPr>
          <w:rStyle w:val="normaltextrun"/>
          <w:shd w:val="clear" w:color="auto" w:fill="FFFFFF"/>
        </w:rPr>
        <w:t xml:space="preserve"> </w:t>
      </w:r>
      <w:r w:rsidRPr="003E644D">
        <w:rPr>
          <w:shd w:val="clear" w:color="auto" w:fill="FFFFFF"/>
          <w:lang w:val="en-GB"/>
        </w:rPr>
        <w:t xml:space="preserve">applications can be made to the High Court under Part </w:t>
      </w:r>
      <w:r w:rsidR="00A224F3">
        <w:rPr>
          <w:shd w:val="clear" w:color="auto" w:fill="FFFFFF"/>
          <w:lang w:val="en-GB"/>
        </w:rPr>
        <w:t>I</w:t>
      </w:r>
      <w:r w:rsidRPr="003E644D">
        <w:rPr>
          <w:shd w:val="clear" w:color="auto" w:fill="FFFFFF"/>
          <w:lang w:val="en-GB"/>
        </w:rPr>
        <w:t xml:space="preserve"> of the 1996</w:t>
      </w:r>
      <w:r w:rsidR="008D0652">
        <w:rPr>
          <w:shd w:val="clear" w:color="auto" w:fill="FFFFFF"/>
          <w:lang w:val="en-GB"/>
        </w:rPr>
        <w:t xml:space="preserve"> Act</w:t>
      </w:r>
      <w:r w:rsidRPr="003E644D">
        <w:rPr>
          <w:shd w:val="clear" w:color="auto" w:fill="FFFFFF"/>
          <w:lang w:val="en-GB"/>
        </w:rPr>
        <w:t xml:space="preserve">. For example, under section 9 </w:t>
      </w:r>
      <w:r w:rsidR="008D0652">
        <w:rPr>
          <w:shd w:val="clear" w:color="auto" w:fill="FFFFFF"/>
          <w:lang w:val="en-GB"/>
        </w:rPr>
        <w:t xml:space="preserve">of the 1996 Act </w:t>
      </w:r>
      <w:r w:rsidRPr="003E644D">
        <w:rPr>
          <w:shd w:val="clear" w:color="auto" w:fill="FFFFFF"/>
          <w:lang w:val="en-GB"/>
        </w:rPr>
        <w:t xml:space="preserve">a party can apply to court to stay legal proceedings in favour of arbitration proceedings. Some sections in Part </w:t>
      </w:r>
      <w:r w:rsidR="00A224F3">
        <w:rPr>
          <w:shd w:val="clear" w:color="auto" w:fill="FFFFFF"/>
          <w:lang w:val="en-GB"/>
        </w:rPr>
        <w:t>I</w:t>
      </w:r>
      <w:r w:rsidRPr="003E644D">
        <w:rPr>
          <w:shd w:val="clear" w:color="auto" w:fill="FFFFFF"/>
          <w:lang w:val="en-GB"/>
        </w:rPr>
        <w:t xml:space="preserve"> say expressly that a decision of the High Court can be appealed to the Court of Appeal only with the permission of the High Court. Other sections in Part </w:t>
      </w:r>
      <w:r w:rsidR="00A224F3">
        <w:rPr>
          <w:shd w:val="clear" w:color="auto" w:fill="FFFFFF"/>
          <w:lang w:val="en-GB"/>
        </w:rPr>
        <w:t>I</w:t>
      </w:r>
      <w:r w:rsidRPr="003E644D">
        <w:rPr>
          <w:shd w:val="clear" w:color="auto" w:fill="FFFFFF"/>
          <w:lang w:val="en-GB"/>
        </w:rPr>
        <w:t>, including section 9, are silent.</w:t>
      </w:r>
    </w:p>
    <w:p w14:paraId="2BCFB231" w14:textId="1ACA0AE4" w:rsidR="003E644D" w:rsidRPr="003E644D" w:rsidRDefault="003E644D" w:rsidP="00075147">
      <w:pPr>
        <w:pStyle w:val="ParaNumbered"/>
        <w:ind w:left="714" w:hanging="357"/>
        <w:jc w:val="both"/>
        <w:rPr>
          <w:rStyle w:val="eop"/>
          <w:lang w:val="en-GB"/>
        </w:rPr>
      </w:pPr>
      <w:r>
        <w:rPr>
          <w:shd w:val="clear" w:color="auto" w:fill="FFFFFF"/>
          <w:lang w:val="en-GB"/>
        </w:rPr>
        <w:t xml:space="preserve">Rights </w:t>
      </w:r>
      <w:r w:rsidRPr="003E644D">
        <w:rPr>
          <w:shd w:val="clear" w:color="auto" w:fill="FFFFFF"/>
          <w:lang w:val="en-GB"/>
        </w:rPr>
        <w:t>of appeal to the Court of Appeal are governed by the Senior Courts Act 1981 (for England and Wales) and by the Judicature (Northern Ireland) Act 1978 (for Northern Ireland). The 1996</w:t>
      </w:r>
      <w:r w:rsidR="008D0652">
        <w:rPr>
          <w:shd w:val="clear" w:color="auto" w:fill="FFFFFF"/>
          <w:lang w:val="en-GB"/>
        </w:rPr>
        <w:t xml:space="preserve"> Act</w:t>
      </w:r>
      <w:r w:rsidRPr="003E644D">
        <w:rPr>
          <w:shd w:val="clear" w:color="auto" w:fill="FFFFFF"/>
          <w:lang w:val="en-GB"/>
        </w:rPr>
        <w:t xml:space="preserve">, Schedule 3, paragraphs 34(2) and 37(2), amended those Acts, in effect to say that no appeal was possible under Part </w:t>
      </w:r>
      <w:r w:rsidR="00A224F3">
        <w:rPr>
          <w:shd w:val="clear" w:color="auto" w:fill="FFFFFF"/>
          <w:lang w:val="en-GB"/>
        </w:rPr>
        <w:t>I</w:t>
      </w:r>
      <w:r w:rsidRPr="003E644D">
        <w:rPr>
          <w:shd w:val="clear" w:color="auto" w:fill="FFFFFF"/>
          <w:lang w:val="en-GB"/>
        </w:rPr>
        <w:t xml:space="preserve"> except for those sections which expressly required the permission of the High Court. This was a drafting error. The House of Lords in </w:t>
      </w:r>
      <w:r w:rsidRPr="003E644D">
        <w:rPr>
          <w:i/>
          <w:iCs/>
          <w:shd w:val="clear" w:color="auto" w:fill="FFFFFF"/>
          <w:lang w:val="en-GB"/>
        </w:rPr>
        <w:t xml:space="preserve">Inco Europe v First Choice Distribution </w:t>
      </w:r>
      <w:r w:rsidRPr="003E644D">
        <w:rPr>
          <w:shd w:val="clear" w:color="auto" w:fill="FFFFFF"/>
          <w:lang w:val="en-GB"/>
        </w:rPr>
        <w:t>(2000),</w:t>
      </w:r>
      <w:r w:rsidRPr="003E644D">
        <w:rPr>
          <w:shd w:val="clear" w:color="auto" w:fill="FFFFFF"/>
          <w:vertAlign w:val="superscript"/>
          <w:lang w:val="en-GB"/>
        </w:rPr>
        <w:footnoteReference w:id="8"/>
      </w:r>
      <w:r w:rsidRPr="003E644D">
        <w:rPr>
          <w:shd w:val="clear" w:color="auto" w:fill="FFFFFF"/>
          <w:lang w:val="en-GB"/>
        </w:rPr>
        <w:t xml:space="preserve"> a case involving section 9</w:t>
      </w:r>
      <w:r w:rsidR="009B1DAD">
        <w:rPr>
          <w:shd w:val="clear" w:color="auto" w:fill="FFFFFF"/>
          <w:lang w:val="en-GB"/>
        </w:rPr>
        <w:t xml:space="preserve"> of the 1996</w:t>
      </w:r>
      <w:r w:rsidR="008D0652">
        <w:rPr>
          <w:shd w:val="clear" w:color="auto" w:fill="FFFFFF"/>
          <w:lang w:val="en-GB"/>
        </w:rPr>
        <w:t xml:space="preserve"> Act</w:t>
      </w:r>
      <w:r w:rsidRPr="003E644D">
        <w:rPr>
          <w:shd w:val="clear" w:color="auto" w:fill="FFFFFF"/>
          <w:lang w:val="en-GB"/>
        </w:rPr>
        <w:t xml:space="preserve">, identified the drafting error, and said that the </w:t>
      </w:r>
      <w:r w:rsidR="009B1DAD">
        <w:rPr>
          <w:shd w:val="clear" w:color="auto" w:fill="FFFFFF"/>
          <w:lang w:val="en-GB"/>
        </w:rPr>
        <w:t xml:space="preserve">Senior Courts Act </w:t>
      </w:r>
      <w:r w:rsidRPr="003E644D">
        <w:rPr>
          <w:shd w:val="clear" w:color="auto" w:fill="FFFFFF"/>
          <w:lang w:val="en-GB"/>
        </w:rPr>
        <w:t xml:space="preserve">1981 should be read as follows: the usual full rights to appeal to the Court of Appeal are available under all sections of Part </w:t>
      </w:r>
      <w:r w:rsidR="00A224F3">
        <w:rPr>
          <w:shd w:val="clear" w:color="auto" w:fill="FFFFFF"/>
          <w:lang w:val="en-GB"/>
        </w:rPr>
        <w:t>I</w:t>
      </w:r>
      <w:r w:rsidRPr="003E644D">
        <w:rPr>
          <w:shd w:val="clear" w:color="auto" w:fill="FFFFFF"/>
          <w:lang w:val="en-GB"/>
        </w:rPr>
        <w:t xml:space="preserve"> of the 1996</w:t>
      </w:r>
      <w:r w:rsidR="008D0652">
        <w:rPr>
          <w:shd w:val="clear" w:color="auto" w:fill="FFFFFF"/>
          <w:lang w:val="en-GB"/>
        </w:rPr>
        <w:t xml:space="preserve"> Act</w:t>
      </w:r>
      <w:r w:rsidRPr="003E644D">
        <w:rPr>
          <w:shd w:val="clear" w:color="auto" w:fill="FFFFFF"/>
          <w:lang w:val="en-GB"/>
        </w:rPr>
        <w:t xml:space="preserve">, except that an appeal requires the permission of the High Court only for those sections which say so expressly. </w:t>
      </w:r>
      <w:r w:rsidR="00533E5B">
        <w:rPr>
          <w:shd w:val="clear" w:color="auto" w:fill="FFFFFF"/>
          <w:lang w:val="en-GB"/>
        </w:rPr>
        <w:t>Section</w:t>
      </w:r>
      <w:r w:rsidRPr="003E644D">
        <w:rPr>
          <w:shd w:val="clear" w:color="auto" w:fill="FFFFFF"/>
          <w:lang w:val="en-GB"/>
        </w:rPr>
        <w:t xml:space="preserve"> 13 </w:t>
      </w:r>
      <w:r w:rsidR="008D0652">
        <w:rPr>
          <w:shd w:val="clear" w:color="auto" w:fill="FFFFFF"/>
          <w:lang w:val="en-GB"/>
        </w:rPr>
        <w:t xml:space="preserve">of this Act </w:t>
      </w:r>
      <w:r w:rsidRPr="003E644D">
        <w:rPr>
          <w:shd w:val="clear" w:color="auto" w:fill="FFFFFF"/>
          <w:lang w:val="en-GB"/>
        </w:rPr>
        <w:t>corrects the drafting error in line with the House of Lords decision.</w:t>
      </w:r>
    </w:p>
    <w:p w14:paraId="43C9A79B" w14:textId="43454CE8" w:rsidR="003E644D" w:rsidRPr="003E644D" w:rsidRDefault="003E644D" w:rsidP="005705CE">
      <w:pPr>
        <w:pStyle w:val="Heading3"/>
      </w:pPr>
      <w:r w:rsidRPr="002E1D29">
        <w:lastRenderedPageBreak/>
        <w:t>Miscellaneous minor amendments</w:t>
      </w:r>
    </w:p>
    <w:p w14:paraId="6EAC82FB" w14:textId="13FEE156" w:rsidR="0029426E" w:rsidRDefault="00533E5B" w:rsidP="0029426E">
      <w:pPr>
        <w:pStyle w:val="HSubheading4"/>
      </w:pPr>
      <w:bookmarkStart w:id="53" w:name="_Toc150515267"/>
      <w:r>
        <w:t>Section</w:t>
      </w:r>
      <w:r w:rsidR="0029426E" w:rsidRPr="00CA4237">
        <w:t xml:space="preserve"> </w:t>
      </w:r>
      <w:r w:rsidR="0029426E" w:rsidRPr="002E1D29">
        <w:t>1</w:t>
      </w:r>
      <w:r w:rsidR="0029426E">
        <w:t xml:space="preserve">4: </w:t>
      </w:r>
      <w:r w:rsidR="0029426E" w:rsidRPr="002E1D29">
        <w:t>Requirements to be met for court to consider applications</w:t>
      </w:r>
      <w:bookmarkEnd w:id="53"/>
    </w:p>
    <w:p w14:paraId="6B29C999" w14:textId="1CB1E6DA" w:rsidR="0029426E" w:rsidRPr="002E1D29" w:rsidRDefault="008D0652" w:rsidP="00075147">
      <w:pPr>
        <w:pStyle w:val="ParaNumbered"/>
        <w:ind w:left="714" w:hanging="357"/>
        <w:jc w:val="both"/>
        <w:rPr>
          <w:lang w:val="en-GB"/>
        </w:rPr>
      </w:pPr>
      <w:r>
        <w:rPr>
          <w:lang w:val="en-GB"/>
        </w:rPr>
        <w:t xml:space="preserve">The 1996 Act (section 32) provides that </w:t>
      </w:r>
      <w:r w:rsidR="0029426E" w:rsidRPr="5A2FD8C7">
        <w:rPr>
          <w:lang w:val="en-GB"/>
        </w:rPr>
        <w:t>an arbitrating party can apply to the court for the court to make a preliminary ruling on whether the arbitral tribunal has jurisdiction. Under section 45</w:t>
      </w:r>
      <w:r w:rsidR="00917776">
        <w:rPr>
          <w:lang w:val="en-GB"/>
        </w:rPr>
        <w:t xml:space="preserve"> </w:t>
      </w:r>
      <w:r>
        <w:rPr>
          <w:lang w:val="en-GB"/>
        </w:rPr>
        <w:t xml:space="preserve">of the </w:t>
      </w:r>
      <w:r w:rsidR="00917776">
        <w:rPr>
          <w:lang w:val="en-GB"/>
        </w:rPr>
        <w:t>1996</w:t>
      </w:r>
      <w:r>
        <w:rPr>
          <w:lang w:val="en-GB"/>
        </w:rPr>
        <w:t xml:space="preserve"> Act</w:t>
      </w:r>
      <w:r w:rsidR="0029426E" w:rsidRPr="5A2FD8C7">
        <w:rPr>
          <w:lang w:val="en-GB"/>
        </w:rPr>
        <w:t>, a party can apply to the court for the court to rule on a preliminary point of law arising in the arbitration.</w:t>
      </w:r>
      <w:r w:rsidR="0029426E" w:rsidRPr="5A2FD8C7">
        <w:rPr>
          <w:rFonts w:ascii="Times New Roman" w:hAnsi="Times New Roman" w:cs="Times New Roman"/>
          <w:lang w:val="en-GB"/>
        </w:rPr>
        <w:t> </w:t>
      </w:r>
    </w:p>
    <w:p w14:paraId="3CF684AB" w14:textId="0565E903" w:rsidR="0029426E" w:rsidRPr="00445CB3" w:rsidRDefault="00533E5B" w:rsidP="00075147">
      <w:pPr>
        <w:pStyle w:val="ParaNumbered"/>
        <w:ind w:left="714" w:hanging="357"/>
        <w:jc w:val="both"/>
        <w:rPr>
          <w:lang w:val="en-GB"/>
        </w:rPr>
      </w:pPr>
      <w:r>
        <w:rPr>
          <w:lang w:val="en-GB"/>
        </w:rPr>
        <w:t>Section</w:t>
      </w:r>
      <w:r w:rsidR="0029426E" w:rsidRPr="5A2FD8C7">
        <w:rPr>
          <w:lang w:val="en-GB"/>
        </w:rPr>
        <w:t xml:space="preserve"> 14 </w:t>
      </w:r>
      <w:r w:rsidR="008D0652">
        <w:rPr>
          <w:lang w:val="en-GB"/>
        </w:rPr>
        <w:t xml:space="preserve">of this Act </w:t>
      </w:r>
      <w:r w:rsidR="0029426E" w:rsidRPr="5A2FD8C7">
        <w:rPr>
          <w:lang w:val="en-GB"/>
        </w:rPr>
        <w:t xml:space="preserve">amends </w:t>
      </w:r>
      <w:r w:rsidR="008D0652">
        <w:rPr>
          <w:lang w:val="en-GB"/>
        </w:rPr>
        <w:t>sections 32 and 45 of the 1996 Act</w:t>
      </w:r>
      <w:r w:rsidR="0029426E" w:rsidRPr="5A2FD8C7">
        <w:rPr>
          <w:lang w:val="en-GB"/>
        </w:rPr>
        <w:t xml:space="preserve"> so that an application will require either the agreement of the parties or the permission of the tribunal. It removes the further requirement to satisfy the court on a list of matters. Nevertheless, the court still retains general discretion </w:t>
      </w:r>
      <w:r w:rsidR="00AC635D">
        <w:rPr>
          <w:lang w:val="en-GB"/>
        </w:rPr>
        <w:t xml:space="preserve">on </w:t>
      </w:r>
      <w:r w:rsidR="0029426E" w:rsidRPr="5A2FD8C7">
        <w:rPr>
          <w:lang w:val="en-GB"/>
        </w:rPr>
        <w:t>whether to accede to the application.</w:t>
      </w:r>
      <w:r w:rsidR="0029426E" w:rsidRPr="5A2FD8C7">
        <w:rPr>
          <w:rFonts w:ascii="Times New Roman" w:hAnsi="Times New Roman" w:cs="Times New Roman"/>
          <w:lang w:val="en-GB"/>
        </w:rPr>
        <w:t> </w:t>
      </w:r>
    </w:p>
    <w:p w14:paraId="584C6CFC" w14:textId="7E1A6651" w:rsidR="0029426E" w:rsidRPr="005705CE" w:rsidRDefault="00533E5B" w:rsidP="005705CE">
      <w:pPr>
        <w:pStyle w:val="HSubheading4"/>
      </w:pPr>
      <w:bookmarkStart w:id="54" w:name="_Toc150515268"/>
      <w:r w:rsidRPr="005705CE">
        <w:t>Section</w:t>
      </w:r>
      <w:r w:rsidR="0029426E" w:rsidRPr="005705CE">
        <w:t xml:space="preserve"> 15: Repeal of provisions relating to domestic arbitration </w:t>
      </w:r>
      <w:bookmarkEnd w:id="54"/>
      <w:r w:rsidR="00A9043D" w:rsidRPr="005705CE">
        <w:t>agreements</w:t>
      </w:r>
    </w:p>
    <w:p w14:paraId="7606381B" w14:textId="070DE7BA" w:rsidR="00445CB3" w:rsidRPr="002B67F6" w:rsidRDefault="0029426E" w:rsidP="00E51AB6">
      <w:pPr>
        <w:pStyle w:val="ParaNumbered"/>
        <w:ind w:left="714" w:hanging="357"/>
        <w:jc w:val="both"/>
        <w:rPr>
          <w:lang w:val="en-GB"/>
        </w:rPr>
      </w:pPr>
      <w:r w:rsidRPr="5A2FD8C7">
        <w:rPr>
          <w:lang w:val="en-GB"/>
        </w:rPr>
        <w:t xml:space="preserve">Sections 85 to 88 of the 1996 </w:t>
      </w:r>
      <w:r w:rsidR="008D0652">
        <w:rPr>
          <w:lang w:val="en-GB"/>
        </w:rPr>
        <w:t xml:space="preserve">Act </w:t>
      </w:r>
      <w:r w:rsidRPr="5A2FD8C7">
        <w:rPr>
          <w:lang w:val="en-GB"/>
        </w:rPr>
        <w:t xml:space="preserve">concern domestic arbitration agreements, which is when all the parties are from the United Kingdom and the arbitration is seated in the United Kingdom. The seat of an arbitration is where the arbitration is deemed legally to occur, even if hearings are held elsewhere or online. Sections 85 to 87 </w:t>
      </w:r>
      <w:r w:rsidR="008D0652">
        <w:rPr>
          <w:lang w:val="en-GB"/>
        </w:rPr>
        <w:t xml:space="preserve">of the 1996 Act </w:t>
      </w:r>
      <w:r w:rsidRPr="5A2FD8C7">
        <w:rPr>
          <w:lang w:val="en-GB"/>
        </w:rPr>
        <w:t xml:space="preserve">have never been brought into force. Section 88 was brought into force, but only grants the Secretary of State the power to repeal sections 85 to 87. </w:t>
      </w:r>
      <w:r w:rsidR="00533E5B">
        <w:rPr>
          <w:lang w:val="en-GB"/>
        </w:rPr>
        <w:t>Section</w:t>
      </w:r>
      <w:r w:rsidRPr="5A2FD8C7">
        <w:rPr>
          <w:lang w:val="en-GB"/>
        </w:rPr>
        <w:t xml:space="preserve"> 15 </w:t>
      </w:r>
      <w:r w:rsidR="008D0652">
        <w:rPr>
          <w:lang w:val="en-GB"/>
        </w:rPr>
        <w:t xml:space="preserve">of this Act </w:t>
      </w:r>
      <w:r w:rsidRPr="5A2FD8C7">
        <w:rPr>
          <w:lang w:val="en-GB"/>
        </w:rPr>
        <w:t>repeals all these unused sections</w:t>
      </w:r>
      <w:r w:rsidR="008D0652">
        <w:rPr>
          <w:lang w:val="en-GB"/>
        </w:rPr>
        <w:t xml:space="preserve"> of the 1996 Act</w:t>
      </w:r>
      <w:r w:rsidRPr="5A2FD8C7">
        <w:rPr>
          <w:lang w:val="en-GB"/>
        </w:rPr>
        <w:t>.</w:t>
      </w:r>
    </w:p>
    <w:p w14:paraId="7C44F7BD" w14:textId="186A6F26" w:rsidR="0029426E" w:rsidRPr="002E1D29" w:rsidRDefault="0029426E" w:rsidP="005705CE">
      <w:pPr>
        <w:pStyle w:val="Heading3"/>
      </w:pPr>
      <w:r>
        <w:t>Final provisions</w:t>
      </w:r>
    </w:p>
    <w:p w14:paraId="7CE108C4" w14:textId="0850511D" w:rsidR="0029426E" w:rsidRDefault="00533E5B" w:rsidP="0029426E">
      <w:pPr>
        <w:pStyle w:val="HSubheading4"/>
      </w:pPr>
      <w:bookmarkStart w:id="55" w:name="_Toc150515269"/>
      <w:r>
        <w:t>Section</w:t>
      </w:r>
      <w:r w:rsidR="0029426E" w:rsidRPr="00CA4237">
        <w:t xml:space="preserve"> </w:t>
      </w:r>
      <w:r w:rsidR="0029426E" w:rsidRPr="002E1D29">
        <w:t>1</w:t>
      </w:r>
      <w:r w:rsidR="0029426E">
        <w:t>6: Extent</w:t>
      </w:r>
      <w:bookmarkEnd w:id="55"/>
    </w:p>
    <w:p w14:paraId="67F657C6" w14:textId="59E95C20" w:rsidR="0029426E" w:rsidRPr="00445CB3" w:rsidRDefault="008D0652" w:rsidP="00075147">
      <w:pPr>
        <w:pStyle w:val="ParaNumbered"/>
        <w:ind w:left="714" w:hanging="357"/>
        <w:jc w:val="both"/>
      </w:pPr>
      <w:r>
        <w:t>This section establishes that a</w:t>
      </w:r>
      <w:r w:rsidR="0029426E">
        <w:t>ny amendment or repeal made by th</w:t>
      </w:r>
      <w:r>
        <w:t>is</w:t>
      </w:r>
      <w:r w:rsidR="0029426E">
        <w:t xml:space="preserve"> </w:t>
      </w:r>
      <w:r w:rsidR="00533E5B">
        <w:t>Act</w:t>
      </w:r>
      <w:r w:rsidR="0029426E">
        <w:t xml:space="preserve"> to the 1996</w:t>
      </w:r>
      <w:r>
        <w:t xml:space="preserve"> Act</w:t>
      </w:r>
      <w:r w:rsidR="0029426E">
        <w:t xml:space="preserve"> has the same extent as the provision in the </w:t>
      </w:r>
      <w:r>
        <w:t xml:space="preserve">1996 </w:t>
      </w:r>
      <w:r w:rsidR="0029426E">
        <w:t>Act which is amended or repealed.</w:t>
      </w:r>
    </w:p>
    <w:p w14:paraId="709224E3" w14:textId="3AAC70B6" w:rsidR="0029426E" w:rsidRDefault="00533E5B" w:rsidP="0029426E">
      <w:pPr>
        <w:pStyle w:val="HSubheading4"/>
      </w:pPr>
      <w:bookmarkStart w:id="56" w:name="_Toc150515270"/>
      <w:r>
        <w:t>Section</w:t>
      </w:r>
      <w:r w:rsidR="0029426E" w:rsidRPr="00CA4237">
        <w:t xml:space="preserve"> </w:t>
      </w:r>
      <w:r w:rsidR="0029426E" w:rsidRPr="002E1D29">
        <w:t>1</w:t>
      </w:r>
      <w:r w:rsidR="0029426E">
        <w:t>7: Commencement and transitional provision</w:t>
      </w:r>
      <w:bookmarkEnd w:id="56"/>
    </w:p>
    <w:p w14:paraId="17DD789D" w14:textId="4D0F735D" w:rsidR="0029426E" w:rsidRPr="00445CB3" w:rsidRDefault="00533E5B" w:rsidP="00075147">
      <w:pPr>
        <w:pStyle w:val="ParaNumbered"/>
        <w:ind w:left="714" w:hanging="357"/>
        <w:jc w:val="both"/>
        <w:rPr>
          <w:lang w:val="en-GB"/>
        </w:rPr>
      </w:pPr>
      <w:r>
        <w:rPr>
          <w:lang w:val="en-GB"/>
        </w:rPr>
        <w:t>Section</w:t>
      </w:r>
      <w:r w:rsidR="0029426E" w:rsidRPr="5A2FD8C7">
        <w:rPr>
          <w:lang w:val="en-GB"/>
        </w:rPr>
        <w:t>s 16 (Extent), 17 (Commencement and transitional provision) and 18 (Short title)</w:t>
      </w:r>
      <w:r w:rsidR="008D0652">
        <w:rPr>
          <w:lang w:val="en-GB"/>
        </w:rPr>
        <w:t xml:space="preserve"> of this Act</w:t>
      </w:r>
      <w:r w:rsidR="0029426E" w:rsidRPr="5A2FD8C7">
        <w:rPr>
          <w:lang w:val="en-GB"/>
        </w:rPr>
        <w:t xml:space="preserve"> come into force on the day on which th</w:t>
      </w:r>
      <w:r w:rsidR="008D0652">
        <w:rPr>
          <w:lang w:val="en-GB"/>
        </w:rPr>
        <w:t>is</w:t>
      </w:r>
      <w:r w:rsidR="0029426E" w:rsidRPr="5A2FD8C7">
        <w:rPr>
          <w:lang w:val="en-GB"/>
        </w:rPr>
        <w:t xml:space="preserve"> </w:t>
      </w:r>
      <w:r>
        <w:rPr>
          <w:lang w:val="en-GB"/>
        </w:rPr>
        <w:t>Act</w:t>
      </w:r>
      <w:r w:rsidR="0029426E" w:rsidRPr="5A2FD8C7">
        <w:rPr>
          <w:lang w:val="en-GB"/>
        </w:rPr>
        <w:t xml:space="preserve"> is passed into law. The rest of th</w:t>
      </w:r>
      <w:r w:rsidR="008D0652">
        <w:rPr>
          <w:lang w:val="en-GB"/>
        </w:rPr>
        <w:t>is</w:t>
      </w:r>
      <w:r w:rsidR="0029426E" w:rsidRPr="5A2FD8C7">
        <w:rPr>
          <w:lang w:val="en-GB"/>
        </w:rPr>
        <w:t xml:space="preserve"> </w:t>
      </w:r>
      <w:r>
        <w:rPr>
          <w:lang w:val="en-GB"/>
        </w:rPr>
        <w:t>Act</w:t>
      </w:r>
      <w:r w:rsidR="0029426E" w:rsidRPr="5A2FD8C7">
        <w:rPr>
          <w:lang w:val="en-GB"/>
        </w:rPr>
        <w:t xml:space="preserve"> comes into force on such day as the Secretary of State may by regulations appoint. Those regulations may contain transitional and saving provisions. In the absence of such provisions, the amendments apply to arbitration agreements whenever made, but not to arbitration proceedings commenced before the date on which</w:t>
      </w:r>
      <w:r w:rsidR="450E19CE" w:rsidRPr="5A2FD8C7">
        <w:rPr>
          <w:lang w:val="en-GB"/>
        </w:rPr>
        <w:t xml:space="preserve"> the rest of</w:t>
      </w:r>
      <w:r w:rsidR="0029426E" w:rsidRPr="5A2FD8C7">
        <w:rPr>
          <w:lang w:val="en-GB"/>
        </w:rPr>
        <w:t xml:space="preserve"> th</w:t>
      </w:r>
      <w:r w:rsidR="008D0652">
        <w:rPr>
          <w:lang w:val="en-GB"/>
        </w:rPr>
        <w:t>is</w:t>
      </w:r>
      <w:r w:rsidR="0029426E" w:rsidRPr="5A2FD8C7">
        <w:rPr>
          <w:lang w:val="en-GB"/>
        </w:rPr>
        <w:t xml:space="preserve"> </w:t>
      </w:r>
      <w:r>
        <w:rPr>
          <w:lang w:val="en-GB"/>
        </w:rPr>
        <w:t>Act</w:t>
      </w:r>
      <w:r w:rsidR="0029426E" w:rsidRPr="5A2FD8C7">
        <w:rPr>
          <w:lang w:val="en-GB"/>
        </w:rPr>
        <w:t xml:space="preserve"> comes into force, nor to legal proceedings in respect of such arbitration proceedings. An example of the latter might be legal proceedings to enforce an arbitral award, </w:t>
      </w:r>
      <w:r w:rsidR="00CB4AE0">
        <w:rPr>
          <w:lang w:val="en-GB"/>
        </w:rPr>
        <w:t>where the</w:t>
      </w:r>
      <w:r w:rsidR="00CB4AE0" w:rsidRPr="5A2FD8C7">
        <w:rPr>
          <w:lang w:val="en-GB"/>
        </w:rPr>
        <w:t xml:space="preserve"> </w:t>
      </w:r>
      <w:r w:rsidR="0029426E" w:rsidRPr="5A2FD8C7">
        <w:rPr>
          <w:lang w:val="en-GB"/>
        </w:rPr>
        <w:t>award was issued before th</w:t>
      </w:r>
      <w:r w:rsidR="008D0652">
        <w:rPr>
          <w:lang w:val="en-GB"/>
        </w:rPr>
        <w:t>is</w:t>
      </w:r>
      <w:r w:rsidR="0029426E" w:rsidRPr="5A2FD8C7">
        <w:rPr>
          <w:lang w:val="en-GB"/>
        </w:rPr>
        <w:t xml:space="preserve"> </w:t>
      </w:r>
      <w:r>
        <w:rPr>
          <w:lang w:val="en-GB"/>
        </w:rPr>
        <w:t>Act</w:t>
      </w:r>
      <w:r w:rsidR="0029426E" w:rsidRPr="5A2FD8C7">
        <w:rPr>
          <w:lang w:val="en-GB"/>
        </w:rPr>
        <w:t xml:space="preserve"> came into force. </w:t>
      </w:r>
    </w:p>
    <w:p w14:paraId="2668E279" w14:textId="509E7C3B" w:rsidR="0029426E" w:rsidRDefault="00533E5B" w:rsidP="0029426E">
      <w:pPr>
        <w:pStyle w:val="HSubheading4"/>
      </w:pPr>
      <w:bookmarkStart w:id="57" w:name="_Toc150515271"/>
      <w:r>
        <w:t>Section</w:t>
      </w:r>
      <w:r w:rsidR="0029426E" w:rsidRPr="00CA4237">
        <w:t xml:space="preserve"> </w:t>
      </w:r>
      <w:r w:rsidR="0029426E" w:rsidRPr="002E1D29">
        <w:t>1</w:t>
      </w:r>
      <w:r w:rsidR="0029426E">
        <w:t>8: Short title</w:t>
      </w:r>
      <w:bookmarkEnd w:id="57"/>
    </w:p>
    <w:p w14:paraId="48338714" w14:textId="106EE6BF" w:rsidR="0029426E" w:rsidRPr="0029426E" w:rsidRDefault="0029426E" w:rsidP="00E51AB6">
      <w:pPr>
        <w:pStyle w:val="ParaNumbered"/>
        <w:ind w:left="714" w:hanging="357"/>
        <w:jc w:val="both"/>
        <w:rPr>
          <w:lang w:val="en-GB"/>
        </w:rPr>
      </w:pPr>
      <w:r w:rsidRPr="5A2FD8C7">
        <w:rPr>
          <w:lang w:val="en-GB"/>
        </w:rPr>
        <w:t xml:space="preserve">This </w:t>
      </w:r>
      <w:r w:rsidR="00917776">
        <w:rPr>
          <w:lang w:val="en-GB"/>
        </w:rPr>
        <w:t>s</w:t>
      </w:r>
      <w:r w:rsidR="00533E5B">
        <w:rPr>
          <w:lang w:val="en-GB"/>
        </w:rPr>
        <w:t>ection</w:t>
      </w:r>
      <w:r w:rsidRPr="5A2FD8C7">
        <w:rPr>
          <w:lang w:val="en-GB"/>
        </w:rPr>
        <w:t xml:space="preserve"> establishes that th</w:t>
      </w:r>
      <w:r w:rsidR="008D0652">
        <w:rPr>
          <w:lang w:val="en-GB"/>
        </w:rPr>
        <w:t>is</w:t>
      </w:r>
      <w:r w:rsidRPr="5A2FD8C7">
        <w:rPr>
          <w:lang w:val="en-GB"/>
        </w:rPr>
        <w:t xml:space="preserve"> </w:t>
      </w:r>
      <w:r w:rsidR="00533E5B">
        <w:rPr>
          <w:lang w:val="en-GB"/>
        </w:rPr>
        <w:t>Act</w:t>
      </w:r>
      <w:r w:rsidRPr="5A2FD8C7">
        <w:rPr>
          <w:lang w:val="en-GB"/>
        </w:rPr>
        <w:t xml:space="preserve"> may be referenced as the Arbitration Act 202</w:t>
      </w:r>
      <w:r w:rsidR="00306CD2">
        <w:rPr>
          <w:lang w:val="en-GB"/>
        </w:rPr>
        <w:t>5</w:t>
      </w:r>
      <w:r w:rsidRPr="5A2FD8C7">
        <w:rPr>
          <w:lang w:val="en-GB"/>
        </w:rPr>
        <w:t xml:space="preserve"> once in force.   </w:t>
      </w:r>
      <w:bookmarkStart w:id="58" w:name="_Toc417648129"/>
      <w:bookmarkStart w:id="59" w:name="_Toc418587938"/>
    </w:p>
    <w:bookmarkEnd w:id="25" w:displacedByCustomXml="next"/>
    <w:bookmarkEnd w:id="29" w:displacedByCustomXml="next"/>
    <w:bookmarkEnd w:id="28" w:displacedByCustomXml="next"/>
    <w:bookmarkEnd w:id="27" w:displacedByCustomXml="next"/>
    <w:bookmarkEnd w:id="26" w:displacedByCustomXml="next"/>
    <w:bookmarkStart w:id="60" w:name="_Toc194071835" w:displacedByCustomXml="next"/>
    <w:bookmarkStart w:id="61" w:name="_Toc416612144" w:displacedByCustomXml="next"/>
    <w:bookmarkStart w:id="62" w:name="_Toc410653894" w:displacedByCustomXml="next"/>
    <w:sdt>
      <w:sdtPr>
        <w:id w:val="2609824"/>
        <w:lock w:val="contentLocked"/>
        <w:placeholder>
          <w:docPart w:val="E981BF7FA6DB4EBF8FCB1771437805B3"/>
        </w:placeholder>
        <w:group/>
      </w:sdtPr>
      <w:sdtEndPr/>
      <w:sdtContent>
        <w:p w14:paraId="45843ADB" w14:textId="77777777" w:rsidR="00E718E1" w:rsidRPr="00CA4237" w:rsidRDefault="00E718E1" w:rsidP="005E1288">
          <w:pPr>
            <w:pStyle w:val="Heading1"/>
            <w:keepNext/>
          </w:pPr>
          <w:r w:rsidRPr="00CA4237">
            <w:t>Commencement</w:t>
          </w:r>
        </w:p>
      </w:sdtContent>
    </w:sdt>
    <w:bookmarkEnd w:id="60" w:displacedByCustomXml="prev"/>
    <w:bookmarkEnd w:id="61" w:displacedByCustomXml="prev"/>
    <w:bookmarkEnd w:id="59" w:displacedByCustomXml="prev"/>
    <w:bookmarkEnd w:id="58" w:displacedByCustomXml="prev"/>
    <w:p w14:paraId="2EC801CC" w14:textId="41E7DC3C" w:rsidR="00664644" w:rsidRPr="0029426E" w:rsidRDefault="00533E5B" w:rsidP="00075147">
      <w:pPr>
        <w:pStyle w:val="ParaNumbered"/>
        <w:ind w:left="714" w:hanging="357"/>
        <w:jc w:val="both"/>
      </w:pPr>
      <w:bookmarkStart w:id="63" w:name="_Toc410653895"/>
      <w:bookmarkStart w:id="64" w:name="_Toc416612145"/>
      <w:bookmarkStart w:id="65" w:name="_Toc417648130"/>
      <w:bookmarkStart w:id="66" w:name="_Toc418587939"/>
      <w:r>
        <w:rPr>
          <w:rFonts w:ascii="Times New Roman" w:hAnsi="Times New Roman" w:cs="Times New Roman"/>
          <w:lang w:val="en-GB"/>
        </w:rPr>
        <w:t>Section</w:t>
      </w:r>
      <w:r w:rsidR="00964ECD" w:rsidRPr="3BF333A6">
        <w:rPr>
          <w:rFonts w:ascii="Times New Roman" w:hAnsi="Times New Roman" w:cs="Times New Roman"/>
          <w:lang w:val="en-GB"/>
        </w:rPr>
        <w:t xml:space="preserve"> 17 </w:t>
      </w:r>
      <w:r w:rsidR="00964ECD" w:rsidRPr="3BF333A6">
        <w:rPr>
          <w:lang w:val="en-GB"/>
        </w:rPr>
        <w:t xml:space="preserve">makes provision regarding when measures in this </w:t>
      </w:r>
      <w:r>
        <w:rPr>
          <w:lang w:val="en-GB"/>
        </w:rPr>
        <w:t>Act</w:t>
      </w:r>
      <w:r w:rsidR="00964ECD" w:rsidRPr="3BF333A6">
        <w:rPr>
          <w:lang w:val="en-GB"/>
        </w:rPr>
        <w:t xml:space="preserve"> will come into force.</w:t>
      </w:r>
    </w:p>
    <w:p w14:paraId="010E0627" w14:textId="77777777" w:rsidR="00E718E1" w:rsidRDefault="00E26988" w:rsidP="005E1288">
      <w:pPr>
        <w:pStyle w:val="Heading1"/>
        <w:keepNext/>
      </w:pPr>
      <w:bookmarkStart w:id="67" w:name="_Toc416612147"/>
      <w:bookmarkStart w:id="68" w:name="_Toc417648132"/>
      <w:bookmarkStart w:id="69" w:name="_Toc418587941"/>
      <w:bookmarkStart w:id="70" w:name="_Toc194071836"/>
      <w:bookmarkEnd w:id="63"/>
      <w:bookmarkEnd w:id="64"/>
      <w:bookmarkEnd w:id="65"/>
      <w:bookmarkEnd w:id="66"/>
      <w:r w:rsidRPr="00CA4237">
        <w:t>Related documents</w:t>
      </w:r>
      <w:bookmarkEnd w:id="67"/>
      <w:bookmarkEnd w:id="68"/>
      <w:bookmarkEnd w:id="69"/>
      <w:bookmarkEnd w:id="70"/>
    </w:p>
    <w:p w14:paraId="120EBA52" w14:textId="0C6DFFFB" w:rsidR="00E83AC8" w:rsidRPr="00E83AC8" w:rsidRDefault="00E83AC8" w:rsidP="00075147">
      <w:pPr>
        <w:pStyle w:val="ParaNumbered"/>
        <w:ind w:left="714" w:hanging="357"/>
        <w:jc w:val="both"/>
      </w:pPr>
      <w:r>
        <w:t>The following documents are relevant to th</w:t>
      </w:r>
      <w:r w:rsidR="008D0652">
        <w:t>is</w:t>
      </w:r>
      <w:r>
        <w:t xml:space="preserve"> </w:t>
      </w:r>
      <w:r w:rsidR="00533E5B">
        <w:t>Act</w:t>
      </w:r>
      <w:r>
        <w:t xml:space="preserve"> and can be read at the stated location:</w:t>
      </w:r>
    </w:p>
    <w:p w14:paraId="42D3EA1A" w14:textId="6DA828C5" w:rsidR="0029426E" w:rsidRPr="0029426E" w:rsidRDefault="0029426E" w:rsidP="00922B67">
      <w:pPr>
        <w:pStyle w:val="ParaBulleted"/>
        <w:jc w:val="both"/>
      </w:pPr>
      <w:r w:rsidRPr="0029426E">
        <w:t xml:space="preserve">Consultation papers and final report of the Law Commission of England and Wales: </w:t>
      </w:r>
      <w:hyperlink r:id="rId13" w:tgtFrame="_blank" w:history="1">
        <w:r w:rsidRPr="0029426E">
          <w:rPr>
            <w:rFonts w:cs="Arial"/>
            <w:color w:val="0070C0"/>
            <w:szCs w:val="20"/>
            <w:u w:val="single"/>
            <w:shd w:val="clear" w:color="auto" w:fill="FFFFFF"/>
          </w:rPr>
          <w:t>https://www.lawcom.gov.uk/project/review-of-the-arbitration-act-1996/</w:t>
        </w:r>
      </w:hyperlink>
    </w:p>
    <w:p w14:paraId="7E07E4F0" w14:textId="77777777" w:rsidR="002A02DD" w:rsidRPr="00AE5693" w:rsidRDefault="002A02DD">
      <w:pPr>
        <w:rPr>
          <w:rStyle w:val="StyleLatinArial"/>
        </w:rPr>
      </w:pPr>
      <w:bookmarkStart w:id="71" w:name="_Toc416612148"/>
      <w:bookmarkStart w:id="72" w:name="_Toc417648133"/>
      <w:r w:rsidRPr="00CA4237">
        <w:lastRenderedPageBreak/>
        <w:br w:type="page"/>
      </w:r>
    </w:p>
    <w:p w14:paraId="5EE00641" w14:textId="518CCE4C" w:rsidR="006A756E" w:rsidRDefault="006A756E" w:rsidP="006A756E">
      <w:pPr>
        <w:pStyle w:val="Heading1"/>
        <w:keepNext/>
      </w:pPr>
      <w:bookmarkStart w:id="73" w:name="_Toc418587944"/>
      <w:bookmarkStart w:id="74" w:name="_Toc153198203"/>
      <w:bookmarkStart w:id="75" w:name="_Toc194071837"/>
      <w:r w:rsidRPr="00CA4237">
        <w:lastRenderedPageBreak/>
        <w:t xml:space="preserve">Annex </w:t>
      </w:r>
      <w:r w:rsidR="00B11FDE">
        <w:t>A</w:t>
      </w:r>
      <w:r w:rsidRPr="00CA4237">
        <w:t xml:space="preserve"> </w:t>
      </w:r>
      <w:r>
        <w:t>–</w:t>
      </w:r>
      <w:r w:rsidRPr="00CA4237">
        <w:t xml:space="preserve"> </w:t>
      </w:r>
      <w:r>
        <w:t>Hansard References</w:t>
      </w:r>
      <w:bookmarkEnd w:id="75"/>
    </w:p>
    <w:p w14:paraId="534DB172" w14:textId="0C0F94E0" w:rsidR="006A756E" w:rsidRPr="006A756E" w:rsidRDefault="006A756E" w:rsidP="00075147">
      <w:pPr>
        <w:pStyle w:val="ParaNumbered"/>
        <w:ind w:left="714" w:hanging="357"/>
        <w:rPr>
          <w:lang w:val="en-GB"/>
        </w:rPr>
      </w:pPr>
      <w:r w:rsidRPr="006A756E">
        <w:t>The following table sets out the dates and Hansard references for each stage of th</w:t>
      </w:r>
      <w:r w:rsidR="008D0652">
        <w:t>is</w:t>
      </w:r>
      <w:r w:rsidRPr="006A756E">
        <w:t xml:space="preserve"> Act's passage through Parliament. </w:t>
      </w:r>
    </w:p>
    <w:p w14:paraId="6794A342" w14:textId="77777777" w:rsidR="006A756E" w:rsidRPr="006A756E" w:rsidRDefault="006A756E" w:rsidP="006A756E">
      <w:pPr>
        <w:pStyle w:val="ParaNumbered"/>
        <w:numPr>
          <w:ilvl w:val="0"/>
          <w:numId w:val="0"/>
        </w:numPr>
        <w:ind w:left="425"/>
        <w:rPr>
          <w:lang w:val="en-GB"/>
        </w:rPr>
      </w:pPr>
    </w:p>
    <w:tbl>
      <w:tblPr>
        <w:tblStyle w:val="ENGeneralTable1"/>
        <w:tblW w:w="0" w:type="auto"/>
        <w:tblInd w:w="0" w:type="dxa"/>
        <w:tblLook w:val="04A0" w:firstRow="1" w:lastRow="0" w:firstColumn="1" w:lastColumn="0" w:noHBand="0" w:noVBand="1"/>
      </w:tblPr>
      <w:tblGrid>
        <w:gridCol w:w="2464"/>
        <w:gridCol w:w="2084"/>
        <w:gridCol w:w="4513"/>
      </w:tblGrid>
      <w:tr w:rsidR="006A756E" w:rsidRPr="00A66388" w14:paraId="75D345C7" w14:textId="77777777" w:rsidTr="0002263B">
        <w:trPr>
          <w:cnfStyle w:val="100000000000" w:firstRow="1" w:lastRow="0" w:firstColumn="0" w:lastColumn="0" w:oddVBand="0" w:evenVBand="0" w:oddHBand="0" w:evenHBand="0" w:firstRowFirstColumn="0" w:firstRowLastColumn="0" w:lastRowFirstColumn="0" w:lastRowLastColumn="0"/>
          <w:tblHeader/>
        </w:trPr>
        <w:tc>
          <w:tcPr>
            <w:tcW w:w="2518" w:type="dxa"/>
            <w:tcBorders>
              <w:top w:val="single" w:sz="4" w:space="0" w:color="0070C0"/>
              <w:left w:val="single" w:sz="4" w:space="0" w:color="0070C0"/>
              <w:bottom w:val="single" w:sz="4" w:space="0" w:color="0070C0"/>
              <w:right w:val="single" w:sz="4" w:space="0" w:color="0070C0"/>
            </w:tcBorders>
            <w:hideMark/>
          </w:tcPr>
          <w:p w14:paraId="2B8BE2C5" w14:textId="77777777" w:rsidR="006A756E" w:rsidRPr="00A66388" w:rsidRDefault="006A756E" w:rsidP="0002263B">
            <w:pPr>
              <w:spacing w:after="120" w:line="240" w:lineRule="atLeast"/>
              <w:rPr>
                <w:rFonts w:cs="PalatinoLinotype-Bold"/>
                <w:bCs/>
                <w:szCs w:val="20"/>
                <w:lang w:val="en-US"/>
              </w:rPr>
            </w:pPr>
            <w:r w:rsidRPr="00A66388">
              <w:rPr>
                <w:rFonts w:cs="PalatinoLinotype-Bold"/>
                <w:bCs/>
                <w:szCs w:val="20"/>
              </w:rPr>
              <w:t>Stage</w:t>
            </w:r>
          </w:p>
        </w:tc>
        <w:tc>
          <w:tcPr>
            <w:tcW w:w="2126" w:type="dxa"/>
            <w:tcBorders>
              <w:top w:val="single" w:sz="4" w:space="0" w:color="0070C0"/>
              <w:left w:val="single" w:sz="4" w:space="0" w:color="0070C0"/>
              <w:bottom w:val="single" w:sz="4" w:space="0" w:color="0070C0"/>
              <w:right w:val="single" w:sz="4" w:space="0" w:color="0070C0"/>
            </w:tcBorders>
            <w:hideMark/>
          </w:tcPr>
          <w:p w14:paraId="30877A9B" w14:textId="77777777" w:rsidR="006A756E" w:rsidRPr="00A66388" w:rsidRDefault="006A756E" w:rsidP="0002263B">
            <w:pPr>
              <w:spacing w:after="120" w:line="240" w:lineRule="atLeast"/>
              <w:rPr>
                <w:rFonts w:cs="PalatinoLinotype-Bold"/>
                <w:bCs/>
                <w:szCs w:val="20"/>
              </w:rPr>
            </w:pPr>
            <w:r w:rsidRPr="00A66388">
              <w:rPr>
                <w:rFonts w:cs="PalatinoLinotype-Bold"/>
                <w:bCs/>
                <w:szCs w:val="20"/>
              </w:rPr>
              <w:t>Date</w:t>
            </w:r>
          </w:p>
        </w:tc>
        <w:tc>
          <w:tcPr>
            <w:tcW w:w="4643" w:type="dxa"/>
            <w:tcBorders>
              <w:top w:val="single" w:sz="4" w:space="0" w:color="0070C0"/>
              <w:left w:val="single" w:sz="4" w:space="0" w:color="0070C0"/>
              <w:bottom w:val="single" w:sz="4" w:space="0" w:color="0070C0"/>
              <w:right w:val="single" w:sz="4" w:space="0" w:color="0070C0"/>
            </w:tcBorders>
            <w:hideMark/>
          </w:tcPr>
          <w:p w14:paraId="58775A62" w14:textId="77777777" w:rsidR="006A756E" w:rsidRPr="00A66388" w:rsidRDefault="006A756E" w:rsidP="0002263B">
            <w:pPr>
              <w:spacing w:after="120" w:line="240" w:lineRule="atLeast"/>
              <w:rPr>
                <w:rFonts w:cs="PalatinoLinotype-Bold"/>
                <w:bCs/>
                <w:szCs w:val="20"/>
              </w:rPr>
            </w:pPr>
            <w:r w:rsidRPr="00A66388">
              <w:rPr>
                <w:rFonts w:cs="PalatinoLinotype-Bold"/>
                <w:bCs/>
                <w:szCs w:val="20"/>
              </w:rPr>
              <w:t>Hansard Reference</w:t>
            </w:r>
          </w:p>
        </w:tc>
      </w:tr>
      <w:tr w:rsidR="006A756E" w:rsidRPr="00A66388" w14:paraId="4BD4BA82" w14:textId="77777777" w:rsidTr="0002263B">
        <w:tc>
          <w:tcPr>
            <w:tcW w:w="9287" w:type="dxa"/>
            <w:gridSpan w:val="3"/>
            <w:tcBorders>
              <w:top w:val="single" w:sz="4" w:space="0" w:color="0070C0"/>
              <w:left w:val="single" w:sz="4" w:space="0" w:color="0070C0"/>
              <w:bottom w:val="single" w:sz="4" w:space="0" w:color="0070C0"/>
              <w:right w:val="single" w:sz="4" w:space="0" w:color="0070C0"/>
            </w:tcBorders>
            <w:hideMark/>
          </w:tcPr>
          <w:p w14:paraId="4528DDE0" w14:textId="77777777" w:rsidR="006A756E" w:rsidRPr="00A66388" w:rsidRDefault="006A756E" w:rsidP="0002263B">
            <w:pPr>
              <w:spacing w:after="120" w:line="240" w:lineRule="atLeast"/>
              <w:rPr>
                <w:rFonts w:cs="HelveticaNeue"/>
                <w:i/>
                <w:szCs w:val="20"/>
                <w:lang w:val="en-US"/>
              </w:rPr>
            </w:pPr>
            <w:r w:rsidRPr="00A66388">
              <w:rPr>
                <w:rFonts w:cs="HelveticaNeue"/>
                <w:i/>
                <w:szCs w:val="20"/>
              </w:rPr>
              <w:t xml:space="preserve">House of </w:t>
            </w:r>
            <w:r>
              <w:rPr>
                <w:rFonts w:cs="HelveticaNeue"/>
                <w:i/>
                <w:szCs w:val="20"/>
              </w:rPr>
              <w:t>Lords</w:t>
            </w:r>
          </w:p>
        </w:tc>
      </w:tr>
      <w:tr w:rsidR="006A756E" w:rsidRPr="00A66388" w14:paraId="14A43B99"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3B03E8CA" w14:textId="77777777" w:rsidR="006A756E" w:rsidRPr="00A66388" w:rsidRDefault="006A756E" w:rsidP="0002263B">
            <w:pPr>
              <w:spacing w:after="120" w:line="240" w:lineRule="atLeast"/>
              <w:rPr>
                <w:rFonts w:cs="HelveticaNeue"/>
                <w:szCs w:val="20"/>
                <w:lang w:val="en-US"/>
              </w:rPr>
            </w:pPr>
            <w:r w:rsidRPr="00A66388">
              <w:rPr>
                <w:rFonts w:cs="HelveticaNeue"/>
                <w:szCs w:val="20"/>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200665E0" w14:textId="77777777" w:rsidR="006A756E" w:rsidRPr="00A66388" w:rsidRDefault="006A756E" w:rsidP="0002263B">
            <w:pPr>
              <w:spacing w:after="120" w:line="240" w:lineRule="atLeast"/>
              <w:rPr>
                <w:rFonts w:cs="HelveticaNeue"/>
                <w:szCs w:val="20"/>
              </w:rPr>
            </w:pPr>
            <w:r>
              <w:rPr>
                <w:rFonts w:cs="HelveticaNeue"/>
                <w:szCs w:val="20"/>
              </w:rPr>
              <w:t>18</w:t>
            </w:r>
            <w:r w:rsidRPr="00A66388">
              <w:rPr>
                <w:rFonts w:cs="HelveticaNeue"/>
                <w:szCs w:val="20"/>
              </w:rPr>
              <w:t xml:space="preserve"> </w:t>
            </w:r>
            <w:r>
              <w:rPr>
                <w:rFonts w:cs="HelveticaNeue"/>
                <w:szCs w:val="20"/>
              </w:rPr>
              <w:t>July</w:t>
            </w:r>
            <w:r w:rsidRPr="00A66388">
              <w:rPr>
                <w:rFonts w:cs="HelveticaNeue"/>
                <w:szCs w:val="20"/>
              </w:rPr>
              <w:t xml:space="preserve"> </w:t>
            </w:r>
            <w:r>
              <w:rPr>
                <w:rFonts w:cs="HelveticaNeue"/>
                <w:szCs w:val="20"/>
              </w:rPr>
              <w:t>2024</w:t>
            </w:r>
          </w:p>
        </w:tc>
        <w:tc>
          <w:tcPr>
            <w:tcW w:w="4643" w:type="dxa"/>
            <w:tcBorders>
              <w:top w:val="single" w:sz="4" w:space="0" w:color="0070C0"/>
              <w:left w:val="single" w:sz="4" w:space="0" w:color="0070C0"/>
              <w:bottom w:val="single" w:sz="4" w:space="0" w:color="0070C0"/>
              <w:right w:val="single" w:sz="4" w:space="0" w:color="0070C0"/>
            </w:tcBorders>
            <w:hideMark/>
          </w:tcPr>
          <w:p w14:paraId="307F09B5" w14:textId="4DA1C4AC" w:rsidR="006A756E" w:rsidRPr="00A66388" w:rsidRDefault="00B60F75" w:rsidP="0002263B">
            <w:pPr>
              <w:spacing w:after="120" w:line="240" w:lineRule="atLeast"/>
              <w:rPr>
                <w:rFonts w:cs="HelveticaNeue"/>
                <w:szCs w:val="20"/>
              </w:rPr>
            </w:pPr>
            <w:hyperlink r:id="rId14" w:history="1">
              <w:r w:rsidR="006A756E" w:rsidRPr="00A66388">
                <w:rPr>
                  <w:rStyle w:val="Hyperlink"/>
                  <w:rFonts w:cs="HelveticaNeue"/>
                  <w:szCs w:val="20"/>
                </w:rPr>
                <w:t>Vol.</w:t>
              </w:r>
              <w:r w:rsidR="006A756E" w:rsidRPr="00846EDC">
                <w:rPr>
                  <w:rStyle w:val="Hyperlink"/>
                  <w:rFonts w:cs="HelveticaNeue"/>
                  <w:szCs w:val="20"/>
                </w:rPr>
                <w:t xml:space="preserve"> 839 </w:t>
              </w:r>
              <w:r w:rsidR="006A756E" w:rsidRPr="00A66388">
                <w:rPr>
                  <w:rStyle w:val="Hyperlink"/>
                  <w:rFonts w:cs="HelveticaNeue"/>
                  <w:szCs w:val="20"/>
                </w:rPr>
                <w:t xml:space="preserve">Col. </w:t>
              </w:r>
              <w:r w:rsidR="006A756E" w:rsidRPr="00846EDC">
                <w:rPr>
                  <w:rStyle w:val="Hyperlink"/>
                  <w:rFonts w:cs="HelveticaNeue"/>
                  <w:szCs w:val="20"/>
                </w:rPr>
                <w:t>30</w:t>
              </w:r>
            </w:hyperlink>
          </w:p>
        </w:tc>
      </w:tr>
      <w:tr w:rsidR="006A756E" w:rsidRPr="00A66388" w14:paraId="657BC9E7"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7B8F240F" w14:textId="77777777" w:rsidR="006A756E" w:rsidRPr="00A66388" w:rsidRDefault="006A756E" w:rsidP="0002263B">
            <w:pPr>
              <w:spacing w:after="120" w:line="240" w:lineRule="atLeast"/>
              <w:rPr>
                <w:rFonts w:cs="HelveticaNeue"/>
                <w:szCs w:val="20"/>
              </w:rPr>
            </w:pPr>
            <w:r w:rsidRPr="00A66388">
              <w:rPr>
                <w:rFonts w:cs="HelveticaNeue"/>
                <w:szCs w:val="20"/>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3D675E97" w14:textId="77777777" w:rsidR="006A756E" w:rsidRPr="00A66388" w:rsidRDefault="006A756E" w:rsidP="0002263B">
            <w:pPr>
              <w:spacing w:after="120" w:line="240" w:lineRule="atLeast"/>
              <w:rPr>
                <w:rFonts w:cs="HelveticaNeue"/>
                <w:szCs w:val="20"/>
              </w:rPr>
            </w:pPr>
            <w:r>
              <w:rPr>
                <w:rFonts w:cs="HelveticaNeue"/>
                <w:szCs w:val="20"/>
              </w:rPr>
              <w:t>30</w:t>
            </w:r>
            <w:r w:rsidRPr="00A66388">
              <w:rPr>
                <w:rFonts w:cs="HelveticaNeue"/>
                <w:szCs w:val="20"/>
              </w:rPr>
              <w:t xml:space="preserve"> </w:t>
            </w:r>
            <w:r>
              <w:rPr>
                <w:rFonts w:cs="HelveticaNeue"/>
                <w:szCs w:val="20"/>
              </w:rPr>
              <w:t>July</w:t>
            </w:r>
            <w:r w:rsidRPr="00A66388">
              <w:rPr>
                <w:rFonts w:cs="HelveticaNeue"/>
                <w:szCs w:val="20"/>
              </w:rPr>
              <w:t xml:space="preserve"> </w:t>
            </w:r>
            <w:r>
              <w:rPr>
                <w:rFonts w:cs="HelveticaNeue"/>
                <w:szCs w:val="20"/>
              </w:rPr>
              <w:t>2024</w:t>
            </w:r>
          </w:p>
        </w:tc>
        <w:tc>
          <w:tcPr>
            <w:tcW w:w="4643" w:type="dxa"/>
            <w:tcBorders>
              <w:top w:val="single" w:sz="4" w:space="0" w:color="0070C0"/>
              <w:left w:val="single" w:sz="4" w:space="0" w:color="0070C0"/>
              <w:bottom w:val="single" w:sz="4" w:space="0" w:color="0070C0"/>
              <w:right w:val="single" w:sz="4" w:space="0" w:color="0070C0"/>
            </w:tcBorders>
            <w:hideMark/>
          </w:tcPr>
          <w:p w14:paraId="41A4AC89" w14:textId="17B01C9C" w:rsidR="006A756E" w:rsidRPr="00A66388" w:rsidRDefault="00B60F75" w:rsidP="0002263B">
            <w:pPr>
              <w:spacing w:after="120" w:line="240" w:lineRule="atLeast"/>
              <w:rPr>
                <w:rFonts w:cs="HelveticaNeue"/>
                <w:szCs w:val="20"/>
              </w:rPr>
            </w:pPr>
            <w:hyperlink r:id="rId15" w:history="1">
              <w:r w:rsidR="006A756E" w:rsidRPr="00A66388">
                <w:rPr>
                  <w:rStyle w:val="Hyperlink"/>
                  <w:rFonts w:cs="HelveticaNeue"/>
                  <w:szCs w:val="20"/>
                </w:rPr>
                <w:t xml:space="preserve">Vol. </w:t>
              </w:r>
              <w:r w:rsidR="006A756E" w:rsidRPr="00846EDC">
                <w:rPr>
                  <w:rStyle w:val="Hyperlink"/>
                  <w:rFonts w:cs="HelveticaNeue"/>
                  <w:szCs w:val="20"/>
                </w:rPr>
                <w:t>839</w:t>
              </w:r>
              <w:r w:rsidR="006A756E" w:rsidRPr="00A66388">
                <w:rPr>
                  <w:rStyle w:val="Hyperlink"/>
                  <w:rFonts w:cs="HelveticaNeue"/>
                  <w:szCs w:val="20"/>
                </w:rPr>
                <w:t xml:space="preserve"> Col.</w:t>
              </w:r>
              <w:r w:rsidR="006A756E" w:rsidRPr="00846EDC">
                <w:rPr>
                  <w:rStyle w:val="Hyperlink"/>
                  <w:rFonts w:cs="HelveticaNeue"/>
                  <w:szCs w:val="20"/>
                </w:rPr>
                <w:t xml:space="preserve"> 949</w:t>
              </w:r>
            </w:hyperlink>
          </w:p>
        </w:tc>
      </w:tr>
      <w:tr w:rsidR="006A756E" w:rsidRPr="00A66388" w14:paraId="22E0BD03"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58FD7D5B" w14:textId="77777777" w:rsidR="006A756E" w:rsidRPr="00A66388" w:rsidRDefault="006A756E" w:rsidP="0002263B">
            <w:pPr>
              <w:spacing w:after="120" w:line="240" w:lineRule="atLeast"/>
              <w:rPr>
                <w:rFonts w:cs="HelveticaNeue"/>
                <w:szCs w:val="20"/>
              </w:rPr>
            </w:pPr>
            <w:r w:rsidRPr="00A66388">
              <w:rPr>
                <w:rFonts w:cs="HelveticaNeue"/>
                <w:szCs w:val="20"/>
              </w:rPr>
              <w:t>Public Bill Committee</w:t>
            </w:r>
          </w:p>
        </w:tc>
        <w:tc>
          <w:tcPr>
            <w:tcW w:w="2126" w:type="dxa"/>
            <w:tcBorders>
              <w:top w:val="single" w:sz="4" w:space="0" w:color="0070C0"/>
              <w:left w:val="single" w:sz="4" w:space="0" w:color="0070C0"/>
              <w:bottom w:val="single" w:sz="4" w:space="0" w:color="0070C0"/>
              <w:right w:val="single" w:sz="4" w:space="0" w:color="0070C0"/>
            </w:tcBorders>
            <w:hideMark/>
          </w:tcPr>
          <w:p w14:paraId="0FBEEF1E" w14:textId="77777777" w:rsidR="006A756E" w:rsidRPr="00A66388" w:rsidRDefault="006A756E" w:rsidP="0002263B">
            <w:pPr>
              <w:spacing w:after="120" w:line="240" w:lineRule="atLeast"/>
              <w:rPr>
                <w:rFonts w:cs="HelveticaNeue"/>
                <w:szCs w:val="20"/>
              </w:rPr>
            </w:pPr>
            <w:r>
              <w:rPr>
                <w:rFonts w:cs="HelveticaNeue"/>
                <w:szCs w:val="20"/>
              </w:rPr>
              <w:t>11</w:t>
            </w:r>
            <w:r w:rsidRPr="00A66388">
              <w:rPr>
                <w:rFonts w:cs="HelveticaNeue"/>
                <w:szCs w:val="20"/>
              </w:rPr>
              <w:t xml:space="preserve"> </w:t>
            </w:r>
            <w:r>
              <w:rPr>
                <w:rFonts w:cs="HelveticaNeue"/>
                <w:szCs w:val="20"/>
              </w:rPr>
              <w:t>September</w:t>
            </w:r>
            <w:r w:rsidRPr="00A66388">
              <w:rPr>
                <w:rFonts w:cs="HelveticaNeue"/>
                <w:szCs w:val="20"/>
              </w:rPr>
              <w:t xml:space="preserve"> </w:t>
            </w:r>
            <w:r>
              <w:rPr>
                <w:rFonts w:cs="HelveticaNeue"/>
                <w:szCs w:val="20"/>
              </w:rPr>
              <w:t>2024</w:t>
            </w:r>
          </w:p>
        </w:tc>
        <w:tc>
          <w:tcPr>
            <w:tcW w:w="4643" w:type="dxa"/>
            <w:tcBorders>
              <w:top w:val="single" w:sz="4" w:space="0" w:color="0070C0"/>
              <w:left w:val="single" w:sz="4" w:space="0" w:color="0070C0"/>
              <w:bottom w:val="single" w:sz="4" w:space="0" w:color="0070C0"/>
              <w:right w:val="single" w:sz="4" w:space="0" w:color="0070C0"/>
            </w:tcBorders>
            <w:hideMark/>
          </w:tcPr>
          <w:p w14:paraId="2AE80A52" w14:textId="668E461D" w:rsidR="006A756E" w:rsidRPr="00A66388" w:rsidRDefault="00B60F75" w:rsidP="0002263B">
            <w:pPr>
              <w:spacing w:after="120" w:line="240" w:lineRule="atLeast"/>
              <w:rPr>
                <w:rFonts w:cs="HelveticaNeue"/>
                <w:szCs w:val="20"/>
              </w:rPr>
            </w:pPr>
            <w:hyperlink r:id="rId16" w:history="1">
              <w:r w:rsidR="006A756E" w:rsidRPr="00A66388">
                <w:rPr>
                  <w:rStyle w:val="Hyperlink"/>
                  <w:rFonts w:cs="HelveticaNeue"/>
                  <w:szCs w:val="20"/>
                </w:rPr>
                <w:t xml:space="preserve">Vol. </w:t>
              </w:r>
              <w:r w:rsidR="006A756E" w:rsidRPr="00846EDC">
                <w:rPr>
                  <w:rStyle w:val="Hyperlink"/>
                  <w:rFonts w:cs="HelveticaNeue"/>
                  <w:szCs w:val="20"/>
                </w:rPr>
                <w:t>839</w:t>
              </w:r>
              <w:r w:rsidR="006A756E" w:rsidRPr="00A66388">
                <w:rPr>
                  <w:rStyle w:val="Hyperlink"/>
                  <w:rFonts w:cs="HelveticaNeue"/>
                  <w:szCs w:val="20"/>
                </w:rPr>
                <w:t xml:space="preserve"> Col. </w:t>
              </w:r>
              <w:r w:rsidR="006A756E" w:rsidRPr="00846EDC">
                <w:rPr>
                  <w:rStyle w:val="Hyperlink"/>
                  <w:rFonts w:cs="HelveticaNeue"/>
                  <w:szCs w:val="20"/>
                </w:rPr>
                <w:t>1575</w:t>
              </w:r>
            </w:hyperlink>
          </w:p>
        </w:tc>
      </w:tr>
      <w:tr w:rsidR="006A756E" w:rsidRPr="00A66388" w14:paraId="2BB8AEB5"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22BFF209" w14:textId="77777777" w:rsidR="006A756E" w:rsidRPr="00A66388" w:rsidRDefault="006A756E" w:rsidP="0002263B">
            <w:pPr>
              <w:spacing w:after="120" w:line="240" w:lineRule="atLeast"/>
              <w:rPr>
                <w:rFonts w:cs="HelveticaNeue"/>
                <w:szCs w:val="20"/>
              </w:rPr>
            </w:pPr>
            <w:r w:rsidRPr="00A66388">
              <w:rPr>
                <w:rFonts w:cs="HelveticaNeue"/>
                <w:szCs w:val="20"/>
              </w:rPr>
              <w:t xml:space="preserve">Report </w:t>
            </w:r>
          </w:p>
        </w:tc>
        <w:tc>
          <w:tcPr>
            <w:tcW w:w="2126" w:type="dxa"/>
            <w:tcBorders>
              <w:top w:val="single" w:sz="4" w:space="0" w:color="0070C0"/>
              <w:left w:val="single" w:sz="4" w:space="0" w:color="0070C0"/>
              <w:bottom w:val="single" w:sz="4" w:space="0" w:color="0070C0"/>
              <w:right w:val="single" w:sz="4" w:space="0" w:color="0070C0"/>
            </w:tcBorders>
            <w:hideMark/>
          </w:tcPr>
          <w:p w14:paraId="38B503DC" w14:textId="77777777" w:rsidR="006A756E" w:rsidRPr="00A66388" w:rsidRDefault="006A756E" w:rsidP="0002263B">
            <w:pPr>
              <w:spacing w:after="120" w:line="240" w:lineRule="atLeast"/>
              <w:rPr>
                <w:rFonts w:cs="HelveticaNeue"/>
                <w:szCs w:val="20"/>
              </w:rPr>
            </w:pPr>
            <w:r>
              <w:rPr>
                <w:rFonts w:cs="HelveticaNeue"/>
                <w:szCs w:val="20"/>
              </w:rPr>
              <w:t>30</w:t>
            </w:r>
            <w:r w:rsidRPr="00A66388">
              <w:rPr>
                <w:rFonts w:cs="HelveticaNeue"/>
                <w:szCs w:val="20"/>
              </w:rPr>
              <w:t xml:space="preserve"> </w:t>
            </w:r>
            <w:r>
              <w:rPr>
                <w:rFonts w:cs="HelveticaNeue"/>
                <w:szCs w:val="20"/>
              </w:rPr>
              <w:t>October</w:t>
            </w:r>
            <w:r w:rsidRPr="00A66388">
              <w:rPr>
                <w:rFonts w:cs="HelveticaNeue"/>
                <w:szCs w:val="20"/>
              </w:rPr>
              <w:t xml:space="preserve"> </w:t>
            </w:r>
            <w:r>
              <w:rPr>
                <w:rFonts w:cs="HelveticaNeue"/>
                <w:szCs w:val="20"/>
              </w:rPr>
              <w:t>2024</w:t>
            </w:r>
          </w:p>
        </w:tc>
        <w:tc>
          <w:tcPr>
            <w:tcW w:w="4643" w:type="dxa"/>
            <w:tcBorders>
              <w:top w:val="single" w:sz="4" w:space="0" w:color="0070C0"/>
              <w:left w:val="single" w:sz="4" w:space="0" w:color="0070C0"/>
              <w:bottom w:val="single" w:sz="4" w:space="0" w:color="0070C0"/>
              <w:right w:val="single" w:sz="4" w:space="0" w:color="0070C0"/>
            </w:tcBorders>
            <w:hideMark/>
          </w:tcPr>
          <w:p w14:paraId="1361D86E" w14:textId="670D53EC" w:rsidR="006A756E" w:rsidRPr="00A66388" w:rsidRDefault="00B60F75" w:rsidP="0002263B">
            <w:pPr>
              <w:spacing w:after="120" w:line="240" w:lineRule="atLeast"/>
              <w:rPr>
                <w:rFonts w:cs="HelveticaNeue"/>
                <w:szCs w:val="20"/>
              </w:rPr>
            </w:pPr>
            <w:hyperlink r:id="rId17" w:history="1">
              <w:r w:rsidR="006A756E" w:rsidRPr="00A66388">
                <w:rPr>
                  <w:rStyle w:val="Hyperlink"/>
                  <w:rFonts w:cs="HelveticaNeue"/>
                  <w:szCs w:val="20"/>
                </w:rPr>
                <w:t xml:space="preserve">Vol. </w:t>
              </w:r>
              <w:r w:rsidR="006A756E" w:rsidRPr="00846EDC">
                <w:rPr>
                  <w:rStyle w:val="Hyperlink"/>
                  <w:rFonts w:cs="HelveticaNeue"/>
                  <w:szCs w:val="20"/>
                </w:rPr>
                <w:t>840</w:t>
              </w:r>
              <w:r w:rsidR="006A756E" w:rsidRPr="00A66388">
                <w:rPr>
                  <w:rStyle w:val="Hyperlink"/>
                  <w:rFonts w:cs="HelveticaNeue"/>
                  <w:szCs w:val="20"/>
                </w:rPr>
                <w:t xml:space="preserve"> Col. </w:t>
              </w:r>
              <w:r w:rsidR="006A756E" w:rsidRPr="00846EDC">
                <w:rPr>
                  <w:rStyle w:val="Hyperlink"/>
                  <w:rFonts w:cs="HelveticaNeue"/>
                  <w:szCs w:val="20"/>
                </w:rPr>
                <w:t>1122</w:t>
              </w:r>
            </w:hyperlink>
          </w:p>
        </w:tc>
      </w:tr>
      <w:tr w:rsidR="006A756E" w:rsidRPr="00A66388" w14:paraId="4664ABEE" w14:textId="77777777" w:rsidTr="0002263B">
        <w:tc>
          <w:tcPr>
            <w:tcW w:w="2518" w:type="dxa"/>
            <w:tcBorders>
              <w:top w:val="single" w:sz="4" w:space="0" w:color="0070C0"/>
              <w:left w:val="single" w:sz="4" w:space="0" w:color="0070C0"/>
              <w:bottom w:val="single" w:sz="4" w:space="0" w:color="0070C0"/>
              <w:right w:val="single" w:sz="4" w:space="0" w:color="0070C0"/>
            </w:tcBorders>
          </w:tcPr>
          <w:p w14:paraId="671318D0" w14:textId="77777777" w:rsidR="006A756E" w:rsidRPr="00A66388" w:rsidRDefault="006A756E" w:rsidP="0002263B">
            <w:pPr>
              <w:spacing w:after="120" w:line="240" w:lineRule="atLeast"/>
              <w:rPr>
                <w:rFonts w:cs="HelveticaNeue"/>
                <w:szCs w:val="20"/>
              </w:rPr>
            </w:pPr>
            <w:r>
              <w:rPr>
                <w:rFonts w:cs="HelveticaNeue"/>
                <w:szCs w:val="20"/>
              </w:rPr>
              <w:t xml:space="preserve">Third Reading </w:t>
            </w:r>
          </w:p>
        </w:tc>
        <w:tc>
          <w:tcPr>
            <w:tcW w:w="2126" w:type="dxa"/>
            <w:tcBorders>
              <w:top w:val="single" w:sz="4" w:space="0" w:color="0070C0"/>
              <w:left w:val="single" w:sz="4" w:space="0" w:color="0070C0"/>
              <w:bottom w:val="single" w:sz="4" w:space="0" w:color="0070C0"/>
              <w:right w:val="single" w:sz="4" w:space="0" w:color="0070C0"/>
            </w:tcBorders>
          </w:tcPr>
          <w:p w14:paraId="62ABD334" w14:textId="77777777" w:rsidR="006A756E" w:rsidRPr="00A66388" w:rsidRDefault="006A756E" w:rsidP="0002263B">
            <w:pPr>
              <w:spacing w:after="120" w:line="240" w:lineRule="atLeast"/>
              <w:rPr>
                <w:rFonts w:cs="HelveticaNeue"/>
                <w:szCs w:val="20"/>
              </w:rPr>
            </w:pPr>
            <w:r>
              <w:rPr>
                <w:rFonts w:cs="HelveticaNeue"/>
                <w:szCs w:val="20"/>
              </w:rPr>
              <w:t>06 November 2024</w:t>
            </w:r>
          </w:p>
        </w:tc>
        <w:tc>
          <w:tcPr>
            <w:tcW w:w="4643" w:type="dxa"/>
            <w:tcBorders>
              <w:top w:val="single" w:sz="4" w:space="0" w:color="0070C0"/>
              <w:left w:val="single" w:sz="4" w:space="0" w:color="0070C0"/>
              <w:bottom w:val="single" w:sz="4" w:space="0" w:color="0070C0"/>
              <w:right w:val="single" w:sz="4" w:space="0" w:color="0070C0"/>
            </w:tcBorders>
          </w:tcPr>
          <w:p w14:paraId="74D26474" w14:textId="6EF953C0" w:rsidR="006A756E" w:rsidRPr="00A66388" w:rsidRDefault="00B60F75" w:rsidP="0002263B">
            <w:pPr>
              <w:spacing w:after="120" w:line="240" w:lineRule="atLeast"/>
              <w:rPr>
                <w:rFonts w:cs="HelveticaNeue"/>
                <w:szCs w:val="20"/>
              </w:rPr>
            </w:pPr>
            <w:hyperlink r:id="rId18" w:history="1">
              <w:r w:rsidR="006A756E" w:rsidRPr="00846EDC">
                <w:rPr>
                  <w:rStyle w:val="Hyperlink"/>
                  <w:rFonts w:cs="HelveticaNeue"/>
                  <w:szCs w:val="20"/>
                </w:rPr>
                <w:t>Vol. 840 Col. 1497</w:t>
              </w:r>
            </w:hyperlink>
          </w:p>
        </w:tc>
      </w:tr>
      <w:tr w:rsidR="006A756E" w:rsidRPr="00A66388" w14:paraId="58F3312A" w14:textId="77777777" w:rsidTr="0002263B">
        <w:tc>
          <w:tcPr>
            <w:tcW w:w="9287" w:type="dxa"/>
            <w:gridSpan w:val="3"/>
            <w:tcBorders>
              <w:top w:val="single" w:sz="4" w:space="0" w:color="0070C0"/>
              <w:left w:val="single" w:sz="4" w:space="0" w:color="0070C0"/>
              <w:bottom w:val="single" w:sz="4" w:space="0" w:color="0070C0"/>
              <w:right w:val="single" w:sz="4" w:space="0" w:color="0070C0"/>
            </w:tcBorders>
            <w:hideMark/>
          </w:tcPr>
          <w:p w14:paraId="1F24919F" w14:textId="77777777" w:rsidR="006A756E" w:rsidRPr="00A66388" w:rsidRDefault="006A756E" w:rsidP="0002263B">
            <w:pPr>
              <w:spacing w:after="120" w:line="240" w:lineRule="atLeast"/>
              <w:rPr>
                <w:rFonts w:cs="HelveticaNeue"/>
                <w:i/>
                <w:szCs w:val="20"/>
                <w:lang w:val="en-US"/>
              </w:rPr>
            </w:pPr>
            <w:r w:rsidRPr="00A66388">
              <w:rPr>
                <w:rFonts w:cs="HelveticaNeue"/>
                <w:i/>
                <w:szCs w:val="20"/>
              </w:rPr>
              <w:t xml:space="preserve">House of </w:t>
            </w:r>
            <w:r>
              <w:rPr>
                <w:rFonts w:cs="HelveticaNeue"/>
                <w:i/>
                <w:szCs w:val="20"/>
              </w:rPr>
              <w:t>Commons</w:t>
            </w:r>
          </w:p>
        </w:tc>
      </w:tr>
      <w:tr w:rsidR="006A756E" w:rsidRPr="00A66388" w14:paraId="6744015E"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04B1FF23" w14:textId="77777777" w:rsidR="006A756E" w:rsidRPr="00A66388" w:rsidRDefault="006A756E" w:rsidP="0002263B">
            <w:pPr>
              <w:spacing w:after="120" w:line="240" w:lineRule="atLeast"/>
              <w:rPr>
                <w:rFonts w:cs="HelveticaNeue"/>
                <w:szCs w:val="20"/>
                <w:lang w:val="en-US"/>
              </w:rPr>
            </w:pPr>
            <w:r w:rsidRPr="00A66388">
              <w:rPr>
                <w:rFonts w:cs="HelveticaNeue"/>
                <w:szCs w:val="20"/>
              </w:rPr>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3B95A440" w14:textId="77777777" w:rsidR="006A756E" w:rsidRPr="00A66388" w:rsidRDefault="006A756E" w:rsidP="0002263B">
            <w:pPr>
              <w:spacing w:after="120" w:line="240" w:lineRule="atLeast"/>
              <w:rPr>
                <w:rFonts w:cs="HelveticaNeue"/>
                <w:szCs w:val="20"/>
              </w:rPr>
            </w:pPr>
            <w:r>
              <w:rPr>
                <w:rFonts w:cs="HelveticaNeue"/>
                <w:szCs w:val="20"/>
              </w:rPr>
              <w:t>06</w:t>
            </w:r>
            <w:r w:rsidRPr="00A66388">
              <w:rPr>
                <w:rFonts w:cs="HelveticaNeue"/>
                <w:szCs w:val="20"/>
              </w:rPr>
              <w:t xml:space="preserve"> </w:t>
            </w:r>
            <w:r>
              <w:rPr>
                <w:rFonts w:cs="HelveticaNeue"/>
                <w:szCs w:val="20"/>
              </w:rPr>
              <w:t>November</w:t>
            </w:r>
            <w:r w:rsidRPr="00A66388">
              <w:rPr>
                <w:rFonts w:cs="HelveticaNeue"/>
                <w:szCs w:val="20"/>
              </w:rPr>
              <w:t xml:space="preserve"> </w:t>
            </w:r>
            <w:r>
              <w:rPr>
                <w:rFonts w:cs="HelveticaNeue"/>
                <w:szCs w:val="20"/>
              </w:rPr>
              <w:t>2024</w:t>
            </w:r>
          </w:p>
        </w:tc>
        <w:tc>
          <w:tcPr>
            <w:tcW w:w="4643" w:type="dxa"/>
            <w:tcBorders>
              <w:top w:val="single" w:sz="4" w:space="0" w:color="0070C0"/>
              <w:left w:val="single" w:sz="4" w:space="0" w:color="0070C0"/>
              <w:bottom w:val="single" w:sz="4" w:space="0" w:color="0070C0"/>
              <w:right w:val="single" w:sz="4" w:space="0" w:color="0070C0"/>
            </w:tcBorders>
            <w:hideMark/>
          </w:tcPr>
          <w:p w14:paraId="76CB107A" w14:textId="6CF67A01" w:rsidR="006A756E" w:rsidRPr="00A66388" w:rsidRDefault="00B60F75" w:rsidP="0002263B">
            <w:pPr>
              <w:spacing w:after="120" w:line="240" w:lineRule="atLeast"/>
              <w:rPr>
                <w:rFonts w:cs="HelveticaNeue"/>
                <w:szCs w:val="20"/>
              </w:rPr>
            </w:pPr>
            <w:hyperlink r:id="rId19" w:history="1">
              <w:r w:rsidR="00B11FDE" w:rsidRPr="00B11FDE">
                <w:rPr>
                  <w:rStyle w:val="Hyperlink"/>
                  <w:rFonts w:cs="HelveticaNeue"/>
                  <w:szCs w:val="20"/>
                </w:rPr>
                <w:t>Votes and Proceedings – Lords Message</w:t>
              </w:r>
            </w:hyperlink>
          </w:p>
        </w:tc>
      </w:tr>
      <w:tr w:rsidR="006A756E" w:rsidRPr="00A66388" w14:paraId="3EFEE98F"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36F56677" w14:textId="77777777" w:rsidR="006A756E" w:rsidRPr="00A66388" w:rsidRDefault="006A756E" w:rsidP="0002263B">
            <w:pPr>
              <w:spacing w:after="120" w:line="240" w:lineRule="atLeast"/>
              <w:rPr>
                <w:rFonts w:cs="HelveticaNeue"/>
                <w:szCs w:val="20"/>
              </w:rPr>
            </w:pPr>
            <w:r w:rsidRPr="00A66388">
              <w:rPr>
                <w:rFonts w:cs="HelveticaNeue"/>
                <w:szCs w:val="20"/>
              </w:rPr>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7F68AB9C" w14:textId="77777777" w:rsidR="006A756E" w:rsidRPr="00A66388" w:rsidRDefault="006A756E" w:rsidP="0002263B">
            <w:pPr>
              <w:spacing w:after="120" w:line="240" w:lineRule="atLeast"/>
              <w:rPr>
                <w:rFonts w:cs="HelveticaNeue"/>
                <w:szCs w:val="20"/>
              </w:rPr>
            </w:pPr>
            <w:r>
              <w:rPr>
                <w:rFonts w:cs="HelveticaNeue"/>
                <w:szCs w:val="20"/>
              </w:rPr>
              <w:t>29</w:t>
            </w:r>
            <w:r w:rsidRPr="00A66388">
              <w:rPr>
                <w:rFonts w:cs="HelveticaNeue"/>
                <w:szCs w:val="20"/>
              </w:rPr>
              <w:t xml:space="preserve"> </w:t>
            </w:r>
            <w:r>
              <w:rPr>
                <w:rFonts w:cs="HelveticaNeue"/>
                <w:szCs w:val="20"/>
              </w:rPr>
              <w:t>January</w:t>
            </w:r>
            <w:r w:rsidRPr="00A66388">
              <w:rPr>
                <w:rFonts w:cs="HelveticaNeue"/>
                <w:szCs w:val="20"/>
              </w:rPr>
              <w:t xml:space="preserve"> </w:t>
            </w:r>
            <w:r>
              <w:rPr>
                <w:rFonts w:cs="HelveticaNeue"/>
                <w:szCs w:val="20"/>
              </w:rPr>
              <w:t>2025</w:t>
            </w:r>
          </w:p>
        </w:tc>
        <w:tc>
          <w:tcPr>
            <w:tcW w:w="4643" w:type="dxa"/>
            <w:tcBorders>
              <w:top w:val="single" w:sz="4" w:space="0" w:color="0070C0"/>
              <w:left w:val="single" w:sz="4" w:space="0" w:color="0070C0"/>
              <w:bottom w:val="single" w:sz="4" w:space="0" w:color="0070C0"/>
              <w:right w:val="single" w:sz="4" w:space="0" w:color="0070C0"/>
            </w:tcBorders>
            <w:hideMark/>
          </w:tcPr>
          <w:p w14:paraId="6D8C6B57" w14:textId="2D957747" w:rsidR="006A756E" w:rsidRPr="00A66388" w:rsidRDefault="00B60F75" w:rsidP="0002263B">
            <w:pPr>
              <w:spacing w:after="120" w:line="240" w:lineRule="atLeast"/>
              <w:rPr>
                <w:rFonts w:cs="HelveticaNeue"/>
                <w:szCs w:val="20"/>
              </w:rPr>
            </w:pPr>
            <w:hyperlink r:id="rId20" w:history="1">
              <w:r w:rsidR="006A756E" w:rsidRPr="00A66388">
                <w:rPr>
                  <w:rStyle w:val="Hyperlink"/>
                  <w:rFonts w:cs="HelveticaNeue"/>
                  <w:szCs w:val="20"/>
                </w:rPr>
                <w:t xml:space="preserve">Vol. </w:t>
              </w:r>
              <w:r w:rsidR="006A756E" w:rsidRPr="00846EDC">
                <w:rPr>
                  <w:rStyle w:val="Hyperlink"/>
                  <w:rFonts w:cs="HelveticaNeue"/>
                  <w:szCs w:val="20"/>
                </w:rPr>
                <w:t>761</w:t>
              </w:r>
              <w:r w:rsidR="006A756E" w:rsidRPr="00A66388">
                <w:rPr>
                  <w:rStyle w:val="Hyperlink"/>
                  <w:rFonts w:cs="HelveticaNeue"/>
                  <w:szCs w:val="20"/>
                </w:rPr>
                <w:t xml:space="preserve"> Col. </w:t>
              </w:r>
              <w:r w:rsidR="006A756E" w:rsidRPr="00846EDC">
                <w:rPr>
                  <w:rStyle w:val="Hyperlink"/>
                  <w:rFonts w:cs="HelveticaNeue"/>
                  <w:szCs w:val="20"/>
                </w:rPr>
                <w:t>331</w:t>
              </w:r>
            </w:hyperlink>
          </w:p>
        </w:tc>
      </w:tr>
      <w:tr w:rsidR="006A756E" w:rsidRPr="00A66388" w14:paraId="4D106296"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5452DDA7" w14:textId="77777777" w:rsidR="006A756E" w:rsidRPr="00A66388" w:rsidRDefault="006A756E" w:rsidP="0002263B">
            <w:pPr>
              <w:spacing w:after="120" w:line="240" w:lineRule="atLeast"/>
              <w:rPr>
                <w:rFonts w:cs="HelveticaNeue"/>
                <w:szCs w:val="20"/>
              </w:rPr>
            </w:pPr>
            <w:r w:rsidRPr="00A66388">
              <w:rPr>
                <w:rFonts w:cs="HelveticaNeue"/>
                <w:szCs w:val="20"/>
              </w:rPr>
              <w:t>Committee</w:t>
            </w:r>
            <w:r>
              <w:rPr>
                <w:rFonts w:cs="HelveticaNeue"/>
                <w:szCs w:val="20"/>
              </w:rPr>
              <w:t xml:space="preserve"> of the Whole House</w:t>
            </w:r>
          </w:p>
        </w:tc>
        <w:tc>
          <w:tcPr>
            <w:tcW w:w="2126" w:type="dxa"/>
            <w:tcBorders>
              <w:top w:val="single" w:sz="4" w:space="0" w:color="0070C0"/>
              <w:left w:val="single" w:sz="4" w:space="0" w:color="0070C0"/>
              <w:bottom w:val="single" w:sz="4" w:space="0" w:color="0070C0"/>
              <w:right w:val="single" w:sz="4" w:space="0" w:color="0070C0"/>
            </w:tcBorders>
            <w:hideMark/>
          </w:tcPr>
          <w:p w14:paraId="0A0E2D2F" w14:textId="77777777" w:rsidR="006A756E" w:rsidRPr="00A66388" w:rsidRDefault="006A756E" w:rsidP="0002263B">
            <w:pPr>
              <w:spacing w:after="120" w:line="240" w:lineRule="atLeast"/>
              <w:rPr>
                <w:rFonts w:cs="HelveticaNeue"/>
                <w:szCs w:val="20"/>
              </w:rPr>
            </w:pPr>
            <w:r>
              <w:rPr>
                <w:rFonts w:cs="HelveticaNeue"/>
                <w:szCs w:val="20"/>
              </w:rPr>
              <w:t>11</w:t>
            </w:r>
            <w:r w:rsidRPr="00A66388">
              <w:rPr>
                <w:rFonts w:cs="HelveticaNeue"/>
                <w:szCs w:val="20"/>
              </w:rPr>
              <w:t xml:space="preserve"> </w:t>
            </w:r>
            <w:r>
              <w:rPr>
                <w:rFonts w:cs="HelveticaNeue"/>
                <w:szCs w:val="20"/>
              </w:rPr>
              <w:t>February</w:t>
            </w:r>
            <w:r w:rsidRPr="00A66388">
              <w:rPr>
                <w:rFonts w:cs="HelveticaNeue"/>
                <w:szCs w:val="20"/>
              </w:rPr>
              <w:t xml:space="preserve"> </w:t>
            </w:r>
            <w:r>
              <w:rPr>
                <w:rFonts w:cs="HelveticaNeue"/>
                <w:szCs w:val="20"/>
              </w:rPr>
              <w:t>2025</w:t>
            </w:r>
          </w:p>
        </w:tc>
        <w:tc>
          <w:tcPr>
            <w:tcW w:w="4643" w:type="dxa"/>
            <w:tcBorders>
              <w:top w:val="single" w:sz="4" w:space="0" w:color="0070C0"/>
              <w:left w:val="single" w:sz="4" w:space="0" w:color="0070C0"/>
              <w:bottom w:val="single" w:sz="4" w:space="0" w:color="0070C0"/>
              <w:right w:val="single" w:sz="4" w:space="0" w:color="0070C0"/>
            </w:tcBorders>
            <w:hideMark/>
          </w:tcPr>
          <w:p w14:paraId="5CE80B8F" w14:textId="6BF98885" w:rsidR="006A756E" w:rsidRPr="00A66388" w:rsidRDefault="00B60F75" w:rsidP="0002263B">
            <w:pPr>
              <w:spacing w:after="120" w:line="240" w:lineRule="atLeast"/>
              <w:rPr>
                <w:rFonts w:cs="HelveticaNeue"/>
                <w:szCs w:val="20"/>
              </w:rPr>
            </w:pPr>
            <w:hyperlink r:id="rId21" w:history="1">
              <w:r w:rsidR="006A756E" w:rsidRPr="00A66388">
                <w:rPr>
                  <w:rStyle w:val="Hyperlink"/>
                  <w:rFonts w:cs="HelveticaNeue"/>
                  <w:szCs w:val="20"/>
                </w:rPr>
                <w:t xml:space="preserve">Vol. </w:t>
              </w:r>
              <w:r w:rsidR="006A756E" w:rsidRPr="00804296">
                <w:rPr>
                  <w:rStyle w:val="Hyperlink"/>
                  <w:rFonts w:cs="HelveticaNeue"/>
                  <w:szCs w:val="20"/>
                </w:rPr>
                <w:t>762</w:t>
              </w:r>
              <w:r w:rsidR="006A756E" w:rsidRPr="00A66388">
                <w:rPr>
                  <w:rStyle w:val="Hyperlink"/>
                  <w:rFonts w:cs="HelveticaNeue"/>
                  <w:szCs w:val="20"/>
                </w:rPr>
                <w:t xml:space="preserve"> Col. </w:t>
              </w:r>
              <w:r w:rsidR="006A756E" w:rsidRPr="00804296">
                <w:rPr>
                  <w:rStyle w:val="Hyperlink"/>
                  <w:rFonts w:cs="HelveticaNeue"/>
                  <w:szCs w:val="20"/>
                </w:rPr>
                <w:t>208</w:t>
              </w:r>
            </w:hyperlink>
          </w:p>
        </w:tc>
      </w:tr>
      <w:tr w:rsidR="006A756E" w:rsidRPr="00A66388" w14:paraId="60717D95" w14:textId="77777777" w:rsidTr="0002263B">
        <w:tc>
          <w:tcPr>
            <w:tcW w:w="2518" w:type="dxa"/>
            <w:tcBorders>
              <w:top w:val="single" w:sz="4" w:space="0" w:color="0070C0"/>
              <w:left w:val="single" w:sz="4" w:space="0" w:color="0070C0"/>
              <w:bottom w:val="single" w:sz="4" w:space="0" w:color="0070C0"/>
              <w:right w:val="single" w:sz="4" w:space="0" w:color="0070C0"/>
            </w:tcBorders>
            <w:hideMark/>
          </w:tcPr>
          <w:p w14:paraId="08A2F514" w14:textId="77777777" w:rsidR="006A756E" w:rsidRPr="00A66388" w:rsidRDefault="006A756E" w:rsidP="0002263B">
            <w:pPr>
              <w:spacing w:after="120" w:line="240" w:lineRule="atLeast"/>
              <w:rPr>
                <w:rFonts w:cs="HelveticaNeue"/>
                <w:szCs w:val="20"/>
              </w:rPr>
            </w:pPr>
            <w:r w:rsidRPr="00A66388">
              <w:rPr>
                <w:rFonts w:cs="HelveticaNeue"/>
                <w:szCs w:val="20"/>
              </w:rPr>
              <w:t>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6EA0B8E9" w14:textId="77777777" w:rsidR="006A756E" w:rsidRPr="00A66388" w:rsidRDefault="006A756E" w:rsidP="0002263B">
            <w:pPr>
              <w:spacing w:after="120" w:line="240" w:lineRule="atLeast"/>
              <w:rPr>
                <w:rFonts w:cs="HelveticaNeue"/>
                <w:szCs w:val="20"/>
              </w:rPr>
            </w:pPr>
            <w:r>
              <w:rPr>
                <w:rFonts w:cs="HelveticaNeue"/>
                <w:szCs w:val="20"/>
              </w:rPr>
              <w:t>11</w:t>
            </w:r>
            <w:r w:rsidRPr="00A66388">
              <w:rPr>
                <w:rFonts w:cs="HelveticaNeue"/>
                <w:szCs w:val="20"/>
              </w:rPr>
              <w:t xml:space="preserve"> </w:t>
            </w:r>
            <w:r>
              <w:rPr>
                <w:rFonts w:cs="HelveticaNeue"/>
                <w:szCs w:val="20"/>
              </w:rPr>
              <w:t>February</w:t>
            </w:r>
            <w:r w:rsidRPr="00A66388">
              <w:rPr>
                <w:rFonts w:cs="HelveticaNeue"/>
                <w:szCs w:val="20"/>
              </w:rPr>
              <w:t xml:space="preserve"> </w:t>
            </w:r>
            <w:r>
              <w:rPr>
                <w:rFonts w:cs="HelveticaNeue"/>
                <w:szCs w:val="20"/>
              </w:rPr>
              <w:t>2025</w:t>
            </w:r>
          </w:p>
        </w:tc>
        <w:tc>
          <w:tcPr>
            <w:tcW w:w="4643" w:type="dxa"/>
            <w:tcBorders>
              <w:top w:val="single" w:sz="4" w:space="0" w:color="0070C0"/>
              <w:left w:val="single" w:sz="4" w:space="0" w:color="0070C0"/>
              <w:bottom w:val="single" w:sz="4" w:space="0" w:color="0070C0"/>
              <w:right w:val="single" w:sz="4" w:space="0" w:color="0070C0"/>
            </w:tcBorders>
            <w:hideMark/>
          </w:tcPr>
          <w:p w14:paraId="26E2A8C6" w14:textId="6F6866E6" w:rsidR="006A756E" w:rsidRPr="00A66388" w:rsidRDefault="00B60F75" w:rsidP="0002263B">
            <w:pPr>
              <w:spacing w:after="120" w:line="240" w:lineRule="atLeast"/>
              <w:rPr>
                <w:rFonts w:cs="HelveticaNeue"/>
                <w:szCs w:val="20"/>
              </w:rPr>
            </w:pPr>
            <w:hyperlink r:id="rId22" w:anchor="contribution-A7F874EC-2EE4-4CDF-9B9D-92A3EBDFC90E" w:history="1">
              <w:r w:rsidR="006A756E" w:rsidRPr="00A66388">
                <w:rPr>
                  <w:rStyle w:val="Hyperlink"/>
                  <w:rFonts w:cs="HelveticaNeue"/>
                  <w:szCs w:val="20"/>
                </w:rPr>
                <w:t xml:space="preserve">Vol. </w:t>
              </w:r>
              <w:r w:rsidR="006A756E" w:rsidRPr="00804296">
                <w:rPr>
                  <w:rStyle w:val="Hyperlink"/>
                  <w:rFonts w:cs="HelveticaNeue"/>
                  <w:szCs w:val="20"/>
                </w:rPr>
                <w:t>762</w:t>
              </w:r>
              <w:r w:rsidR="006A756E" w:rsidRPr="00A66388">
                <w:rPr>
                  <w:rStyle w:val="Hyperlink"/>
                  <w:rFonts w:cs="HelveticaNeue"/>
                  <w:szCs w:val="20"/>
                </w:rPr>
                <w:t xml:space="preserve"> Col. </w:t>
              </w:r>
              <w:r w:rsidR="006A756E" w:rsidRPr="00804296">
                <w:rPr>
                  <w:rStyle w:val="Hyperlink"/>
                  <w:rFonts w:cs="HelveticaNeue"/>
                  <w:szCs w:val="20"/>
                </w:rPr>
                <w:t>214</w:t>
              </w:r>
            </w:hyperlink>
          </w:p>
        </w:tc>
      </w:tr>
      <w:tr w:rsidR="006A756E" w:rsidRPr="00A66388" w14:paraId="088077C7" w14:textId="77777777" w:rsidTr="0002263B">
        <w:tc>
          <w:tcPr>
            <w:tcW w:w="2518" w:type="dxa"/>
            <w:vMerge w:val="restart"/>
            <w:tcBorders>
              <w:top w:val="single" w:sz="4" w:space="0" w:color="0070C0"/>
              <w:left w:val="single" w:sz="4" w:space="0" w:color="0070C0"/>
              <w:bottom w:val="single" w:sz="4" w:space="0" w:color="0070C0"/>
              <w:right w:val="single" w:sz="4" w:space="0" w:color="0070C0"/>
            </w:tcBorders>
            <w:hideMark/>
          </w:tcPr>
          <w:p w14:paraId="7CEBAC2B" w14:textId="77777777" w:rsidR="006A756E" w:rsidRPr="00A66388" w:rsidRDefault="006A756E" w:rsidP="0002263B">
            <w:pPr>
              <w:spacing w:after="120" w:line="240" w:lineRule="atLeast"/>
              <w:rPr>
                <w:rFonts w:cs="HelveticaNeue"/>
                <w:szCs w:val="20"/>
              </w:rPr>
            </w:pPr>
            <w:r w:rsidRPr="00A66388">
              <w:rPr>
                <w:rFonts w:cs="HelveticaNeue"/>
                <w:szCs w:val="20"/>
              </w:rPr>
              <w:t>Royal Assent</w:t>
            </w:r>
          </w:p>
        </w:tc>
        <w:tc>
          <w:tcPr>
            <w:tcW w:w="2126" w:type="dxa"/>
            <w:vMerge w:val="restart"/>
            <w:tcBorders>
              <w:top w:val="single" w:sz="4" w:space="0" w:color="0070C0"/>
              <w:left w:val="single" w:sz="4" w:space="0" w:color="0070C0"/>
              <w:bottom w:val="single" w:sz="4" w:space="0" w:color="0070C0"/>
              <w:right w:val="single" w:sz="4" w:space="0" w:color="0070C0"/>
            </w:tcBorders>
            <w:hideMark/>
          </w:tcPr>
          <w:p w14:paraId="7838F52A" w14:textId="77777777" w:rsidR="006A756E" w:rsidRPr="00A66388" w:rsidRDefault="006A756E" w:rsidP="0002263B">
            <w:pPr>
              <w:spacing w:after="120" w:line="240" w:lineRule="atLeast"/>
              <w:rPr>
                <w:rFonts w:cs="HelveticaNeue"/>
                <w:szCs w:val="20"/>
              </w:rPr>
            </w:pPr>
            <w:r>
              <w:rPr>
                <w:rFonts w:cs="HelveticaNeue"/>
                <w:szCs w:val="20"/>
              </w:rPr>
              <w:t>24</w:t>
            </w:r>
            <w:r w:rsidRPr="00A66388">
              <w:rPr>
                <w:rFonts w:cs="HelveticaNeue"/>
                <w:szCs w:val="20"/>
              </w:rPr>
              <w:t xml:space="preserve"> </w:t>
            </w:r>
            <w:r>
              <w:rPr>
                <w:rFonts w:cs="HelveticaNeue"/>
                <w:szCs w:val="20"/>
              </w:rPr>
              <w:t>February</w:t>
            </w:r>
            <w:r w:rsidRPr="00A66388">
              <w:rPr>
                <w:rFonts w:cs="HelveticaNeue"/>
                <w:szCs w:val="20"/>
              </w:rPr>
              <w:t xml:space="preserve"> </w:t>
            </w:r>
            <w:r>
              <w:rPr>
                <w:rFonts w:cs="HelveticaNeue"/>
                <w:szCs w:val="20"/>
              </w:rPr>
              <w:t>2025</w:t>
            </w:r>
          </w:p>
        </w:tc>
        <w:tc>
          <w:tcPr>
            <w:tcW w:w="4643" w:type="dxa"/>
            <w:tcBorders>
              <w:top w:val="single" w:sz="4" w:space="0" w:color="0070C0"/>
              <w:left w:val="single" w:sz="4" w:space="0" w:color="0070C0"/>
              <w:bottom w:val="single" w:sz="4" w:space="0" w:color="0070C0"/>
              <w:right w:val="single" w:sz="4" w:space="0" w:color="0070C0"/>
            </w:tcBorders>
            <w:hideMark/>
          </w:tcPr>
          <w:p w14:paraId="3C223CBA" w14:textId="669F9BFF" w:rsidR="006A756E" w:rsidRPr="00A66388" w:rsidRDefault="006A756E" w:rsidP="0002263B">
            <w:pPr>
              <w:spacing w:after="120" w:line="240" w:lineRule="atLeast"/>
              <w:rPr>
                <w:rFonts w:cs="HelveticaNeue"/>
                <w:szCs w:val="20"/>
              </w:rPr>
            </w:pPr>
            <w:r w:rsidRPr="00A66388">
              <w:rPr>
                <w:rFonts w:cs="HelveticaNeue"/>
                <w:szCs w:val="20"/>
              </w:rPr>
              <w:t xml:space="preserve">House of </w:t>
            </w:r>
            <w:r>
              <w:rPr>
                <w:rFonts w:cs="HelveticaNeue"/>
                <w:szCs w:val="20"/>
              </w:rPr>
              <w:t>Lords</w:t>
            </w:r>
            <w:r w:rsidRPr="00A66388">
              <w:rPr>
                <w:rFonts w:cs="HelveticaNeue"/>
                <w:szCs w:val="20"/>
              </w:rPr>
              <w:t xml:space="preserve"> </w:t>
            </w:r>
            <w:hyperlink r:id="rId23" w:history="1">
              <w:r w:rsidRPr="00A66388">
                <w:rPr>
                  <w:rStyle w:val="Hyperlink"/>
                  <w:rFonts w:cs="HelveticaNeue"/>
                  <w:szCs w:val="20"/>
                </w:rPr>
                <w:t>Vol.</w:t>
              </w:r>
              <w:r w:rsidRPr="00804296">
                <w:rPr>
                  <w:rStyle w:val="Hyperlink"/>
                  <w:rFonts w:cs="HelveticaNeue"/>
                  <w:szCs w:val="20"/>
                </w:rPr>
                <w:t xml:space="preserve"> 843</w:t>
              </w:r>
              <w:r w:rsidRPr="00A66388">
                <w:rPr>
                  <w:rStyle w:val="Hyperlink"/>
                  <w:rFonts w:cs="HelveticaNeue"/>
                  <w:szCs w:val="20"/>
                </w:rPr>
                <w:t xml:space="preserve"> Col. </w:t>
              </w:r>
              <w:r w:rsidRPr="00804296">
                <w:rPr>
                  <w:rStyle w:val="Hyperlink"/>
                  <w:rFonts w:cs="HelveticaNeue"/>
                  <w:szCs w:val="20"/>
                </w:rPr>
                <w:t>1445</w:t>
              </w:r>
            </w:hyperlink>
          </w:p>
        </w:tc>
      </w:tr>
      <w:tr w:rsidR="006A756E" w:rsidRPr="00A66388" w14:paraId="4A355B43" w14:textId="77777777" w:rsidTr="0002263B">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437FB65B" w14:textId="77777777" w:rsidR="006A756E" w:rsidRPr="00A66388" w:rsidRDefault="006A756E" w:rsidP="0002263B">
            <w:pPr>
              <w:rPr>
                <w:rFonts w:cs="HelveticaNeue"/>
                <w:szCs w:val="20"/>
              </w:rPr>
            </w:pPr>
          </w:p>
        </w:tc>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15838938" w14:textId="77777777" w:rsidR="006A756E" w:rsidRPr="00A66388" w:rsidRDefault="006A756E" w:rsidP="0002263B">
            <w:pPr>
              <w:rPr>
                <w:rFonts w:cs="HelveticaNeue"/>
                <w:szCs w:val="20"/>
              </w:rPr>
            </w:pPr>
          </w:p>
        </w:tc>
        <w:tc>
          <w:tcPr>
            <w:tcW w:w="4643" w:type="dxa"/>
            <w:tcBorders>
              <w:top w:val="single" w:sz="4" w:space="0" w:color="0070C0"/>
              <w:left w:val="single" w:sz="4" w:space="0" w:color="0070C0"/>
              <w:bottom w:val="single" w:sz="4" w:space="0" w:color="0070C0"/>
              <w:right w:val="single" w:sz="4" w:space="0" w:color="0070C0"/>
            </w:tcBorders>
            <w:hideMark/>
          </w:tcPr>
          <w:p w14:paraId="7233D9BF" w14:textId="2DE67633" w:rsidR="006A756E" w:rsidRPr="00A66388" w:rsidRDefault="006A756E" w:rsidP="0002263B">
            <w:pPr>
              <w:spacing w:after="120" w:line="240" w:lineRule="atLeast"/>
              <w:rPr>
                <w:rFonts w:cs="HelveticaNeue"/>
                <w:szCs w:val="20"/>
              </w:rPr>
            </w:pPr>
            <w:r w:rsidRPr="00A66388">
              <w:rPr>
                <w:rFonts w:cs="HelveticaNeue"/>
                <w:szCs w:val="20"/>
              </w:rPr>
              <w:t xml:space="preserve">House of </w:t>
            </w:r>
            <w:r>
              <w:rPr>
                <w:rFonts w:cs="HelveticaNeue"/>
                <w:szCs w:val="20"/>
              </w:rPr>
              <w:t>Commons</w:t>
            </w:r>
            <w:r w:rsidRPr="00A66388">
              <w:rPr>
                <w:rFonts w:cs="HelveticaNeue"/>
                <w:szCs w:val="20"/>
              </w:rPr>
              <w:t xml:space="preserve"> </w:t>
            </w:r>
            <w:hyperlink r:id="rId24" w:history="1">
              <w:r w:rsidRPr="00A66388">
                <w:rPr>
                  <w:rStyle w:val="Hyperlink"/>
                  <w:rFonts w:cs="HelveticaNeue"/>
                  <w:szCs w:val="20"/>
                </w:rPr>
                <w:t xml:space="preserve">Vol. </w:t>
              </w:r>
              <w:r w:rsidRPr="00804296">
                <w:rPr>
                  <w:rStyle w:val="Hyperlink"/>
                  <w:rFonts w:cs="HelveticaNeue"/>
                  <w:szCs w:val="20"/>
                </w:rPr>
                <w:t xml:space="preserve">762 </w:t>
              </w:r>
              <w:r w:rsidRPr="00A66388">
                <w:rPr>
                  <w:rStyle w:val="Hyperlink"/>
                  <w:rFonts w:cs="HelveticaNeue"/>
                  <w:szCs w:val="20"/>
                </w:rPr>
                <w:t xml:space="preserve">Col. </w:t>
              </w:r>
              <w:r w:rsidRPr="00804296">
                <w:rPr>
                  <w:rStyle w:val="Hyperlink"/>
                  <w:rFonts w:cs="HelveticaNeue"/>
                  <w:szCs w:val="20"/>
                </w:rPr>
                <w:t>485</w:t>
              </w:r>
            </w:hyperlink>
          </w:p>
        </w:tc>
      </w:tr>
    </w:tbl>
    <w:p w14:paraId="2CB31AEA" w14:textId="669D45D8" w:rsidR="006A756E" w:rsidRDefault="006A756E" w:rsidP="006A756E">
      <w:pPr>
        <w:pStyle w:val="ParaNumbered"/>
        <w:numPr>
          <w:ilvl w:val="0"/>
          <w:numId w:val="0"/>
        </w:numPr>
        <w:ind w:left="785" w:hanging="360"/>
      </w:pPr>
    </w:p>
    <w:p w14:paraId="33E13EB4" w14:textId="77777777" w:rsidR="006A756E" w:rsidRDefault="006A756E">
      <w:pPr>
        <w:rPr>
          <w:rFonts w:ascii="Arial" w:eastAsiaTheme="majorEastAsia" w:hAnsi="Arial" w:cstheme="majorBidi"/>
          <w:b/>
          <w:bCs/>
          <w:color w:val="0070C0"/>
          <w:sz w:val="36"/>
          <w:szCs w:val="28"/>
        </w:rPr>
      </w:pPr>
      <w:r>
        <w:br w:type="page"/>
      </w:r>
    </w:p>
    <w:p w14:paraId="41CBBE0A" w14:textId="3C2D56F7" w:rsidR="006A756E" w:rsidRDefault="006A756E" w:rsidP="006A756E">
      <w:pPr>
        <w:pStyle w:val="Heading1"/>
        <w:keepNext/>
      </w:pPr>
      <w:bookmarkStart w:id="76" w:name="_Toc194071838"/>
      <w:r w:rsidRPr="00CA4237">
        <w:lastRenderedPageBreak/>
        <w:t xml:space="preserve">Annex </w:t>
      </w:r>
      <w:r w:rsidR="00B11FDE">
        <w:t>B</w:t>
      </w:r>
      <w:r w:rsidRPr="00CA4237">
        <w:t xml:space="preserve"> </w:t>
      </w:r>
      <w:r>
        <w:t>–</w:t>
      </w:r>
      <w:r w:rsidRPr="00CA4237">
        <w:t xml:space="preserve"> </w:t>
      </w:r>
      <w:r>
        <w:t>Progress of Bill Table</w:t>
      </w:r>
      <w:bookmarkEnd w:id="76"/>
    </w:p>
    <w:p w14:paraId="2B1FF6DD" w14:textId="15EF54FD" w:rsidR="006A756E" w:rsidRPr="006A756E" w:rsidRDefault="006A756E" w:rsidP="00075147">
      <w:pPr>
        <w:pStyle w:val="ParaNumbered"/>
        <w:ind w:left="714" w:hanging="357"/>
      </w:pPr>
      <w:r w:rsidRPr="006A756E">
        <w:t>This Annex shows how each section of th</w:t>
      </w:r>
      <w:r w:rsidR="008D0652">
        <w:t>is</w:t>
      </w:r>
      <w:r w:rsidRPr="006A756E">
        <w:t xml:space="preserve"> Act was numbered during the passage of the Bill through Parliament. </w:t>
      </w:r>
    </w:p>
    <w:tbl>
      <w:tblPr>
        <w:tblStyle w:val="ENGeneralTable1"/>
        <w:tblW w:w="0" w:type="auto"/>
        <w:tblInd w:w="0" w:type="dxa"/>
        <w:tblLook w:val="04A0" w:firstRow="1" w:lastRow="0" w:firstColumn="1" w:lastColumn="0" w:noHBand="0" w:noVBand="1"/>
      </w:tblPr>
      <w:tblGrid>
        <w:gridCol w:w="2251"/>
        <w:gridCol w:w="2270"/>
        <w:gridCol w:w="2270"/>
        <w:gridCol w:w="2270"/>
      </w:tblGrid>
      <w:tr w:rsidR="006A756E" w:rsidRPr="00A66388" w14:paraId="0CD26B90" w14:textId="77777777" w:rsidTr="0002263B">
        <w:trPr>
          <w:cnfStyle w:val="100000000000" w:firstRow="1" w:lastRow="0" w:firstColumn="0" w:lastColumn="0" w:oddVBand="0" w:evenVBand="0" w:oddHBand="0" w:evenHBand="0" w:firstRowFirstColumn="0" w:firstRowLastColumn="0" w:lastRowFirstColumn="0" w:lastRowLastColumn="0"/>
          <w:trHeight w:val="889"/>
          <w:tblHeader/>
        </w:trPr>
        <w:tc>
          <w:tcPr>
            <w:tcW w:w="2360" w:type="dxa"/>
            <w:tcBorders>
              <w:top w:val="single" w:sz="4" w:space="0" w:color="0070C0"/>
              <w:left w:val="single" w:sz="4" w:space="0" w:color="0070C0"/>
              <w:bottom w:val="single" w:sz="4" w:space="0" w:color="0070C0"/>
              <w:right w:val="single" w:sz="4" w:space="0" w:color="0070C0"/>
            </w:tcBorders>
            <w:hideMark/>
          </w:tcPr>
          <w:p w14:paraId="504F8298" w14:textId="77777777" w:rsidR="006A756E" w:rsidRPr="00A66388" w:rsidRDefault="006A756E" w:rsidP="0002263B">
            <w:pPr>
              <w:spacing w:after="120" w:line="240" w:lineRule="atLeast"/>
              <w:rPr>
                <w:rFonts w:cs="PalatinoLinotype-Bold"/>
                <w:bCs/>
                <w:szCs w:val="20"/>
                <w:lang w:val="en-US"/>
              </w:rPr>
            </w:pPr>
            <w:r w:rsidRPr="00A66388">
              <w:rPr>
                <w:rFonts w:cs="PalatinoLinotype-Bold"/>
                <w:bCs/>
                <w:szCs w:val="20"/>
              </w:rPr>
              <w:t>Section of the Act</w:t>
            </w:r>
          </w:p>
        </w:tc>
        <w:tc>
          <w:tcPr>
            <w:tcW w:w="2361" w:type="dxa"/>
            <w:tcBorders>
              <w:top w:val="single" w:sz="4" w:space="0" w:color="0070C0"/>
              <w:left w:val="single" w:sz="4" w:space="0" w:color="0070C0"/>
              <w:bottom w:val="single" w:sz="4" w:space="0" w:color="0070C0"/>
              <w:right w:val="single" w:sz="4" w:space="0" w:color="0070C0"/>
            </w:tcBorders>
            <w:hideMark/>
          </w:tcPr>
          <w:p w14:paraId="1551ED0B" w14:textId="77777777" w:rsidR="006A756E" w:rsidRPr="00A66388" w:rsidRDefault="006A756E" w:rsidP="0002263B">
            <w:pPr>
              <w:spacing w:after="120" w:line="240" w:lineRule="atLeast"/>
              <w:rPr>
                <w:rFonts w:cs="PalatinoLinotype-Bold"/>
                <w:bCs/>
                <w:szCs w:val="20"/>
              </w:rPr>
            </w:pPr>
            <w:r w:rsidRPr="00A66388">
              <w:rPr>
                <w:rFonts w:cs="PalatinoLinotype-Bold"/>
                <w:bCs/>
                <w:szCs w:val="20"/>
              </w:rPr>
              <w:t xml:space="preserve">Bill as </w:t>
            </w:r>
            <w:r>
              <w:rPr>
                <w:rFonts w:cs="PalatinoLinotype-Bold"/>
                <w:bCs/>
                <w:szCs w:val="20"/>
              </w:rPr>
              <w:t>i</w:t>
            </w:r>
            <w:r w:rsidRPr="00A66388">
              <w:rPr>
                <w:rFonts w:cs="PalatinoLinotype-Bold"/>
                <w:bCs/>
                <w:szCs w:val="20"/>
              </w:rPr>
              <w:t xml:space="preserve">ntroduced in the </w:t>
            </w:r>
            <w:r>
              <w:rPr>
                <w:rFonts w:cs="PalatinoLinotype-Bold"/>
                <w:bCs/>
                <w:szCs w:val="20"/>
              </w:rPr>
              <w:t>Lords</w:t>
            </w:r>
          </w:p>
        </w:tc>
        <w:tc>
          <w:tcPr>
            <w:tcW w:w="2361" w:type="dxa"/>
            <w:tcBorders>
              <w:top w:val="single" w:sz="4" w:space="0" w:color="0070C0"/>
              <w:left w:val="single" w:sz="4" w:space="0" w:color="0070C0"/>
              <w:bottom w:val="single" w:sz="4" w:space="0" w:color="0070C0"/>
              <w:right w:val="single" w:sz="4" w:space="0" w:color="0070C0"/>
            </w:tcBorders>
            <w:hideMark/>
          </w:tcPr>
          <w:p w14:paraId="02FF8116" w14:textId="77777777" w:rsidR="006A756E" w:rsidRPr="00A66388" w:rsidRDefault="006A756E" w:rsidP="0002263B">
            <w:pPr>
              <w:spacing w:after="120" w:line="240" w:lineRule="atLeast"/>
              <w:rPr>
                <w:rFonts w:cs="PalatinoLinotype-Bold"/>
                <w:bCs/>
                <w:szCs w:val="20"/>
              </w:rPr>
            </w:pPr>
            <w:r w:rsidRPr="00A66388">
              <w:rPr>
                <w:rFonts w:cs="PalatinoLinotype-Bold"/>
                <w:bCs/>
                <w:szCs w:val="20"/>
              </w:rPr>
              <w:t xml:space="preserve">Bill as amended in Committee in the </w:t>
            </w:r>
            <w:r>
              <w:rPr>
                <w:rFonts w:cs="PalatinoLinotype-Bold"/>
                <w:bCs/>
                <w:szCs w:val="20"/>
              </w:rPr>
              <w:t>Lords</w:t>
            </w:r>
            <w:r w:rsidRPr="00A66388">
              <w:rPr>
                <w:rFonts w:cs="PalatinoLinotype-Bold"/>
                <w:bCs/>
                <w:szCs w:val="20"/>
              </w:rPr>
              <w:t xml:space="preserve"> </w:t>
            </w:r>
          </w:p>
        </w:tc>
        <w:tc>
          <w:tcPr>
            <w:tcW w:w="2361" w:type="dxa"/>
            <w:tcBorders>
              <w:top w:val="single" w:sz="4" w:space="0" w:color="0070C0"/>
              <w:left w:val="single" w:sz="4" w:space="0" w:color="0070C0"/>
              <w:bottom w:val="single" w:sz="4" w:space="0" w:color="0070C0"/>
              <w:right w:val="single" w:sz="4" w:space="0" w:color="0070C0"/>
            </w:tcBorders>
            <w:hideMark/>
          </w:tcPr>
          <w:p w14:paraId="1F07E46A" w14:textId="77777777" w:rsidR="006A756E" w:rsidRPr="00A66388" w:rsidRDefault="006A756E" w:rsidP="0002263B">
            <w:pPr>
              <w:spacing w:after="120" w:line="240" w:lineRule="atLeast"/>
              <w:rPr>
                <w:rFonts w:cs="PalatinoLinotype-Bold"/>
                <w:bCs/>
                <w:szCs w:val="20"/>
              </w:rPr>
            </w:pPr>
            <w:r w:rsidRPr="00A66388">
              <w:rPr>
                <w:rFonts w:cs="PalatinoLinotype-Bold"/>
                <w:bCs/>
                <w:szCs w:val="20"/>
              </w:rPr>
              <w:t xml:space="preserve">Bill as introduced in the </w:t>
            </w:r>
            <w:r>
              <w:rPr>
                <w:rFonts w:cs="PalatinoLinotype-Bold"/>
                <w:bCs/>
                <w:szCs w:val="20"/>
              </w:rPr>
              <w:t>Commons</w:t>
            </w:r>
          </w:p>
        </w:tc>
      </w:tr>
      <w:tr w:rsidR="006A756E" w:rsidRPr="00A66388" w14:paraId="18D15083"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7F752E81"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1</w:t>
            </w:r>
          </w:p>
        </w:tc>
        <w:tc>
          <w:tcPr>
            <w:tcW w:w="2361" w:type="dxa"/>
            <w:tcBorders>
              <w:top w:val="single" w:sz="4" w:space="0" w:color="0070C0"/>
              <w:left w:val="single" w:sz="4" w:space="0" w:color="0070C0"/>
              <w:bottom w:val="single" w:sz="4" w:space="0" w:color="0070C0"/>
              <w:right w:val="single" w:sz="4" w:space="0" w:color="0070C0"/>
            </w:tcBorders>
            <w:hideMark/>
          </w:tcPr>
          <w:p w14:paraId="4D85F7BC"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p>
        </w:tc>
        <w:tc>
          <w:tcPr>
            <w:tcW w:w="2361" w:type="dxa"/>
            <w:tcBorders>
              <w:top w:val="single" w:sz="4" w:space="0" w:color="0070C0"/>
              <w:left w:val="single" w:sz="4" w:space="0" w:color="0070C0"/>
              <w:bottom w:val="single" w:sz="4" w:space="0" w:color="0070C0"/>
              <w:right w:val="single" w:sz="4" w:space="0" w:color="0070C0"/>
            </w:tcBorders>
            <w:hideMark/>
          </w:tcPr>
          <w:p w14:paraId="277DBE4A"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p>
        </w:tc>
        <w:tc>
          <w:tcPr>
            <w:tcW w:w="2361" w:type="dxa"/>
            <w:tcBorders>
              <w:top w:val="single" w:sz="4" w:space="0" w:color="0070C0"/>
              <w:left w:val="single" w:sz="4" w:space="0" w:color="0070C0"/>
              <w:bottom w:val="single" w:sz="4" w:space="0" w:color="0070C0"/>
              <w:right w:val="single" w:sz="4" w:space="0" w:color="0070C0"/>
            </w:tcBorders>
            <w:hideMark/>
          </w:tcPr>
          <w:p w14:paraId="1DF9F24E"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p>
        </w:tc>
      </w:tr>
      <w:tr w:rsidR="006A756E" w:rsidRPr="00A66388" w14:paraId="6E072732" w14:textId="77777777" w:rsidTr="0002263B">
        <w:trPr>
          <w:trHeight w:val="368"/>
        </w:trPr>
        <w:tc>
          <w:tcPr>
            <w:tcW w:w="2360" w:type="dxa"/>
            <w:tcBorders>
              <w:top w:val="single" w:sz="4" w:space="0" w:color="0070C0"/>
              <w:left w:val="single" w:sz="4" w:space="0" w:color="0070C0"/>
              <w:bottom w:val="single" w:sz="4" w:space="0" w:color="0070C0"/>
              <w:right w:val="single" w:sz="4" w:space="0" w:color="0070C0"/>
            </w:tcBorders>
            <w:hideMark/>
          </w:tcPr>
          <w:p w14:paraId="310A7194"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2</w:t>
            </w:r>
          </w:p>
        </w:tc>
        <w:tc>
          <w:tcPr>
            <w:tcW w:w="2361" w:type="dxa"/>
            <w:tcBorders>
              <w:top w:val="single" w:sz="4" w:space="0" w:color="0070C0"/>
              <w:left w:val="single" w:sz="4" w:space="0" w:color="0070C0"/>
              <w:bottom w:val="single" w:sz="4" w:space="0" w:color="0070C0"/>
              <w:right w:val="single" w:sz="4" w:space="0" w:color="0070C0"/>
            </w:tcBorders>
            <w:hideMark/>
          </w:tcPr>
          <w:p w14:paraId="78B4193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2</w:t>
            </w:r>
          </w:p>
        </w:tc>
        <w:tc>
          <w:tcPr>
            <w:tcW w:w="2361" w:type="dxa"/>
            <w:tcBorders>
              <w:top w:val="single" w:sz="4" w:space="0" w:color="0070C0"/>
              <w:left w:val="single" w:sz="4" w:space="0" w:color="0070C0"/>
              <w:bottom w:val="single" w:sz="4" w:space="0" w:color="0070C0"/>
              <w:right w:val="single" w:sz="4" w:space="0" w:color="0070C0"/>
            </w:tcBorders>
            <w:hideMark/>
          </w:tcPr>
          <w:p w14:paraId="303987F7"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2</w:t>
            </w:r>
          </w:p>
        </w:tc>
        <w:tc>
          <w:tcPr>
            <w:tcW w:w="2361" w:type="dxa"/>
            <w:tcBorders>
              <w:top w:val="single" w:sz="4" w:space="0" w:color="0070C0"/>
              <w:left w:val="single" w:sz="4" w:space="0" w:color="0070C0"/>
              <w:bottom w:val="single" w:sz="4" w:space="0" w:color="0070C0"/>
              <w:right w:val="single" w:sz="4" w:space="0" w:color="0070C0"/>
            </w:tcBorders>
            <w:hideMark/>
          </w:tcPr>
          <w:p w14:paraId="2A21CECC"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2</w:t>
            </w:r>
          </w:p>
        </w:tc>
      </w:tr>
      <w:tr w:rsidR="006A756E" w:rsidRPr="00A66388" w14:paraId="215D7993"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2377A71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3</w:t>
            </w:r>
          </w:p>
        </w:tc>
        <w:tc>
          <w:tcPr>
            <w:tcW w:w="2361" w:type="dxa"/>
            <w:tcBorders>
              <w:top w:val="single" w:sz="4" w:space="0" w:color="0070C0"/>
              <w:left w:val="single" w:sz="4" w:space="0" w:color="0070C0"/>
              <w:bottom w:val="single" w:sz="4" w:space="0" w:color="0070C0"/>
              <w:right w:val="single" w:sz="4" w:space="0" w:color="0070C0"/>
            </w:tcBorders>
            <w:hideMark/>
          </w:tcPr>
          <w:p w14:paraId="405310C6"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3</w:t>
            </w:r>
          </w:p>
        </w:tc>
        <w:tc>
          <w:tcPr>
            <w:tcW w:w="2361" w:type="dxa"/>
            <w:tcBorders>
              <w:top w:val="single" w:sz="4" w:space="0" w:color="0070C0"/>
              <w:left w:val="single" w:sz="4" w:space="0" w:color="0070C0"/>
              <w:bottom w:val="single" w:sz="4" w:space="0" w:color="0070C0"/>
              <w:right w:val="single" w:sz="4" w:space="0" w:color="0070C0"/>
            </w:tcBorders>
            <w:hideMark/>
          </w:tcPr>
          <w:p w14:paraId="4DB764D4"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3</w:t>
            </w:r>
          </w:p>
        </w:tc>
        <w:tc>
          <w:tcPr>
            <w:tcW w:w="2361" w:type="dxa"/>
            <w:tcBorders>
              <w:top w:val="single" w:sz="4" w:space="0" w:color="0070C0"/>
              <w:left w:val="single" w:sz="4" w:space="0" w:color="0070C0"/>
              <w:bottom w:val="single" w:sz="4" w:space="0" w:color="0070C0"/>
              <w:right w:val="single" w:sz="4" w:space="0" w:color="0070C0"/>
            </w:tcBorders>
            <w:hideMark/>
          </w:tcPr>
          <w:p w14:paraId="0FA3FE3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3</w:t>
            </w:r>
          </w:p>
        </w:tc>
      </w:tr>
      <w:tr w:rsidR="006A756E" w:rsidRPr="00A66388" w14:paraId="2C40C71C"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1A0DC935"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4</w:t>
            </w:r>
          </w:p>
        </w:tc>
        <w:tc>
          <w:tcPr>
            <w:tcW w:w="2361" w:type="dxa"/>
            <w:tcBorders>
              <w:top w:val="single" w:sz="4" w:space="0" w:color="0070C0"/>
              <w:left w:val="single" w:sz="4" w:space="0" w:color="0070C0"/>
              <w:bottom w:val="single" w:sz="4" w:space="0" w:color="0070C0"/>
              <w:right w:val="single" w:sz="4" w:space="0" w:color="0070C0"/>
            </w:tcBorders>
            <w:hideMark/>
          </w:tcPr>
          <w:p w14:paraId="1DECB0B3"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4</w:t>
            </w:r>
          </w:p>
        </w:tc>
        <w:tc>
          <w:tcPr>
            <w:tcW w:w="2361" w:type="dxa"/>
            <w:tcBorders>
              <w:top w:val="single" w:sz="4" w:space="0" w:color="0070C0"/>
              <w:left w:val="single" w:sz="4" w:space="0" w:color="0070C0"/>
              <w:bottom w:val="single" w:sz="4" w:space="0" w:color="0070C0"/>
              <w:right w:val="single" w:sz="4" w:space="0" w:color="0070C0"/>
            </w:tcBorders>
            <w:hideMark/>
          </w:tcPr>
          <w:p w14:paraId="1C439095"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4</w:t>
            </w:r>
          </w:p>
        </w:tc>
        <w:tc>
          <w:tcPr>
            <w:tcW w:w="2361" w:type="dxa"/>
            <w:tcBorders>
              <w:top w:val="single" w:sz="4" w:space="0" w:color="0070C0"/>
              <w:left w:val="single" w:sz="4" w:space="0" w:color="0070C0"/>
              <w:bottom w:val="single" w:sz="4" w:space="0" w:color="0070C0"/>
              <w:right w:val="single" w:sz="4" w:space="0" w:color="0070C0"/>
            </w:tcBorders>
            <w:hideMark/>
          </w:tcPr>
          <w:p w14:paraId="670E5787"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4</w:t>
            </w:r>
          </w:p>
        </w:tc>
      </w:tr>
      <w:tr w:rsidR="006A756E" w:rsidRPr="00A66388" w14:paraId="6FD9C63A"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4C235AA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5</w:t>
            </w:r>
          </w:p>
        </w:tc>
        <w:tc>
          <w:tcPr>
            <w:tcW w:w="2361" w:type="dxa"/>
            <w:tcBorders>
              <w:top w:val="single" w:sz="4" w:space="0" w:color="0070C0"/>
              <w:left w:val="single" w:sz="4" w:space="0" w:color="0070C0"/>
              <w:bottom w:val="single" w:sz="4" w:space="0" w:color="0070C0"/>
              <w:right w:val="single" w:sz="4" w:space="0" w:color="0070C0"/>
            </w:tcBorders>
            <w:hideMark/>
          </w:tcPr>
          <w:p w14:paraId="035AB96E"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5</w:t>
            </w:r>
          </w:p>
        </w:tc>
        <w:tc>
          <w:tcPr>
            <w:tcW w:w="2361" w:type="dxa"/>
            <w:tcBorders>
              <w:top w:val="single" w:sz="4" w:space="0" w:color="0070C0"/>
              <w:left w:val="single" w:sz="4" w:space="0" w:color="0070C0"/>
              <w:bottom w:val="single" w:sz="4" w:space="0" w:color="0070C0"/>
              <w:right w:val="single" w:sz="4" w:space="0" w:color="0070C0"/>
            </w:tcBorders>
            <w:hideMark/>
          </w:tcPr>
          <w:p w14:paraId="4A8859D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5</w:t>
            </w:r>
          </w:p>
        </w:tc>
        <w:tc>
          <w:tcPr>
            <w:tcW w:w="2361" w:type="dxa"/>
            <w:tcBorders>
              <w:top w:val="single" w:sz="4" w:space="0" w:color="0070C0"/>
              <w:left w:val="single" w:sz="4" w:space="0" w:color="0070C0"/>
              <w:bottom w:val="single" w:sz="4" w:space="0" w:color="0070C0"/>
              <w:right w:val="single" w:sz="4" w:space="0" w:color="0070C0"/>
            </w:tcBorders>
            <w:hideMark/>
          </w:tcPr>
          <w:p w14:paraId="6BECA098"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5</w:t>
            </w:r>
          </w:p>
        </w:tc>
      </w:tr>
      <w:tr w:rsidR="006A756E" w:rsidRPr="00A66388" w14:paraId="61CECC61" w14:textId="77777777" w:rsidTr="0002263B">
        <w:trPr>
          <w:trHeight w:val="368"/>
        </w:trPr>
        <w:tc>
          <w:tcPr>
            <w:tcW w:w="2360" w:type="dxa"/>
            <w:tcBorders>
              <w:top w:val="single" w:sz="4" w:space="0" w:color="0070C0"/>
              <w:left w:val="single" w:sz="4" w:space="0" w:color="0070C0"/>
              <w:bottom w:val="single" w:sz="4" w:space="0" w:color="0070C0"/>
              <w:right w:val="single" w:sz="4" w:space="0" w:color="0070C0"/>
            </w:tcBorders>
            <w:hideMark/>
          </w:tcPr>
          <w:p w14:paraId="10968533"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6</w:t>
            </w:r>
          </w:p>
        </w:tc>
        <w:tc>
          <w:tcPr>
            <w:tcW w:w="2361" w:type="dxa"/>
            <w:tcBorders>
              <w:top w:val="single" w:sz="4" w:space="0" w:color="0070C0"/>
              <w:left w:val="single" w:sz="4" w:space="0" w:color="0070C0"/>
              <w:bottom w:val="single" w:sz="4" w:space="0" w:color="0070C0"/>
              <w:right w:val="single" w:sz="4" w:space="0" w:color="0070C0"/>
            </w:tcBorders>
          </w:tcPr>
          <w:p w14:paraId="7980BF2E" w14:textId="77777777" w:rsidR="006A756E" w:rsidRPr="00A66388" w:rsidRDefault="006A756E" w:rsidP="0002263B">
            <w:pPr>
              <w:spacing w:after="120" w:line="240" w:lineRule="atLeast"/>
              <w:rPr>
                <w:rFonts w:cs="HelveticaNeue"/>
                <w:szCs w:val="20"/>
                <w:lang w:val="en-US"/>
              </w:rPr>
            </w:pPr>
            <w:r>
              <w:rPr>
                <w:rFonts w:cs="HelveticaNeue"/>
                <w:szCs w:val="20"/>
                <w:lang w:val="en-US"/>
              </w:rPr>
              <w:t xml:space="preserve">Clause 6 </w:t>
            </w:r>
          </w:p>
        </w:tc>
        <w:tc>
          <w:tcPr>
            <w:tcW w:w="2361" w:type="dxa"/>
            <w:tcBorders>
              <w:top w:val="single" w:sz="4" w:space="0" w:color="0070C0"/>
              <w:left w:val="single" w:sz="4" w:space="0" w:color="0070C0"/>
              <w:bottom w:val="single" w:sz="4" w:space="0" w:color="0070C0"/>
              <w:right w:val="single" w:sz="4" w:space="0" w:color="0070C0"/>
            </w:tcBorders>
          </w:tcPr>
          <w:p w14:paraId="5B3336C1"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6</w:t>
            </w:r>
          </w:p>
        </w:tc>
        <w:tc>
          <w:tcPr>
            <w:tcW w:w="2361" w:type="dxa"/>
            <w:tcBorders>
              <w:top w:val="single" w:sz="4" w:space="0" w:color="0070C0"/>
              <w:left w:val="single" w:sz="4" w:space="0" w:color="0070C0"/>
              <w:bottom w:val="single" w:sz="4" w:space="0" w:color="0070C0"/>
              <w:right w:val="single" w:sz="4" w:space="0" w:color="0070C0"/>
            </w:tcBorders>
          </w:tcPr>
          <w:p w14:paraId="56C86B72"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6</w:t>
            </w:r>
          </w:p>
        </w:tc>
      </w:tr>
      <w:tr w:rsidR="006A756E" w:rsidRPr="00A66388" w14:paraId="687A1A84"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55838884"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7</w:t>
            </w:r>
          </w:p>
        </w:tc>
        <w:tc>
          <w:tcPr>
            <w:tcW w:w="2361" w:type="dxa"/>
            <w:tcBorders>
              <w:top w:val="single" w:sz="4" w:space="0" w:color="0070C0"/>
              <w:left w:val="single" w:sz="4" w:space="0" w:color="0070C0"/>
              <w:bottom w:val="single" w:sz="4" w:space="0" w:color="0070C0"/>
              <w:right w:val="single" w:sz="4" w:space="0" w:color="0070C0"/>
            </w:tcBorders>
          </w:tcPr>
          <w:p w14:paraId="321923A5" w14:textId="77777777" w:rsidR="006A756E" w:rsidRPr="00A66388" w:rsidRDefault="006A756E" w:rsidP="0002263B">
            <w:pPr>
              <w:spacing w:after="120" w:line="240" w:lineRule="atLeast"/>
              <w:rPr>
                <w:rFonts w:cs="HelveticaNeue"/>
                <w:szCs w:val="20"/>
                <w:lang w:val="en-US"/>
              </w:rPr>
            </w:pPr>
            <w:r>
              <w:rPr>
                <w:rFonts w:cs="HelveticaNeue"/>
                <w:szCs w:val="20"/>
                <w:lang w:val="en-US"/>
              </w:rPr>
              <w:t xml:space="preserve">Clause 7 </w:t>
            </w:r>
          </w:p>
        </w:tc>
        <w:tc>
          <w:tcPr>
            <w:tcW w:w="2361" w:type="dxa"/>
            <w:tcBorders>
              <w:top w:val="single" w:sz="4" w:space="0" w:color="0070C0"/>
              <w:left w:val="single" w:sz="4" w:space="0" w:color="0070C0"/>
              <w:bottom w:val="single" w:sz="4" w:space="0" w:color="0070C0"/>
              <w:right w:val="single" w:sz="4" w:space="0" w:color="0070C0"/>
            </w:tcBorders>
          </w:tcPr>
          <w:p w14:paraId="097935CE"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7</w:t>
            </w:r>
          </w:p>
        </w:tc>
        <w:tc>
          <w:tcPr>
            <w:tcW w:w="2361" w:type="dxa"/>
            <w:tcBorders>
              <w:top w:val="single" w:sz="4" w:space="0" w:color="0070C0"/>
              <w:left w:val="single" w:sz="4" w:space="0" w:color="0070C0"/>
              <w:bottom w:val="single" w:sz="4" w:space="0" w:color="0070C0"/>
              <w:right w:val="single" w:sz="4" w:space="0" w:color="0070C0"/>
            </w:tcBorders>
          </w:tcPr>
          <w:p w14:paraId="0A11D08B"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7</w:t>
            </w:r>
          </w:p>
        </w:tc>
      </w:tr>
      <w:tr w:rsidR="006A756E" w:rsidRPr="00A66388" w14:paraId="61D1E557"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2F5838BC"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8</w:t>
            </w:r>
          </w:p>
        </w:tc>
        <w:tc>
          <w:tcPr>
            <w:tcW w:w="2361" w:type="dxa"/>
            <w:tcBorders>
              <w:top w:val="single" w:sz="4" w:space="0" w:color="0070C0"/>
              <w:left w:val="single" w:sz="4" w:space="0" w:color="0070C0"/>
              <w:bottom w:val="single" w:sz="4" w:space="0" w:color="0070C0"/>
              <w:right w:val="single" w:sz="4" w:space="0" w:color="0070C0"/>
            </w:tcBorders>
          </w:tcPr>
          <w:p w14:paraId="668544A9"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8</w:t>
            </w:r>
          </w:p>
        </w:tc>
        <w:tc>
          <w:tcPr>
            <w:tcW w:w="2361" w:type="dxa"/>
            <w:tcBorders>
              <w:top w:val="single" w:sz="4" w:space="0" w:color="0070C0"/>
              <w:left w:val="single" w:sz="4" w:space="0" w:color="0070C0"/>
              <w:bottom w:val="single" w:sz="4" w:space="0" w:color="0070C0"/>
              <w:right w:val="single" w:sz="4" w:space="0" w:color="0070C0"/>
            </w:tcBorders>
          </w:tcPr>
          <w:p w14:paraId="21A7E25C" w14:textId="77777777" w:rsidR="006A756E" w:rsidRPr="00A66388" w:rsidRDefault="006A756E" w:rsidP="0002263B">
            <w:pPr>
              <w:spacing w:after="120" w:line="240" w:lineRule="atLeast"/>
              <w:rPr>
                <w:rFonts w:cs="HelveticaNeue"/>
                <w:szCs w:val="20"/>
                <w:lang w:val="en-US"/>
              </w:rPr>
            </w:pPr>
            <w:r>
              <w:rPr>
                <w:rFonts w:cs="HelveticaNeue"/>
                <w:szCs w:val="20"/>
                <w:lang w:val="en-US"/>
              </w:rPr>
              <w:t xml:space="preserve">Clause 8 </w:t>
            </w:r>
          </w:p>
        </w:tc>
        <w:tc>
          <w:tcPr>
            <w:tcW w:w="2361" w:type="dxa"/>
            <w:tcBorders>
              <w:top w:val="single" w:sz="4" w:space="0" w:color="0070C0"/>
              <w:left w:val="single" w:sz="4" w:space="0" w:color="0070C0"/>
              <w:bottom w:val="single" w:sz="4" w:space="0" w:color="0070C0"/>
              <w:right w:val="single" w:sz="4" w:space="0" w:color="0070C0"/>
            </w:tcBorders>
            <w:hideMark/>
          </w:tcPr>
          <w:p w14:paraId="40A3AA87" w14:textId="77777777" w:rsidR="006A756E" w:rsidRPr="00A66388" w:rsidRDefault="006A756E" w:rsidP="0002263B">
            <w:pPr>
              <w:spacing w:after="120" w:line="240" w:lineRule="atLeast"/>
              <w:rPr>
                <w:rFonts w:cs="HelveticaNeue"/>
                <w:szCs w:val="20"/>
                <w:lang w:val="en-US"/>
              </w:rPr>
            </w:pPr>
            <w:r>
              <w:rPr>
                <w:rFonts w:cs="HelveticaNeue"/>
                <w:szCs w:val="20"/>
                <w:lang w:val="en-US"/>
              </w:rPr>
              <w:t xml:space="preserve">Clause 8 </w:t>
            </w:r>
          </w:p>
        </w:tc>
      </w:tr>
      <w:tr w:rsidR="006A756E" w:rsidRPr="00A66388" w14:paraId="0B252D0C" w14:textId="77777777" w:rsidTr="0002263B">
        <w:trPr>
          <w:trHeight w:val="368"/>
        </w:trPr>
        <w:tc>
          <w:tcPr>
            <w:tcW w:w="2360" w:type="dxa"/>
            <w:tcBorders>
              <w:top w:val="single" w:sz="4" w:space="0" w:color="0070C0"/>
              <w:left w:val="single" w:sz="4" w:space="0" w:color="0070C0"/>
              <w:bottom w:val="single" w:sz="4" w:space="0" w:color="0070C0"/>
              <w:right w:val="single" w:sz="4" w:space="0" w:color="0070C0"/>
            </w:tcBorders>
            <w:hideMark/>
          </w:tcPr>
          <w:p w14:paraId="4C5834D0"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9</w:t>
            </w:r>
          </w:p>
        </w:tc>
        <w:tc>
          <w:tcPr>
            <w:tcW w:w="2361" w:type="dxa"/>
            <w:tcBorders>
              <w:top w:val="single" w:sz="4" w:space="0" w:color="0070C0"/>
              <w:left w:val="single" w:sz="4" w:space="0" w:color="0070C0"/>
              <w:bottom w:val="single" w:sz="4" w:space="0" w:color="0070C0"/>
              <w:right w:val="single" w:sz="4" w:space="0" w:color="0070C0"/>
            </w:tcBorders>
            <w:hideMark/>
          </w:tcPr>
          <w:p w14:paraId="6EEEF337"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9</w:t>
            </w:r>
          </w:p>
        </w:tc>
        <w:tc>
          <w:tcPr>
            <w:tcW w:w="2361" w:type="dxa"/>
            <w:tcBorders>
              <w:top w:val="single" w:sz="4" w:space="0" w:color="0070C0"/>
              <w:left w:val="single" w:sz="4" w:space="0" w:color="0070C0"/>
              <w:bottom w:val="single" w:sz="4" w:space="0" w:color="0070C0"/>
              <w:right w:val="single" w:sz="4" w:space="0" w:color="0070C0"/>
            </w:tcBorders>
            <w:hideMark/>
          </w:tcPr>
          <w:p w14:paraId="5FF57526"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9</w:t>
            </w:r>
          </w:p>
        </w:tc>
        <w:tc>
          <w:tcPr>
            <w:tcW w:w="2361" w:type="dxa"/>
            <w:tcBorders>
              <w:top w:val="single" w:sz="4" w:space="0" w:color="0070C0"/>
              <w:left w:val="single" w:sz="4" w:space="0" w:color="0070C0"/>
              <w:bottom w:val="single" w:sz="4" w:space="0" w:color="0070C0"/>
              <w:right w:val="single" w:sz="4" w:space="0" w:color="0070C0"/>
            </w:tcBorders>
            <w:hideMark/>
          </w:tcPr>
          <w:p w14:paraId="669C097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9</w:t>
            </w:r>
          </w:p>
        </w:tc>
      </w:tr>
      <w:tr w:rsidR="006A756E" w:rsidRPr="00A66388" w14:paraId="57A7CDDF"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2C3DEC05"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10</w:t>
            </w:r>
          </w:p>
        </w:tc>
        <w:tc>
          <w:tcPr>
            <w:tcW w:w="2361" w:type="dxa"/>
            <w:tcBorders>
              <w:top w:val="single" w:sz="4" w:space="0" w:color="0070C0"/>
              <w:left w:val="single" w:sz="4" w:space="0" w:color="0070C0"/>
              <w:bottom w:val="single" w:sz="4" w:space="0" w:color="0070C0"/>
              <w:right w:val="single" w:sz="4" w:space="0" w:color="0070C0"/>
            </w:tcBorders>
            <w:hideMark/>
          </w:tcPr>
          <w:p w14:paraId="5E943A4E"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10</w:t>
            </w:r>
          </w:p>
        </w:tc>
        <w:tc>
          <w:tcPr>
            <w:tcW w:w="2361" w:type="dxa"/>
            <w:tcBorders>
              <w:top w:val="single" w:sz="4" w:space="0" w:color="0070C0"/>
              <w:left w:val="single" w:sz="4" w:space="0" w:color="0070C0"/>
              <w:bottom w:val="single" w:sz="4" w:space="0" w:color="0070C0"/>
              <w:right w:val="single" w:sz="4" w:space="0" w:color="0070C0"/>
            </w:tcBorders>
            <w:hideMark/>
          </w:tcPr>
          <w:p w14:paraId="778DAEE7"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10</w:t>
            </w:r>
          </w:p>
        </w:tc>
        <w:tc>
          <w:tcPr>
            <w:tcW w:w="2361" w:type="dxa"/>
            <w:tcBorders>
              <w:top w:val="single" w:sz="4" w:space="0" w:color="0070C0"/>
              <w:left w:val="single" w:sz="4" w:space="0" w:color="0070C0"/>
              <w:bottom w:val="single" w:sz="4" w:space="0" w:color="0070C0"/>
              <w:right w:val="single" w:sz="4" w:space="0" w:color="0070C0"/>
            </w:tcBorders>
            <w:hideMark/>
          </w:tcPr>
          <w:p w14:paraId="117BDBB1"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10</w:t>
            </w:r>
          </w:p>
        </w:tc>
      </w:tr>
      <w:tr w:rsidR="006A756E" w:rsidRPr="00A66388" w14:paraId="748ED5E0"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5B91C32B"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11</w:t>
            </w:r>
          </w:p>
        </w:tc>
        <w:tc>
          <w:tcPr>
            <w:tcW w:w="2361" w:type="dxa"/>
            <w:tcBorders>
              <w:top w:val="single" w:sz="4" w:space="0" w:color="0070C0"/>
              <w:left w:val="single" w:sz="4" w:space="0" w:color="0070C0"/>
              <w:bottom w:val="single" w:sz="4" w:space="0" w:color="0070C0"/>
              <w:right w:val="single" w:sz="4" w:space="0" w:color="0070C0"/>
            </w:tcBorders>
            <w:hideMark/>
          </w:tcPr>
          <w:p w14:paraId="01F93CB0"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11</w:t>
            </w:r>
          </w:p>
        </w:tc>
        <w:tc>
          <w:tcPr>
            <w:tcW w:w="2361" w:type="dxa"/>
            <w:tcBorders>
              <w:top w:val="single" w:sz="4" w:space="0" w:color="0070C0"/>
              <w:left w:val="single" w:sz="4" w:space="0" w:color="0070C0"/>
              <w:bottom w:val="single" w:sz="4" w:space="0" w:color="0070C0"/>
              <w:right w:val="single" w:sz="4" w:space="0" w:color="0070C0"/>
            </w:tcBorders>
            <w:hideMark/>
          </w:tcPr>
          <w:p w14:paraId="5199ED46"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11</w:t>
            </w:r>
          </w:p>
        </w:tc>
        <w:tc>
          <w:tcPr>
            <w:tcW w:w="2361" w:type="dxa"/>
            <w:tcBorders>
              <w:top w:val="single" w:sz="4" w:space="0" w:color="0070C0"/>
              <w:left w:val="single" w:sz="4" w:space="0" w:color="0070C0"/>
              <w:bottom w:val="single" w:sz="4" w:space="0" w:color="0070C0"/>
              <w:right w:val="single" w:sz="4" w:space="0" w:color="0070C0"/>
            </w:tcBorders>
            <w:hideMark/>
          </w:tcPr>
          <w:p w14:paraId="19307F42"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11</w:t>
            </w:r>
          </w:p>
        </w:tc>
      </w:tr>
      <w:tr w:rsidR="006A756E" w:rsidRPr="00A66388" w14:paraId="47776A3A" w14:textId="77777777" w:rsidTr="0002263B">
        <w:trPr>
          <w:trHeight w:val="368"/>
        </w:trPr>
        <w:tc>
          <w:tcPr>
            <w:tcW w:w="2360" w:type="dxa"/>
            <w:tcBorders>
              <w:top w:val="single" w:sz="4" w:space="0" w:color="0070C0"/>
              <w:left w:val="single" w:sz="4" w:space="0" w:color="0070C0"/>
              <w:bottom w:val="single" w:sz="4" w:space="0" w:color="0070C0"/>
              <w:right w:val="single" w:sz="4" w:space="0" w:color="0070C0"/>
            </w:tcBorders>
            <w:hideMark/>
          </w:tcPr>
          <w:p w14:paraId="26AFD67B"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12</w:t>
            </w:r>
          </w:p>
        </w:tc>
        <w:tc>
          <w:tcPr>
            <w:tcW w:w="2361" w:type="dxa"/>
            <w:tcBorders>
              <w:top w:val="single" w:sz="4" w:space="0" w:color="0070C0"/>
              <w:left w:val="single" w:sz="4" w:space="0" w:color="0070C0"/>
              <w:bottom w:val="single" w:sz="4" w:space="0" w:color="0070C0"/>
              <w:right w:val="single" w:sz="4" w:space="0" w:color="0070C0"/>
            </w:tcBorders>
            <w:hideMark/>
          </w:tcPr>
          <w:p w14:paraId="42C3F9E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12</w:t>
            </w:r>
          </w:p>
        </w:tc>
        <w:tc>
          <w:tcPr>
            <w:tcW w:w="2361" w:type="dxa"/>
            <w:tcBorders>
              <w:top w:val="single" w:sz="4" w:space="0" w:color="0070C0"/>
              <w:left w:val="single" w:sz="4" w:space="0" w:color="0070C0"/>
              <w:bottom w:val="single" w:sz="4" w:space="0" w:color="0070C0"/>
              <w:right w:val="single" w:sz="4" w:space="0" w:color="0070C0"/>
            </w:tcBorders>
            <w:hideMark/>
          </w:tcPr>
          <w:p w14:paraId="73582A13"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12</w:t>
            </w:r>
          </w:p>
        </w:tc>
        <w:tc>
          <w:tcPr>
            <w:tcW w:w="2361" w:type="dxa"/>
            <w:tcBorders>
              <w:top w:val="single" w:sz="4" w:space="0" w:color="0070C0"/>
              <w:left w:val="single" w:sz="4" w:space="0" w:color="0070C0"/>
              <w:bottom w:val="single" w:sz="4" w:space="0" w:color="0070C0"/>
              <w:right w:val="single" w:sz="4" w:space="0" w:color="0070C0"/>
            </w:tcBorders>
            <w:hideMark/>
          </w:tcPr>
          <w:p w14:paraId="18531C75"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 xml:space="preserve">Clause </w:t>
            </w:r>
            <w:r>
              <w:rPr>
                <w:rFonts w:cs="HelveticaNeue"/>
                <w:szCs w:val="20"/>
                <w:lang w:val="en-US"/>
              </w:rPr>
              <w:t>12</w:t>
            </w:r>
          </w:p>
        </w:tc>
      </w:tr>
      <w:tr w:rsidR="006A756E" w:rsidRPr="00A66388" w14:paraId="1AD97A93"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4B3315FA"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13</w:t>
            </w:r>
          </w:p>
        </w:tc>
        <w:tc>
          <w:tcPr>
            <w:tcW w:w="2361" w:type="dxa"/>
            <w:tcBorders>
              <w:top w:val="single" w:sz="4" w:space="0" w:color="0070C0"/>
              <w:left w:val="single" w:sz="4" w:space="0" w:color="0070C0"/>
              <w:bottom w:val="single" w:sz="4" w:space="0" w:color="0070C0"/>
              <w:right w:val="single" w:sz="4" w:space="0" w:color="0070C0"/>
            </w:tcBorders>
            <w:hideMark/>
          </w:tcPr>
          <w:p w14:paraId="01DEE8AC"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r>
              <w:rPr>
                <w:rFonts w:cs="HelveticaNeue"/>
                <w:szCs w:val="20"/>
                <w:lang w:val="en-US"/>
              </w:rPr>
              <w:t>3</w:t>
            </w:r>
          </w:p>
        </w:tc>
        <w:tc>
          <w:tcPr>
            <w:tcW w:w="2361" w:type="dxa"/>
            <w:tcBorders>
              <w:top w:val="single" w:sz="4" w:space="0" w:color="0070C0"/>
              <w:left w:val="single" w:sz="4" w:space="0" w:color="0070C0"/>
              <w:bottom w:val="single" w:sz="4" w:space="0" w:color="0070C0"/>
              <w:right w:val="single" w:sz="4" w:space="0" w:color="0070C0"/>
            </w:tcBorders>
            <w:hideMark/>
          </w:tcPr>
          <w:p w14:paraId="5F90C195"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r>
              <w:rPr>
                <w:rFonts w:cs="HelveticaNeue"/>
                <w:szCs w:val="20"/>
                <w:lang w:val="en-US"/>
              </w:rPr>
              <w:t>3</w:t>
            </w:r>
          </w:p>
        </w:tc>
        <w:tc>
          <w:tcPr>
            <w:tcW w:w="2361" w:type="dxa"/>
            <w:tcBorders>
              <w:top w:val="single" w:sz="4" w:space="0" w:color="0070C0"/>
              <w:left w:val="single" w:sz="4" w:space="0" w:color="0070C0"/>
              <w:bottom w:val="single" w:sz="4" w:space="0" w:color="0070C0"/>
              <w:right w:val="single" w:sz="4" w:space="0" w:color="0070C0"/>
            </w:tcBorders>
            <w:hideMark/>
          </w:tcPr>
          <w:p w14:paraId="4F5F6CB0"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r>
              <w:rPr>
                <w:rFonts w:cs="HelveticaNeue"/>
                <w:szCs w:val="20"/>
                <w:lang w:val="en-US"/>
              </w:rPr>
              <w:t>3</w:t>
            </w:r>
          </w:p>
        </w:tc>
      </w:tr>
      <w:tr w:rsidR="006A756E" w:rsidRPr="00A66388" w14:paraId="18FEDC53"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24401CB1"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Section 14</w:t>
            </w:r>
          </w:p>
        </w:tc>
        <w:tc>
          <w:tcPr>
            <w:tcW w:w="2361" w:type="dxa"/>
            <w:tcBorders>
              <w:top w:val="single" w:sz="4" w:space="0" w:color="0070C0"/>
              <w:left w:val="single" w:sz="4" w:space="0" w:color="0070C0"/>
              <w:bottom w:val="single" w:sz="4" w:space="0" w:color="0070C0"/>
              <w:right w:val="single" w:sz="4" w:space="0" w:color="0070C0"/>
            </w:tcBorders>
            <w:hideMark/>
          </w:tcPr>
          <w:p w14:paraId="4A996A1F"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r>
              <w:rPr>
                <w:rFonts w:cs="HelveticaNeue"/>
                <w:szCs w:val="20"/>
                <w:lang w:val="en-US"/>
              </w:rPr>
              <w:t>4</w:t>
            </w:r>
          </w:p>
        </w:tc>
        <w:tc>
          <w:tcPr>
            <w:tcW w:w="2361" w:type="dxa"/>
            <w:tcBorders>
              <w:top w:val="single" w:sz="4" w:space="0" w:color="0070C0"/>
              <w:left w:val="single" w:sz="4" w:space="0" w:color="0070C0"/>
              <w:bottom w:val="single" w:sz="4" w:space="0" w:color="0070C0"/>
              <w:right w:val="single" w:sz="4" w:space="0" w:color="0070C0"/>
            </w:tcBorders>
            <w:hideMark/>
          </w:tcPr>
          <w:p w14:paraId="7A890D76"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r>
              <w:rPr>
                <w:rFonts w:cs="HelveticaNeue"/>
                <w:szCs w:val="20"/>
                <w:lang w:val="en-US"/>
              </w:rPr>
              <w:t>4</w:t>
            </w:r>
          </w:p>
        </w:tc>
        <w:tc>
          <w:tcPr>
            <w:tcW w:w="2361" w:type="dxa"/>
            <w:tcBorders>
              <w:top w:val="single" w:sz="4" w:space="0" w:color="0070C0"/>
              <w:left w:val="single" w:sz="4" w:space="0" w:color="0070C0"/>
              <w:bottom w:val="single" w:sz="4" w:space="0" w:color="0070C0"/>
              <w:right w:val="single" w:sz="4" w:space="0" w:color="0070C0"/>
            </w:tcBorders>
            <w:hideMark/>
          </w:tcPr>
          <w:p w14:paraId="76D65EC6" w14:textId="77777777" w:rsidR="006A756E" w:rsidRPr="00A66388" w:rsidRDefault="006A756E" w:rsidP="0002263B">
            <w:pPr>
              <w:spacing w:after="120" w:line="240" w:lineRule="atLeast"/>
              <w:rPr>
                <w:rFonts w:cs="HelveticaNeue"/>
                <w:szCs w:val="20"/>
                <w:lang w:val="en-US"/>
              </w:rPr>
            </w:pPr>
            <w:r w:rsidRPr="00A66388">
              <w:rPr>
                <w:rFonts w:cs="HelveticaNeue"/>
                <w:szCs w:val="20"/>
                <w:lang w:val="en-US"/>
              </w:rPr>
              <w:t>Clause 1</w:t>
            </w:r>
            <w:r>
              <w:rPr>
                <w:rFonts w:cs="HelveticaNeue"/>
                <w:szCs w:val="20"/>
                <w:lang w:val="en-US"/>
              </w:rPr>
              <w:t>4</w:t>
            </w:r>
          </w:p>
        </w:tc>
      </w:tr>
      <w:tr w:rsidR="006A756E" w:rsidRPr="00A66388" w14:paraId="15A5D921" w14:textId="77777777" w:rsidTr="0002263B">
        <w:trPr>
          <w:trHeight w:val="368"/>
        </w:trPr>
        <w:tc>
          <w:tcPr>
            <w:tcW w:w="2360" w:type="dxa"/>
            <w:tcBorders>
              <w:top w:val="single" w:sz="4" w:space="0" w:color="0070C0"/>
              <w:left w:val="single" w:sz="4" w:space="0" w:color="0070C0"/>
              <w:bottom w:val="single" w:sz="4" w:space="0" w:color="0070C0"/>
              <w:right w:val="single" w:sz="4" w:space="0" w:color="0070C0"/>
            </w:tcBorders>
            <w:hideMark/>
          </w:tcPr>
          <w:p w14:paraId="04572284" w14:textId="77777777" w:rsidR="006A756E" w:rsidRPr="00A66388" w:rsidRDefault="006A756E" w:rsidP="0002263B">
            <w:pPr>
              <w:spacing w:after="120" w:line="240" w:lineRule="atLeast"/>
              <w:rPr>
                <w:rFonts w:cs="HelveticaNeue"/>
                <w:szCs w:val="20"/>
                <w:lang w:val="en-US"/>
              </w:rPr>
            </w:pPr>
            <w:r>
              <w:rPr>
                <w:rFonts w:cs="HelveticaNeue"/>
                <w:szCs w:val="20"/>
                <w:lang w:val="en-US"/>
              </w:rPr>
              <w:t>Section 15</w:t>
            </w:r>
          </w:p>
        </w:tc>
        <w:tc>
          <w:tcPr>
            <w:tcW w:w="2361" w:type="dxa"/>
            <w:tcBorders>
              <w:top w:val="single" w:sz="4" w:space="0" w:color="0070C0"/>
              <w:left w:val="single" w:sz="4" w:space="0" w:color="0070C0"/>
              <w:bottom w:val="single" w:sz="4" w:space="0" w:color="0070C0"/>
              <w:right w:val="single" w:sz="4" w:space="0" w:color="0070C0"/>
            </w:tcBorders>
          </w:tcPr>
          <w:p w14:paraId="1DD3C493"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15</w:t>
            </w:r>
          </w:p>
        </w:tc>
        <w:tc>
          <w:tcPr>
            <w:tcW w:w="2361" w:type="dxa"/>
            <w:tcBorders>
              <w:top w:val="single" w:sz="4" w:space="0" w:color="0070C0"/>
              <w:left w:val="single" w:sz="4" w:space="0" w:color="0070C0"/>
              <w:bottom w:val="single" w:sz="4" w:space="0" w:color="0070C0"/>
              <w:right w:val="single" w:sz="4" w:space="0" w:color="0070C0"/>
            </w:tcBorders>
            <w:hideMark/>
          </w:tcPr>
          <w:p w14:paraId="6028EBBB"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15</w:t>
            </w:r>
          </w:p>
        </w:tc>
        <w:tc>
          <w:tcPr>
            <w:tcW w:w="2361" w:type="dxa"/>
            <w:tcBorders>
              <w:top w:val="single" w:sz="4" w:space="0" w:color="0070C0"/>
              <w:left w:val="single" w:sz="4" w:space="0" w:color="0070C0"/>
              <w:bottom w:val="single" w:sz="4" w:space="0" w:color="0070C0"/>
              <w:right w:val="single" w:sz="4" w:space="0" w:color="0070C0"/>
            </w:tcBorders>
            <w:hideMark/>
          </w:tcPr>
          <w:p w14:paraId="1CE844D8"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15</w:t>
            </w:r>
          </w:p>
        </w:tc>
      </w:tr>
      <w:tr w:rsidR="006A756E" w:rsidRPr="00A66388" w14:paraId="07F0D619"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1687857B" w14:textId="77777777" w:rsidR="006A756E" w:rsidRPr="00A66388" w:rsidRDefault="006A756E" w:rsidP="0002263B">
            <w:pPr>
              <w:spacing w:after="120" w:line="240" w:lineRule="atLeast"/>
              <w:rPr>
                <w:rFonts w:cs="HelveticaNeue"/>
                <w:szCs w:val="20"/>
                <w:lang w:val="en-US"/>
              </w:rPr>
            </w:pPr>
            <w:r>
              <w:rPr>
                <w:rFonts w:cs="HelveticaNeue"/>
                <w:szCs w:val="20"/>
                <w:lang w:val="en-US"/>
              </w:rPr>
              <w:t>Section 16</w:t>
            </w:r>
          </w:p>
        </w:tc>
        <w:tc>
          <w:tcPr>
            <w:tcW w:w="2361" w:type="dxa"/>
            <w:tcBorders>
              <w:top w:val="single" w:sz="4" w:space="0" w:color="0070C0"/>
              <w:left w:val="single" w:sz="4" w:space="0" w:color="0070C0"/>
              <w:bottom w:val="single" w:sz="4" w:space="0" w:color="0070C0"/>
              <w:right w:val="single" w:sz="4" w:space="0" w:color="0070C0"/>
            </w:tcBorders>
            <w:hideMark/>
          </w:tcPr>
          <w:p w14:paraId="681885E4"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16</w:t>
            </w:r>
          </w:p>
        </w:tc>
        <w:tc>
          <w:tcPr>
            <w:tcW w:w="2361" w:type="dxa"/>
            <w:tcBorders>
              <w:top w:val="single" w:sz="4" w:space="0" w:color="0070C0"/>
              <w:left w:val="single" w:sz="4" w:space="0" w:color="0070C0"/>
              <w:bottom w:val="single" w:sz="4" w:space="0" w:color="0070C0"/>
              <w:right w:val="single" w:sz="4" w:space="0" w:color="0070C0"/>
            </w:tcBorders>
            <w:hideMark/>
          </w:tcPr>
          <w:p w14:paraId="0FD55D3D"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16</w:t>
            </w:r>
          </w:p>
        </w:tc>
        <w:tc>
          <w:tcPr>
            <w:tcW w:w="2361" w:type="dxa"/>
            <w:tcBorders>
              <w:top w:val="single" w:sz="4" w:space="0" w:color="0070C0"/>
              <w:left w:val="single" w:sz="4" w:space="0" w:color="0070C0"/>
              <w:bottom w:val="single" w:sz="4" w:space="0" w:color="0070C0"/>
              <w:right w:val="single" w:sz="4" w:space="0" w:color="0070C0"/>
            </w:tcBorders>
            <w:hideMark/>
          </w:tcPr>
          <w:p w14:paraId="0766A5BC"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16</w:t>
            </w:r>
          </w:p>
        </w:tc>
      </w:tr>
      <w:tr w:rsidR="006A756E" w:rsidRPr="00A66388" w14:paraId="518F32AA" w14:textId="77777777" w:rsidTr="0002263B">
        <w:trPr>
          <w:trHeight w:val="383"/>
        </w:trPr>
        <w:tc>
          <w:tcPr>
            <w:tcW w:w="2360" w:type="dxa"/>
            <w:tcBorders>
              <w:top w:val="single" w:sz="4" w:space="0" w:color="0070C0"/>
              <w:left w:val="single" w:sz="4" w:space="0" w:color="0070C0"/>
              <w:bottom w:val="single" w:sz="4" w:space="0" w:color="0070C0"/>
              <w:right w:val="single" w:sz="4" w:space="0" w:color="0070C0"/>
            </w:tcBorders>
            <w:hideMark/>
          </w:tcPr>
          <w:p w14:paraId="3D52246B" w14:textId="77777777" w:rsidR="006A756E" w:rsidRPr="00A66388" w:rsidRDefault="006A756E" w:rsidP="0002263B">
            <w:pPr>
              <w:spacing w:after="120" w:line="240" w:lineRule="atLeast"/>
              <w:rPr>
                <w:rFonts w:cs="HelveticaNeue"/>
                <w:szCs w:val="20"/>
                <w:lang w:val="en-US"/>
              </w:rPr>
            </w:pPr>
            <w:r>
              <w:rPr>
                <w:rFonts w:cs="HelveticaNeue"/>
                <w:szCs w:val="20"/>
                <w:lang w:val="en-US"/>
              </w:rPr>
              <w:t>Section 17</w:t>
            </w:r>
          </w:p>
        </w:tc>
        <w:tc>
          <w:tcPr>
            <w:tcW w:w="2361" w:type="dxa"/>
            <w:tcBorders>
              <w:top w:val="single" w:sz="4" w:space="0" w:color="0070C0"/>
              <w:left w:val="single" w:sz="4" w:space="0" w:color="0070C0"/>
              <w:bottom w:val="single" w:sz="4" w:space="0" w:color="0070C0"/>
              <w:right w:val="single" w:sz="4" w:space="0" w:color="0070C0"/>
            </w:tcBorders>
          </w:tcPr>
          <w:p w14:paraId="134C0493"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17</w:t>
            </w:r>
          </w:p>
        </w:tc>
        <w:tc>
          <w:tcPr>
            <w:tcW w:w="2361" w:type="dxa"/>
            <w:tcBorders>
              <w:top w:val="single" w:sz="4" w:space="0" w:color="0070C0"/>
              <w:left w:val="single" w:sz="4" w:space="0" w:color="0070C0"/>
              <w:bottom w:val="single" w:sz="4" w:space="0" w:color="0070C0"/>
              <w:right w:val="single" w:sz="4" w:space="0" w:color="0070C0"/>
            </w:tcBorders>
          </w:tcPr>
          <w:p w14:paraId="66583DDD"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17</w:t>
            </w:r>
          </w:p>
        </w:tc>
        <w:tc>
          <w:tcPr>
            <w:tcW w:w="2361" w:type="dxa"/>
            <w:tcBorders>
              <w:top w:val="single" w:sz="4" w:space="0" w:color="0070C0"/>
              <w:left w:val="single" w:sz="4" w:space="0" w:color="0070C0"/>
              <w:bottom w:val="single" w:sz="4" w:space="0" w:color="0070C0"/>
              <w:right w:val="single" w:sz="4" w:space="0" w:color="0070C0"/>
            </w:tcBorders>
            <w:hideMark/>
          </w:tcPr>
          <w:p w14:paraId="624A258B"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17</w:t>
            </w:r>
          </w:p>
        </w:tc>
      </w:tr>
      <w:tr w:rsidR="006A756E" w:rsidRPr="00A66388" w14:paraId="01A8F787" w14:textId="77777777" w:rsidTr="0002263B">
        <w:trPr>
          <w:trHeight w:val="368"/>
        </w:trPr>
        <w:tc>
          <w:tcPr>
            <w:tcW w:w="2360" w:type="dxa"/>
            <w:tcBorders>
              <w:top w:val="single" w:sz="4" w:space="0" w:color="0070C0"/>
              <w:left w:val="single" w:sz="4" w:space="0" w:color="0070C0"/>
              <w:bottom w:val="single" w:sz="4" w:space="0" w:color="0070C0"/>
              <w:right w:val="single" w:sz="4" w:space="0" w:color="0070C0"/>
            </w:tcBorders>
          </w:tcPr>
          <w:p w14:paraId="7D97968B" w14:textId="77777777" w:rsidR="006A756E" w:rsidRDefault="006A756E" w:rsidP="0002263B">
            <w:pPr>
              <w:spacing w:after="120" w:line="240" w:lineRule="atLeast"/>
              <w:rPr>
                <w:rFonts w:cs="HelveticaNeue"/>
                <w:szCs w:val="20"/>
                <w:lang w:val="en-US"/>
              </w:rPr>
            </w:pPr>
            <w:r>
              <w:rPr>
                <w:rFonts w:cs="HelveticaNeue"/>
                <w:szCs w:val="20"/>
                <w:lang w:val="en-US"/>
              </w:rPr>
              <w:t>Section 18</w:t>
            </w:r>
          </w:p>
        </w:tc>
        <w:tc>
          <w:tcPr>
            <w:tcW w:w="2361" w:type="dxa"/>
            <w:tcBorders>
              <w:top w:val="single" w:sz="4" w:space="0" w:color="0070C0"/>
              <w:left w:val="single" w:sz="4" w:space="0" w:color="0070C0"/>
              <w:bottom w:val="single" w:sz="4" w:space="0" w:color="0070C0"/>
              <w:right w:val="single" w:sz="4" w:space="0" w:color="0070C0"/>
            </w:tcBorders>
          </w:tcPr>
          <w:p w14:paraId="3B775D30" w14:textId="77777777" w:rsidR="006A756E" w:rsidRPr="00A66388" w:rsidRDefault="006A756E" w:rsidP="0002263B">
            <w:pPr>
              <w:spacing w:after="120" w:line="240" w:lineRule="atLeast"/>
              <w:rPr>
                <w:rFonts w:cs="HelveticaNeue"/>
                <w:szCs w:val="20"/>
                <w:lang w:val="en-US"/>
              </w:rPr>
            </w:pPr>
            <w:r>
              <w:rPr>
                <w:rFonts w:cs="HelveticaNeue"/>
                <w:szCs w:val="20"/>
                <w:lang w:val="en-US"/>
              </w:rPr>
              <w:t>Clause 18</w:t>
            </w:r>
          </w:p>
        </w:tc>
        <w:tc>
          <w:tcPr>
            <w:tcW w:w="2361" w:type="dxa"/>
            <w:tcBorders>
              <w:top w:val="single" w:sz="4" w:space="0" w:color="0070C0"/>
              <w:left w:val="single" w:sz="4" w:space="0" w:color="0070C0"/>
              <w:bottom w:val="single" w:sz="4" w:space="0" w:color="0070C0"/>
              <w:right w:val="single" w:sz="4" w:space="0" w:color="0070C0"/>
            </w:tcBorders>
          </w:tcPr>
          <w:p w14:paraId="6D3EDCAB" w14:textId="77777777" w:rsidR="006A756E" w:rsidRPr="00A66388" w:rsidRDefault="006A756E" w:rsidP="0002263B">
            <w:pPr>
              <w:spacing w:after="120" w:line="240" w:lineRule="atLeast"/>
              <w:rPr>
                <w:rFonts w:cs="HelveticaNeue"/>
                <w:szCs w:val="20"/>
                <w:lang w:val="en-US"/>
              </w:rPr>
            </w:pPr>
            <w:r>
              <w:rPr>
                <w:rFonts w:cs="HelveticaNeue"/>
                <w:szCs w:val="20"/>
                <w:lang w:val="en-US"/>
              </w:rPr>
              <w:t xml:space="preserve">Clause 18 </w:t>
            </w:r>
          </w:p>
        </w:tc>
        <w:tc>
          <w:tcPr>
            <w:tcW w:w="2361" w:type="dxa"/>
            <w:tcBorders>
              <w:top w:val="single" w:sz="4" w:space="0" w:color="0070C0"/>
              <w:left w:val="single" w:sz="4" w:space="0" w:color="0070C0"/>
              <w:bottom w:val="single" w:sz="4" w:space="0" w:color="0070C0"/>
              <w:right w:val="single" w:sz="4" w:space="0" w:color="0070C0"/>
            </w:tcBorders>
          </w:tcPr>
          <w:p w14:paraId="1FA46AFC" w14:textId="77777777" w:rsidR="006A756E" w:rsidRPr="00A66388" w:rsidRDefault="006A756E" w:rsidP="0002263B">
            <w:pPr>
              <w:spacing w:after="120" w:line="240" w:lineRule="atLeast"/>
              <w:rPr>
                <w:rFonts w:cs="HelveticaNeue"/>
                <w:szCs w:val="20"/>
                <w:lang w:val="en-US"/>
              </w:rPr>
            </w:pPr>
            <w:r>
              <w:rPr>
                <w:rFonts w:cs="HelveticaNeue"/>
                <w:szCs w:val="20"/>
                <w:lang w:val="en-US"/>
              </w:rPr>
              <w:t xml:space="preserve">Clause 18 </w:t>
            </w:r>
          </w:p>
        </w:tc>
      </w:tr>
    </w:tbl>
    <w:p w14:paraId="67958D72" w14:textId="044E5514" w:rsidR="006A756E" w:rsidRDefault="006A756E" w:rsidP="006A756E">
      <w:pPr>
        <w:pStyle w:val="ParaNumbered"/>
        <w:numPr>
          <w:ilvl w:val="0"/>
          <w:numId w:val="0"/>
        </w:numPr>
        <w:ind w:left="425"/>
      </w:pPr>
    </w:p>
    <w:bookmarkEnd w:id="71"/>
    <w:bookmarkEnd w:id="72"/>
    <w:bookmarkEnd w:id="73"/>
    <w:bookmarkEnd w:id="74"/>
    <w:bookmarkEnd w:id="62"/>
    <w:sectPr w:rsidR="006A756E" w:rsidSect="005B5D58">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5CD2C" w14:textId="77777777" w:rsidR="0020144E" w:rsidRDefault="0020144E">
      <w:r>
        <w:separator/>
      </w:r>
    </w:p>
    <w:p w14:paraId="0DCCE68E" w14:textId="77777777" w:rsidR="0020144E" w:rsidRDefault="0020144E"/>
    <w:p w14:paraId="08B599B3" w14:textId="77777777" w:rsidR="0020144E" w:rsidRDefault="0020144E"/>
  </w:endnote>
  <w:endnote w:type="continuationSeparator" w:id="0">
    <w:p w14:paraId="668DCE29" w14:textId="77777777" w:rsidR="0020144E" w:rsidRDefault="0020144E">
      <w:r>
        <w:continuationSeparator/>
      </w:r>
    </w:p>
    <w:p w14:paraId="692AF5ED" w14:textId="77777777" w:rsidR="0020144E" w:rsidRDefault="0020144E"/>
    <w:p w14:paraId="302968AE" w14:textId="77777777" w:rsidR="0020144E" w:rsidRDefault="0020144E"/>
  </w:endnote>
  <w:endnote w:type="continuationNotice" w:id="1">
    <w:p w14:paraId="00938879" w14:textId="77777777" w:rsidR="00B60F75" w:rsidRDefault="00B60F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77777777" w:rsidR="00A9344E" w:rsidRDefault="00A9344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6F7DB0E2" w14:textId="77777777" w:rsidR="00A9344E" w:rsidRDefault="00A9344E" w:rsidP="005B1515">
        <w:pPr>
          <w:pStyle w:val="Footer"/>
          <w:framePr w:w="441" w:h="311" w:hRule="exact" w:wrap="around" w:vAnchor="text" w:hAnchor="page" w:x="5869" w:y="700"/>
          <w:jc w:val="center"/>
        </w:pPr>
        <w:r w:rsidRPr="00E51AB6">
          <w:rPr>
            <w:rFonts w:ascii="Palatino Linotype" w:hAnsi="Palatino Linotype"/>
          </w:rPr>
          <w:fldChar w:fldCharType="begin"/>
        </w:r>
        <w:r w:rsidRPr="00E51AB6">
          <w:rPr>
            <w:rFonts w:ascii="Palatino Linotype" w:hAnsi="Palatino Linotype"/>
          </w:rPr>
          <w:instrText xml:space="preserve"> PAGE   \* MERGEFORMAT </w:instrText>
        </w:r>
        <w:r w:rsidRPr="00E51AB6">
          <w:rPr>
            <w:rFonts w:ascii="Palatino Linotype" w:hAnsi="Palatino Linotype"/>
          </w:rPr>
          <w:fldChar w:fldCharType="separate"/>
        </w:r>
        <w:r w:rsidR="00C853C6" w:rsidRPr="00E51AB6">
          <w:rPr>
            <w:rFonts w:ascii="Palatino Linotype" w:hAnsi="Palatino Linotype"/>
            <w:noProof/>
          </w:rPr>
          <w:t>8</w:t>
        </w:r>
        <w:r w:rsidRPr="00E51AB6">
          <w:rPr>
            <w:rFonts w:ascii="Palatino Linotype" w:hAnsi="Palatino Linotype"/>
            <w:noProof/>
          </w:rPr>
          <w:fldChar w:fldCharType="end"/>
        </w:r>
      </w:p>
    </w:sdtContent>
  </w:sdt>
  <w:p w14:paraId="43F7B308" w14:textId="77777777" w:rsidR="00A9344E" w:rsidRPr="006A0D49" w:rsidRDefault="00A9344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C853C6">
      <w:rPr>
        <w:noProof/>
      </w:rPr>
      <w:t>8</w:t>
    </w:r>
    <w:r>
      <w:rPr>
        <w:noProof/>
      </w:rPr>
      <w:fldChar w:fldCharType="end"/>
    </w:r>
  </w:p>
  <w:p w14:paraId="109C0729" w14:textId="13B34AFB" w:rsidR="00A9344E" w:rsidRPr="001B77BE" w:rsidRDefault="00A9344E" w:rsidP="001B77BE">
    <w:pPr>
      <w:pStyle w:val="Footer"/>
      <w:rPr>
        <w:rStyle w:val="FooterText"/>
        <w:iCs/>
      </w:rPr>
    </w:pPr>
    <w:r w:rsidRPr="001B77BE">
      <w:rPr>
        <w:rStyle w:val="FooterText"/>
        <w:iCs/>
      </w:rPr>
      <w:t xml:space="preserve">These Explanatory Notes relate to the </w:t>
    </w:r>
    <w:sdt>
      <w:sdtPr>
        <w:rPr>
          <w:rStyle w:val="FooterText"/>
          <w:iCs/>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271F13" w:rsidRPr="001B77BE">
          <w:rPr>
            <w:rStyle w:val="FooterText"/>
            <w:iCs/>
          </w:rPr>
          <w:t>Arbitration</w:t>
        </w:r>
      </w:sdtContent>
    </w:sdt>
    <w:r w:rsidRPr="001B77BE">
      <w:rPr>
        <w:rStyle w:val="FooterText"/>
        <w:iCs/>
      </w:rPr>
      <w:t xml:space="preserve"> </w:t>
    </w:r>
    <w:sdt>
      <w:sdtPr>
        <w:rPr>
          <w:rStyle w:val="FooterText"/>
          <w:iCs/>
        </w:rPr>
        <w:alias w:val="BillAct8"/>
        <w:tag w:val="BillAct8"/>
        <w:id w:val="1495910491"/>
        <w:lock w:val="sdtLocked"/>
        <w:placeholder>
          <w:docPart w:val="E981BF7FA6DB4EBF8FCB1771437805B3"/>
        </w:placeholder>
      </w:sdtPr>
      <w:sdtEndPr>
        <w:rPr>
          <w:rStyle w:val="FooterText"/>
        </w:rPr>
      </w:sdtEndPr>
      <w:sdtContent>
        <w:r w:rsidR="002E2D47" w:rsidRPr="001B77BE">
          <w:rPr>
            <w:rStyle w:val="FooterText"/>
            <w:iCs/>
          </w:rPr>
          <w:t>Act</w:t>
        </w:r>
      </w:sdtContent>
    </w:sdt>
    <w:r w:rsidRPr="001B77BE">
      <w:rPr>
        <w:rStyle w:val="FooterText"/>
        <w:iCs/>
      </w:rPr>
      <w:t xml:space="preserve"> </w:t>
    </w:r>
    <w:sdt>
      <w:sdtPr>
        <w:rPr>
          <w:rStyle w:val="FooterText"/>
          <w:iCs/>
        </w:rPr>
        <w:alias w:val="Stage2"/>
        <w:tag w:val="Stage2"/>
        <w:id w:val="-1163623114"/>
        <w:lock w:val="sdtLocked"/>
        <w:placeholder>
          <w:docPart w:val="CD3D908E5859454DA8862ED367C34F9E"/>
        </w:placeholder>
      </w:sdtPr>
      <w:sdtEndPr>
        <w:rPr>
          <w:rStyle w:val="FooterText"/>
        </w:rPr>
      </w:sdtEndPr>
      <w:sdtContent>
        <w:r w:rsidR="002E2D47" w:rsidRPr="001B77BE">
          <w:rPr>
            <w:rStyle w:val="FooterText"/>
            <w:iCs/>
          </w:rPr>
          <w:t>which received Royal Assent</w:t>
        </w:r>
      </w:sdtContent>
    </w:sdt>
    <w:r w:rsidRPr="001B77BE">
      <w:rPr>
        <w:rStyle w:val="FooterText"/>
        <w:iCs/>
      </w:rPr>
      <w:t xml:space="preserve"> on </w:t>
    </w:r>
    <w:sdt>
      <w:sdtPr>
        <w:rPr>
          <w:rStyle w:val="FooterText"/>
          <w:iCs/>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5-02-24T00:00:00Z">
          <w:dateFormat w:val="d MMMM yyyy"/>
          <w:lid w:val="en-GB"/>
          <w:storeMappedDataAs w:val="dateTime"/>
          <w:calendar w:val="gregorian"/>
        </w:date>
      </w:sdtPr>
      <w:sdtEndPr>
        <w:rPr>
          <w:rStyle w:val="FooterText"/>
        </w:rPr>
      </w:sdtEndPr>
      <w:sdtContent>
        <w:r w:rsidR="002E2D47" w:rsidRPr="001B77BE">
          <w:rPr>
            <w:rStyle w:val="FooterText"/>
            <w:iCs/>
          </w:rPr>
          <w:t>24 February 2025</w:t>
        </w:r>
      </w:sdtContent>
    </w:sdt>
    <w:r w:rsidRPr="001B77BE">
      <w:rPr>
        <w:rStyle w:val="FooterText"/>
        <w:iCs/>
      </w:rPr>
      <w:t xml:space="preserve"> (</w:t>
    </w:r>
    <w:sdt>
      <w:sdtPr>
        <w:rPr>
          <w:rStyle w:val="FooterText"/>
          <w:iCs/>
        </w:rPr>
        <w:alias w:val="BNumber3"/>
        <w:tag w:val="BNumber3"/>
        <w:id w:val="1418747222"/>
        <w:lock w:val="sdtLocked"/>
        <w:placeholder>
          <w:docPart w:val="CD3D908E5859454DA8862ED367C34F9E"/>
        </w:placeholder>
      </w:sdtPr>
      <w:sdtEndPr>
        <w:rPr>
          <w:rStyle w:val="FooterText"/>
        </w:rPr>
      </w:sdtEndPr>
      <w:sdtContent>
        <w:r w:rsidR="002E2D47" w:rsidRPr="001B77BE">
          <w:rPr>
            <w:rStyle w:val="FooterText"/>
            <w:iCs/>
          </w:rPr>
          <w:t>c.</w:t>
        </w:r>
      </w:sdtContent>
    </w:sdt>
    <w:r w:rsidRPr="001B77BE">
      <w:rPr>
        <w:rStyle w:val="FooterText"/>
        <w:iCs/>
      </w:rPr>
      <w:t xml:space="preserve"> </w:t>
    </w:r>
    <w:sdt>
      <w:sdtPr>
        <w:rPr>
          <w:rStyle w:val="FooterText"/>
          <w:iCs/>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2E2D47" w:rsidRPr="001B77BE">
          <w:rPr>
            <w:rStyle w:val="FooterText"/>
            <w:iCs/>
          </w:rPr>
          <w:t>4</w:t>
        </w:r>
      </w:sdtContent>
    </w:sdt>
    <w:r w:rsidRPr="001B77BE">
      <w:rPr>
        <w:rStyle w:val="FooterText"/>
        <w:iCs/>
      </w:rPr>
      <w:t>)</w:t>
    </w:r>
    <w:r w:rsidRPr="001B77BE">
      <w:rPr>
        <w:rStyle w:val="FooterText"/>
        <w:i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4BB90BF3" w14:textId="77777777" w:rsidTr="00922B46">
      <w:tc>
        <w:tcPr>
          <w:tcW w:w="4076" w:type="dxa"/>
        </w:tcPr>
        <w:p w14:paraId="6184F0A3" w14:textId="60C68507" w:rsidR="00A9344E" w:rsidRPr="00164F74" w:rsidRDefault="00B60F75" w:rsidP="001E3774">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2E2D47">
                <w:rPr>
                  <w:rStyle w:val="FooterChar"/>
                </w:rPr>
                <w:t>c.</w:t>
              </w:r>
            </w:sdtContent>
          </w:sdt>
          <w:r w:rsidR="00A9344E"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2E2D47">
                <w:rPr>
                  <w:rStyle w:val="FooterChar"/>
                </w:rPr>
                <w:t>4</w:t>
              </w:r>
            </w:sdtContent>
          </w:sdt>
          <w:r w:rsidR="00A9344E">
            <w:t>–</w:t>
          </w:r>
          <w:r w:rsidR="00A9344E" w:rsidRPr="00D72E04">
            <w:t>EN</w:t>
          </w:r>
        </w:p>
      </w:tc>
      <w:tc>
        <w:tcPr>
          <w:tcW w:w="4077" w:type="dxa"/>
        </w:tcPr>
        <w:p w14:paraId="4410988C" w14:textId="149D31A1" w:rsidR="00A9344E" w:rsidRPr="00164F74" w:rsidRDefault="00A9344E" w:rsidP="005705CE">
          <w:pPr>
            <w:pStyle w:val="Footer"/>
            <w:jc w:val="center"/>
          </w:pPr>
        </w:p>
      </w:tc>
    </w:tr>
  </w:tbl>
  <w:p w14:paraId="150C41FF"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E90C9" w14:textId="77777777" w:rsidR="0020144E" w:rsidRDefault="0020144E">
      <w:r>
        <w:separator/>
      </w:r>
    </w:p>
  </w:footnote>
  <w:footnote w:type="continuationSeparator" w:id="0">
    <w:p w14:paraId="41BD10B0" w14:textId="77777777" w:rsidR="0020144E" w:rsidRDefault="0020144E">
      <w:r>
        <w:continuationSeparator/>
      </w:r>
    </w:p>
    <w:p w14:paraId="0D3612D9" w14:textId="77777777" w:rsidR="0020144E" w:rsidRDefault="0020144E"/>
    <w:p w14:paraId="6E7DB950" w14:textId="77777777" w:rsidR="0020144E" w:rsidRDefault="0020144E"/>
  </w:footnote>
  <w:footnote w:type="continuationNotice" w:id="1">
    <w:p w14:paraId="06C1246C" w14:textId="77777777" w:rsidR="00B60F75" w:rsidRDefault="00B60F75">
      <w:pPr>
        <w:spacing w:after="0" w:line="240" w:lineRule="auto"/>
      </w:pPr>
    </w:p>
  </w:footnote>
  <w:footnote w:id="2">
    <w:p w14:paraId="2E8B4E6F" w14:textId="71FB9862" w:rsidR="5A2FD8C7" w:rsidRPr="0051228A" w:rsidRDefault="5A2FD8C7" w:rsidP="002B67F6">
      <w:pPr>
        <w:spacing w:after="0"/>
        <w:rPr>
          <w:rFonts w:ascii="Palatino Linotype" w:hAnsi="Palatino Linotype"/>
          <w:sz w:val="18"/>
          <w:szCs w:val="18"/>
        </w:rPr>
      </w:pPr>
      <w:r w:rsidRPr="0051228A">
        <w:rPr>
          <w:rStyle w:val="FootnoteReference"/>
          <w:rFonts w:ascii="Palatino Linotype" w:hAnsi="Palatino Linotype"/>
          <w:sz w:val="18"/>
          <w:szCs w:val="18"/>
        </w:rPr>
        <w:footnoteRef/>
      </w:r>
      <w:r w:rsidR="03CFB55C" w:rsidRPr="0051228A">
        <w:rPr>
          <w:rFonts w:ascii="Palatino Linotype" w:hAnsi="Palatino Linotype"/>
          <w:sz w:val="18"/>
          <w:szCs w:val="18"/>
        </w:rPr>
        <w:t xml:space="preserve"> </w:t>
      </w:r>
      <w:hyperlink r:id="rId1" w:history="1">
        <w:r w:rsidR="006A756E" w:rsidRPr="00144846">
          <w:rPr>
            <w:rStyle w:val="Hyperlink"/>
            <w:rFonts w:ascii="Palatino Linotype" w:hAnsi="Palatino Linotype"/>
            <w:sz w:val="18"/>
            <w:szCs w:val="18"/>
          </w:rPr>
          <w:t>https://lawcom.gov.uk/project/review-of-the-arbitration-act-1996/</w:t>
        </w:r>
      </w:hyperlink>
      <w:r w:rsidR="006A756E">
        <w:rPr>
          <w:rFonts w:ascii="Palatino Linotype" w:hAnsi="Palatino Linotype"/>
          <w:sz w:val="18"/>
          <w:szCs w:val="18"/>
        </w:rPr>
        <w:t xml:space="preserve"> </w:t>
      </w:r>
    </w:p>
  </w:footnote>
  <w:footnote w:id="3">
    <w:p w14:paraId="232D209F" w14:textId="439A6D2D" w:rsidR="5A2FD8C7" w:rsidRDefault="5A2FD8C7" w:rsidP="002B67F6">
      <w:pPr>
        <w:spacing w:after="0"/>
      </w:pPr>
      <w:r w:rsidRPr="0051228A">
        <w:rPr>
          <w:rStyle w:val="FootnoteReference"/>
          <w:rFonts w:ascii="Palatino Linotype" w:hAnsi="Palatino Linotype"/>
          <w:sz w:val="18"/>
          <w:szCs w:val="18"/>
        </w:rPr>
        <w:footnoteRef/>
      </w:r>
      <w:r w:rsidRPr="0051228A">
        <w:rPr>
          <w:rFonts w:ascii="Palatino Linotype" w:hAnsi="Palatino Linotype"/>
          <w:sz w:val="18"/>
          <w:szCs w:val="18"/>
        </w:rPr>
        <w:t xml:space="preserve"> </w:t>
      </w:r>
      <w:hyperlink r:id="rId2" w:history="1">
        <w:r w:rsidR="006A756E" w:rsidRPr="00144846">
          <w:rPr>
            <w:rStyle w:val="Hyperlink"/>
            <w:rFonts w:ascii="Palatino Linotype" w:hAnsi="Palatino Linotype"/>
            <w:sz w:val="18"/>
            <w:szCs w:val="18"/>
          </w:rPr>
          <w:t>https://arbitration.qmul.ac.uk/research/2021-international-arbitration-survey/</w:t>
        </w:r>
      </w:hyperlink>
      <w:r w:rsidR="006A756E">
        <w:rPr>
          <w:rFonts w:ascii="Palatino Linotype" w:hAnsi="Palatino Linotype"/>
          <w:sz w:val="18"/>
          <w:szCs w:val="18"/>
        </w:rPr>
        <w:t xml:space="preserve"> </w:t>
      </w:r>
    </w:p>
  </w:footnote>
  <w:footnote w:id="4">
    <w:p w14:paraId="6E062DFB" w14:textId="23EE2012" w:rsidR="5A2FD8C7" w:rsidRPr="00E51AB6" w:rsidRDefault="5A2FD8C7" w:rsidP="002B67F6">
      <w:pPr>
        <w:spacing w:after="0"/>
        <w:rPr>
          <w:rFonts w:ascii="Palatino Linotype" w:hAnsi="Palatino Linotype"/>
        </w:rPr>
      </w:pPr>
      <w:r w:rsidRPr="0051228A">
        <w:rPr>
          <w:rStyle w:val="FootnoteReference"/>
          <w:rFonts w:ascii="Palatino Linotype" w:hAnsi="Palatino Linotype"/>
          <w:sz w:val="18"/>
          <w:szCs w:val="18"/>
        </w:rPr>
        <w:footnoteRef/>
      </w:r>
      <w:r w:rsidR="00E51AB6" w:rsidRPr="0051228A">
        <w:rPr>
          <w:rFonts w:ascii="Palatino Linotype" w:hAnsi="Palatino Linotype"/>
          <w:sz w:val="18"/>
          <w:szCs w:val="18"/>
        </w:rPr>
        <w:t xml:space="preserve"> </w:t>
      </w:r>
      <w:hyperlink r:id="rId3" w:history="1">
        <w:r w:rsidR="006A756E" w:rsidRPr="00144846">
          <w:rPr>
            <w:rStyle w:val="Hyperlink"/>
            <w:rFonts w:ascii="Palatino Linotype" w:hAnsi="Palatino Linotype"/>
            <w:sz w:val="18"/>
            <w:szCs w:val="18"/>
          </w:rPr>
          <w:t>https://lawcom.gov.uk/project/review-of-the-arbitration-act-1996/</w:t>
        </w:r>
      </w:hyperlink>
      <w:r w:rsidR="006A756E">
        <w:rPr>
          <w:rFonts w:ascii="Palatino Linotype" w:hAnsi="Palatino Linotype"/>
          <w:sz w:val="18"/>
          <w:szCs w:val="18"/>
        </w:rPr>
        <w:t xml:space="preserve"> </w:t>
      </w:r>
    </w:p>
  </w:footnote>
  <w:footnote w:id="5">
    <w:p w14:paraId="4573CC88" w14:textId="76E27DDB" w:rsidR="5A2FD8C7" w:rsidRPr="0051228A" w:rsidRDefault="5A2FD8C7" w:rsidP="00272EB3">
      <w:pPr>
        <w:spacing w:after="0"/>
        <w:rPr>
          <w:rFonts w:ascii="Palatino Linotype" w:hAnsi="Palatino Linotype"/>
        </w:rPr>
      </w:pPr>
      <w:r w:rsidRPr="0051228A">
        <w:rPr>
          <w:rStyle w:val="FootnoteReference"/>
          <w:rFonts w:ascii="Palatino Linotype" w:hAnsi="Palatino Linotype"/>
          <w:sz w:val="18"/>
          <w:szCs w:val="18"/>
        </w:rPr>
        <w:footnoteRef/>
      </w:r>
      <w:r w:rsidRPr="0051228A">
        <w:rPr>
          <w:rFonts w:ascii="Palatino Linotype" w:hAnsi="Palatino Linotype"/>
          <w:sz w:val="18"/>
          <w:szCs w:val="18"/>
        </w:rPr>
        <w:t xml:space="preserve"> </w:t>
      </w:r>
      <w:hyperlink r:id="rId4" w:history="1">
        <w:r w:rsidR="006A756E" w:rsidRPr="00144846">
          <w:rPr>
            <w:rStyle w:val="Hyperlink"/>
            <w:rFonts w:ascii="Palatino Linotype" w:hAnsi="Palatino Linotype"/>
            <w:sz w:val="18"/>
            <w:szCs w:val="18"/>
          </w:rPr>
          <w:t>https://www.supremecourt.uk/cases/uksc-2020-0091.html</w:t>
        </w:r>
      </w:hyperlink>
      <w:r w:rsidR="006A756E">
        <w:rPr>
          <w:rFonts w:ascii="Palatino Linotype" w:hAnsi="Palatino Linotype"/>
          <w:sz w:val="18"/>
          <w:szCs w:val="18"/>
        </w:rPr>
        <w:t xml:space="preserve"> </w:t>
      </w:r>
    </w:p>
  </w:footnote>
  <w:footnote w:id="6">
    <w:p w14:paraId="5BD84771" w14:textId="70219F86" w:rsidR="5A2FD8C7" w:rsidRDefault="5A2FD8C7" w:rsidP="00272EB3">
      <w:pPr>
        <w:spacing w:after="0"/>
      </w:pPr>
      <w:r w:rsidRPr="00E43AC3">
        <w:rPr>
          <w:rStyle w:val="FootnoteReference"/>
          <w:rFonts w:ascii="Palatino Linotype" w:hAnsi="Palatino Linotype"/>
          <w:sz w:val="20"/>
          <w:szCs w:val="20"/>
        </w:rPr>
        <w:footnoteRef/>
      </w:r>
      <w:r w:rsidRPr="00E43AC3">
        <w:rPr>
          <w:rFonts w:ascii="Palatino Linotype" w:hAnsi="Palatino Linotype"/>
          <w:sz w:val="20"/>
          <w:szCs w:val="20"/>
        </w:rPr>
        <w:t xml:space="preserve"> </w:t>
      </w:r>
      <w:hyperlink r:id="rId5" w:history="1">
        <w:r w:rsidR="006A756E" w:rsidRPr="00144846">
          <w:rPr>
            <w:rStyle w:val="Hyperlink"/>
            <w:rFonts w:ascii="Palatino Linotype" w:hAnsi="Palatino Linotype"/>
            <w:sz w:val="20"/>
            <w:szCs w:val="20"/>
          </w:rPr>
          <w:t>https://www.supremecourt.uk/cases/uksc-2018-0100.html</w:t>
        </w:r>
      </w:hyperlink>
      <w:r w:rsidR="006A756E">
        <w:rPr>
          <w:rFonts w:ascii="Palatino Linotype" w:hAnsi="Palatino Linotype"/>
          <w:sz w:val="20"/>
          <w:szCs w:val="20"/>
        </w:rPr>
        <w:t xml:space="preserve"> </w:t>
      </w:r>
    </w:p>
  </w:footnote>
  <w:footnote w:id="7">
    <w:p w14:paraId="7524EB07" w14:textId="620BC814" w:rsidR="00503258" w:rsidRDefault="00503258">
      <w:pPr>
        <w:pStyle w:val="FootnoteText"/>
      </w:pPr>
      <w:r>
        <w:rPr>
          <w:rStyle w:val="FootnoteReference"/>
        </w:rPr>
        <w:footnoteRef/>
      </w:r>
      <w:r>
        <w:t xml:space="preserve"> </w:t>
      </w:r>
      <w:hyperlink r:id="rId6" w:history="1">
        <w:r w:rsidRPr="000A5918">
          <w:rPr>
            <w:rStyle w:val="Hyperlink"/>
            <w:rFonts w:ascii="Palatino Linotype" w:hAnsi="Palatino Linotype" w:cs="Times New Roman"/>
            <w:sz w:val="20"/>
            <w:szCs w:val="22"/>
          </w:rPr>
          <w:t>https://www.supremecourt.uk/cases/uksc-2009-0165</w:t>
        </w:r>
      </w:hyperlink>
      <w:r>
        <w:t xml:space="preserve"> </w:t>
      </w:r>
    </w:p>
  </w:footnote>
  <w:footnote w:id="8">
    <w:p w14:paraId="5C023353" w14:textId="3A9B21F0" w:rsidR="003E644D" w:rsidRPr="00E51AB6" w:rsidRDefault="003E644D" w:rsidP="003E644D">
      <w:pPr>
        <w:spacing w:after="0"/>
        <w:rPr>
          <w:rFonts w:ascii="Palatino Linotype" w:hAnsi="Palatino Linotype"/>
        </w:rPr>
      </w:pPr>
      <w:r w:rsidRPr="00E51AB6">
        <w:rPr>
          <w:rStyle w:val="FootnoteReference"/>
          <w:rFonts w:ascii="Palatino Linotype" w:hAnsi="Palatino Linotype"/>
          <w:sz w:val="20"/>
          <w:szCs w:val="20"/>
        </w:rPr>
        <w:footnoteRef/>
      </w:r>
      <w:r w:rsidRPr="00E51AB6">
        <w:rPr>
          <w:rFonts w:ascii="Palatino Linotype" w:hAnsi="Palatino Linotype"/>
          <w:sz w:val="20"/>
          <w:szCs w:val="20"/>
        </w:rPr>
        <w:t xml:space="preserve"> </w:t>
      </w:r>
      <w:hyperlink r:id="rId7" w:history="1">
        <w:r w:rsidR="006A756E" w:rsidRPr="00144846">
          <w:rPr>
            <w:rStyle w:val="Hyperlink"/>
            <w:rFonts w:ascii="Palatino Linotype" w:hAnsi="Palatino Linotype"/>
            <w:sz w:val="20"/>
            <w:szCs w:val="20"/>
          </w:rPr>
          <w:t>https://www.bailii.org/uk/cases/UKHL/2000/15.html</w:t>
        </w:r>
      </w:hyperlink>
      <w:r w:rsidR="006A756E">
        <w:rPr>
          <w:rFonts w:ascii="Palatino Linotype" w:hAnsi="Palatino Linotype"/>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65823182"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4EB22570"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3481756A" w:rsidR="00A9344E" w:rsidRDefault="00A9344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C62D97"/>
    <w:multiLevelType w:val="hybridMultilevel"/>
    <w:tmpl w:val="859638E4"/>
    <w:lvl w:ilvl="0" w:tplc="D2A20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9788CBBC"/>
    <w:lvl w:ilvl="0" w:tplc="521A031C">
      <w:start w:val="1"/>
      <w:numFmt w:val="decimal"/>
      <w:pStyle w:val="ParaNumbered"/>
      <w:lvlText w:val="%1 "/>
      <w:lvlJc w:val="left"/>
      <w:pPr>
        <w:ind w:left="785"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7236C4"/>
    <w:multiLevelType w:val="hybridMultilevel"/>
    <w:tmpl w:val="5C9435DE"/>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9" w15:restartNumberingAfterBreak="0">
    <w:nsid w:val="4B99672D"/>
    <w:multiLevelType w:val="hybridMultilevel"/>
    <w:tmpl w:val="04023E18"/>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080" w:hanging="360"/>
      </w:pPr>
      <w:rPr>
        <w:rFonts w:ascii="Symbol" w:hAnsi="Symbol" w:hint="default"/>
        <w:color w:val="4F81BD" w:themeColor="accent1"/>
        <w:sz w:val="32"/>
        <w:u w:color="FFFFFF" w:themeColor="background1"/>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11313778">
    <w:abstractNumId w:val="12"/>
  </w:num>
  <w:num w:numId="2" w16cid:durableId="2134206228">
    <w:abstractNumId w:val="20"/>
  </w:num>
  <w:num w:numId="3" w16cid:durableId="920288876">
    <w:abstractNumId w:val="23"/>
  </w:num>
  <w:num w:numId="4" w16cid:durableId="1131900135">
    <w:abstractNumId w:val="22"/>
  </w:num>
  <w:num w:numId="5" w16cid:durableId="1517960932">
    <w:abstractNumId w:val="16"/>
  </w:num>
  <w:num w:numId="6" w16cid:durableId="1471553285">
    <w:abstractNumId w:val="24"/>
  </w:num>
  <w:num w:numId="7" w16cid:durableId="1047217104">
    <w:abstractNumId w:val="11"/>
  </w:num>
  <w:num w:numId="8" w16cid:durableId="2108652610">
    <w:abstractNumId w:val="13"/>
  </w:num>
  <w:num w:numId="9" w16cid:durableId="1696074531">
    <w:abstractNumId w:val="21"/>
  </w:num>
  <w:num w:numId="10" w16cid:durableId="2055538318">
    <w:abstractNumId w:val="17"/>
  </w:num>
  <w:num w:numId="11" w16cid:durableId="1152796087">
    <w:abstractNumId w:val="25"/>
  </w:num>
  <w:num w:numId="12" w16cid:durableId="2050642454">
    <w:abstractNumId w:val="16"/>
    <w:lvlOverride w:ilvl="0">
      <w:startOverride w:val="1"/>
    </w:lvlOverride>
  </w:num>
  <w:num w:numId="13" w16cid:durableId="28069148">
    <w:abstractNumId w:val="9"/>
  </w:num>
  <w:num w:numId="14" w16cid:durableId="91511528">
    <w:abstractNumId w:val="7"/>
  </w:num>
  <w:num w:numId="15" w16cid:durableId="529881045">
    <w:abstractNumId w:val="6"/>
  </w:num>
  <w:num w:numId="16" w16cid:durableId="1331524141">
    <w:abstractNumId w:val="5"/>
  </w:num>
  <w:num w:numId="17" w16cid:durableId="1118139072">
    <w:abstractNumId w:val="4"/>
  </w:num>
  <w:num w:numId="18" w16cid:durableId="2039230623">
    <w:abstractNumId w:val="8"/>
  </w:num>
  <w:num w:numId="19" w16cid:durableId="261036525">
    <w:abstractNumId w:val="3"/>
  </w:num>
  <w:num w:numId="20" w16cid:durableId="858935355">
    <w:abstractNumId w:val="2"/>
  </w:num>
  <w:num w:numId="21" w16cid:durableId="439842036">
    <w:abstractNumId w:val="1"/>
  </w:num>
  <w:num w:numId="22" w16cid:durableId="2127506606">
    <w:abstractNumId w:val="0"/>
  </w:num>
  <w:num w:numId="23" w16cid:durableId="1375231438">
    <w:abstractNumId w:val="15"/>
  </w:num>
  <w:num w:numId="24" w16cid:durableId="1141387646">
    <w:abstractNumId w:val="22"/>
    <w:lvlOverride w:ilvl="0">
      <w:startOverride w:val="1"/>
    </w:lvlOverride>
  </w:num>
  <w:num w:numId="25" w16cid:durableId="2064481702">
    <w:abstractNumId w:val="10"/>
  </w:num>
  <w:num w:numId="26" w16cid:durableId="146632668">
    <w:abstractNumId w:val="16"/>
    <w:lvlOverride w:ilvl="0">
      <w:startOverride w:val="1"/>
    </w:lvlOverride>
  </w:num>
  <w:num w:numId="27" w16cid:durableId="543562800">
    <w:abstractNumId w:val="19"/>
  </w:num>
  <w:num w:numId="28" w16cid:durableId="541865740">
    <w:abstractNumId w:val="18"/>
  </w:num>
  <w:num w:numId="29" w16cid:durableId="251401819">
    <w:abstractNumId w:val="16"/>
    <w:lvlOverride w:ilvl="0">
      <w:startOverride w:val="1"/>
    </w:lvlOverride>
  </w:num>
  <w:num w:numId="30" w16cid:durableId="335305546">
    <w:abstractNumId w:val="16"/>
    <w:lvlOverride w:ilvl="0">
      <w:startOverride w:val="1"/>
    </w:lvlOverride>
  </w:num>
  <w:num w:numId="31" w16cid:durableId="184681200">
    <w:abstractNumId w:val="16"/>
    <w:lvlOverride w:ilvl="0">
      <w:startOverride w:val="1"/>
    </w:lvlOverride>
  </w:num>
  <w:num w:numId="32" w16cid:durableId="1047145445">
    <w:abstractNumId w:val="16"/>
    <w:lvlOverride w:ilvl="0">
      <w:startOverride w:val="1"/>
    </w:lvlOverride>
  </w:num>
  <w:num w:numId="33" w16cid:durableId="2003268383">
    <w:abstractNumId w:val="16"/>
    <w:lvlOverride w:ilvl="0">
      <w:startOverride w:val="1"/>
    </w:lvlOverride>
  </w:num>
  <w:num w:numId="34" w16cid:durableId="149907720">
    <w:abstractNumId w:val="16"/>
    <w:lvlOverride w:ilvl="0">
      <w:startOverride w:val="1"/>
    </w:lvlOverride>
  </w:num>
  <w:num w:numId="35" w16cid:durableId="1567959051">
    <w:abstractNumId w:val="16"/>
    <w:lvlOverride w:ilvl="0">
      <w:startOverride w:val="1"/>
    </w:lvlOverride>
  </w:num>
  <w:num w:numId="36" w16cid:durableId="341978227">
    <w:abstractNumId w:val="16"/>
    <w:lvlOverride w:ilvl="0">
      <w:startOverride w:val="1"/>
    </w:lvlOverride>
  </w:num>
  <w:num w:numId="37" w16cid:durableId="1841967032">
    <w:abstractNumId w:val="16"/>
    <w:lvlOverride w:ilvl="0">
      <w:startOverride w:val="1"/>
    </w:lvlOverride>
  </w:num>
  <w:num w:numId="38" w16cid:durableId="1247347092">
    <w:abstractNumId w:val="16"/>
    <w:lvlOverride w:ilvl="0">
      <w:startOverride w:val="1"/>
    </w:lvlOverride>
  </w:num>
  <w:num w:numId="39" w16cid:durableId="1219248853">
    <w:abstractNumId w:val="16"/>
    <w:lvlOverride w:ilvl="0">
      <w:startOverride w:val="1"/>
    </w:lvlOverride>
  </w:num>
  <w:num w:numId="40" w16cid:durableId="1748384600">
    <w:abstractNumId w:val="16"/>
    <w:lvlOverride w:ilvl="0">
      <w:startOverride w:val="1"/>
    </w:lvlOverride>
  </w:num>
  <w:num w:numId="41" w16cid:durableId="1043866800">
    <w:abstractNumId w:val="16"/>
    <w:lvlOverride w:ilvl="0">
      <w:startOverride w:val="1"/>
    </w:lvlOverride>
  </w:num>
  <w:num w:numId="42" w16cid:durableId="1478496037">
    <w:abstractNumId w:val="16"/>
    <w:lvlOverride w:ilvl="0">
      <w:startOverride w:val="1"/>
    </w:lvlOverride>
  </w:num>
  <w:num w:numId="43" w16cid:durableId="757870442">
    <w:abstractNumId w:val="14"/>
  </w:num>
  <w:num w:numId="44" w16cid:durableId="1049838162">
    <w:abstractNumId w:val="16"/>
    <w:lvlOverride w:ilvl="0">
      <w:startOverride w:val="1"/>
    </w:lvlOverride>
  </w:num>
  <w:num w:numId="45" w16cid:durableId="2085569390">
    <w:abstractNumId w:val="16"/>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embedSystemFonts/>
  <w:mirrorMargins/>
  <w:bordersDoNotSurroundHeader/>
  <w:bordersDoNotSurroundFooter/>
  <w:stylePaneFormatFilter w:val="BE28" w:allStyles="0" w:customStyles="0" w:latentStyles="0" w:stylesInUse="1" w:headingStyles="1" w:numberingStyles="0" w:tableStyles="0" w:directFormattingOnRuns="0"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0F7"/>
    <w:rsid w:val="00004D1F"/>
    <w:rsid w:val="00004DFE"/>
    <w:rsid w:val="000069C4"/>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5355"/>
    <w:rsid w:val="000578FC"/>
    <w:rsid w:val="00061E87"/>
    <w:rsid w:val="00065579"/>
    <w:rsid w:val="00065776"/>
    <w:rsid w:val="00065D36"/>
    <w:rsid w:val="00065ECF"/>
    <w:rsid w:val="000700CC"/>
    <w:rsid w:val="000701B8"/>
    <w:rsid w:val="0007069A"/>
    <w:rsid w:val="000719F9"/>
    <w:rsid w:val="00072270"/>
    <w:rsid w:val="00075057"/>
    <w:rsid w:val="000750B7"/>
    <w:rsid w:val="00075147"/>
    <w:rsid w:val="00076797"/>
    <w:rsid w:val="0007714D"/>
    <w:rsid w:val="00077901"/>
    <w:rsid w:val="00077A35"/>
    <w:rsid w:val="000815DA"/>
    <w:rsid w:val="00086349"/>
    <w:rsid w:val="000907BD"/>
    <w:rsid w:val="00095AEB"/>
    <w:rsid w:val="00096150"/>
    <w:rsid w:val="000969FF"/>
    <w:rsid w:val="000A1BE6"/>
    <w:rsid w:val="000A5918"/>
    <w:rsid w:val="000A60B6"/>
    <w:rsid w:val="000A6490"/>
    <w:rsid w:val="000A6A75"/>
    <w:rsid w:val="000A7943"/>
    <w:rsid w:val="000B2DAF"/>
    <w:rsid w:val="000B2F29"/>
    <w:rsid w:val="000B3C57"/>
    <w:rsid w:val="000C0655"/>
    <w:rsid w:val="000C63A7"/>
    <w:rsid w:val="000C7E66"/>
    <w:rsid w:val="000D0BBC"/>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526E"/>
    <w:rsid w:val="001172FE"/>
    <w:rsid w:val="001208B2"/>
    <w:rsid w:val="001221E5"/>
    <w:rsid w:val="00123488"/>
    <w:rsid w:val="001237E2"/>
    <w:rsid w:val="00124DF5"/>
    <w:rsid w:val="00131985"/>
    <w:rsid w:val="0013437D"/>
    <w:rsid w:val="00137530"/>
    <w:rsid w:val="00140508"/>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18FE"/>
    <w:rsid w:val="00197FDB"/>
    <w:rsid w:val="001A132D"/>
    <w:rsid w:val="001A58C9"/>
    <w:rsid w:val="001B0FCA"/>
    <w:rsid w:val="001B12F2"/>
    <w:rsid w:val="001B3803"/>
    <w:rsid w:val="001B509F"/>
    <w:rsid w:val="001B581E"/>
    <w:rsid w:val="001B59F5"/>
    <w:rsid w:val="001B77BE"/>
    <w:rsid w:val="001B7CBA"/>
    <w:rsid w:val="001C294E"/>
    <w:rsid w:val="001C3AFF"/>
    <w:rsid w:val="001C7529"/>
    <w:rsid w:val="001C7E43"/>
    <w:rsid w:val="001D1F68"/>
    <w:rsid w:val="001D669A"/>
    <w:rsid w:val="001E0F8B"/>
    <w:rsid w:val="001E3774"/>
    <w:rsid w:val="001F0BE5"/>
    <w:rsid w:val="001F2D93"/>
    <w:rsid w:val="001F36D8"/>
    <w:rsid w:val="001F3C7A"/>
    <w:rsid w:val="001F5763"/>
    <w:rsid w:val="00200C09"/>
    <w:rsid w:val="0020144E"/>
    <w:rsid w:val="002042BC"/>
    <w:rsid w:val="00206464"/>
    <w:rsid w:val="002129AD"/>
    <w:rsid w:val="00215743"/>
    <w:rsid w:val="002161B4"/>
    <w:rsid w:val="00216BF3"/>
    <w:rsid w:val="002178EE"/>
    <w:rsid w:val="00217D23"/>
    <w:rsid w:val="0022481F"/>
    <w:rsid w:val="00224C34"/>
    <w:rsid w:val="002259CD"/>
    <w:rsid w:val="002318A8"/>
    <w:rsid w:val="00232A21"/>
    <w:rsid w:val="00236709"/>
    <w:rsid w:val="00236CAA"/>
    <w:rsid w:val="0025631F"/>
    <w:rsid w:val="00256D46"/>
    <w:rsid w:val="0026345E"/>
    <w:rsid w:val="002642C6"/>
    <w:rsid w:val="00266EE5"/>
    <w:rsid w:val="0027009A"/>
    <w:rsid w:val="00271DB8"/>
    <w:rsid w:val="00271F13"/>
    <w:rsid w:val="00272EB3"/>
    <w:rsid w:val="00274C93"/>
    <w:rsid w:val="00282541"/>
    <w:rsid w:val="002833D1"/>
    <w:rsid w:val="00285286"/>
    <w:rsid w:val="00287AE9"/>
    <w:rsid w:val="002901F5"/>
    <w:rsid w:val="00292643"/>
    <w:rsid w:val="0029426E"/>
    <w:rsid w:val="0029595C"/>
    <w:rsid w:val="0029699E"/>
    <w:rsid w:val="00296C6E"/>
    <w:rsid w:val="002A02DD"/>
    <w:rsid w:val="002A1E05"/>
    <w:rsid w:val="002A4CD0"/>
    <w:rsid w:val="002A6C13"/>
    <w:rsid w:val="002B5B54"/>
    <w:rsid w:val="002B67F6"/>
    <w:rsid w:val="002C7832"/>
    <w:rsid w:val="002D6CFF"/>
    <w:rsid w:val="002E0272"/>
    <w:rsid w:val="002E0461"/>
    <w:rsid w:val="002E0B3C"/>
    <w:rsid w:val="002E2D47"/>
    <w:rsid w:val="002E482E"/>
    <w:rsid w:val="002E67F4"/>
    <w:rsid w:val="002F0561"/>
    <w:rsid w:val="002F25E0"/>
    <w:rsid w:val="002F3EF7"/>
    <w:rsid w:val="002F4FEF"/>
    <w:rsid w:val="002F7BD6"/>
    <w:rsid w:val="003039D2"/>
    <w:rsid w:val="00304797"/>
    <w:rsid w:val="00306CD2"/>
    <w:rsid w:val="003114D8"/>
    <w:rsid w:val="00311764"/>
    <w:rsid w:val="00312E5F"/>
    <w:rsid w:val="003256E3"/>
    <w:rsid w:val="00325FC8"/>
    <w:rsid w:val="00351384"/>
    <w:rsid w:val="003549AB"/>
    <w:rsid w:val="0035622C"/>
    <w:rsid w:val="0036347F"/>
    <w:rsid w:val="003638D6"/>
    <w:rsid w:val="00365619"/>
    <w:rsid w:val="00371BCB"/>
    <w:rsid w:val="00373D55"/>
    <w:rsid w:val="003743AA"/>
    <w:rsid w:val="00375FF7"/>
    <w:rsid w:val="00376177"/>
    <w:rsid w:val="00386BD4"/>
    <w:rsid w:val="00386CC1"/>
    <w:rsid w:val="00391D9E"/>
    <w:rsid w:val="00393B49"/>
    <w:rsid w:val="00394D45"/>
    <w:rsid w:val="003978EA"/>
    <w:rsid w:val="00397B71"/>
    <w:rsid w:val="003A3104"/>
    <w:rsid w:val="003A3B83"/>
    <w:rsid w:val="003A448B"/>
    <w:rsid w:val="003B3C0E"/>
    <w:rsid w:val="003B463F"/>
    <w:rsid w:val="003C0433"/>
    <w:rsid w:val="003C20F1"/>
    <w:rsid w:val="003C2F3A"/>
    <w:rsid w:val="003C3054"/>
    <w:rsid w:val="003C3349"/>
    <w:rsid w:val="003C462C"/>
    <w:rsid w:val="003C74EF"/>
    <w:rsid w:val="003D027C"/>
    <w:rsid w:val="003D0578"/>
    <w:rsid w:val="003D34FD"/>
    <w:rsid w:val="003E2980"/>
    <w:rsid w:val="003E5213"/>
    <w:rsid w:val="003E644D"/>
    <w:rsid w:val="003E6936"/>
    <w:rsid w:val="003F25D6"/>
    <w:rsid w:val="003F2DD6"/>
    <w:rsid w:val="003F3107"/>
    <w:rsid w:val="00400EB7"/>
    <w:rsid w:val="00411E59"/>
    <w:rsid w:val="00413C5A"/>
    <w:rsid w:val="0041649F"/>
    <w:rsid w:val="00422075"/>
    <w:rsid w:val="004247ED"/>
    <w:rsid w:val="00425CEA"/>
    <w:rsid w:val="00427A7E"/>
    <w:rsid w:val="00427B8C"/>
    <w:rsid w:val="00427C79"/>
    <w:rsid w:val="004312CA"/>
    <w:rsid w:val="004373CA"/>
    <w:rsid w:val="00440A8A"/>
    <w:rsid w:val="00442F12"/>
    <w:rsid w:val="0044491F"/>
    <w:rsid w:val="00444E06"/>
    <w:rsid w:val="00445CB3"/>
    <w:rsid w:val="004518AA"/>
    <w:rsid w:val="00455297"/>
    <w:rsid w:val="00460ADB"/>
    <w:rsid w:val="0046220F"/>
    <w:rsid w:val="00462E51"/>
    <w:rsid w:val="00464007"/>
    <w:rsid w:val="00465828"/>
    <w:rsid w:val="00467065"/>
    <w:rsid w:val="00467BCA"/>
    <w:rsid w:val="00474F15"/>
    <w:rsid w:val="00475096"/>
    <w:rsid w:val="00481712"/>
    <w:rsid w:val="00482C0F"/>
    <w:rsid w:val="00482F36"/>
    <w:rsid w:val="00485893"/>
    <w:rsid w:val="004868B2"/>
    <w:rsid w:val="004A0D5D"/>
    <w:rsid w:val="004A10C4"/>
    <w:rsid w:val="004A5459"/>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3258"/>
    <w:rsid w:val="00504B8C"/>
    <w:rsid w:val="00506D15"/>
    <w:rsid w:val="005101D9"/>
    <w:rsid w:val="00511C5D"/>
    <w:rsid w:val="0051202B"/>
    <w:rsid w:val="0051228A"/>
    <w:rsid w:val="00516632"/>
    <w:rsid w:val="005206C3"/>
    <w:rsid w:val="0052134E"/>
    <w:rsid w:val="00524AEF"/>
    <w:rsid w:val="0052563F"/>
    <w:rsid w:val="005270A1"/>
    <w:rsid w:val="0053170D"/>
    <w:rsid w:val="00533E5B"/>
    <w:rsid w:val="00533FE9"/>
    <w:rsid w:val="005377C9"/>
    <w:rsid w:val="0054044F"/>
    <w:rsid w:val="0054201E"/>
    <w:rsid w:val="005538D6"/>
    <w:rsid w:val="00554FEE"/>
    <w:rsid w:val="00561D8A"/>
    <w:rsid w:val="00562FA7"/>
    <w:rsid w:val="005705CE"/>
    <w:rsid w:val="00573D03"/>
    <w:rsid w:val="00576DF6"/>
    <w:rsid w:val="0058102D"/>
    <w:rsid w:val="00582FC8"/>
    <w:rsid w:val="00584414"/>
    <w:rsid w:val="00587098"/>
    <w:rsid w:val="00591779"/>
    <w:rsid w:val="005954E1"/>
    <w:rsid w:val="0059596A"/>
    <w:rsid w:val="00597039"/>
    <w:rsid w:val="005A0888"/>
    <w:rsid w:val="005A1C4A"/>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9B7"/>
    <w:rsid w:val="00617FC6"/>
    <w:rsid w:val="00621BA2"/>
    <w:rsid w:val="006223FC"/>
    <w:rsid w:val="00625809"/>
    <w:rsid w:val="0062657C"/>
    <w:rsid w:val="0062744F"/>
    <w:rsid w:val="00630235"/>
    <w:rsid w:val="00635127"/>
    <w:rsid w:val="006354B6"/>
    <w:rsid w:val="00641A9A"/>
    <w:rsid w:val="006437E5"/>
    <w:rsid w:val="006447A5"/>
    <w:rsid w:val="00644999"/>
    <w:rsid w:val="00645B5D"/>
    <w:rsid w:val="00645C20"/>
    <w:rsid w:val="00645C26"/>
    <w:rsid w:val="00647DC6"/>
    <w:rsid w:val="00650620"/>
    <w:rsid w:val="00650F94"/>
    <w:rsid w:val="00651F8A"/>
    <w:rsid w:val="00652AF6"/>
    <w:rsid w:val="00653129"/>
    <w:rsid w:val="00653232"/>
    <w:rsid w:val="006552DB"/>
    <w:rsid w:val="00657CA4"/>
    <w:rsid w:val="00664644"/>
    <w:rsid w:val="00667233"/>
    <w:rsid w:val="00667A68"/>
    <w:rsid w:val="006703C1"/>
    <w:rsid w:val="00675D92"/>
    <w:rsid w:val="0067675A"/>
    <w:rsid w:val="0067758B"/>
    <w:rsid w:val="0068052E"/>
    <w:rsid w:val="00682A6F"/>
    <w:rsid w:val="00682DC2"/>
    <w:rsid w:val="00687DC2"/>
    <w:rsid w:val="00692B01"/>
    <w:rsid w:val="00697D27"/>
    <w:rsid w:val="006A0D49"/>
    <w:rsid w:val="006A1DE2"/>
    <w:rsid w:val="006A2CB4"/>
    <w:rsid w:val="006A5D03"/>
    <w:rsid w:val="006A756E"/>
    <w:rsid w:val="006B369D"/>
    <w:rsid w:val="006C312C"/>
    <w:rsid w:val="006C3723"/>
    <w:rsid w:val="006C3A1D"/>
    <w:rsid w:val="006C3A44"/>
    <w:rsid w:val="006C6293"/>
    <w:rsid w:val="006C6EB9"/>
    <w:rsid w:val="006D271F"/>
    <w:rsid w:val="006E12CD"/>
    <w:rsid w:val="006E2A06"/>
    <w:rsid w:val="006F55EB"/>
    <w:rsid w:val="00700344"/>
    <w:rsid w:val="0071053F"/>
    <w:rsid w:val="007137FC"/>
    <w:rsid w:val="00713D2A"/>
    <w:rsid w:val="00715398"/>
    <w:rsid w:val="00717A7E"/>
    <w:rsid w:val="0073646C"/>
    <w:rsid w:val="00736CEC"/>
    <w:rsid w:val="007412C1"/>
    <w:rsid w:val="007433D8"/>
    <w:rsid w:val="0074648E"/>
    <w:rsid w:val="00747843"/>
    <w:rsid w:val="0075199E"/>
    <w:rsid w:val="007522C3"/>
    <w:rsid w:val="0075493E"/>
    <w:rsid w:val="0075569C"/>
    <w:rsid w:val="00755E48"/>
    <w:rsid w:val="0076586A"/>
    <w:rsid w:val="00766CE4"/>
    <w:rsid w:val="007749D0"/>
    <w:rsid w:val="00781869"/>
    <w:rsid w:val="00781AF1"/>
    <w:rsid w:val="00781D27"/>
    <w:rsid w:val="00782CAA"/>
    <w:rsid w:val="00782D13"/>
    <w:rsid w:val="007879DF"/>
    <w:rsid w:val="007940EC"/>
    <w:rsid w:val="007959B1"/>
    <w:rsid w:val="007A0FDD"/>
    <w:rsid w:val="007A1691"/>
    <w:rsid w:val="007A18ED"/>
    <w:rsid w:val="007A59A5"/>
    <w:rsid w:val="007B0CB7"/>
    <w:rsid w:val="007B2F44"/>
    <w:rsid w:val="007C5FD7"/>
    <w:rsid w:val="007D6FAE"/>
    <w:rsid w:val="007E51FC"/>
    <w:rsid w:val="007E75B7"/>
    <w:rsid w:val="007E7BE7"/>
    <w:rsid w:val="007E7D3B"/>
    <w:rsid w:val="007F5B35"/>
    <w:rsid w:val="007F6ABB"/>
    <w:rsid w:val="00802439"/>
    <w:rsid w:val="00803912"/>
    <w:rsid w:val="00804296"/>
    <w:rsid w:val="00806877"/>
    <w:rsid w:val="00807507"/>
    <w:rsid w:val="0081343A"/>
    <w:rsid w:val="00813D29"/>
    <w:rsid w:val="00821B03"/>
    <w:rsid w:val="00823D48"/>
    <w:rsid w:val="00830DD4"/>
    <w:rsid w:val="00830FA1"/>
    <w:rsid w:val="00835128"/>
    <w:rsid w:val="0084175D"/>
    <w:rsid w:val="00844FA8"/>
    <w:rsid w:val="00846BF6"/>
    <w:rsid w:val="00846E41"/>
    <w:rsid w:val="00846EDC"/>
    <w:rsid w:val="008515C2"/>
    <w:rsid w:val="00853D59"/>
    <w:rsid w:val="00855908"/>
    <w:rsid w:val="00856CE8"/>
    <w:rsid w:val="00860871"/>
    <w:rsid w:val="00864EA3"/>
    <w:rsid w:val="00865877"/>
    <w:rsid w:val="00866B2F"/>
    <w:rsid w:val="00866B9D"/>
    <w:rsid w:val="00866FA3"/>
    <w:rsid w:val="008732BA"/>
    <w:rsid w:val="00874A20"/>
    <w:rsid w:val="00876AEC"/>
    <w:rsid w:val="00880C3A"/>
    <w:rsid w:val="00882291"/>
    <w:rsid w:val="0088383B"/>
    <w:rsid w:val="00885CE8"/>
    <w:rsid w:val="00891405"/>
    <w:rsid w:val="008919E3"/>
    <w:rsid w:val="008927A4"/>
    <w:rsid w:val="008959DB"/>
    <w:rsid w:val="008A0B43"/>
    <w:rsid w:val="008A11AE"/>
    <w:rsid w:val="008A3F85"/>
    <w:rsid w:val="008B63E2"/>
    <w:rsid w:val="008C0188"/>
    <w:rsid w:val="008C0EB2"/>
    <w:rsid w:val="008C3080"/>
    <w:rsid w:val="008C5D45"/>
    <w:rsid w:val="008D0652"/>
    <w:rsid w:val="008D09BA"/>
    <w:rsid w:val="008D62C6"/>
    <w:rsid w:val="008E1107"/>
    <w:rsid w:val="008E2D5E"/>
    <w:rsid w:val="008E62E5"/>
    <w:rsid w:val="008E695A"/>
    <w:rsid w:val="008E6F5C"/>
    <w:rsid w:val="008E7902"/>
    <w:rsid w:val="008F140E"/>
    <w:rsid w:val="008F3320"/>
    <w:rsid w:val="008F7D67"/>
    <w:rsid w:val="00901DE5"/>
    <w:rsid w:val="00912915"/>
    <w:rsid w:val="00912ABF"/>
    <w:rsid w:val="00917776"/>
    <w:rsid w:val="009204CC"/>
    <w:rsid w:val="00921DA9"/>
    <w:rsid w:val="00922955"/>
    <w:rsid w:val="00922B46"/>
    <w:rsid w:val="00922B67"/>
    <w:rsid w:val="009245E7"/>
    <w:rsid w:val="0092520A"/>
    <w:rsid w:val="0092700D"/>
    <w:rsid w:val="00930422"/>
    <w:rsid w:val="00933688"/>
    <w:rsid w:val="009379F5"/>
    <w:rsid w:val="009448BF"/>
    <w:rsid w:val="00946E94"/>
    <w:rsid w:val="009512EB"/>
    <w:rsid w:val="00953C71"/>
    <w:rsid w:val="009547E3"/>
    <w:rsid w:val="009549D9"/>
    <w:rsid w:val="0095509B"/>
    <w:rsid w:val="00960BE7"/>
    <w:rsid w:val="00961DDE"/>
    <w:rsid w:val="0096299C"/>
    <w:rsid w:val="00963FB8"/>
    <w:rsid w:val="00964ECD"/>
    <w:rsid w:val="00967143"/>
    <w:rsid w:val="00970E42"/>
    <w:rsid w:val="009769D7"/>
    <w:rsid w:val="00980D71"/>
    <w:rsid w:val="0099148F"/>
    <w:rsid w:val="00994F48"/>
    <w:rsid w:val="0099583D"/>
    <w:rsid w:val="009A08C2"/>
    <w:rsid w:val="009A4422"/>
    <w:rsid w:val="009A460C"/>
    <w:rsid w:val="009A7773"/>
    <w:rsid w:val="009B0D8E"/>
    <w:rsid w:val="009B1DAD"/>
    <w:rsid w:val="009B2ED0"/>
    <w:rsid w:val="009B4D4E"/>
    <w:rsid w:val="009B662C"/>
    <w:rsid w:val="009C2729"/>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3F59"/>
    <w:rsid w:val="00A156B3"/>
    <w:rsid w:val="00A224F3"/>
    <w:rsid w:val="00A24CCB"/>
    <w:rsid w:val="00A27BF0"/>
    <w:rsid w:val="00A33BBF"/>
    <w:rsid w:val="00A343D8"/>
    <w:rsid w:val="00A40FF3"/>
    <w:rsid w:val="00A411D4"/>
    <w:rsid w:val="00A44239"/>
    <w:rsid w:val="00A4512A"/>
    <w:rsid w:val="00A46160"/>
    <w:rsid w:val="00A50706"/>
    <w:rsid w:val="00A61694"/>
    <w:rsid w:val="00A6355D"/>
    <w:rsid w:val="00A63915"/>
    <w:rsid w:val="00A66388"/>
    <w:rsid w:val="00A703C5"/>
    <w:rsid w:val="00A84DB1"/>
    <w:rsid w:val="00A86181"/>
    <w:rsid w:val="00A9043D"/>
    <w:rsid w:val="00A9344E"/>
    <w:rsid w:val="00A95A00"/>
    <w:rsid w:val="00A968BA"/>
    <w:rsid w:val="00A97BB8"/>
    <w:rsid w:val="00AA0508"/>
    <w:rsid w:val="00AA1AE3"/>
    <w:rsid w:val="00AA3DE9"/>
    <w:rsid w:val="00AA5842"/>
    <w:rsid w:val="00AA6A0E"/>
    <w:rsid w:val="00AA6C2E"/>
    <w:rsid w:val="00AB4244"/>
    <w:rsid w:val="00AC258C"/>
    <w:rsid w:val="00AC2C9E"/>
    <w:rsid w:val="00AC478E"/>
    <w:rsid w:val="00AC635D"/>
    <w:rsid w:val="00AD157F"/>
    <w:rsid w:val="00AD1DD2"/>
    <w:rsid w:val="00AE5693"/>
    <w:rsid w:val="00AE7634"/>
    <w:rsid w:val="00AF421E"/>
    <w:rsid w:val="00AF54B7"/>
    <w:rsid w:val="00AF57B4"/>
    <w:rsid w:val="00AF77C8"/>
    <w:rsid w:val="00AF7FB1"/>
    <w:rsid w:val="00B03DEC"/>
    <w:rsid w:val="00B0766D"/>
    <w:rsid w:val="00B11839"/>
    <w:rsid w:val="00B11FDE"/>
    <w:rsid w:val="00B1321D"/>
    <w:rsid w:val="00B207FC"/>
    <w:rsid w:val="00B2210D"/>
    <w:rsid w:val="00B3023D"/>
    <w:rsid w:val="00B32E4F"/>
    <w:rsid w:val="00B405F5"/>
    <w:rsid w:val="00B42FA6"/>
    <w:rsid w:val="00B44FE0"/>
    <w:rsid w:val="00B533FB"/>
    <w:rsid w:val="00B534C2"/>
    <w:rsid w:val="00B552A8"/>
    <w:rsid w:val="00B60F75"/>
    <w:rsid w:val="00B620D5"/>
    <w:rsid w:val="00B64887"/>
    <w:rsid w:val="00B729BF"/>
    <w:rsid w:val="00B7335E"/>
    <w:rsid w:val="00B7563B"/>
    <w:rsid w:val="00B76227"/>
    <w:rsid w:val="00B77167"/>
    <w:rsid w:val="00B82BD9"/>
    <w:rsid w:val="00B84F37"/>
    <w:rsid w:val="00B8760C"/>
    <w:rsid w:val="00B908E1"/>
    <w:rsid w:val="00B9163A"/>
    <w:rsid w:val="00BA25A1"/>
    <w:rsid w:val="00BA29CB"/>
    <w:rsid w:val="00BA33C6"/>
    <w:rsid w:val="00BA4049"/>
    <w:rsid w:val="00BA64ED"/>
    <w:rsid w:val="00BB671A"/>
    <w:rsid w:val="00BC36D7"/>
    <w:rsid w:val="00BC5859"/>
    <w:rsid w:val="00BC5A8D"/>
    <w:rsid w:val="00BC67E7"/>
    <w:rsid w:val="00BC7958"/>
    <w:rsid w:val="00BD1310"/>
    <w:rsid w:val="00BD2009"/>
    <w:rsid w:val="00BD3501"/>
    <w:rsid w:val="00BD5671"/>
    <w:rsid w:val="00BD5D8B"/>
    <w:rsid w:val="00BD6209"/>
    <w:rsid w:val="00BE10EF"/>
    <w:rsid w:val="00BE2584"/>
    <w:rsid w:val="00BE2ED5"/>
    <w:rsid w:val="00BE3056"/>
    <w:rsid w:val="00BE3C22"/>
    <w:rsid w:val="00BE3DB1"/>
    <w:rsid w:val="00BE3F12"/>
    <w:rsid w:val="00BE615D"/>
    <w:rsid w:val="00BF2BB1"/>
    <w:rsid w:val="00BF53EE"/>
    <w:rsid w:val="00BF5F83"/>
    <w:rsid w:val="00C11797"/>
    <w:rsid w:val="00C11F24"/>
    <w:rsid w:val="00C12368"/>
    <w:rsid w:val="00C208D0"/>
    <w:rsid w:val="00C21C22"/>
    <w:rsid w:val="00C238BE"/>
    <w:rsid w:val="00C26D8E"/>
    <w:rsid w:val="00C30F4E"/>
    <w:rsid w:val="00C311B1"/>
    <w:rsid w:val="00C323F7"/>
    <w:rsid w:val="00C325BA"/>
    <w:rsid w:val="00C40275"/>
    <w:rsid w:val="00C44539"/>
    <w:rsid w:val="00C45217"/>
    <w:rsid w:val="00C54216"/>
    <w:rsid w:val="00C568F0"/>
    <w:rsid w:val="00C56B0B"/>
    <w:rsid w:val="00C6279F"/>
    <w:rsid w:val="00C62A72"/>
    <w:rsid w:val="00C631F0"/>
    <w:rsid w:val="00C6363E"/>
    <w:rsid w:val="00C63801"/>
    <w:rsid w:val="00C65A57"/>
    <w:rsid w:val="00C6623E"/>
    <w:rsid w:val="00C7043E"/>
    <w:rsid w:val="00C7178B"/>
    <w:rsid w:val="00C71C07"/>
    <w:rsid w:val="00C738C8"/>
    <w:rsid w:val="00C853C6"/>
    <w:rsid w:val="00C8763D"/>
    <w:rsid w:val="00C90A55"/>
    <w:rsid w:val="00C90D4A"/>
    <w:rsid w:val="00C91B4D"/>
    <w:rsid w:val="00C96D98"/>
    <w:rsid w:val="00CA4237"/>
    <w:rsid w:val="00CA7B68"/>
    <w:rsid w:val="00CB1989"/>
    <w:rsid w:val="00CB19FD"/>
    <w:rsid w:val="00CB1B2A"/>
    <w:rsid w:val="00CB3229"/>
    <w:rsid w:val="00CB4586"/>
    <w:rsid w:val="00CB4AE0"/>
    <w:rsid w:val="00CB5299"/>
    <w:rsid w:val="00CB5A92"/>
    <w:rsid w:val="00CC24DC"/>
    <w:rsid w:val="00CC28D2"/>
    <w:rsid w:val="00CC38AD"/>
    <w:rsid w:val="00CC6F41"/>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3651"/>
    <w:rsid w:val="00D240C5"/>
    <w:rsid w:val="00D2596A"/>
    <w:rsid w:val="00D26AB7"/>
    <w:rsid w:val="00D27537"/>
    <w:rsid w:val="00D30C1D"/>
    <w:rsid w:val="00D32BCE"/>
    <w:rsid w:val="00D35F1B"/>
    <w:rsid w:val="00D36222"/>
    <w:rsid w:val="00D36426"/>
    <w:rsid w:val="00D36651"/>
    <w:rsid w:val="00D44215"/>
    <w:rsid w:val="00D473CF"/>
    <w:rsid w:val="00D52683"/>
    <w:rsid w:val="00D5799E"/>
    <w:rsid w:val="00D6185B"/>
    <w:rsid w:val="00D67058"/>
    <w:rsid w:val="00D72286"/>
    <w:rsid w:val="00D72E04"/>
    <w:rsid w:val="00D74ADC"/>
    <w:rsid w:val="00D954E1"/>
    <w:rsid w:val="00D95E12"/>
    <w:rsid w:val="00DA1000"/>
    <w:rsid w:val="00DA2ED1"/>
    <w:rsid w:val="00DB10BA"/>
    <w:rsid w:val="00DB54E0"/>
    <w:rsid w:val="00DC204D"/>
    <w:rsid w:val="00DC5A39"/>
    <w:rsid w:val="00DC7C4F"/>
    <w:rsid w:val="00DD235D"/>
    <w:rsid w:val="00DD475B"/>
    <w:rsid w:val="00DE0805"/>
    <w:rsid w:val="00DE0F11"/>
    <w:rsid w:val="00DE142E"/>
    <w:rsid w:val="00DE27BC"/>
    <w:rsid w:val="00DF27C7"/>
    <w:rsid w:val="00DF3153"/>
    <w:rsid w:val="00E01562"/>
    <w:rsid w:val="00E05D57"/>
    <w:rsid w:val="00E06019"/>
    <w:rsid w:val="00E0682F"/>
    <w:rsid w:val="00E06A84"/>
    <w:rsid w:val="00E076DF"/>
    <w:rsid w:val="00E124B6"/>
    <w:rsid w:val="00E1385C"/>
    <w:rsid w:val="00E151B3"/>
    <w:rsid w:val="00E152BF"/>
    <w:rsid w:val="00E15C5E"/>
    <w:rsid w:val="00E16CBB"/>
    <w:rsid w:val="00E21941"/>
    <w:rsid w:val="00E2209B"/>
    <w:rsid w:val="00E236EC"/>
    <w:rsid w:val="00E26988"/>
    <w:rsid w:val="00E272B9"/>
    <w:rsid w:val="00E273F3"/>
    <w:rsid w:val="00E318D8"/>
    <w:rsid w:val="00E4076B"/>
    <w:rsid w:val="00E4080A"/>
    <w:rsid w:val="00E409F6"/>
    <w:rsid w:val="00E40CA0"/>
    <w:rsid w:val="00E410F6"/>
    <w:rsid w:val="00E43AC3"/>
    <w:rsid w:val="00E43DDF"/>
    <w:rsid w:val="00E464F1"/>
    <w:rsid w:val="00E467D9"/>
    <w:rsid w:val="00E475CE"/>
    <w:rsid w:val="00E51836"/>
    <w:rsid w:val="00E51AB6"/>
    <w:rsid w:val="00E575A4"/>
    <w:rsid w:val="00E616FB"/>
    <w:rsid w:val="00E61E06"/>
    <w:rsid w:val="00E62A87"/>
    <w:rsid w:val="00E62B57"/>
    <w:rsid w:val="00E718E1"/>
    <w:rsid w:val="00E73B6D"/>
    <w:rsid w:val="00E75015"/>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EF71D2"/>
    <w:rsid w:val="00F02A18"/>
    <w:rsid w:val="00F13C54"/>
    <w:rsid w:val="00F15E08"/>
    <w:rsid w:val="00F203E8"/>
    <w:rsid w:val="00F211B4"/>
    <w:rsid w:val="00F23FE0"/>
    <w:rsid w:val="00F248D8"/>
    <w:rsid w:val="00F25939"/>
    <w:rsid w:val="00F2746A"/>
    <w:rsid w:val="00F31522"/>
    <w:rsid w:val="00F32830"/>
    <w:rsid w:val="00F36A39"/>
    <w:rsid w:val="00F43223"/>
    <w:rsid w:val="00F4644B"/>
    <w:rsid w:val="00F5548F"/>
    <w:rsid w:val="00F561D1"/>
    <w:rsid w:val="00F61CAB"/>
    <w:rsid w:val="00F630BE"/>
    <w:rsid w:val="00F63A6F"/>
    <w:rsid w:val="00F6464B"/>
    <w:rsid w:val="00F66B06"/>
    <w:rsid w:val="00F66CA6"/>
    <w:rsid w:val="00F6771C"/>
    <w:rsid w:val="00F70D28"/>
    <w:rsid w:val="00F71941"/>
    <w:rsid w:val="00F72E5E"/>
    <w:rsid w:val="00F75C30"/>
    <w:rsid w:val="00F77218"/>
    <w:rsid w:val="00F84B28"/>
    <w:rsid w:val="00F94695"/>
    <w:rsid w:val="00F95B8B"/>
    <w:rsid w:val="00F96984"/>
    <w:rsid w:val="00FA1FC5"/>
    <w:rsid w:val="00FB02BF"/>
    <w:rsid w:val="00FC0981"/>
    <w:rsid w:val="00FC382E"/>
    <w:rsid w:val="00FD2009"/>
    <w:rsid w:val="00FD2649"/>
    <w:rsid w:val="00FD6AE0"/>
    <w:rsid w:val="00FE2640"/>
    <w:rsid w:val="00FE591F"/>
    <w:rsid w:val="00FE5B5A"/>
    <w:rsid w:val="00FF230A"/>
    <w:rsid w:val="00FF4455"/>
    <w:rsid w:val="00FF5AD2"/>
    <w:rsid w:val="00FF66B9"/>
    <w:rsid w:val="02A8CB8B"/>
    <w:rsid w:val="02BC7225"/>
    <w:rsid w:val="03CFB55C"/>
    <w:rsid w:val="0444E104"/>
    <w:rsid w:val="04B8BF12"/>
    <w:rsid w:val="060533B7"/>
    <w:rsid w:val="06BE39DF"/>
    <w:rsid w:val="07428FEF"/>
    <w:rsid w:val="090BF865"/>
    <w:rsid w:val="09EAFF37"/>
    <w:rsid w:val="0E0A2380"/>
    <w:rsid w:val="0FFADCCB"/>
    <w:rsid w:val="10B61275"/>
    <w:rsid w:val="11996D29"/>
    <w:rsid w:val="14270744"/>
    <w:rsid w:val="14AD1A25"/>
    <w:rsid w:val="1B3038DE"/>
    <w:rsid w:val="1B566291"/>
    <w:rsid w:val="1B919354"/>
    <w:rsid w:val="1DCFE2C3"/>
    <w:rsid w:val="1F954826"/>
    <w:rsid w:val="274FDAD9"/>
    <w:rsid w:val="28048415"/>
    <w:rsid w:val="29452292"/>
    <w:rsid w:val="2AE0F2F3"/>
    <w:rsid w:val="2FE659C6"/>
    <w:rsid w:val="30E40182"/>
    <w:rsid w:val="3115F732"/>
    <w:rsid w:val="33941246"/>
    <w:rsid w:val="346F661A"/>
    <w:rsid w:val="35388043"/>
    <w:rsid w:val="3626616F"/>
    <w:rsid w:val="372C07FB"/>
    <w:rsid w:val="3BF333A6"/>
    <w:rsid w:val="3CC71C82"/>
    <w:rsid w:val="450E19CE"/>
    <w:rsid w:val="4C878E64"/>
    <w:rsid w:val="4DBD3748"/>
    <w:rsid w:val="4E245DD9"/>
    <w:rsid w:val="4E776871"/>
    <w:rsid w:val="4FDCE72D"/>
    <w:rsid w:val="5032EC4A"/>
    <w:rsid w:val="52FF240F"/>
    <w:rsid w:val="548A22B0"/>
    <w:rsid w:val="57050839"/>
    <w:rsid w:val="58551244"/>
    <w:rsid w:val="5A2FD8C7"/>
    <w:rsid w:val="5A8181B2"/>
    <w:rsid w:val="5A853EC8"/>
    <w:rsid w:val="5BC5E535"/>
    <w:rsid w:val="609F1A4B"/>
    <w:rsid w:val="66B43699"/>
    <w:rsid w:val="67100BAD"/>
    <w:rsid w:val="6940A5A0"/>
    <w:rsid w:val="6B798B74"/>
    <w:rsid w:val="6CB81DCC"/>
    <w:rsid w:val="6D96C4B5"/>
    <w:rsid w:val="70257334"/>
    <w:rsid w:val="70C57B51"/>
    <w:rsid w:val="71CF3FF4"/>
    <w:rsid w:val="766B9984"/>
    <w:rsid w:val="7871D672"/>
    <w:rsid w:val="7BE6B5E5"/>
    <w:rsid w:val="7F9BC27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AC258C"/>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E51AB6"/>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6C3A44"/>
    <w:pPr>
      <w:tabs>
        <w:tab w:val="right" w:pos="9628"/>
      </w:tabs>
      <w:spacing w:after="0"/>
      <w:ind w:left="72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normaltextrun">
    <w:name w:val="normaltextrun"/>
    <w:basedOn w:val="DefaultParagraphFont"/>
    <w:rsid w:val="00271F13"/>
  </w:style>
  <w:style w:type="character" w:customStyle="1" w:styleId="eop">
    <w:name w:val="eop"/>
    <w:basedOn w:val="DefaultParagraphFont"/>
    <w:rsid w:val="00271F13"/>
  </w:style>
  <w:style w:type="character" w:styleId="CommentReference">
    <w:name w:val="annotation reference"/>
    <w:basedOn w:val="DefaultParagraphFont"/>
    <w:uiPriority w:val="99"/>
    <w:semiHidden/>
    <w:unhideWhenUsed/>
    <w:locked/>
    <w:rsid w:val="00236CAA"/>
    <w:rPr>
      <w:sz w:val="16"/>
      <w:szCs w:val="16"/>
    </w:rPr>
  </w:style>
  <w:style w:type="paragraph" w:styleId="CommentText">
    <w:name w:val="annotation text"/>
    <w:basedOn w:val="Normal"/>
    <w:link w:val="CommentTextChar"/>
    <w:uiPriority w:val="99"/>
    <w:unhideWhenUsed/>
    <w:locked/>
    <w:rsid w:val="00236CAA"/>
    <w:pPr>
      <w:spacing w:line="240" w:lineRule="auto"/>
    </w:pPr>
    <w:rPr>
      <w:sz w:val="20"/>
      <w:szCs w:val="20"/>
    </w:rPr>
  </w:style>
  <w:style w:type="character" w:customStyle="1" w:styleId="CommentTextChar">
    <w:name w:val="Comment Text Char"/>
    <w:basedOn w:val="DefaultParagraphFont"/>
    <w:link w:val="CommentText"/>
    <w:uiPriority w:val="99"/>
    <w:rsid w:val="00236CAA"/>
    <w:rPr>
      <w:sz w:val="20"/>
      <w:szCs w:val="20"/>
      <w:lang w:val="en-GB"/>
    </w:rPr>
  </w:style>
  <w:style w:type="paragraph" w:styleId="CommentSubject">
    <w:name w:val="annotation subject"/>
    <w:basedOn w:val="CommentText"/>
    <w:next w:val="CommentText"/>
    <w:link w:val="CommentSubjectChar"/>
    <w:uiPriority w:val="99"/>
    <w:semiHidden/>
    <w:unhideWhenUsed/>
    <w:locked/>
    <w:rsid w:val="00236CAA"/>
    <w:rPr>
      <w:b/>
      <w:bCs/>
    </w:rPr>
  </w:style>
  <w:style w:type="character" w:customStyle="1" w:styleId="CommentSubjectChar">
    <w:name w:val="Comment Subject Char"/>
    <w:basedOn w:val="CommentTextChar"/>
    <w:link w:val="CommentSubject"/>
    <w:uiPriority w:val="99"/>
    <w:semiHidden/>
    <w:rsid w:val="00236CAA"/>
    <w:rPr>
      <w:b/>
      <w:bCs/>
      <w:sz w:val="20"/>
      <w:szCs w:val="20"/>
      <w:lang w:val="en-GB"/>
    </w:rPr>
  </w:style>
  <w:style w:type="paragraph" w:styleId="Revision">
    <w:name w:val="Revision"/>
    <w:hidden/>
    <w:uiPriority w:val="71"/>
    <w:semiHidden/>
    <w:rsid w:val="00876AEC"/>
    <w:pPr>
      <w:spacing w:after="0" w:line="240" w:lineRule="auto"/>
    </w:pPr>
    <w:rPr>
      <w:lang w:val="en-GB"/>
    </w:rPr>
  </w:style>
  <w:style w:type="character" w:styleId="UnresolvedMention">
    <w:name w:val="Unresolved Mention"/>
    <w:basedOn w:val="DefaultParagraphFont"/>
    <w:uiPriority w:val="99"/>
    <w:semiHidden/>
    <w:unhideWhenUsed/>
    <w:rsid w:val="00664644"/>
    <w:rPr>
      <w:color w:val="605E5C"/>
      <w:shd w:val="clear" w:color="auto" w:fill="E1DFDD"/>
    </w:rPr>
  </w:style>
  <w:style w:type="character" w:styleId="Mention">
    <w:name w:val="Mention"/>
    <w:basedOn w:val="DefaultParagraphFont"/>
    <w:uiPriority w:val="99"/>
    <w:unhideWhenUsed/>
    <w:rsid w:val="0062657C"/>
    <w:rPr>
      <w:color w:val="2B579A"/>
      <w:shd w:val="clear" w:color="auto" w:fill="E1DFDD"/>
    </w:rPr>
  </w:style>
  <w:style w:type="table" w:customStyle="1" w:styleId="ENGeneralTable1">
    <w:name w:val="EN General Table1"/>
    <w:basedOn w:val="TableNormal"/>
    <w:uiPriority w:val="99"/>
    <w:qFormat/>
    <w:rsid w:val="00A66388"/>
    <w:pPr>
      <w:spacing w:after="0" w:line="240" w:lineRule="auto"/>
    </w:pPr>
    <w:rPr>
      <w:rFonts w:ascii="Arial" w:eastAsia="MS Mincho" w:hAnsi="Arial" w:cs="Times New Roman"/>
      <w:sz w:val="16"/>
    </w:rPr>
    <w:tblPr>
      <w:tblInd w:w="0" w:type="nil"/>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Arial" w:hint="default"/>
        <w:b/>
        <w:sz w:val="16"/>
        <w:szCs w:val="1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2036346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wcom.gov.uk/project/review-of-the-arbitration-act-1996/" TargetMode="External"/><Relationship Id="rId18" Type="http://schemas.openxmlformats.org/officeDocument/2006/relationships/hyperlink" Target="https://hansard.parliament.uk/lords/2024-11-06/debates/820CF4D4-FAF0-494C-9EE8-AC865950C3EB/ArbitrationBill(H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commons/2025-02-11/debates/CF5BDB51-EAC4-4F05-93B8-5B6B9D27A946/ArbitrationBill(Lords)" TargetMode="External"/><Relationship Id="rId34" Type="http://schemas.microsoft.com/office/2019/05/relationships/documenttasks" Target="documenttasks/documenttasks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lords/2024-10-30/debates/228FE5DE-138F-46E2-A8AE-029806046077/ArbitrationBill(HL)"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ills.parliament.uk/bills/3733/stages/18911" TargetMode="External"/><Relationship Id="rId20" Type="http://schemas.openxmlformats.org/officeDocument/2006/relationships/hyperlink" Target="https://hansard.parliament.uk/commons/2025-01-29/debates/0DB35E95-E401-40F6-8065-A1556390B2EB/ArbitrationBill(Lords)"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commons/2025-02-24/debates/5A2A79F7-C894-49E5-BE4C-685AD366B4A5/Speaker%E2%80%99SStatement"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ansard.parliament.uk/lords/2024-07-30/debates/3BF3A985-D9FC-4C4E-97F7-C8A1DF1AF39D/ArbitrationBill(HL)" TargetMode="External"/><Relationship Id="rId23" Type="http://schemas.openxmlformats.org/officeDocument/2006/relationships/hyperlink" Target="https://hansard.parliament.uk/lords/2025-02-24/debates/3E6E70C9-62D4-455B-AF0A-1B8D54EED1C6/RoyalAssent"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s://commonsbusiness.parliament.uk/Document/89744/Html?subType=Standard"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lords/2024-07-18/debates/07BE831C-2D3E-45E9-A72A-212731042A6A/ArbitrationBill(HL)" TargetMode="External"/><Relationship Id="rId22" Type="http://schemas.openxmlformats.org/officeDocument/2006/relationships/hyperlink" Target="https://hansard.parliament.uk/commons/2025-02-11/debates/CF5BDB51-EAC4-4F05-93B8-5B6B9D27A946/ArbitrationBill(Lords)"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lawcom.gov.uk/project/review-of-the-arbitration-act-1996/" TargetMode="External"/><Relationship Id="rId7" Type="http://schemas.openxmlformats.org/officeDocument/2006/relationships/hyperlink" Target="https://www.bailii.org/uk/cases/UKHL/2000/15.html" TargetMode="External"/><Relationship Id="rId2" Type="http://schemas.openxmlformats.org/officeDocument/2006/relationships/hyperlink" Target="https://arbitration.qmul.ac.uk/research/2021-international-arbitration-survey/" TargetMode="External"/><Relationship Id="rId1" Type="http://schemas.openxmlformats.org/officeDocument/2006/relationships/hyperlink" Target="https://lawcom.gov.uk/project/review-of-the-arbitration-act-1996/" TargetMode="External"/><Relationship Id="rId6" Type="http://schemas.openxmlformats.org/officeDocument/2006/relationships/hyperlink" Target="https://www.supremecourt.uk/cases/uksc-2009-0165" TargetMode="External"/><Relationship Id="rId5" Type="http://schemas.openxmlformats.org/officeDocument/2006/relationships/hyperlink" Target="https://www.supremecourt.uk/cases/uksc-2018-0100.html" TargetMode="External"/><Relationship Id="rId4" Type="http://schemas.openxmlformats.org/officeDocument/2006/relationships/hyperlink" Target="https://www.supremecourt.uk/cases/uksc-2020-0091.html" TargetMode="External"/></Relationships>
</file>

<file path=word/documenttasks/documenttasks1.xml><?xml version="1.0" encoding="utf-8"?>
<t:Tasks xmlns:t="http://schemas.microsoft.com/office/tasks/2019/documenttasks" xmlns:oel="http://schemas.microsoft.com/office/2019/extlst">
  <t:Task id="{BC9855D1-4FBD-4B80-B64C-6383B2C986FF}">
    <t:Anchor>
      <t:Comment id="867181711"/>
    </t:Anchor>
    <t:History>
      <t:Event id="{0F7232E9-76A7-4251-942A-DB742B71E1B0}" time="2024-07-05T09:26:40.023Z">
        <t:Attribution userId="S::lee.pedder@justice.gov.uk::359e3963-443b-48ab-a64c-c7b46a11f6b5" userProvider="AD" userName="Pedder, Lee"/>
        <t:Anchor>
          <t:Comment id="867181711"/>
        </t:Anchor>
        <t:Create/>
      </t:Event>
      <t:Event id="{766F95E6-E1DC-4ABC-A7E9-498A7FF1C42A}" time="2024-07-05T09:26:40.023Z">
        <t:Attribution userId="S::lee.pedder@justice.gov.uk::359e3963-443b-48ab-a64c-c7b46a11f6b5" userProvider="AD" userName="Pedder, Lee"/>
        <t:Anchor>
          <t:Comment id="867181711"/>
        </t:Anchor>
        <t:Assign userId="S::Wan.Fan@justice.gov.uk::c4665939-76b6-4a01-9275-a28b07b76d22" userProvider="AD" userName="Fan, Wan"/>
      </t:Event>
      <t:Event id="{B73830CF-FD93-4153-8B98-41FFE6368738}" time="2024-07-05T09:26:40.023Z">
        <t:Attribution userId="S::lee.pedder@justice.gov.uk::359e3963-443b-48ab-a64c-c7b46a11f6b5" userProvider="AD" userName="Pedder, Lee"/>
        <t:Anchor>
          <t:Comment id="867181711"/>
        </t:Anchor>
        <t:SetTitle title="@Fan, Wan One more correction to the previous ex notes!"/>
      </t:Event>
    </t:History>
  </t:Task>
</t:Task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0040F7" w:rsidP="000040F7">
          <w:pPr>
            <w:pStyle w:val="CD3D908E5859454DA8862ED367C34F9E1"/>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2178EE" w:rsidP="002178EE">
          <w:pPr>
            <w:pStyle w:val="429B95C62CE54A678415E0E7152C4720"/>
          </w:pPr>
          <w:r w:rsidRPr="00E51AB6">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0040F7">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2178EE" w:rsidP="002178EE">
          <w:pPr>
            <w:pStyle w:val="0FDD4D9B0F5C4AFF84E1FD63808F8140"/>
          </w:pPr>
          <w:r w:rsidRPr="00E51AB6">
            <w:rPr>
              <w:rFonts w:ascii="Palatino Linotype" w:hAnsi="Palatino Linotype"/>
              <w:szCs w:val="20"/>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2178EE" w:rsidP="002178EE">
          <w:pPr>
            <w:pStyle w:val="11DD78EF168E419980891885524C23DD"/>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00000003" w:usb1="500079DB" w:usb2="0000001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25300784">
    <w:abstractNumId w:val="1"/>
  </w:num>
  <w:num w:numId="2" w16cid:durableId="1288508327">
    <w:abstractNumId w:val="0"/>
  </w:num>
  <w:num w:numId="3" w16cid:durableId="801191100">
    <w:abstractNumId w:val="2"/>
  </w:num>
  <w:num w:numId="4" w16cid:durableId="712535788">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040F7"/>
    <w:rsid w:val="000524A1"/>
    <w:rsid w:val="000C3F06"/>
    <w:rsid w:val="00141991"/>
    <w:rsid w:val="00161D68"/>
    <w:rsid w:val="001A03B5"/>
    <w:rsid w:val="001A3081"/>
    <w:rsid w:val="001B21BF"/>
    <w:rsid w:val="002178EE"/>
    <w:rsid w:val="0037197D"/>
    <w:rsid w:val="0039439D"/>
    <w:rsid w:val="003A0273"/>
    <w:rsid w:val="003A3D5D"/>
    <w:rsid w:val="003E5242"/>
    <w:rsid w:val="003E5FCA"/>
    <w:rsid w:val="00455AEC"/>
    <w:rsid w:val="00481712"/>
    <w:rsid w:val="00491233"/>
    <w:rsid w:val="00505749"/>
    <w:rsid w:val="00516391"/>
    <w:rsid w:val="00524148"/>
    <w:rsid w:val="00535479"/>
    <w:rsid w:val="0055517D"/>
    <w:rsid w:val="00564617"/>
    <w:rsid w:val="006642BD"/>
    <w:rsid w:val="00682B26"/>
    <w:rsid w:val="006F47F9"/>
    <w:rsid w:val="00796867"/>
    <w:rsid w:val="007F7A52"/>
    <w:rsid w:val="0081343A"/>
    <w:rsid w:val="00846138"/>
    <w:rsid w:val="0085144C"/>
    <w:rsid w:val="0085683A"/>
    <w:rsid w:val="0086178D"/>
    <w:rsid w:val="008D64A5"/>
    <w:rsid w:val="00900407"/>
    <w:rsid w:val="0095375F"/>
    <w:rsid w:val="009B0CA8"/>
    <w:rsid w:val="00A13F59"/>
    <w:rsid w:val="00A65B53"/>
    <w:rsid w:val="00A675C6"/>
    <w:rsid w:val="00A732F0"/>
    <w:rsid w:val="00A862F7"/>
    <w:rsid w:val="00AE5C5F"/>
    <w:rsid w:val="00B570B0"/>
    <w:rsid w:val="00C03D15"/>
    <w:rsid w:val="00C20CAA"/>
    <w:rsid w:val="00C44655"/>
    <w:rsid w:val="00C634C3"/>
    <w:rsid w:val="00D140D8"/>
    <w:rsid w:val="00D94424"/>
    <w:rsid w:val="00DB5606"/>
    <w:rsid w:val="00E17A45"/>
    <w:rsid w:val="00E6269C"/>
    <w:rsid w:val="00E62F92"/>
    <w:rsid w:val="00F251A8"/>
    <w:rsid w:val="00F36607"/>
    <w:rsid w:val="00F579E9"/>
    <w:rsid w:val="00F61CAB"/>
    <w:rsid w:val="00F85786"/>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2178EE"/>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564617"/>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CD3D908E5859454DA8862ED367C34F9E1">
    <w:name w:val="CD3D908E5859454DA8862ED367C34F9E1"/>
    <w:rsid w:val="000040F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
    <w:name w:val="429B95C62CE54A678415E0E7152C4720"/>
    <w:rsid w:val="002178E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
    <w:name w:val="0FDD4D9B0F5C4AFF84E1FD63808F8140"/>
    <w:rsid w:val="002178EE"/>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2178EE"/>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2025-02-24T00:00:00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95C1BF-0CEC-4503-B237-FE9654E25EF8}">
  <ds:schemaRefs>
    <ds:schemaRef ds:uri="http://schemas.microsoft.com/sharepoint/v3/contenttype/forms"/>
  </ds:schemaRefs>
</ds:datastoreItem>
</file>

<file path=customXml/itemProps3.xml><?xml version="1.0" encoding="utf-8"?>
<ds:datastoreItem xmlns:ds="http://schemas.openxmlformats.org/officeDocument/2006/customXml" ds:itemID="{6C477F57-763B-4241-A771-E1CBAF58DDFC}">
  <ds:schemaRefs>
    <ds:schemaRef ds:uri="http://schemas.microsoft.com/sharepoint/events"/>
  </ds:schemaRefs>
</ds:datastoreItem>
</file>

<file path=customXml/itemProps4.xml><?xml version="1.0" encoding="utf-8"?>
<ds:datastoreItem xmlns:ds="http://schemas.openxmlformats.org/officeDocument/2006/customXml" ds:itemID="{E41DD396-1EFE-4375-BDF9-28FE4E0BF9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8AC4682-516F-47E2-ADCB-13F0A68A552C}">
  <ds:schemaRefs>
    <ds:schemaRef ds:uri="http://schemas.openxmlformats.org/officeDocument/2006/bibliography"/>
  </ds:schemaRefs>
</ds:datastoreItem>
</file>

<file path=customXml/itemProps6.xml><?xml version="1.0" encoding="utf-8"?>
<ds:datastoreItem xmlns:ds="http://schemas.openxmlformats.org/officeDocument/2006/customXml" ds:itemID="{426AE46E-2B0B-46F9-BD92-EA3D819BCA8D}">
  <ds:schemaRefs>
    <ds:schemaRef ds:uri="http://purl.org/dc/terms/"/>
    <ds:schemaRef ds:uri="http://schemas.microsoft.com/office/2006/metadata/properties"/>
    <ds:schemaRef ds:uri="http://www.w3.org/XML/1998/namespace"/>
    <ds:schemaRef ds:uri="http://schemas.microsoft.com/office/2006/documentManagement/types"/>
    <ds:schemaRef ds:uri="http://purl.org/dc/dcmitype/"/>
    <ds:schemaRef ds:uri="http://purl.org/dc/elements/1.1/"/>
    <ds:schemaRef ds:uri="4f998c8e-9751-4b60-ab63-466603ec2845"/>
    <ds:schemaRef ds:uri="cb25da13-ebaa-4f6b-9bdc-d3fbad4efc83"/>
    <ds:schemaRef ds:uri="http://schemas.microsoft.com/office/infopath/2007/PartnerControls"/>
    <ds:schemaRef ds:uri="http://schemas.openxmlformats.org/package/2006/metadata/core-properties"/>
    <ds:schemaRef ds:uri="http://schemas.microsoft.com/sharepoint/v3"/>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Template>
  <TotalTime>44</TotalTime>
  <Pages>1</Pages>
  <Words>4671</Words>
  <Characters>26627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Arbitration</vt:lpstr>
    </vt:vector>
  </TitlesOfParts>
  <Manager/>
  <Company>prepared by the Ministry of Justice</Company>
  <LinksUpToDate>false</LinksUpToDate>
  <CharactersWithSpaces>31236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Arbitration</dc:title>
  <dc:subject/>
  <dc:creator>Guidance</dc:creator>
  <cp:keywords>v.1.5.2</cp:keywords>
  <dc:description>Template last amended 01/02/2016</dc:description>
  <cp:lastModifiedBy>Townsend, Molly</cp:lastModifiedBy>
  <cp:revision>4</cp:revision>
  <cp:lastPrinted>2016-01-06T10:34:00Z</cp:lastPrinted>
  <dcterms:created xsi:type="dcterms:W3CDTF">2025-03-26T10:23:00Z</dcterms:created>
  <dcterms:modified xsi:type="dcterms:W3CDTF">2025-03-28T16:30:00Z</dcterms:modified>
  <cp:category>4</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MediaServiceImageTags">
    <vt:lpwstr/>
  </property>
  <property fmtid="{D5CDD505-2E9C-101B-9397-08002B2CF9AE}" pid="4" name="MSIP_Label_a8f77787-5df4-43b6-a2a8-8d8b678a318b_Enabled">
    <vt:lpwstr>true</vt:lpwstr>
  </property>
  <property fmtid="{D5CDD505-2E9C-101B-9397-08002B2CF9AE}" pid="5" name="MSIP_Label_a8f77787-5df4-43b6-a2a8-8d8b678a318b_SetDate">
    <vt:lpwstr>2023-11-17T10:31:30Z</vt:lpwstr>
  </property>
  <property fmtid="{D5CDD505-2E9C-101B-9397-08002B2CF9AE}" pid="6" name="MSIP_Label_a8f77787-5df4-43b6-a2a8-8d8b678a318b_Method">
    <vt:lpwstr>Standard</vt:lpwstr>
  </property>
  <property fmtid="{D5CDD505-2E9C-101B-9397-08002B2CF9AE}" pid="7" name="MSIP_Label_a8f77787-5df4-43b6-a2a8-8d8b678a318b_Name">
    <vt:lpwstr>a8f77787-5df4-43b6-a2a8-8d8b678a318b</vt:lpwstr>
  </property>
  <property fmtid="{D5CDD505-2E9C-101B-9397-08002B2CF9AE}" pid="8" name="MSIP_Label_a8f77787-5df4-43b6-a2a8-8d8b678a318b_SiteId">
    <vt:lpwstr>1ce6dd9e-b337-4088-be5e-8dbbec04b34a</vt:lpwstr>
  </property>
  <property fmtid="{D5CDD505-2E9C-101B-9397-08002B2CF9AE}" pid="9" name="MSIP_Label_a8f77787-5df4-43b6-a2a8-8d8b678a318b_ActionId">
    <vt:lpwstr>03602f0b-84a2-49dc-9178-9cc12aa330f8</vt:lpwstr>
  </property>
  <property fmtid="{D5CDD505-2E9C-101B-9397-08002B2CF9AE}" pid="10" name="MSIP_Label_a8f77787-5df4-43b6-a2a8-8d8b678a318b_ContentBits">
    <vt:lpwstr>0</vt:lpwstr>
  </property>
</Properties>
</file>