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359DE" w14:textId="432F7486" w:rsidR="007827CE" w:rsidRPr="0047734D" w:rsidRDefault="00D54539" w:rsidP="007B6E88">
      <w:pPr>
        <w:jc w:val="center"/>
        <w:rPr>
          <w:rFonts w:ascii="Arial" w:hAnsi="Arial" w:cs="Arial"/>
          <w:b/>
          <w:bCs/>
          <w:sz w:val="28"/>
          <w:szCs w:val="28"/>
        </w:rPr>
      </w:pPr>
      <w:r w:rsidRPr="0047734D">
        <w:rPr>
          <w:rFonts w:ascii="Arial" w:hAnsi="Arial" w:cs="Arial"/>
          <w:b/>
          <w:bCs/>
          <w:sz w:val="28"/>
          <w:szCs w:val="28"/>
        </w:rPr>
        <w:t xml:space="preserve">Increasing Magistrates’ </w:t>
      </w:r>
      <w:r w:rsidR="008B1062">
        <w:rPr>
          <w:rFonts w:ascii="Arial" w:hAnsi="Arial" w:cs="Arial"/>
          <w:b/>
          <w:bCs/>
          <w:sz w:val="28"/>
          <w:szCs w:val="28"/>
        </w:rPr>
        <w:t>C</w:t>
      </w:r>
      <w:r w:rsidRPr="0047734D">
        <w:rPr>
          <w:rFonts w:ascii="Arial" w:hAnsi="Arial" w:cs="Arial"/>
          <w:b/>
          <w:bCs/>
          <w:sz w:val="28"/>
          <w:szCs w:val="28"/>
        </w:rPr>
        <w:t xml:space="preserve">ourt </w:t>
      </w:r>
      <w:r w:rsidR="008B1062">
        <w:rPr>
          <w:rFonts w:ascii="Arial" w:hAnsi="Arial" w:cs="Arial"/>
          <w:b/>
          <w:bCs/>
          <w:sz w:val="28"/>
          <w:szCs w:val="28"/>
        </w:rPr>
        <w:t>S</w:t>
      </w:r>
      <w:r w:rsidRPr="0047734D">
        <w:rPr>
          <w:rFonts w:ascii="Arial" w:hAnsi="Arial" w:cs="Arial"/>
          <w:b/>
          <w:bCs/>
          <w:sz w:val="28"/>
          <w:szCs w:val="28"/>
        </w:rPr>
        <w:t xml:space="preserve">entencing </w:t>
      </w:r>
      <w:r w:rsidR="008B1062">
        <w:rPr>
          <w:rFonts w:ascii="Arial" w:hAnsi="Arial" w:cs="Arial"/>
          <w:b/>
          <w:bCs/>
          <w:sz w:val="28"/>
          <w:szCs w:val="28"/>
        </w:rPr>
        <w:t>P</w:t>
      </w:r>
      <w:r w:rsidRPr="0047734D">
        <w:rPr>
          <w:rFonts w:ascii="Arial" w:hAnsi="Arial" w:cs="Arial"/>
          <w:b/>
          <w:bCs/>
          <w:sz w:val="28"/>
          <w:szCs w:val="28"/>
        </w:rPr>
        <w:t>owers</w:t>
      </w:r>
    </w:p>
    <w:p w14:paraId="2C078E63" w14:textId="0E098581" w:rsidR="00D12FE2" w:rsidRPr="0047734D" w:rsidRDefault="004741F5" w:rsidP="007B6E88">
      <w:pPr>
        <w:jc w:val="center"/>
        <w:rPr>
          <w:rFonts w:ascii="Arial" w:hAnsi="Arial" w:cs="Arial"/>
          <w:b/>
          <w:bCs/>
          <w:sz w:val="28"/>
          <w:szCs w:val="28"/>
        </w:rPr>
      </w:pPr>
      <w:r w:rsidRPr="0047734D">
        <w:rPr>
          <w:rFonts w:ascii="Arial" w:hAnsi="Arial" w:cs="Arial"/>
          <w:b/>
          <w:bCs/>
          <w:sz w:val="28"/>
          <w:szCs w:val="28"/>
        </w:rPr>
        <w:t>Eq</w:t>
      </w:r>
      <w:r w:rsidR="00AD75EC" w:rsidRPr="0047734D">
        <w:rPr>
          <w:rFonts w:ascii="Arial" w:hAnsi="Arial" w:cs="Arial"/>
          <w:b/>
          <w:bCs/>
          <w:sz w:val="28"/>
          <w:szCs w:val="28"/>
        </w:rPr>
        <w:t>uality Impact Statement</w:t>
      </w:r>
    </w:p>
    <w:p w14:paraId="3DF3336F" w14:textId="36F2BA7F" w:rsidR="00762940" w:rsidRPr="00FB483C" w:rsidRDefault="00762940">
      <w:pPr>
        <w:rPr>
          <w:rFonts w:ascii="Arial" w:hAnsi="Arial" w:cs="Arial"/>
          <w:b/>
          <w:bCs/>
        </w:rPr>
      </w:pPr>
      <w:r w:rsidRPr="00FB483C">
        <w:rPr>
          <w:rFonts w:ascii="Arial" w:hAnsi="Arial" w:cs="Arial"/>
          <w:b/>
          <w:bCs/>
        </w:rPr>
        <w:t xml:space="preserve">Purpose of this document </w:t>
      </w:r>
    </w:p>
    <w:p w14:paraId="3E6EF6FB" w14:textId="4273A783" w:rsidR="00762940" w:rsidRDefault="00BE3135" w:rsidP="00C41D64">
      <w:pPr>
        <w:pStyle w:val="ListParagraph"/>
        <w:numPr>
          <w:ilvl w:val="0"/>
          <w:numId w:val="15"/>
        </w:numPr>
        <w:rPr>
          <w:rFonts w:ascii="Arial" w:hAnsi="Arial" w:cs="Arial"/>
        </w:rPr>
      </w:pPr>
      <w:r w:rsidRPr="649ED7A9">
        <w:rPr>
          <w:rFonts w:ascii="Arial" w:hAnsi="Arial" w:cs="Arial"/>
        </w:rPr>
        <w:t xml:space="preserve">This equality analysis has been undertaken to assist the Secretary of State in deciding whether to make </w:t>
      </w:r>
      <w:r w:rsidR="005C1A22" w:rsidRPr="649ED7A9">
        <w:rPr>
          <w:rFonts w:ascii="Arial" w:hAnsi="Arial" w:cs="Arial"/>
        </w:rPr>
        <w:t>a</w:t>
      </w:r>
      <w:r w:rsidRPr="649ED7A9">
        <w:rPr>
          <w:rFonts w:ascii="Arial" w:hAnsi="Arial" w:cs="Arial"/>
        </w:rPr>
        <w:t xml:space="preserve"> </w:t>
      </w:r>
      <w:r w:rsidR="005C1A22" w:rsidRPr="649ED7A9">
        <w:rPr>
          <w:rFonts w:ascii="Arial" w:hAnsi="Arial" w:cs="Arial"/>
        </w:rPr>
        <w:t>Statutory Instrument (</w:t>
      </w:r>
      <w:r w:rsidRPr="649ED7A9">
        <w:rPr>
          <w:rFonts w:ascii="Arial" w:hAnsi="Arial" w:cs="Arial"/>
        </w:rPr>
        <w:t>SI</w:t>
      </w:r>
      <w:r w:rsidR="005C1A22" w:rsidRPr="649ED7A9">
        <w:rPr>
          <w:rFonts w:ascii="Arial" w:hAnsi="Arial" w:cs="Arial"/>
        </w:rPr>
        <w:t>)</w:t>
      </w:r>
      <w:r w:rsidRPr="649ED7A9">
        <w:rPr>
          <w:rFonts w:ascii="Arial" w:hAnsi="Arial" w:cs="Arial"/>
        </w:rPr>
        <w:t xml:space="preserve"> extending </w:t>
      </w:r>
      <w:r w:rsidR="004764C2" w:rsidRPr="649ED7A9">
        <w:rPr>
          <w:rFonts w:ascii="Arial" w:hAnsi="Arial" w:cs="Arial"/>
        </w:rPr>
        <w:t>sentencing powers in the magistrates’</w:t>
      </w:r>
      <w:r w:rsidR="39D11C8B" w:rsidRPr="649ED7A9">
        <w:rPr>
          <w:rFonts w:ascii="Arial" w:hAnsi="Arial" w:cs="Arial"/>
        </w:rPr>
        <w:t xml:space="preserve"> </w:t>
      </w:r>
      <w:r w:rsidR="004764C2" w:rsidRPr="649ED7A9">
        <w:rPr>
          <w:rFonts w:ascii="Arial" w:hAnsi="Arial" w:cs="Arial"/>
        </w:rPr>
        <w:t>court from maximum 6 to 12 months’</w:t>
      </w:r>
      <w:r w:rsidR="00C234E4" w:rsidRPr="649ED7A9">
        <w:rPr>
          <w:rFonts w:ascii="Arial" w:hAnsi="Arial" w:cs="Arial"/>
        </w:rPr>
        <w:t xml:space="preserve"> </w:t>
      </w:r>
      <w:r w:rsidR="004764C2" w:rsidRPr="649ED7A9">
        <w:rPr>
          <w:rFonts w:ascii="Arial" w:hAnsi="Arial" w:cs="Arial"/>
        </w:rPr>
        <w:t>imprisonment for a single triable-either</w:t>
      </w:r>
      <w:r w:rsidR="00541D0F" w:rsidRPr="649ED7A9">
        <w:rPr>
          <w:rFonts w:ascii="Arial" w:hAnsi="Arial" w:cs="Arial"/>
        </w:rPr>
        <w:t xml:space="preserve"> way (TEW) offence. </w:t>
      </w:r>
    </w:p>
    <w:p w14:paraId="30D2BDAB" w14:textId="77777777" w:rsidR="00794EE6" w:rsidRPr="00DF7E2E" w:rsidRDefault="00794EE6" w:rsidP="00794EE6">
      <w:pPr>
        <w:pStyle w:val="ListParagraph"/>
        <w:ind w:left="360"/>
        <w:rPr>
          <w:rFonts w:ascii="Arial" w:hAnsi="Arial" w:cs="Arial"/>
        </w:rPr>
      </w:pPr>
    </w:p>
    <w:p w14:paraId="1A7D5BEC" w14:textId="38D3A1C1" w:rsidR="00794EE6" w:rsidRDefault="004D2DC3" w:rsidP="00794EE6">
      <w:pPr>
        <w:pStyle w:val="ListParagraph"/>
        <w:numPr>
          <w:ilvl w:val="0"/>
          <w:numId w:val="15"/>
        </w:numPr>
        <w:rPr>
          <w:rFonts w:ascii="Arial" w:hAnsi="Arial" w:cs="Arial"/>
        </w:rPr>
      </w:pPr>
      <w:r w:rsidRPr="00DF7E2E">
        <w:rPr>
          <w:rFonts w:ascii="Arial" w:hAnsi="Arial" w:cs="Arial"/>
        </w:rPr>
        <w:t xml:space="preserve">The analysis supports the </w:t>
      </w:r>
      <w:r w:rsidR="009752CD" w:rsidRPr="00DF7E2E">
        <w:rPr>
          <w:rFonts w:ascii="Arial" w:hAnsi="Arial" w:cs="Arial"/>
        </w:rPr>
        <w:t xml:space="preserve">Secretary of State in fulfilling her duty under the </w:t>
      </w:r>
      <w:r w:rsidR="00C4365D" w:rsidRPr="00DF7E2E">
        <w:rPr>
          <w:rFonts w:ascii="Arial" w:hAnsi="Arial" w:cs="Arial"/>
        </w:rPr>
        <w:t>P</w:t>
      </w:r>
      <w:r w:rsidR="009752CD" w:rsidRPr="00DF7E2E">
        <w:rPr>
          <w:rFonts w:ascii="Arial" w:hAnsi="Arial" w:cs="Arial"/>
        </w:rPr>
        <w:t xml:space="preserve">ublic </w:t>
      </w:r>
      <w:r w:rsidR="009B6FB2" w:rsidRPr="00DF7E2E">
        <w:rPr>
          <w:rFonts w:ascii="Arial" w:hAnsi="Arial" w:cs="Arial"/>
        </w:rPr>
        <w:t xml:space="preserve">Sector Equality Duty (PSED) by having due regard to the equality impact of implementing the proposed provision. </w:t>
      </w:r>
    </w:p>
    <w:p w14:paraId="24C9434B" w14:textId="77777777" w:rsidR="00F65F81" w:rsidRPr="00F65F81" w:rsidRDefault="00F65F81" w:rsidP="00F65F81">
      <w:pPr>
        <w:pStyle w:val="ListParagraph"/>
        <w:rPr>
          <w:rFonts w:ascii="Arial" w:hAnsi="Arial" w:cs="Arial"/>
        </w:rPr>
      </w:pPr>
    </w:p>
    <w:p w14:paraId="2E392F88" w14:textId="40E3BF0E" w:rsidR="00F65F81" w:rsidRDefault="009B6FB2" w:rsidP="00F65F81">
      <w:pPr>
        <w:pStyle w:val="ListParagraph"/>
        <w:numPr>
          <w:ilvl w:val="0"/>
          <w:numId w:val="15"/>
        </w:numPr>
        <w:rPr>
          <w:rFonts w:ascii="Arial" w:hAnsi="Arial" w:cs="Arial"/>
        </w:rPr>
      </w:pPr>
      <w:r w:rsidRPr="00F65F81">
        <w:rPr>
          <w:rFonts w:ascii="Arial" w:hAnsi="Arial" w:cs="Arial"/>
        </w:rPr>
        <w:t>This document assesse</w:t>
      </w:r>
      <w:r w:rsidR="00AA0B80" w:rsidRPr="00F65F81">
        <w:rPr>
          <w:rFonts w:ascii="Arial" w:hAnsi="Arial" w:cs="Arial"/>
        </w:rPr>
        <w:t>s</w:t>
      </w:r>
      <w:r w:rsidRPr="00F65F81">
        <w:rPr>
          <w:rFonts w:ascii="Arial" w:hAnsi="Arial" w:cs="Arial"/>
        </w:rPr>
        <w:t xml:space="preserve"> the potential equalities benefits and risks that have been identified by the proposed policy. It considers the justification for the change and any necessary mitigating actions which have been proposed to reduce the likelihood of the risks and includes an assessment of any equality benefits.</w:t>
      </w:r>
    </w:p>
    <w:p w14:paraId="02B57F6D" w14:textId="77777777" w:rsidR="00F65F81" w:rsidRPr="00F65F81" w:rsidRDefault="00F65F81" w:rsidP="00F65F81">
      <w:pPr>
        <w:pStyle w:val="ListParagraph"/>
        <w:rPr>
          <w:rFonts w:ascii="Arial" w:hAnsi="Arial" w:cs="Arial"/>
        </w:rPr>
      </w:pPr>
    </w:p>
    <w:p w14:paraId="70DDE947" w14:textId="3EF4D106" w:rsidR="005136AB" w:rsidRPr="00F65F81" w:rsidRDefault="00781E4C" w:rsidP="00F65F81">
      <w:pPr>
        <w:pStyle w:val="ListParagraph"/>
        <w:numPr>
          <w:ilvl w:val="0"/>
          <w:numId w:val="15"/>
        </w:numPr>
        <w:rPr>
          <w:rFonts w:ascii="Arial" w:hAnsi="Arial" w:cs="Arial"/>
        </w:rPr>
      </w:pPr>
      <w:r w:rsidRPr="00F65F81">
        <w:rPr>
          <w:rFonts w:ascii="Arial" w:hAnsi="Arial" w:cs="Arial"/>
        </w:rPr>
        <w:t xml:space="preserve">We will be reviewing the equalities impact of this measure and updating our assessment as the impacts become clearer or new evidence emerges. This approach is in line with the continuing </w:t>
      </w:r>
      <w:r w:rsidR="00344BE5" w:rsidRPr="00F65F81">
        <w:rPr>
          <w:rFonts w:ascii="Arial" w:hAnsi="Arial" w:cs="Arial"/>
        </w:rPr>
        <w:t xml:space="preserve">ongoing nature of the PSED. </w:t>
      </w:r>
    </w:p>
    <w:p w14:paraId="4A792D7C" w14:textId="26419E9F" w:rsidR="001070EE" w:rsidRPr="006B7E0D" w:rsidRDefault="001070EE">
      <w:pPr>
        <w:rPr>
          <w:rFonts w:ascii="Arial" w:hAnsi="Arial" w:cs="Arial"/>
          <w:b/>
        </w:rPr>
      </w:pPr>
      <w:r w:rsidRPr="00FB483C">
        <w:rPr>
          <w:rFonts w:ascii="Arial" w:hAnsi="Arial" w:cs="Arial"/>
          <w:b/>
          <w:bCs/>
        </w:rPr>
        <w:t xml:space="preserve">Introduction </w:t>
      </w:r>
    </w:p>
    <w:p w14:paraId="05AF0296" w14:textId="1E414820" w:rsidR="009543AC" w:rsidRPr="00F65F81" w:rsidRDefault="00147C95" w:rsidP="00C41D64">
      <w:pPr>
        <w:pStyle w:val="ListParagraph"/>
        <w:numPr>
          <w:ilvl w:val="0"/>
          <w:numId w:val="15"/>
        </w:numPr>
        <w:rPr>
          <w:rFonts w:ascii="Arial" w:hAnsi="Arial" w:cs="Arial"/>
        </w:rPr>
      </w:pPr>
      <w:r w:rsidRPr="0047734D">
        <w:rPr>
          <w:rFonts w:ascii="Arial" w:hAnsi="Arial" w:cs="Arial"/>
        </w:rPr>
        <w:t xml:space="preserve">This policy is to increase magistrates’ </w:t>
      </w:r>
      <w:r w:rsidRPr="0047734D">
        <w:rPr>
          <w:rFonts w:ascii="Arial" w:hAnsi="Arial" w:cs="Arial"/>
          <w:iCs/>
        </w:rPr>
        <w:t xml:space="preserve">court sentencing powers from a maximum of 6 months to 12 months’ imprisonment for a single triable either-way (TEW) offence via </w:t>
      </w:r>
      <w:r w:rsidR="00921A2D">
        <w:rPr>
          <w:rFonts w:ascii="Arial" w:hAnsi="Arial" w:cs="Arial"/>
          <w:iCs/>
        </w:rPr>
        <w:t>t</w:t>
      </w:r>
      <w:r w:rsidRPr="0047734D">
        <w:rPr>
          <w:rFonts w:ascii="Arial" w:hAnsi="Arial" w:cs="Arial"/>
          <w:iCs/>
        </w:rPr>
        <w:t xml:space="preserve">he Sentencing Act 2020 (Magistrates’ Court Sentencing Powers) (Amendment) Regulations 2024. </w:t>
      </w:r>
    </w:p>
    <w:p w14:paraId="3C41B2B3" w14:textId="77777777" w:rsidR="00F65F81" w:rsidRPr="00DB063C" w:rsidRDefault="00F65F81" w:rsidP="00F65F81">
      <w:pPr>
        <w:pStyle w:val="ListParagraph"/>
        <w:ind w:left="360"/>
        <w:rPr>
          <w:rFonts w:ascii="Arial" w:hAnsi="Arial" w:cs="Arial"/>
        </w:rPr>
      </w:pPr>
    </w:p>
    <w:p w14:paraId="3DEE5324" w14:textId="4CCA6444" w:rsidR="00147C95" w:rsidRDefault="00147C95" w:rsidP="00C41D64">
      <w:pPr>
        <w:pStyle w:val="ListParagraph"/>
        <w:numPr>
          <w:ilvl w:val="0"/>
          <w:numId w:val="15"/>
        </w:numPr>
        <w:rPr>
          <w:b/>
          <w:u w:val="single"/>
        </w:rPr>
      </w:pPr>
      <w:r w:rsidRPr="0047734D">
        <w:rPr>
          <w:rFonts w:ascii="Arial" w:hAnsi="Arial" w:cs="Arial"/>
        </w:rPr>
        <w:t xml:space="preserve">The policy objective is to improve efficiency </w:t>
      </w:r>
      <w:r w:rsidRPr="0047734D">
        <w:rPr>
          <w:rFonts w:ascii="Arial" w:hAnsi="Arial" w:cs="Arial"/>
          <w:iCs/>
        </w:rPr>
        <w:t xml:space="preserve">in the criminal courts and reduce the Crown Court outstanding caseload by retaining more hearings in the magistrates’ courts, thereby freeing up time in the Crown Court for other cases to be heard. </w:t>
      </w:r>
    </w:p>
    <w:p w14:paraId="5FD0A75A" w14:textId="5F432926" w:rsidR="00BA223B" w:rsidRPr="00FB483C" w:rsidRDefault="00BA223B">
      <w:pPr>
        <w:rPr>
          <w:rFonts w:ascii="Arial" w:hAnsi="Arial" w:cs="Arial"/>
          <w:b/>
          <w:bCs/>
        </w:rPr>
      </w:pPr>
      <w:r w:rsidRPr="00FB483C">
        <w:rPr>
          <w:rFonts w:ascii="Arial" w:hAnsi="Arial" w:cs="Arial"/>
          <w:b/>
          <w:bCs/>
        </w:rPr>
        <w:t>Policy</w:t>
      </w:r>
      <w:r w:rsidR="00C32F29" w:rsidRPr="00FB483C">
        <w:rPr>
          <w:rFonts w:ascii="Arial" w:hAnsi="Arial" w:cs="Arial"/>
          <w:b/>
          <w:bCs/>
        </w:rPr>
        <w:t xml:space="preserve"> Summary</w:t>
      </w:r>
      <w:r w:rsidRPr="00FB483C">
        <w:rPr>
          <w:rFonts w:ascii="Arial" w:hAnsi="Arial" w:cs="Arial"/>
          <w:b/>
          <w:bCs/>
        </w:rPr>
        <w:t xml:space="preserve"> </w:t>
      </w:r>
    </w:p>
    <w:p w14:paraId="4A660FAD" w14:textId="1BF9AC51" w:rsidR="009543AC" w:rsidRPr="00DB063C" w:rsidRDefault="0055321A" w:rsidP="00C41D64">
      <w:pPr>
        <w:pStyle w:val="ListParagraph"/>
        <w:numPr>
          <w:ilvl w:val="0"/>
          <w:numId w:val="15"/>
        </w:numPr>
        <w:rPr>
          <w:rFonts w:ascii="Arial" w:hAnsi="Arial" w:cs="Arial"/>
          <w:iCs/>
        </w:rPr>
      </w:pPr>
      <w:r w:rsidRPr="0055321A">
        <w:rPr>
          <w:rFonts w:ascii="Arial" w:hAnsi="Arial" w:cs="Arial"/>
          <w:iCs/>
        </w:rPr>
        <w:t>This policy will extend sentencing powers in the magistrates’ courts to allow them to</w:t>
      </w:r>
      <w:r>
        <w:rPr>
          <w:rFonts w:ascii="Arial" w:hAnsi="Arial" w:cs="Arial"/>
          <w:iCs/>
        </w:rPr>
        <w:t xml:space="preserve"> </w:t>
      </w:r>
      <w:r w:rsidRPr="0055321A">
        <w:rPr>
          <w:rFonts w:ascii="Arial" w:hAnsi="Arial" w:cs="Arial"/>
          <w:iCs/>
        </w:rPr>
        <w:t>impose a sentence of up to a maximum of 12 months’ imprisonment for a single</w:t>
      </w:r>
      <w:r>
        <w:rPr>
          <w:rFonts w:ascii="Arial" w:hAnsi="Arial" w:cs="Arial"/>
          <w:iCs/>
        </w:rPr>
        <w:t xml:space="preserve"> </w:t>
      </w:r>
      <w:r w:rsidRPr="0055321A">
        <w:rPr>
          <w:rFonts w:ascii="Arial" w:hAnsi="Arial" w:cs="Arial"/>
          <w:iCs/>
        </w:rPr>
        <w:t>offence, on summary conviction of a single TEW offence.</w:t>
      </w:r>
      <w:r w:rsidR="006F7C49">
        <w:rPr>
          <w:rFonts w:ascii="Arial" w:hAnsi="Arial" w:cs="Arial"/>
          <w:iCs/>
        </w:rPr>
        <w:t xml:space="preserve"> </w:t>
      </w:r>
      <w:r w:rsidR="001F4C06" w:rsidRPr="0047734D">
        <w:rPr>
          <w:rFonts w:ascii="Arial" w:hAnsi="Arial" w:cs="Arial"/>
          <w:iCs/>
        </w:rPr>
        <w:t xml:space="preserve">This will apply to District Judges (DJs) and </w:t>
      </w:r>
      <w:r w:rsidR="006F7C49">
        <w:rPr>
          <w:rFonts w:ascii="Arial" w:hAnsi="Arial" w:cs="Arial"/>
          <w:iCs/>
        </w:rPr>
        <w:t>m</w:t>
      </w:r>
      <w:r w:rsidR="001F4C06" w:rsidRPr="0047734D">
        <w:rPr>
          <w:rFonts w:ascii="Arial" w:hAnsi="Arial" w:cs="Arial"/>
          <w:iCs/>
        </w:rPr>
        <w:t xml:space="preserve">agistrates who will both be able to </w:t>
      </w:r>
      <w:r w:rsidR="00A15838" w:rsidRPr="0047734D">
        <w:rPr>
          <w:rFonts w:ascii="Arial" w:hAnsi="Arial" w:cs="Arial"/>
          <w:iCs/>
        </w:rPr>
        <w:t xml:space="preserve">use these increased powers. There will be no change to consecutive sentence provisions, the present limit of 12-month imprisonment for two or more TEW offences will not be affected. </w:t>
      </w:r>
    </w:p>
    <w:p w14:paraId="03E5CE88" w14:textId="4836922A" w:rsidR="009543AC" w:rsidRDefault="00BB75FB" w:rsidP="00C72270">
      <w:pPr>
        <w:pStyle w:val="ListParagraph"/>
        <w:numPr>
          <w:ilvl w:val="0"/>
          <w:numId w:val="15"/>
        </w:numPr>
        <w:rPr>
          <w:rFonts w:ascii="Arial" w:hAnsi="Arial" w:cs="Arial"/>
          <w:iCs/>
        </w:rPr>
      </w:pPr>
      <w:r w:rsidRPr="0047734D">
        <w:rPr>
          <w:rFonts w:ascii="Arial" w:hAnsi="Arial" w:cs="Arial"/>
          <w:iCs/>
        </w:rPr>
        <w:lastRenderedPageBreak/>
        <w:t xml:space="preserve">Defendants who are charged </w:t>
      </w:r>
      <w:r w:rsidR="00E44C16" w:rsidRPr="0047734D">
        <w:rPr>
          <w:rFonts w:ascii="Arial" w:hAnsi="Arial" w:cs="Arial"/>
          <w:iCs/>
        </w:rPr>
        <w:t xml:space="preserve">with a TEW offence will continue to have the right to elect for a Crown Court trial. This means that where a magistrates’ court accepts jurisdiction to deal with a more serious TEW case, the defendant can still choose instead to have the case tried in the Crown Court. </w:t>
      </w:r>
    </w:p>
    <w:p w14:paraId="7874E775" w14:textId="77777777" w:rsidR="00F65F81" w:rsidRPr="00C72270" w:rsidRDefault="00F65F81" w:rsidP="00F65F81">
      <w:pPr>
        <w:pStyle w:val="ListParagraph"/>
        <w:ind w:left="360"/>
        <w:rPr>
          <w:rFonts w:ascii="Arial" w:hAnsi="Arial" w:cs="Arial"/>
          <w:iCs/>
        </w:rPr>
      </w:pPr>
    </w:p>
    <w:p w14:paraId="7D802AE2" w14:textId="22569639" w:rsidR="00CD78D0" w:rsidRPr="00C72270" w:rsidRDefault="00E44C16" w:rsidP="00C72270">
      <w:pPr>
        <w:pStyle w:val="ListParagraph"/>
        <w:numPr>
          <w:ilvl w:val="0"/>
          <w:numId w:val="15"/>
        </w:numPr>
        <w:rPr>
          <w:b/>
          <w:u w:val="single"/>
        </w:rPr>
      </w:pPr>
      <w:r w:rsidRPr="0047734D">
        <w:rPr>
          <w:rFonts w:ascii="Arial" w:hAnsi="Arial" w:cs="Arial"/>
          <w:iCs/>
        </w:rPr>
        <w:t xml:space="preserve">There has been other work done in order </w:t>
      </w:r>
      <w:r w:rsidR="00A764AF" w:rsidRPr="0047734D">
        <w:rPr>
          <w:rFonts w:ascii="Arial" w:hAnsi="Arial" w:cs="Arial"/>
        </w:rPr>
        <w:t xml:space="preserve">to keep more cases in the magistrates’ courts. This includes updates to the ‘Allocation to the Crown Court Guidance and Good Practice’ in February 2021. Magistrates are advised, subject to issues of complexity, to keep any case which could be expected to have a sentence of up to 18 months, although the case would still need to be sent to the Crown Court for sentencing. This means that cases within the scope of the increased sentencing powers that require a trial can already be retained in a magistrates’ court for trial. </w:t>
      </w:r>
    </w:p>
    <w:p w14:paraId="4ECF4F90" w14:textId="74544FDC" w:rsidR="001E7D85" w:rsidRPr="00C72270" w:rsidRDefault="001E7D85" w:rsidP="006A5889">
      <w:pPr>
        <w:rPr>
          <w:rFonts w:ascii="Arial" w:hAnsi="Arial" w:cs="Arial"/>
          <w:b/>
        </w:rPr>
      </w:pPr>
      <w:r w:rsidRPr="00C72270">
        <w:rPr>
          <w:rFonts w:ascii="Arial" w:hAnsi="Arial" w:cs="Arial"/>
          <w:b/>
        </w:rPr>
        <w:t>Equalities Duties</w:t>
      </w:r>
    </w:p>
    <w:p w14:paraId="47A494B1" w14:textId="1B15A54E" w:rsidR="006A5889" w:rsidRDefault="0043287C" w:rsidP="00076C56">
      <w:pPr>
        <w:pStyle w:val="ListParagraph"/>
        <w:numPr>
          <w:ilvl w:val="0"/>
          <w:numId w:val="15"/>
        </w:numPr>
        <w:rPr>
          <w:rFonts w:ascii="Arial" w:hAnsi="Arial" w:cs="Arial"/>
        </w:rPr>
      </w:pPr>
      <w:r>
        <w:rPr>
          <w:rFonts w:ascii="Arial" w:hAnsi="Arial" w:cs="Arial"/>
        </w:rPr>
        <w:t>Under the Equality Act 2010</w:t>
      </w:r>
      <w:r w:rsidR="00F11C04">
        <w:rPr>
          <w:rStyle w:val="FootnoteReference"/>
          <w:rFonts w:ascii="Arial" w:hAnsi="Arial" w:cs="Arial"/>
        </w:rPr>
        <w:footnoteReference w:id="2"/>
      </w:r>
      <w:r>
        <w:rPr>
          <w:rFonts w:ascii="Arial" w:hAnsi="Arial" w:cs="Arial"/>
        </w:rPr>
        <w:t xml:space="preserve">, when exercising its functions, the MoJ has an ongoing legal duty (PSED) to pay due regard to the need to: </w:t>
      </w:r>
    </w:p>
    <w:p w14:paraId="0FE934C7" w14:textId="475EECD4" w:rsidR="006A5889" w:rsidRPr="00076C56" w:rsidRDefault="006A5889" w:rsidP="00076C56">
      <w:pPr>
        <w:pStyle w:val="ListParagraph"/>
        <w:numPr>
          <w:ilvl w:val="0"/>
          <w:numId w:val="14"/>
        </w:numPr>
        <w:rPr>
          <w:rFonts w:ascii="Arial" w:hAnsi="Arial" w:cs="Arial"/>
        </w:rPr>
      </w:pPr>
      <w:r w:rsidRPr="00076C56">
        <w:rPr>
          <w:rFonts w:ascii="Arial" w:hAnsi="Arial" w:cs="Arial"/>
        </w:rPr>
        <w:t>eliminate unlawful discrimination</w:t>
      </w:r>
      <w:r w:rsidR="00FA33A8">
        <w:rPr>
          <w:rFonts w:ascii="Arial" w:hAnsi="Arial" w:cs="Arial"/>
        </w:rPr>
        <w:t xml:space="preserve">, </w:t>
      </w:r>
      <w:r w:rsidRPr="00076C56">
        <w:rPr>
          <w:rFonts w:ascii="Arial" w:hAnsi="Arial" w:cs="Arial"/>
        </w:rPr>
        <w:t>harassment</w:t>
      </w:r>
      <w:r w:rsidR="00404CD5">
        <w:rPr>
          <w:rFonts w:ascii="Arial" w:hAnsi="Arial" w:cs="Arial"/>
        </w:rPr>
        <w:t xml:space="preserve"> and </w:t>
      </w:r>
      <w:r w:rsidRPr="00D44740">
        <w:rPr>
          <w:rFonts w:ascii="Arial" w:hAnsi="Arial" w:cs="Arial"/>
        </w:rPr>
        <w:t>victimisation and any other conduct prohibited by the Act</w:t>
      </w:r>
      <w:r w:rsidR="003803D4">
        <w:rPr>
          <w:rFonts w:ascii="Arial" w:hAnsi="Arial" w:cs="Arial"/>
        </w:rPr>
        <w:t>;</w:t>
      </w:r>
    </w:p>
    <w:p w14:paraId="009A6E0B" w14:textId="3966EDE6" w:rsidR="006A5889" w:rsidRPr="00A17FC5" w:rsidRDefault="00CE29DE" w:rsidP="00076C56">
      <w:pPr>
        <w:pStyle w:val="ListParagraph"/>
        <w:numPr>
          <w:ilvl w:val="0"/>
          <w:numId w:val="14"/>
        </w:numPr>
        <w:rPr>
          <w:rFonts w:ascii="Arial" w:hAnsi="Arial" w:cs="Arial"/>
        </w:rPr>
      </w:pPr>
      <w:r>
        <w:rPr>
          <w:rFonts w:ascii="Arial" w:hAnsi="Arial" w:cs="Arial"/>
        </w:rPr>
        <w:t>a</w:t>
      </w:r>
      <w:r w:rsidR="006A5889" w:rsidRPr="00076C56">
        <w:rPr>
          <w:rFonts w:ascii="Arial" w:hAnsi="Arial" w:cs="Arial"/>
        </w:rPr>
        <w:t>dvance equality of opportunity between people who share a protected characteristic and</w:t>
      </w:r>
      <w:r w:rsidR="003803D4">
        <w:rPr>
          <w:rFonts w:ascii="Arial" w:hAnsi="Arial" w:cs="Arial"/>
        </w:rPr>
        <w:t xml:space="preserve"> those who do not;</w:t>
      </w:r>
      <w:r w:rsidR="006A5889" w:rsidRPr="00A17FC5">
        <w:rPr>
          <w:rFonts w:ascii="Arial" w:hAnsi="Arial" w:cs="Arial"/>
        </w:rPr>
        <w:t xml:space="preserve"> </w:t>
      </w:r>
    </w:p>
    <w:p w14:paraId="3F7C54DE" w14:textId="6A1EE86F" w:rsidR="006A5889" w:rsidRDefault="00CE29DE">
      <w:pPr>
        <w:pStyle w:val="ListParagraph"/>
        <w:numPr>
          <w:ilvl w:val="0"/>
          <w:numId w:val="14"/>
        </w:numPr>
        <w:rPr>
          <w:rFonts w:ascii="Arial" w:hAnsi="Arial" w:cs="Arial"/>
        </w:rPr>
      </w:pPr>
      <w:r>
        <w:rPr>
          <w:rFonts w:ascii="Arial" w:hAnsi="Arial" w:cs="Arial"/>
        </w:rPr>
        <w:t>f</w:t>
      </w:r>
      <w:r w:rsidR="006A5889" w:rsidRPr="00076C56">
        <w:rPr>
          <w:rFonts w:ascii="Arial" w:hAnsi="Arial" w:cs="Arial"/>
        </w:rPr>
        <w:t>oster good relations</w:t>
      </w:r>
      <w:r w:rsidR="006A5889" w:rsidRPr="00A17FC5">
        <w:rPr>
          <w:rFonts w:ascii="Arial" w:hAnsi="Arial" w:cs="Arial"/>
        </w:rPr>
        <w:t xml:space="preserve"> between people who share a protected characteristic and those who do not</w:t>
      </w:r>
      <w:r w:rsidR="00FA33A8">
        <w:rPr>
          <w:rFonts w:ascii="Arial" w:hAnsi="Arial" w:cs="Arial"/>
        </w:rPr>
        <w:t>.</w:t>
      </w:r>
      <w:r w:rsidR="006A5889" w:rsidRPr="00076C56">
        <w:rPr>
          <w:rFonts w:ascii="Arial" w:hAnsi="Arial" w:cs="Arial"/>
        </w:rPr>
        <w:t xml:space="preserve"> </w:t>
      </w:r>
    </w:p>
    <w:p w14:paraId="16CFB45F" w14:textId="77777777" w:rsidR="00802894" w:rsidRPr="00A17FC5" w:rsidRDefault="00802894" w:rsidP="00076C56">
      <w:pPr>
        <w:pStyle w:val="ListParagraph"/>
        <w:ind w:left="360"/>
        <w:rPr>
          <w:rFonts w:ascii="Arial" w:hAnsi="Arial" w:cs="Arial"/>
        </w:rPr>
      </w:pPr>
    </w:p>
    <w:p w14:paraId="1FD09D52" w14:textId="6ECDC998" w:rsidR="006A5889" w:rsidRPr="00076C56" w:rsidRDefault="006A5889" w:rsidP="00A26E68">
      <w:pPr>
        <w:pStyle w:val="ListParagraph"/>
        <w:numPr>
          <w:ilvl w:val="0"/>
          <w:numId w:val="15"/>
        </w:numPr>
        <w:rPr>
          <w:rFonts w:ascii="Arial" w:hAnsi="Arial" w:cs="Arial"/>
        </w:rPr>
      </w:pPr>
      <w:r w:rsidRPr="00A17FC5">
        <w:rPr>
          <w:rFonts w:ascii="Arial" w:hAnsi="Arial" w:cs="Arial"/>
        </w:rPr>
        <w:t>The</w:t>
      </w:r>
      <w:r w:rsidR="00197633">
        <w:rPr>
          <w:rFonts w:ascii="Arial" w:hAnsi="Arial" w:cs="Arial"/>
        </w:rPr>
        <w:t xml:space="preserve"> payment of due regard to the PSED needs to be considered in light of the nine </w:t>
      </w:r>
      <w:r w:rsidR="00F90BA1">
        <w:rPr>
          <w:rFonts w:ascii="Arial" w:hAnsi="Arial" w:cs="Arial"/>
        </w:rPr>
        <w:t>protected characteristics:</w:t>
      </w:r>
    </w:p>
    <w:p w14:paraId="21301B79" w14:textId="43A1AC42" w:rsidR="006A5889" w:rsidRPr="00076C56" w:rsidRDefault="006A5889" w:rsidP="006A5889">
      <w:pPr>
        <w:pStyle w:val="ListParagraph"/>
        <w:numPr>
          <w:ilvl w:val="0"/>
          <w:numId w:val="2"/>
        </w:numPr>
        <w:rPr>
          <w:rFonts w:ascii="Arial" w:hAnsi="Arial" w:cs="Arial"/>
        </w:rPr>
      </w:pPr>
      <w:r w:rsidRPr="00076C56">
        <w:rPr>
          <w:rFonts w:ascii="Arial" w:hAnsi="Arial" w:cs="Arial"/>
        </w:rPr>
        <w:t>age</w:t>
      </w:r>
    </w:p>
    <w:p w14:paraId="4D9AABC6" w14:textId="00173275" w:rsidR="006A5889" w:rsidRPr="00076C56" w:rsidRDefault="006A5889" w:rsidP="006A5889">
      <w:pPr>
        <w:pStyle w:val="ListParagraph"/>
        <w:numPr>
          <w:ilvl w:val="0"/>
          <w:numId w:val="2"/>
        </w:numPr>
        <w:rPr>
          <w:rFonts w:ascii="Arial" w:hAnsi="Arial" w:cs="Arial"/>
        </w:rPr>
      </w:pPr>
      <w:r w:rsidRPr="00076C56">
        <w:rPr>
          <w:rFonts w:ascii="Arial" w:hAnsi="Arial" w:cs="Arial"/>
        </w:rPr>
        <w:t>disability</w:t>
      </w:r>
    </w:p>
    <w:p w14:paraId="41BCBB53" w14:textId="1B4D499D" w:rsidR="006A5889" w:rsidRPr="00076C56" w:rsidRDefault="006A5889" w:rsidP="006A5889">
      <w:pPr>
        <w:pStyle w:val="ListParagraph"/>
        <w:numPr>
          <w:ilvl w:val="0"/>
          <w:numId w:val="2"/>
        </w:numPr>
        <w:rPr>
          <w:rFonts w:ascii="Arial" w:hAnsi="Arial" w:cs="Arial"/>
        </w:rPr>
      </w:pPr>
      <w:r w:rsidRPr="00076C56">
        <w:rPr>
          <w:rFonts w:ascii="Arial" w:hAnsi="Arial" w:cs="Arial"/>
        </w:rPr>
        <w:t>gender reassignment</w:t>
      </w:r>
    </w:p>
    <w:p w14:paraId="006B2451" w14:textId="0B92C706" w:rsidR="006A5889" w:rsidRPr="00076C56" w:rsidRDefault="006A5889" w:rsidP="006A5889">
      <w:pPr>
        <w:pStyle w:val="ListParagraph"/>
        <w:numPr>
          <w:ilvl w:val="0"/>
          <w:numId w:val="2"/>
        </w:numPr>
        <w:rPr>
          <w:rFonts w:ascii="Arial" w:hAnsi="Arial" w:cs="Arial"/>
        </w:rPr>
      </w:pPr>
      <w:r w:rsidRPr="00076C56">
        <w:rPr>
          <w:rFonts w:ascii="Arial" w:hAnsi="Arial" w:cs="Arial"/>
        </w:rPr>
        <w:t xml:space="preserve">marriage and civil partnership </w:t>
      </w:r>
    </w:p>
    <w:p w14:paraId="295CDDA4" w14:textId="66F38903" w:rsidR="006A5889" w:rsidRPr="00076C56" w:rsidRDefault="006A5889" w:rsidP="006A5889">
      <w:pPr>
        <w:pStyle w:val="ListParagraph"/>
        <w:numPr>
          <w:ilvl w:val="0"/>
          <w:numId w:val="2"/>
        </w:numPr>
        <w:rPr>
          <w:rFonts w:ascii="Arial" w:hAnsi="Arial" w:cs="Arial"/>
        </w:rPr>
      </w:pPr>
      <w:r w:rsidRPr="00076C56">
        <w:rPr>
          <w:rFonts w:ascii="Arial" w:hAnsi="Arial" w:cs="Arial"/>
        </w:rPr>
        <w:t>pregnancy and maternity</w:t>
      </w:r>
    </w:p>
    <w:p w14:paraId="6AAFA87B" w14:textId="253B1EDF" w:rsidR="006A5889" w:rsidRPr="00076C56" w:rsidRDefault="006A5889" w:rsidP="006A5889">
      <w:pPr>
        <w:pStyle w:val="ListParagraph"/>
        <w:numPr>
          <w:ilvl w:val="0"/>
          <w:numId w:val="2"/>
        </w:numPr>
        <w:rPr>
          <w:rFonts w:ascii="Arial" w:hAnsi="Arial" w:cs="Arial"/>
        </w:rPr>
      </w:pPr>
      <w:r w:rsidRPr="00076C56">
        <w:rPr>
          <w:rFonts w:ascii="Arial" w:hAnsi="Arial" w:cs="Arial"/>
        </w:rPr>
        <w:t>race</w:t>
      </w:r>
    </w:p>
    <w:p w14:paraId="6FDF5C19" w14:textId="5BCA279A" w:rsidR="006A5889" w:rsidRPr="00076C56" w:rsidRDefault="006A5889" w:rsidP="006A5889">
      <w:pPr>
        <w:pStyle w:val="ListParagraph"/>
        <w:numPr>
          <w:ilvl w:val="0"/>
          <w:numId w:val="2"/>
        </w:numPr>
        <w:rPr>
          <w:rFonts w:ascii="Arial" w:hAnsi="Arial" w:cs="Arial"/>
        </w:rPr>
      </w:pPr>
      <w:r w:rsidRPr="00076C56">
        <w:rPr>
          <w:rFonts w:ascii="Arial" w:hAnsi="Arial" w:cs="Arial"/>
        </w:rPr>
        <w:t xml:space="preserve">religion or belief </w:t>
      </w:r>
    </w:p>
    <w:p w14:paraId="66DD1255" w14:textId="16717C8D" w:rsidR="006A5889" w:rsidRPr="00076C56" w:rsidRDefault="006A5889" w:rsidP="006A5889">
      <w:pPr>
        <w:pStyle w:val="ListParagraph"/>
        <w:numPr>
          <w:ilvl w:val="0"/>
          <w:numId w:val="2"/>
        </w:numPr>
        <w:rPr>
          <w:rFonts w:ascii="Arial" w:hAnsi="Arial" w:cs="Arial"/>
        </w:rPr>
      </w:pPr>
      <w:r w:rsidRPr="00076C56">
        <w:rPr>
          <w:rFonts w:ascii="Arial" w:hAnsi="Arial" w:cs="Arial"/>
        </w:rPr>
        <w:t>sex</w:t>
      </w:r>
    </w:p>
    <w:p w14:paraId="4A152C68" w14:textId="698AB904" w:rsidR="006A5889" w:rsidRPr="00C222BA" w:rsidRDefault="006A5889" w:rsidP="006A5889">
      <w:pPr>
        <w:pStyle w:val="ListParagraph"/>
        <w:numPr>
          <w:ilvl w:val="0"/>
          <w:numId w:val="2"/>
        </w:numPr>
        <w:rPr>
          <w:rFonts w:ascii="Arial" w:hAnsi="Arial" w:cs="Arial"/>
        </w:rPr>
      </w:pPr>
      <w:r w:rsidRPr="00076C56">
        <w:rPr>
          <w:rFonts w:ascii="Arial" w:hAnsi="Arial" w:cs="Arial"/>
        </w:rPr>
        <w:t xml:space="preserve">sexual orientation </w:t>
      </w:r>
    </w:p>
    <w:p w14:paraId="484ACCBF" w14:textId="77777777" w:rsidR="00256B4F" w:rsidRDefault="00256B4F" w:rsidP="00486208">
      <w:pPr>
        <w:rPr>
          <w:rFonts w:ascii="Arial" w:hAnsi="Arial" w:cs="Arial"/>
          <w:b/>
          <w:u w:val="single"/>
        </w:rPr>
      </w:pPr>
    </w:p>
    <w:p w14:paraId="51EE12AC" w14:textId="77777777" w:rsidR="00256B4F" w:rsidRDefault="00256B4F" w:rsidP="00486208">
      <w:pPr>
        <w:rPr>
          <w:rFonts w:ascii="Arial" w:hAnsi="Arial" w:cs="Arial"/>
          <w:b/>
          <w:u w:val="single"/>
        </w:rPr>
      </w:pPr>
    </w:p>
    <w:p w14:paraId="485BEE2E" w14:textId="789D9F1D" w:rsidR="0010118E" w:rsidRPr="006B7E0D" w:rsidRDefault="009C2ECD" w:rsidP="00486208">
      <w:pPr>
        <w:rPr>
          <w:rFonts w:ascii="Arial" w:hAnsi="Arial" w:cs="Arial"/>
          <w:b/>
          <w:u w:val="single"/>
        </w:rPr>
      </w:pPr>
      <w:r w:rsidRPr="006B7E0D">
        <w:rPr>
          <w:rFonts w:ascii="Arial" w:hAnsi="Arial" w:cs="Arial"/>
          <w:b/>
          <w:u w:val="single"/>
        </w:rPr>
        <w:lastRenderedPageBreak/>
        <w:t xml:space="preserve">Sources of information </w:t>
      </w:r>
    </w:p>
    <w:p w14:paraId="7B780B17" w14:textId="2CFE8D21" w:rsidR="009C2ECD" w:rsidRPr="006B7E0D" w:rsidRDefault="009C2ECD" w:rsidP="00486208">
      <w:pPr>
        <w:rPr>
          <w:rFonts w:ascii="Arial" w:hAnsi="Arial" w:cs="Arial"/>
          <w:i/>
        </w:rPr>
      </w:pPr>
      <w:r w:rsidRPr="006B7E0D">
        <w:rPr>
          <w:rFonts w:ascii="Arial" w:hAnsi="Arial" w:cs="Arial"/>
          <w:i/>
        </w:rPr>
        <w:t xml:space="preserve">Primary data sources </w:t>
      </w:r>
    </w:p>
    <w:p w14:paraId="0A1FA62A" w14:textId="013809C8" w:rsidR="009C2ECD" w:rsidRPr="0047734D" w:rsidRDefault="00DC3C44" w:rsidP="006B1B01">
      <w:pPr>
        <w:pStyle w:val="ListParagraph"/>
        <w:numPr>
          <w:ilvl w:val="0"/>
          <w:numId w:val="15"/>
        </w:numPr>
        <w:rPr>
          <w:rFonts w:ascii="Arial" w:hAnsi="Arial" w:cs="Arial"/>
          <w:iCs/>
        </w:rPr>
      </w:pPr>
      <w:r w:rsidRPr="0047734D">
        <w:rPr>
          <w:rFonts w:ascii="Arial" w:hAnsi="Arial" w:cs="Arial"/>
          <w:iCs/>
        </w:rPr>
        <w:t xml:space="preserve">Much of our analysis below is based on data from </w:t>
      </w:r>
      <w:r w:rsidRPr="0047734D">
        <w:rPr>
          <w:rFonts w:ascii="Arial" w:hAnsi="Arial" w:cs="Arial"/>
        </w:rPr>
        <w:t>2022 and 2023.</w:t>
      </w:r>
      <w:r w:rsidRPr="0047734D">
        <w:rPr>
          <w:rFonts w:ascii="Arial" w:hAnsi="Arial" w:cs="Arial"/>
          <w:iCs/>
        </w:rPr>
        <w:t xml:space="preserve">  The main source of information used for this analysis is the MoJ’s Court Proceedings Database (underpinning Criminal Justice Statistics Quarterly – Accredited Official Statistic). </w:t>
      </w:r>
    </w:p>
    <w:p w14:paraId="63258B07" w14:textId="11E01437" w:rsidR="00DC3C44" w:rsidRPr="0047734D" w:rsidRDefault="00DC3C44" w:rsidP="00486208">
      <w:pPr>
        <w:rPr>
          <w:rFonts w:ascii="Arial" w:hAnsi="Arial" w:cs="Arial"/>
          <w:iCs/>
        </w:rPr>
      </w:pPr>
      <w:r w:rsidRPr="0047734D">
        <w:rPr>
          <w:rFonts w:ascii="Arial" w:hAnsi="Arial" w:cs="Arial"/>
          <w:iCs/>
        </w:rPr>
        <w:t xml:space="preserve">We have also consulted: </w:t>
      </w:r>
    </w:p>
    <w:p w14:paraId="744CF77B" w14:textId="63F04890" w:rsidR="00DC3C44" w:rsidRPr="0047734D" w:rsidRDefault="00AA0AD2" w:rsidP="00DC3C44">
      <w:pPr>
        <w:pStyle w:val="ListParagraph"/>
        <w:numPr>
          <w:ilvl w:val="0"/>
          <w:numId w:val="4"/>
        </w:numPr>
        <w:rPr>
          <w:rFonts w:ascii="Arial" w:hAnsi="Arial" w:cs="Arial"/>
          <w:u w:val="single"/>
        </w:rPr>
      </w:pPr>
      <w:r w:rsidRPr="0047734D">
        <w:rPr>
          <w:rFonts w:ascii="Arial" w:hAnsi="Arial" w:cs="Arial"/>
        </w:rPr>
        <w:t xml:space="preserve">Criminal Court Statistics Quarterly – Accredited Official Statistics </w:t>
      </w:r>
    </w:p>
    <w:p w14:paraId="2D4AE7B2" w14:textId="6C63F817" w:rsidR="00AA0AD2" w:rsidRPr="0047734D" w:rsidRDefault="00AA0AD2" w:rsidP="00DC3C44">
      <w:pPr>
        <w:pStyle w:val="ListParagraph"/>
        <w:numPr>
          <w:ilvl w:val="0"/>
          <w:numId w:val="4"/>
        </w:numPr>
        <w:rPr>
          <w:rFonts w:ascii="Arial" w:hAnsi="Arial" w:cs="Arial"/>
          <w:u w:val="single"/>
        </w:rPr>
      </w:pPr>
      <w:r w:rsidRPr="0047734D">
        <w:rPr>
          <w:rFonts w:ascii="Arial" w:hAnsi="Arial" w:cs="Arial"/>
        </w:rPr>
        <w:t xml:space="preserve">Criminal Justice Statistics Quarterly </w:t>
      </w:r>
      <w:r w:rsidR="00DD51AA" w:rsidRPr="0047734D">
        <w:rPr>
          <w:rFonts w:ascii="Arial" w:hAnsi="Arial" w:cs="Arial"/>
        </w:rPr>
        <w:t xml:space="preserve">– Accredited Official Statistics </w:t>
      </w:r>
    </w:p>
    <w:p w14:paraId="51B180DD" w14:textId="4F5FEDDE" w:rsidR="00DD51AA" w:rsidRPr="0047734D" w:rsidRDefault="00DD51AA" w:rsidP="00DC3C44">
      <w:pPr>
        <w:pStyle w:val="ListParagraph"/>
        <w:numPr>
          <w:ilvl w:val="0"/>
          <w:numId w:val="4"/>
        </w:numPr>
        <w:rPr>
          <w:rFonts w:ascii="Arial" w:hAnsi="Arial" w:cs="Arial"/>
          <w:u w:val="single"/>
        </w:rPr>
      </w:pPr>
      <w:r w:rsidRPr="0047734D">
        <w:rPr>
          <w:rFonts w:ascii="Arial" w:hAnsi="Arial" w:cs="Arial"/>
        </w:rPr>
        <w:t>Ethnicity and the Criminal Justice System, 2022 – Accredited Official Statistics. The Lammy Review 2017</w:t>
      </w:r>
    </w:p>
    <w:p w14:paraId="4AEC2497" w14:textId="391CAF4B" w:rsidR="00DD51AA" w:rsidRPr="00036BC2" w:rsidRDefault="00DD51AA" w:rsidP="00DD51AA">
      <w:pPr>
        <w:rPr>
          <w:rFonts w:ascii="Arial" w:hAnsi="Arial" w:cs="Arial"/>
          <w:i/>
        </w:rPr>
      </w:pPr>
      <w:r w:rsidRPr="00036BC2">
        <w:rPr>
          <w:rFonts w:ascii="Arial" w:hAnsi="Arial" w:cs="Arial"/>
          <w:i/>
        </w:rPr>
        <w:t xml:space="preserve">Availability of data </w:t>
      </w:r>
    </w:p>
    <w:p w14:paraId="034EE277" w14:textId="585294AF" w:rsidR="00802894" w:rsidRDefault="003050BE" w:rsidP="006B1B01">
      <w:pPr>
        <w:pStyle w:val="ListParagraph"/>
        <w:numPr>
          <w:ilvl w:val="0"/>
          <w:numId w:val="15"/>
        </w:numPr>
        <w:rPr>
          <w:rFonts w:ascii="Arial" w:hAnsi="Arial" w:cs="Arial"/>
          <w:iCs/>
        </w:rPr>
      </w:pPr>
      <w:r w:rsidRPr="0047734D">
        <w:rPr>
          <w:rFonts w:ascii="Arial" w:hAnsi="Arial" w:cs="Arial"/>
        </w:rPr>
        <w:t xml:space="preserve">Detailed data on Crown Court and magistrates’ court outcomes is widely available for three of the nine protected characteristics </w:t>
      </w:r>
      <w:r w:rsidR="00B348D2" w:rsidRPr="0047734D">
        <w:rPr>
          <w:rFonts w:ascii="Arial" w:hAnsi="Arial" w:cs="Arial"/>
          <w:iCs/>
        </w:rPr>
        <w:t>– age, sex and ethnicity. We have used this data for our equality analysis.</w:t>
      </w:r>
    </w:p>
    <w:p w14:paraId="381D0001" w14:textId="77777777" w:rsidR="00F65F81" w:rsidRPr="00E02BEA" w:rsidRDefault="00F65F81" w:rsidP="00F65F81">
      <w:pPr>
        <w:pStyle w:val="ListParagraph"/>
        <w:ind w:left="360"/>
        <w:rPr>
          <w:rFonts w:ascii="Arial" w:hAnsi="Arial" w:cs="Arial"/>
          <w:iCs/>
        </w:rPr>
      </w:pPr>
    </w:p>
    <w:p w14:paraId="51202444" w14:textId="716B7012" w:rsidR="00F65F81" w:rsidRDefault="00B348D2" w:rsidP="00F65F81">
      <w:pPr>
        <w:pStyle w:val="ListParagraph"/>
        <w:numPr>
          <w:ilvl w:val="0"/>
          <w:numId w:val="15"/>
        </w:numPr>
        <w:rPr>
          <w:rFonts w:ascii="Arial" w:hAnsi="Arial" w:cs="Arial"/>
          <w:iCs/>
        </w:rPr>
      </w:pPr>
      <w:r w:rsidRPr="0047734D">
        <w:rPr>
          <w:rFonts w:ascii="Arial" w:hAnsi="Arial" w:cs="Arial"/>
          <w:iCs/>
        </w:rPr>
        <w:t xml:space="preserve">It should be noted that there are some data limitations, </w:t>
      </w:r>
      <w:r w:rsidR="001E78B6" w:rsidRPr="0047734D">
        <w:rPr>
          <w:rFonts w:ascii="Arial" w:hAnsi="Arial" w:cs="Arial"/>
          <w:iCs/>
        </w:rPr>
        <w:t xml:space="preserve">namely that the lack of granularity in sentencing data does not allow tracking of outcomes for individual cases committed to the Crown Court for sentencing but which were tried in the magistrates’ court. </w:t>
      </w:r>
    </w:p>
    <w:p w14:paraId="5668B945" w14:textId="77777777" w:rsidR="00F65F81" w:rsidRPr="00F65F81" w:rsidRDefault="00F65F81" w:rsidP="00F65F81">
      <w:pPr>
        <w:pStyle w:val="ListParagraph"/>
        <w:rPr>
          <w:rFonts w:ascii="Arial" w:hAnsi="Arial" w:cs="Arial"/>
          <w:iCs/>
        </w:rPr>
      </w:pPr>
    </w:p>
    <w:p w14:paraId="5C60F3BD" w14:textId="128F800D" w:rsidR="00885735" w:rsidRPr="00F65F81" w:rsidRDefault="001E78B6" w:rsidP="00F65F81">
      <w:pPr>
        <w:pStyle w:val="ListParagraph"/>
        <w:numPr>
          <w:ilvl w:val="0"/>
          <w:numId w:val="15"/>
        </w:numPr>
        <w:rPr>
          <w:rFonts w:ascii="Arial" w:hAnsi="Arial" w:cs="Arial"/>
          <w:iCs/>
        </w:rPr>
      </w:pPr>
      <w:r w:rsidRPr="00F65F81">
        <w:rPr>
          <w:rFonts w:ascii="Arial" w:hAnsi="Arial" w:cs="Arial"/>
          <w:iCs/>
        </w:rPr>
        <w:t xml:space="preserve">Data are presented where known, therefore where an individual’s sex, ethnicity or age is not stated or unknown, they are omitted from analysis. </w:t>
      </w:r>
    </w:p>
    <w:p w14:paraId="0A5B18C9" w14:textId="77777777" w:rsidR="004C6E30" w:rsidRPr="00FB483C" w:rsidRDefault="004C6E30" w:rsidP="004C6E30">
      <w:pPr>
        <w:rPr>
          <w:rFonts w:ascii="Arial" w:hAnsi="Arial" w:cs="Arial"/>
          <w:b/>
          <w:bCs/>
          <w:iCs/>
        </w:rPr>
      </w:pPr>
      <w:r w:rsidRPr="00FB483C">
        <w:rPr>
          <w:rFonts w:ascii="Arial" w:hAnsi="Arial" w:cs="Arial"/>
          <w:b/>
          <w:bCs/>
          <w:iCs/>
        </w:rPr>
        <w:t xml:space="preserve">Affected Groups </w:t>
      </w:r>
    </w:p>
    <w:p w14:paraId="469572E4" w14:textId="604FCC31" w:rsidR="004C6E30" w:rsidRPr="0047734D" w:rsidRDefault="004C6E30" w:rsidP="006B1B01">
      <w:pPr>
        <w:pStyle w:val="ListParagraph"/>
        <w:numPr>
          <w:ilvl w:val="0"/>
          <w:numId w:val="15"/>
        </w:numPr>
        <w:rPr>
          <w:rFonts w:ascii="Arial" w:hAnsi="Arial" w:cs="Arial"/>
        </w:rPr>
      </w:pPr>
      <w:r w:rsidRPr="0047734D">
        <w:rPr>
          <w:rFonts w:ascii="Arial" w:hAnsi="Arial" w:cs="Arial"/>
        </w:rPr>
        <w:t xml:space="preserve">The proposed change will have a direct impact on those defendants who: </w:t>
      </w:r>
    </w:p>
    <w:p w14:paraId="6E657ABA" w14:textId="77777777" w:rsidR="004C6E30" w:rsidRPr="0047734D" w:rsidRDefault="004C6E30" w:rsidP="004C6E30">
      <w:pPr>
        <w:pStyle w:val="ListParagraph"/>
        <w:numPr>
          <w:ilvl w:val="0"/>
          <w:numId w:val="3"/>
        </w:numPr>
        <w:rPr>
          <w:rFonts w:ascii="Arial" w:hAnsi="Arial" w:cs="Arial"/>
        </w:rPr>
      </w:pPr>
      <w:r w:rsidRPr="0047734D">
        <w:rPr>
          <w:rFonts w:ascii="Arial" w:hAnsi="Arial" w:cs="Arial"/>
        </w:rPr>
        <w:t xml:space="preserve">are charged with a single TEW offence; and </w:t>
      </w:r>
    </w:p>
    <w:p w14:paraId="462232F9" w14:textId="77777777" w:rsidR="004C6E30" w:rsidRPr="0047734D" w:rsidRDefault="004C6E30" w:rsidP="004C6E30">
      <w:pPr>
        <w:pStyle w:val="ListParagraph"/>
        <w:numPr>
          <w:ilvl w:val="0"/>
          <w:numId w:val="3"/>
        </w:numPr>
        <w:rPr>
          <w:rFonts w:ascii="Arial" w:hAnsi="Arial" w:cs="Arial"/>
        </w:rPr>
      </w:pPr>
      <w:r w:rsidRPr="0047734D">
        <w:rPr>
          <w:rFonts w:ascii="Arial" w:hAnsi="Arial" w:cs="Arial"/>
        </w:rPr>
        <w:t xml:space="preserve">do not elect for a Crown Court trial; and </w:t>
      </w:r>
    </w:p>
    <w:p w14:paraId="290A489C" w14:textId="77777777" w:rsidR="004C6E30" w:rsidRPr="0047734D" w:rsidRDefault="004C6E30" w:rsidP="004C6E30">
      <w:pPr>
        <w:pStyle w:val="ListParagraph"/>
        <w:numPr>
          <w:ilvl w:val="0"/>
          <w:numId w:val="3"/>
        </w:numPr>
        <w:rPr>
          <w:rFonts w:ascii="Arial" w:hAnsi="Arial" w:cs="Arial"/>
        </w:rPr>
      </w:pPr>
      <w:r w:rsidRPr="0047734D">
        <w:rPr>
          <w:rFonts w:ascii="Arial" w:hAnsi="Arial" w:cs="Arial"/>
        </w:rPr>
        <w:t xml:space="preserve">are given a sentence of more than 6 months and up to 12 months’ imprisonment </w:t>
      </w:r>
    </w:p>
    <w:p w14:paraId="395C3B8A" w14:textId="77777777" w:rsidR="00802894" w:rsidRPr="0047734D" w:rsidRDefault="00802894" w:rsidP="006B1B01">
      <w:pPr>
        <w:pStyle w:val="ListParagraph"/>
        <w:ind w:left="360"/>
        <w:rPr>
          <w:rFonts w:ascii="Arial" w:hAnsi="Arial" w:cs="Arial"/>
        </w:rPr>
      </w:pPr>
    </w:p>
    <w:p w14:paraId="217457D0" w14:textId="67E0D4CA" w:rsidR="004C6E30" w:rsidRDefault="004C6E30" w:rsidP="006B1B01">
      <w:pPr>
        <w:pStyle w:val="ListParagraph"/>
        <w:numPr>
          <w:ilvl w:val="0"/>
          <w:numId w:val="15"/>
        </w:numPr>
        <w:rPr>
          <w:rFonts w:ascii="Arial" w:hAnsi="Arial" w:cs="Arial"/>
          <w:b/>
          <w:bCs/>
          <w:iCs/>
        </w:rPr>
      </w:pPr>
      <w:r w:rsidRPr="0047734D">
        <w:rPr>
          <w:rFonts w:ascii="Arial" w:hAnsi="Arial" w:cs="Arial"/>
        </w:rPr>
        <w:t xml:space="preserve">Following the changes to the ‘Allocation to the Crown Court </w:t>
      </w:r>
      <w:r w:rsidRPr="0047734D">
        <w:rPr>
          <w:rFonts w:ascii="Arial" w:hAnsi="Arial" w:cs="Arial"/>
          <w:iCs/>
        </w:rPr>
        <w:t>Guidance and Good Practice’ in February 2021, magistrates’ courts should already be retaining cases for trial which are likely to carry sentences up to eighteen months’ imprisonment, subject to complexity. However, the proposed change may divert some non-guilty plea offences from the Crown Court to the magistrates’ court for trial. The measure will primarily impact cases that would have previously been sent to the Crown Court for sentence but which can now be retained in the magistrates’ courts due to the extended sentencing powers.</w:t>
      </w:r>
    </w:p>
    <w:p w14:paraId="6D66551D" w14:textId="7C4D2DE6" w:rsidR="00450614" w:rsidRPr="00122864" w:rsidRDefault="00450614" w:rsidP="00DD51AA">
      <w:pPr>
        <w:rPr>
          <w:rFonts w:ascii="Arial" w:hAnsi="Arial" w:cs="Arial"/>
          <w:b/>
          <w:i/>
        </w:rPr>
      </w:pPr>
      <w:r w:rsidRPr="00122864">
        <w:rPr>
          <w:rFonts w:ascii="Arial" w:hAnsi="Arial" w:cs="Arial"/>
          <w:b/>
          <w:i/>
        </w:rPr>
        <w:lastRenderedPageBreak/>
        <w:t>Defendants</w:t>
      </w:r>
    </w:p>
    <w:p w14:paraId="7AF20E7F" w14:textId="7C1CAB41" w:rsidR="00450614" w:rsidRDefault="00C52CB7" w:rsidP="006B1B01">
      <w:pPr>
        <w:pStyle w:val="ListParagraph"/>
        <w:numPr>
          <w:ilvl w:val="0"/>
          <w:numId w:val="15"/>
        </w:numPr>
        <w:rPr>
          <w:rFonts w:ascii="Arial" w:hAnsi="Arial" w:cs="Arial"/>
          <w:iCs/>
        </w:rPr>
      </w:pPr>
      <w:r w:rsidRPr="0047734D">
        <w:rPr>
          <w:rFonts w:ascii="Arial" w:hAnsi="Arial" w:cs="Arial"/>
        </w:rPr>
        <w:t xml:space="preserve">There is an overrepresentation of certain protected characteristics in our criminal justice system </w:t>
      </w:r>
      <w:r w:rsidR="00B01E70" w:rsidRPr="0047734D">
        <w:rPr>
          <w:rFonts w:ascii="Arial" w:hAnsi="Arial" w:cs="Arial"/>
          <w:iCs/>
        </w:rPr>
        <w:t>when compared to the general population. For instance, statistics show us that</w:t>
      </w:r>
      <w:r w:rsidR="006106D5" w:rsidRPr="0047734D">
        <w:rPr>
          <w:rFonts w:ascii="Arial" w:hAnsi="Arial" w:cs="Arial"/>
          <w:iCs/>
        </w:rPr>
        <w:t xml:space="preserve"> young, black and minority ethnic males are overrepresented in the defendant and prison population. </w:t>
      </w:r>
    </w:p>
    <w:p w14:paraId="50FA6CF2" w14:textId="77777777" w:rsidR="00F65F81" w:rsidRPr="0047734D" w:rsidRDefault="00F65F81" w:rsidP="00F65F81">
      <w:pPr>
        <w:pStyle w:val="ListParagraph"/>
        <w:ind w:left="360"/>
        <w:rPr>
          <w:rFonts w:ascii="Arial" w:hAnsi="Arial" w:cs="Arial"/>
          <w:iCs/>
        </w:rPr>
      </w:pPr>
    </w:p>
    <w:p w14:paraId="538FB16B" w14:textId="155DE9F5" w:rsidR="00F65F81" w:rsidRDefault="006106D5" w:rsidP="00F65F81">
      <w:pPr>
        <w:pStyle w:val="ListParagraph"/>
        <w:numPr>
          <w:ilvl w:val="0"/>
          <w:numId w:val="15"/>
        </w:numPr>
        <w:rPr>
          <w:rFonts w:ascii="Arial" w:hAnsi="Arial" w:cs="Arial"/>
          <w:iCs/>
        </w:rPr>
      </w:pPr>
      <w:r w:rsidRPr="0047734D">
        <w:rPr>
          <w:rFonts w:ascii="Arial" w:hAnsi="Arial" w:cs="Arial"/>
          <w:iCs/>
        </w:rPr>
        <w:t xml:space="preserve">Of all defendants dealt with in for-trial </w:t>
      </w:r>
      <w:r w:rsidR="00A30797" w:rsidRPr="0047734D">
        <w:rPr>
          <w:rFonts w:ascii="Arial" w:hAnsi="Arial" w:cs="Arial"/>
        </w:rPr>
        <w:t xml:space="preserve">cases </w:t>
      </w:r>
      <w:r w:rsidR="00A30797" w:rsidRPr="0047734D">
        <w:rPr>
          <w:rFonts w:ascii="Arial" w:hAnsi="Arial" w:cs="Arial"/>
          <w:iCs/>
        </w:rPr>
        <w:t xml:space="preserve">at Crown Court in </w:t>
      </w:r>
      <w:r w:rsidR="00A30797" w:rsidRPr="0047734D">
        <w:rPr>
          <w:rFonts w:ascii="Arial" w:hAnsi="Arial" w:cs="Arial"/>
        </w:rPr>
        <w:t>2022, 64</w:t>
      </w:r>
      <w:r w:rsidR="00A30797" w:rsidRPr="0047734D">
        <w:rPr>
          <w:rFonts w:ascii="Arial" w:hAnsi="Arial" w:cs="Arial"/>
          <w:iCs/>
        </w:rPr>
        <w:t xml:space="preserve">% were dealt with for a TEW offence. The majority of defendants who are dealt with at the Crown Court for a TEW offence are sent there by the magistrates’ court. </w:t>
      </w:r>
    </w:p>
    <w:p w14:paraId="4BFAB6A3" w14:textId="77777777" w:rsidR="00F65F81" w:rsidRPr="00F65F81" w:rsidRDefault="00F65F81" w:rsidP="00F65F81">
      <w:pPr>
        <w:pStyle w:val="ListParagraph"/>
        <w:rPr>
          <w:rFonts w:ascii="Arial" w:hAnsi="Arial" w:cs="Arial"/>
          <w:iCs/>
        </w:rPr>
      </w:pPr>
    </w:p>
    <w:p w14:paraId="5F556452" w14:textId="5309E154" w:rsidR="00785B26" w:rsidRDefault="00A30797" w:rsidP="00F65F81">
      <w:pPr>
        <w:pStyle w:val="ListParagraph"/>
        <w:numPr>
          <w:ilvl w:val="0"/>
          <w:numId w:val="15"/>
        </w:numPr>
        <w:rPr>
          <w:rFonts w:ascii="Arial" w:hAnsi="Arial" w:cs="Arial"/>
          <w:iCs/>
        </w:rPr>
      </w:pPr>
      <w:r w:rsidRPr="00F65F81">
        <w:rPr>
          <w:rFonts w:ascii="Arial" w:hAnsi="Arial" w:cs="Arial"/>
          <w:iCs/>
        </w:rPr>
        <w:t xml:space="preserve">However, a smaller number of defendants also elected for a TEW offence to be dealt with at the Crown Court </w:t>
      </w:r>
      <w:r w:rsidR="005E2D3C" w:rsidRPr="00F65F81">
        <w:rPr>
          <w:rFonts w:ascii="Arial" w:hAnsi="Arial" w:cs="Arial"/>
          <w:iCs/>
        </w:rPr>
        <w:t xml:space="preserve">after the magistrates’ court had accepted jurisdiction. In </w:t>
      </w:r>
      <w:r w:rsidR="005E2D3C" w:rsidRPr="00F65F81">
        <w:rPr>
          <w:rFonts w:ascii="Arial" w:hAnsi="Arial" w:cs="Arial"/>
        </w:rPr>
        <w:t>2022</w:t>
      </w:r>
      <w:r w:rsidR="005E2D3C" w:rsidRPr="00F65F81">
        <w:rPr>
          <w:rFonts w:ascii="Arial" w:hAnsi="Arial" w:cs="Arial"/>
          <w:iCs/>
        </w:rPr>
        <w:t xml:space="preserve">, </w:t>
      </w:r>
      <w:r w:rsidR="005E2D3C" w:rsidRPr="00F65F81">
        <w:rPr>
          <w:rFonts w:ascii="Arial" w:hAnsi="Arial" w:cs="Arial"/>
        </w:rPr>
        <w:t>6,727</w:t>
      </w:r>
      <w:r w:rsidR="005E2D3C" w:rsidRPr="00F65F81">
        <w:rPr>
          <w:rFonts w:ascii="Arial" w:hAnsi="Arial" w:cs="Arial"/>
          <w:iCs/>
        </w:rPr>
        <w:t xml:space="preserve"> defendants elected for a TEW offence to be dealt with at the Crown </w:t>
      </w:r>
      <w:r w:rsidR="00785B26" w:rsidRPr="00F65F81">
        <w:rPr>
          <w:rFonts w:ascii="Arial" w:hAnsi="Arial" w:cs="Arial"/>
          <w:iCs/>
        </w:rPr>
        <w:t>Court.</w:t>
      </w:r>
      <w:r w:rsidR="00785B26" w:rsidRPr="0047734D">
        <w:rPr>
          <w:rStyle w:val="FootnoteReference"/>
          <w:rFonts w:ascii="Arial" w:hAnsi="Arial" w:cs="Arial"/>
          <w:iCs/>
        </w:rPr>
        <w:footnoteReference w:id="3"/>
      </w:r>
    </w:p>
    <w:p w14:paraId="5FD67C88" w14:textId="77777777" w:rsidR="00F65F81" w:rsidRPr="00F65F81" w:rsidRDefault="00F65F81" w:rsidP="00F65F81">
      <w:pPr>
        <w:pStyle w:val="ListParagraph"/>
        <w:rPr>
          <w:rFonts w:ascii="Arial" w:hAnsi="Arial" w:cs="Arial"/>
          <w:iCs/>
        </w:rPr>
      </w:pPr>
    </w:p>
    <w:p w14:paraId="54365067" w14:textId="0F0E5A16" w:rsidR="00A84408" w:rsidRPr="00F65F81" w:rsidRDefault="0095015B" w:rsidP="00F65F81">
      <w:pPr>
        <w:pStyle w:val="ListParagraph"/>
        <w:numPr>
          <w:ilvl w:val="0"/>
          <w:numId w:val="15"/>
        </w:numPr>
        <w:rPr>
          <w:rFonts w:ascii="Arial" w:hAnsi="Arial" w:cs="Arial"/>
          <w:iCs/>
        </w:rPr>
      </w:pPr>
      <w:r w:rsidRPr="00F65F81">
        <w:rPr>
          <w:rFonts w:ascii="Arial" w:hAnsi="Arial" w:cs="Arial"/>
          <w:iCs/>
        </w:rPr>
        <w:t xml:space="preserve">Note that this policy should primarily only affect which court </w:t>
      </w:r>
      <w:r w:rsidR="000F58CA" w:rsidRPr="00F65F81">
        <w:rPr>
          <w:rFonts w:ascii="Arial" w:hAnsi="Arial" w:cs="Arial"/>
          <w:iCs/>
        </w:rPr>
        <w:t xml:space="preserve">sentences offenders, not which court defendants are tried in. Under current allocations guidance, relevant cases should already be retained in magistrates’ courts for trial, so this policy is not expected to </w:t>
      </w:r>
      <w:r w:rsidR="17FD7CE3" w:rsidRPr="17A91E20">
        <w:rPr>
          <w:rFonts w:ascii="Arial" w:hAnsi="Arial" w:cs="Arial"/>
        </w:rPr>
        <w:t xml:space="preserve">considerably </w:t>
      </w:r>
      <w:r w:rsidR="000F58CA" w:rsidRPr="00F65F81">
        <w:rPr>
          <w:rFonts w:ascii="Arial" w:hAnsi="Arial" w:cs="Arial"/>
          <w:iCs/>
        </w:rPr>
        <w:t xml:space="preserve">increase the numbers of cases tried in magistrates’ courts. </w:t>
      </w:r>
    </w:p>
    <w:p w14:paraId="3E0A77E5" w14:textId="206B699F" w:rsidR="00DE1F98" w:rsidRPr="0047734D" w:rsidRDefault="00DE1F98" w:rsidP="00785B26">
      <w:pPr>
        <w:widowControl w:val="0"/>
        <w:overflowPunct w:val="0"/>
        <w:autoSpaceDE w:val="0"/>
        <w:autoSpaceDN w:val="0"/>
        <w:adjustRightInd w:val="0"/>
        <w:textAlignment w:val="baseline"/>
        <w:rPr>
          <w:rFonts w:ascii="Arial" w:hAnsi="Arial" w:cs="Arial"/>
          <w:iCs/>
          <w:u w:val="single"/>
        </w:rPr>
      </w:pPr>
      <w:r w:rsidRPr="0047734D">
        <w:rPr>
          <w:rFonts w:ascii="Arial" w:hAnsi="Arial" w:cs="Arial"/>
          <w:iCs/>
          <w:u w:val="single"/>
        </w:rPr>
        <w:t>Age</w:t>
      </w:r>
    </w:p>
    <w:p w14:paraId="7E9AEB29" w14:textId="60A6CEFA" w:rsidR="00DE1F98" w:rsidRDefault="00DE1F98" w:rsidP="009B1F41">
      <w:pPr>
        <w:pStyle w:val="ListParagraph"/>
        <w:widowControl w:val="0"/>
        <w:numPr>
          <w:ilvl w:val="0"/>
          <w:numId w:val="15"/>
        </w:numPr>
        <w:overflowPunct w:val="0"/>
        <w:autoSpaceDE w:val="0"/>
        <w:autoSpaceDN w:val="0"/>
        <w:adjustRightInd w:val="0"/>
        <w:textAlignment w:val="baseline"/>
        <w:rPr>
          <w:rFonts w:ascii="Arial" w:hAnsi="Arial" w:cs="Arial"/>
          <w:iCs/>
        </w:rPr>
      </w:pPr>
      <w:r w:rsidRPr="0047734D">
        <w:rPr>
          <w:rFonts w:ascii="Arial" w:hAnsi="Arial" w:cs="Arial"/>
          <w:iCs/>
        </w:rPr>
        <w:t xml:space="preserve">This policy will only affect </w:t>
      </w:r>
      <w:r w:rsidR="00FB1A35" w:rsidRPr="0047734D">
        <w:rPr>
          <w:rFonts w:ascii="Arial" w:hAnsi="Arial" w:cs="Arial"/>
          <w:iCs/>
        </w:rPr>
        <w:t xml:space="preserve">adult defendants, because cases with child defendants are heard in </w:t>
      </w:r>
      <w:r w:rsidR="009869C7">
        <w:rPr>
          <w:rFonts w:ascii="Arial" w:hAnsi="Arial" w:cs="Arial"/>
          <w:iCs/>
        </w:rPr>
        <w:t>the y</w:t>
      </w:r>
      <w:r w:rsidR="00FB1A35" w:rsidRPr="0047734D">
        <w:rPr>
          <w:rFonts w:ascii="Arial" w:hAnsi="Arial" w:cs="Arial"/>
          <w:iCs/>
        </w:rPr>
        <w:t xml:space="preserve">outh </w:t>
      </w:r>
      <w:r w:rsidR="009869C7">
        <w:rPr>
          <w:rFonts w:ascii="Arial" w:hAnsi="Arial" w:cs="Arial"/>
          <w:iCs/>
        </w:rPr>
        <w:t>c</w:t>
      </w:r>
      <w:r w:rsidR="00FB1A35" w:rsidRPr="0047734D">
        <w:rPr>
          <w:rFonts w:ascii="Arial" w:hAnsi="Arial" w:cs="Arial"/>
          <w:iCs/>
        </w:rPr>
        <w:t>ourts. Adult offenders make up the majority of individuals charged with a TEW case (95% in 2023 of all individuals charged with a TEW cases were adults</w:t>
      </w:r>
      <w:r w:rsidR="002754DE" w:rsidRPr="0047734D">
        <w:rPr>
          <w:rFonts w:ascii="Arial" w:hAnsi="Arial" w:cs="Arial"/>
          <w:iCs/>
        </w:rPr>
        <w:t>)</w:t>
      </w:r>
      <w:r w:rsidR="00566228">
        <w:rPr>
          <w:rFonts w:ascii="Arial" w:hAnsi="Arial" w:cs="Arial"/>
          <w:iCs/>
        </w:rPr>
        <w:t>.</w:t>
      </w:r>
      <w:r w:rsidR="002754DE" w:rsidRPr="0047734D">
        <w:rPr>
          <w:rStyle w:val="FootnoteReference"/>
          <w:rFonts w:ascii="Arial" w:hAnsi="Arial" w:cs="Arial"/>
          <w:iCs/>
        </w:rPr>
        <w:footnoteReference w:id="4"/>
      </w:r>
    </w:p>
    <w:p w14:paraId="6609D6F5" w14:textId="2A6264AD" w:rsidR="002754DE" w:rsidRPr="00F65F81" w:rsidRDefault="002754DE" w:rsidP="00F65F81">
      <w:pPr>
        <w:pStyle w:val="ListParagraph"/>
        <w:widowControl w:val="0"/>
        <w:numPr>
          <w:ilvl w:val="0"/>
          <w:numId w:val="15"/>
        </w:numPr>
        <w:overflowPunct w:val="0"/>
        <w:autoSpaceDE w:val="0"/>
        <w:autoSpaceDN w:val="0"/>
        <w:adjustRightInd w:val="0"/>
        <w:textAlignment w:val="baseline"/>
        <w:rPr>
          <w:rFonts w:ascii="Arial" w:hAnsi="Arial" w:cs="Arial"/>
          <w:iCs/>
        </w:rPr>
      </w:pPr>
      <w:r w:rsidRPr="00F65F81">
        <w:rPr>
          <w:rFonts w:ascii="Arial" w:hAnsi="Arial" w:cs="Arial"/>
          <w:iCs/>
        </w:rPr>
        <w:t xml:space="preserve">In 2023 for TEW offences, 5% of defendants proceeded </w:t>
      </w:r>
      <w:r w:rsidR="00F17B66" w:rsidRPr="00F65F81">
        <w:rPr>
          <w:rFonts w:ascii="Arial" w:hAnsi="Arial" w:cs="Arial"/>
          <w:iCs/>
        </w:rPr>
        <w:t>against at magistrates’ court (including youth court)</w:t>
      </w:r>
      <w:r w:rsidR="00F17B66" w:rsidRPr="0047734D">
        <w:rPr>
          <w:rStyle w:val="FootnoteReference"/>
          <w:rFonts w:ascii="Arial" w:hAnsi="Arial" w:cs="Arial"/>
          <w:iCs/>
        </w:rPr>
        <w:footnoteReference w:id="5"/>
      </w:r>
      <w:r w:rsidR="00F17B66" w:rsidRPr="00F65F81">
        <w:rPr>
          <w:rFonts w:ascii="Arial" w:hAnsi="Arial" w:cs="Arial"/>
          <w:iCs/>
        </w:rPr>
        <w:t xml:space="preserve"> and 1% of defendants at the Crown Court were under the age of 18 years</w:t>
      </w:r>
      <w:r w:rsidR="00F17B66" w:rsidRPr="0047734D">
        <w:rPr>
          <w:rStyle w:val="FootnoteReference"/>
          <w:rFonts w:ascii="Arial" w:hAnsi="Arial" w:cs="Arial"/>
          <w:iCs/>
        </w:rPr>
        <w:footnoteReference w:id="6"/>
      </w:r>
      <w:r w:rsidR="00F17B66" w:rsidRPr="00F65F81">
        <w:rPr>
          <w:rFonts w:ascii="Arial" w:hAnsi="Arial" w:cs="Arial"/>
          <w:iCs/>
        </w:rPr>
        <w:t xml:space="preserve"> (includes companies, public bodies etc and not known sex). </w:t>
      </w:r>
    </w:p>
    <w:p w14:paraId="5890B83B" w14:textId="29038017" w:rsidR="00F17B66" w:rsidRPr="0047734D" w:rsidRDefault="00F17B66" w:rsidP="00785B26">
      <w:pPr>
        <w:widowControl w:val="0"/>
        <w:overflowPunct w:val="0"/>
        <w:autoSpaceDE w:val="0"/>
        <w:autoSpaceDN w:val="0"/>
        <w:adjustRightInd w:val="0"/>
        <w:textAlignment w:val="baseline"/>
        <w:rPr>
          <w:rFonts w:ascii="Arial" w:hAnsi="Arial" w:cs="Arial"/>
          <w:iCs/>
          <w:u w:val="single"/>
        </w:rPr>
      </w:pPr>
      <w:r w:rsidRPr="0047734D">
        <w:rPr>
          <w:rFonts w:ascii="Arial" w:hAnsi="Arial" w:cs="Arial"/>
          <w:iCs/>
          <w:u w:val="single"/>
        </w:rPr>
        <w:t>Race</w:t>
      </w:r>
    </w:p>
    <w:p w14:paraId="20EF9539" w14:textId="52DAC20B" w:rsidR="00F17B66" w:rsidRDefault="00F17B66" w:rsidP="009B1F41">
      <w:pPr>
        <w:pStyle w:val="ListParagraph"/>
        <w:widowControl w:val="0"/>
        <w:numPr>
          <w:ilvl w:val="0"/>
          <w:numId w:val="15"/>
        </w:numPr>
        <w:overflowPunct w:val="0"/>
        <w:autoSpaceDE w:val="0"/>
        <w:autoSpaceDN w:val="0"/>
        <w:adjustRightInd w:val="0"/>
        <w:textAlignment w:val="baseline"/>
        <w:rPr>
          <w:rFonts w:ascii="Arial" w:hAnsi="Arial" w:cs="Arial"/>
          <w:iCs/>
        </w:rPr>
      </w:pPr>
      <w:r w:rsidRPr="009B1F41">
        <w:rPr>
          <w:rFonts w:ascii="Arial" w:hAnsi="Arial" w:cs="Arial"/>
          <w:iCs/>
        </w:rPr>
        <w:t xml:space="preserve">We do not have data to show the breakdown of ethnicity on those defendants whose cases were tried </w:t>
      </w:r>
      <w:r w:rsidR="00052A2D" w:rsidRPr="009B1F41">
        <w:rPr>
          <w:rFonts w:ascii="Arial" w:hAnsi="Arial" w:cs="Arial"/>
          <w:iCs/>
        </w:rPr>
        <w:t xml:space="preserve">at the magistrates’ court but committed to the Crown Court for sentence, and who received </w:t>
      </w:r>
      <w:r w:rsidR="007369B2" w:rsidRPr="009B1F41">
        <w:rPr>
          <w:rFonts w:ascii="Arial" w:hAnsi="Arial" w:cs="Arial"/>
          <w:iCs/>
        </w:rPr>
        <w:t>of more than</w:t>
      </w:r>
      <w:r w:rsidR="00052A2D" w:rsidRPr="009B1F41">
        <w:rPr>
          <w:rFonts w:ascii="Arial" w:hAnsi="Arial" w:cs="Arial"/>
          <w:iCs/>
        </w:rPr>
        <w:t xml:space="preserve"> 6</w:t>
      </w:r>
      <w:r w:rsidR="0034291B" w:rsidRPr="009B1F41">
        <w:rPr>
          <w:rFonts w:ascii="Arial" w:hAnsi="Arial" w:cs="Arial"/>
          <w:iCs/>
        </w:rPr>
        <w:t xml:space="preserve"> months and up to</w:t>
      </w:r>
      <w:r w:rsidR="00A77F5D" w:rsidRPr="009B1F41">
        <w:rPr>
          <w:rFonts w:ascii="Arial" w:hAnsi="Arial" w:cs="Arial"/>
          <w:iCs/>
        </w:rPr>
        <w:t xml:space="preserve"> </w:t>
      </w:r>
      <w:r w:rsidR="00052A2D" w:rsidRPr="009B1F41">
        <w:rPr>
          <w:rFonts w:ascii="Arial" w:hAnsi="Arial" w:cs="Arial"/>
          <w:iCs/>
        </w:rPr>
        <w:t xml:space="preserve">12 months’ imprisonment for a single TEW offence. </w:t>
      </w:r>
    </w:p>
    <w:p w14:paraId="492F168F" w14:textId="77777777" w:rsidR="00F65F81" w:rsidRPr="009B1F41" w:rsidRDefault="00F65F81" w:rsidP="00F65F81">
      <w:pPr>
        <w:pStyle w:val="ListParagraph"/>
        <w:widowControl w:val="0"/>
        <w:overflowPunct w:val="0"/>
        <w:autoSpaceDE w:val="0"/>
        <w:autoSpaceDN w:val="0"/>
        <w:adjustRightInd w:val="0"/>
        <w:ind w:left="360"/>
        <w:textAlignment w:val="baseline"/>
        <w:rPr>
          <w:rFonts w:ascii="Arial" w:hAnsi="Arial" w:cs="Arial"/>
          <w:iCs/>
        </w:rPr>
      </w:pPr>
    </w:p>
    <w:p w14:paraId="74B1458A" w14:textId="2C963E9F" w:rsidR="00F56F0A" w:rsidRDefault="00F56F0A" w:rsidP="004F1D0E">
      <w:pPr>
        <w:pStyle w:val="ListParagraph"/>
        <w:widowControl w:val="0"/>
        <w:numPr>
          <w:ilvl w:val="0"/>
          <w:numId w:val="15"/>
        </w:numPr>
        <w:overflowPunct w:val="0"/>
        <w:autoSpaceDE w:val="0"/>
        <w:autoSpaceDN w:val="0"/>
        <w:adjustRightInd w:val="0"/>
        <w:textAlignment w:val="baseline"/>
        <w:rPr>
          <w:rFonts w:ascii="Arial" w:hAnsi="Arial" w:cs="Arial"/>
          <w:iCs/>
        </w:rPr>
      </w:pPr>
      <w:r w:rsidRPr="009B1F41">
        <w:rPr>
          <w:rFonts w:ascii="Arial" w:hAnsi="Arial" w:cs="Arial"/>
          <w:iCs/>
        </w:rPr>
        <w:lastRenderedPageBreak/>
        <w:t>There are some</w:t>
      </w:r>
      <w:r w:rsidR="00A92B68" w:rsidRPr="009B1F41">
        <w:rPr>
          <w:rFonts w:ascii="Arial" w:hAnsi="Arial" w:cs="Arial"/>
          <w:iCs/>
        </w:rPr>
        <w:t xml:space="preserve"> disparities in verdicts in magistrates’ court, particularly between ethnic groups among female defendants. Black, Asian, </w:t>
      </w:r>
      <w:r w:rsidR="00F43778" w:rsidRPr="009B1F41">
        <w:rPr>
          <w:rFonts w:ascii="Arial" w:hAnsi="Arial" w:cs="Arial"/>
          <w:iCs/>
        </w:rPr>
        <w:t>m</w:t>
      </w:r>
      <w:r w:rsidR="00A92B68" w:rsidRPr="009B1F41">
        <w:rPr>
          <w:rFonts w:ascii="Arial" w:hAnsi="Arial" w:cs="Arial"/>
          <w:iCs/>
        </w:rPr>
        <w:t>ixed ethnic and Chinese women were all more likely to be convicted in the magistrates’ court than white women.</w:t>
      </w:r>
      <w:r w:rsidR="00A92B68" w:rsidRPr="0047734D">
        <w:rPr>
          <w:rStyle w:val="FootnoteReference"/>
          <w:rFonts w:ascii="Arial" w:hAnsi="Arial" w:cs="Arial"/>
          <w:iCs/>
        </w:rPr>
        <w:footnoteReference w:id="7"/>
      </w:r>
      <w:r w:rsidR="00A92B68" w:rsidRPr="009B1F41">
        <w:rPr>
          <w:rFonts w:ascii="Arial" w:hAnsi="Arial" w:cs="Arial"/>
          <w:iCs/>
        </w:rPr>
        <w:t xml:space="preserve"> This </w:t>
      </w:r>
      <w:r w:rsidR="00321179">
        <w:rPr>
          <w:rFonts w:ascii="Arial" w:hAnsi="Arial" w:cs="Arial"/>
          <w:iCs/>
        </w:rPr>
        <w:t>differs</w:t>
      </w:r>
      <w:r w:rsidR="004757E2" w:rsidRPr="009B1F41">
        <w:rPr>
          <w:rFonts w:ascii="Arial" w:hAnsi="Arial" w:cs="Arial"/>
          <w:iCs/>
        </w:rPr>
        <w:t xml:space="preserve"> </w:t>
      </w:r>
      <w:r w:rsidR="00A92B68" w:rsidRPr="009B1F41">
        <w:rPr>
          <w:rFonts w:ascii="Arial" w:hAnsi="Arial" w:cs="Arial"/>
          <w:iCs/>
        </w:rPr>
        <w:t>to jury conviction rates, which the Lammy Review found to be very similar for different ethnic groups across a</w:t>
      </w:r>
      <w:r w:rsidR="00485842" w:rsidRPr="009B1F41">
        <w:rPr>
          <w:rFonts w:ascii="Arial" w:hAnsi="Arial" w:cs="Arial"/>
          <w:iCs/>
        </w:rPr>
        <w:t xml:space="preserve"> range of offence types.</w:t>
      </w:r>
    </w:p>
    <w:p w14:paraId="48CEE854" w14:textId="3AB000BE" w:rsidR="004B299F" w:rsidRPr="009B1F41" w:rsidRDefault="004B299F" w:rsidP="009B1F41">
      <w:pPr>
        <w:pStyle w:val="ListParagraph"/>
        <w:widowControl w:val="0"/>
        <w:overflowPunct w:val="0"/>
        <w:autoSpaceDE w:val="0"/>
        <w:autoSpaceDN w:val="0"/>
        <w:adjustRightInd w:val="0"/>
        <w:ind w:left="360"/>
        <w:textAlignment w:val="baseline"/>
        <w:rPr>
          <w:rFonts w:ascii="Arial" w:hAnsi="Arial" w:cs="Arial"/>
          <w:iCs/>
        </w:rPr>
      </w:pPr>
    </w:p>
    <w:p w14:paraId="36B0CE26" w14:textId="132E1F2C" w:rsidR="004B299F" w:rsidRPr="009B1F41" w:rsidRDefault="00E34E65" w:rsidP="004B299F">
      <w:pPr>
        <w:pStyle w:val="ListParagraph"/>
        <w:widowControl w:val="0"/>
        <w:numPr>
          <w:ilvl w:val="0"/>
          <w:numId w:val="15"/>
        </w:numPr>
        <w:overflowPunct w:val="0"/>
        <w:autoSpaceDE w:val="0"/>
        <w:autoSpaceDN w:val="0"/>
        <w:adjustRightInd w:val="0"/>
        <w:textAlignment w:val="baseline"/>
        <w:rPr>
          <w:rFonts w:ascii="Arial" w:hAnsi="Arial" w:cs="Arial"/>
          <w:iCs/>
        </w:rPr>
      </w:pPr>
      <w:r w:rsidRPr="009B1F41">
        <w:rPr>
          <w:rFonts w:ascii="Arial" w:hAnsi="Arial" w:cs="Arial"/>
          <w:iCs/>
        </w:rPr>
        <w:t xml:space="preserve">Public confidence </w:t>
      </w:r>
      <w:r w:rsidR="004C74E0" w:rsidRPr="009B1F41">
        <w:rPr>
          <w:rFonts w:ascii="Arial" w:hAnsi="Arial" w:cs="Arial"/>
          <w:iCs/>
        </w:rPr>
        <w:t>in the system has already been identified as an area of concern, which has been linked to protected characteristics. The Lammy Review state</w:t>
      </w:r>
      <w:r w:rsidR="006A4874">
        <w:rPr>
          <w:rFonts w:ascii="Arial" w:hAnsi="Arial" w:cs="Arial"/>
          <w:iCs/>
        </w:rPr>
        <w:t>d</w:t>
      </w:r>
      <w:r w:rsidR="004C74E0" w:rsidRPr="009B1F41">
        <w:rPr>
          <w:rFonts w:ascii="Arial" w:hAnsi="Arial" w:cs="Arial"/>
          <w:iCs/>
        </w:rPr>
        <w:t xml:space="preserve"> that many defendants from ethnic minorities believe they will not receive a fair hearing from magistrates.</w:t>
      </w:r>
      <w:r w:rsidR="00BC4260" w:rsidRPr="009B1F41">
        <w:rPr>
          <w:rFonts w:ascii="Arial" w:hAnsi="Arial" w:cs="Arial"/>
          <w:iCs/>
        </w:rPr>
        <w:t xml:space="preserve"> This can be seen reflected in the election rate: approximately 27% of the black ethnic group, 21% of the mixed ethnic group and 18% of Asian defendants elected to have their indictable offence</w:t>
      </w:r>
      <w:r w:rsidR="00BC4260" w:rsidRPr="0047734D">
        <w:rPr>
          <w:rStyle w:val="FootnoteReference"/>
          <w:rFonts w:ascii="Arial" w:hAnsi="Arial" w:cs="Arial"/>
          <w:iCs/>
        </w:rPr>
        <w:footnoteReference w:id="8"/>
      </w:r>
      <w:r w:rsidR="00BC4260" w:rsidRPr="009B1F41">
        <w:rPr>
          <w:rFonts w:ascii="Arial" w:hAnsi="Arial" w:cs="Arial"/>
          <w:iCs/>
        </w:rPr>
        <w:t xml:space="preserve"> tried by a jury at the Crown Court in 2022, which is</w:t>
      </w:r>
      <w:r w:rsidR="00D01F3A" w:rsidRPr="009B1F41">
        <w:rPr>
          <w:rFonts w:ascii="Arial" w:hAnsi="Arial" w:cs="Arial"/>
          <w:iCs/>
        </w:rPr>
        <w:t xml:space="preserve"> more</w:t>
      </w:r>
      <w:r w:rsidR="00BC4260" w:rsidRPr="009B1F41">
        <w:rPr>
          <w:rFonts w:ascii="Arial" w:hAnsi="Arial" w:cs="Arial"/>
          <w:iCs/>
        </w:rPr>
        <w:t xml:space="preserve"> than the election rate for white defendants recorded</w:t>
      </w:r>
      <w:r w:rsidR="001337D9" w:rsidRPr="009B1F41">
        <w:rPr>
          <w:rFonts w:ascii="Arial" w:hAnsi="Arial" w:cs="Arial"/>
          <w:iCs/>
        </w:rPr>
        <w:t xml:space="preserve"> at 15%.</w:t>
      </w:r>
      <w:r w:rsidR="001337D9" w:rsidRPr="0047734D">
        <w:rPr>
          <w:rStyle w:val="FootnoteReference"/>
          <w:rFonts w:ascii="Arial" w:hAnsi="Arial" w:cs="Arial"/>
          <w:iCs/>
        </w:rPr>
        <w:footnoteReference w:id="9"/>
      </w:r>
    </w:p>
    <w:p w14:paraId="0E037BCB" w14:textId="77777777" w:rsidR="004B299F" w:rsidRPr="009B1F41" w:rsidRDefault="004B299F" w:rsidP="009B1F41">
      <w:pPr>
        <w:pStyle w:val="ListParagraph"/>
        <w:widowControl w:val="0"/>
        <w:overflowPunct w:val="0"/>
        <w:autoSpaceDE w:val="0"/>
        <w:autoSpaceDN w:val="0"/>
        <w:adjustRightInd w:val="0"/>
        <w:ind w:left="360"/>
        <w:textAlignment w:val="baseline"/>
        <w:rPr>
          <w:rFonts w:ascii="Arial" w:hAnsi="Arial" w:cs="Arial"/>
          <w:iCs/>
        </w:rPr>
      </w:pPr>
    </w:p>
    <w:p w14:paraId="6FA47A76" w14:textId="2842335F" w:rsidR="004B299F" w:rsidRPr="009B1F41" w:rsidRDefault="005D60E1" w:rsidP="004B299F">
      <w:pPr>
        <w:pStyle w:val="ListParagraph"/>
        <w:widowControl w:val="0"/>
        <w:numPr>
          <w:ilvl w:val="0"/>
          <w:numId w:val="15"/>
        </w:numPr>
        <w:overflowPunct w:val="0"/>
        <w:autoSpaceDE w:val="0"/>
        <w:autoSpaceDN w:val="0"/>
        <w:adjustRightInd w:val="0"/>
        <w:textAlignment w:val="baseline"/>
        <w:rPr>
          <w:rFonts w:ascii="Arial" w:hAnsi="Arial" w:cs="Arial"/>
          <w:iCs/>
        </w:rPr>
      </w:pPr>
      <w:r>
        <w:rPr>
          <w:rFonts w:ascii="Arial" w:hAnsi="Arial" w:cs="Arial"/>
          <w:iCs/>
        </w:rPr>
        <w:t xml:space="preserve">This policy </w:t>
      </w:r>
      <w:r w:rsidR="00343E3C">
        <w:rPr>
          <w:rFonts w:ascii="Arial" w:hAnsi="Arial" w:cs="Arial"/>
          <w:iCs/>
        </w:rPr>
        <w:t xml:space="preserve">is </w:t>
      </w:r>
      <w:r w:rsidR="005E75C9">
        <w:rPr>
          <w:rFonts w:ascii="Arial" w:hAnsi="Arial" w:cs="Arial"/>
          <w:iCs/>
        </w:rPr>
        <w:t xml:space="preserve">not </w:t>
      </w:r>
      <w:r w:rsidR="00343E3C">
        <w:rPr>
          <w:rFonts w:ascii="Arial" w:hAnsi="Arial" w:cs="Arial"/>
          <w:iCs/>
        </w:rPr>
        <w:t>expected to</w:t>
      </w:r>
      <w:r w:rsidR="00556431">
        <w:rPr>
          <w:rFonts w:ascii="Arial" w:hAnsi="Arial" w:cs="Arial"/>
          <w:iCs/>
        </w:rPr>
        <w:t xml:space="preserve"> </w:t>
      </w:r>
      <w:r w:rsidR="4A77C681" w:rsidRPr="17A91E20">
        <w:rPr>
          <w:rFonts w:ascii="Arial" w:hAnsi="Arial" w:cs="Arial"/>
        </w:rPr>
        <w:t>considerably</w:t>
      </w:r>
      <w:r w:rsidR="005E75C9">
        <w:rPr>
          <w:rFonts w:ascii="Arial" w:hAnsi="Arial" w:cs="Arial"/>
          <w:iCs/>
        </w:rPr>
        <w:t xml:space="preserve"> </w:t>
      </w:r>
      <w:r w:rsidR="00556431">
        <w:rPr>
          <w:rFonts w:ascii="Arial" w:hAnsi="Arial" w:cs="Arial"/>
          <w:iCs/>
        </w:rPr>
        <w:t>increase the numbe</w:t>
      </w:r>
      <w:r w:rsidR="00CC62BA">
        <w:rPr>
          <w:rFonts w:ascii="Arial" w:hAnsi="Arial" w:cs="Arial"/>
          <w:iCs/>
        </w:rPr>
        <w:t xml:space="preserve">r </w:t>
      </w:r>
      <w:r w:rsidR="00EF03E5">
        <w:rPr>
          <w:rFonts w:ascii="Arial" w:hAnsi="Arial" w:cs="Arial"/>
          <w:iCs/>
        </w:rPr>
        <w:t>of cases retained by the magistrates’ c</w:t>
      </w:r>
      <w:r w:rsidR="003E5546">
        <w:rPr>
          <w:rFonts w:ascii="Arial" w:hAnsi="Arial" w:cs="Arial"/>
          <w:iCs/>
        </w:rPr>
        <w:t>ourt</w:t>
      </w:r>
      <w:r w:rsidR="00E23F2D">
        <w:rPr>
          <w:rFonts w:ascii="Arial" w:hAnsi="Arial" w:cs="Arial"/>
          <w:iCs/>
        </w:rPr>
        <w:t>.</w:t>
      </w:r>
      <w:r w:rsidR="009B372C">
        <w:rPr>
          <w:rFonts w:ascii="Arial" w:hAnsi="Arial" w:cs="Arial"/>
          <w:iCs/>
        </w:rPr>
        <w:t xml:space="preserve"> </w:t>
      </w:r>
      <w:bookmarkStart w:id="0" w:name="_Hlk179547459"/>
      <w:r w:rsidR="000E18B4">
        <w:rPr>
          <w:rFonts w:ascii="Arial" w:hAnsi="Arial" w:cs="Arial"/>
          <w:iCs/>
        </w:rPr>
        <w:t>The ‘Allocation to the Crown Court Guidance and Good Practice’</w:t>
      </w:r>
      <w:r w:rsidR="003F2527">
        <w:rPr>
          <w:rFonts w:ascii="Arial" w:hAnsi="Arial" w:cs="Arial"/>
          <w:iCs/>
        </w:rPr>
        <w:t xml:space="preserve"> (March 2021)</w:t>
      </w:r>
      <w:r w:rsidR="000E18B4">
        <w:rPr>
          <w:rFonts w:ascii="Arial" w:hAnsi="Arial" w:cs="Arial"/>
          <w:iCs/>
        </w:rPr>
        <w:t xml:space="preserve"> already allows magistrates to hear any cases expected to have a sentence of up to 18 months and then sent to the Crown Court for sentencing.  </w:t>
      </w:r>
      <w:r w:rsidR="00A04ECA">
        <w:rPr>
          <w:rFonts w:ascii="Arial" w:hAnsi="Arial" w:cs="Arial"/>
          <w:iCs/>
        </w:rPr>
        <w:t>However, following</w:t>
      </w:r>
      <w:r w:rsidR="00021A78">
        <w:rPr>
          <w:rFonts w:ascii="Arial" w:hAnsi="Arial" w:cs="Arial"/>
          <w:iCs/>
        </w:rPr>
        <w:t xml:space="preserve"> the previous extension of </w:t>
      </w:r>
      <w:r w:rsidR="00952703">
        <w:rPr>
          <w:rFonts w:ascii="Arial" w:hAnsi="Arial" w:cs="Arial"/>
          <w:iCs/>
        </w:rPr>
        <w:t xml:space="preserve">sentencing powers, we expect that </w:t>
      </w:r>
      <w:r w:rsidR="007C0851">
        <w:rPr>
          <w:rFonts w:ascii="Arial" w:hAnsi="Arial" w:cs="Arial"/>
          <w:iCs/>
        </w:rPr>
        <w:t xml:space="preserve">there will be </w:t>
      </w:r>
      <w:r w:rsidR="00A04ECA">
        <w:rPr>
          <w:rFonts w:ascii="Arial" w:hAnsi="Arial" w:cs="Arial"/>
          <w:iCs/>
        </w:rPr>
        <w:t>some</w:t>
      </w:r>
      <w:r w:rsidR="007C0851">
        <w:rPr>
          <w:rFonts w:ascii="Arial" w:hAnsi="Arial" w:cs="Arial"/>
          <w:iCs/>
        </w:rPr>
        <w:t xml:space="preserve"> increase in the number</w:t>
      </w:r>
      <w:r w:rsidR="00C22114">
        <w:rPr>
          <w:rFonts w:ascii="Arial" w:hAnsi="Arial" w:cs="Arial"/>
          <w:iCs/>
        </w:rPr>
        <w:t xml:space="preserve"> of </w:t>
      </w:r>
      <w:r w:rsidR="00FE12B1">
        <w:rPr>
          <w:rFonts w:ascii="Arial" w:hAnsi="Arial" w:cs="Arial"/>
          <w:iCs/>
        </w:rPr>
        <w:t>trials</w:t>
      </w:r>
      <w:r w:rsidR="00C22114">
        <w:rPr>
          <w:rFonts w:ascii="Arial" w:hAnsi="Arial" w:cs="Arial"/>
          <w:iCs/>
        </w:rPr>
        <w:t xml:space="preserve"> retained in the magistrates’ court for</w:t>
      </w:r>
      <w:r w:rsidR="007C0851">
        <w:rPr>
          <w:rFonts w:ascii="Arial" w:hAnsi="Arial" w:cs="Arial"/>
          <w:iCs/>
        </w:rPr>
        <w:t xml:space="preserve"> </w:t>
      </w:r>
      <w:r w:rsidR="00AA5215">
        <w:rPr>
          <w:rFonts w:ascii="Arial" w:hAnsi="Arial" w:cs="Arial"/>
          <w:iCs/>
        </w:rPr>
        <w:t>theft offences</w:t>
      </w:r>
      <w:r w:rsidR="00B624C8">
        <w:rPr>
          <w:rFonts w:ascii="Arial" w:hAnsi="Arial" w:cs="Arial"/>
          <w:iCs/>
        </w:rPr>
        <w:t>.</w:t>
      </w:r>
      <w:r w:rsidR="00FC7410">
        <w:rPr>
          <w:rFonts w:ascii="Arial" w:hAnsi="Arial" w:cs="Arial"/>
          <w:iCs/>
        </w:rPr>
        <w:t xml:space="preserve"> </w:t>
      </w:r>
      <w:bookmarkEnd w:id="0"/>
      <w:r w:rsidR="006C7BC7">
        <w:rPr>
          <w:rFonts w:ascii="Arial" w:hAnsi="Arial" w:cs="Arial"/>
          <w:iCs/>
        </w:rPr>
        <w:t xml:space="preserve">We understand that </w:t>
      </w:r>
      <w:r w:rsidR="00F03AD4">
        <w:rPr>
          <w:rFonts w:ascii="Arial" w:hAnsi="Arial" w:cs="Arial"/>
          <w:iCs/>
        </w:rPr>
        <w:t xml:space="preserve">retaining more cases in the magistrates’ court </w:t>
      </w:r>
      <w:r w:rsidR="00D94258">
        <w:rPr>
          <w:rFonts w:ascii="Arial" w:hAnsi="Arial" w:cs="Arial"/>
          <w:iCs/>
        </w:rPr>
        <w:t xml:space="preserve">may have implications </w:t>
      </w:r>
      <w:r w:rsidR="005D1654">
        <w:rPr>
          <w:rFonts w:ascii="Arial" w:hAnsi="Arial" w:cs="Arial"/>
          <w:iCs/>
        </w:rPr>
        <w:t xml:space="preserve">for </w:t>
      </w:r>
      <w:r w:rsidR="006E0909">
        <w:rPr>
          <w:rFonts w:ascii="Arial" w:hAnsi="Arial" w:cs="Arial"/>
          <w:iCs/>
        </w:rPr>
        <w:t>b</w:t>
      </w:r>
      <w:r w:rsidR="00E01FEA">
        <w:rPr>
          <w:rFonts w:ascii="Arial" w:hAnsi="Arial" w:cs="Arial"/>
          <w:iCs/>
        </w:rPr>
        <w:t xml:space="preserve">lack, Asian, mixed ethnic and Chinese women who are more likely to be convicted in the magistrates’ court. However, </w:t>
      </w:r>
      <w:r w:rsidR="00E01FEA">
        <w:rPr>
          <w:rFonts w:ascii="Arial" w:hAnsi="Arial" w:cs="Arial"/>
        </w:rPr>
        <w:t>we believe this risk is mitigated as</w:t>
      </w:r>
      <w:r w:rsidR="00C029CF" w:rsidRPr="009B1F41" w:rsidDel="005D60E1">
        <w:rPr>
          <w:rFonts w:ascii="Arial" w:hAnsi="Arial" w:cs="Arial"/>
          <w:iCs/>
        </w:rPr>
        <w:t xml:space="preserve"> </w:t>
      </w:r>
      <w:r w:rsidR="00C029CF" w:rsidRPr="009B1F41">
        <w:rPr>
          <w:rFonts w:ascii="Arial" w:hAnsi="Arial" w:cs="Arial"/>
          <w:iCs/>
        </w:rPr>
        <w:t>this policy change does not alter a defendant’s right to elect for a jury trial in the Crown Court.</w:t>
      </w:r>
      <w:r w:rsidR="00870251" w:rsidRPr="009B1F41">
        <w:rPr>
          <w:rFonts w:ascii="Arial" w:hAnsi="Arial" w:cs="Arial"/>
          <w:iCs/>
        </w:rPr>
        <w:t xml:space="preserve"> Magistrates and District Judges will receive training and will continue to adhere to the Sentencing Guidelines as they, and judges, do currently, so we do not consider whether there should be a change in sentencing behaviour as a result of this policy. In addition, this policy will also reduce the waiting times for cases and minimise the time needing to be spent on bail or on</w:t>
      </w:r>
      <w:r w:rsidR="002E7645" w:rsidRPr="009B1F41">
        <w:rPr>
          <w:rFonts w:ascii="Arial" w:hAnsi="Arial" w:cs="Arial"/>
          <w:iCs/>
        </w:rPr>
        <w:t xml:space="preserve"> remand for defendants. </w:t>
      </w:r>
    </w:p>
    <w:p w14:paraId="39363538" w14:textId="77777777" w:rsidR="004B299F" w:rsidRPr="009B1F41" w:rsidRDefault="004B299F" w:rsidP="009B1F41">
      <w:pPr>
        <w:pStyle w:val="ListParagraph"/>
        <w:widowControl w:val="0"/>
        <w:overflowPunct w:val="0"/>
        <w:autoSpaceDE w:val="0"/>
        <w:autoSpaceDN w:val="0"/>
        <w:adjustRightInd w:val="0"/>
        <w:ind w:left="360"/>
        <w:textAlignment w:val="baseline"/>
        <w:rPr>
          <w:rFonts w:ascii="Arial" w:hAnsi="Arial" w:cs="Arial"/>
          <w:iCs/>
        </w:rPr>
      </w:pPr>
    </w:p>
    <w:p w14:paraId="70321E2A" w14:textId="5264B3FA" w:rsidR="00D3638F" w:rsidRPr="009B1F41" w:rsidRDefault="00D3638F" w:rsidP="009B1F41">
      <w:pPr>
        <w:pStyle w:val="ListParagraph"/>
        <w:widowControl w:val="0"/>
        <w:numPr>
          <w:ilvl w:val="0"/>
          <w:numId w:val="15"/>
        </w:numPr>
        <w:overflowPunct w:val="0"/>
        <w:autoSpaceDE w:val="0"/>
        <w:autoSpaceDN w:val="0"/>
        <w:adjustRightInd w:val="0"/>
        <w:textAlignment w:val="baseline"/>
        <w:rPr>
          <w:rFonts w:ascii="Arial" w:hAnsi="Arial" w:cs="Arial"/>
          <w:iCs/>
        </w:rPr>
      </w:pPr>
      <w:r w:rsidRPr="009B1F41">
        <w:rPr>
          <w:rFonts w:ascii="Arial" w:hAnsi="Arial" w:cs="Arial"/>
          <w:iCs/>
        </w:rPr>
        <w:t xml:space="preserve">Therefore, while we do recognise that there is a risk that election rates could potentially increase </w:t>
      </w:r>
      <w:r w:rsidR="000B0BA1" w:rsidRPr="009B1F41">
        <w:rPr>
          <w:rFonts w:ascii="Arial" w:hAnsi="Arial" w:cs="Arial"/>
          <w:iCs/>
        </w:rPr>
        <w:t xml:space="preserve">under this proposal, we consider this measure to be a proportionate means of achieving the policy aim of increasing efficiency in the Crown Court. </w:t>
      </w:r>
    </w:p>
    <w:p w14:paraId="5347AA55" w14:textId="069D7E48" w:rsidR="004C76D5" w:rsidRPr="0047734D" w:rsidRDefault="004C76D5" w:rsidP="00785B26">
      <w:pPr>
        <w:widowControl w:val="0"/>
        <w:overflowPunct w:val="0"/>
        <w:autoSpaceDE w:val="0"/>
        <w:autoSpaceDN w:val="0"/>
        <w:adjustRightInd w:val="0"/>
        <w:textAlignment w:val="baseline"/>
        <w:rPr>
          <w:rFonts w:ascii="Arial" w:hAnsi="Arial" w:cs="Arial"/>
          <w:iCs/>
          <w:u w:val="single"/>
        </w:rPr>
      </w:pPr>
      <w:r w:rsidRPr="0047734D">
        <w:rPr>
          <w:rFonts w:ascii="Arial" w:hAnsi="Arial" w:cs="Arial"/>
          <w:iCs/>
          <w:u w:val="single"/>
        </w:rPr>
        <w:lastRenderedPageBreak/>
        <w:t>Sex</w:t>
      </w:r>
    </w:p>
    <w:p w14:paraId="6ADAB926" w14:textId="2DFA8FC8" w:rsidR="004C76D5" w:rsidRDefault="004C76D5" w:rsidP="009B1F41">
      <w:pPr>
        <w:pStyle w:val="ListParagraph"/>
        <w:widowControl w:val="0"/>
        <w:numPr>
          <w:ilvl w:val="0"/>
          <w:numId w:val="15"/>
        </w:numPr>
        <w:overflowPunct w:val="0"/>
        <w:autoSpaceDE w:val="0"/>
        <w:autoSpaceDN w:val="0"/>
        <w:adjustRightInd w:val="0"/>
        <w:textAlignment w:val="baseline"/>
        <w:rPr>
          <w:rFonts w:ascii="Arial" w:hAnsi="Arial" w:cs="Arial"/>
          <w:iCs/>
        </w:rPr>
      </w:pPr>
      <w:r w:rsidRPr="0047734D">
        <w:rPr>
          <w:rFonts w:ascii="Arial" w:hAnsi="Arial" w:cs="Arial"/>
          <w:iCs/>
        </w:rPr>
        <w:t xml:space="preserve">We do not have </w:t>
      </w:r>
      <w:r w:rsidR="00A06704" w:rsidRPr="0047734D">
        <w:rPr>
          <w:rFonts w:ascii="Arial" w:hAnsi="Arial" w:cs="Arial"/>
          <w:iCs/>
        </w:rPr>
        <w:t xml:space="preserve">data to show the breakdown by sex of those defendants whose cases were tried at the magistrates’ court but committed to the Crown Court for sentence, and who received sentences of more than 6 and up to 12 months’ imprisonment for a single TEW offence, i.e., those whose sentencing hearings would be in scope of this change. However, it is expected that this policy will affect more males because </w:t>
      </w:r>
      <w:r w:rsidR="00A06704" w:rsidRPr="0047734D">
        <w:rPr>
          <w:rFonts w:ascii="Arial" w:hAnsi="Arial" w:cs="Arial"/>
        </w:rPr>
        <w:t>89</w:t>
      </w:r>
      <w:r w:rsidR="00A06704" w:rsidRPr="0047734D">
        <w:rPr>
          <w:rFonts w:ascii="Arial" w:hAnsi="Arial" w:cs="Arial"/>
          <w:iCs/>
        </w:rPr>
        <w:t>%</w:t>
      </w:r>
      <w:r w:rsidR="00A06704" w:rsidRPr="0047734D">
        <w:rPr>
          <w:rStyle w:val="FootnoteReference"/>
          <w:rFonts w:ascii="Arial" w:hAnsi="Arial" w:cs="Arial"/>
          <w:iCs/>
        </w:rPr>
        <w:footnoteReference w:id="10"/>
      </w:r>
      <w:r w:rsidR="00A06704" w:rsidRPr="0047734D">
        <w:rPr>
          <w:rFonts w:ascii="Arial" w:hAnsi="Arial" w:cs="Arial"/>
          <w:iCs/>
        </w:rPr>
        <w:t xml:space="preserve"> of TEW offences heard at the Crown Court in 2023</w:t>
      </w:r>
      <w:r w:rsidR="00EF6AF4" w:rsidRPr="0047734D">
        <w:rPr>
          <w:rFonts w:ascii="Arial" w:hAnsi="Arial" w:cs="Arial"/>
          <w:iCs/>
        </w:rPr>
        <w:t xml:space="preserve"> involved male defendants.</w:t>
      </w:r>
      <w:r w:rsidR="00EF6AF4" w:rsidRPr="0047734D">
        <w:rPr>
          <w:rStyle w:val="FootnoteReference"/>
          <w:rFonts w:ascii="Arial" w:hAnsi="Arial" w:cs="Arial"/>
          <w:iCs/>
        </w:rPr>
        <w:footnoteReference w:id="11"/>
      </w:r>
      <w:r w:rsidR="00EF6AF4" w:rsidRPr="0047734D">
        <w:rPr>
          <w:rFonts w:ascii="Arial" w:hAnsi="Arial" w:cs="Arial"/>
          <w:iCs/>
        </w:rPr>
        <w:t xml:space="preserve"> However, it is important to reiterate that this policy change does not alter a defendant’s right to elect for a jury trial in the Crown Court nor should it affect where a case is heard. Magistrates and District Judges will receive training and will continue to adhere to the Sentencing Guidelines as they, and judges, do currently. </w:t>
      </w:r>
    </w:p>
    <w:p w14:paraId="537585E8" w14:textId="77777777" w:rsidR="00176814" w:rsidRPr="0047734D" w:rsidRDefault="00176814" w:rsidP="00176814">
      <w:pPr>
        <w:pStyle w:val="ListParagraph"/>
        <w:widowControl w:val="0"/>
        <w:overflowPunct w:val="0"/>
        <w:autoSpaceDE w:val="0"/>
        <w:autoSpaceDN w:val="0"/>
        <w:adjustRightInd w:val="0"/>
        <w:ind w:left="360"/>
        <w:textAlignment w:val="baseline"/>
        <w:rPr>
          <w:rFonts w:ascii="Arial" w:hAnsi="Arial" w:cs="Arial"/>
          <w:iCs/>
        </w:rPr>
      </w:pPr>
    </w:p>
    <w:p w14:paraId="5669AE94" w14:textId="12DBDAAB" w:rsidR="007614C8" w:rsidRPr="007A7932" w:rsidRDefault="00EF6AF4" w:rsidP="009B1F41">
      <w:pPr>
        <w:pStyle w:val="ListParagraph"/>
        <w:widowControl w:val="0"/>
        <w:numPr>
          <w:ilvl w:val="0"/>
          <w:numId w:val="15"/>
        </w:numPr>
        <w:overflowPunct w:val="0"/>
        <w:autoSpaceDE w:val="0"/>
        <w:autoSpaceDN w:val="0"/>
        <w:adjustRightInd w:val="0"/>
        <w:textAlignment w:val="baseline"/>
        <w:rPr>
          <w:rFonts w:ascii="Arial" w:hAnsi="Arial" w:cs="Arial"/>
          <w:iCs/>
        </w:rPr>
      </w:pPr>
      <w:r w:rsidRPr="0047734D">
        <w:rPr>
          <w:rFonts w:ascii="Arial" w:hAnsi="Arial" w:cs="Arial"/>
          <w:iCs/>
        </w:rPr>
        <w:t xml:space="preserve">With the mitigation that a defendant would retain the right to elect </w:t>
      </w:r>
      <w:r w:rsidR="00274985" w:rsidRPr="0047734D">
        <w:rPr>
          <w:rFonts w:ascii="Arial" w:hAnsi="Arial" w:cs="Arial"/>
          <w:iCs/>
        </w:rPr>
        <w:t>for a jury trial in the Crown Court, we do not believe the effect of this measure will cause any disadvantage to this group.</w:t>
      </w:r>
    </w:p>
    <w:p w14:paraId="1504D804" w14:textId="6188C13A" w:rsidR="006A31B2" w:rsidRPr="0047734D" w:rsidRDefault="006A31B2" w:rsidP="00785B26">
      <w:pPr>
        <w:widowControl w:val="0"/>
        <w:overflowPunct w:val="0"/>
        <w:autoSpaceDE w:val="0"/>
        <w:autoSpaceDN w:val="0"/>
        <w:adjustRightInd w:val="0"/>
        <w:textAlignment w:val="baseline"/>
        <w:rPr>
          <w:rFonts w:ascii="Arial" w:hAnsi="Arial" w:cs="Arial"/>
          <w:iCs/>
          <w:u w:val="single"/>
        </w:rPr>
      </w:pPr>
      <w:r w:rsidRPr="0047734D">
        <w:rPr>
          <w:rFonts w:ascii="Arial" w:hAnsi="Arial" w:cs="Arial"/>
          <w:iCs/>
          <w:u w:val="single"/>
        </w:rPr>
        <w:t>Other protected charact</w:t>
      </w:r>
      <w:r w:rsidR="006D36A5" w:rsidRPr="0047734D">
        <w:rPr>
          <w:rFonts w:ascii="Arial" w:hAnsi="Arial" w:cs="Arial"/>
          <w:iCs/>
          <w:u w:val="single"/>
        </w:rPr>
        <w:t xml:space="preserve">eristics </w:t>
      </w:r>
    </w:p>
    <w:p w14:paraId="1D750A51" w14:textId="26A498CF" w:rsidR="006D36A5" w:rsidRPr="0047734D" w:rsidRDefault="006D36A5" w:rsidP="009B1F41">
      <w:pPr>
        <w:pStyle w:val="ListParagraph"/>
        <w:widowControl w:val="0"/>
        <w:numPr>
          <w:ilvl w:val="0"/>
          <w:numId w:val="15"/>
        </w:numPr>
        <w:overflowPunct w:val="0"/>
        <w:autoSpaceDE w:val="0"/>
        <w:autoSpaceDN w:val="0"/>
        <w:adjustRightInd w:val="0"/>
        <w:textAlignment w:val="baseline"/>
        <w:rPr>
          <w:rFonts w:ascii="Arial" w:hAnsi="Arial" w:cs="Arial"/>
          <w:iCs/>
        </w:rPr>
      </w:pPr>
      <w:r w:rsidRPr="0047734D">
        <w:rPr>
          <w:rFonts w:ascii="Arial" w:hAnsi="Arial" w:cs="Arial"/>
          <w:iCs/>
        </w:rPr>
        <w:t xml:space="preserve">We are not currently </w:t>
      </w:r>
      <w:r w:rsidR="00891B48" w:rsidRPr="0047734D">
        <w:rPr>
          <w:rFonts w:ascii="Arial" w:hAnsi="Arial" w:cs="Arial"/>
          <w:iCs/>
        </w:rPr>
        <w:t>able to identify the likely impacts of this policy on the other protected characteristics of disability, gender reassignment, marriage and civil partnership, pregnancy and maternity, religion or belief, and sexual orientation. This is due to the lack of data for the cohort of defendants likely to be affected. Some data are not available, whereas some other sources of data are available but are not sufficiently reliable. We are, however, looking at ways to obtain relevant new data, improve the reliability of other data sources, and make better use of unpublished data to provide additional evidence with regard to equality in the CJS.</w:t>
      </w:r>
    </w:p>
    <w:p w14:paraId="6360BDCB" w14:textId="194188D1" w:rsidR="00891B48" w:rsidRPr="009B1F41" w:rsidRDefault="00CC40BC" w:rsidP="00785B26">
      <w:pPr>
        <w:widowControl w:val="0"/>
        <w:overflowPunct w:val="0"/>
        <w:autoSpaceDE w:val="0"/>
        <w:autoSpaceDN w:val="0"/>
        <w:adjustRightInd w:val="0"/>
        <w:textAlignment w:val="baseline"/>
        <w:rPr>
          <w:rFonts w:ascii="Arial" w:hAnsi="Arial" w:cs="Arial"/>
          <w:b/>
          <w:i/>
        </w:rPr>
      </w:pPr>
      <w:r w:rsidRPr="009B1F41">
        <w:rPr>
          <w:rFonts w:ascii="Arial" w:hAnsi="Arial" w:cs="Arial"/>
          <w:b/>
          <w:i/>
        </w:rPr>
        <w:t xml:space="preserve">Victims, witnesses, and the general public </w:t>
      </w:r>
    </w:p>
    <w:p w14:paraId="10BB9BC9" w14:textId="77777777" w:rsidR="00176814" w:rsidRDefault="00CC40BC" w:rsidP="009B1F41">
      <w:pPr>
        <w:pStyle w:val="ListParagraph"/>
        <w:widowControl w:val="0"/>
        <w:numPr>
          <w:ilvl w:val="0"/>
          <w:numId w:val="15"/>
        </w:numPr>
        <w:overflowPunct w:val="0"/>
        <w:autoSpaceDE w:val="0"/>
        <w:autoSpaceDN w:val="0"/>
        <w:adjustRightInd w:val="0"/>
        <w:textAlignment w:val="baseline"/>
        <w:rPr>
          <w:rFonts w:ascii="Arial" w:hAnsi="Arial" w:cs="Arial"/>
          <w:iCs/>
        </w:rPr>
      </w:pPr>
      <w:r w:rsidRPr="0047734D">
        <w:rPr>
          <w:rFonts w:ascii="Arial" w:hAnsi="Arial" w:cs="Arial"/>
          <w:iCs/>
        </w:rPr>
        <w:t xml:space="preserve">We are not able to identify </w:t>
      </w:r>
      <w:r w:rsidR="0098792B" w:rsidRPr="0047734D">
        <w:rPr>
          <w:rFonts w:ascii="Arial" w:hAnsi="Arial" w:cs="Arial"/>
          <w:iCs/>
        </w:rPr>
        <w:t>by protected characteristics the victims or witnesses involved in the cases of the specific cohort of defendants affected by this change. However, the Crime Survey for England and Wales for the year ending March 2020 shows that men and people from a non-white ethnic group were over-represented among victims of crime.</w:t>
      </w:r>
    </w:p>
    <w:p w14:paraId="342092A5" w14:textId="5E9EE4C7" w:rsidR="00CC40BC" w:rsidRPr="0047734D" w:rsidRDefault="0098792B" w:rsidP="00176814">
      <w:pPr>
        <w:pStyle w:val="ListParagraph"/>
        <w:widowControl w:val="0"/>
        <w:overflowPunct w:val="0"/>
        <w:autoSpaceDE w:val="0"/>
        <w:autoSpaceDN w:val="0"/>
        <w:adjustRightInd w:val="0"/>
        <w:ind w:left="360"/>
        <w:textAlignment w:val="baseline"/>
        <w:rPr>
          <w:rFonts w:ascii="Arial" w:hAnsi="Arial" w:cs="Arial"/>
          <w:iCs/>
        </w:rPr>
      </w:pPr>
      <w:r w:rsidRPr="0047734D">
        <w:rPr>
          <w:rFonts w:ascii="Arial" w:hAnsi="Arial" w:cs="Arial"/>
          <w:iCs/>
        </w:rPr>
        <w:t xml:space="preserve"> </w:t>
      </w:r>
    </w:p>
    <w:p w14:paraId="502492DB" w14:textId="02FE4106" w:rsidR="0098792B" w:rsidRPr="0047734D" w:rsidRDefault="0098792B" w:rsidP="009B1F41">
      <w:pPr>
        <w:pStyle w:val="ListParagraph"/>
        <w:widowControl w:val="0"/>
        <w:numPr>
          <w:ilvl w:val="0"/>
          <w:numId w:val="15"/>
        </w:numPr>
        <w:overflowPunct w:val="0"/>
        <w:autoSpaceDE w:val="0"/>
        <w:autoSpaceDN w:val="0"/>
        <w:adjustRightInd w:val="0"/>
        <w:textAlignment w:val="baseline"/>
        <w:rPr>
          <w:rFonts w:ascii="Arial" w:hAnsi="Arial" w:cs="Arial"/>
          <w:iCs/>
        </w:rPr>
      </w:pPr>
      <w:r w:rsidRPr="0047734D">
        <w:rPr>
          <w:rFonts w:ascii="Arial" w:hAnsi="Arial" w:cs="Arial"/>
          <w:iCs/>
        </w:rPr>
        <w:t xml:space="preserve">Given that the policy rationale behind this change is that it will improve </w:t>
      </w:r>
      <w:r w:rsidR="0030114E" w:rsidRPr="0047734D">
        <w:rPr>
          <w:rFonts w:ascii="Arial" w:hAnsi="Arial" w:cs="Arial"/>
          <w:iCs/>
        </w:rPr>
        <w:t xml:space="preserve">efficiency in the criminal courts and help with court recovery, helping to reduce the Crown Court backlog by freeing up approximately 1,400 Crown Court Sitting days each year, we </w:t>
      </w:r>
      <w:r w:rsidR="0030114E" w:rsidRPr="0047734D">
        <w:rPr>
          <w:rFonts w:ascii="Arial" w:hAnsi="Arial" w:cs="Arial"/>
          <w:iCs/>
        </w:rPr>
        <w:lastRenderedPageBreak/>
        <w:t xml:space="preserve">consider that the policy will have a positive impact on victims and witnesses as their case is likely to be heard more quickly. This will help deliver swift access to justice and maintain confidence in the criminal justice system. </w:t>
      </w:r>
    </w:p>
    <w:p w14:paraId="6E6F8FDB" w14:textId="2882A8F6" w:rsidR="001E6FC8" w:rsidRPr="009B1F41" w:rsidRDefault="001E6FC8" w:rsidP="00785B26">
      <w:pPr>
        <w:widowControl w:val="0"/>
        <w:overflowPunct w:val="0"/>
        <w:autoSpaceDE w:val="0"/>
        <w:autoSpaceDN w:val="0"/>
        <w:adjustRightInd w:val="0"/>
        <w:textAlignment w:val="baseline"/>
        <w:rPr>
          <w:rFonts w:ascii="Arial" w:hAnsi="Arial" w:cs="Arial"/>
          <w:b/>
          <w:i/>
        </w:rPr>
      </w:pPr>
      <w:r w:rsidRPr="009B1F41">
        <w:rPr>
          <w:rFonts w:ascii="Arial" w:hAnsi="Arial" w:cs="Arial"/>
          <w:b/>
          <w:i/>
        </w:rPr>
        <w:t xml:space="preserve">Diversity of the Judiciary and Magistracy </w:t>
      </w:r>
    </w:p>
    <w:p w14:paraId="05B52D39" w14:textId="4837CBD3" w:rsidR="001E6FC8" w:rsidRPr="0047734D" w:rsidRDefault="001E6FC8" w:rsidP="009B1F41">
      <w:pPr>
        <w:pStyle w:val="ListParagraph"/>
        <w:widowControl w:val="0"/>
        <w:numPr>
          <w:ilvl w:val="0"/>
          <w:numId w:val="15"/>
        </w:numPr>
        <w:overflowPunct w:val="0"/>
        <w:autoSpaceDE w:val="0"/>
        <w:autoSpaceDN w:val="0"/>
        <w:adjustRightInd w:val="0"/>
        <w:textAlignment w:val="baseline"/>
        <w:rPr>
          <w:rFonts w:ascii="Arial" w:hAnsi="Arial" w:cs="Arial"/>
          <w:iCs/>
        </w:rPr>
      </w:pPr>
      <w:r w:rsidRPr="0047734D">
        <w:rPr>
          <w:rFonts w:ascii="Arial" w:hAnsi="Arial" w:cs="Arial"/>
          <w:iCs/>
        </w:rPr>
        <w:t xml:space="preserve">A source of mistrust in the CJS </w:t>
      </w:r>
      <w:r w:rsidR="00CE151C" w:rsidRPr="0047734D">
        <w:rPr>
          <w:rFonts w:ascii="Arial" w:hAnsi="Arial" w:cs="Arial"/>
          <w:iCs/>
        </w:rPr>
        <w:t>among ethnic minorities has been held to be the lack of diversity within the judiciary, and an influential factor in the higher election rates among defendants from ethnic minorities.</w:t>
      </w:r>
    </w:p>
    <w:p w14:paraId="1D81E33A" w14:textId="77777777" w:rsidR="00176814" w:rsidRDefault="00CE151C" w:rsidP="009B1F41">
      <w:pPr>
        <w:pStyle w:val="ListParagraph"/>
        <w:widowControl w:val="0"/>
        <w:numPr>
          <w:ilvl w:val="0"/>
          <w:numId w:val="15"/>
        </w:numPr>
        <w:overflowPunct w:val="0"/>
        <w:autoSpaceDE w:val="0"/>
        <w:autoSpaceDN w:val="0"/>
        <w:adjustRightInd w:val="0"/>
        <w:textAlignment w:val="baseline"/>
        <w:rPr>
          <w:rFonts w:ascii="Arial" w:hAnsi="Arial" w:cs="Arial"/>
          <w:iCs/>
        </w:rPr>
      </w:pPr>
      <w:r w:rsidRPr="0047734D">
        <w:rPr>
          <w:rFonts w:ascii="Arial" w:hAnsi="Arial" w:cs="Arial"/>
          <w:iCs/>
        </w:rPr>
        <w:t xml:space="preserve">The ethnic breakdown of court judges </w:t>
      </w:r>
      <w:r w:rsidR="00F17F9F" w:rsidRPr="0047734D">
        <w:rPr>
          <w:rFonts w:ascii="Arial" w:hAnsi="Arial" w:cs="Arial"/>
          <w:iCs/>
        </w:rPr>
        <w:t>has remained broadly similar between 2019 and 2021. However, compared to 2015, the Judicial Diversity Statistics for 2024 show us that the proportion of court judges from an ethnic minority background has increased from 6% to 10%. Similarly, the percentage of female court judges currently in post has increased from 25% in 2015 to 38% in 2024.</w:t>
      </w:r>
    </w:p>
    <w:p w14:paraId="72DDC5FB" w14:textId="08541A4E" w:rsidR="00CE151C" w:rsidRPr="0047734D" w:rsidRDefault="00F17F9F" w:rsidP="00176814">
      <w:pPr>
        <w:pStyle w:val="ListParagraph"/>
        <w:widowControl w:val="0"/>
        <w:overflowPunct w:val="0"/>
        <w:autoSpaceDE w:val="0"/>
        <w:autoSpaceDN w:val="0"/>
        <w:adjustRightInd w:val="0"/>
        <w:ind w:left="360"/>
        <w:textAlignment w:val="baseline"/>
        <w:rPr>
          <w:rFonts w:ascii="Arial" w:hAnsi="Arial" w:cs="Arial"/>
          <w:iCs/>
        </w:rPr>
      </w:pPr>
      <w:r w:rsidRPr="0047734D">
        <w:rPr>
          <w:rFonts w:ascii="Arial" w:hAnsi="Arial" w:cs="Arial"/>
          <w:iCs/>
        </w:rPr>
        <w:t xml:space="preserve"> </w:t>
      </w:r>
    </w:p>
    <w:p w14:paraId="0D0C079E" w14:textId="091DD273" w:rsidR="00176814" w:rsidRDefault="00F17F9F" w:rsidP="00176814">
      <w:pPr>
        <w:pStyle w:val="ListParagraph"/>
        <w:widowControl w:val="0"/>
        <w:numPr>
          <w:ilvl w:val="0"/>
          <w:numId w:val="15"/>
        </w:numPr>
        <w:overflowPunct w:val="0"/>
        <w:autoSpaceDE w:val="0"/>
        <w:autoSpaceDN w:val="0"/>
        <w:adjustRightInd w:val="0"/>
        <w:textAlignment w:val="baseline"/>
        <w:rPr>
          <w:rFonts w:ascii="Arial" w:hAnsi="Arial" w:cs="Arial"/>
          <w:iCs/>
        </w:rPr>
      </w:pPr>
      <w:r w:rsidRPr="0047734D">
        <w:rPr>
          <w:rFonts w:ascii="Arial" w:hAnsi="Arial" w:cs="Arial"/>
          <w:iCs/>
        </w:rPr>
        <w:t xml:space="preserve">Magistrates also </w:t>
      </w:r>
      <w:r w:rsidR="00D459E7" w:rsidRPr="0047734D">
        <w:rPr>
          <w:rFonts w:ascii="Arial" w:hAnsi="Arial" w:cs="Arial"/>
          <w:iCs/>
        </w:rPr>
        <w:t xml:space="preserve">tend to be recorded as less representative of local communities </w:t>
      </w:r>
      <w:r w:rsidR="0044766D" w:rsidRPr="0047734D">
        <w:rPr>
          <w:rFonts w:ascii="Arial" w:hAnsi="Arial" w:cs="Arial"/>
          <w:iCs/>
        </w:rPr>
        <w:t xml:space="preserve">than juries, and a lack of diversity amongst magistrates has been criticised in recent years (e.g. by the House of Commons Justice Committee in 2019). However, the Judicial Diversity Statistics for 2024 show that, in all regions, over half of magistrates are women, and in England and Wales, 13% of all magistrates are from ethnic backgrounds (this percentage increases to 31% when we look at the London region alone). </w:t>
      </w:r>
    </w:p>
    <w:p w14:paraId="6EBEE173" w14:textId="77777777" w:rsidR="00176814" w:rsidRPr="00176814" w:rsidRDefault="00176814" w:rsidP="00176814">
      <w:pPr>
        <w:pStyle w:val="ListParagraph"/>
        <w:rPr>
          <w:rFonts w:ascii="Arial" w:hAnsi="Arial" w:cs="Arial"/>
          <w:iCs/>
        </w:rPr>
      </w:pPr>
    </w:p>
    <w:p w14:paraId="3FDAC583" w14:textId="529928AC" w:rsidR="00577E42" w:rsidRPr="00176814" w:rsidRDefault="00D723F2" w:rsidP="00176814">
      <w:pPr>
        <w:pStyle w:val="ListParagraph"/>
        <w:widowControl w:val="0"/>
        <w:numPr>
          <w:ilvl w:val="0"/>
          <w:numId w:val="15"/>
        </w:numPr>
        <w:overflowPunct w:val="0"/>
        <w:autoSpaceDE w:val="0"/>
        <w:autoSpaceDN w:val="0"/>
        <w:adjustRightInd w:val="0"/>
        <w:textAlignment w:val="baseline"/>
        <w:rPr>
          <w:rFonts w:ascii="Arial" w:hAnsi="Arial" w:cs="Arial"/>
          <w:iCs/>
        </w:rPr>
      </w:pPr>
      <w:r w:rsidRPr="00176814">
        <w:rPr>
          <w:rFonts w:ascii="Arial" w:hAnsi="Arial" w:cs="Arial"/>
          <w:iCs/>
        </w:rPr>
        <w:t xml:space="preserve">However, whilst the data shows an improvement </w:t>
      </w:r>
      <w:r w:rsidR="00D64546" w:rsidRPr="00176814">
        <w:rPr>
          <w:rFonts w:ascii="Arial" w:hAnsi="Arial" w:cs="Arial"/>
          <w:iCs/>
        </w:rPr>
        <w:t xml:space="preserve">in the overall diversity of the magistracy, newly appointed magistrates are typically younger and sitting at lower levels compared to the existing stock of magistrates. Therefore, in real terms, the diversity of the bench is improving at a slower rate than the statistics </w:t>
      </w:r>
      <w:r w:rsidR="0054271C" w:rsidRPr="00176814">
        <w:rPr>
          <w:rFonts w:ascii="Arial" w:hAnsi="Arial" w:cs="Arial"/>
          <w:iCs/>
        </w:rPr>
        <w:t>indicate.</w:t>
      </w:r>
      <w:r w:rsidR="0054271C" w:rsidRPr="0047734D">
        <w:rPr>
          <w:rStyle w:val="FootnoteReference"/>
          <w:rFonts w:ascii="Arial" w:hAnsi="Arial" w:cs="Arial"/>
          <w:iCs/>
        </w:rPr>
        <w:footnoteReference w:id="12"/>
      </w:r>
    </w:p>
    <w:p w14:paraId="6515F12A" w14:textId="0861BE39" w:rsidR="005669E3" w:rsidRPr="00A17FC5" w:rsidRDefault="001E1828" w:rsidP="0054271C">
      <w:pPr>
        <w:widowControl w:val="0"/>
        <w:overflowPunct w:val="0"/>
        <w:autoSpaceDE w:val="0"/>
        <w:autoSpaceDN w:val="0"/>
        <w:adjustRightInd w:val="0"/>
        <w:textAlignment w:val="baseline"/>
        <w:rPr>
          <w:rFonts w:ascii="Arial" w:hAnsi="Arial" w:cs="Arial"/>
          <w:b/>
          <w:u w:val="single"/>
        </w:rPr>
      </w:pPr>
      <w:r w:rsidRPr="00A5389D">
        <w:rPr>
          <w:rFonts w:ascii="Arial" w:hAnsi="Arial" w:cs="Arial"/>
          <w:b/>
          <w:bCs/>
          <w:iCs/>
        </w:rPr>
        <w:t>Equality considerations</w:t>
      </w:r>
    </w:p>
    <w:p w14:paraId="6DD02B9D" w14:textId="75F716EF" w:rsidR="00A10A11" w:rsidRPr="005F0A2A" w:rsidRDefault="008143DB" w:rsidP="006B7E0D">
      <w:pPr>
        <w:widowControl w:val="0"/>
        <w:overflowPunct w:val="0"/>
        <w:autoSpaceDE w:val="0"/>
        <w:autoSpaceDN w:val="0"/>
        <w:adjustRightInd w:val="0"/>
        <w:textAlignment w:val="baseline"/>
        <w:rPr>
          <w:rFonts w:ascii="Arial" w:hAnsi="Arial" w:cs="Arial"/>
        </w:rPr>
      </w:pPr>
      <w:r w:rsidRPr="005F0A2A">
        <w:rPr>
          <w:rFonts w:ascii="Arial" w:hAnsi="Arial" w:cs="Arial"/>
          <w:b/>
        </w:rPr>
        <w:t>Eliminat</w:t>
      </w:r>
      <w:r w:rsidR="0015380C">
        <w:rPr>
          <w:rFonts w:ascii="Arial" w:hAnsi="Arial" w:cs="Arial"/>
          <w:b/>
        </w:rPr>
        <w:t>ing</w:t>
      </w:r>
      <w:r w:rsidRPr="005F0A2A">
        <w:rPr>
          <w:rFonts w:ascii="Arial" w:hAnsi="Arial" w:cs="Arial"/>
          <w:b/>
        </w:rPr>
        <w:t xml:space="preserve"> </w:t>
      </w:r>
      <w:r w:rsidR="00EC5C5E">
        <w:rPr>
          <w:rFonts w:ascii="Arial" w:hAnsi="Arial" w:cs="Arial"/>
          <w:b/>
        </w:rPr>
        <w:t>u</w:t>
      </w:r>
      <w:r w:rsidRPr="005F0A2A">
        <w:rPr>
          <w:rFonts w:ascii="Arial" w:hAnsi="Arial" w:cs="Arial"/>
          <w:b/>
        </w:rPr>
        <w:t xml:space="preserve">nlawful </w:t>
      </w:r>
      <w:r w:rsidRPr="005F0A2A" w:rsidDel="0015380C">
        <w:rPr>
          <w:rFonts w:ascii="Arial" w:hAnsi="Arial" w:cs="Arial"/>
          <w:b/>
        </w:rPr>
        <w:t>d</w:t>
      </w:r>
      <w:r w:rsidRPr="005F0A2A">
        <w:rPr>
          <w:rFonts w:ascii="Arial" w:hAnsi="Arial" w:cs="Arial"/>
          <w:b/>
        </w:rPr>
        <w:t>iscrimination</w:t>
      </w:r>
      <w:r w:rsidR="00EC5C5E">
        <w:rPr>
          <w:rFonts w:ascii="Arial" w:hAnsi="Arial" w:cs="Arial"/>
          <w:b/>
        </w:rPr>
        <w:t>, harassment</w:t>
      </w:r>
      <w:r w:rsidR="002E3B09">
        <w:rPr>
          <w:rFonts w:ascii="Arial" w:hAnsi="Arial" w:cs="Arial"/>
          <w:b/>
        </w:rPr>
        <w:t xml:space="preserve"> and victimisation and any other conduct prohibited by the Equality Act 2010</w:t>
      </w:r>
      <w:r w:rsidRPr="005F0A2A">
        <w:rPr>
          <w:rFonts w:ascii="Arial" w:hAnsi="Arial" w:cs="Arial"/>
        </w:rPr>
        <w:t xml:space="preserve"> </w:t>
      </w:r>
    </w:p>
    <w:p w14:paraId="5118107D" w14:textId="77C8D1C5" w:rsidR="008143DB" w:rsidRPr="00122864" w:rsidRDefault="008143DB" w:rsidP="008143DB">
      <w:pPr>
        <w:widowControl w:val="0"/>
        <w:overflowPunct w:val="0"/>
        <w:autoSpaceDE w:val="0"/>
        <w:autoSpaceDN w:val="0"/>
        <w:adjustRightInd w:val="0"/>
        <w:textAlignment w:val="baseline"/>
        <w:rPr>
          <w:rFonts w:ascii="Arial" w:hAnsi="Arial" w:cs="Arial"/>
          <w:i/>
        </w:rPr>
      </w:pPr>
      <w:r w:rsidRPr="00122864">
        <w:rPr>
          <w:rFonts w:ascii="Arial" w:hAnsi="Arial" w:cs="Arial"/>
          <w:i/>
        </w:rPr>
        <w:t xml:space="preserve">Direct Discrimination </w:t>
      </w:r>
    </w:p>
    <w:p w14:paraId="03518F90" w14:textId="4A7CCB1C" w:rsidR="008143DB" w:rsidRPr="0047734D" w:rsidRDefault="008143DB" w:rsidP="009B1F41">
      <w:pPr>
        <w:pStyle w:val="ListParagraph"/>
        <w:widowControl w:val="0"/>
        <w:numPr>
          <w:ilvl w:val="0"/>
          <w:numId w:val="15"/>
        </w:numPr>
        <w:overflowPunct w:val="0"/>
        <w:autoSpaceDE w:val="0"/>
        <w:autoSpaceDN w:val="0"/>
        <w:adjustRightInd w:val="0"/>
        <w:textAlignment w:val="baseline"/>
        <w:rPr>
          <w:rFonts w:ascii="Arial" w:hAnsi="Arial" w:cs="Arial"/>
          <w:iCs/>
        </w:rPr>
      </w:pPr>
      <w:r w:rsidRPr="0047734D">
        <w:rPr>
          <w:rFonts w:ascii="Arial" w:hAnsi="Arial" w:cs="Arial"/>
          <w:iCs/>
        </w:rPr>
        <w:t xml:space="preserve">Direct discrimination occurs when a policy would result in </w:t>
      </w:r>
      <w:r w:rsidR="001F41AB" w:rsidRPr="0047734D">
        <w:rPr>
          <w:rFonts w:ascii="Arial" w:hAnsi="Arial" w:cs="Arial"/>
          <w:iCs/>
        </w:rPr>
        <w:t>people being treated less favourably because of a protected characteristic. We do not consider that extending MSPs will result in people being treated less favourably because of their protected characteristics,</w:t>
      </w:r>
      <w:r w:rsidR="00A65CE1" w:rsidRPr="0047734D">
        <w:rPr>
          <w:rFonts w:ascii="Arial" w:hAnsi="Arial" w:cs="Arial"/>
          <w:iCs/>
        </w:rPr>
        <w:t xml:space="preserve"> as they will apply </w:t>
      </w:r>
      <w:r w:rsidR="009B7BF6">
        <w:rPr>
          <w:rFonts w:ascii="Arial" w:hAnsi="Arial" w:cs="Arial"/>
          <w:iCs/>
        </w:rPr>
        <w:t xml:space="preserve">in the same way </w:t>
      </w:r>
      <w:r w:rsidR="00A65CE1" w:rsidRPr="0047734D">
        <w:rPr>
          <w:rFonts w:ascii="Arial" w:hAnsi="Arial" w:cs="Arial"/>
          <w:iCs/>
        </w:rPr>
        <w:t>to those with an</w:t>
      </w:r>
      <w:r w:rsidR="009A4C61" w:rsidRPr="0047734D">
        <w:rPr>
          <w:rFonts w:ascii="Arial" w:hAnsi="Arial" w:cs="Arial"/>
          <w:iCs/>
        </w:rPr>
        <w:t>d</w:t>
      </w:r>
      <w:r w:rsidR="00A65CE1" w:rsidRPr="0047734D">
        <w:rPr>
          <w:rFonts w:ascii="Arial" w:hAnsi="Arial" w:cs="Arial"/>
          <w:iCs/>
        </w:rPr>
        <w:t xml:space="preserve"> without protected characteristics. We therefore </w:t>
      </w:r>
      <w:r w:rsidR="00935007" w:rsidRPr="0047734D">
        <w:rPr>
          <w:rFonts w:ascii="Arial" w:hAnsi="Arial" w:cs="Arial"/>
          <w:iCs/>
        </w:rPr>
        <w:t xml:space="preserve">believe there is no direct discrimination </w:t>
      </w:r>
      <w:r w:rsidR="00935007" w:rsidRPr="0047734D">
        <w:rPr>
          <w:rFonts w:ascii="Arial" w:hAnsi="Arial" w:cs="Arial"/>
          <w:iCs/>
        </w:rPr>
        <w:lastRenderedPageBreak/>
        <w:t xml:space="preserve">within the meaning of the Equality Act 2010. </w:t>
      </w:r>
    </w:p>
    <w:p w14:paraId="51996DC7" w14:textId="428CE1DB" w:rsidR="009A4C61" w:rsidRPr="00122864" w:rsidRDefault="009A4C61" w:rsidP="008143DB">
      <w:pPr>
        <w:widowControl w:val="0"/>
        <w:overflowPunct w:val="0"/>
        <w:autoSpaceDE w:val="0"/>
        <w:autoSpaceDN w:val="0"/>
        <w:adjustRightInd w:val="0"/>
        <w:textAlignment w:val="baseline"/>
        <w:rPr>
          <w:rFonts w:ascii="Arial" w:hAnsi="Arial" w:cs="Arial"/>
          <w:i/>
        </w:rPr>
      </w:pPr>
      <w:r w:rsidRPr="00122864">
        <w:rPr>
          <w:rFonts w:ascii="Arial" w:hAnsi="Arial" w:cs="Arial"/>
          <w:i/>
        </w:rPr>
        <w:t xml:space="preserve">Indirect Discrimination </w:t>
      </w:r>
    </w:p>
    <w:p w14:paraId="65DA0B30" w14:textId="29201AFC" w:rsidR="009A4C61" w:rsidRDefault="009A4C61" w:rsidP="009B1F41">
      <w:pPr>
        <w:pStyle w:val="ListParagraph"/>
        <w:widowControl w:val="0"/>
        <w:numPr>
          <w:ilvl w:val="0"/>
          <w:numId w:val="15"/>
        </w:numPr>
        <w:overflowPunct w:val="0"/>
        <w:autoSpaceDE w:val="0"/>
        <w:autoSpaceDN w:val="0"/>
        <w:adjustRightInd w:val="0"/>
        <w:textAlignment w:val="baseline"/>
        <w:rPr>
          <w:rFonts w:ascii="Arial" w:hAnsi="Arial" w:cs="Arial"/>
          <w:iCs/>
        </w:rPr>
      </w:pPr>
      <w:r w:rsidRPr="0047734D">
        <w:rPr>
          <w:rFonts w:ascii="Arial" w:hAnsi="Arial" w:cs="Arial"/>
          <w:iCs/>
        </w:rPr>
        <w:t xml:space="preserve">Indirect discrimination </w:t>
      </w:r>
      <w:r w:rsidR="00263EA0" w:rsidRPr="0047734D">
        <w:rPr>
          <w:rFonts w:ascii="Arial" w:hAnsi="Arial" w:cs="Arial"/>
          <w:iCs/>
        </w:rPr>
        <w:t>occurs when a policy</w:t>
      </w:r>
      <w:r w:rsidR="00AF241D" w:rsidRPr="0047734D">
        <w:rPr>
          <w:rFonts w:ascii="Arial" w:hAnsi="Arial" w:cs="Arial"/>
          <w:iCs/>
        </w:rPr>
        <w:t xml:space="preserve"> applies equally to all individuals </w:t>
      </w:r>
      <w:r w:rsidR="00186F6E" w:rsidRPr="0047734D">
        <w:rPr>
          <w:rFonts w:ascii="Arial" w:hAnsi="Arial" w:cs="Arial"/>
          <w:iCs/>
        </w:rPr>
        <w:t xml:space="preserve">but would put those sharing a protected characteristic at a particular disadvantage compared to those who do not. We do not believe that this proposal to extend MSPs will result in any indirect discrimination since the proposal is not considered likely to cause any particular disadvantage to people with protected characteristics compared to those without. </w:t>
      </w:r>
    </w:p>
    <w:p w14:paraId="53DB3AD5" w14:textId="77777777" w:rsidR="00376F41" w:rsidRPr="0047734D" w:rsidRDefault="00376F41" w:rsidP="00376F41">
      <w:pPr>
        <w:pStyle w:val="ListParagraph"/>
        <w:widowControl w:val="0"/>
        <w:overflowPunct w:val="0"/>
        <w:autoSpaceDE w:val="0"/>
        <w:autoSpaceDN w:val="0"/>
        <w:adjustRightInd w:val="0"/>
        <w:ind w:left="360"/>
        <w:textAlignment w:val="baseline"/>
        <w:rPr>
          <w:rFonts w:ascii="Arial" w:hAnsi="Arial" w:cs="Arial"/>
          <w:iCs/>
        </w:rPr>
      </w:pPr>
    </w:p>
    <w:p w14:paraId="6D63C022" w14:textId="3964030F" w:rsidR="00B04306" w:rsidRPr="00A85CB2" w:rsidRDefault="00B04306" w:rsidP="009B1F41">
      <w:pPr>
        <w:pStyle w:val="ListParagraph"/>
        <w:widowControl w:val="0"/>
        <w:numPr>
          <w:ilvl w:val="0"/>
          <w:numId w:val="15"/>
        </w:numPr>
        <w:overflowPunct w:val="0"/>
        <w:autoSpaceDE w:val="0"/>
        <w:autoSpaceDN w:val="0"/>
        <w:adjustRightInd w:val="0"/>
        <w:textAlignment w:val="baseline"/>
        <w:rPr>
          <w:rFonts w:ascii="Arial" w:hAnsi="Arial" w:cs="Arial"/>
        </w:rPr>
      </w:pPr>
      <w:r w:rsidRPr="0047734D">
        <w:rPr>
          <w:rFonts w:ascii="Arial" w:hAnsi="Arial" w:cs="Arial"/>
          <w:iCs/>
        </w:rPr>
        <w:t xml:space="preserve">However, as this is the case more </w:t>
      </w:r>
      <w:r w:rsidR="007A31E9" w:rsidRPr="0047734D">
        <w:rPr>
          <w:rFonts w:ascii="Arial" w:hAnsi="Arial" w:cs="Arial"/>
          <w:iCs/>
        </w:rPr>
        <w:t xml:space="preserve">generally across England and Wales, there is over-representation in the criminal justice system of people with certain protected characteristics, who in turn are likely to be affected by this policy. </w:t>
      </w:r>
      <w:r w:rsidR="00DF3E7D">
        <w:rPr>
          <w:rFonts w:ascii="Arial" w:hAnsi="Arial" w:cs="Arial"/>
          <w:iCs/>
        </w:rPr>
        <w:t>T</w:t>
      </w:r>
      <w:r w:rsidR="00CE3F47">
        <w:rPr>
          <w:rFonts w:ascii="Arial" w:hAnsi="Arial" w:cs="Arial"/>
          <w:iCs/>
        </w:rPr>
        <w:t>h</w:t>
      </w:r>
      <w:r w:rsidR="007A31E9" w:rsidRPr="0047734D">
        <w:rPr>
          <w:rFonts w:ascii="Arial" w:hAnsi="Arial" w:cs="Arial"/>
          <w:iCs/>
        </w:rPr>
        <w:t xml:space="preserve">e policy is designed to increase the efficiency and therefore timeliness of the criminal courts, which will help deliver swifter justice for all court users. </w:t>
      </w:r>
      <w:r w:rsidR="00C821F3">
        <w:rPr>
          <w:rFonts w:ascii="Arial" w:hAnsi="Arial" w:cs="Arial"/>
          <w:iCs/>
        </w:rPr>
        <w:t>However</w:t>
      </w:r>
      <w:r w:rsidR="009723F6">
        <w:rPr>
          <w:rFonts w:ascii="Arial" w:hAnsi="Arial" w:cs="Arial"/>
          <w:iCs/>
        </w:rPr>
        <w:t>,</w:t>
      </w:r>
      <w:r w:rsidR="00777BF8">
        <w:rPr>
          <w:rFonts w:ascii="Arial" w:hAnsi="Arial" w:cs="Arial"/>
          <w:iCs/>
        </w:rPr>
        <w:t xml:space="preserve"> we understand that </w:t>
      </w:r>
      <w:r w:rsidR="00FC0A2C">
        <w:rPr>
          <w:rFonts w:ascii="Arial" w:hAnsi="Arial" w:cs="Arial"/>
          <w:iCs/>
        </w:rPr>
        <w:t>where additional cases are retained</w:t>
      </w:r>
      <w:r w:rsidR="00907012">
        <w:rPr>
          <w:rFonts w:ascii="Arial" w:hAnsi="Arial" w:cs="Arial"/>
          <w:iCs/>
        </w:rPr>
        <w:t xml:space="preserve"> in the magistrates’ court</w:t>
      </w:r>
      <w:r w:rsidR="00FC0A2C">
        <w:rPr>
          <w:rFonts w:ascii="Arial" w:hAnsi="Arial" w:cs="Arial"/>
          <w:iCs/>
        </w:rPr>
        <w:t xml:space="preserve"> for trial this</w:t>
      </w:r>
      <w:r w:rsidR="00907012">
        <w:rPr>
          <w:rFonts w:ascii="Arial" w:hAnsi="Arial" w:cs="Arial"/>
          <w:iCs/>
        </w:rPr>
        <w:t xml:space="preserve"> may have implications for black, Asian and Chinese women who are more likely to be convicted in the magistrates’ court.</w:t>
      </w:r>
      <w:r w:rsidR="00C40102">
        <w:rPr>
          <w:rFonts w:ascii="Arial" w:hAnsi="Arial" w:cs="Arial"/>
          <w:iCs/>
        </w:rPr>
        <w:t xml:space="preserve"> </w:t>
      </w:r>
      <w:r w:rsidR="0044598B">
        <w:rPr>
          <w:rFonts w:ascii="Arial" w:hAnsi="Arial" w:cs="Arial"/>
          <w:iCs/>
        </w:rPr>
        <w:t>We</w:t>
      </w:r>
      <w:r w:rsidR="00E432FB">
        <w:rPr>
          <w:rFonts w:ascii="Arial" w:hAnsi="Arial" w:cs="Arial"/>
          <w:iCs/>
        </w:rPr>
        <w:t xml:space="preserve"> believe that this risk is mitigated as</w:t>
      </w:r>
      <w:r w:rsidR="007A31E9" w:rsidRPr="0047734D">
        <w:rPr>
          <w:rFonts w:ascii="Arial" w:hAnsi="Arial" w:cs="Arial"/>
          <w:iCs/>
        </w:rPr>
        <w:t xml:space="preserve"> this policy change does not alter a defendant’s right to elect for a jury trial in the Crown Court nor should it affect where a case is heard. Magistrates and District Judges will receive training and will continue to adhere to the Sentencing Guidelines as they</w:t>
      </w:r>
      <w:r w:rsidR="007A31E9" w:rsidRPr="0047734D" w:rsidDel="00D11A8C">
        <w:rPr>
          <w:rFonts w:ascii="Arial" w:hAnsi="Arial" w:cs="Arial"/>
          <w:iCs/>
        </w:rPr>
        <w:t xml:space="preserve">, and </w:t>
      </w:r>
      <w:r w:rsidR="007A31E9" w:rsidRPr="0047734D">
        <w:rPr>
          <w:rFonts w:ascii="Arial" w:hAnsi="Arial" w:cs="Arial"/>
          <w:iCs/>
        </w:rPr>
        <w:t>judge</w:t>
      </w:r>
      <w:r w:rsidR="00A578D9">
        <w:rPr>
          <w:rFonts w:ascii="Arial" w:hAnsi="Arial" w:cs="Arial"/>
          <w:iCs/>
        </w:rPr>
        <w:t>s</w:t>
      </w:r>
      <w:r w:rsidR="002744A1">
        <w:rPr>
          <w:rFonts w:ascii="Arial" w:hAnsi="Arial" w:cs="Arial"/>
          <w:iCs/>
        </w:rPr>
        <w:t>,</w:t>
      </w:r>
      <w:r w:rsidR="007A31E9" w:rsidRPr="00A85CB2">
        <w:rPr>
          <w:rFonts w:ascii="Arial" w:hAnsi="Arial" w:cs="Arial"/>
        </w:rPr>
        <w:t xml:space="preserve"> do currently.</w:t>
      </w:r>
      <w:r w:rsidR="0073642A" w:rsidRPr="00A85CB2">
        <w:rPr>
          <w:rFonts w:ascii="Arial" w:hAnsi="Arial" w:cs="Arial"/>
        </w:rPr>
        <w:t xml:space="preserve"> Furthermore, we consider the proposal is a proportionate means of achieving the legitimate aim of supporting members of the public to obtain justice more swiftly, </w:t>
      </w:r>
      <w:r w:rsidR="009C0984">
        <w:rPr>
          <w:rFonts w:ascii="Arial" w:hAnsi="Arial" w:cs="Arial"/>
        </w:rPr>
        <w:t>i</w:t>
      </w:r>
      <w:r w:rsidR="00847FAC">
        <w:rPr>
          <w:rFonts w:ascii="Arial" w:hAnsi="Arial" w:cs="Arial"/>
        </w:rPr>
        <w:t>ncreasing</w:t>
      </w:r>
      <w:r w:rsidR="009C0984">
        <w:rPr>
          <w:rFonts w:ascii="Arial" w:hAnsi="Arial" w:cs="Arial"/>
        </w:rPr>
        <w:t xml:space="preserve"> </w:t>
      </w:r>
      <w:r w:rsidR="00DA6830">
        <w:rPr>
          <w:rFonts w:ascii="Arial" w:hAnsi="Arial" w:cs="Arial"/>
        </w:rPr>
        <w:t>efficiency</w:t>
      </w:r>
      <w:r w:rsidR="00847FAC">
        <w:rPr>
          <w:rFonts w:ascii="Arial" w:hAnsi="Arial" w:cs="Arial"/>
        </w:rPr>
        <w:t xml:space="preserve"> and timeliness</w:t>
      </w:r>
      <w:r w:rsidR="00DA6830">
        <w:rPr>
          <w:rFonts w:ascii="Arial" w:hAnsi="Arial" w:cs="Arial"/>
        </w:rPr>
        <w:t xml:space="preserve"> in the criminal courts</w:t>
      </w:r>
      <w:r w:rsidR="0073642A" w:rsidRPr="00A85CB2">
        <w:rPr>
          <w:rFonts w:ascii="Arial" w:hAnsi="Arial" w:cs="Arial"/>
        </w:rPr>
        <w:t xml:space="preserve"> whilst reducing the costs of the courts</w:t>
      </w:r>
      <w:r w:rsidR="00EF0489" w:rsidRPr="00A85CB2">
        <w:rPr>
          <w:rFonts w:ascii="Arial" w:hAnsi="Arial" w:cs="Arial"/>
        </w:rPr>
        <w:t xml:space="preserve"> to the taxpayer. </w:t>
      </w:r>
    </w:p>
    <w:p w14:paraId="3B7D9D5B" w14:textId="70E59310" w:rsidR="00477DC1" w:rsidRPr="007F51DD" w:rsidRDefault="00477DC1" w:rsidP="008143DB">
      <w:pPr>
        <w:widowControl w:val="0"/>
        <w:overflowPunct w:val="0"/>
        <w:autoSpaceDE w:val="0"/>
        <w:autoSpaceDN w:val="0"/>
        <w:adjustRightInd w:val="0"/>
        <w:textAlignment w:val="baseline"/>
        <w:rPr>
          <w:rFonts w:ascii="Arial" w:hAnsi="Arial" w:cs="Arial"/>
          <w:b/>
          <w:i/>
        </w:rPr>
      </w:pPr>
      <w:r w:rsidRPr="007F51DD">
        <w:rPr>
          <w:rFonts w:ascii="Arial" w:hAnsi="Arial" w:cs="Arial"/>
          <w:b/>
          <w:i/>
        </w:rPr>
        <w:t xml:space="preserve">Discrimination arising from disability and duty to make reasonable adjustments </w:t>
      </w:r>
    </w:p>
    <w:p w14:paraId="39B2739D" w14:textId="052A9176" w:rsidR="00B8122D" w:rsidRPr="0047734D" w:rsidRDefault="00B8122D" w:rsidP="009B1F41">
      <w:pPr>
        <w:pStyle w:val="ListParagraph"/>
        <w:widowControl w:val="0"/>
        <w:numPr>
          <w:ilvl w:val="0"/>
          <w:numId w:val="15"/>
        </w:numPr>
        <w:overflowPunct w:val="0"/>
        <w:autoSpaceDE w:val="0"/>
        <w:autoSpaceDN w:val="0"/>
        <w:adjustRightInd w:val="0"/>
        <w:textAlignment w:val="baseline"/>
        <w:rPr>
          <w:rFonts w:ascii="Arial" w:hAnsi="Arial" w:cs="Arial"/>
          <w:iCs/>
        </w:rPr>
      </w:pPr>
      <w:r w:rsidRPr="0047734D">
        <w:rPr>
          <w:rFonts w:ascii="Arial" w:hAnsi="Arial" w:cs="Arial"/>
          <w:iCs/>
        </w:rPr>
        <w:t xml:space="preserve">We do not consider </w:t>
      </w:r>
      <w:r w:rsidR="00937638" w:rsidRPr="0047734D">
        <w:rPr>
          <w:rFonts w:ascii="Arial" w:hAnsi="Arial" w:cs="Arial"/>
          <w:iCs/>
        </w:rPr>
        <w:t>that there is likely to be any discrimination in relation to disability and will continue to make reasonable adjustments for disabled people impacted by the policy proposals.</w:t>
      </w:r>
    </w:p>
    <w:p w14:paraId="4FD6D384" w14:textId="1CBBC0B0" w:rsidR="00BF033E" w:rsidRPr="007F51DD" w:rsidRDefault="00BF033E" w:rsidP="008143DB">
      <w:pPr>
        <w:widowControl w:val="0"/>
        <w:overflowPunct w:val="0"/>
        <w:autoSpaceDE w:val="0"/>
        <w:autoSpaceDN w:val="0"/>
        <w:adjustRightInd w:val="0"/>
        <w:textAlignment w:val="baseline"/>
        <w:rPr>
          <w:rFonts w:ascii="Arial" w:hAnsi="Arial" w:cs="Arial"/>
          <w:b/>
          <w:i/>
        </w:rPr>
      </w:pPr>
      <w:r w:rsidRPr="007F51DD">
        <w:rPr>
          <w:rFonts w:ascii="Arial" w:hAnsi="Arial" w:cs="Arial"/>
          <w:b/>
          <w:i/>
        </w:rPr>
        <w:t xml:space="preserve">Harassment and victimisation </w:t>
      </w:r>
    </w:p>
    <w:p w14:paraId="285877EC" w14:textId="50CEBBC5" w:rsidR="00BF033E" w:rsidRPr="0047734D" w:rsidRDefault="00BF033E" w:rsidP="009B1F41">
      <w:pPr>
        <w:pStyle w:val="ListParagraph"/>
        <w:widowControl w:val="0"/>
        <w:numPr>
          <w:ilvl w:val="0"/>
          <w:numId w:val="15"/>
        </w:numPr>
        <w:overflowPunct w:val="0"/>
        <w:autoSpaceDE w:val="0"/>
        <w:autoSpaceDN w:val="0"/>
        <w:adjustRightInd w:val="0"/>
        <w:textAlignment w:val="baseline"/>
        <w:rPr>
          <w:rFonts w:ascii="Arial" w:hAnsi="Arial" w:cs="Arial"/>
          <w:iCs/>
        </w:rPr>
      </w:pPr>
      <w:r w:rsidRPr="0047734D">
        <w:rPr>
          <w:rFonts w:ascii="Arial" w:hAnsi="Arial" w:cs="Arial"/>
          <w:iCs/>
        </w:rPr>
        <w:t xml:space="preserve">We do not consider </w:t>
      </w:r>
      <w:r w:rsidR="00FD6D07" w:rsidRPr="0047734D">
        <w:rPr>
          <w:rFonts w:ascii="Arial" w:hAnsi="Arial" w:cs="Arial"/>
          <w:iCs/>
        </w:rPr>
        <w:t>there to be a risk of harassment or victimisation within the meaning of the Equality Act 2010 as a result of this change.</w:t>
      </w:r>
    </w:p>
    <w:p w14:paraId="18AB7C43" w14:textId="341DDC41" w:rsidR="0060748C" w:rsidRPr="009B1F41" w:rsidRDefault="0060748C" w:rsidP="009B1F41">
      <w:pPr>
        <w:widowControl w:val="0"/>
        <w:overflowPunct w:val="0"/>
        <w:autoSpaceDE w:val="0"/>
        <w:autoSpaceDN w:val="0"/>
        <w:adjustRightInd w:val="0"/>
        <w:textAlignment w:val="baseline"/>
        <w:rPr>
          <w:rFonts w:ascii="Arial" w:hAnsi="Arial" w:cs="Arial"/>
          <w:b/>
          <w:bCs/>
          <w:iCs/>
        </w:rPr>
      </w:pPr>
      <w:r w:rsidRPr="00DB063C">
        <w:rPr>
          <w:rFonts w:ascii="Arial" w:hAnsi="Arial" w:cs="Arial"/>
          <w:b/>
        </w:rPr>
        <w:t>Advanc</w:t>
      </w:r>
      <w:r w:rsidR="006A3466">
        <w:rPr>
          <w:rFonts w:ascii="Arial" w:hAnsi="Arial" w:cs="Arial"/>
          <w:b/>
          <w:bCs/>
          <w:iCs/>
        </w:rPr>
        <w:t>ing</w:t>
      </w:r>
      <w:r w:rsidRPr="009B1F41">
        <w:rPr>
          <w:rFonts w:ascii="Arial" w:hAnsi="Arial" w:cs="Arial"/>
          <w:b/>
          <w:bCs/>
          <w:iCs/>
        </w:rPr>
        <w:t xml:space="preserve"> </w:t>
      </w:r>
      <w:r w:rsidR="006A3466">
        <w:rPr>
          <w:rFonts w:ascii="Arial" w:hAnsi="Arial" w:cs="Arial"/>
          <w:b/>
          <w:bCs/>
          <w:iCs/>
        </w:rPr>
        <w:t>E</w:t>
      </w:r>
      <w:r w:rsidRPr="009B1F41">
        <w:rPr>
          <w:rFonts w:ascii="Arial" w:hAnsi="Arial" w:cs="Arial"/>
          <w:b/>
          <w:bCs/>
          <w:iCs/>
        </w:rPr>
        <w:t xml:space="preserve">quality of </w:t>
      </w:r>
      <w:r w:rsidR="006A3466">
        <w:rPr>
          <w:rFonts w:ascii="Arial" w:hAnsi="Arial" w:cs="Arial"/>
          <w:b/>
          <w:bCs/>
          <w:iCs/>
        </w:rPr>
        <w:t>O</w:t>
      </w:r>
      <w:r w:rsidR="00102ECE" w:rsidRPr="009B1F41">
        <w:rPr>
          <w:rFonts w:ascii="Arial" w:hAnsi="Arial" w:cs="Arial"/>
          <w:b/>
          <w:bCs/>
          <w:iCs/>
        </w:rPr>
        <w:t xml:space="preserve">pportunity </w:t>
      </w:r>
    </w:p>
    <w:p w14:paraId="704EA612" w14:textId="29F42185" w:rsidR="007B57BB" w:rsidRPr="00A85CB2" w:rsidRDefault="000F3309" w:rsidP="009B1F41">
      <w:pPr>
        <w:pStyle w:val="ListParagraph"/>
        <w:widowControl w:val="0"/>
        <w:numPr>
          <w:ilvl w:val="0"/>
          <w:numId w:val="15"/>
        </w:numPr>
        <w:overflowPunct w:val="0"/>
        <w:autoSpaceDE w:val="0"/>
        <w:autoSpaceDN w:val="0"/>
        <w:adjustRightInd w:val="0"/>
        <w:textAlignment w:val="baseline"/>
        <w:rPr>
          <w:rFonts w:ascii="Arial" w:hAnsi="Arial" w:cs="Arial"/>
        </w:rPr>
      </w:pPr>
      <w:r w:rsidRPr="00A85CB2">
        <w:rPr>
          <w:rFonts w:ascii="Arial" w:hAnsi="Arial" w:cs="Arial"/>
        </w:rPr>
        <w:t>W</w:t>
      </w:r>
      <w:r w:rsidR="007B57BB" w:rsidRPr="00A85CB2">
        <w:rPr>
          <w:rFonts w:ascii="Arial" w:hAnsi="Arial" w:cs="Arial"/>
        </w:rPr>
        <w:t xml:space="preserve">e have </w:t>
      </w:r>
      <w:r w:rsidRPr="00A85CB2">
        <w:rPr>
          <w:rFonts w:ascii="Arial" w:hAnsi="Arial" w:cs="Arial"/>
        </w:rPr>
        <w:t xml:space="preserve">considered the impact of this measure on the advancing equality of opportunity </w:t>
      </w:r>
      <w:r w:rsidR="00421637" w:rsidRPr="00A85CB2">
        <w:rPr>
          <w:rFonts w:ascii="Arial" w:hAnsi="Arial" w:cs="Arial"/>
        </w:rPr>
        <w:t xml:space="preserve">limb of the duty in relation to removing of minimising disadvantages suffered by people due to their protected characteristic. We believe that this policy will support a reduction in waiting times for cases and minimise the time needed to </w:t>
      </w:r>
      <w:r w:rsidR="00421637" w:rsidRPr="00A85CB2">
        <w:rPr>
          <w:rFonts w:ascii="Arial" w:hAnsi="Arial" w:cs="Arial"/>
        </w:rPr>
        <w:lastRenderedPageBreak/>
        <w:t xml:space="preserve">be spent on bail or on remand for defendants. This proposal will also support victims and witnesses to receive earlier justice and reduce the stress and worry of unnecessary delays to the hearings of cases. </w:t>
      </w:r>
    </w:p>
    <w:p w14:paraId="4C940305" w14:textId="28CB4E13" w:rsidR="009D6F0E" w:rsidRPr="009B1F41" w:rsidRDefault="009D6F0E" w:rsidP="00EE68E2">
      <w:pPr>
        <w:widowControl w:val="0"/>
        <w:overflowPunct w:val="0"/>
        <w:autoSpaceDE w:val="0"/>
        <w:autoSpaceDN w:val="0"/>
        <w:adjustRightInd w:val="0"/>
        <w:textAlignment w:val="baseline"/>
        <w:rPr>
          <w:rFonts w:ascii="Arial" w:hAnsi="Arial" w:cs="Arial"/>
          <w:iCs/>
        </w:rPr>
      </w:pPr>
      <w:r w:rsidRPr="00EE68E2">
        <w:rPr>
          <w:rFonts w:ascii="Arial" w:hAnsi="Arial" w:cs="Arial"/>
          <w:b/>
        </w:rPr>
        <w:t>Foster</w:t>
      </w:r>
      <w:r w:rsidR="006A3466">
        <w:rPr>
          <w:rFonts w:ascii="Arial" w:hAnsi="Arial" w:cs="Arial"/>
          <w:b/>
          <w:bCs/>
          <w:iCs/>
        </w:rPr>
        <w:t>ing</w:t>
      </w:r>
      <w:r w:rsidRPr="00DB063C">
        <w:rPr>
          <w:rFonts w:ascii="Arial" w:hAnsi="Arial" w:cs="Arial"/>
          <w:b/>
        </w:rPr>
        <w:t xml:space="preserve"> </w:t>
      </w:r>
      <w:r w:rsidR="006A3466">
        <w:rPr>
          <w:rFonts w:ascii="Arial" w:hAnsi="Arial" w:cs="Arial"/>
          <w:b/>
          <w:bCs/>
          <w:iCs/>
        </w:rPr>
        <w:t>G</w:t>
      </w:r>
      <w:r w:rsidRPr="009B1F41">
        <w:rPr>
          <w:rFonts w:ascii="Arial" w:hAnsi="Arial" w:cs="Arial"/>
          <w:b/>
          <w:bCs/>
          <w:iCs/>
        </w:rPr>
        <w:t xml:space="preserve">ood </w:t>
      </w:r>
      <w:r w:rsidR="006A3466">
        <w:rPr>
          <w:rFonts w:ascii="Arial" w:hAnsi="Arial" w:cs="Arial"/>
          <w:b/>
          <w:bCs/>
          <w:iCs/>
        </w:rPr>
        <w:t>R</w:t>
      </w:r>
      <w:r w:rsidRPr="009B1F41">
        <w:rPr>
          <w:rFonts w:ascii="Arial" w:hAnsi="Arial" w:cs="Arial"/>
          <w:b/>
          <w:bCs/>
          <w:iCs/>
        </w:rPr>
        <w:t>elations</w:t>
      </w:r>
      <w:r w:rsidRPr="009B1F41">
        <w:rPr>
          <w:rFonts w:ascii="Arial" w:hAnsi="Arial" w:cs="Arial"/>
          <w:iCs/>
        </w:rPr>
        <w:t xml:space="preserve"> </w:t>
      </w:r>
    </w:p>
    <w:p w14:paraId="5CD9B7A8" w14:textId="77777777" w:rsidR="00176814" w:rsidRDefault="009D6F0E" w:rsidP="009B1F41">
      <w:pPr>
        <w:pStyle w:val="ListParagraph"/>
        <w:widowControl w:val="0"/>
        <w:numPr>
          <w:ilvl w:val="0"/>
          <w:numId w:val="15"/>
        </w:numPr>
        <w:overflowPunct w:val="0"/>
        <w:autoSpaceDE w:val="0"/>
        <w:autoSpaceDN w:val="0"/>
        <w:adjustRightInd w:val="0"/>
        <w:textAlignment w:val="baseline"/>
        <w:rPr>
          <w:rFonts w:ascii="Arial" w:hAnsi="Arial" w:cs="Arial"/>
        </w:rPr>
      </w:pPr>
      <w:r w:rsidRPr="00A85CB2">
        <w:rPr>
          <w:rFonts w:ascii="Arial" w:hAnsi="Arial" w:cs="Arial"/>
        </w:rPr>
        <w:t xml:space="preserve">We have considered the implications of this policy </w:t>
      </w:r>
      <w:r w:rsidR="00CE0F1B" w:rsidRPr="00A85CB2">
        <w:rPr>
          <w:rFonts w:ascii="Arial" w:hAnsi="Arial" w:cs="Arial"/>
        </w:rPr>
        <w:t xml:space="preserve">on fostering good relations between groups with different protected characteristics. We recognise that </w:t>
      </w:r>
      <w:r w:rsidR="00406D58" w:rsidRPr="00F8633C">
        <w:rPr>
          <w:rFonts w:ascii="Arial" w:hAnsi="Arial" w:cs="Arial"/>
        </w:rPr>
        <w:t>r</w:t>
      </w:r>
      <w:r w:rsidR="00CE0F1B" w:rsidRPr="00F8633C">
        <w:rPr>
          <w:rFonts w:ascii="Arial" w:hAnsi="Arial" w:cs="Arial"/>
        </w:rPr>
        <w:t>ace</w:t>
      </w:r>
      <w:r w:rsidR="00CE0F1B" w:rsidRPr="00A85CB2">
        <w:rPr>
          <w:rFonts w:ascii="Arial" w:hAnsi="Arial" w:cs="Arial"/>
        </w:rPr>
        <w:t xml:space="preserve"> relations could suffer as a consequence if this policy is perceived to disadvantage ethnic minority groups.</w:t>
      </w:r>
    </w:p>
    <w:p w14:paraId="0E556146" w14:textId="40F02657" w:rsidR="00766166" w:rsidRPr="000739ED" w:rsidRDefault="00766166" w:rsidP="00CE3F47">
      <w:pPr>
        <w:widowControl w:val="0"/>
        <w:overflowPunct w:val="0"/>
        <w:autoSpaceDE w:val="0"/>
        <w:autoSpaceDN w:val="0"/>
        <w:adjustRightInd w:val="0"/>
        <w:spacing w:after="0"/>
        <w:textAlignment w:val="baseline"/>
        <w:rPr>
          <w:rFonts w:ascii="Arial" w:hAnsi="Arial" w:cs="Arial"/>
          <w:b/>
        </w:rPr>
      </w:pPr>
      <w:r w:rsidRPr="000739ED">
        <w:rPr>
          <w:rFonts w:ascii="Arial" w:hAnsi="Arial" w:cs="Arial"/>
          <w:b/>
        </w:rPr>
        <w:t xml:space="preserve">Mitigation </w:t>
      </w:r>
    </w:p>
    <w:p w14:paraId="4A91C6CD" w14:textId="1EDC30E6" w:rsidR="00176814" w:rsidRPr="00CE3F47" w:rsidRDefault="00176814" w:rsidP="00CE3F47">
      <w:pPr>
        <w:widowControl w:val="0"/>
        <w:overflowPunct w:val="0"/>
        <w:autoSpaceDE w:val="0"/>
        <w:autoSpaceDN w:val="0"/>
        <w:adjustRightInd w:val="0"/>
        <w:spacing w:after="0"/>
        <w:textAlignment w:val="baseline"/>
        <w:rPr>
          <w:rFonts w:ascii="Arial" w:hAnsi="Arial" w:cs="Arial"/>
          <w:iCs/>
        </w:rPr>
      </w:pPr>
    </w:p>
    <w:p w14:paraId="1FBF1ED3" w14:textId="4F381E9C" w:rsidR="00E14225" w:rsidRDefault="00E14225" w:rsidP="002C7E37">
      <w:pPr>
        <w:pStyle w:val="ListParagraph"/>
        <w:widowControl w:val="0"/>
        <w:numPr>
          <w:ilvl w:val="0"/>
          <w:numId w:val="15"/>
        </w:numPr>
        <w:overflowPunct w:val="0"/>
        <w:autoSpaceDE w:val="0"/>
        <w:autoSpaceDN w:val="0"/>
        <w:adjustRightInd w:val="0"/>
        <w:textAlignment w:val="baseline"/>
        <w:rPr>
          <w:rFonts w:ascii="Arial" w:hAnsi="Arial" w:cs="Arial"/>
          <w:iCs/>
        </w:rPr>
      </w:pPr>
      <w:r w:rsidRPr="0047734D">
        <w:rPr>
          <w:rFonts w:ascii="Arial" w:hAnsi="Arial" w:cs="Arial"/>
          <w:iCs/>
        </w:rPr>
        <w:t xml:space="preserve">This policy change does not alter the defendant’s right to elect for a jury trial in the Crown Court. </w:t>
      </w:r>
    </w:p>
    <w:p w14:paraId="4C30E2A1" w14:textId="77777777" w:rsidR="00176814" w:rsidRPr="00176814" w:rsidRDefault="00176814" w:rsidP="00176814">
      <w:pPr>
        <w:pStyle w:val="ListParagraph"/>
        <w:rPr>
          <w:rFonts w:ascii="Arial" w:hAnsi="Arial" w:cs="Arial"/>
          <w:iCs/>
        </w:rPr>
      </w:pPr>
    </w:p>
    <w:p w14:paraId="0F475CB6" w14:textId="4ABE59A8" w:rsidR="00176814" w:rsidRDefault="00C15EA1" w:rsidP="00176814">
      <w:pPr>
        <w:pStyle w:val="ListParagraph"/>
        <w:widowControl w:val="0"/>
        <w:numPr>
          <w:ilvl w:val="0"/>
          <w:numId w:val="15"/>
        </w:numPr>
        <w:overflowPunct w:val="0"/>
        <w:autoSpaceDE w:val="0"/>
        <w:autoSpaceDN w:val="0"/>
        <w:adjustRightInd w:val="0"/>
        <w:textAlignment w:val="baseline"/>
        <w:rPr>
          <w:rFonts w:ascii="Arial" w:hAnsi="Arial" w:cs="Arial"/>
          <w:iCs/>
        </w:rPr>
      </w:pPr>
      <w:r w:rsidRPr="00176814">
        <w:rPr>
          <w:rFonts w:ascii="Arial" w:hAnsi="Arial" w:cs="Arial"/>
          <w:iCs/>
        </w:rPr>
        <w:t xml:space="preserve">Further, training has been designed and rolled out to </w:t>
      </w:r>
      <w:r w:rsidR="00D33595" w:rsidRPr="00176814">
        <w:rPr>
          <w:rFonts w:ascii="Arial" w:hAnsi="Arial" w:cs="Arial"/>
          <w:iCs/>
        </w:rPr>
        <w:t>magistrates and legal advisors, and the commencement date for the extension was chosen based on the point at which sufficient numbers of magistrates and legal advisors would have completed training. We have also worked with the Sentencing Council to update sentencing guidelines, to which magistrates’ must, like judges, adhere.</w:t>
      </w:r>
    </w:p>
    <w:p w14:paraId="2D1A2CAA" w14:textId="77777777" w:rsidR="00176814" w:rsidRPr="00176814" w:rsidRDefault="00176814" w:rsidP="00176814">
      <w:pPr>
        <w:pStyle w:val="ListParagraph"/>
        <w:rPr>
          <w:rFonts w:ascii="Arial" w:hAnsi="Arial" w:cs="Arial"/>
          <w:iCs/>
        </w:rPr>
      </w:pPr>
    </w:p>
    <w:p w14:paraId="26067FD2" w14:textId="1CDBBE3D" w:rsidR="00183E65" w:rsidRDefault="00D33595" w:rsidP="00176814">
      <w:pPr>
        <w:pStyle w:val="ListParagraph"/>
        <w:widowControl w:val="0"/>
        <w:numPr>
          <w:ilvl w:val="0"/>
          <w:numId w:val="15"/>
        </w:numPr>
        <w:overflowPunct w:val="0"/>
        <w:autoSpaceDE w:val="0"/>
        <w:autoSpaceDN w:val="0"/>
        <w:adjustRightInd w:val="0"/>
        <w:textAlignment w:val="baseline"/>
        <w:rPr>
          <w:rFonts w:ascii="Arial" w:hAnsi="Arial" w:cs="Arial"/>
          <w:iCs/>
        </w:rPr>
      </w:pPr>
      <w:r w:rsidRPr="00176814">
        <w:rPr>
          <w:rFonts w:ascii="Arial" w:hAnsi="Arial" w:cs="Arial"/>
          <w:iCs/>
        </w:rPr>
        <w:t xml:space="preserve">The Judicial </w:t>
      </w:r>
      <w:r w:rsidR="00183E65" w:rsidRPr="00176814">
        <w:rPr>
          <w:rFonts w:ascii="Arial" w:hAnsi="Arial" w:cs="Arial"/>
          <w:iCs/>
        </w:rPr>
        <w:t xml:space="preserve">Review and Courts Act (JRCA) 2022 introduced a power that allows MSPs to be varied </w:t>
      </w:r>
      <w:r w:rsidR="00A57545" w:rsidRPr="00176814">
        <w:rPr>
          <w:rFonts w:ascii="Arial" w:hAnsi="Arial" w:cs="Arial"/>
          <w:iCs/>
        </w:rPr>
        <w:t xml:space="preserve">from being </w:t>
      </w:r>
      <w:r w:rsidR="00EF7CF0" w:rsidRPr="00176814">
        <w:rPr>
          <w:rFonts w:ascii="Arial" w:hAnsi="Arial" w:cs="Arial"/>
          <w:iCs/>
        </w:rPr>
        <w:t>either</w:t>
      </w:r>
      <w:r w:rsidR="00183E65" w:rsidRPr="00176814">
        <w:rPr>
          <w:rFonts w:ascii="Arial" w:hAnsi="Arial" w:cs="Arial"/>
          <w:iCs/>
        </w:rPr>
        <w:t xml:space="preserve"> 6</w:t>
      </w:r>
      <w:r w:rsidR="00EF7CF0" w:rsidRPr="00176814">
        <w:rPr>
          <w:rFonts w:ascii="Arial" w:hAnsi="Arial" w:cs="Arial"/>
          <w:iCs/>
        </w:rPr>
        <w:t xml:space="preserve"> months</w:t>
      </w:r>
      <w:r w:rsidR="00183E65" w:rsidRPr="00176814">
        <w:rPr>
          <w:rFonts w:ascii="Arial" w:hAnsi="Arial" w:cs="Arial"/>
          <w:iCs/>
        </w:rPr>
        <w:t xml:space="preserve"> </w:t>
      </w:r>
      <w:r w:rsidR="00EF7CF0" w:rsidRPr="00176814">
        <w:rPr>
          <w:rFonts w:ascii="Arial" w:hAnsi="Arial" w:cs="Arial"/>
          <w:iCs/>
        </w:rPr>
        <w:t>or</w:t>
      </w:r>
      <w:r w:rsidR="00183E65" w:rsidRPr="00176814">
        <w:rPr>
          <w:rFonts w:ascii="Arial" w:hAnsi="Arial" w:cs="Arial"/>
          <w:iCs/>
        </w:rPr>
        <w:t xml:space="preserve"> 12 months via a negative Statutory Instrument (SI), in order to have maximum flexibility to changing circumstances and manage any unsustainable impacts. This power can therefore be used to mitigate the risk that our assumptions set out above are incorrect, and there is an increase to the election rate or appeal rate, both of which would negatively impact court efficiency and the backlog. </w:t>
      </w:r>
    </w:p>
    <w:p w14:paraId="417D584F" w14:textId="77777777" w:rsidR="00176814" w:rsidRPr="00176814" w:rsidRDefault="00176814" w:rsidP="00176814">
      <w:pPr>
        <w:pStyle w:val="ListParagraph"/>
        <w:rPr>
          <w:rFonts w:ascii="Arial" w:hAnsi="Arial" w:cs="Arial"/>
          <w:iCs/>
        </w:rPr>
      </w:pPr>
    </w:p>
    <w:p w14:paraId="31962A3D" w14:textId="23C83D7C" w:rsidR="0007276A" w:rsidRPr="00176814" w:rsidRDefault="0007276A" w:rsidP="00176814">
      <w:pPr>
        <w:pStyle w:val="ListParagraph"/>
        <w:widowControl w:val="0"/>
        <w:numPr>
          <w:ilvl w:val="0"/>
          <w:numId w:val="15"/>
        </w:numPr>
        <w:overflowPunct w:val="0"/>
        <w:autoSpaceDE w:val="0"/>
        <w:autoSpaceDN w:val="0"/>
        <w:adjustRightInd w:val="0"/>
        <w:textAlignment w:val="baseline"/>
        <w:rPr>
          <w:rFonts w:ascii="Arial" w:hAnsi="Arial" w:cs="Arial"/>
          <w:iCs/>
        </w:rPr>
      </w:pPr>
      <w:r w:rsidRPr="00176814">
        <w:rPr>
          <w:rFonts w:ascii="Arial" w:hAnsi="Arial" w:cs="Arial"/>
          <w:iCs/>
        </w:rPr>
        <w:t xml:space="preserve">In order to identify </w:t>
      </w:r>
      <w:r w:rsidR="00107F9D" w:rsidRPr="00176814">
        <w:rPr>
          <w:rFonts w:ascii="Arial" w:hAnsi="Arial" w:cs="Arial"/>
          <w:iCs/>
        </w:rPr>
        <w:t xml:space="preserve">early indications of potentially untenable impacts that would inform whether to </w:t>
      </w:r>
      <w:r w:rsidR="00F450CE">
        <w:rPr>
          <w:rFonts w:ascii="Arial" w:hAnsi="Arial" w:cs="Arial"/>
          <w:iCs/>
        </w:rPr>
        <w:t>re</w:t>
      </w:r>
      <w:r w:rsidR="00107F9D" w:rsidRPr="00176814">
        <w:rPr>
          <w:rFonts w:ascii="Arial" w:hAnsi="Arial" w:cs="Arial"/>
          <w:iCs/>
        </w:rPr>
        <w:t>consider use of the ‘varying power’, we will monitor on key indicators including:</w:t>
      </w:r>
    </w:p>
    <w:p w14:paraId="3D442B54" w14:textId="6846AB2C" w:rsidR="00107F9D" w:rsidRPr="0047734D" w:rsidRDefault="00107F9D" w:rsidP="00107F9D">
      <w:pPr>
        <w:pStyle w:val="ListParagraph"/>
        <w:numPr>
          <w:ilvl w:val="0"/>
          <w:numId w:val="8"/>
        </w:numPr>
        <w:rPr>
          <w:rFonts w:ascii="Arial" w:hAnsi="Arial" w:cs="Arial"/>
          <w:iCs/>
        </w:rPr>
      </w:pPr>
      <w:r w:rsidRPr="0047734D">
        <w:rPr>
          <w:rFonts w:ascii="Arial" w:hAnsi="Arial" w:cs="Arial"/>
          <w:iCs/>
        </w:rPr>
        <w:t>The Crown Court backlog</w:t>
      </w:r>
    </w:p>
    <w:p w14:paraId="797AC9BF" w14:textId="1042592F" w:rsidR="00107F9D" w:rsidRPr="0047734D" w:rsidRDefault="00107F9D" w:rsidP="00107F9D">
      <w:pPr>
        <w:pStyle w:val="ListParagraph"/>
        <w:numPr>
          <w:ilvl w:val="0"/>
          <w:numId w:val="8"/>
        </w:numPr>
        <w:rPr>
          <w:rFonts w:ascii="Arial" w:hAnsi="Arial" w:cs="Arial"/>
          <w:iCs/>
        </w:rPr>
      </w:pPr>
      <w:r w:rsidRPr="0047734D">
        <w:rPr>
          <w:rFonts w:ascii="Arial" w:hAnsi="Arial" w:cs="Arial"/>
          <w:iCs/>
        </w:rPr>
        <w:t>Average custodial sentence lengths</w:t>
      </w:r>
    </w:p>
    <w:p w14:paraId="071DD096" w14:textId="159B19BA" w:rsidR="00107F9D" w:rsidRPr="0047734D" w:rsidRDefault="00107F9D" w:rsidP="00107F9D">
      <w:pPr>
        <w:pStyle w:val="ListParagraph"/>
        <w:numPr>
          <w:ilvl w:val="0"/>
          <w:numId w:val="8"/>
        </w:numPr>
        <w:rPr>
          <w:rFonts w:ascii="Arial" w:hAnsi="Arial" w:cs="Arial"/>
          <w:iCs/>
        </w:rPr>
      </w:pPr>
      <w:r w:rsidRPr="0047734D">
        <w:rPr>
          <w:rFonts w:ascii="Arial" w:hAnsi="Arial" w:cs="Arial"/>
          <w:iCs/>
        </w:rPr>
        <w:t xml:space="preserve">Appeal rates </w:t>
      </w:r>
    </w:p>
    <w:p w14:paraId="22127568" w14:textId="0992C41C" w:rsidR="00107F9D" w:rsidRPr="0047734D" w:rsidRDefault="00107F9D" w:rsidP="00107F9D">
      <w:pPr>
        <w:pStyle w:val="ListParagraph"/>
        <w:numPr>
          <w:ilvl w:val="0"/>
          <w:numId w:val="8"/>
        </w:numPr>
        <w:rPr>
          <w:rFonts w:ascii="Arial" w:hAnsi="Arial" w:cs="Arial"/>
          <w:iCs/>
        </w:rPr>
      </w:pPr>
      <w:r w:rsidRPr="0047734D">
        <w:rPr>
          <w:rFonts w:ascii="Arial" w:hAnsi="Arial" w:cs="Arial"/>
          <w:iCs/>
        </w:rPr>
        <w:t xml:space="preserve">Election rates </w:t>
      </w:r>
    </w:p>
    <w:p w14:paraId="7A42197D" w14:textId="77777777" w:rsidR="00176814" w:rsidRDefault="00107F9D" w:rsidP="00107F9D">
      <w:pPr>
        <w:pStyle w:val="ListParagraph"/>
        <w:numPr>
          <w:ilvl w:val="0"/>
          <w:numId w:val="8"/>
        </w:numPr>
        <w:rPr>
          <w:rFonts w:ascii="Arial" w:hAnsi="Arial" w:cs="Arial"/>
          <w:iCs/>
        </w:rPr>
      </w:pPr>
      <w:r w:rsidRPr="0047734D">
        <w:rPr>
          <w:rFonts w:ascii="Arial" w:hAnsi="Arial" w:cs="Arial"/>
          <w:iCs/>
        </w:rPr>
        <w:t>Prison population rates</w:t>
      </w:r>
    </w:p>
    <w:p w14:paraId="0D0BA8EB" w14:textId="6EC442C3" w:rsidR="00107F9D" w:rsidRPr="0047734D" w:rsidRDefault="00107F9D" w:rsidP="00176814">
      <w:pPr>
        <w:pStyle w:val="ListParagraph"/>
        <w:rPr>
          <w:rFonts w:ascii="Arial" w:hAnsi="Arial" w:cs="Arial"/>
          <w:iCs/>
        </w:rPr>
      </w:pPr>
      <w:r w:rsidRPr="0047734D">
        <w:rPr>
          <w:rFonts w:ascii="Arial" w:hAnsi="Arial" w:cs="Arial"/>
          <w:iCs/>
        </w:rPr>
        <w:t xml:space="preserve"> </w:t>
      </w:r>
    </w:p>
    <w:p w14:paraId="3B8C7D67" w14:textId="2630F53A" w:rsidR="00B124A3" w:rsidRPr="0021070E" w:rsidRDefault="00DC658C" w:rsidP="00793951">
      <w:pPr>
        <w:pStyle w:val="ListParagraph"/>
        <w:numPr>
          <w:ilvl w:val="0"/>
          <w:numId w:val="15"/>
        </w:numPr>
      </w:pPr>
      <w:r w:rsidRPr="0047734D">
        <w:rPr>
          <w:rFonts w:ascii="Arial" w:hAnsi="Arial" w:cs="Arial"/>
          <w:iCs/>
        </w:rPr>
        <w:t>Where it is available, we will use data on a regional level, as well as data pertaining to protected character</w:t>
      </w:r>
      <w:r w:rsidR="00D62D8A" w:rsidRPr="0047734D">
        <w:rPr>
          <w:rFonts w:ascii="Arial" w:hAnsi="Arial" w:cs="Arial"/>
          <w:iCs/>
        </w:rPr>
        <w:t>istics.</w:t>
      </w:r>
    </w:p>
    <w:p w14:paraId="7E1CC6FE" w14:textId="7F52B152" w:rsidR="00366932" w:rsidRPr="0047734D" w:rsidRDefault="00366932" w:rsidP="00DC658C">
      <w:pPr>
        <w:rPr>
          <w:rFonts w:ascii="Arial" w:hAnsi="Arial" w:cs="Arial"/>
          <w:b/>
          <w:bCs/>
          <w:iCs/>
        </w:rPr>
      </w:pPr>
      <w:r w:rsidRPr="0047734D">
        <w:rPr>
          <w:rFonts w:ascii="Arial" w:hAnsi="Arial" w:cs="Arial"/>
          <w:b/>
          <w:bCs/>
          <w:iCs/>
        </w:rPr>
        <w:lastRenderedPageBreak/>
        <w:t xml:space="preserve">Decision Making </w:t>
      </w:r>
    </w:p>
    <w:p w14:paraId="5A933EE3" w14:textId="020A0C27" w:rsidR="00256B4F" w:rsidRDefault="00D42506" w:rsidP="00CE3F47">
      <w:pPr>
        <w:pStyle w:val="ListParagraph"/>
        <w:numPr>
          <w:ilvl w:val="0"/>
          <w:numId w:val="15"/>
        </w:numPr>
        <w:rPr>
          <w:rFonts w:ascii="Arial" w:hAnsi="Arial" w:cs="Arial"/>
          <w:iCs/>
        </w:rPr>
      </w:pPr>
      <w:r>
        <w:rPr>
          <w:rFonts w:ascii="Arial" w:hAnsi="Arial" w:cs="Arial"/>
          <w:iCs/>
        </w:rPr>
        <w:t xml:space="preserve">This policy is </w:t>
      </w:r>
      <w:r w:rsidR="00A64D0A">
        <w:rPr>
          <w:rFonts w:ascii="Arial" w:hAnsi="Arial" w:cs="Arial"/>
          <w:iCs/>
        </w:rPr>
        <w:t xml:space="preserve">not </w:t>
      </w:r>
      <w:r>
        <w:rPr>
          <w:rFonts w:ascii="Arial" w:hAnsi="Arial" w:cs="Arial"/>
          <w:iCs/>
        </w:rPr>
        <w:t>expected to</w:t>
      </w:r>
      <w:r w:rsidR="00A64D0A">
        <w:rPr>
          <w:rFonts w:ascii="Arial" w:hAnsi="Arial" w:cs="Arial"/>
          <w:iCs/>
        </w:rPr>
        <w:t xml:space="preserve"> </w:t>
      </w:r>
      <w:r w:rsidR="7F16E283" w:rsidRPr="17A91E20">
        <w:rPr>
          <w:rFonts w:ascii="Arial" w:hAnsi="Arial" w:cs="Arial"/>
        </w:rPr>
        <w:t>considerably</w:t>
      </w:r>
      <w:r>
        <w:rPr>
          <w:rFonts w:ascii="Arial" w:hAnsi="Arial" w:cs="Arial"/>
          <w:iCs/>
        </w:rPr>
        <w:t xml:space="preserve"> increase the number of cases retained by the magistrates’ court.  </w:t>
      </w:r>
      <w:r w:rsidR="001172D8" w:rsidRPr="0047734D">
        <w:rPr>
          <w:rFonts w:ascii="Arial" w:hAnsi="Arial" w:cs="Arial"/>
          <w:iCs/>
        </w:rPr>
        <w:t xml:space="preserve">We </w:t>
      </w:r>
      <w:r w:rsidR="00D311C4">
        <w:rPr>
          <w:rFonts w:ascii="Arial" w:hAnsi="Arial" w:cs="Arial"/>
          <w:iCs/>
        </w:rPr>
        <w:t xml:space="preserve">understand that </w:t>
      </w:r>
      <w:r w:rsidR="008D622F">
        <w:rPr>
          <w:rFonts w:ascii="Arial" w:hAnsi="Arial" w:cs="Arial"/>
          <w:iCs/>
        </w:rPr>
        <w:t>where additional cases are retained for the purposes of trial</w:t>
      </w:r>
      <w:r w:rsidR="00D311C4">
        <w:rPr>
          <w:rFonts w:ascii="Arial" w:hAnsi="Arial" w:cs="Arial"/>
          <w:iCs/>
        </w:rPr>
        <w:t xml:space="preserve"> in the magistrates’ court</w:t>
      </w:r>
      <w:r w:rsidR="00AA74B6">
        <w:rPr>
          <w:rFonts w:ascii="Arial" w:hAnsi="Arial" w:cs="Arial"/>
          <w:iCs/>
        </w:rPr>
        <w:t xml:space="preserve"> </w:t>
      </w:r>
      <w:r w:rsidR="008D622F">
        <w:rPr>
          <w:rFonts w:ascii="Arial" w:hAnsi="Arial" w:cs="Arial"/>
          <w:iCs/>
        </w:rPr>
        <w:t xml:space="preserve">this </w:t>
      </w:r>
      <w:r w:rsidR="008E2682">
        <w:rPr>
          <w:rFonts w:ascii="Arial" w:hAnsi="Arial" w:cs="Arial"/>
          <w:iCs/>
        </w:rPr>
        <w:t>may have implications for black, Asian, mixed ethnic and Chinese women who are more likely to be convicted in the magistrates’ court.</w:t>
      </w:r>
      <w:r w:rsidR="00F57FF0">
        <w:rPr>
          <w:rFonts w:ascii="Arial" w:hAnsi="Arial" w:cs="Arial"/>
          <w:iCs/>
        </w:rPr>
        <w:t xml:space="preserve"> However, we believe this risk is mitigated </w:t>
      </w:r>
      <w:r w:rsidR="003C5BC0">
        <w:rPr>
          <w:rFonts w:ascii="Arial" w:hAnsi="Arial" w:cs="Arial"/>
          <w:iCs/>
        </w:rPr>
        <w:t>as this policy does not alter a defendant’s right to elect for a jury trial in the Crown Court nor should it affect where a case is heard.</w:t>
      </w:r>
      <w:r w:rsidR="0006033B">
        <w:rPr>
          <w:rFonts w:ascii="Arial" w:hAnsi="Arial" w:cs="Arial"/>
          <w:iCs/>
        </w:rPr>
        <w:t xml:space="preserve"> </w:t>
      </w:r>
      <w:r w:rsidR="00BF263F">
        <w:rPr>
          <w:rFonts w:ascii="Arial" w:hAnsi="Arial" w:cs="Arial"/>
          <w:iCs/>
        </w:rPr>
        <w:t>We</w:t>
      </w:r>
      <w:r w:rsidR="00BF19A4" w:rsidRPr="002169D0">
        <w:rPr>
          <w:rFonts w:ascii="Arial" w:hAnsi="Arial" w:cs="Arial"/>
          <w:iCs/>
        </w:rPr>
        <w:t xml:space="preserve"> consider that this </w:t>
      </w:r>
      <w:r w:rsidR="003B5B75" w:rsidRPr="002169D0">
        <w:rPr>
          <w:rFonts w:ascii="Arial" w:hAnsi="Arial" w:cs="Arial"/>
          <w:iCs/>
        </w:rPr>
        <w:t xml:space="preserve">policy change is a proportionate means of achieving the legitimate aims of </w:t>
      </w:r>
      <w:r w:rsidR="00F4500E" w:rsidRPr="002169D0">
        <w:rPr>
          <w:rFonts w:ascii="Arial" w:hAnsi="Arial" w:cs="Arial"/>
          <w:iCs/>
        </w:rPr>
        <w:t xml:space="preserve">increasing the efficiency and timeliness of the </w:t>
      </w:r>
      <w:r w:rsidR="00E249F1" w:rsidRPr="002169D0">
        <w:rPr>
          <w:rFonts w:ascii="Arial" w:hAnsi="Arial" w:cs="Arial"/>
          <w:iCs/>
        </w:rPr>
        <w:t xml:space="preserve">criminal courts, which will help deliver </w:t>
      </w:r>
      <w:r w:rsidR="00A63618" w:rsidRPr="002169D0">
        <w:rPr>
          <w:rFonts w:ascii="Arial" w:hAnsi="Arial" w:cs="Arial"/>
          <w:iCs/>
        </w:rPr>
        <w:t xml:space="preserve">swifter </w:t>
      </w:r>
      <w:r w:rsidR="00CF7D50" w:rsidRPr="002169D0">
        <w:rPr>
          <w:rFonts w:ascii="Arial" w:hAnsi="Arial" w:cs="Arial"/>
          <w:iCs/>
        </w:rPr>
        <w:t xml:space="preserve">justice for all court users. </w:t>
      </w:r>
      <w:r w:rsidR="002169D0" w:rsidRPr="002169D0">
        <w:rPr>
          <w:rFonts w:ascii="Arial" w:hAnsi="Arial" w:cs="Arial"/>
          <w:iCs/>
        </w:rPr>
        <w:t>Therefore,</w:t>
      </w:r>
      <w:r w:rsidR="007415B8" w:rsidRPr="002169D0">
        <w:rPr>
          <w:rFonts w:ascii="Arial" w:hAnsi="Arial" w:cs="Arial"/>
          <w:iCs/>
        </w:rPr>
        <w:t xml:space="preserve"> </w:t>
      </w:r>
      <w:r w:rsidR="002169D0" w:rsidRPr="002169D0">
        <w:rPr>
          <w:rFonts w:ascii="Arial" w:hAnsi="Arial" w:cs="Arial"/>
          <w:iCs/>
        </w:rPr>
        <w:t>w</w:t>
      </w:r>
      <w:r w:rsidR="001172D8" w:rsidRPr="0047734D">
        <w:rPr>
          <w:rFonts w:ascii="Arial" w:hAnsi="Arial" w:cs="Arial"/>
          <w:iCs/>
        </w:rPr>
        <w:t xml:space="preserve">e have decided to </w:t>
      </w:r>
      <w:r w:rsidR="00CE3271" w:rsidRPr="0047734D">
        <w:rPr>
          <w:rFonts w:ascii="Arial" w:hAnsi="Arial" w:cs="Arial"/>
          <w:iCs/>
        </w:rPr>
        <w:t>proceed with the decision to increase MSPs from 6 months</w:t>
      </w:r>
      <w:r w:rsidR="00E018CD">
        <w:rPr>
          <w:rFonts w:ascii="Arial" w:hAnsi="Arial" w:cs="Arial"/>
          <w:iCs/>
        </w:rPr>
        <w:t>’</w:t>
      </w:r>
      <w:r w:rsidR="00CE3271" w:rsidRPr="0047734D">
        <w:rPr>
          <w:rFonts w:ascii="Arial" w:hAnsi="Arial" w:cs="Arial"/>
          <w:iCs/>
        </w:rPr>
        <w:t xml:space="preserve"> to 12 months’ maximum imprisonment for a single TEW offence as we consider that this policy complies with the public sector equality duty (section 149(1) of the Equality Act 2010).</w:t>
      </w:r>
    </w:p>
    <w:p w14:paraId="53463CB4" w14:textId="5FC9C4E4" w:rsidR="00176814" w:rsidRPr="00F21AF3" w:rsidRDefault="00CE3271" w:rsidP="00256B4F">
      <w:pPr>
        <w:pStyle w:val="ListParagraph"/>
        <w:ind w:left="360"/>
        <w:rPr>
          <w:rFonts w:ascii="Arial" w:hAnsi="Arial" w:cs="Arial"/>
          <w:iCs/>
        </w:rPr>
      </w:pPr>
      <w:r w:rsidRPr="0047734D">
        <w:rPr>
          <w:rFonts w:ascii="Arial" w:hAnsi="Arial" w:cs="Arial"/>
          <w:iCs/>
        </w:rPr>
        <w:t xml:space="preserve"> </w:t>
      </w:r>
    </w:p>
    <w:p w14:paraId="4758DE62" w14:textId="138DC05C" w:rsidR="00CE3271" w:rsidRPr="0047734D" w:rsidRDefault="00CE3271" w:rsidP="002C7E37">
      <w:pPr>
        <w:pStyle w:val="ListParagraph"/>
        <w:numPr>
          <w:ilvl w:val="0"/>
          <w:numId w:val="15"/>
        </w:numPr>
        <w:rPr>
          <w:rFonts w:ascii="Arial" w:hAnsi="Arial" w:cs="Arial"/>
          <w:iCs/>
        </w:rPr>
      </w:pPr>
      <w:r w:rsidRPr="0047734D">
        <w:rPr>
          <w:rFonts w:ascii="Arial" w:hAnsi="Arial" w:cs="Arial"/>
          <w:iCs/>
        </w:rPr>
        <w:t xml:space="preserve">This policy will also apply to all </w:t>
      </w:r>
      <w:r w:rsidR="002F053F">
        <w:rPr>
          <w:rFonts w:ascii="Arial" w:hAnsi="Arial" w:cs="Arial"/>
          <w:iCs/>
        </w:rPr>
        <w:t>adults</w:t>
      </w:r>
      <w:r w:rsidR="002F053F" w:rsidRPr="0047734D">
        <w:rPr>
          <w:rFonts w:ascii="Arial" w:hAnsi="Arial" w:cs="Arial"/>
          <w:iCs/>
        </w:rPr>
        <w:t xml:space="preserve"> </w:t>
      </w:r>
      <w:r w:rsidR="000E1B47" w:rsidRPr="0047734D">
        <w:rPr>
          <w:rFonts w:ascii="Arial" w:hAnsi="Arial" w:cs="Arial"/>
          <w:iCs/>
        </w:rPr>
        <w:t xml:space="preserve">within the criminal justice system who are expected to receive a sentence </w:t>
      </w:r>
      <w:r w:rsidR="000528D4">
        <w:rPr>
          <w:rFonts w:ascii="Arial" w:hAnsi="Arial" w:cs="Arial"/>
          <w:iCs/>
        </w:rPr>
        <w:t xml:space="preserve">of more than </w:t>
      </w:r>
      <w:r w:rsidR="000E1B47" w:rsidRPr="0047734D">
        <w:rPr>
          <w:rFonts w:ascii="Arial" w:hAnsi="Arial" w:cs="Arial"/>
          <w:iCs/>
        </w:rPr>
        <w:t>6</w:t>
      </w:r>
      <w:r w:rsidR="000528D4">
        <w:rPr>
          <w:rFonts w:ascii="Arial" w:hAnsi="Arial" w:cs="Arial"/>
          <w:iCs/>
        </w:rPr>
        <w:t xml:space="preserve"> months and up to</w:t>
      </w:r>
      <w:r w:rsidR="000E1B47" w:rsidRPr="0047734D">
        <w:rPr>
          <w:rFonts w:ascii="Arial" w:hAnsi="Arial" w:cs="Arial"/>
          <w:iCs/>
        </w:rPr>
        <w:t xml:space="preserve">12 months for a single TEW offence after having been found guilty or having pleaded guilty. However, we do recognise that </w:t>
      </w:r>
      <w:r w:rsidR="00E018CD">
        <w:rPr>
          <w:rFonts w:ascii="Arial" w:hAnsi="Arial" w:cs="Arial"/>
          <w:iCs/>
        </w:rPr>
        <w:t>r</w:t>
      </w:r>
      <w:r w:rsidR="000E1B47" w:rsidRPr="0047734D">
        <w:rPr>
          <w:rFonts w:ascii="Arial" w:hAnsi="Arial" w:cs="Arial"/>
          <w:iCs/>
        </w:rPr>
        <w:t xml:space="preserve">ace relations could suffer as a consequence if this policy is perceived to disadvantage ethnic minority groups. Therefore, MoJ will continue to foster good relations through the ongoing work to help improve </w:t>
      </w:r>
      <w:r w:rsidR="00F43778">
        <w:rPr>
          <w:rFonts w:ascii="Arial" w:hAnsi="Arial" w:cs="Arial"/>
          <w:iCs/>
        </w:rPr>
        <w:t>b</w:t>
      </w:r>
      <w:r w:rsidR="000E1B47" w:rsidRPr="0047734D">
        <w:rPr>
          <w:rFonts w:ascii="Arial" w:hAnsi="Arial" w:cs="Arial"/>
          <w:iCs/>
        </w:rPr>
        <w:t>lack defendant’s trust in the criminal justice system through the implementation of the Lammy Review recommendations.</w:t>
      </w:r>
    </w:p>
    <w:p w14:paraId="6DC93139" w14:textId="667403C3" w:rsidR="00603872" w:rsidRPr="0047734D" w:rsidRDefault="00552767" w:rsidP="00DC658C">
      <w:pPr>
        <w:rPr>
          <w:rFonts w:ascii="Arial" w:hAnsi="Arial" w:cs="Arial"/>
          <w:b/>
          <w:bCs/>
          <w:iCs/>
        </w:rPr>
      </w:pPr>
      <w:r>
        <w:rPr>
          <w:rFonts w:ascii="Arial" w:hAnsi="Arial" w:cs="Arial"/>
          <w:b/>
          <w:bCs/>
          <w:iCs/>
        </w:rPr>
        <w:t>C</w:t>
      </w:r>
      <w:r w:rsidR="00286E8F">
        <w:rPr>
          <w:rFonts w:ascii="Arial" w:hAnsi="Arial" w:cs="Arial"/>
          <w:b/>
          <w:bCs/>
          <w:iCs/>
        </w:rPr>
        <w:t xml:space="preserve">ontinuing Analysis </w:t>
      </w:r>
      <w:r w:rsidR="00603872" w:rsidRPr="0047734D">
        <w:rPr>
          <w:rFonts w:ascii="Arial" w:hAnsi="Arial" w:cs="Arial"/>
          <w:b/>
          <w:bCs/>
          <w:iCs/>
        </w:rPr>
        <w:t xml:space="preserve"> </w:t>
      </w:r>
    </w:p>
    <w:p w14:paraId="3B410B04" w14:textId="14F0CEDD" w:rsidR="006D47C5" w:rsidRPr="0047734D" w:rsidRDefault="006D47C5" w:rsidP="00793951">
      <w:pPr>
        <w:pStyle w:val="ListParagraph"/>
        <w:numPr>
          <w:ilvl w:val="0"/>
          <w:numId w:val="15"/>
        </w:numPr>
        <w:rPr>
          <w:rFonts w:ascii="Arial" w:hAnsi="Arial" w:cs="Arial"/>
          <w:iCs/>
        </w:rPr>
      </w:pPr>
      <w:r w:rsidRPr="0047734D">
        <w:rPr>
          <w:rFonts w:ascii="Arial" w:hAnsi="Arial" w:cs="Arial"/>
          <w:iCs/>
        </w:rPr>
        <w:t xml:space="preserve">The equality duty is an ongoing duty </w:t>
      </w:r>
      <w:r w:rsidR="00157005" w:rsidRPr="0047734D">
        <w:rPr>
          <w:rFonts w:ascii="Arial" w:hAnsi="Arial" w:cs="Arial"/>
          <w:iCs/>
          <w:lang w:eastAsia="en-US"/>
        </w:rPr>
        <w:t>and we will draw on any relevant new data that could provide evidence on the impact of this change to inform the future review after 6 months of how the policy works for all affected offenders, including those with protected characteristics who are currently overrepresented in this group.</w:t>
      </w:r>
    </w:p>
    <w:p w14:paraId="2E010782" w14:textId="6262653E" w:rsidR="00D33595" w:rsidRPr="0047734D" w:rsidRDefault="00D33595" w:rsidP="00295401">
      <w:pPr>
        <w:widowControl w:val="0"/>
        <w:overflowPunct w:val="0"/>
        <w:autoSpaceDE w:val="0"/>
        <w:autoSpaceDN w:val="0"/>
        <w:adjustRightInd w:val="0"/>
        <w:textAlignment w:val="baseline"/>
        <w:rPr>
          <w:rFonts w:ascii="Arial" w:hAnsi="Arial" w:cs="Arial"/>
          <w:iCs/>
        </w:rPr>
      </w:pPr>
    </w:p>
    <w:p w14:paraId="48116399" w14:textId="351B27DB" w:rsidR="005028D7" w:rsidRPr="0047734D" w:rsidRDefault="005028D7" w:rsidP="00774565">
      <w:pPr>
        <w:pStyle w:val="ListParagraph"/>
        <w:widowControl w:val="0"/>
        <w:overflowPunct w:val="0"/>
        <w:autoSpaceDE w:val="0"/>
        <w:autoSpaceDN w:val="0"/>
        <w:adjustRightInd w:val="0"/>
        <w:textAlignment w:val="baseline"/>
        <w:rPr>
          <w:rFonts w:ascii="Arial" w:hAnsi="Arial" w:cs="Arial"/>
          <w:iCs/>
        </w:rPr>
      </w:pPr>
    </w:p>
    <w:p w14:paraId="10BE7388" w14:textId="77777777" w:rsidR="00144A9D" w:rsidRPr="0047734D" w:rsidRDefault="00144A9D" w:rsidP="00DD51AA">
      <w:pPr>
        <w:rPr>
          <w:rFonts w:ascii="Arial" w:hAnsi="Arial" w:cs="Arial"/>
          <w:iCs/>
        </w:rPr>
      </w:pPr>
    </w:p>
    <w:p w14:paraId="6D18B915" w14:textId="12588033" w:rsidR="00144A9D" w:rsidRPr="0047734D" w:rsidRDefault="00144A9D" w:rsidP="00DD51AA">
      <w:pPr>
        <w:rPr>
          <w:rFonts w:ascii="Arial" w:hAnsi="Arial" w:cs="Arial"/>
        </w:rPr>
      </w:pPr>
    </w:p>
    <w:sectPr w:rsidR="00144A9D" w:rsidRPr="004773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CE54A" w14:textId="77777777" w:rsidR="00AC2B08" w:rsidRDefault="00AC2B08" w:rsidP="007E1105">
      <w:pPr>
        <w:spacing w:after="0" w:line="240" w:lineRule="auto"/>
      </w:pPr>
      <w:r>
        <w:separator/>
      </w:r>
    </w:p>
  </w:endnote>
  <w:endnote w:type="continuationSeparator" w:id="0">
    <w:p w14:paraId="589F922B" w14:textId="77777777" w:rsidR="00AC2B08" w:rsidRDefault="00AC2B08" w:rsidP="007E1105">
      <w:pPr>
        <w:spacing w:after="0" w:line="240" w:lineRule="auto"/>
      </w:pPr>
      <w:r>
        <w:continuationSeparator/>
      </w:r>
    </w:p>
  </w:endnote>
  <w:endnote w:type="continuationNotice" w:id="1">
    <w:p w14:paraId="20FFF9E9" w14:textId="77777777" w:rsidR="00AC2B08" w:rsidRDefault="00AC2B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CB2C36" w14:textId="77777777" w:rsidR="00AC2B08" w:rsidRDefault="00AC2B08" w:rsidP="007E1105">
      <w:pPr>
        <w:spacing w:after="0" w:line="240" w:lineRule="auto"/>
      </w:pPr>
      <w:r>
        <w:separator/>
      </w:r>
    </w:p>
  </w:footnote>
  <w:footnote w:type="continuationSeparator" w:id="0">
    <w:p w14:paraId="1817AE63" w14:textId="77777777" w:rsidR="00AC2B08" w:rsidRDefault="00AC2B08" w:rsidP="007E1105">
      <w:pPr>
        <w:spacing w:after="0" w:line="240" w:lineRule="auto"/>
      </w:pPr>
      <w:r>
        <w:continuationSeparator/>
      </w:r>
    </w:p>
  </w:footnote>
  <w:footnote w:type="continuationNotice" w:id="1">
    <w:p w14:paraId="43A476A9" w14:textId="77777777" w:rsidR="00AC2B08" w:rsidRDefault="00AC2B08">
      <w:pPr>
        <w:spacing w:after="0" w:line="240" w:lineRule="auto"/>
      </w:pPr>
    </w:p>
  </w:footnote>
  <w:footnote w:id="2">
    <w:p w14:paraId="28BBCD04" w14:textId="37BC79B8" w:rsidR="00F11C04" w:rsidRPr="00076C56" w:rsidRDefault="00F11C04">
      <w:pPr>
        <w:pStyle w:val="FootnoteText"/>
        <w:rPr>
          <w:lang w:val="en-US"/>
        </w:rPr>
      </w:pPr>
      <w:r>
        <w:rPr>
          <w:rStyle w:val="FootnoteReference"/>
        </w:rPr>
        <w:footnoteRef/>
      </w:r>
      <w:r w:rsidR="00F84D42">
        <w:t xml:space="preserve"> </w:t>
      </w:r>
      <w:hyperlink r:id="rId1" w:history="1">
        <w:r w:rsidR="00F84D42" w:rsidRPr="00076C56">
          <w:rPr>
            <w:rStyle w:val="Hyperlink"/>
            <w:color w:val="0070C0"/>
            <w:sz w:val="20"/>
          </w:rPr>
          <w:t>http://www.legislation.gov.uk/ukpga/2010/15/pdfs/ukpga_20100015_en.pdf</w:t>
        </w:r>
      </w:hyperlink>
      <w:r w:rsidR="00F84D42" w:rsidRPr="00076C56">
        <w:rPr>
          <w:color w:val="0070C0"/>
        </w:rPr>
        <w:t xml:space="preserve"> </w:t>
      </w:r>
    </w:p>
  </w:footnote>
  <w:footnote w:id="3">
    <w:p w14:paraId="31E1CFEF" w14:textId="77777777" w:rsidR="00785B26" w:rsidRPr="00D729E2" w:rsidRDefault="00785B26" w:rsidP="00785B26">
      <w:pPr>
        <w:pStyle w:val="FootnoteText"/>
        <w:rPr>
          <w:rFonts w:ascii="Arial" w:hAnsi="Arial"/>
        </w:rPr>
      </w:pPr>
      <w:r>
        <w:rPr>
          <w:rStyle w:val="FootnoteReference"/>
        </w:rPr>
        <w:footnoteRef/>
      </w:r>
      <w:r>
        <w:t xml:space="preserve"> </w:t>
      </w:r>
      <w:r w:rsidRPr="00D729E2">
        <w:rPr>
          <w:rFonts w:ascii="Arial" w:hAnsi="Arial"/>
          <w:lang w:val="en-US"/>
        </w:rPr>
        <w:t xml:space="preserve">Published data available at: </w:t>
      </w:r>
      <w:r w:rsidRPr="00D729E2">
        <w:rPr>
          <w:rStyle w:val="Hyperlink"/>
          <w:rFonts w:eastAsia="Arial"/>
          <w:color w:val="0070C0"/>
          <w:sz w:val="20"/>
        </w:rPr>
        <w:t>https://www.gov.uk/government/statistics/criminal-court-statistics-quarterly-january-to-march-2023</w:t>
      </w:r>
    </w:p>
  </w:footnote>
  <w:footnote w:id="4">
    <w:p w14:paraId="796809FA" w14:textId="77777777" w:rsidR="002754DE" w:rsidRPr="00D729E2" w:rsidRDefault="002754DE" w:rsidP="002754DE">
      <w:pPr>
        <w:pStyle w:val="FootnoteText"/>
        <w:rPr>
          <w:rFonts w:ascii="Arial" w:hAnsi="Arial"/>
          <w:lang w:val="en-US"/>
        </w:rPr>
      </w:pPr>
      <w:r w:rsidRPr="00D729E2">
        <w:rPr>
          <w:rStyle w:val="FootnoteReference"/>
          <w:rFonts w:ascii="Arial" w:hAnsi="Arial"/>
        </w:rPr>
        <w:footnoteRef/>
      </w:r>
      <w:r w:rsidRPr="00D729E2">
        <w:rPr>
          <w:rFonts w:ascii="Arial" w:hAnsi="Arial"/>
        </w:rPr>
        <w:t xml:space="preserve"> </w:t>
      </w:r>
      <w:r w:rsidRPr="00D729E2">
        <w:rPr>
          <w:rFonts w:ascii="Arial" w:hAnsi="Arial"/>
          <w:lang w:val="en-US"/>
        </w:rPr>
        <w:t xml:space="preserve">Published data available at: </w:t>
      </w:r>
      <w:hyperlink r:id="rId2" w:history="1">
        <w:r w:rsidRPr="00D729E2">
          <w:rPr>
            <w:rStyle w:val="Hyperlink"/>
            <w:color w:val="0070C0"/>
            <w:sz w:val="20"/>
            <w:lang w:val="en-US"/>
          </w:rPr>
          <w:t>Outcomes by offence data tool December 2023</w:t>
        </w:r>
      </w:hyperlink>
    </w:p>
  </w:footnote>
  <w:footnote w:id="5">
    <w:p w14:paraId="3D06D8E1" w14:textId="77777777" w:rsidR="00F17B66" w:rsidRPr="00D729E2" w:rsidRDefault="00F17B66" w:rsidP="00F17B66">
      <w:pPr>
        <w:pStyle w:val="FootnoteText"/>
        <w:rPr>
          <w:rFonts w:ascii="Arial" w:hAnsi="Arial"/>
          <w:lang w:val="en-US"/>
        </w:rPr>
      </w:pPr>
      <w:r w:rsidRPr="00D729E2">
        <w:rPr>
          <w:rStyle w:val="FootnoteReference"/>
          <w:rFonts w:ascii="Arial" w:hAnsi="Arial"/>
        </w:rPr>
        <w:footnoteRef/>
      </w:r>
      <w:r w:rsidRPr="00D729E2">
        <w:rPr>
          <w:rFonts w:ascii="Arial" w:hAnsi="Arial"/>
        </w:rPr>
        <w:t xml:space="preserve"> </w:t>
      </w:r>
      <w:r w:rsidRPr="00D729E2">
        <w:rPr>
          <w:rFonts w:ascii="Arial" w:hAnsi="Arial"/>
          <w:lang w:val="en-US"/>
        </w:rPr>
        <w:t xml:space="preserve">Published data available at: </w:t>
      </w:r>
      <w:hyperlink r:id="rId3" w:history="1">
        <w:r w:rsidRPr="00D729E2">
          <w:rPr>
            <w:rStyle w:val="Hyperlink"/>
            <w:color w:val="0070C0"/>
            <w:sz w:val="20"/>
            <w:lang w:val="en-US"/>
          </w:rPr>
          <w:t>Outcomes by offence data tool December 2023</w:t>
        </w:r>
      </w:hyperlink>
    </w:p>
  </w:footnote>
  <w:footnote w:id="6">
    <w:p w14:paraId="4ABAF86B" w14:textId="77777777" w:rsidR="00F17B66" w:rsidRPr="00A133A0" w:rsidRDefault="00F17B66" w:rsidP="00F17B66">
      <w:pPr>
        <w:pStyle w:val="FootnoteText"/>
        <w:rPr>
          <w:rFonts w:ascii="Arial" w:hAnsi="Arial"/>
          <w:lang w:val="en-US"/>
        </w:rPr>
      </w:pPr>
      <w:r w:rsidRPr="00D729E2">
        <w:rPr>
          <w:rStyle w:val="FootnoteReference"/>
          <w:rFonts w:ascii="Arial" w:hAnsi="Arial"/>
        </w:rPr>
        <w:footnoteRef/>
      </w:r>
      <w:r w:rsidRPr="00D729E2">
        <w:rPr>
          <w:rFonts w:ascii="Arial" w:hAnsi="Arial"/>
        </w:rPr>
        <w:t xml:space="preserve"> </w:t>
      </w:r>
      <w:hyperlink r:id="rId4" w:history="1">
        <w:r w:rsidRPr="00D729E2">
          <w:rPr>
            <w:rStyle w:val="Hyperlink"/>
            <w:color w:val="0070C0"/>
            <w:sz w:val="20"/>
          </w:rPr>
          <w:t>Crown Court data tool December 2023</w:t>
        </w:r>
      </w:hyperlink>
    </w:p>
  </w:footnote>
  <w:footnote w:id="7">
    <w:p w14:paraId="085267A5" w14:textId="77777777" w:rsidR="00A92B68" w:rsidRPr="007F7BB7" w:rsidRDefault="00A92B68" w:rsidP="00A92B68">
      <w:pPr>
        <w:pStyle w:val="FootnoteText"/>
        <w:rPr>
          <w:rFonts w:ascii="Arial" w:hAnsi="Arial"/>
          <w:lang w:val="en-US"/>
        </w:rPr>
      </w:pPr>
      <w:r w:rsidRPr="00A133A0">
        <w:rPr>
          <w:rStyle w:val="FootnoteReference"/>
          <w:rFonts w:ascii="Arial" w:hAnsi="Arial"/>
        </w:rPr>
        <w:footnoteRef/>
      </w:r>
      <w:r w:rsidRPr="00A133A0">
        <w:rPr>
          <w:rFonts w:ascii="Arial" w:hAnsi="Arial"/>
        </w:rPr>
        <w:t xml:space="preserve"> </w:t>
      </w:r>
      <w:r w:rsidRPr="00A133A0">
        <w:rPr>
          <w:rFonts w:ascii="Arial" w:hAnsi="Arial"/>
          <w:lang w:val="en-US"/>
        </w:rPr>
        <w:t xml:space="preserve">Table 2, page 34, </w:t>
      </w:r>
      <w:hyperlink r:id="rId5" w:history="1">
        <w:r w:rsidRPr="00824DD3">
          <w:rPr>
            <w:rStyle w:val="Hyperlink"/>
            <w:color w:val="0070C0"/>
            <w:sz w:val="20"/>
          </w:rPr>
          <w:t>The Lammy Review (publishing.service.gov.uk)</w:t>
        </w:r>
      </w:hyperlink>
    </w:p>
  </w:footnote>
  <w:footnote w:id="8">
    <w:p w14:paraId="1921E471" w14:textId="77777777" w:rsidR="00BC4260" w:rsidRPr="00736C9E" w:rsidRDefault="00BC4260" w:rsidP="00BC4260">
      <w:pPr>
        <w:pStyle w:val="FootnoteText"/>
        <w:rPr>
          <w:rFonts w:ascii="Arial" w:hAnsi="Arial"/>
          <w:lang w:val="en-US"/>
        </w:rPr>
      </w:pPr>
      <w:r>
        <w:rPr>
          <w:rStyle w:val="FootnoteReference"/>
        </w:rPr>
        <w:footnoteRef/>
      </w:r>
      <w:r>
        <w:t xml:space="preserve"> </w:t>
      </w:r>
      <w:r w:rsidRPr="00736C9E">
        <w:rPr>
          <w:rFonts w:ascii="Arial" w:hAnsi="Arial"/>
          <w:lang w:val="en-US"/>
        </w:rPr>
        <w:t>Indictable offences include indictable-only and TEW offences</w:t>
      </w:r>
    </w:p>
  </w:footnote>
  <w:footnote w:id="9">
    <w:p w14:paraId="1DF2ABB8" w14:textId="77777777" w:rsidR="001337D9" w:rsidRPr="00824DD3" w:rsidRDefault="001337D9" w:rsidP="001337D9">
      <w:pPr>
        <w:pStyle w:val="FootnoteText"/>
        <w:rPr>
          <w:rFonts w:ascii="Arial" w:hAnsi="Arial"/>
          <w:color w:val="0070C0"/>
          <w:lang w:val="en-US"/>
        </w:rPr>
      </w:pPr>
      <w:r w:rsidRPr="007F7BB7">
        <w:rPr>
          <w:rStyle w:val="FootnoteReference"/>
          <w:rFonts w:ascii="Arial" w:hAnsi="Arial"/>
        </w:rPr>
        <w:footnoteRef/>
      </w:r>
      <w:r w:rsidRPr="00736C9E">
        <w:rPr>
          <w:rFonts w:ascii="Arial" w:hAnsi="Arial"/>
        </w:rPr>
        <w:t xml:space="preserve"> </w:t>
      </w:r>
      <w:r w:rsidRPr="00736C9E">
        <w:rPr>
          <w:rFonts w:ascii="Arial" w:hAnsi="Arial"/>
          <w:lang w:val="en-US"/>
        </w:rPr>
        <w:t>Published data available at</w:t>
      </w:r>
      <w:r w:rsidRPr="001337D9">
        <w:rPr>
          <w:rFonts w:ascii="Arial" w:hAnsi="Arial"/>
          <w:lang w:val="en-US"/>
        </w:rPr>
        <w:t xml:space="preserve"> </w:t>
      </w:r>
      <w:hyperlink r:id="rId6" w:history="1">
        <w:r w:rsidRPr="00824DD3">
          <w:rPr>
            <w:rStyle w:val="Hyperlink"/>
            <w:color w:val="0070C0"/>
            <w:sz w:val="20"/>
            <w:lang w:val="en-US"/>
          </w:rPr>
          <w:t>Ethnicity and the Criminal Justice System 2022</w:t>
        </w:r>
      </w:hyperlink>
    </w:p>
  </w:footnote>
  <w:footnote w:id="10">
    <w:p w14:paraId="2258175F" w14:textId="73D6C8A1" w:rsidR="00A06704" w:rsidRPr="00CB04E8" w:rsidRDefault="00A06704" w:rsidP="00A06704">
      <w:pPr>
        <w:pStyle w:val="FootnoteText"/>
        <w:rPr>
          <w:lang w:val="en-US"/>
        </w:rPr>
      </w:pPr>
      <w:r w:rsidRPr="00736C9E">
        <w:rPr>
          <w:rStyle w:val="FootnoteReference"/>
          <w:rFonts w:ascii="Arial" w:hAnsi="Arial"/>
        </w:rPr>
        <w:footnoteRef/>
      </w:r>
      <w:r w:rsidRPr="00736C9E">
        <w:rPr>
          <w:rFonts w:ascii="Arial" w:hAnsi="Arial"/>
        </w:rPr>
        <w:t xml:space="preserve"> </w:t>
      </w:r>
      <w:r w:rsidRPr="00736C9E">
        <w:rPr>
          <w:rFonts w:ascii="Arial" w:hAnsi="Arial"/>
          <w:lang w:val="en-US"/>
        </w:rPr>
        <w:t>Includes companies,</w:t>
      </w:r>
      <w:r w:rsidR="00D44103">
        <w:rPr>
          <w:rFonts w:ascii="Arial" w:hAnsi="Arial"/>
          <w:lang w:val="en-US"/>
        </w:rPr>
        <w:t xml:space="preserve"> </w:t>
      </w:r>
      <w:r w:rsidRPr="00736C9E">
        <w:rPr>
          <w:rFonts w:ascii="Arial" w:hAnsi="Arial"/>
          <w:lang w:val="en-US"/>
        </w:rPr>
        <w:t>public bodies,</w:t>
      </w:r>
      <w:r w:rsidR="00D44103">
        <w:rPr>
          <w:rFonts w:ascii="Arial" w:hAnsi="Arial"/>
          <w:lang w:val="en-US"/>
        </w:rPr>
        <w:t xml:space="preserve"> </w:t>
      </w:r>
      <w:r w:rsidRPr="00736C9E">
        <w:rPr>
          <w:rFonts w:ascii="Arial" w:hAnsi="Arial"/>
          <w:lang w:val="en-US"/>
        </w:rPr>
        <w:t>etc and not known sex</w:t>
      </w:r>
    </w:p>
  </w:footnote>
  <w:footnote w:id="11">
    <w:p w14:paraId="35FABDF6" w14:textId="77777777" w:rsidR="00EF6AF4" w:rsidRPr="008C7F0D" w:rsidRDefault="00EF6AF4" w:rsidP="00EF6AF4">
      <w:pPr>
        <w:pStyle w:val="FootnoteText"/>
        <w:rPr>
          <w:lang w:val="en-US"/>
        </w:rPr>
      </w:pPr>
      <w:r w:rsidRPr="00812A76">
        <w:rPr>
          <w:rStyle w:val="FootnoteReference"/>
          <w:rFonts w:ascii="Arial" w:hAnsi="Arial"/>
        </w:rPr>
        <w:footnoteRef/>
      </w:r>
      <w:r w:rsidRPr="00812A76">
        <w:rPr>
          <w:rFonts w:ascii="Arial" w:hAnsi="Arial"/>
        </w:rPr>
        <w:t xml:space="preserve"> </w:t>
      </w:r>
      <w:hyperlink r:id="rId7" w:history="1">
        <w:r w:rsidRPr="00824DD3">
          <w:rPr>
            <w:rStyle w:val="Hyperlink"/>
            <w:color w:val="0070C0"/>
            <w:sz w:val="20"/>
          </w:rPr>
          <w:t>Crown Court data tool December 2023</w:t>
        </w:r>
      </w:hyperlink>
    </w:p>
  </w:footnote>
  <w:footnote w:id="12">
    <w:p w14:paraId="169E315F" w14:textId="77777777" w:rsidR="0054271C" w:rsidRPr="0039569A" w:rsidRDefault="0054271C" w:rsidP="0054271C">
      <w:pPr>
        <w:pStyle w:val="FootnoteText"/>
        <w:rPr>
          <w:lang w:val="en-US"/>
        </w:rPr>
      </w:pPr>
      <w:r>
        <w:rPr>
          <w:rStyle w:val="FootnoteReference"/>
        </w:rPr>
        <w:footnoteRef/>
      </w:r>
      <w:r>
        <w:t xml:space="preserve"> </w:t>
      </w:r>
      <w:r w:rsidRPr="008962A4">
        <w:rPr>
          <w:rFonts w:ascii="Arial" w:hAnsi="Arial"/>
          <w:lang w:val="en-US"/>
        </w:rPr>
        <w:t>Published available data at:</w:t>
      </w:r>
      <w:r>
        <w:rPr>
          <w:rFonts w:ascii="Arial" w:hAnsi="Arial"/>
          <w:lang w:val="en-US"/>
        </w:rPr>
        <w:t xml:space="preserve"> </w:t>
      </w:r>
      <w:hyperlink r:id="rId8" w:history="1">
        <w:r w:rsidRPr="00824DD3">
          <w:rPr>
            <w:rStyle w:val="Hyperlink"/>
            <w:color w:val="0070C0"/>
            <w:sz w:val="20"/>
          </w:rPr>
          <w:t>Diversity of the judiciary: Legal professions, new appointments and current post-holders - 2024 Statistics - GOV.UK (www.gov.uk)</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B5D85"/>
    <w:multiLevelType w:val="hybridMultilevel"/>
    <w:tmpl w:val="FDDA1C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5EE3980"/>
    <w:multiLevelType w:val="hybridMultilevel"/>
    <w:tmpl w:val="65D876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64B5EF9"/>
    <w:multiLevelType w:val="hybridMultilevel"/>
    <w:tmpl w:val="581E0F7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EB669B1"/>
    <w:multiLevelType w:val="hybridMultilevel"/>
    <w:tmpl w:val="D1D67E9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4952BD0"/>
    <w:multiLevelType w:val="hybridMultilevel"/>
    <w:tmpl w:val="6F3CBE2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B9C2FEC"/>
    <w:multiLevelType w:val="hybridMultilevel"/>
    <w:tmpl w:val="913C256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1C226E0"/>
    <w:multiLevelType w:val="hybridMultilevel"/>
    <w:tmpl w:val="DF623956"/>
    <w:lvl w:ilvl="0" w:tplc="1506DBFA">
      <w:start w:val="1"/>
      <w:numFmt w:val="decimal"/>
      <w:lvlText w:val="%1."/>
      <w:lvlJc w:val="left"/>
      <w:pPr>
        <w:ind w:left="360" w:hanging="360"/>
      </w:pPr>
      <w:rPr>
        <w:rFonts w:hint="default"/>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48C0F09"/>
    <w:multiLevelType w:val="hybridMultilevel"/>
    <w:tmpl w:val="DCDEB5EC"/>
    <w:lvl w:ilvl="0" w:tplc="B482866E">
      <w:start w:val="1"/>
      <w:numFmt w:val="decimal"/>
      <w:lvlText w:val="%1."/>
      <w:lvlJc w:val="left"/>
      <w:pPr>
        <w:ind w:left="360" w:hanging="360"/>
      </w:pPr>
      <w:rPr>
        <w:rFonts w:hint="default"/>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453952E6"/>
    <w:multiLevelType w:val="hybridMultilevel"/>
    <w:tmpl w:val="EAE4D9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8F362FE"/>
    <w:multiLevelType w:val="hybridMultilevel"/>
    <w:tmpl w:val="B7CA6740"/>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5A623585"/>
    <w:multiLevelType w:val="hybridMultilevel"/>
    <w:tmpl w:val="44B2CE1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ACA4746"/>
    <w:multiLevelType w:val="hybridMultilevel"/>
    <w:tmpl w:val="3DFEBDB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616526AB"/>
    <w:multiLevelType w:val="hybridMultilevel"/>
    <w:tmpl w:val="A8C04EF8"/>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4027EA7"/>
    <w:multiLevelType w:val="hybridMultilevel"/>
    <w:tmpl w:val="2A323BC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710049EF"/>
    <w:multiLevelType w:val="hybridMultilevel"/>
    <w:tmpl w:val="5680FE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419449385">
    <w:abstractNumId w:val="11"/>
  </w:num>
  <w:num w:numId="2" w16cid:durableId="1076585507">
    <w:abstractNumId w:val="13"/>
  </w:num>
  <w:num w:numId="3" w16cid:durableId="894395049">
    <w:abstractNumId w:val="5"/>
  </w:num>
  <w:num w:numId="4" w16cid:durableId="1836410733">
    <w:abstractNumId w:val="1"/>
  </w:num>
  <w:num w:numId="5" w16cid:durableId="448284403">
    <w:abstractNumId w:val="7"/>
  </w:num>
  <w:num w:numId="6" w16cid:durableId="1103262229">
    <w:abstractNumId w:val="9"/>
  </w:num>
  <w:num w:numId="7" w16cid:durableId="1433891255">
    <w:abstractNumId w:val="4"/>
  </w:num>
  <w:num w:numId="8" w16cid:durableId="592669784">
    <w:abstractNumId w:val="2"/>
  </w:num>
  <w:num w:numId="9" w16cid:durableId="1940215007">
    <w:abstractNumId w:val="8"/>
  </w:num>
  <w:num w:numId="10" w16cid:durableId="825513485">
    <w:abstractNumId w:val="0"/>
  </w:num>
  <w:num w:numId="11" w16cid:durableId="1199703779">
    <w:abstractNumId w:val="14"/>
  </w:num>
  <w:num w:numId="12" w16cid:durableId="178081217">
    <w:abstractNumId w:val="3"/>
  </w:num>
  <w:num w:numId="13" w16cid:durableId="31853400">
    <w:abstractNumId w:val="12"/>
  </w:num>
  <w:num w:numId="14" w16cid:durableId="1706590008">
    <w:abstractNumId w:val="10"/>
  </w:num>
  <w:num w:numId="15" w16cid:durableId="9824683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042F64"/>
    <w:rsid w:val="00007A8C"/>
    <w:rsid w:val="00007DFB"/>
    <w:rsid w:val="00010010"/>
    <w:rsid w:val="0001239F"/>
    <w:rsid w:val="00015276"/>
    <w:rsid w:val="000163A5"/>
    <w:rsid w:val="00017F1A"/>
    <w:rsid w:val="000211FB"/>
    <w:rsid w:val="00021A78"/>
    <w:rsid w:val="00025E91"/>
    <w:rsid w:val="00031586"/>
    <w:rsid w:val="00036BC2"/>
    <w:rsid w:val="000372D4"/>
    <w:rsid w:val="000423C8"/>
    <w:rsid w:val="0004680B"/>
    <w:rsid w:val="00046958"/>
    <w:rsid w:val="0005112A"/>
    <w:rsid w:val="000515E5"/>
    <w:rsid w:val="000528D4"/>
    <w:rsid w:val="00052A2D"/>
    <w:rsid w:val="000550D7"/>
    <w:rsid w:val="0006033B"/>
    <w:rsid w:val="000724D1"/>
    <w:rsid w:val="0007276A"/>
    <w:rsid w:val="000739ED"/>
    <w:rsid w:val="00076329"/>
    <w:rsid w:val="00076C56"/>
    <w:rsid w:val="000775E8"/>
    <w:rsid w:val="00077AFD"/>
    <w:rsid w:val="00084E13"/>
    <w:rsid w:val="00087DB7"/>
    <w:rsid w:val="00087ED9"/>
    <w:rsid w:val="00093BC7"/>
    <w:rsid w:val="000A0B12"/>
    <w:rsid w:val="000A3CFD"/>
    <w:rsid w:val="000B0AB6"/>
    <w:rsid w:val="000B0BA1"/>
    <w:rsid w:val="000B40FD"/>
    <w:rsid w:val="000B5FC6"/>
    <w:rsid w:val="000D6853"/>
    <w:rsid w:val="000E080A"/>
    <w:rsid w:val="000E1091"/>
    <w:rsid w:val="000E18B4"/>
    <w:rsid w:val="000E1B47"/>
    <w:rsid w:val="000F1D99"/>
    <w:rsid w:val="000F3309"/>
    <w:rsid w:val="000F4313"/>
    <w:rsid w:val="000F4787"/>
    <w:rsid w:val="000F58CA"/>
    <w:rsid w:val="0010118E"/>
    <w:rsid w:val="00102ECE"/>
    <w:rsid w:val="00104AC9"/>
    <w:rsid w:val="001070EE"/>
    <w:rsid w:val="00107372"/>
    <w:rsid w:val="00107F9D"/>
    <w:rsid w:val="00110735"/>
    <w:rsid w:val="001129B8"/>
    <w:rsid w:val="001133EC"/>
    <w:rsid w:val="001141BC"/>
    <w:rsid w:val="00115D0A"/>
    <w:rsid w:val="001172D8"/>
    <w:rsid w:val="00122864"/>
    <w:rsid w:val="00124902"/>
    <w:rsid w:val="001306A5"/>
    <w:rsid w:val="001337D9"/>
    <w:rsid w:val="00133E96"/>
    <w:rsid w:val="00134DA2"/>
    <w:rsid w:val="00137CDA"/>
    <w:rsid w:val="00142188"/>
    <w:rsid w:val="00144A9D"/>
    <w:rsid w:val="001465B4"/>
    <w:rsid w:val="00147C95"/>
    <w:rsid w:val="0015380C"/>
    <w:rsid w:val="00156C27"/>
    <w:rsid w:val="00157005"/>
    <w:rsid w:val="00160E15"/>
    <w:rsid w:val="00171E3E"/>
    <w:rsid w:val="0017242A"/>
    <w:rsid w:val="00172436"/>
    <w:rsid w:val="001724B2"/>
    <w:rsid w:val="00176814"/>
    <w:rsid w:val="001826DA"/>
    <w:rsid w:val="00183AAE"/>
    <w:rsid w:val="00183DBB"/>
    <w:rsid w:val="00183E65"/>
    <w:rsid w:val="001840E4"/>
    <w:rsid w:val="00185070"/>
    <w:rsid w:val="0018509C"/>
    <w:rsid w:val="00185B44"/>
    <w:rsid w:val="00186F6E"/>
    <w:rsid w:val="00190B1E"/>
    <w:rsid w:val="00192195"/>
    <w:rsid w:val="00194853"/>
    <w:rsid w:val="00197269"/>
    <w:rsid w:val="00197633"/>
    <w:rsid w:val="0019777E"/>
    <w:rsid w:val="001A78DF"/>
    <w:rsid w:val="001B0002"/>
    <w:rsid w:val="001B4BB7"/>
    <w:rsid w:val="001D23AA"/>
    <w:rsid w:val="001D36DA"/>
    <w:rsid w:val="001D6BA2"/>
    <w:rsid w:val="001D7262"/>
    <w:rsid w:val="001E08EF"/>
    <w:rsid w:val="001E146E"/>
    <w:rsid w:val="001E1828"/>
    <w:rsid w:val="001E372A"/>
    <w:rsid w:val="001E6FC8"/>
    <w:rsid w:val="001E78B6"/>
    <w:rsid w:val="001E7D85"/>
    <w:rsid w:val="001F41AB"/>
    <w:rsid w:val="001F4C06"/>
    <w:rsid w:val="001F7F05"/>
    <w:rsid w:val="002043A2"/>
    <w:rsid w:val="00206808"/>
    <w:rsid w:val="0020778D"/>
    <w:rsid w:val="0021070E"/>
    <w:rsid w:val="00212BA4"/>
    <w:rsid w:val="002169D0"/>
    <w:rsid w:val="0022107C"/>
    <w:rsid w:val="00222C3E"/>
    <w:rsid w:val="00223289"/>
    <w:rsid w:val="002237E4"/>
    <w:rsid w:val="00230152"/>
    <w:rsid w:val="00240D55"/>
    <w:rsid w:val="00252B59"/>
    <w:rsid w:val="0025322D"/>
    <w:rsid w:val="00253AEE"/>
    <w:rsid w:val="00254BF0"/>
    <w:rsid w:val="00256B4F"/>
    <w:rsid w:val="00263EA0"/>
    <w:rsid w:val="00271CB6"/>
    <w:rsid w:val="00271E39"/>
    <w:rsid w:val="002721D4"/>
    <w:rsid w:val="0027247E"/>
    <w:rsid w:val="00272499"/>
    <w:rsid w:val="002744A1"/>
    <w:rsid w:val="002744D5"/>
    <w:rsid w:val="00274985"/>
    <w:rsid w:val="002754DE"/>
    <w:rsid w:val="00275801"/>
    <w:rsid w:val="0028052B"/>
    <w:rsid w:val="00280766"/>
    <w:rsid w:val="0028276F"/>
    <w:rsid w:val="00286E8F"/>
    <w:rsid w:val="00292AB0"/>
    <w:rsid w:val="00293732"/>
    <w:rsid w:val="00295401"/>
    <w:rsid w:val="002957E2"/>
    <w:rsid w:val="002A0B02"/>
    <w:rsid w:val="002A0C4B"/>
    <w:rsid w:val="002A1F41"/>
    <w:rsid w:val="002A52A3"/>
    <w:rsid w:val="002A567A"/>
    <w:rsid w:val="002A591E"/>
    <w:rsid w:val="002A6E84"/>
    <w:rsid w:val="002A711B"/>
    <w:rsid w:val="002A742B"/>
    <w:rsid w:val="002C2761"/>
    <w:rsid w:val="002C7E37"/>
    <w:rsid w:val="002D0FDD"/>
    <w:rsid w:val="002D1766"/>
    <w:rsid w:val="002D7868"/>
    <w:rsid w:val="002E257F"/>
    <w:rsid w:val="002E30C1"/>
    <w:rsid w:val="002E3162"/>
    <w:rsid w:val="002E36BA"/>
    <w:rsid w:val="002E3B09"/>
    <w:rsid w:val="002E7645"/>
    <w:rsid w:val="002F053F"/>
    <w:rsid w:val="002F1EB8"/>
    <w:rsid w:val="002F258E"/>
    <w:rsid w:val="002F71DF"/>
    <w:rsid w:val="0030114E"/>
    <w:rsid w:val="0030145D"/>
    <w:rsid w:val="003050BE"/>
    <w:rsid w:val="00307ACE"/>
    <w:rsid w:val="00307ADD"/>
    <w:rsid w:val="00316045"/>
    <w:rsid w:val="00316E52"/>
    <w:rsid w:val="00321179"/>
    <w:rsid w:val="00324E2F"/>
    <w:rsid w:val="003251EE"/>
    <w:rsid w:val="0032653C"/>
    <w:rsid w:val="0033325B"/>
    <w:rsid w:val="00333C99"/>
    <w:rsid w:val="00335402"/>
    <w:rsid w:val="00337C9F"/>
    <w:rsid w:val="0034291B"/>
    <w:rsid w:val="00343E3C"/>
    <w:rsid w:val="00344BE5"/>
    <w:rsid w:val="00344D22"/>
    <w:rsid w:val="00345141"/>
    <w:rsid w:val="00346E4C"/>
    <w:rsid w:val="00347809"/>
    <w:rsid w:val="00353B9A"/>
    <w:rsid w:val="003568B5"/>
    <w:rsid w:val="00356DA9"/>
    <w:rsid w:val="00356F05"/>
    <w:rsid w:val="00361013"/>
    <w:rsid w:val="00364947"/>
    <w:rsid w:val="00366932"/>
    <w:rsid w:val="003700B1"/>
    <w:rsid w:val="0037073B"/>
    <w:rsid w:val="00376F41"/>
    <w:rsid w:val="003803D4"/>
    <w:rsid w:val="00390915"/>
    <w:rsid w:val="00397F45"/>
    <w:rsid w:val="003A2718"/>
    <w:rsid w:val="003A38BA"/>
    <w:rsid w:val="003A5C3F"/>
    <w:rsid w:val="003B1516"/>
    <w:rsid w:val="003B2310"/>
    <w:rsid w:val="003B2FF9"/>
    <w:rsid w:val="003B317C"/>
    <w:rsid w:val="003B3D76"/>
    <w:rsid w:val="003B5B75"/>
    <w:rsid w:val="003C2665"/>
    <w:rsid w:val="003C3803"/>
    <w:rsid w:val="003C5BC0"/>
    <w:rsid w:val="003C6389"/>
    <w:rsid w:val="003D1C42"/>
    <w:rsid w:val="003D2910"/>
    <w:rsid w:val="003E3A44"/>
    <w:rsid w:val="003E5546"/>
    <w:rsid w:val="003E5887"/>
    <w:rsid w:val="003F13F2"/>
    <w:rsid w:val="003F2527"/>
    <w:rsid w:val="003F3704"/>
    <w:rsid w:val="003F59DD"/>
    <w:rsid w:val="00404CD5"/>
    <w:rsid w:val="004062E2"/>
    <w:rsid w:val="00406D58"/>
    <w:rsid w:val="00407256"/>
    <w:rsid w:val="0041226E"/>
    <w:rsid w:val="004145D3"/>
    <w:rsid w:val="00421637"/>
    <w:rsid w:val="00423FC0"/>
    <w:rsid w:val="0043287C"/>
    <w:rsid w:val="0044598B"/>
    <w:rsid w:val="0044766D"/>
    <w:rsid w:val="00450614"/>
    <w:rsid w:val="00453311"/>
    <w:rsid w:val="0045352E"/>
    <w:rsid w:val="0045358E"/>
    <w:rsid w:val="00457366"/>
    <w:rsid w:val="00457CC1"/>
    <w:rsid w:val="0046013C"/>
    <w:rsid w:val="00467AEA"/>
    <w:rsid w:val="004741F5"/>
    <w:rsid w:val="00475619"/>
    <w:rsid w:val="004757E2"/>
    <w:rsid w:val="004764C2"/>
    <w:rsid w:val="0047734D"/>
    <w:rsid w:val="00477DC1"/>
    <w:rsid w:val="00485842"/>
    <w:rsid w:val="00486208"/>
    <w:rsid w:val="0049476C"/>
    <w:rsid w:val="00495382"/>
    <w:rsid w:val="00497E28"/>
    <w:rsid w:val="004A4960"/>
    <w:rsid w:val="004B299F"/>
    <w:rsid w:val="004B4707"/>
    <w:rsid w:val="004B78AA"/>
    <w:rsid w:val="004C6BC7"/>
    <w:rsid w:val="004C6E30"/>
    <w:rsid w:val="004C74E0"/>
    <w:rsid w:val="004C76D5"/>
    <w:rsid w:val="004D106D"/>
    <w:rsid w:val="004D121E"/>
    <w:rsid w:val="004D2DC3"/>
    <w:rsid w:val="004E1AD1"/>
    <w:rsid w:val="004E28DF"/>
    <w:rsid w:val="004E76FB"/>
    <w:rsid w:val="004E77A4"/>
    <w:rsid w:val="004F1D0E"/>
    <w:rsid w:val="004F341B"/>
    <w:rsid w:val="004F4C36"/>
    <w:rsid w:val="004F62A5"/>
    <w:rsid w:val="004F7157"/>
    <w:rsid w:val="0050087D"/>
    <w:rsid w:val="00500CD6"/>
    <w:rsid w:val="005028D7"/>
    <w:rsid w:val="00505D97"/>
    <w:rsid w:val="00506E6F"/>
    <w:rsid w:val="005101CC"/>
    <w:rsid w:val="00510B8D"/>
    <w:rsid w:val="0051337E"/>
    <w:rsid w:val="00513656"/>
    <w:rsid w:val="005136AB"/>
    <w:rsid w:val="005274EB"/>
    <w:rsid w:val="0053245F"/>
    <w:rsid w:val="005359F1"/>
    <w:rsid w:val="00536904"/>
    <w:rsid w:val="0053777E"/>
    <w:rsid w:val="00541D0F"/>
    <w:rsid w:val="0054271C"/>
    <w:rsid w:val="0054394D"/>
    <w:rsid w:val="005445F0"/>
    <w:rsid w:val="00545A30"/>
    <w:rsid w:val="00546C46"/>
    <w:rsid w:val="00552767"/>
    <w:rsid w:val="0055321A"/>
    <w:rsid w:val="00556316"/>
    <w:rsid w:val="00556431"/>
    <w:rsid w:val="0056519F"/>
    <w:rsid w:val="00566228"/>
    <w:rsid w:val="005669E3"/>
    <w:rsid w:val="00566FF8"/>
    <w:rsid w:val="0057011D"/>
    <w:rsid w:val="00570F52"/>
    <w:rsid w:val="00573C01"/>
    <w:rsid w:val="00575929"/>
    <w:rsid w:val="00575A42"/>
    <w:rsid w:val="00577096"/>
    <w:rsid w:val="00577E42"/>
    <w:rsid w:val="005808D4"/>
    <w:rsid w:val="00587047"/>
    <w:rsid w:val="005879A7"/>
    <w:rsid w:val="00587B1D"/>
    <w:rsid w:val="005932D4"/>
    <w:rsid w:val="005947CC"/>
    <w:rsid w:val="005A5258"/>
    <w:rsid w:val="005B5460"/>
    <w:rsid w:val="005B7244"/>
    <w:rsid w:val="005B757D"/>
    <w:rsid w:val="005C1A22"/>
    <w:rsid w:val="005C28B2"/>
    <w:rsid w:val="005D1654"/>
    <w:rsid w:val="005D1FC5"/>
    <w:rsid w:val="005D464F"/>
    <w:rsid w:val="005D51FF"/>
    <w:rsid w:val="005D60E1"/>
    <w:rsid w:val="005D6718"/>
    <w:rsid w:val="005E1FBF"/>
    <w:rsid w:val="005E296B"/>
    <w:rsid w:val="005E2D3C"/>
    <w:rsid w:val="005E2DD8"/>
    <w:rsid w:val="005E31F3"/>
    <w:rsid w:val="005E4519"/>
    <w:rsid w:val="005E4CDD"/>
    <w:rsid w:val="005E75C9"/>
    <w:rsid w:val="005F0A2A"/>
    <w:rsid w:val="005F1B18"/>
    <w:rsid w:val="005F302C"/>
    <w:rsid w:val="005F3DDD"/>
    <w:rsid w:val="005F6FFF"/>
    <w:rsid w:val="00600827"/>
    <w:rsid w:val="00600917"/>
    <w:rsid w:val="006013A5"/>
    <w:rsid w:val="00603872"/>
    <w:rsid w:val="00605472"/>
    <w:rsid w:val="00605A4A"/>
    <w:rsid w:val="0060748C"/>
    <w:rsid w:val="006106D5"/>
    <w:rsid w:val="0061170A"/>
    <w:rsid w:val="00614FB1"/>
    <w:rsid w:val="00631211"/>
    <w:rsid w:val="0064002C"/>
    <w:rsid w:val="00641D49"/>
    <w:rsid w:val="0064646E"/>
    <w:rsid w:val="00647B38"/>
    <w:rsid w:val="0065108C"/>
    <w:rsid w:val="0065236D"/>
    <w:rsid w:val="006643C7"/>
    <w:rsid w:val="00666B25"/>
    <w:rsid w:val="006737AF"/>
    <w:rsid w:val="00682BCE"/>
    <w:rsid w:val="006866E7"/>
    <w:rsid w:val="0068673E"/>
    <w:rsid w:val="006909B2"/>
    <w:rsid w:val="00694CE3"/>
    <w:rsid w:val="00697C60"/>
    <w:rsid w:val="006A31B2"/>
    <w:rsid w:val="006A3466"/>
    <w:rsid w:val="006A4874"/>
    <w:rsid w:val="006A5889"/>
    <w:rsid w:val="006B10AB"/>
    <w:rsid w:val="006B1B01"/>
    <w:rsid w:val="006B1EBD"/>
    <w:rsid w:val="006B4C02"/>
    <w:rsid w:val="006B7BFA"/>
    <w:rsid w:val="006B7E0D"/>
    <w:rsid w:val="006C0013"/>
    <w:rsid w:val="006C1E95"/>
    <w:rsid w:val="006C2309"/>
    <w:rsid w:val="006C5ADB"/>
    <w:rsid w:val="006C7BC7"/>
    <w:rsid w:val="006D36A5"/>
    <w:rsid w:val="006D47C5"/>
    <w:rsid w:val="006D6256"/>
    <w:rsid w:val="006E0909"/>
    <w:rsid w:val="006E11A3"/>
    <w:rsid w:val="006E7788"/>
    <w:rsid w:val="006E7AA2"/>
    <w:rsid w:val="006F01D6"/>
    <w:rsid w:val="006F0D6D"/>
    <w:rsid w:val="006F46E0"/>
    <w:rsid w:val="006F7C49"/>
    <w:rsid w:val="00705CD7"/>
    <w:rsid w:val="00706156"/>
    <w:rsid w:val="007111D8"/>
    <w:rsid w:val="00712E6B"/>
    <w:rsid w:val="00725862"/>
    <w:rsid w:val="00726F6C"/>
    <w:rsid w:val="007300F0"/>
    <w:rsid w:val="0073642A"/>
    <w:rsid w:val="007369B2"/>
    <w:rsid w:val="007415B8"/>
    <w:rsid w:val="007501A1"/>
    <w:rsid w:val="00750D8E"/>
    <w:rsid w:val="00752C2F"/>
    <w:rsid w:val="00752C3A"/>
    <w:rsid w:val="007543D6"/>
    <w:rsid w:val="007544C6"/>
    <w:rsid w:val="007614C8"/>
    <w:rsid w:val="00762940"/>
    <w:rsid w:val="0076406F"/>
    <w:rsid w:val="00766166"/>
    <w:rsid w:val="007736F2"/>
    <w:rsid w:val="00773860"/>
    <w:rsid w:val="00774565"/>
    <w:rsid w:val="00774D2A"/>
    <w:rsid w:val="00775A16"/>
    <w:rsid w:val="00777BF8"/>
    <w:rsid w:val="00781E4C"/>
    <w:rsid w:val="007827CE"/>
    <w:rsid w:val="00785B26"/>
    <w:rsid w:val="00793951"/>
    <w:rsid w:val="00794EE6"/>
    <w:rsid w:val="007A0292"/>
    <w:rsid w:val="007A142A"/>
    <w:rsid w:val="007A2104"/>
    <w:rsid w:val="007A31E9"/>
    <w:rsid w:val="007A68D2"/>
    <w:rsid w:val="007A7932"/>
    <w:rsid w:val="007A7D1A"/>
    <w:rsid w:val="007B57BB"/>
    <w:rsid w:val="007B6E88"/>
    <w:rsid w:val="007C0851"/>
    <w:rsid w:val="007C0EC9"/>
    <w:rsid w:val="007D341D"/>
    <w:rsid w:val="007D7962"/>
    <w:rsid w:val="007E1105"/>
    <w:rsid w:val="007E1F8C"/>
    <w:rsid w:val="007E531F"/>
    <w:rsid w:val="007E538C"/>
    <w:rsid w:val="007F1524"/>
    <w:rsid w:val="007F460E"/>
    <w:rsid w:val="007F51DD"/>
    <w:rsid w:val="007F5DD1"/>
    <w:rsid w:val="00802894"/>
    <w:rsid w:val="008052DB"/>
    <w:rsid w:val="00810217"/>
    <w:rsid w:val="00811D1E"/>
    <w:rsid w:val="008137B8"/>
    <w:rsid w:val="008143DB"/>
    <w:rsid w:val="00815D16"/>
    <w:rsid w:val="00821551"/>
    <w:rsid w:val="0082292B"/>
    <w:rsid w:val="00822AC2"/>
    <w:rsid w:val="00824616"/>
    <w:rsid w:val="00824DD3"/>
    <w:rsid w:val="0083089F"/>
    <w:rsid w:val="0083559C"/>
    <w:rsid w:val="0084161C"/>
    <w:rsid w:val="00843B36"/>
    <w:rsid w:val="00847FAC"/>
    <w:rsid w:val="00850411"/>
    <w:rsid w:val="008561E4"/>
    <w:rsid w:val="00857EE8"/>
    <w:rsid w:val="0086481B"/>
    <w:rsid w:val="00870251"/>
    <w:rsid w:val="0087057C"/>
    <w:rsid w:val="00880FE9"/>
    <w:rsid w:val="00882DD7"/>
    <w:rsid w:val="00885735"/>
    <w:rsid w:val="00891B48"/>
    <w:rsid w:val="0089396A"/>
    <w:rsid w:val="008951E0"/>
    <w:rsid w:val="0089614F"/>
    <w:rsid w:val="00896A58"/>
    <w:rsid w:val="00897E21"/>
    <w:rsid w:val="008A1072"/>
    <w:rsid w:val="008A24D2"/>
    <w:rsid w:val="008A3E40"/>
    <w:rsid w:val="008A6532"/>
    <w:rsid w:val="008A742B"/>
    <w:rsid w:val="008A79F1"/>
    <w:rsid w:val="008B1062"/>
    <w:rsid w:val="008C61B1"/>
    <w:rsid w:val="008D00B8"/>
    <w:rsid w:val="008D2927"/>
    <w:rsid w:val="008D3DF2"/>
    <w:rsid w:val="008D622F"/>
    <w:rsid w:val="008D737A"/>
    <w:rsid w:val="008E01D5"/>
    <w:rsid w:val="008E2682"/>
    <w:rsid w:val="008F00EB"/>
    <w:rsid w:val="008F1394"/>
    <w:rsid w:val="008F7BE2"/>
    <w:rsid w:val="008F7D26"/>
    <w:rsid w:val="00907012"/>
    <w:rsid w:val="009078E1"/>
    <w:rsid w:val="00921A2D"/>
    <w:rsid w:val="0092230C"/>
    <w:rsid w:val="00924869"/>
    <w:rsid w:val="009266CC"/>
    <w:rsid w:val="0093347C"/>
    <w:rsid w:val="00935007"/>
    <w:rsid w:val="00936FC0"/>
    <w:rsid w:val="00937638"/>
    <w:rsid w:val="009418E1"/>
    <w:rsid w:val="00941DA2"/>
    <w:rsid w:val="009439EA"/>
    <w:rsid w:val="00947EE9"/>
    <w:rsid w:val="0095015B"/>
    <w:rsid w:val="00950834"/>
    <w:rsid w:val="00952703"/>
    <w:rsid w:val="009527D2"/>
    <w:rsid w:val="009543AC"/>
    <w:rsid w:val="00954794"/>
    <w:rsid w:val="00954B44"/>
    <w:rsid w:val="00961175"/>
    <w:rsid w:val="00961EE3"/>
    <w:rsid w:val="00963033"/>
    <w:rsid w:val="00966D92"/>
    <w:rsid w:val="00971777"/>
    <w:rsid w:val="009723F6"/>
    <w:rsid w:val="009752CD"/>
    <w:rsid w:val="00975D50"/>
    <w:rsid w:val="00976184"/>
    <w:rsid w:val="00981273"/>
    <w:rsid w:val="00981C4A"/>
    <w:rsid w:val="009869C7"/>
    <w:rsid w:val="0098792B"/>
    <w:rsid w:val="00991C5A"/>
    <w:rsid w:val="00991D7D"/>
    <w:rsid w:val="00996BE7"/>
    <w:rsid w:val="00996C6A"/>
    <w:rsid w:val="009A4C61"/>
    <w:rsid w:val="009B1F41"/>
    <w:rsid w:val="009B2351"/>
    <w:rsid w:val="009B372C"/>
    <w:rsid w:val="009B3AD7"/>
    <w:rsid w:val="009B3FFF"/>
    <w:rsid w:val="009B47A5"/>
    <w:rsid w:val="009B637D"/>
    <w:rsid w:val="009B6FB2"/>
    <w:rsid w:val="009B7BF6"/>
    <w:rsid w:val="009C0984"/>
    <w:rsid w:val="009C2ECD"/>
    <w:rsid w:val="009C416B"/>
    <w:rsid w:val="009C7B13"/>
    <w:rsid w:val="009D0581"/>
    <w:rsid w:val="009D1838"/>
    <w:rsid w:val="009D6F0E"/>
    <w:rsid w:val="009F18BB"/>
    <w:rsid w:val="009F1F90"/>
    <w:rsid w:val="009F4627"/>
    <w:rsid w:val="009F5BBD"/>
    <w:rsid w:val="00A0332C"/>
    <w:rsid w:val="00A04ECA"/>
    <w:rsid w:val="00A06704"/>
    <w:rsid w:val="00A102D0"/>
    <w:rsid w:val="00A10A11"/>
    <w:rsid w:val="00A133A0"/>
    <w:rsid w:val="00A15838"/>
    <w:rsid w:val="00A171E8"/>
    <w:rsid w:val="00A17FC5"/>
    <w:rsid w:val="00A25599"/>
    <w:rsid w:val="00A26E68"/>
    <w:rsid w:val="00A27FAB"/>
    <w:rsid w:val="00A30797"/>
    <w:rsid w:val="00A373C1"/>
    <w:rsid w:val="00A46AD1"/>
    <w:rsid w:val="00A47BD6"/>
    <w:rsid w:val="00A5389D"/>
    <w:rsid w:val="00A57545"/>
    <w:rsid w:val="00A578D9"/>
    <w:rsid w:val="00A63618"/>
    <w:rsid w:val="00A64D0A"/>
    <w:rsid w:val="00A65CE1"/>
    <w:rsid w:val="00A7056F"/>
    <w:rsid w:val="00A764AF"/>
    <w:rsid w:val="00A77F5D"/>
    <w:rsid w:val="00A81ABB"/>
    <w:rsid w:val="00A83236"/>
    <w:rsid w:val="00A83B78"/>
    <w:rsid w:val="00A84408"/>
    <w:rsid w:val="00A85CB2"/>
    <w:rsid w:val="00A92B68"/>
    <w:rsid w:val="00A97147"/>
    <w:rsid w:val="00AA0AD2"/>
    <w:rsid w:val="00AA0B80"/>
    <w:rsid w:val="00AA4DA3"/>
    <w:rsid w:val="00AA4EAA"/>
    <w:rsid w:val="00AA5215"/>
    <w:rsid w:val="00AA74B6"/>
    <w:rsid w:val="00AB77F7"/>
    <w:rsid w:val="00AC2B08"/>
    <w:rsid w:val="00AC5413"/>
    <w:rsid w:val="00AD75EC"/>
    <w:rsid w:val="00AE1CD6"/>
    <w:rsid w:val="00AE3488"/>
    <w:rsid w:val="00AE49CA"/>
    <w:rsid w:val="00AE588B"/>
    <w:rsid w:val="00AE6CFE"/>
    <w:rsid w:val="00AF241D"/>
    <w:rsid w:val="00AF2E42"/>
    <w:rsid w:val="00AF5592"/>
    <w:rsid w:val="00AF737E"/>
    <w:rsid w:val="00B01E70"/>
    <w:rsid w:val="00B04306"/>
    <w:rsid w:val="00B04657"/>
    <w:rsid w:val="00B0541E"/>
    <w:rsid w:val="00B124A3"/>
    <w:rsid w:val="00B2406B"/>
    <w:rsid w:val="00B248A5"/>
    <w:rsid w:val="00B259E5"/>
    <w:rsid w:val="00B27606"/>
    <w:rsid w:val="00B348D2"/>
    <w:rsid w:val="00B406B0"/>
    <w:rsid w:val="00B40A77"/>
    <w:rsid w:val="00B5318D"/>
    <w:rsid w:val="00B60A58"/>
    <w:rsid w:val="00B624C8"/>
    <w:rsid w:val="00B653D6"/>
    <w:rsid w:val="00B8122D"/>
    <w:rsid w:val="00B8515D"/>
    <w:rsid w:val="00B85BD7"/>
    <w:rsid w:val="00B8647C"/>
    <w:rsid w:val="00B871CE"/>
    <w:rsid w:val="00B9297D"/>
    <w:rsid w:val="00BA223B"/>
    <w:rsid w:val="00BA35B9"/>
    <w:rsid w:val="00BB0F5B"/>
    <w:rsid w:val="00BB2BDA"/>
    <w:rsid w:val="00BB75FB"/>
    <w:rsid w:val="00BB795B"/>
    <w:rsid w:val="00BC2A72"/>
    <w:rsid w:val="00BC2E2D"/>
    <w:rsid w:val="00BC4260"/>
    <w:rsid w:val="00BD24DB"/>
    <w:rsid w:val="00BD5F02"/>
    <w:rsid w:val="00BE0228"/>
    <w:rsid w:val="00BE3135"/>
    <w:rsid w:val="00BE34BA"/>
    <w:rsid w:val="00BE5B1E"/>
    <w:rsid w:val="00BE5FE7"/>
    <w:rsid w:val="00BF033E"/>
    <w:rsid w:val="00BF19A4"/>
    <w:rsid w:val="00BF263F"/>
    <w:rsid w:val="00BF3942"/>
    <w:rsid w:val="00BF3FFA"/>
    <w:rsid w:val="00BF50E9"/>
    <w:rsid w:val="00BF53C6"/>
    <w:rsid w:val="00BF5B30"/>
    <w:rsid w:val="00BF6993"/>
    <w:rsid w:val="00C0287C"/>
    <w:rsid w:val="00C029CF"/>
    <w:rsid w:val="00C072BE"/>
    <w:rsid w:val="00C11DD4"/>
    <w:rsid w:val="00C12D6C"/>
    <w:rsid w:val="00C1573C"/>
    <w:rsid w:val="00C15EA1"/>
    <w:rsid w:val="00C22114"/>
    <w:rsid w:val="00C222BA"/>
    <w:rsid w:val="00C234E4"/>
    <w:rsid w:val="00C24058"/>
    <w:rsid w:val="00C242A0"/>
    <w:rsid w:val="00C26030"/>
    <w:rsid w:val="00C26870"/>
    <w:rsid w:val="00C32F29"/>
    <w:rsid w:val="00C33401"/>
    <w:rsid w:val="00C335B2"/>
    <w:rsid w:val="00C34540"/>
    <w:rsid w:val="00C362D1"/>
    <w:rsid w:val="00C37D5F"/>
    <w:rsid w:val="00C37D79"/>
    <w:rsid w:val="00C40102"/>
    <w:rsid w:val="00C40EE7"/>
    <w:rsid w:val="00C41D64"/>
    <w:rsid w:val="00C42376"/>
    <w:rsid w:val="00C4365D"/>
    <w:rsid w:val="00C4673E"/>
    <w:rsid w:val="00C50EE3"/>
    <w:rsid w:val="00C52C57"/>
    <w:rsid w:val="00C52CB7"/>
    <w:rsid w:val="00C55613"/>
    <w:rsid w:val="00C559BA"/>
    <w:rsid w:val="00C61878"/>
    <w:rsid w:val="00C61DEC"/>
    <w:rsid w:val="00C62793"/>
    <w:rsid w:val="00C72270"/>
    <w:rsid w:val="00C73EAE"/>
    <w:rsid w:val="00C75A92"/>
    <w:rsid w:val="00C80E5D"/>
    <w:rsid w:val="00C813E0"/>
    <w:rsid w:val="00C821F3"/>
    <w:rsid w:val="00C85079"/>
    <w:rsid w:val="00C928DE"/>
    <w:rsid w:val="00C92EEF"/>
    <w:rsid w:val="00C931E9"/>
    <w:rsid w:val="00C93F9F"/>
    <w:rsid w:val="00C95937"/>
    <w:rsid w:val="00CA378C"/>
    <w:rsid w:val="00CB35ED"/>
    <w:rsid w:val="00CB5F6A"/>
    <w:rsid w:val="00CB6417"/>
    <w:rsid w:val="00CC0A13"/>
    <w:rsid w:val="00CC1170"/>
    <w:rsid w:val="00CC40BC"/>
    <w:rsid w:val="00CC57FB"/>
    <w:rsid w:val="00CC59E4"/>
    <w:rsid w:val="00CC62BA"/>
    <w:rsid w:val="00CC7845"/>
    <w:rsid w:val="00CC7D13"/>
    <w:rsid w:val="00CD19EE"/>
    <w:rsid w:val="00CD3ACD"/>
    <w:rsid w:val="00CD78D0"/>
    <w:rsid w:val="00CE0F1B"/>
    <w:rsid w:val="00CE151C"/>
    <w:rsid w:val="00CE29DE"/>
    <w:rsid w:val="00CE3271"/>
    <w:rsid w:val="00CE3F47"/>
    <w:rsid w:val="00CF5F23"/>
    <w:rsid w:val="00CF7D50"/>
    <w:rsid w:val="00D01F3A"/>
    <w:rsid w:val="00D02786"/>
    <w:rsid w:val="00D06C1D"/>
    <w:rsid w:val="00D11A8C"/>
    <w:rsid w:val="00D12FE2"/>
    <w:rsid w:val="00D1334A"/>
    <w:rsid w:val="00D160EB"/>
    <w:rsid w:val="00D2051D"/>
    <w:rsid w:val="00D2171A"/>
    <w:rsid w:val="00D26661"/>
    <w:rsid w:val="00D311C4"/>
    <w:rsid w:val="00D32E61"/>
    <w:rsid w:val="00D33595"/>
    <w:rsid w:val="00D3638F"/>
    <w:rsid w:val="00D40049"/>
    <w:rsid w:val="00D402E1"/>
    <w:rsid w:val="00D40E10"/>
    <w:rsid w:val="00D42506"/>
    <w:rsid w:val="00D44103"/>
    <w:rsid w:val="00D44740"/>
    <w:rsid w:val="00D459E7"/>
    <w:rsid w:val="00D5152D"/>
    <w:rsid w:val="00D52DFB"/>
    <w:rsid w:val="00D54539"/>
    <w:rsid w:val="00D61D45"/>
    <w:rsid w:val="00D62D8A"/>
    <w:rsid w:val="00D64546"/>
    <w:rsid w:val="00D653E1"/>
    <w:rsid w:val="00D65D26"/>
    <w:rsid w:val="00D71F75"/>
    <w:rsid w:val="00D723F2"/>
    <w:rsid w:val="00D729E2"/>
    <w:rsid w:val="00D72AC0"/>
    <w:rsid w:val="00D8511D"/>
    <w:rsid w:val="00D851C4"/>
    <w:rsid w:val="00D94258"/>
    <w:rsid w:val="00D94EAD"/>
    <w:rsid w:val="00D96332"/>
    <w:rsid w:val="00DA4E11"/>
    <w:rsid w:val="00DA6830"/>
    <w:rsid w:val="00DB063C"/>
    <w:rsid w:val="00DB6202"/>
    <w:rsid w:val="00DB669E"/>
    <w:rsid w:val="00DC0DE8"/>
    <w:rsid w:val="00DC3C44"/>
    <w:rsid w:val="00DC49BE"/>
    <w:rsid w:val="00DC658C"/>
    <w:rsid w:val="00DC6D58"/>
    <w:rsid w:val="00DC6F1E"/>
    <w:rsid w:val="00DD2160"/>
    <w:rsid w:val="00DD51AA"/>
    <w:rsid w:val="00DD6B80"/>
    <w:rsid w:val="00DE1F98"/>
    <w:rsid w:val="00DE5F12"/>
    <w:rsid w:val="00DF164A"/>
    <w:rsid w:val="00DF3E7D"/>
    <w:rsid w:val="00DF5712"/>
    <w:rsid w:val="00DF7E2E"/>
    <w:rsid w:val="00E018CD"/>
    <w:rsid w:val="00E01FEA"/>
    <w:rsid w:val="00E02BEA"/>
    <w:rsid w:val="00E03B7E"/>
    <w:rsid w:val="00E051C4"/>
    <w:rsid w:val="00E052F1"/>
    <w:rsid w:val="00E124C7"/>
    <w:rsid w:val="00E14225"/>
    <w:rsid w:val="00E14CE6"/>
    <w:rsid w:val="00E235FF"/>
    <w:rsid w:val="00E23F2D"/>
    <w:rsid w:val="00E249F1"/>
    <w:rsid w:val="00E273B8"/>
    <w:rsid w:val="00E3004F"/>
    <w:rsid w:val="00E306E0"/>
    <w:rsid w:val="00E3126B"/>
    <w:rsid w:val="00E319F2"/>
    <w:rsid w:val="00E31FD7"/>
    <w:rsid w:val="00E34E65"/>
    <w:rsid w:val="00E375C0"/>
    <w:rsid w:val="00E41328"/>
    <w:rsid w:val="00E432FB"/>
    <w:rsid w:val="00E436A4"/>
    <w:rsid w:val="00E44C16"/>
    <w:rsid w:val="00E63C65"/>
    <w:rsid w:val="00E8397B"/>
    <w:rsid w:val="00E858E9"/>
    <w:rsid w:val="00E9029C"/>
    <w:rsid w:val="00E92528"/>
    <w:rsid w:val="00EA16D2"/>
    <w:rsid w:val="00EA2524"/>
    <w:rsid w:val="00EA7504"/>
    <w:rsid w:val="00EB11F1"/>
    <w:rsid w:val="00EB22B8"/>
    <w:rsid w:val="00EB2F70"/>
    <w:rsid w:val="00EB3243"/>
    <w:rsid w:val="00EB442D"/>
    <w:rsid w:val="00EB6556"/>
    <w:rsid w:val="00EC0D2C"/>
    <w:rsid w:val="00EC11B9"/>
    <w:rsid w:val="00EC48A2"/>
    <w:rsid w:val="00EC4E67"/>
    <w:rsid w:val="00EC5C5E"/>
    <w:rsid w:val="00ED548A"/>
    <w:rsid w:val="00EE1A36"/>
    <w:rsid w:val="00EE1C42"/>
    <w:rsid w:val="00EE285C"/>
    <w:rsid w:val="00EE3ED2"/>
    <w:rsid w:val="00EE68E2"/>
    <w:rsid w:val="00EF03E5"/>
    <w:rsid w:val="00EF0489"/>
    <w:rsid w:val="00EF1169"/>
    <w:rsid w:val="00EF2475"/>
    <w:rsid w:val="00EF51B3"/>
    <w:rsid w:val="00EF658B"/>
    <w:rsid w:val="00EF6AF4"/>
    <w:rsid w:val="00EF6CAB"/>
    <w:rsid w:val="00EF7CF0"/>
    <w:rsid w:val="00F03AD4"/>
    <w:rsid w:val="00F10857"/>
    <w:rsid w:val="00F112FF"/>
    <w:rsid w:val="00F11C04"/>
    <w:rsid w:val="00F12A5E"/>
    <w:rsid w:val="00F15453"/>
    <w:rsid w:val="00F17B66"/>
    <w:rsid w:val="00F17F9F"/>
    <w:rsid w:val="00F21AF3"/>
    <w:rsid w:val="00F228A6"/>
    <w:rsid w:val="00F24676"/>
    <w:rsid w:val="00F275B1"/>
    <w:rsid w:val="00F31B6E"/>
    <w:rsid w:val="00F31CDD"/>
    <w:rsid w:val="00F33E2C"/>
    <w:rsid w:val="00F35A76"/>
    <w:rsid w:val="00F37AA3"/>
    <w:rsid w:val="00F41704"/>
    <w:rsid w:val="00F43778"/>
    <w:rsid w:val="00F44283"/>
    <w:rsid w:val="00F4500E"/>
    <w:rsid w:val="00F450CE"/>
    <w:rsid w:val="00F52FF9"/>
    <w:rsid w:val="00F55A1B"/>
    <w:rsid w:val="00F56F0A"/>
    <w:rsid w:val="00F57FF0"/>
    <w:rsid w:val="00F65F81"/>
    <w:rsid w:val="00F74768"/>
    <w:rsid w:val="00F82A79"/>
    <w:rsid w:val="00F84D42"/>
    <w:rsid w:val="00F85628"/>
    <w:rsid w:val="00F859EA"/>
    <w:rsid w:val="00F86066"/>
    <w:rsid w:val="00F860DB"/>
    <w:rsid w:val="00F8633C"/>
    <w:rsid w:val="00F90BA1"/>
    <w:rsid w:val="00F9141A"/>
    <w:rsid w:val="00F96570"/>
    <w:rsid w:val="00F96AFE"/>
    <w:rsid w:val="00FA0973"/>
    <w:rsid w:val="00FA33A8"/>
    <w:rsid w:val="00FA5C6E"/>
    <w:rsid w:val="00FA64C6"/>
    <w:rsid w:val="00FB1A35"/>
    <w:rsid w:val="00FB3A02"/>
    <w:rsid w:val="00FB483C"/>
    <w:rsid w:val="00FC0A2C"/>
    <w:rsid w:val="00FC7410"/>
    <w:rsid w:val="00FD5870"/>
    <w:rsid w:val="00FD61E8"/>
    <w:rsid w:val="00FD6D07"/>
    <w:rsid w:val="00FE12B1"/>
    <w:rsid w:val="00FF14B8"/>
    <w:rsid w:val="00FF1605"/>
    <w:rsid w:val="00FF2AA1"/>
    <w:rsid w:val="00FF486E"/>
    <w:rsid w:val="00FF718B"/>
    <w:rsid w:val="141FDD93"/>
    <w:rsid w:val="149049E3"/>
    <w:rsid w:val="17A91E20"/>
    <w:rsid w:val="17FD7CE3"/>
    <w:rsid w:val="24294D46"/>
    <w:rsid w:val="25042F64"/>
    <w:rsid w:val="3836A851"/>
    <w:rsid w:val="39D11C8B"/>
    <w:rsid w:val="4A77C681"/>
    <w:rsid w:val="5FB26BC5"/>
    <w:rsid w:val="649ED7A9"/>
    <w:rsid w:val="7F16E2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1821C"/>
  <w15:chartTrackingRefBased/>
  <w15:docId w15:val="{EDFB9EA9-AB04-4F40-9A33-489AF0B3B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link w:val="ListParagraphChar"/>
    <w:uiPriority w:val="34"/>
    <w:qFormat/>
    <w:rsid w:val="0019777E"/>
    <w:pPr>
      <w:ind w:left="720"/>
      <w:contextualSpacing/>
    </w:pPr>
  </w:style>
  <w:style w:type="character" w:styleId="Hyperlink">
    <w:name w:val="Hyperlink"/>
    <w:aliases w:val="CSHR Hyperlink"/>
    <w:uiPriority w:val="99"/>
    <w:unhideWhenUsed/>
    <w:qFormat/>
    <w:rsid w:val="007E1105"/>
    <w:rPr>
      <w:rFonts w:ascii="Arial" w:hAnsi="Arial"/>
      <w:color w:val="AF292E"/>
      <w:sz w:val="24"/>
      <w:u w:val="single"/>
    </w:rPr>
  </w:style>
  <w:style w:type="paragraph" w:styleId="FootnoteText">
    <w:name w:val="footnote text"/>
    <w:basedOn w:val="Normal"/>
    <w:link w:val="FootnoteTextChar"/>
    <w:uiPriority w:val="99"/>
    <w:rsid w:val="007E1105"/>
    <w:pPr>
      <w:spacing w:after="0" w:line="240" w:lineRule="auto"/>
    </w:pPr>
    <w:rPr>
      <w:rFonts w:ascii="Arial Narrow" w:eastAsia="Times New Roman" w:hAnsi="Arial Narrow" w:cs="Arial"/>
      <w:bCs/>
      <w:sz w:val="20"/>
      <w:szCs w:val="20"/>
      <w:lang w:val="en-GB" w:eastAsia="en-US"/>
    </w:rPr>
  </w:style>
  <w:style w:type="character" w:customStyle="1" w:styleId="FootnoteTextChar">
    <w:name w:val="Footnote Text Char"/>
    <w:basedOn w:val="DefaultParagraphFont"/>
    <w:link w:val="FootnoteText"/>
    <w:uiPriority w:val="99"/>
    <w:rsid w:val="007E1105"/>
    <w:rPr>
      <w:rFonts w:ascii="Arial Narrow" w:eastAsia="Times New Roman" w:hAnsi="Arial Narrow" w:cs="Arial"/>
      <w:bCs/>
      <w:sz w:val="20"/>
      <w:szCs w:val="20"/>
      <w:lang w:val="en-GB" w:eastAsia="en-US"/>
    </w:rPr>
  </w:style>
  <w:style w:type="character" w:styleId="FootnoteReference">
    <w:name w:val="footnote reference"/>
    <w:basedOn w:val="DefaultParagraphFont"/>
    <w:semiHidden/>
    <w:unhideWhenUsed/>
    <w:rsid w:val="007E1105"/>
    <w:rPr>
      <w:vertAlign w:val="superscript"/>
    </w:rPr>
  </w:style>
  <w:style w:type="character" w:customStyle="1" w:styleId="ListParagraphChar">
    <w:name w:val="List Paragraph Char"/>
    <w:link w:val="ListParagraph"/>
    <w:uiPriority w:val="34"/>
    <w:rsid w:val="00774565"/>
  </w:style>
  <w:style w:type="paragraph" w:styleId="Revision">
    <w:name w:val="Revision"/>
    <w:hidden/>
    <w:uiPriority w:val="99"/>
    <w:semiHidden/>
    <w:rsid w:val="006D6256"/>
    <w:pPr>
      <w:spacing w:after="0" w:line="240" w:lineRule="auto"/>
    </w:pPr>
  </w:style>
  <w:style w:type="paragraph" w:styleId="Header">
    <w:name w:val="header"/>
    <w:basedOn w:val="Normal"/>
    <w:link w:val="HeaderChar"/>
    <w:uiPriority w:val="99"/>
    <w:semiHidden/>
    <w:unhideWhenUsed/>
    <w:rsid w:val="004E76F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E76FB"/>
  </w:style>
  <w:style w:type="paragraph" w:styleId="Footer">
    <w:name w:val="footer"/>
    <w:basedOn w:val="Normal"/>
    <w:link w:val="FooterChar"/>
    <w:uiPriority w:val="99"/>
    <w:semiHidden/>
    <w:unhideWhenUsed/>
    <w:rsid w:val="004E76FB"/>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E76FB"/>
  </w:style>
  <w:style w:type="character" w:styleId="CommentReference">
    <w:name w:val="annotation reference"/>
    <w:basedOn w:val="DefaultParagraphFont"/>
    <w:uiPriority w:val="99"/>
    <w:semiHidden/>
    <w:unhideWhenUsed/>
    <w:rsid w:val="00EA16D2"/>
    <w:rPr>
      <w:sz w:val="16"/>
      <w:szCs w:val="16"/>
    </w:rPr>
  </w:style>
  <w:style w:type="paragraph" w:styleId="CommentText">
    <w:name w:val="annotation text"/>
    <w:basedOn w:val="Normal"/>
    <w:link w:val="CommentTextChar"/>
    <w:uiPriority w:val="99"/>
    <w:unhideWhenUsed/>
    <w:rsid w:val="00EA16D2"/>
    <w:pPr>
      <w:spacing w:line="240" w:lineRule="auto"/>
    </w:pPr>
    <w:rPr>
      <w:sz w:val="20"/>
      <w:szCs w:val="20"/>
    </w:rPr>
  </w:style>
  <w:style w:type="character" w:customStyle="1" w:styleId="CommentTextChar">
    <w:name w:val="Comment Text Char"/>
    <w:basedOn w:val="DefaultParagraphFont"/>
    <w:link w:val="CommentText"/>
    <w:uiPriority w:val="99"/>
    <w:rsid w:val="00EA16D2"/>
    <w:rPr>
      <w:sz w:val="20"/>
      <w:szCs w:val="20"/>
    </w:rPr>
  </w:style>
  <w:style w:type="paragraph" w:styleId="CommentSubject">
    <w:name w:val="annotation subject"/>
    <w:basedOn w:val="CommentText"/>
    <w:next w:val="CommentText"/>
    <w:link w:val="CommentSubjectChar"/>
    <w:uiPriority w:val="99"/>
    <w:semiHidden/>
    <w:unhideWhenUsed/>
    <w:rsid w:val="00EA16D2"/>
    <w:rPr>
      <w:b/>
      <w:bCs/>
    </w:rPr>
  </w:style>
  <w:style w:type="character" w:customStyle="1" w:styleId="CommentSubjectChar">
    <w:name w:val="Comment Subject Char"/>
    <w:basedOn w:val="CommentTextChar"/>
    <w:link w:val="CommentSubject"/>
    <w:uiPriority w:val="99"/>
    <w:semiHidden/>
    <w:rsid w:val="00EA16D2"/>
    <w:rPr>
      <w:b/>
      <w:bCs/>
      <w:sz w:val="20"/>
      <w:szCs w:val="20"/>
    </w:rPr>
  </w:style>
  <w:style w:type="character" w:styleId="UnresolvedMention">
    <w:name w:val="Unresolved Mention"/>
    <w:basedOn w:val="DefaultParagraphFont"/>
    <w:uiPriority w:val="99"/>
    <w:semiHidden/>
    <w:unhideWhenUsed/>
    <w:rsid w:val="00F84D42"/>
    <w:rPr>
      <w:color w:val="605E5C"/>
      <w:shd w:val="clear" w:color="auto" w:fill="E1DFDD"/>
    </w:rPr>
  </w:style>
  <w:style w:type="character" w:styleId="FollowedHyperlink">
    <w:name w:val="FollowedHyperlink"/>
    <w:basedOn w:val="DefaultParagraphFont"/>
    <w:uiPriority w:val="99"/>
    <w:semiHidden/>
    <w:unhideWhenUsed/>
    <w:rsid w:val="00BF5B30"/>
    <w:rPr>
      <w:color w:val="96607D" w:themeColor="followedHyperlink"/>
      <w:u w:val="single"/>
    </w:rPr>
  </w:style>
  <w:style w:type="character" w:styleId="Mention">
    <w:name w:val="Mention"/>
    <w:basedOn w:val="DefaultParagraphFont"/>
    <w:uiPriority w:val="99"/>
    <w:unhideWhenUsed/>
    <w:rsid w:val="0012490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otnotes.xml.rels><?xml version="1.0" encoding="UTF-8" standalone="yes"?>
<Relationships xmlns="http://schemas.openxmlformats.org/package/2006/relationships"><Relationship Id="rId8" Type="http://schemas.openxmlformats.org/officeDocument/2006/relationships/hyperlink" Target="https://www.gov.uk/government/statistics/diversity-of-the-judiciary-2024-statistics/diversity-of-the-judiciary-legal-professions-new-appointments-and-current-post-holders-2024-statistics" TargetMode="External"/><Relationship Id="rId3" Type="http://schemas.openxmlformats.org/officeDocument/2006/relationships/hyperlink" Target="https://assets.publishing.service.gov.uk/media/6646118dbd01f5ed32793d44/outcomes-by-offence-2023.xlsx" TargetMode="External"/><Relationship Id="rId7" Type="http://schemas.openxmlformats.org/officeDocument/2006/relationships/hyperlink" Target="https://assets.publishing.service.gov.uk/media/664611e1ae748c43d3793d34/crown-court-tool-2023.xlsx" TargetMode="External"/><Relationship Id="rId2" Type="http://schemas.openxmlformats.org/officeDocument/2006/relationships/hyperlink" Target="https://assets.publishing.service.gov.uk/media/6646118dbd01f5ed32793d44/outcomes-by-offence-2023.xlsx" TargetMode="External"/><Relationship Id="rId1" Type="http://schemas.openxmlformats.org/officeDocument/2006/relationships/hyperlink" Target="http://www.legislation.gov.uk/ukpga/2010/15/pdfs/ukpga_20100015_en.pdf" TargetMode="External"/><Relationship Id="rId6" Type="http://schemas.openxmlformats.org/officeDocument/2006/relationships/hyperlink" Target="https://www.gov.uk/government/statistics/ethnicity-and-the-criminal-justice-system-2022" TargetMode="External"/><Relationship Id="rId5" Type="http://schemas.openxmlformats.org/officeDocument/2006/relationships/hyperlink" Target="https://assets.publishing.service.gov.uk/media/5a82009040f0b62305b91f49/lammy-review-final-report.pdf" TargetMode="External"/><Relationship Id="rId4" Type="http://schemas.openxmlformats.org/officeDocument/2006/relationships/hyperlink" Target="https://assets.publishing.service.gov.uk/media/664611e1ae748c43d3793d34/crown-court-tool-2023.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05df1ee-f589-4c5a-ad71-d9b273d4b1b5">
      <Terms xmlns="http://schemas.microsoft.com/office/infopath/2007/PartnerControls"/>
    </lcf76f155ced4ddcb4097134ff3c332f>
    <TaxCatchAll xmlns="68fdb55c-69e1-4165-b813-0a87063354a9" xsi:nil="true"/>
    <SpAds xmlns="605df1ee-f589-4c5a-ad71-d9b273d4b1b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CF34A739FFC684FA4765D8A833C0935" ma:contentTypeVersion="18" ma:contentTypeDescription="Create a new document." ma:contentTypeScope="" ma:versionID="5cf304881ceb17ec4718657a2265c4c3">
  <xsd:schema xmlns:xsd="http://www.w3.org/2001/XMLSchema" xmlns:xs="http://www.w3.org/2001/XMLSchema" xmlns:p="http://schemas.microsoft.com/office/2006/metadata/properties" xmlns:ns2="605df1ee-f589-4c5a-ad71-d9b273d4b1b5" xmlns:ns3="68fdb55c-69e1-4165-b813-0a87063354a9" targetNamespace="http://schemas.microsoft.com/office/2006/metadata/properties" ma:root="true" ma:fieldsID="a987d580ba1fa6752a49627dd2bd7a6e" ns2:_="" ns3:_="">
    <xsd:import namespace="605df1ee-f589-4c5a-ad71-d9b273d4b1b5"/>
    <xsd:import namespace="68fdb55c-69e1-4165-b813-0a87063354a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element ref="ns2:SpA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5df1ee-f589-4c5a-ad71-d9b273d4b1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5b7e4bc-7c04-4239-a3c8-056ff7db7bf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SpAds" ma:index="25" nillable="true" ma:displayName="SpAds" ma:format="Dropdown" ma:internalName="SpAds">
      <xsd:simpleType>
        <xsd:restriction base="dms:Choice">
          <xsd:enumeration value="For SpAds Review"/>
        </xsd:restriction>
      </xsd:simpleType>
    </xsd:element>
  </xsd:schema>
  <xsd:schema xmlns:xsd="http://www.w3.org/2001/XMLSchema" xmlns:xs="http://www.w3.org/2001/XMLSchema" xmlns:dms="http://schemas.microsoft.com/office/2006/documentManagement/types" xmlns:pc="http://schemas.microsoft.com/office/infopath/2007/PartnerControls" targetNamespace="68fdb55c-69e1-4165-b813-0a87063354a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90cf179-460f-4ce6-81a0-1b9d974c203e}" ma:internalName="TaxCatchAll" ma:showField="CatchAllData" ma:web="68fdb55c-69e1-4165-b813-0a87063354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4ECE02-3BF6-4CE8-921E-744CF3453170}">
  <ds:schemaRefs>
    <ds:schemaRef ds:uri="http://schemas.microsoft.com/sharepoint/v3/contenttype/forms"/>
  </ds:schemaRefs>
</ds:datastoreItem>
</file>

<file path=customXml/itemProps2.xml><?xml version="1.0" encoding="utf-8"?>
<ds:datastoreItem xmlns:ds="http://schemas.openxmlformats.org/officeDocument/2006/customXml" ds:itemID="{25A83C69-3C21-43C4-BCDF-AF1ED14EBB0D}">
  <ds:schemaRefs>
    <ds:schemaRef ds:uri="http://schemas.microsoft.com/office/2006/metadata/properties"/>
    <ds:schemaRef ds:uri="http://schemas.microsoft.com/office/infopath/2007/PartnerControls"/>
    <ds:schemaRef ds:uri="9e750e85-7af5-48e8-84a0-69f436f0016c"/>
    <ds:schemaRef ds:uri="638f18da-e3d9-4df5-98d0-64467fee0589"/>
  </ds:schemaRefs>
</ds:datastoreItem>
</file>

<file path=customXml/itemProps3.xml><?xml version="1.0" encoding="utf-8"?>
<ds:datastoreItem xmlns:ds="http://schemas.openxmlformats.org/officeDocument/2006/customXml" ds:itemID="{26F570FD-BFBD-4F90-AA14-2DBAC2EC758A}">
  <ds:schemaRefs>
    <ds:schemaRef ds:uri="http://schemas.openxmlformats.org/officeDocument/2006/bibliography"/>
  </ds:schemaRefs>
</ds:datastoreItem>
</file>

<file path=customXml/itemProps4.xml><?xml version="1.0" encoding="utf-8"?>
<ds:datastoreItem xmlns:ds="http://schemas.openxmlformats.org/officeDocument/2006/customXml" ds:itemID="{B1A0C70F-2AC1-4DCD-B9AA-E882431AFDDC}"/>
</file>

<file path=docProps/app.xml><?xml version="1.0" encoding="utf-8"?>
<Properties xmlns="http://schemas.openxmlformats.org/officeDocument/2006/extended-properties" xmlns:vt="http://schemas.openxmlformats.org/officeDocument/2006/docPropsVTypes">
  <Template>Normal</Template>
  <TotalTime>1088</TotalTime>
  <Pages>10</Pages>
  <Words>3180</Words>
  <Characters>18131</Characters>
  <Application>Microsoft Office Word</Application>
  <DocSecurity>0</DocSecurity>
  <Lines>151</Lines>
  <Paragraphs>42</Paragraphs>
  <ScaleCrop>false</ScaleCrop>
  <Company/>
  <LinksUpToDate>false</LinksUpToDate>
  <CharactersWithSpaces>21269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Balla, Yasmin</dc:creator>
  <cp:keywords/>
  <dc:description/>
  <cp:lastModifiedBy>Warne, Kirsty</cp:lastModifiedBy>
  <cp:revision>461</cp:revision>
  <dcterms:created xsi:type="dcterms:W3CDTF">2024-09-28T22:56:00Z</dcterms:created>
  <dcterms:modified xsi:type="dcterms:W3CDTF">2024-10-24T09:22:00Z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0x01010062E2507679256C42B0BAD141E09621AD</vt:lpwstr>
  </property>
  <property fmtid="{D5CDD505-2E9C-101B-9397-08002B2CF9AE}" pid="3" name="MediaServiceImageTags">
    <vt:lpwstr/>
  </property>
</Properties>
</file>