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396D" w14:textId="77777777" w:rsidR="00BC24C9" w:rsidRPr="00AF6ACD" w:rsidRDefault="00BC24C9" w:rsidP="00BC24C9">
      <w:pPr>
        <w:shd w:val="clear" w:color="auto" w:fill="FFFFFF"/>
        <w:tabs>
          <w:tab w:val="left" w:pos="720"/>
        </w:tabs>
        <w:jc w:val="center"/>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POLICY NOTE</w:t>
      </w:r>
    </w:p>
    <w:p w14:paraId="7289BB13" w14:textId="77777777" w:rsidR="00BC24C9" w:rsidRPr="00AF6ACD" w:rsidRDefault="00BC24C9" w:rsidP="00BC24C9">
      <w:pPr>
        <w:shd w:val="clear" w:color="auto" w:fill="FFFFFF"/>
        <w:tabs>
          <w:tab w:val="left" w:pos="720"/>
        </w:tabs>
        <w:jc w:val="center"/>
        <w:textAlignment w:val="top"/>
        <w:rPr>
          <w:rFonts w:ascii="Times New Roman" w:hAnsi="Times New Roman" w:cs="Times New Roman"/>
          <w:szCs w:val="24"/>
          <w:lang w:eastAsia="en-GB"/>
        </w:rPr>
      </w:pPr>
    </w:p>
    <w:p w14:paraId="28DAB5C0" w14:textId="3F95C098" w:rsidR="00BC24C9" w:rsidRPr="00AF6ACD" w:rsidRDefault="00AF6ACD" w:rsidP="00BC24C9">
      <w:pPr>
        <w:shd w:val="clear" w:color="auto" w:fill="FFFFFF"/>
        <w:tabs>
          <w:tab w:val="left" w:pos="720"/>
        </w:tabs>
        <w:jc w:val="center"/>
        <w:textAlignment w:val="top"/>
        <w:rPr>
          <w:rFonts w:ascii="Times New Roman" w:hAnsi="Times New Roman" w:cs="Times New Roman"/>
          <w:szCs w:val="24"/>
          <w:lang w:eastAsia="en-GB"/>
        </w:rPr>
      </w:pPr>
      <w:r w:rsidRPr="00AF6ACD">
        <w:rPr>
          <w:rFonts w:ascii="Times New Roman" w:hAnsi="Times New Roman" w:cs="Times New Roman"/>
          <w:b/>
          <w:szCs w:val="24"/>
          <w:lang w:eastAsia="en-GB"/>
        </w:rPr>
        <w:t>THE CARE HOME SERVICES (VISITS TO AND BY CARE HOME RESIDENTS) (SCOTLAND) REGULATIONS 2026</w:t>
      </w:r>
    </w:p>
    <w:p w14:paraId="697B4550" w14:textId="77777777" w:rsidR="00BC24C9" w:rsidRPr="00AF6ACD" w:rsidRDefault="00BC24C9" w:rsidP="00BC24C9">
      <w:pPr>
        <w:shd w:val="clear" w:color="auto" w:fill="FFFFFF"/>
        <w:tabs>
          <w:tab w:val="left" w:pos="720"/>
        </w:tabs>
        <w:jc w:val="center"/>
        <w:textAlignment w:val="top"/>
        <w:rPr>
          <w:rFonts w:ascii="Times New Roman" w:hAnsi="Times New Roman" w:cs="Times New Roman"/>
          <w:szCs w:val="24"/>
          <w:lang w:eastAsia="en-GB"/>
        </w:rPr>
      </w:pPr>
    </w:p>
    <w:p w14:paraId="391F019A" w14:textId="5392F864" w:rsidR="00BC24C9" w:rsidRPr="00AF6ACD" w:rsidRDefault="00BC24C9" w:rsidP="00BC24C9">
      <w:pPr>
        <w:shd w:val="clear" w:color="auto" w:fill="FFFFFF"/>
        <w:tabs>
          <w:tab w:val="left" w:pos="720"/>
        </w:tabs>
        <w:jc w:val="center"/>
        <w:textAlignment w:val="top"/>
        <w:rPr>
          <w:rFonts w:ascii="Times New Roman" w:hAnsi="Times New Roman" w:cs="Times New Roman"/>
          <w:szCs w:val="24"/>
          <w:lang w:eastAsia="en-GB"/>
        </w:rPr>
      </w:pPr>
      <w:r w:rsidRPr="00AF6ACD">
        <w:rPr>
          <w:rFonts w:ascii="Times New Roman" w:hAnsi="Times New Roman" w:cs="Times New Roman"/>
          <w:b/>
          <w:szCs w:val="24"/>
          <w:lang w:eastAsia="en-GB"/>
        </w:rPr>
        <w:t>SSI 20</w:t>
      </w:r>
      <w:r w:rsidR="00AF6ACD">
        <w:rPr>
          <w:rFonts w:ascii="Times New Roman" w:hAnsi="Times New Roman" w:cs="Times New Roman"/>
          <w:b/>
          <w:szCs w:val="24"/>
          <w:lang w:eastAsia="en-GB"/>
        </w:rPr>
        <w:t>26/XXX</w:t>
      </w:r>
    </w:p>
    <w:p w14:paraId="48FF0CBE" w14:textId="77777777" w:rsidR="00BC24C9" w:rsidRPr="00AF6ACD" w:rsidRDefault="00BC24C9" w:rsidP="00BC24C9">
      <w:pPr>
        <w:pStyle w:val="Pre"/>
        <w:rPr>
          <w:sz w:val="24"/>
          <w:szCs w:val="24"/>
        </w:rPr>
      </w:pPr>
      <w:r w:rsidRPr="00AF6ACD">
        <w:rPr>
          <w:sz w:val="24"/>
          <w:szCs w:val="24"/>
          <w:lang w:eastAsia="en-GB"/>
        </w:rPr>
        <w:t xml:space="preserve">The above instrument was made in exercise of the powers conferred by </w:t>
      </w:r>
      <w:r w:rsidRPr="00AF6ACD">
        <w:rPr>
          <w:sz w:val="24"/>
          <w:szCs w:val="24"/>
        </w:rPr>
        <w:t>section 78(2) of the Public Services Reform (Scotland) Act 2010 and all other powers enabling them to do so.</w:t>
      </w:r>
      <w:r w:rsidRPr="00AF6ACD">
        <w:rPr>
          <w:sz w:val="24"/>
          <w:szCs w:val="24"/>
          <w:lang w:eastAsia="en-GB"/>
        </w:rPr>
        <w:t xml:space="preserve"> The instrument is subject to </w:t>
      </w:r>
      <w:r w:rsidRPr="00AF6ACD">
        <w:rPr>
          <w:i/>
          <w:sz w:val="24"/>
          <w:szCs w:val="24"/>
          <w:lang w:eastAsia="en-GB"/>
        </w:rPr>
        <w:t>affirmative procedure</w:t>
      </w:r>
      <w:r w:rsidRPr="00AF6ACD">
        <w:rPr>
          <w:sz w:val="24"/>
          <w:szCs w:val="24"/>
          <w:lang w:eastAsia="en-GB"/>
        </w:rPr>
        <w:t xml:space="preserve">. </w:t>
      </w:r>
    </w:p>
    <w:p w14:paraId="7B98B0A8"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384BEEEC" w14:textId="77777777" w:rsidR="00BC24C9" w:rsidRPr="00AF6ACD" w:rsidRDefault="00BC24C9" w:rsidP="00BC24C9">
      <w:pPr>
        <w:shd w:val="clear" w:color="auto" w:fill="FFFFFF"/>
        <w:tabs>
          <w:tab w:val="left" w:pos="720"/>
        </w:tabs>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Summary Box</w:t>
      </w:r>
    </w:p>
    <w:p w14:paraId="54199286" w14:textId="77777777" w:rsidR="00BC24C9" w:rsidRPr="00AF6ACD" w:rsidRDefault="00BC24C9" w:rsidP="00BC24C9">
      <w:pPr>
        <w:shd w:val="clear" w:color="auto" w:fill="FFFFFF"/>
        <w:tabs>
          <w:tab w:val="left" w:pos="720"/>
        </w:tabs>
        <w:textAlignment w:val="top"/>
        <w:rPr>
          <w:rFonts w:ascii="Times New Roman" w:hAnsi="Times New Roman" w:cs="Times New Roman"/>
          <w:i/>
          <w:szCs w:val="24"/>
          <w:lang w:eastAsia="en-GB"/>
        </w:rPr>
      </w:pPr>
    </w:p>
    <w:tbl>
      <w:tblPr>
        <w:tblStyle w:val="TableGrid"/>
        <w:tblW w:w="0" w:type="auto"/>
        <w:tblLook w:val="04A0" w:firstRow="1" w:lastRow="0" w:firstColumn="1" w:lastColumn="0" w:noHBand="0" w:noVBand="1"/>
      </w:tblPr>
      <w:tblGrid>
        <w:gridCol w:w="9016"/>
      </w:tblGrid>
      <w:tr w:rsidR="00BC24C9" w:rsidRPr="00AF6ACD" w14:paraId="2800EE3A" w14:textId="77777777" w:rsidTr="00023A32">
        <w:tc>
          <w:tcPr>
            <w:tcW w:w="9242" w:type="dxa"/>
          </w:tcPr>
          <w:p w14:paraId="741700C2" w14:textId="77777777" w:rsidR="00BC24C9" w:rsidRPr="00AF6ACD" w:rsidRDefault="00BC24C9" w:rsidP="00023A32">
            <w:pPr>
              <w:tabs>
                <w:tab w:val="left" w:pos="720"/>
              </w:tabs>
              <w:textAlignment w:val="top"/>
              <w:rPr>
                <w:rFonts w:ascii="Times New Roman" w:hAnsi="Times New Roman" w:cs="Times New Roman"/>
                <w:szCs w:val="24"/>
              </w:rPr>
            </w:pPr>
            <w:r w:rsidRPr="00AF6ACD">
              <w:rPr>
                <w:rFonts w:ascii="Times New Roman" w:hAnsi="Times New Roman" w:cs="Times New Roman"/>
                <w:szCs w:val="24"/>
              </w:rPr>
              <w:t>Purpose of the instrument.</w:t>
            </w:r>
          </w:p>
          <w:p w14:paraId="318509C3" w14:textId="77777777" w:rsidR="00BC24C9" w:rsidRPr="00AF6ACD" w:rsidRDefault="00BC24C9" w:rsidP="00023A32">
            <w:pPr>
              <w:tabs>
                <w:tab w:val="left" w:pos="720"/>
              </w:tabs>
              <w:textAlignment w:val="top"/>
              <w:rPr>
                <w:rFonts w:ascii="Times New Roman" w:hAnsi="Times New Roman" w:cs="Times New Roman"/>
                <w:szCs w:val="24"/>
              </w:rPr>
            </w:pPr>
          </w:p>
          <w:p w14:paraId="57D45E45" w14:textId="77777777" w:rsidR="00BC24C9" w:rsidRPr="00AF6ACD" w:rsidRDefault="00BC24C9" w:rsidP="00023A32">
            <w:pPr>
              <w:shd w:val="clear" w:color="auto" w:fill="FFFFFF" w:themeFill="background1"/>
              <w:tabs>
                <w:tab w:val="left" w:pos="720"/>
              </w:tabs>
              <w:textAlignment w:val="top"/>
              <w:rPr>
                <w:rFonts w:ascii="Times New Roman" w:hAnsi="Times New Roman" w:cs="Times New Roman"/>
                <w:szCs w:val="24"/>
              </w:rPr>
            </w:pPr>
            <w:r w:rsidRPr="00AF6ACD">
              <w:rPr>
                <w:rFonts w:ascii="Times New Roman" w:hAnsi="Times New Roman" w:cs="Times New Roman"/>
                <w:szCs w:val="24"/>
              </w:rPr>
              <w:t>The instrument imposes new duties and responsibilities relating to visiting arrangements on providers of care home services for adults in the form of regulations under section 78(2) of the Public Services Reform (Scotland) Act 2010 as required following modifications made by section 14 of the Care Reform (Scotland) Act 2025.</w:t>
            </w:r>
          </w:p>
          <w:p w14:paraId="494F40DE" w14:textId="77777777" w:rsidR="00BC24C9" w:rsidRPr="00AF6ACD" w:rsidRDefault="00BC24C9" w:rsidP="00023A32">
            <w:pPr>
              <w:pStyle w:val="Pre"/>
              <w:rPr>
                <w:sz w:val="24"/>
                <w:szCs w:val="24"/>
              </w:rPr>
            </w:pPr>
            <w:r w:rsidRPr="00AF6ACD">
              <w:rPr>
                <w:sz w:val="24"/>
                <w:szCs w:val="24"/>
              </w:rPr>
              <w:t xml:space="preserve">In accordance with section 104(2) of Public Services Reform (Scotland) Act 2010, a draft of this instrument is being laid before the Scottish Parliament. </w:t>
            </w:r>
          </w:p>
          <w:p w14:paraId="007873D9" w14:textId="77777777" w:rsidR="00BC24C9" w:rsidRPr="00AF6ACD" w:rsidRDefault="00BC24C9" w:rsidP="00023A32">
            <w:pPr>
              <w:tabs>
                <w:tab w:val="left" w:pos="720"/>
              </w:tabs>
              <w:textAlignment w:val="top"/>
              <w:rPr>
                <w:rFonts w:ascii="Times New Roman" w:hAnsi="Times New Roman" w:cs="Times New Roman"/>
                <w:szCs w:val="24"/>
              </w:rPr>
            </w:pPr>
          </w:p>
        </w:tc>
      </w:tr>
    </w:tbl>
    <w:p w14:paraId="46BFE8DC"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4B551155" w14:textId="77777777" w:rsidR="00BC24C9" w:rsidRPr="00AF6ACD" w:rsidRDefault="00BC24C9" w:rsidP="00BC24C9">
      <w:pPr>
        <w:shd w:val="clear" w:color="auto" w:fill="FFFFFF"/>
        <w:tabs>
          <w:tab w:val="left" w:pos="720"/>
        </w:tabs>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 xml:space="preserve">Policy Objectives </w:t>
      </w:r>
    </w:p>
    <w:p w14:paraId="1986BE1A"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6137A537"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rPr>
      </w:pPr>
      <w:r w:rsidRPr="00AF6ACD">
        <w:rPr>
          <w:rFonts w:ascii="Times New Roman" w:hAnsi="Times New Roman" w:cs="Times New Roman"/>
          <w:szCs w:val="24"/>
        </w:rPr>
        <w:t>This instrument imposes new duties on adult care home providers in the form of regulations.</w:t>
      </w:r>
    </w:p>
    <w:p w14:paraId="2ECA0A8B"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rPr>
      </w:pPr>
    </w:p>
    <w:p w14:paraId="18034EFD" w14:textId="77777777" w:rsidR="00BC24C9" w:rsidRPr="00AF6ACD" w:rsidRDefault="00BC24C9" w:rsidP="00BC24C9">
      <w:pPr>
        <w:spacing w:after="160" w:line="259" w:lineRule="auto"/>
        <w:rPr>
          <w:rFonts w:ascii="Times New Roman" w:eastAsia="Arial" w:hAnsi="Times New Roman" w:cs="Times New Roman"/>
          <w:szCs w:val="24"/>
        </w:rPr>
      </w:pPr>
      <w:r w:rsidRPr="00AF6ACD">
        <w:rPr>
          <w:rFonts w:ascii="Times New Roman" w:eastAsia="Arial" w:hAnsi="Times New Roman" w:cs="Times New Roman"/>
          <w:szCs w:val="24"/>
        </w:rPr>
        <w:t>The purpose of the regulations is to ensure that people living in adult care homes can connect with the people who are important to them.</w:t>
      </w:r>
      <w:r w:rsidRPr="00AF6ACD">
        <w:rPr>
          <w:rFonts w:ascii="Times New Roman" w:hAnsi="Times New Roman" w:cs="Times New Roman"/>
          <w:szCs w:val="24"/>
        </w:rPr>
        <w:t xml:space="preserve"> </w:t>
      </w:r>
      <w:r w:rsidRPr="00AF6ACD">
        <w:rPr>
          <w:rFonts w:ascii="Times New Roman" w:eastAsia="Arial" w:hAnsi="Times New Roman" w:cs="Times New Roman"/>
          <w:szCs w:val="24"/>
        </w:rPr>
        <w:t>This includes the importance of staying connected with loved ones when visiting restrictions are both being considered, and are in place, in the care home.</w:t>
      </w:r>
    </w:p>
    <w:p w14:paraId="51FA073E" w14:textId="77777777" w:rsidR="00BC24C9" w:rsidRPr="00AF6ACD" w:rsidRDefault="00BC24C9" w:rsidP="00BC24C9">
      <w:pPr>
        <w:spacing w:after="160" w:line="259" w:lineRule="auto"/>
        <w:rPr>
          <w:rFonts w:ascii="Times New Roman" w:eastAsia="Arial" w:hAnsi="Times New Roman" w:cs="Times New Roman"/>
          <w:szCs w:val="24"/>
        </w:rPr>
      </w:pPr>
      <w:r w:rsidRPr="00AF6ACD">
        <w:rPr>
          <w:rFonts w:ascii="Times New Roman" w:eastAsia="Arial" w:hAnsi="Times New Roman" w:cs="Times New Roman"/>
          <w:szCs w:val="24"/>
        </w:rPr>
        <w:t>The regulations impose a duty on providers to identify at least one Essential Care Supporter (ECS) for every person living in an adult care home, if that is their wish</w:t>
      </w:r>
      <w:bookmarkStart w:id="0" w:name="_Hlk218699010"/>
      <w:r w:rsidRPr="00AF6ACD">
        <w:rPr>
          <w:rFonts w:ascii="Times New Roman" w:eastAsia="Arial" w:hAnsi="Times New Roman" w:cs="Times New Roman"/>
          <w:szCs w:val="24"/>
        </w:rPr>
        <w:t xml:space="preserve"> and there is a person(s)</w:t>
      </w:r>
      <w:r w:rsidRPr="00AF6ACD">
        <w:rPr>
          <w:rFonts w:ascii="Times New Roman" w:hAnsi="Times New Roman" w:cs="Times New Roman"/>
          <w:szCs w:val="24"/>
        </w:rPr>
        <w:t xml:space="preserve"> identified who is willing and able to be </w:t>
      </w:r>
      <w:bookmarkEnd w:id="0"/>
      <w:r w:rsidRPr="00AF6ACD">
        <w:rPr>
          <w:rFonts w:ascii="Times New Roman" w:hAnsi="Times New Roman" w:cs="Times New Roman"/>
          <w:szCs w:val="24"/>
        </w:rPr>
        <w:t>an ECS.</w:t>
      </w:r>
    </w:p>
    <w:p w14:paraId="7FF4AC5D" w14:textId="77777777" w:rsidR="00BC24C9" w:rsidRPr="00AF6ACD" w:rsidRDefault="00BC24C9" w:rsidP="00BC24C9">
      <w:pPr>
        <w:spacing w:after="160" w:line="259" w:lineRule="auto"/>
        <w:rPr>
          <w:rFonts w:ascii="Times New Roman" w:hAnsi="Times New Roman" w:cs="Times New Roman"/>
          <w:szCs w:val="24"/>
        </w:rPr>
      </w:pPr>
      <w:r w:rsidRPr="00AF6ACD">
        <w:rPr>
          <w:rFonts w:ascii="Times New Roman" w:hAnsi="Times New Roman" w:cs="Times New Roman"/>
          <w:szCs w:val="24"/>
        </w:rPr>
        <w:t>Providers will have a duty to facilitate visits to and by their residents. Suspension of such visits is only permitted where providers have reasonable cause to believe that doing so is essential to prevent a serious risk to life, health or wellbeing.</w:t>
      </w:r>
    </w:p>
    <w:p w14:paraId="688559A1" w14:textId="77777777" w:rsidR="00BC24C9" w:rsidRPr="00AF6ACD" w:rsidRDefault="00BC24C9" w:rsidP="00BC24C9">
      <w:pPr>
        <w:spacing w:after="160" w:line="259" w:lineRule="auto"/>
        <w:rPr>
          <w:rFonts w:ascii="Times New Roman" w:hAnsi="Times New Roman" w:cs="Times New Roman"/>
          <w:szCs w:val="24"/>
        </w:rPr>
      </w:pPr>
      <w:r w:rsidRPr="00AF6ACD">
        <w:rPr>
          <w:rFonts w:ascii="Times New Roman" w:hAnsi="Times New Roman" w:cs="Times New Roman"/>
          <w:szCs w:val="24"/>
        </w:rPr>
        <w:t xml:space="preserve">Even in such circumstances where suspension of visits is permitted, providers must continue to facilitate certain visits if the provider has cause to believe that, before the suspension of visits is lifted, as resident will have died or undergone significant deterioration in physical or mental condition.  Providers must also continue to facilitate certain visits if they have reasonable cause to believe that the suspension is likely to cause serious harm to the </w:t>
      </w:r>
      <w:proofErr w:type="spellStart"/>
      <w:r w:rsidRPr="00AF6ACD">
        <w:rPr>
          <w:rFonts w:ascii="Times New Roman" w:hAnsi="Times New Roman" w:cs="Times New Roman"/>
          <w:szCs w:val="24"/>
        </w:rPr>
        <w:t>resident’s</w:t>
      </w:r>
      <w:proofErr w:type="spellEnd"/>
      <w:r w:rsidRPr="00AF6ACD">
        <w:rPr>
          <w:rFonts w:ascii="Times New Roman" w:hAnsi="Times New Roman" w:cs="Times New Roman"/>
          <w:szCs w:val="24"/>
        </w:rPr>
        <w:t xml:space="preserve"> health or wellbeing and that harm would outweigh the serious risks that justifies the suspension.   </w:t>
      </w:r>
    </w:p>
    <w:p w14:paraId="5ECC5A6A" w14:textId="77777777" w:rsidR="00BC24C9" w:rsidRPr="00AF6ACD" w:rsidRDefault="00BC24C9" w:rsidP="00BC24C9">
      <w:pPr>
        <w:spacing w:after="160" w:line="259" w:lineRule="auto"/>
        <w:rPr>
          <w:rFonts w:ascii="Times New Roman" w:hAnsi="Times New Roman" w:cs="Times New Roman"/>
          <w:szCs w:val="24"/>
        </w:rPr>
      </w:pPr>
      <w:r w:rsidRPr="00AF6ACD">
        <w:rPr>
          <w:rFonts w:ascii="Times New Roman" w:hAnsi="Times New Roman" w:cs="Times New Roman"/>
          <w:szCs w:val="24"/>
        </w:rPr>
        <w:lastRenderedPageBreak/>
        <w:t xml:space="preserve">There is also a presumption that restricting access to an ECS is likely to cause serious harm to the </w:t>
      </w:r>
      <w:proofErr w:type="spellStart"/>
      <w:r w:rsidRPr="00AF6ACD">
        <w:rPr>
          <w:rFonts w:ascii="Times New Roman" w:hAnsi="Times New Roman" w:cs="Times New Roman"/>
          <w:szCs w:val="24"/>
        </w:rPr>
        <w:t>resident’s</w:t>
      </w:r>
      <w:proofErr w:type="spellEnd"/>
      <w:r w:rsidRPr="00AF6ACD">
        <w:rPr>
          <w:rFonts w:ascii="Times New Roman" w:hAnsi="Times New Roman" w:cs="Times New Roman"/>
          <w:szCs w:val="24"/>
        </w:rPr>
        <w:t xml:space="preserve"> health and wellbeing. This is intended to balance the safety of residents with their rights, ensuring that suspensions are proportionate and justified.</w:t>
      </w:r>
    </w:p>
    <w:p w14:paraId="60B5880C" w14:textId="77777777" w:rsidR="00BC24C9" w:rsidRPr="00AF6ACD" w:rsidRDefault="00BC24C9" w:rsidP="00BC24C9">
      <w:pPr>
        <w:spacing w:after="160" w:line="259" w:lineRule="auto"/>
        <w:rPr>
          <w:rFonts w:ascii="Times New Roman" w:hAnsi="Times New Roman" w:cs="Times New Roman"/>
          <w:szCs w:val="24"/>
        </w:rPr>
      </w:pPr>
      <w:r w:rsidRPr="00AF6ACD">
        <w:rPr>
          <w:rFonts w:ascii="Times New Roman" w:hAnsi="Times New Roman" w:cs="Times New Roman"/>
          <w:szCs w:val="24"/>
        </w:rPr>
        <w:t>Where a decision has been taken to suspend visits, the provider will have a duty to review that decision upon receipt of a valid request to do so. Furthermore, where a decision has been taken to suspend visits, the provider will have a duty to notify (a) the resident, or where appropriate their representative, and their ECS(s), (b) Social Care and Social Work Improvement Scotland (‘Care Inspectorate’) and (c) the chief social work officer of the local authority in whose area the care home is located, as soon as it is practicable to do so</w:t>
      </w:r>
      <w:r w:rsidRPr="00AF6ACD" w:rsidDel="00FD729E">
        <w:rPr>
          <w:rFonts w:ascii="Times New Roman" w:hAnsi="Times New Roman" w:cs="Times New Roman"/>
          <w:szCs w:val="24"/>
        </w:rPr>
        <w:t>.</w:t>
      </w:r>
    </w:p>
    <w:p w14:paraId="2F3111A5" w14:textId="77777777" w:rsidR="00BC24C9" w:rsidRPr="00AF6ACD" w:rsidRDefault="00BC24C9" w:rsidP="00BC24C9">
      <w:pPr>
        <w:rPr>
          <w:rFonts w:ascii="Times New Roman" w:hAnsi="Times New Roman" w:cs="Times New Roman"/>
          <w:szCs w:val="24"/>
        </w:rPr>
      </w:pPr>
      <w:r w:rsidRPr="00AF6ACD">
        <w:rPr>
          <w:rFonts w:ascii="Times New Roman" w:hAnsi="Times New Roman" w:cs="Times New Roman"/>
          <w:szCs w:val="24"/>
        </w:rPr>
        <w:t xml:space="preserve">The regulations set out that care home providers are required to take into account the supporting code of practice that will be published under section </w:t>
      </w:r>
      <w:proofErr w:type="spellStart"/>
      <w:r w:rsidRPr="00AF6ACD">
        <w:rPr>
          <w:rFonts w:ascii="Times New Roman" w:hAnsi="Times New Roman" w:cs="Times New Roman"/>
          <w:szCs w:val="24"/>
        </w:rPr>
        <w:t>78E</w:t>
      </w:r>
      <w:proofErr w:type="spellEnd"/>
      <w:r w:rsidRPr="00AF6ACD">
        <w:rPr>
          <w:rFonts w:ascii="Times New Roman" w:hAnsi="Times New Roman" w:cs="Times New Roman"/>
          <w:szCs w:val="24"/>
        </w:rPr>
        <w:t xml:space="preserve"> of the </w:t>
      </w:r>
      <w:r w:rsidRPr="00AF6ACD">
        <w:rPr>
          <w:rFonts w:ascii="Times New Roman" w:hAnsi="Times New Roman" w:cs="Times New Roman"/>
          <w:szCs w:val="24"/>
          <w:lang w:eastAsia="en-GB"/>
        </w:rPr>
        <w:t xml:space="preserve">Public Services Reform (Scotland) Act 2010 when </w:t>
      </w:r>
      <w:r w:rsidRPr="00AF6ACD">
        <w:rPr>
          <w:rFonts w:ascii="Times New Roman" w:hAnsi="Times New Roman" w:cs="Times New Roman"/>
          <w:szCs w:val="24"/>
        </w:rPr>
        <w:t>carrying out the duties set out in these regulations.</w:t>
      </w:r>
    </w:p>
    <w:p w14:paraId="087EC641" w14:textId="77777777" w:rsidR="00BC24C9" w:rsidRPr="00AF6ACD" w:rsidRDefault="00BC24C9" w:rsidP="00BC24C9">
      <w:pPr>
        <w:rPr>
          <w:rFonts w:ascii="Times New Roman" w:hAnsi="Times New Roman" w:cs="Times New Roman"/>
          <w:szCs w:val="24"/>
        </w:rPr>
      </w:pPr>
    </w:p>
    <w:p w14:paraId="028860E4" w14:textId="77777777" w:rsidR="00BC24C9" w:rsidRPr="00AF6ACD" w:rsidRDefault="00BC24C9" w:rsidP="00BC24C9">
      <w:pPr>
        <w:tabs>
          <w:tab w:val="left" w:pos="720"/>
        </w:tabs>
        <w:textAlignment w:val="top"/>
        <w:rPr>
          <w:rFonts w:ascii="Times New Roman" w:hAnsi="Times New Roman" w:cs="Times New Roman"/>
          <w:b/>
          <w:szCs w:val="24"/>
        </w:rPr>
      </w:pPr>
      <w:r w:rsidRPr="00AF6ACD">
        <w:rPr>
          <w:rFonts w:ascii="Times New Roman" w:hAnsi="Times New Roman" w:cs="Times New Roman"/>
          <w:b/>
          <w:szCs w:val="24"/>
        </w:rPr>
        <w:t>UN Convention on the Rights of the Child (Incorporation) (Scotland) Act 2024 Compatibility</w:t>
      </w:r>
    </w:p>
    <w:p w14:paraId="44F9C3EC" w14:textId="77777777" w:rsidR="00BC24C9" w:rsidRPr="00AF6ACD" w:rsidRDefault="00BC24C9" w:rsidP="00BC24C9">
      <w:pPr>
        <w:tabs>
          <w:tab w:val="left" w:pos="720"/>
        </w:tabs>
        <w:textAlignment w:val="top"/>
        <w:rPr>
          <w:rFonts w:ascii="Times New Roman" w:hAnsi="Times New Roman" w:cs="Times New Roman"/>
          <w:b/>
          <w:szCs w:val="24"/>
        </w:rPr>
      </w:pPr>
    </w:p>
    <w:p w14:paraId="3CDE1E50" w14:textId="77777777" w:rsidR="00BC24C9" w:rsidRPr="00AF6ACD" w:rsidRDefault="00BC24C9" w:rsidP="00BC24C9">
      <w:pPr>
        <w:tabs>
          <w:tab w:val="left" w:pos="720"/>
        </w:tabs>
        <w:textAlignment w:val="top"/>
        <w:rPr>
          <w:rFonts w:ascii="Times New Roman" w:hAnsi="Times New Roman" w:cs="Times New Roman"/>
          <w:bCs/>
          <w:szCs w:val="24"/>
          <w:lang w:eastAsia="en-GB"/>
        </w:rPr>
      </w:pPr>
      <w:r w:rsidRPr="00AF6ACD">
        <w:rPr>
          <w:rFonts w:ascii="Times New Roman" w:hAnsi="Times New Roman" w:cs="Times New Roman"/>
          <w:bCs/>
          <w:szCs w:val="24"/>
          <w:lang w:eastAsia="en-GB"/>
        </w:rPr>
        <w:t xml:space="preserve">The Scottish Ministers have made the following statement regarding children’s rights. </w:t>
      </w:r>
    </w:p>
    <w:p w14:paraId="303DAAEC" w14:textId="77777777" w:rsidR="00BC24C9" w:rsidRPr="00AF6ACD" w:rsidRDefault="00BC24C9" w:rsidP="00BC24C9">
      <w:pPr>
        <w:tabs>
          <w:tab w:val="left" w:pos="720"/>
        </w:tabs>
        <w:textAlignment w:val="top"/>
        <w:rPr>
          <w:rFonts w:ascii="Times New Roman" w:hAnsi="Times New Roman" w:cs="Times New Roman"/>
          <w:bCs/>
          <w:szCs w:val="24"/>
          <w:lang w:eastAsia="en-GB"/>
        </w:rPr>
      </w:pPr>
    </w:p>
    <w:p w14:paraId="48D2DAA1" w14:textId="77777777" w:rsidR="00BC24C9" w:rsidRPr="00AF6ACD" w:rsidRDefault="00BC24C9" w:rsidP="00BC24C9">
      <w:pPr>
        <w:tabs>
          <w:tab w:val="left" w:pos="720"/>
        </w:tabs>
        <w:textAlignment w:val="top"/>
        <w:rPr>
          <w:rFonts w:ascii="Times New Roman" w:hAnsi="Times New Roman" w:cs="Times New Roman"/>
          <w:bCs/>
          <w:szCs w:val="24"/>
          <w:lang w:eastAsia="en-GB"/>
        </w:rPr>
      </w:pPr>
      <w:r w:rsidRPr="00AF6ACD">
        <w:rPr>
          <w:rFonts w:ascii="Times New Roman" w:hAnsi="Times New Roman" w:cs="Times New Roman"/>
          <w:bCs/>
          <w:szCs w:val="24"/>
          <w:lang w:eastAsia="en-GB"/>
        </w:rPr>
        <w:t xml:space="preserve">In accordance with section 23(2) of the United Nations Convention on the Rights of the Child (Incorporation) (Scotland) Act 2024 (the Act), the Scottish Ministers certify that, in their view, the (The Care Home Services (Visits to and by Care Home Residents) (Scotland) Regulations 2026) is compatible with the </w:t>
      </w:r>
      <w:proofErr w:type="spellStart"/>
      <w:r w:rsidRPr="00AF6ACD">
        <w:rPr>
          <w:rFonts w:ascii="Times New Roman" w:hAnsi="Times New Roman" w:cs="Times New Roman"/>
          <w:bCs/>
          <w:szCs w:val="24"/>
          <w:lang w:eastAsia="en-GB"/>
        </w:rPr>
        <w:t>UNCRC</w:t>
      </w:r>
      <w:proofErr w:type="spellEnd"/>
      <w:r w:rsidRPr="00AF6ACD">
        <w:rPr>
          <w:rFonts w:ascii="Times New Roman" w:hAnsi="Times New Roman" w:cs="Times New Roman"/>
          <w:bCs/>
          <w:szCs w:val="24"/>
          <w:lang w:eastAsia="en-GB"/>
        </w:rPr>
        <w:t xml:space="preserve"> requirements as defined by section 1(2) of the Act.</w:t>
      </w:r>
    </w:p>
    <w:p w14:paraId="5C1A237C" w14:textId="77777777" w:rsidR="00BC24C9" w:rsidRPr="00AF6ACD" w:rsidRDefault="00BC24C9" w:rsidP="00BC24C9">
      <w:pPr>
        <w:tabs>
          <w:tab w:val="left" w:pos="720"/>
        </w:tabs>
        <w:textAlignment w:val="top"/>
        <w:rPr>
          <w:rFonts w:ascii="Times New Roman" w:hAnsi="Times New Roman" w:cs="Times New Roman"/>
          <w:bCs/>
          <w:szCs w:val="24"/>
          <w:lang w:eastAsia="en-GB"/>
        </w:rPr>
      </w:pPr>
    </w:p>
    <w:p w14:paraId="71D03372" w14:textId="77777777" w:rsidR="00BC24C9" w:rsidRPr="00AF6ACD" w:rsidRDefault="00BC24C9" w:rsidP="00BC24C9">
      <w:pPr>
        <w:tabs>
          <w:tab w:val="left" w:pos="720"/>
        </w:tabs>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EU Alignment Consideration</w:t>
      </w:r>
    </w:p>
    <w:p w14:paraId="5B528FBA" w14:textId="77777777" w:rsidR="00BC24C9" w:rsidRPr="00AF6ACD" w:rsidRDefault="00BC24C9" w:rsidP="00BC24C9">
      <w:pPr>
        <w:tabs>
          <w:tab w:val="left" w:pos="720"/>
        </w:tabs>
        <w:rPr>
          <w:rFonts w:ascii="Times New Roman" w:hAnsi="Times New Roman" w:cs="Times New Roman"/>
          <w:b/>
          <w:szCs w:val="24"/>
          <w:lang w:eastAsia="en-GB"/>
        </w:rPr>
      </w:pPr>
    </w:p>
    <w:p w14:paraId="0960C165" w14:textId="77777777" w:rsidR="00BC24C9" w:rsidRPr="00AF6ACD" w:rsidRDefault="00BC24C9" w:rsidP="00BC24C9">
      <w:pPr>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This instrument is not relevant to the Scottish Government’s policy to maintain alignment with the EU.</w:t>
      </w:r>
    </w:p>
    <w:p w14:paraId="5FE7E59A" w14:textId="77777777" w:rsidR="00BC24C9" w:rsidRPr="00AF6ACD" w:rsidRDefault="00BC24C9" w:rsidP="00BC24C9">
      <w:pPr>
        <w:tabs>
          <w:tab w:val="left" w:pos="720"/>
        </w:tabs>
        <w:rPr>
          <w:rFonts w:ascii="Times New Roman" w:hAnsi="Times New Roman" w:cs="Times New Roman"/>
          <w:i/>
          <w:szCs w:val="24"/>
          <w:lang w:eastAsia="en-GB"/>
        </w:rPr>
      </w:pPr>
    </w:p>
    <w:p w14:paraId="5E6041B3"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 xml:space="preserve">Consultation </w:t>
      </w:r>
    </w:p>
    <w:p w14:paraId="2DC55A6D"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b/>
          <w:szCs w:val="24"/>
          <w:lang w:eastAsia="en-GB"/>
        </w:rPr>
      </w:pPr>
    </w:p>
    <w:p w14:paraId="072ADEBE"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To ensure the regulations are clear and workable, the Scottish Government carried out a public consultation from September to October 2025. This included an online survey, visits to care homes to hear directly from residents, families and staff, and discussions with national organisations and professional bodies. </w:t>
      </w:r>
    </w:p>
    <w:p w14:paraId="12AFDC05"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7F9859BE"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The online survey was shared widely, including through the Care Inspectorate, care home provider representatives - Scottish Care and the Coalition of Care and Support Providers in Scotland (CCPS), the Anne’s Law National Oversight Group and Scottish Government communication channels. The legislation on </w:t>
      </w:r>
      <w:r w:rsidRPr="00AF6ACD">
        <w:rPr>
          <w:rFonts w:ascii="Times New Roman" w:hAnsi="Times New Roman" w:cs="Times New Roman"/>
          <w:szCs w:val="24"/>
        </w:rPr>
        <w:t>care home residents’ right to visits</w:t>
      </w:r>
      <w:r w:rsidRPr="00AF6ACD">
        <w:rPr>
          <w:rFonts w:ascii="Times New Roman" w:hAnsi="Times New Roman" w:cs="Times New Roman"/>
          <w:szCs w:val="24"/>
          <w:lang w:eastAsia="en-GB"/>
        </w:rPr>
        <w:t xml:space="preserve"> is commonly known as Anne’s Law.</w:t>
      </w:r>
    </w:p>
    <w:p w14:paraId="12B7DB7E"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326C21DA"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To ensure that people most affected by care home visiting policies had an opportunity to share their experiences and perspectives, the Scottish Government carried out in-person visits to five care homes across Scotland. This method was designed to capture views from those often under-represented in written consultations, such as care home residents who may face communication barriers or have limited digital access and may not have been able to </w:t>
      </w:r>
      <w:r w:rsidRPr="00AF6ACD">
        <w:rPr>
          <w:rFonts w:ascii="Times New Roman" w:hAnsi="Times New Roman" w:cs="Times New Roman"/>
          <w:szCs w:val="24"/>
          <w:lang w:eastAsia="en-GB"/>
        </w:rPr>
        <w:lastRenderedPageBreak/>
        <w:t>complete an online survey. Visiting homes in-person ensured that residents with cognitive or neurological conditions or communication needs were included.</w:t>
      </w:r>
    </w:p>
    <w:p w14:paraId="795B810F"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4673069F"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During these visits, care home residents, their family and friends, and care home staff members took part in one-to-one interviews or small group discussions using a flexible and inclusive approach.  </w:t>
      </w:r>
    </w:p>
    <w:p w14:paraId="45D1EA70"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211B9B03"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Ongoing feedback from the Anne’s Law National Oversight Group also informed the consultation, drawing on experience from relatives of people in care homes, care home providers, and public health and regulatory bodies. </w:t>
      </w:r>
    </w:p>
    <w:p w14:paraId="3B169124"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6BCADDC1"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The consultation demonstrated broad confidence in the clarity and intent of the regulations, with most suggested improvements focusing on how the duties should be applied in practice rather than the regulations themselves.</w:t>
      </w:r>
    </w:p>
    <w:p w14:paraId="60AA207C"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79AD1A1F" w14:textId="77777777" w:rsidR="00BC24C9" w:rsidRPr="00AF6ACD" w:rsidRDefault="00BC24C9" w:rsidP="00BC24C9">
      <w:pPr>
        <w:shd w:val="clear" w:color="auto" w:fill="FFFFFF"/>
        <w:tabs>
          <w:tab w:val="left" w:pos="720"/>
        </w:tabs>
        <w:textAlignment w:val="top"/>
        <w:rPr>
          <w:rFonts w:ascii="Times New Roman" w:hAnsi="Times New Roman" w:cs="Times New Roman"/>
          <w:szCs w:val="24"/>
          <w:u w:val="single"/>
          <w:lang w:eastAsia="en-GB"/>
        </w:rPr>
      </w:pPr>
      <w:r w:rsidRPr="00AF6ACD">
        <w:rPr>
          <w:rFonts w:ascii="Times New Roman" w:hAnsi="Times New Roman" w:cs="Times New Roman"/>
          <w:szCs w:val="24"/>
          <w:u w:val="single"/>
          <w:lang w:eastAsia="en-GB"/>
        </w:rPr>
        <w:t xml:space="preserve">Changes to the SSI as a result of the consultation </w:t>
      </w:r>
    </w:p>
    <w:p w14:paraId="00D018BE"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4A51DFB4"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As a result of the feedback from the consultation some minor changes were made to the regulations to clarify them. One addition was also included. Regulation 7 is concerned with who the care home provider has to notify if a decision to suspend visiting is taken. A duty </w:t>
      </w:r>
      <w:r w:rsidRPr="00AF6ACD">
        <w:rPr>
          <w:rFonts w:ascii="Times New Roman" w:hAnsi="Times New Roman" w:cs="Times New Roman"/>
          <w:szCs w:val="24"/>
        </w:rPr>
        <w:t xml:space="preserve">to notify an affected resident, or where appropriate their representative, and their ECS(s), was included. This is in addition to the duties to notify the Care Inspectorate and the chief social work officer of the local authority in whose area the care home is located of </w:t>
      </w:r>
      <w:r w:rsidRPr="00AF6ACD">
        <w:rPr>
          <w:rFonts w:ascii="Times New Roman" w:hAnsi="Times New Roman" w:cs="Times New Roman"/>
          <w:szCs w:val="24"/>
          <w:lang w:eastAsia="en-GB"/>
        </w:rPr>
        <w:t>a decision to suspend visiting</w:t>
      </w:r>
      <w:r w:rsidRPr="00AF6ACD">
        <w:rPr>
          <w:rFonts w:ascii="Times New Roman" w:hAnsi="Times New Roman" w:cs="Times New Roman"/>
          <w:szCs w:val="24"/>
        </w:rPr>
        <w:t>, as soon as it is practicable to do so.</w:t>
      </w:r>
      <w:r w:rsidRPr="00AF6ACD">
        <w:rPr>
          <w:rFonts w:ascii="Times New Roman" w:hAnsi="Times New Roman" w:cs="Times New Roman"/>
          <w:szCs w:val="24"/>
        </w:rPr>
        <w:tab/>
      </w:r>
    </w:p>
    <w:p w14:paraId="41FFDC73"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0FB907D7"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u w:val="single"/>
        </w:rPr>
        <w:t xml:space="preserve">Practical Application </w:t>
      </w:r>
    </w:p>
    <w:p w14:paraId="486E7156"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lang w:eastAsia="en-GB"/>
        </w:rPr>
      </w:pPr>
    </w:p>
    <w:p w14:paraId="4FFECCDA"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The feedback from the consultation focusing on how the duties should be applied day-to-day is supporting the Scottish Government to develop an associated code of practice which will support the delivery of the regulations.</w:t>
      </w:r>
    </w:p>
    <w:p w14:paraId="7D05B483"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5EEB0651" w14:textId="77777777" w:rsidR="00BC24C9" w:rsidRPr="00AF6ACD" w:rsidRDefault="00BC24C9" w:rsidP="00BC24C9">
      <w:pPr>
        <w:shd w:val="clear" w:color="auto" w:fill="FFFFFF"/>
        <w:tabs>
          <w:tab w:val="left" w:pos="720"/>
        </w:tabs>
        <w:textAlignment w:val="top"/>
        <w:rPr>
          <w:rFonts w:ascii="Times New Roman" w:hAnsi="Times New Roman" w:cs="Times New Roman"/>
          <w:szCs w:val="24"/>
          <w:u w:val="single"/>
          <w:lang w:eastAsia="en-GB"/>
        </w:rPr>
      </w:pPr>
      <w:r w:rsidRPr="00AF6ACD">
        <w:rPr>
          <w:rFonts w:ascii="Times New Roman" w:hAnsi="Times New Roman" w:cs="Times New Roman"/>
          <w:szCs w:val="24"/>
          <w:u w:val="single"/>
          <w:lang w:eastAsia="en-GB"/>
        </w:rPr>
        <w:t xml:space="preserve">Consultation Report </w:t>
      </w:r>
    </w:p>
    <w:p w14:paraId="795E2DA9"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2D0A9D3D"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The full consultation report is published on the Scottish Government website. </w:t>
      </w:r>
    </w:p>
    <w:p w14:paraId="0B3EF5EB"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20E8F05F" w14:textId="77777777" w:rsidR="00BC24C9" w:rsidRPr="00AF6ACD" w:rsidRDefault="00BC24C9" w:rsidP="00BC24C9">
      <w:pPr>
        <w:shd w:val="clear" w:color="auto" w:fill="FFFFFF"/>
        <w:tabs>
          <w:tab w:val="left" w:pos="720"/>
        </w:tabs>
        <w:textAlignment w:val="top"/>
        <w:rPr>
          <w:rFonts w:ascii="Times New Roman" w:hAnsi="Times New Roman" w:cs="Times New Roman"/>
          <w:b/>
          <w:szCs w:val="24"/>
          <w:lang w:eastAsia="en-GB"/>
        </w:rPr>
      </w:pPr>
      <w:r w:rsidRPr="00AF6ACD">
        <w:rPr>
          <w:rFonts w:ascii="Times New Roman" w:hAnsi="Times New Roman" w:cs="Times New Roman"/>
          <w:b/>
          <w:szCs w:val="24"/>
          <w:lang w:eastAsia="en-GB"/>
        </w:rPr>
        <w:t>Impact Assessments</w:t>
      </w:r>
    </w:p>
    <w:p w14:paraId="235A3592" w14:textId="77777777" w:rsidR="00BC24C9" w:rsidRPr="00AF6ACD" w:rsidRDefault="00BC24C9" w:rsidP="00BC24C9">
      <w:pPr>
        <w:shd w:val="clear" w:color="auto" w:fill="FFFFFF"/>
        <w:tabs>
          <w:tab w:val="left" w:pos="720"/>
        </w:tabs>
        <w:textAlignment w:val="top"/>
        <w:rPr>
          <w:rFonts w:ascii="Times New Roman" w:hAnsi="Times New Roman" w:cs="Times New Roman"/>
          <w:b/>
          <w:szCs w:val="24"/>
          <w:lang w:eastAsia="en-GB"/>
        </w:rPr>
      </w:pPr>
    </w:p>
    <w:p w14:paraId="56C5D956" w14:textId="77777777" w:rsidR="00BC24C9" w:rsidRPr="00AF6ACD" w:rsidRDefault="00BC24C9" w:rsidP="00BC24C9">
      <w:pPr>
        <w:shd w:val="clear" w:color="auto" w:fill="FFFFFF" w:themeFill="background1"/>
        <w:tabs>
          <w:tab w:val="left" w:pos="720"/>
        </w:tabs>
        <w:rPr>
          <w:rFonts w:ascii="Times New Roman" w:hAnsi="Times New Roman" w:cs="Times New Roman"/>
          <w:szCs w:val="24"/>
        </w:rPr>
      </w:pPr>
      <w:r w:rsidRPr="00AF6ACD">
        <w:rPr>
          <w:rFonts w:ascii="Times New Roman" w:hAnsi="Times New Roman" w:cs="Times New Roman"/>
          <w:szCs w:val="24"/>
          <w:lang w:eastAsia="en-GB"/>
        </w:rPr>
        <w:t>The following impacts assessments have been completed on The Care Home Services (Visits to and by Care Home Residents) (Scotland) Regulations 2026 and are attached:</w:t>
      </w:r>
    </w:p>
    <w:p w14:paraId="7F2F9407" w14:textId="77777777" w:rsidR="00BC24C9" w:rsidRPr="00AF6ACD" w:rsidRDefault="00BC24C9" w:rsidP="00BC24C9">
      <w:pPr>
        <w:shd w:val="clear" w:color="auto" w:fill="FFFFFF" w:themeFill="background1"/>
        <w:tabs>
          <w:tab w:val="left" w:pos="720"/>
        </w:tabs>
        <w:rPr>
          <w:rFonts w:ascii="Times New Roman" w:hAnsi="Times New Roman" w:cs="Times New Roman"/>
          <w:szCs w:val="24"/>
          <w:lang w:eastAsia="en-GB"/>
        </w:rPr>
      </w:pPr>
    </w:p>
    <w:p w14:paraId="5F4EBDF0" w14:textId="77777777" w:rsidR="00BC24C9" w:rsidRPr="00AF6ACD" w:rsidRDefault="00BC24C9" w:rsidP="00BC24C9">
      <w:pPr>
        <w:pStyle w:val="ListParagraph"/>
        <w:numPr>
          <w:ilvl w:val="0"/>
          <w:numId w:val="8"/>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Equality Impact Assessment</w:t>
      </w:r>
    </w:p>
    <w:p w14:paraId="6AD98184" w14:textId="77777777" w:rsidR="00BC24C9" w:rsidRPr="00AF6ACD" w:rsidRDefault="00BC24C9" w:rsidP="00BC24C9">
      <w:pPr>
        <w:pStyle w:val="ListParagraph"/>
        <w:numPr>
          <w:ilvl w:val="0"/>
          <w:numId w:val="8"/>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Business and Regulatory Impact Assessment</w:t>
      </w:r>
    </w:p>
    <w:p w14:paraId="354AA349" w14:textId="77777777" w:rsidR="00BC24C9" w:rsidRPr="00AF6ACD" w:rsidRDefault="00BC24C9" w:rsidP="00BC24C9">
      <w:pPr>
        <w:pStyle w:val="ListParagraph"/>
        <w:numPr>
          <w:ilvl w:val="0"/>
          <w:numId w:val="8"/>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Child Rights and Wellbeing Impact Assessment</w:t>
      </w:r>
    </w:p>
    <w:p w14:paraId="0B66E497" w14:textId="77777777" w:rsidR="00BC24C9" w:rsidRPr="00AF6ACD" w:rsidRDefault="00BC24C9" w:rsidP="00BC24C9">
      <w:pPr>
        <w:pStyle w:val="ListParagraph"/>
        <w:numPr>
          <w:ilvl w:val="0"/>
          <w:numId w:val="8"/>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Data Protection Impact Assessment (following consultation with the ICO)</w:t>
      </w:r>
    </w:p>
    <w:p w14:paraId="055C29C2" w14:textId="77777777" w:rsidR="00BC24C9" w:rsidRPr="00AF6ACD" w:rsidRDefault="00BC24C9" w:rsidP="00BC24C9">
      <w:pPr>
        <w:pStyle w:val="ListParagraph"/>
        <w:numPr>
          <w:ilvl w:val="0"/>
          <w:numId w:val="8"/>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Island Communities Impact Assessment</w:t>
      </w:r>
    </w:p>
    <w:p w14:paraId="3BBAB418" w14:textId="77777777" w:rsidR="00BC24C9" w:rsidRPr="00AF6ACD" w:rsidRDefault="00BC24C9" w:rsidP="00BC24C9">
      <w:pPr>
        <w:shd w:val="clear" w:color="auto" w:fill="FFFFFF" w:themeFill="background1"/>
        <w:tabs>
          <w:tab w:val="left" w:pos="720"/>
        </w:tabs>
        <w:rPr>
          <w:rFonts w:ascii="Times New Roman" w:hAnsi="Times New Roman" w:cs="Times New Roman"/>
          <w:szCs w:val="24"/>
          <w:lang w:eastAsia="en-GB"/>
        </w:rPr>
      </w:pPr>
    </w:p>
    <w:p w14:paraId="049BD48A" w14:textId="77777777" w:rsidR="00BC24C9" w:rsidRPr="00AF6ACD" w:rsidRDefault="00BC24C9" w:rsidP="00BC24C9">
      <w:pPr>
        <w:shd w:val="clear" w:color="auto" w:fill="FFFFFF" w:themeFill="background1"/>
        <w:tabs>
          <w:tab w:val="left" w:pos="720"/>
        </w:tabs>
        <w:rPr>
          <w:rFonts w:ascii="Times New Roman" w:hAnsi="Times New Roman" w:cs="Times New Roman"/>
          <w:szCs w:val="24"/>
        </w:rPr>
      </w:pPr>
      <w:r w:rsidRPr="00AF6ACD">
        <w:rPr>
          <w:rFonts w:ascii="Times New Roman" w:hAnsi="Times New Roman" w:cs="Times New Roman"/>
          <w:szCs w:val="24"/>
          <w:lang w:eastAsia="en-GB"/>
        </w:rPr>
        <w:t>No significant impact issues were identified. Mitigations were identified for any potential concerns.</w:t>
      </w:r>
    </w:p>
    <w:p w14:paraId="6935611C" w14:textId="77777777" w:rsidR="00BC24C9" w:rsidRPr="00AF6ACD" w:rsidRDefault="00BC24C9" w:rsidP="00BC24C9">
      <w:pPr>
        <w:shd w:val="clear" w:color="auto" w:fill="FFFFFF" w:themeFill="background1"/>
        <w:tabs>
          <w:tab w:val="left" w:pos="720"/>
        </w:tabs>
        <w:rPr>
          <w:rFonts w:ascii="Times New Roman" w:hAnsi="Times New Roman" w:cs="Times New Roman"/>
          <w:szCs w:val="24"/>
          <w:lang w:eastAsia="en-GB"/>
        </w:rPr>
      </w:pPr>
    </w:p>
    <w:p w14:paraId="3FDB6B1B" w14:textId="77777777" w:rsidR="00BC24C9" w:rsidRPr="00AF6ACD" w:rsidRDefault="00BC24C9" w:rsidP="00BC24C9">
      <w:pPr>
        <w:shd w:val="clear" w:color="auto" w:fill="FFFFFF" w:themeFill="background1"/>
        <w:tabs>
          <w:tab w:val="left" w:pos="720"/>
        </w:tabs>
        <w:rPr>
          <w:rFonts w:ascii="Times New Roman" w:hAnsi="Times New Roman" w:cs="Times New Roman"/>
          <w:szCs w:val="24"/>
        </w:rPr>
      </w:pPr>
      <w:r w:rsidRPr="00AF6ACD">
        <w:rPr>
          <w:rFonts w:ascii="Times New Roman" w:hAnsi="Times New Roman" w:cs="Times New Roman"/>
          <w:szCs w:val="24"/>
          <w:lang w:eastAsia="en-GB"/>
        </w:rPr>
        <w:t>The following assessments were not completed:</w:t>
      </w:r>
    </w:p>
    <w:p w14:paraId="5FA8AEEB" w14:textId="77777777" w:rsidR="00BC24C9" w:rsidRPr="00AF6ACD" w:rsidRDefault="00BC24C9" w:rsidP="00BC24C9">
      <w:pPr>
        <w:shd w:val="clear" w:color="auto" w:fill="FFFFFF" w:themeFill="background1"/>
        <w:tabs>
          <w:tab w:val="left" w:pos="720"/>
        </w:tabs>
        <w:rPr>
          <w:rFonts w:ascii="Times New Roman" w:hAnsi="Times New Roman" w:cs="Times New Roman"/>
          <w:szCs w:val="24"/>
          <w:lang w:eastAsia="en-GB"/>
        </w:rPr>
      </w:pPr>
    </w:p>
    <w:p w14:paraId="654B4B7B" w14:textId="77777777" w:rsidR="00BC24C9" w:rsidRPr="00AF6ACD" w:rsidRDefault="00BC24C9" w:rsidP="00BC24C9">
      <w:pPr>
        <w:pStyle w:val="ListParagraph"/>
        <w:numPr>
          <w:ilvl w:val="0"/>
          <w:numId w:val="7"/>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Strategic Environmental Assessment. It was deemed that this policy does not have significant positive or negative environmental effects.</w:t>
      </w:r>
    </w:p>
    <w:p w14:paraId="149B8CEC" w14:textId="77777777" w:rsidR="00BC24C9" w:rsidRPr="00AF6ACD" w:rsidRDefault="00BC24C9" w:rsidP="00BC24C9">
      <w:pPr>
        <w:pStyle w:val="ListParagraph"/>
        <w:numPr>
          <w:ilvl w:val="0"/>
          <w:numId w:val="7"/>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Fairer Scotland Duty Assessment. As this policy is not of a strategic nature, this assessment does not apply.</w:t>
      </w:r>
    </w:p>
    <w:p w14:paraId="2E79E80B" w14:textId="77777777" w:rsidR="00BC24C9" w:rsidRPr="00AF6ACD" w:rsidRDefault="00BC24C9" w:rsidP="00BC24C9">
      <w:pPr>
        <w:pStyle w:val="ListParagraph"/>
        <w:numPr>
          <w:ilvl w:val="0"/>
          <w:numId w:val="7"/>
        </w:numPr>
        <w:shd w:val="clear" w:color="auto" w:fill="FFFFFF" w:themeFill="background1"/>
        <w:tabs>
          <w:tab w:val="left" w:pos="720"/>
        </w:tabs>
        <w:rPr>
          <w:rFonts w:ascii="Times New Roman" w:hAnsi="Times New Roman" w:cs="Times New Roman"/>
          <w:szCs w:val="24"/>
          <w:lang w:eastAsia="en-GB"/>
        </w:rPr>
      </w:pPr>
      <w:r w:rsidRPr="00AF6ACD">
        <w:rPr>
          <w:rFonts w:ascii="Times New Roman" w:hAnsi="Times New Roman" w:cs="Times New Roman"/>
          <w:szCs w:val="24"/>
          <w:lang w:eastAsia="en-GB"/>
        </w:rPr>
        <w:t>Consumer Duty Assessment: As this policy is not of a strategic nature, this assessment does not apply.</w:t>
      </w:r>
    </w:p>
    <w:p w14:paraId="15C7AB37"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28001FD1"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b/>
          <w:szCs w:val="24"/>
          <w:lang w:eastAsia="en-GB"/>
        </w:rPr>
        <w:t xml:space="preserve">Financial Effects </w:t>
      </w:r>
    </w:p>
    <w:p w14:paraId="27D16FAA"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28B5A553"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rPr>
      </w:pPr>
      <w:r w:rsidRPr="00AF6ACD">
        <w:rPr>
          <w:rFonts w:ascii="Times New Roman" w:hAnsi="Times New Roman" w:cs="Times New Roman"/>
          <w:szCs w:val="24"/>
          <w:lang w:eastAsia="en-GB"/>
        </w:rPr>
        <w:t xml:space="preserve">A Business and Regulatory Impact Assessment (BRIA) has been completed and is attached. In terms of impacts, it is expected that there will be some costs for care home providers and those supporting care homes. </w:t>
      </w:r>
    </w:p>
    <w:p w14:paraId="5B942F73" w14:textId="77777777" w:rsidR="00BC24C9" w:rsidRPr="00AF6ACD" w:rsidRDefault="00BC24C9" w:rsidP="00BC24C9">
      <w:pPr>
        <w:shd w:val="clear" w:color="auto" w:fill="FFFFFF" w:themeFill="background1"/>
        <w:tabs>
          <w:tab w:val="left" w:pos="720"/>
        </w:tabs>
        <w:rPr>
          <w:rFonts w:ascii="Times New Roman" w:hAnsi="Times New Roman" w:cs="Times New Roman"/>
          <w:szCs w:val="24"/>
          <w:lang w:eastAsia="en-GB"/>
        </w:rPr>
      </w:pPr>
    </w:p>
    <w:p w14:paraId="5EED47DC" w14:textId="77777777" w:rsidR="00BC24C9" w:rsidRPr="00AF6ACD" w:rsidRDefault="00BC24C9" w:rsidP="00BC24C9">
      <w:pPr>
        <w:shd w:val="clear" w:color="auto" w:fill="FFFFFF" w:themeFill="background1"/>
        <w:tabs>
          <w:tab w:val="left" w:pos="720"/>
        </w:tabs>
        <w:rPr>
          <w:rFonts w:ascii="Times New Roman" w:hAnsi="Times New Roman" w:cs="Times New Roman"/>
          <w:szCs w:val="24"/>
        </w:rPr>
      </w:pPr>
      <w:r w:rsidRPr="00AF6ACD">
        <w:rPr>
          <w:rFonts w:ascii="Times New Roman" w:hAnsi="Times New Roman" w:cs="Times New Roman"/>
          <w:szCs w:val="24"/>
        </w:rPr>
        <w:t>However, it is not expected that costs will impose a significant financial burden on care home providers as much of this is already in place. Since 2021, guidance used by the sector broadly reflects the principles of ‘Anne’s Law’ and care homes have adopted the updated visiting Health and Social Care standards, which require them to facilitate meaningful contact between residents and families and enable residents to name persons who may provide support,  alongside staff,  to promote their health and wellbeing. These measures have prepared providers for the implementation of the regulations and no specific costs have been highlighted by care home providers.</w:t>
      </w:r>
    </w:p>
    <w:p w14:paraId="4FEAB124"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p>
    <w:p w14:paraId="799A9355" w14:textId="77777777" w:rsidR="00BC24C9" w:rsidRPr="00AF6ACD" w:rsidRDefault="00BC24C9" w:rsidP="00BC24C9">
      <w:pPr>
        <w:shd w:val="clear" w:color="auto" w:fill="FFFFFF"/>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Scottish Government</w:t>
      </w:r>
    </w:p>
    <w:p w14:paraId="3A131B3E" w14:textId="77777777" w:rsidR="00BC24C9" w:rsidRPr="00AF6ACD" w:rsidRDefault="00BC24C9" w:rsidP="00BC24C9">
      <w:pPr>
        <w:shd w:val="clear" w:color="auto" w:fill="FFFFFF" w:themeFill="background1"/>
        <w:tabs>
          <w:tab w:val="left" w:pos="720"/>
        </w:tabs>
        <w:textAlignment w:val="top"/>
        <w:rPr>
          <w:rFonts w:ascii="Times New Roman" w:hAnsi="Times New Roman" w:cs="Times New Roman"/>
          <w:szCs w:val="24"/>
          <w:lang w:eastAsia="en-GB"/>
        </w:rPr>
      </w:pPr>
      <w:r w:rsidRPr="00AF6ACD">
        <w:rPr>
          <w:rFonts w:ascii="Times New Roman" w:hAnsi="Times New Roman" w:cs="Times New Roman"/>
          <w:szCs w:val="24"/>
          <w:lang w:eastAsia="en-GB"/>
        </w:rPr>
        <w:t xml:space="preserve">Social Care and National Care Service Development Directorate </w:t>
      </w:r>
    </w:p>
    <w:p w14:paraId="0A08DAA4" w14:textId="77777777" w:rsidR="00BC24C9" w:rsidRPr="00AF6ACD" w:rsidRDefault="00BC24C9" w:rsidP="00BC24C9">
      <w:pPr>
        <w:shd w:val="clear" w:color="auto" w:fill="FFFFFF"/>
        <w:tabs>
          <w:tab w:val="left" w:pos="720"/>
        </w:tabs>
        <w:textAlignment w:val="top"/>
        <w:rPr>
          <w:rFonts w:ascii="Times New Roman" w:hAnsi="Times New Roman" w:cs="Times New Roman"/>
          <w:i/>
          <w:szCs w:val="24"/>
          <w:lang w:eastAsia="en-GB"/>
        </w:rPr>
      </w:pPr>
    </w:p>
    <w:p w14:paraId="6E5D93C6" w14:textId="7C17A098" w:rsidR="00027C27" w:rsidRPr="00AF6ACD" w:rsidRDefault="00AF6ACD" w:rsidP="00AF6ACD">
      <w:pPr>
        <w:shd w:val="clear" w:color="auto" w:fill="FFFFFF" w:themeFill="background1"/>
        <w:tabs>
          <w:tab w:val="left" w:pos="720"/>
        </w:tabs>
        <w:textAlignment w:val="top"/>
        <w:rPr>
          <w:rFonts w:ascii="Times New Roman" w:hAnsi="Times New Roman" w:cs="Times New Roman"/>
          <w:szCs w:val="24"/>
        </w:rPr>
      </w:pPr>
      <w:r>
        <w:rPr>
          <w:rFonts w:ascii="Times New Roman" w:hAnsi="Times New Roman" w:cs="Times New Roman"/>
          <w:i/>
          <w:szCs w:val="24"/>
          <w:lang w:eastAsia="en-GB"/>
        </w:rPr>
        <w:t>J</w:t>
      </w:r>
      <w:r w:rsidR="00BC24C9" w:rsidRPr="00AF6ACD">
        <w:rPr>
          <w:rFonts w:ascii="Times New Roman" w:hAnsi="Times New Roman" w:cs="Times New Roman"/>
          <w:i/>
          <w:szCs w:val="24"/>
          <w:lang w:eastAsia="en-GB"/>
        </w:rPr>
        <w:t>anuary 2026</w:t>
      </w:r>
    </w:p>
    <w:sectPr w:rsidR="00027C27" w:rsidRPr="00AF6ACD" w:rsidSect="00B561C0">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40D3EFA2"/>
    <w:multiLevelType w:val="hybridMultilevel"/>
    <w:tmpl w:val="C1A6ADCA"/>
    <w:lvl w:ilvl="0" w:tplc="D2D26F9E">
      <w:start w:val="1"/>
      <w:numFmt w:val="bullet"/>
      <w:lvlText w:val=""/>
      <w:lvlJc w:val="left"/>
      <w:pPr>
        <w:ind w:left="720" w:hanging="360"/>
      </w:pPr>
      <w:rPr>
        <w:rFonts w:ascii="Symbol" w:hAnsi="Symbol" w:hint="default"/>
      </w:rPr>
    </w:lvl>
    <w:lvl w:ilvl="1" w:tplc="821A8EE6">
      <w:start w:val="1"/>
      <w:numFmt w:val="bullet"/>
      <w:lvlText w:val="o"/>
      <w:lvlJc w:val="left"/>
      <w:pPr>
        <w:ind w:left="1440" w:hanging="360"/>
      </w:pPr>
      <w:rPr>
        <w:rFonts w:ascii="Courier New" w:hAnsi="Courier New" w:hint="default"/>
      </w:rPr>
    </w:lvl>
    <w:lvl w:ilvl="2" w:tplc="7C80AE28">
      <w:start w:val="1"/>
      <w:numFmt w:val="bullet"/>
      <w:lvlText w:val=""/>
      <w:lvlJc w:val="left"/>
      <w:pPr>
        <w:ind w:left="2160" w:hanging="360"/>
      </w:pPr>
      <w:rPr>
        <w:rFonts w:ascii="Wingdings" w:hAnsi="Wingdings" w:hint="default"/>
      </w:rPr>
    </w:lvl>
    <w:lvl w:ilvl="3" w:tplc="DE8EA158">
      <w:start w:val="1"/>
      <w:numFmt w:val="bullet"/>
      <w:lvlText w:val=""/>
      <w:lvlJc w:val="left"/>
      <w:pPr>
        <w:ind w:left="2880" w:hanging="360"/>
      </w:pPr>
      <w:rPr>
        <w:rFonts w:ascii="Symbol" w:hAnsi="Symbol" w:hint="default"/>
      </w:rPr>
    </w:lvl>
    <w:lvl w:ilvl="4" w:tplc="23B66CC8">
      <w:start w:val="1"/>
      <w:numFmt w:val="bullet"/>
      <w:lvlText w:val="o"/>
      <w:lvlJc w:val="left"/>
      <w:pPr>
        <w:ind w:left="3600" w:hanging="360"/>
      </w:pPr>
      <w:rPr>
        <w:rFonts w:ascii="Courier New" w:hAnsi="Courier New" w:hint="default"/>
      </w:rPr>
    </w:lvl>
    <w:lvl w:ilvl="5" w:tplc="8BF2612C">
      <w:start w:val="1"/>
      <w:numFmt w:val="bullet"/>
      <w:lvlText w:val=""/>
      <w:lvlJc w:val="left"/>
      <w:pPr>
        <w:ind w:left="4320" w:hanging="360"/>
      </w:pPr>
      <w:rPr>
        <w:rFonts w:ascii="Wingdings" w:hAnsi="Wingdings" w:hint="default"/>
      </w:rPr>
    </w:lvl>
    <w:lvl w:ilvl="6" w:tplc="572833E6">
      <w:start w:val="1"/>
      <w:numFmt w:val="bullet"/>
      <w:lvlText w:val=""/>
      <w:lvlJc w:val="left"/>
      <w:pPr>
        <w:ind w:left="5040" w:hanging="360"/>
      </w:pPr>
      <w:rPr>
        <w:rFonts w:ascii="Symbol" w:hAnsi="Symbol" w:hint="default"/>
      </w:rPr>
    </w:lvl>
    <w:lvl w:ilvl="7" w:tplc="752A448C">
      <w:start w:val="1"/>
      <w:numFmt w:val="bullet"/>
      <w:lvlText w:val="o"/>
      <w:lvlJc w:val="left"/>
      <w:pPr>
        <w:ind w:left="5760" w:hanging="360"/>
      </w:pPr>
      <w:rPr>
        <w:rFonts w:ascii="Courier New" w:hAnsi="Courier New" w:hint="default"/>
      </w:rPr>
    </w:lvl>
    <w:lvl w:ilvl="8" w:tplc="24AE7DB2">
      <w:start w:val="1"/>
      <w:numFmt w:val="bullet"/>
      <w:lvlText w:val=""/>
      <w:lvlJc w:val="left"/>
      <w:pPr>
        <w:ind w:left="6480" w:hanging="360"/>
      </w:pPr>
      <w:rPr>
        <w:rFonts w:ascii="Wingdings" w:hAnsi="Wingdings" w:hint="default"/>
      </w:rPr>
    </w:lvl>
  </w:abstractNum>
  <w:abstractNum w:abstractNumId="2" w15:restartNumberingAfterBreak="0">
    <w:nsid w:val="4DEDC726"/>
    <w:multiLevelType w:val="hybridMultilevel"/>
    <w:tmpl w:val="8A72AD5E"/>
    <w:lvl w:ilvl="0" w:tplc="925C6764">
      <w:start w:val="1"/>
      <w:numFmt w:val="bullet"/>
      <w:lvlText w:val=""/>
      <w:lvlJc w:val="left"/>
      <w:pPr>
        <w:ind w:left="720" w:hanging="360"/>
      </w:pPr>
      <w:rPr>
        <w:rFonts w:ascii="Symbol" w:hAnsi="Symbol" w:hint="default"/>
      </w:rPr>
    </w:lvl>
    <w:lvl w:ilvl="1" w:tplc="EA30D708">
      <w:start w:val="1"/>
      <w:numFmt w:val="bullet"/>
      <w:lvlText w:val="o"/>
      <w:lvlJc w:val="left"/>
      <w:pPr>
        <w:ind w:left="1440" w:hanging="360"/>
      </w:pPr>
      <w:rPr>
        <w:rFonts w:ascii="Courier New" w:hAnsi="Courier New" w:hint="default"/>
      </w:rPr>
    </w:lvl>
    <w:lvl w:ilvl="2" w:tplc="09EE6AB6">
      <w:start w:val="1"/>
      <w:numFmt w:val="bullet"/>
      <w:lvlText w:val=""/>
      <w:lvlJc w:val="left"/>
      <w:pPr>
        <w:ind w:left="2160" w:hanging="360"/>
      </w:pPr>
      <w:rPr>
        <w:rFonts w:ascii="Wingdings" w:hAnsi="Wingdings" w:hint="default"/>
      </w:rPr>
    </w:lvl>
    <w:lvl w:ilvl="3" w:tplc="4E741664">
      <w:start w:val="1"/>
      <w:numFmt w:val="bullet"/>
      <w:lvlText w:val=""/>
      <w:lvlJc w:val="left"/>
      <w:pPr>
        <w:ind w:left="2880" w:hanging="360"/>
      </w:pPr>
      <w:rPr>
        <w:rFonts w:ascii="Symbol" w:hAnsi="Symbol" w:hint="default"/>
      </w:rPr>
    </w:lvl>
    <w:lvl w:ilvl="4" w:tplc="729E72A0">
      <w:start w:val="1"/>
      <w:numFmt w:val="bullet"/>
      <w:lvlText w:val="o"/>
      <w:lvlJc w:val="left"/>
      <w:pPr>
        <w:ind w:left="3600" w:hanging="360"/>
      </w:pPr>
      <w:rPr>
        <w:rFonts w:ascii="Courier New" w:hAnsi="Courier New" w:hint="default"/>
      </w:rPr>
    </w:lvl>
    <w:lvl w:ilvl="5" w:tplc="E880F358">
      <w:start w:val="1"/>
      <w:numFmt w:val="bullet"/>
      <w:lvlText w:val=""/>
      <w:lvlJc w:val="left"/>
      <w:pPr>
        <w:ind w:left="4320" w:hanging="360"/>
      </w:pPr>
      <w:rPr>
        <w:rFonts w:ascii="Wingdings" w:hAnsi="Wingdings" w:hint="default"/>
      </w:rPr>
    </w:lvl>
    <w:lvl w:ilvl="6" w:tplc="3EC6C3EC">
      <w:start w:val="1"/>
      <w:numFmt w:val="bullet"/>
      <w:lvlText w:val=""/>
      <w:lvlJc w:val="left"/>
      <w:pPr>
        <w:ind w:left="5040" w:hanging="360"/>
      </w:pPr>
      <w:rPr>
        <w:rFonts w:ascii="Symbol" w:hAnsi="Symbol" w:hint="default"/>
      </w:rPr>
    </w:lvl>
    <w:lvl w:ilvl="7" w:tplc="B644F890">
      <w:start w:val="1"/>
      <w:numFmt w:val="bullet"/>
      <w:lvlText w:val="o"/>
      <w:lvlJc w:val="left"/>
      <w:pPr>
        <w:ind w:left="5760" w:hanging="360"/>
      </w:pPr>
      <w:rPr>
        <w:rFonts w:ascii="Courier New" w:hAnsi="Courier New" w:hint="default"/>
      </w:rPr>
    </w:lvl>
    <w:lvl w:ilvl="8" w:tplc="74182D5C">
      <w:start w:val="1"/>
      <w:numFmt w:val="bullet"/>
      <w:lvlText w:val=""/>
      <w:lvlJc w:val="left"/>
      <w:pPr>
        <w:ind w:left="6480" w:hanging="360"/>
      </w:pPr>
      <w:rPr>
        <w:rFonts w:ascii="Wingdings" w:hAnsi="Wingdings" w:hint="default"/>
      </w:rPr>
    </w:lvl>
  </w:abstractNum>
  <w:abstractNum w:abstractNumId="3"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num w:numId="1" w16cid:durableId="944776786">
    <w:abstractNumId w:val="3"/>
  </w:num>
  <w:num w:numId="2" w16cid:durableId="791023082">
    <w:abstractNumId w:val="0"/>
  </w:num>
  <w:num w:numId="3" w16cid:durableId="1910262117">
    <w:abstractNumId w:val="0"/>
  </w:num>
  <w:num w:numId="4" w16cid:durableId="37894624">
    <w:abstractNumId w:val="0"/>
  </w:num>
  <w:num w:numId="5" w16cid:durableId="2046711583">
    <w:abstractNumId w:val="3"/>
  </w:num>
  <w:num w:numId="6" w16cid:durableId="2011911821">
    <w:abstractNumId w:val="0"/>
  </w:num>
  <w:num w:numId="7" w16cid:durableId="1092900185">
    <w:abstractNumId w:val="2"/>
  </w:num>
  <w:num w:numId="8" w16cid:durableId="1260455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C9"/>
    <w:rsid w:val="00027C27"/>
    <w:rsid w:val="000C0CF4"/>
    <w:rsid w:val="00281579"/>
    <w:rsid w:val="00306C61"/>
    <w:rsid w:val="0037582B"/>
    <w:rsid w:val="00776620"/>
    <w:rsid w:val="00857548"/>
    <w:rsid w:val="009B7615"/>
    <w:rsid w:val="00AF6ACD"/>
    <w:rsid w:val="00B51BDC"/>
    <w:rsid w:val="00B561C0"/>
    <w:rsid w:val="00B773CE"/>
    <w:rsid w:val="00BC24C9"/>
    <w:rsid w:val="00C91823"/>
    <w:rsid w:val="00D008AB"/>
    <w:rsid w:val="00D1068A"/>
    <w:rsid w:val="00DD05D4"/>
    <w:rsid w:val="00FA4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4A89"/>
  <w15:chartTrackingRefBased/>
  <w15:docId w15:val="{06CE9451-117F-439C-8D89-AC816963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4C9"/>
    <w:rPr>
      <w:rFonts w:ascii="Arial" w:hAnsi="Arial" w:cs="Arial"/>
      <w:kern w:val="24"/>
      <w:sz w:val="24"/>
      <w:szCs w:val="23"/>
      <w14:ligatures w14:val="none"/>
    </w:rPr>
  </w:style>
  <w:style w:type="paragraph" w:styleId="Heading1">
    <w:name w:val="heading 1"/>
    <w:aliases w:val="Outline1"/>
    <w:basedOn w:val="Normal"/>
    <w:next w:val="Normal"/>
    <w:link w:val="Heading1Char"/>
    <w:qFormat/>
    <w:rsid w:val="00C91823"/>
    <w:pPr>
      <w:numPr>
        <w:numId w:val="6"/>
      </w:numPr>
      <w:outlineLvl w:val="0"/>
    </w:pPr>
  </w:style>
  <w:style w:type="paragraph" w:styleId="Heading2">
    <w:name w:val="heading 2"/>
    <w:aliases w:val="Outline2"/>
    <w:basedOn w:val="Normal"/>
    <w:next w:val="Normal"/>
    <w:link w:val="Heading2Char"/>
    <w:qFormat/>
    <w:rsid w:val="00C91823"/>
    <w:pPr>
      <w:numPr>
        <w:ilvl w:val="1"/>
        <w:numId w:val="6"/>
      </w:numPr>
      <w:outlineLvl w:val="1"/>
    </w:pPr>
  </w:style>
  <w:style w:type="paragraph" w:styleId="Heading3">
    <w:name w:val="heading 3"/>
    <w:aliases w:val="Outline3"/>
    <w:basedOn w:val="Normal"/>
    <w:next w:val="Normal"/>
    <w:link w:val="Heading3Char"/>
    <w:qFormat/>
    <w:rsid w:val="00B773CE"/>
    <w:pPr>
      <w:numPr>
        <w:ilvl w:val="2"/>
        <w:numId w:val="6"/>
      </w:numPr>
      <w:outlineLvl w:val="2"/>
    </w:pPr>
  </w:style>
  <w:style w:type="paragraph" w:styleId="Heading4">
    <w:name w:val="heading 4"/>
    <w:basedOn w:val="Normal"/>
    <w:next w:val="Normal"/>
    <w:link w:val="Heading4Char"/>
    <w:uiPriority w:val="9"/>
    <w:semiHidden/>
    <w:qFormat/>
    <w:rsid w:val="00BC24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24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24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24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24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24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style>
  <w:style w:type="paragraph" w:customStyle="1" w:styleId="Outline5">
    <w:name w:val="Outline5"/>
    <w:basedOn w:val="Normal"/>
    <w:next w:val="Normal"/>
    <w:rsid w:val="00C91823"/>
    <w:pPr>
      <w:ind w:left="720"/>
    </w:pPr>
  </w:style>
  <w:style w:type="paragraph" w:customStyle="1" w:styleId="Outline6">
    <w:name w:val="Outline6"/>
    <w:basedOn w:val="Normal"/>
    <w:next w:val="Normal"/>
    <w:rsid w:val="00C91823"/>
    <w:pPr>
      <w:spacing w:after="240"/>
      <w:ind w:left="2160"/>
    </w:pPr>
  </w:style>
  <w:style w:type="paragraph" w:customStyle="1" w:styleId="Outline7">
    <w:name w:val="Outline7"/>
    <w:basedOn w:val="Normal"/>
    <w:next w:val="Normal"/>
    <w:rsid w:val="00C91823"/>
    <w:pPr>
      <w:spacing w:after="240"/>
      <w:ind w:left="720"/>
    </w:pPr>
  </w:style>
  <w:style w:type="character" w:customStyle="1" w:styleId="Heading4Char">
    <w:name w:val="Heading 4 Char"/>
    <w:basedOn w:val="DefaultParagraphFont"/>
    <w:link w:val="Heading4"/>
    <w:uiPriority w:val="9"/>
    <w:semiHidden/>
    <w:rsid w:val="00BC24C9"/>
    <w:rPr>
      <w:rFonts w:eastAsiaTheme="majorEastAsia" w:cstheme="majorBidi"/>
      <w:i/>
      <w:iCs/>
      <w:color w:val="0F4761" w:themeColor="accent1" w:themeShade="BF"/>
      <w:kern w:val="0"/>
      <w:sz w:val="24"/>
      <w:szCs w:val="20"/>
      <w14:ligatures w14:val="none"/>
    </w:rPr>
  </w:style>
  <w:style w:type="character" w:customStyle="1" w:styleId="Heading5Char">
    <w:name w:val="Heading 5 Char"/>
    <w:basedOn w:val="DefaultParagraphFont"/>
    <w:link w:val="Heading5"/>
    <w:uiPriority w:val="9"/>
    <w:semiHidden/>
    <w:rsid w:val="00BC24C9"/>
    <w:rPr>
      <w:rFonts w:eastAsiaTheme="majorEastAsia" w:cstheme="majorBidi"/>
      <w:color w:val="0F4761" w:themeColor="accent1" w:themeShade="BF"/>
      <w:kern w:val="0"/>
      <w:sz w:val="24"/>
      <w:szCs w:val="20"/>
      <w14:ligatures w14:val="none"/>
    </w:rPr>
  </w:style>
  <w:style w:type="character" w:customStyle="1" w:styleId="Heading6Char">
    <w:name w:val="Heading 6 Char"/>
    <w:basedOn w:val="DefaultParagraphFont"/>
    <w:link w:val="Heading6"/>
    <w:uiPriority w:val="9"/>
    <w:semiHidden/>
    <w:rsid w:val="00BC24C9"/>
    <w:rPr>
      <w:rFonts w:eastAsiaTheme="majorEastAsia" w:cstheme="majorBidi"/>
      <w:i/>
      <w:iCs/>
      <w:color w:val="595959" w:themeColor="text1" w:themeTint="A6"/>
      <w:kern w:val="0"/>
      <w:sz w:val="24"/>
      <w:szCs w:val="20"/>
      <w14:ligatures w14:val="none"/>
    </w:rPr>
  </w:style>
  <w:style w:type="character" w:customStyle="1" w:styleId="Heading7Char">
    <w:name w:val="Heading 7 Char"/>
    <w:basedOn w:val="DefaultParagraphFont"/>
    <w:link w:val="Heading7"/>
    <w:uiPriority w:val="9"/>
    <w:semiHidden/>
    <w:rsid w:val="00BC24C9"/>
    <w:rPr>
      <w:rFonts w:eastAsiaTheme="majorEastAsia" w:cstheme="majorBidi"/>
      <w:color w:val="595959" w:themeColor="text1" w:themeTint="A6"/>
      <w:kern w:val="0"/>
      <w:sz w:val="24"/>
      <w:szCs w:val="20"/>
      <w14:ligatures w14:val="none"/>
    </w:rPr>
  </w:style>
  <w:style w:type="character" w:customStyle="1" w:styleId="Heading8Char">
    <w:name w:val="Heading 8 Char"/>
    <w:basedOn w:val="DefaultParagraphFont"/>
    <w:link w:val="Heading8"/>
    <w:uiPriority w:val="9"/>
    <w:semiHidden/>
    <w:rsid w:val="00BC24C9"/>
    <w:rPr>
      <w:rFonts w:eastAsiaTheme="majorEastAsia" w:cstheme="majorBidi"/>
      <w:i/>
      <w:iCs/>
      <w:color w:val="272727" w:themeColor="text1" w:themeTint="D8"/>
      <w:kern w:val="0"/>
      <w:sz w:val="24"/>
      <w:szCs w:val="20"/>
      <w14:ligatures w14:val="none"/>
    </w:rPr>
  </w:style>
  <w:style w:type="character" w:customStyle="1" w:styleId="Heading9Char">
    <w:name w:val="Heading 9 Char"/>
    <w:basedOn w:val="DefaultParagraphFont"/>
    <w:link w:val="Heading9"/>
    <w:uiPriority w:val="9"/>
    <w:semiHidden/>
    <w:rsid w:val="00BC24C9"/>
    <w:rPr>
      <w:rFonts w:eastAsiaTheme="majorEastAsia" w:cstheme="majorBidi"/>
      <w:color w:val="272727" w:themeColor="text1" w:themeTint="D8"/>
      <w:kern w:val="0"/>
      <w:sz w:val="24"/>
      <w:szCs w:val="20"/>
      <w14:ligatures w14:val="none"/>
    </w:rPr>
  </w:style>
  <w:style w:type="paragraph" w:styleId="Title">
    <w:name w:val="Title"/>
    <w:basedOn w:val="Normal"/>
    <w:next w:val="Normal"/>
    <w:link w:val="TitleChar"/>
    <w:uiPriority w:val="10"/>
    <w:qFormat/>
    <w:rsid w:val="00BC24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C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C24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C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C24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4C9"/>
    <w:rPr>
      <w:rFonts w:ascii="Arial" w:hAnsi="Arial" w:cs="Times New Roman"/>
      <w:i/>
      <w:iCs/>
      <w:color w:val="404040" w:themeColor="text1" w:themeTint="BF"/>
      <w:kern w:val="0"/>
      <w:sz w:val="24"/>
      <w:szCs w:val="20"/>
      <w14:ligatures w14:val="none"/>
    </w:rPr>
  </w:style>
  <w:style w:type="paragraph" w:styleId="ListParagraph">
    <w:name w:val="List Paragraph"/>
    <w:aliases w:val="Recommendatio,Dot pt,No Spacing1,List Paragraph Char Char Char,Indicator Text,Numbered Para 1,List Paragraph1,Bullet 1,Bullet Points,MAIN CONTENT,F5 List Paragraph,List Paragraph2,List Paragraph12,Colorful List - Accent 11,Normal numbered"/>
    <w:basedOn w:val="Normal"/>
    <w:link w:val="ListParagraphChar"/>
    <w:uiPriority w:val="34"/>
    <w:qFormat/>
    <w:rsid w:val="00BC24C9"/>
    <w:pPr>
      <w:ind w:left="720"/>
      <w:contextualSpacing/>
    </w:pPr>
  </w:style>
  <w:style w:type="character" w:styleId="IntenseEmphasis">
    <w:name w:val="Intense Emphasis"/>
    <w:basedOn w:val="DefaultParagraphFont"/>
    <w:uiPriority w:val="21"/>
    <w:qFormat/>
    <w:rsid w:val="00BC24C9"/>
    <w:rPr>
      <w:i/>
      <w:iCs/>
      <w:color w:val="0F4761" w:themeColor="accent1" w:themeShade="BF"/>
    </w:rPr>
  </w:style>
  <w:style w:type="paragraph" w:styleId="IntenseQuote">
    <w:name w:val="Intense Quote"/>
    <w:basedOn w:val="Normal"/>
    <w:next w:val="Normal"/>
    <w:link w:val="IntenseQuoteChar"/>
    <w:uiPriority w:val="30"/>
    <w:qFormat/>
    <w:rsid w:val="00BC2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4C9"/>
    <w:rPr>
      <w:rFonts w:ascii="Arial" w:hAnsi="Arial" w:cs="Times New Roman"/>
      <w:i/>
      <w:iCs/>
      <w:color w:val="0F4761" w:themeColor="accent1" w:themeShade="BF"/>
      <w:kern w:val="0"/>
      <w:sz w:val="24"/>
      <w:szCs w:val="20"/>
      <w14:ligatures w14:val="none"/>
    </w:rPr>
  </w:style>
  <w:style w:type="character" w:styleId="IntenseReference">
    <w:name w:val="Intense Reference"/>
    <w:basedOn w:val="DefaultParagraphFont"/>
    <w:uiPriority w:val="32"/>
    <w:qFormat/>
    <w:rsid w:val="00BC24C9"/>
    <w:rPr>
      <w:b/>
      <w:bCs/>
      <w:smallCaps/>
      <w:color w:val="0F4761" w:themeColor="accent1" w:themeShade="BF"/>
      <w:spacing w:val="5"/>
    </w:rPr>
  </w:style>
  <w:style w:type="character" w:customStyle="1" w:styleId="ListParagraphChar">
    <w:name w:val="List Paragraph Char"/>
    <w:aliases w:val="Recommendatio Char,Dot pt Char,No Spacing1 Char,List Paragraph Char Char Char Char,Indicator Text Char,Numbered Para 1 Char,List Paragraph1 Char,Bullet 1 Char,Bullet Points Char,MAIN CONTENT Char,F5 List Paragraph Char"/>
    <w:link w:val="ListParagraph"/>
    <w:uiPriority w:val="34"/>
    <w:qFormat/>
    <w:locked/>
    <w:rsid w:val="00BC24C9"/>
    <w:rPr>
      <w:rFonts w:ascii="Arial" w:hAnsi="Arial" w:cs="Times New Roman"/>
      <w:kern w:val="0"/>
      <w:sz w:val="24"/>
      <w:szCs w:val="20"/>
      <w14:ligatures w14:val="none"/>
    </w:rPr>
  </w:style>
  <w:style w:type="table" w:styleId="TableGrid">
    <w:name w:val="Table Grid"/>
    <w:basedOn w:val="TableNormal"/>
    <w:uiPriority w:val="59"/>
    <w:rsid w:val="00BC24C9"/>
    <w:rPr>
      <w:rFonts w:ascii="Arial"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
    <w:name w:val="Pre"/>
    <w:basedOn w:val="Normal"/>
    <w:rsid w:val="00BC24C9"/>
    <w:pPr>
      <w:spacing w:before="360" w:line="220" w:lineRule="atLeast"/>
      <w:jc w:val="both"/>
    </w:pPr>
    <w:rPr>
      <w:rFonts w:ascii="Times New Roman" w:hAnsi="Times New Roman" w:cs="Times New Roman"/>
      <w:kern w:val="0"/>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1400</Words>
  <Characters>7590</Characters>
  <Application>Microsoft Office Word</Application>
  <DocSecurity>4</DocSecurity>
  <Lines>172</Lines>
  <Paragraphs>62</Paragraphs>
  <ScaleCrop>false</ScaleCrop>
  <Company>Scottish Government</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Green</dc:creator>
  <cp:keywords/>
  <dc:description/>
  <cp:lastModifiedBy>Gary Hendrie</cp:lastModifiedBy>
  <cp:revision>2</cp:revision>
  <dcterms:created xsi:type="dcterms:W3CDTF">2026-01-19T08:01:00Z</dcterms:created>
  <dcterms:modified xsi:type="dcterms:W3CDTF">2026-01-19T08:01:00Z</dcterms:modified>
</cp:coreProperties>
</file>