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44819" w14:textId="1E80678E" w:rsidR="004D1FDC" w:rsidRPr="00355362" w:rsidRDefault="004D1FDC" w:rsidP="00355362">
      <w:pPr>
        <w:pStyle w:val="StyleENBilltitleText1"/>
      </w:pPr>
      <w:r w:rsidRPr="00355362">
        <w:t>Worker Protection (Amendment of Equality Act 2010) Act 2023</w:t>
      </w:r>
    </w:p>
    <w:p w14:paraId="511E990F" w14:textId="77777777" w:rsidR="004D1FDC" w:rsidRDefault="004D1FDC" w:rsidP="00355362">
      <w:pPr>
        <w:pStyle w:val="ENnotestitle"/>
        <w:rPr>
          <w:rFonts w:eastAsia="Arial"/>
        </w:rPr>
      </w:pPr>
      <w:r>
        <w:rPr>
          <w:rFonts w:eastAsia="Arial"/>
        </w:rPr>
        <w:t>EXPLANATORY NOTES</w:t>
      </w:r>
    </w:p>
    <w:p w14:paraId="1DE2B436" w14:textId="77777777" w:rsidR="004D1FDC" w:rsidRDefault="004D1FDC" w:rsidP="005B11A4">
      <w:pPr>
        <w:pStyle w:val="ENHeading1Unindexed"/>
        <w:rPr>
          <w:rFonts w:eastAsia="Arial"/>
        </w:rPr>
      </w:pPr>
      <w:r>
        <w:rPr>
          <w:rFonts w:eastAsia="Arial"/>
        </w:rPr>
        <w:t>What these notes do</w:t>
      </w:r>
    </w:p>
    <w:p w14:paraId="1D283457" w14:textId="3F6D0A0E" w:rsidR="004D1FDC" w:rsidRPr="005B11A4" w:rsidRDefault="004D1FDC" w:rsidP="005B11A4">
      <w:pPr>
        <w:pStyle w:val="StyleStyleENIntroTextLatinPalatinoLinotype-RomanBackg"/>
        <w:rPr>
          <w:rStyle w:val="StylePlaceholderTextLatinPalatinoLinotype10ptAuto"/>
          <w:highlight w:val="white"/>
        </w:rPr>
      </w:pPr>
      <w:r w:rsidRPr="005B11A4">
        <w:rPr>
          <w:rStyle w:val="StylePlaceholderTextLatinPalatinoLinotype10ptAuto"/>
          <w:highlight w:val="white"/>
        </w:rPr>
        <w:t>These Explanatory Notes relate to the Worker Protection (Amendment of Equality Act 2010) Act 2023 which received Royal Assent on 26 October 2023 (c</w:t>
      </w:r>
      <w:r w:rsidR="005B11A4">
        <w:rPr>
          <w:rStyle w:val="StylePlaceholderTextLatinPalatinoLinotype10ptAuto"/>
          <w:highlight w:val="white"/>
        </w:rPr>
        <w:t xml:space="preserve">. </w:t>
      </w:r>
      <w:r w:rsidRPr="005B11A4">
        <w:rPr>
          <w:rStyle w:val="StylePlaceholderTextLatinPalatinoLinotype10ptAuto"/>
          <w:highlight w:val="white"/>
        </w:rPr>
        <w:t>5</w:t>
      </w:r>
      <w:r w:rsidR="005B11A4">
        <w:rPr>
          <w:rStyle w:val="StylePlaceholderTextLatinPalatinoLinotype10ptAuto"/>
          <w:highlight w:val="white"/>
        </w:rPr>
        <w:t>1</w:t>
      </w:r>
      <w:r w:rsidRPr="005B11A4">
        <w:rPr>
          <w:rStyle w:val="StylePlaceholderTextLatinPalatinoLinotype10ptAuto"/>
          <w:highlight w:val="white"/>
        </w:rPr>
        <w:t>).</w:t>
      </w:r>
    </w:p>
    <w:p w14:paraId="2A6CB457" w14:textId="77777777" w:rsidR="004D1FDC" w:rsidRPr="005B11A4" w:rsidRDefault="004D1FDC" w:rsidP="005B11A4">
      <w:pPr>
        <w:pStyle w:val="StyleENIntroTextBulletedLatinPalatinoLinotype-Roman"/>
        <w:rPr>
          <w:rFonts w:eastAsia="Arial"/>
          <w:color w:val="auto"/>
          <w:highlight w:val="white"/>
        </w:rPr>
      </w:pPr>
      <w:r w:rsidRPr="005B11A4">
        <w:rPr>
          <w:rFonts w:eastAsia="Arial"/>
          <w:color w:val="auto"/>
          <w:highlight w:val="white"/>
        </w:rPr>
        <w:t xml:space="preserve">These Explanatory Notes have been prepared by the Equality Hub with the consent of </w:t>
      </w:r>
      <w:proofErr w:type="spellStart"/>
      <w:r w:rsidRPr="005B11A4">
        <w:rPr>
          <w:rFonts w:eastAsia="Arial"/>
          <w:color w:val="auto"/>
          <w:highlight w:val="white"/>
        </w:rPr>
        <w:t>Wera</w:t>
      </w:r>
      <w:proofErr w:type="spellEnd"/>
      <w:r w:rsidRPr="005B11A4">
        <w:rPr>
          <w:rFonts w:eastAsia="Arial"/>
          <w:color w:val="auto"/>
          <w:highlight w:val="white"/>
        </w:rPr>
        <w:t xml:space="preserve"> Hobhouse MP, the member who </w:t>
      </w:r>
      <w:proofErr w:type="gramStart"/>
      <w:r w:rsidRPr="005B11A4">
        <w:rPr>
          <w:rFonts w:eastAsia="Arial"/>
          <w:color w:val="auto"/>
          <w:highlight w:val="white"/>
        </w:rPr>
        <w:t>was in charge of</w:t>
      </w:r>
      <w:proofErr w:type="gramEnd"/>
      <w:r w:rsidRPr="005B11A4">
        <w:rPr>
          <w:rFonts w:eastAsia="Arial"/>
          <w:color w:val="auto"/>
          <w:highlight w:val="white"/>
        </w:rPr>
        <w:t xml:space="preserve"> the Bill, in order to assist the reader in understanding the Act. They do not form part of the Act and have not been endorsed by Parliament.</w:t>
      </w:r>
    </w:p>
    <w:p w14:paraId="274F3311" w14:textId="77777777" w:rsidR="004D1FDC" w:rsidRPr="005B11A4" w:rsidRDefault="004D1FDC" w:rsidP="005B11A4">
      <w:pPr>
        <w:pStyle w:val="StyleENIntroTextBulletedLatinPalatinoLinotype-Roman"/>
        <w:rPr>
          <w:rFonts w:eastAsia="Arial" w:cs="Arial"/>
          <w:color w:val="auto"/>
          <w:highlight w:val="white"/>
        </w:rPr>
      </w:pPr>
      <w:r w:rsidRPr="005B11A4">
        <w:rPr>
          <w:rFonts w:eastAsia="Arial" w:cs="Arial"/>
          <w:color w:val="auto"/>
          <w:szCs w:val="20"/>
          <w:highlight w:val="white"/>
        </w:rPr>
        <w:t>These Explanatory Notes explain what each part of the Act will mean in practice; provide background information on the development of policy; and provide additional information on how the Act will affect existing legislation in this area.</w:t>
      </w:r>
    </w:p>
    <w:p w14:paraId="18104D20" w14:textId="0F327E96" w:rsidR="004D1FDC" w:rsidRPr="00913E00" w:rsidRDefault="004D1FDC" w:rsidP="00913E00">
      <w:pPr>
        <w:pStyle w:val="StyleENIntroTextBulletedLatinPalatinoLinotype-Roman"/>
        <w:rPr>
          <w:rFonts w:eastAsia="Arial" w:cs="Arial"/>
          <w:color w:val="auto"/>
          <w:highlight w:val="white"/>
        </w:rPr>
      </w:pPr>
      <w:r w:rsidRPr="005B11A4">
        <w:rPr>
          <w:rFonts w:eastAsia="Arial" w:cs="Arial"/>
          <w:color w:val="auto"/>
          <w:szCs w:val="20"/>
          <w:highlight w:val="white"/>
        </w:rPr>
        <w:t>These Explanatory Notes might best be read alongside the Act. They are not, and are not intended to be, a comprehensive description of the Act.</w:t>
      </w:r>
    </w:p>
    <w:p w14:paraId="243D965B" w14:textId="77777777" w:rsidR="00CE4360" w:rsidRDefault="004D1FDC" w:rsidP="00125969">
      <w:pPr>
        <w:pStyle w:val="ENHeading1Unindexed"/>
        <w:sectPr w:rsidR="00CE4360" w:rsidSect="00125969">
          <w:footerReference w:type="default" r:id="rId9"/>
          <w:footerReference w:type="first" r:id="rId10"/>
          <w:type w:val="continuous"/>
          <w:pgSz w:w="11906" w:h="16838" w:code="9"/>
          <w:pgMar w:top="1134" w:right="1134" w:bottom="1673" w:left="1701" w:header="720" w:footer="720" w:gutter="0"/>
          <w:pgNumType w:start="1"/>
          <w:cols w:space="720"/>
          <w:noEndnote/>
          <w:titlePg/>
          <w:docGrid w:linePitch="299"/>
        </w:sectPr>
      </w:pPr>
      <w:r>
        <w:br w:type="page"/>
      </w:r>
    </w:p>
    <w:p w14:paraId="446B79AD" w14:textId="77777777" w:rsidR="004D1FDC" w:rsidRDefault="004D1FDC" w:rsidP="00125969">
      <w:pPr>
        <w:pStyle w:val="ENHeading1Unindexed"/>
        <w:rPr>
          <w:rFonts w:eastAsia="Arial"/>
        </w:rPr>
      </w:pPr>
      <w:r>
        <w:rPr>
          <w:rFonts w:eastAsia="Arial"/>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4D1FDC" w14:paraId="1CCB785E" w14:textId="77777777" w:rsidTr="00B77909">
        <w:trPr>
          <w:jc w:val="center"/>
        </w:trPr>
        <w:tc>
          <w:tcPr>
            <w:tcW w:w="4643" w:type="dxa"/>
          </w:tcPr>
          <w:p w14:paraId="6A27AC66" w14:textId="77777777" w:rsidR="004D1FDC" w:rsidRPr="00125969" w:rsidRDefault="004D1FDC" w:rsidP="00125969">
            <w:pPr>
              <w:pStyle w:val="StyleTOC1Bold"/>
              <w:jc w:val="left"/>
              <w:rPr>
                <w:rFonts w:ascii="Arial" w:eastAsia="Arial" w:hAnsi="Arial" w:cs="Arial"/>
                <w:b/>
                <w:bCs w:val="0"/>
                <w:color w:val="000000"/>
                <w:szCs w:val="24"/>
              </w:rPr>
            </w:pPr>
            <w:r w:rsidRPr="00125969">
              <w:rPr>
                <w:b/>
              </w:rPr>
              <w:t>Subject</w:t>
            </w:r>
          </w:p>
        </w:tc>
        <w:tc>
          <w:tcPr>
            <w:tcW w:w="4644" w:type="dxa"/>
          </w:tcPr>
          <w:p w14:paraId="0F0DBAFF" w14:textId="77777777" w:rsidR="004D1FDC" w:rsidRPr="00125969" w:rsidRDefault="004D1FDC" w:rsidP="00125969">
            <w:pPr>
              <w:pStyle w:val="StyleTOC1BoldRight"/>
              <w:rPr>
                <w:rFonts w:eastAsia="Arial"/>
                <w:b/>
              </w:rPr>
            </w:pPr>
            <w:r w:rsidRPr="00125969">
              <w:rPr>
                <w:rFonts w:eastAsia="Arial"/>
                <w:b/>
              </w:rPr>
              <w:t>Page of these Notes</w:t>
            </w:r>
          </w:p>
        </w:tc>
      </w:tr>
    </w:tbl>
    <w:p w14:paraId="44D57CAC" w14:textId="77777777" w:rsidR="004D1FDC" w:rsidRDefault="004D1FDC" w:rsidP="004D1FDC">
      <w:pPr>
        <w:widowControl w:val="0"/>
        <w:pBdr>
          <w:top w:val="nil"/>
          <w:left w:val="nil"/>
          <w:bottom w:val="nil"/>
          <w:right w:val="nil"/>
          <w:between w:val="nil"/>
        </w:pBdr>
        <w:spacing w:after="0"/>
        <w:rPr>
          <w:rFonts w:ascii="Arial" w:eastAsia="Arial" w:hAnsi="Arial" w:cs="Arial"/>
          <w:b/>
          <w:color w:val="000000"/>
          <w:sz w:val="24"/>
          <w:szCs w:val="24"/>
        </w:rPr>
      </w:pPr>
    </w:p>
    <w:sdt>
      <w:sdtPr>
        <w:rPr>
          <w:rFonts w:asciiTheme="minorHAnsi" w:hAnsiTheme="minorHAnsi"/>
          <w:b w:val="0"/>
          <w:bCs w:val="0"/>
          <w:sz w:val="22"/>
          <w:szCs w:val="22"/>
        </w:rPr>
        <w:id w:val="43185363"/>
        <w:docPartObj>
          <w:docPartGallery w:val="Table of Contents"/>
          <w:docPartUnique/>
        </w:docPartObj>
      </w:sdtPr>
      <w:sdtEndPr/>
      <w:sdtContent>
        <w:p w14:paraId="6CAD4C3E" w14:textId="7E3907F3" w:rsidR="001D3EF9" w:rsidRDefault="004D1FDC">
          <w:pPr>
            <w:pStyle w:val="TOC1"/>
            <w:rPr>
              <w:rFonts w:asciiTheme="minorHAnsi" w:hAnsiTheme="minorHAnsi" w:cstheme="minorBidi"/>
              <w:b w:val="0"/>
              <w:bCs w:val="0"/>
              <w:noProof/>
              <w:sz w:val="22"/>
              <w:szCs w:val="22"/>
              <w:lang w:eastAsia="en-GB"/>
            </w:rPr>
          </w:pPr>
          <w:r>
            <w:fldChar w:fldCharType="begin"/>
          </w:r>
          <w:r>
            <w:instrText xml:space="preserve"> TOC \h \u \z \t "Heading 1,1,Heading 2,2,Heading 3,3,Heading 4,4,Heading 5,5,Heading 6,6,"</w:instrText>
          </w:r>
          <w:r>
            <w:fldChar w:fldCharType="separate"/>
          </w:r>
          <w:hyperlink w:anchor="_Toc151368683" w:history="1">
            <w:r w:rsidR="001D3EF9" w:rsidRPr="00971431">
              <w:rPr>
                <w:rStyle w:val="Hyperlink"/>
                <w:noProof/>
              </w:rPr>
              <w:t>Overview of the Act</w:t>
            </w:r>
            <w:r w:rsidR="001D3EF9">
              <w:rPr>
                <w:noProof/>
                <w:webHidden/>
              </w:rPr>
              <w:tab/>
            </w:r>
            <w:r w:rsidR="001D3EF9">
              <w:rPr>
                <w:noProof/>
                <w:webHidden/>
              </w:rPr>
              <w:fldChar w:fldCharType="begin"/>
            </w:r>
            <w:r w:rsidR="001D3EF9">
              <w:rPr>
                <w:noProof/>
                <w:webHidden/>
              </w:rPr>
              <w:instrText xml:space="preserve"> PAGEREF _Toc151368683 \h </w:instrText>
            </w:r>
            <w:r w:rsidR="001D3EF9">
              <w:rPr>
                <w:noProof/>
                <w:webHidden/>
              </w:rPr>
            </w:r>
            <w:r w:rsidR="001D3EF9">
              <w:rPr>
                <w:noProof/>
                <w:webHidden/>
              </w:rPr>
              <w:fldChar w:fldCharType="separate"/>
            </w:r>
            <w:r w:rsidR="00CE4360">
              <w:rPr>
                <w:noProof/>
                <w:webHidden/>
              </w:rPr>
              <w:t>3</w:t>
            </w:r>
            <w:r w:rsidR="001D3EF9">
              <w:rPr>
                <w:noProof/>
                <w:webHidden/>
              </w:rPr>
              <w:fldChar w:fldCharType="end"/>
            </w:r>
          </w:hyperlink>
        </w:p>
        <w:p w14:paraId="4F52D6FD" w14:textId="3C15672E" w:rsidR="001D3EF9" w:rsidRDefault="004D1FFA">
          <w:pPr>
            <w:pStyle w:val="TOC1"/>
            <w:rPr>
              <w:rFonts w:asciiTheme="minorHAnsi" w:hAnsiTheme="minorHAnsi" w:cstheme="minorBidi"/>
              <w:b w:val="0"/>
              <w:bCs w:val="0"/>
              <w:noProof/>
              <w:sz w:val="22"/>
              <w:szCs w:val="22"/>
              <w:lang w:eastAsia="en-GB"/>
            </w:rPr>
          </w:pPr>
          <w:hyperlink w:anchor="_Toc151368684" w:history="1">
            <w:r w:rsidR="001D3EF9" w:rsidRPr="00971431">
              <w:rPr>
                <w:rStyle w:val="Hyperlink"/>
                <w:noProof/>
              </w:rPr>
              <w:t>Policy background</w:t>
            </w:r>
            <w:r w:rsidR="001D3EF9">
              <w:rPr>
                <w:noProof/>
                <w:webHidden/>
              </w:rPr>
              <w:tab/>
            </w:r>
            <w:r w:rsidR="001D3EF9">
              <w:rPr>
                <w:noProof/>
                <w:webHidden/>
              </w:rPr>
              <w:fldChar w:fldCharType="begin"/>
            </w:r>
            <w:r w:rsidR="001D3EF9">
              <w:rPr>
                <w:noProof/>
                <w:webHidden/>
              </w:rPr>
              <w:instrText xml:space="preserve"> PAGEREF _Toc151368684 \h </w:instrText>
            </w:r>
            <w:r w:rsidR="001D3EF9">
              <w:rPr>
                <w:noProof/>
                <w:webHidden/>
              </w:rPr>
            </w:r>
            <w:r w:rsidR="001D3EF9">
              <w:rPr>
                <w:noProof/>
                <w:webHidden/>
              </w:rPr>
              <w:fldChar w:fldCharType="separate"/>
            </w:r>
            <w:r w:rsidR="00CE4360">
              <w:rPr>
                <w:noProof/>
                <w:webHidden/>
              </w:rPr>
              <w:t>3</w:t>
            </w:r>
            <w:r w:rsidR="001D3EF9">
              <w:rPr>
                <w:noProof/>
                <w:webHidden/>
              </w:rPr>
              <w:fldChar w:fldCharType="end"/>
            </w:r>
          </w:hyperlink>
        </w:p>
        <w:p w14:paraId="380E9A7A" w14:textId="72C99B05" w:rsidR="001D3EF9" w:rsidRDefault="004D1FFA">
          <w:pPr>
            <w:pStyle w:val="TOC1"/>
            <w:rPr>
              <w:rFonts w:asciiTheme="minorHAnsi" w:hAnsiTheme="minorHAnsi" w:cstheme="minorBidi"/>
              <w:b w:val="0"/>
              <w:bCs w:val="0"/>
              <w:noProof/>
              <w:sz w:val="22"/>
              <w:szCs w:val="22"/>
              <w:lang w:eastAsia="en-GB"/>
            </w:rPr>
          </w:pPr>
          <w:hyperlink w:anchor="_Toc151368685" w:history="1">
            <w:r w:rsidR="001D3EF9" w:rsidRPr="00971431">
              <w:rPr>
                <w:rStyle w:val="Hyperlink"/>
                <w:noProof/>
              </w:rPr>
              <w:t>Legal background</w:t>
            </w:r>
            <w:r w:rsidR="001D3EF9">
              <w:rPr>
                <w:noProof/>
                <w:webHidden/>
              </w:rPr>
              <w:tab/>
            </w:r>
            <w:r w:rsidR="001D3EF9">
              <w:rPr>
                <w:noProof/>
                <w:webHidden/>
              </w:rPr>
              <w:fldChar w:fldCharType="begin"/>
            </w:r>
            <w:r w:rsidR="001D3EF9">
              <w:rPr>
                <w:noProof/>
                <w:webHidden/>
              </w:rPr>
              <w:instrText xml:space="preserve"> PAGEREF _Toc151368685 \h </w:instrText>
            </w:r>
            <w:r w:rsidR="001D3EF9">
              <w:rPr>
                <w:noProof/>
                <w:webHidden/>
              </w:rPr>
            </w:r>
            <w:r w:rsidR="001D3EF9">
              <w:rPr>
                <w:noProof/>
                <w:webHidden/>
              </w:rPr>
              <w:fldChar w:fldCharType="separate"/>
            </w:r>
            <w:r w:rsidR="00CE4360">
              <w:rPr>
                <w:noProof/>
                <w:webHidden/>
              </w:rPr>
              <w:t>3</w:t>
            </w:r>
            <w:r w:rsidR="001D3EF9">
              <w:rPr>
                <w:noProof/>
                <w:webHidden/>
              </w:rPr>
              <w:fldChar w:fldCharType="end"/>
            </w:r>
          </w:hyperlink>
        </w:p>
        <w:p w14:paraId="234909BF" w14:textId="6C277417" w:rsidR="001D3EF9" w:rsidRDefault="004D1FFA">
          <w:pPr>
            <w:pStyle w:val="TOC1"/>
            <w:rPr>
              <w:rFonts w:asciiTheme="minorHAnsi" w:hAnsiTheme="minorHAnsi" w:cstheme="minorBidi"/>
              <w:b w:val="0"/>
              <w:bCs w:val="0"/>
              <w:noProof/>
              <w:sz w:val="22"/>
              <w:szCs w:val="22"/>
              <w:lang w:eastAsia="en-GB"/>
            </w:rPr>
          </w:pPr>
          <w:hyperlink w:anchor="_Toc151368686" w:history="1">
            <w:r w:rsidR="001D3EF9" w:rsidRPr="00971431">
              <w:rPr>
                <w:rStyle w:val="Hyperlink"/>
                <w:noProof/>
              </w:rPr>
              <w:t>Territorial extent and application</w:t>
            </w:r>
            <w:r w:rsidR="001D3EF9">
              <w:rPr>
                <w:noProof/>
                <w:webHidden/>
              </w:rPr>
              <w:tab/>
            </w:r>
            <w:r w:rsidR="001D3EF9">
              <w:rPr>
                <w:noProof/>
                <w:webHidden/>
              </w:rPr>
              <w:fldChar w:fldCharType="begin"/>
            </w:r>
            <w:r w:rsidR="001D3EF9">
              <w:rPr>
                <w:noProof/>
                <w:webHidden/>
              </w:rPr>
              <w:instrText xml:space="preserve"> PAGEREF _Toc151368686 \h </w:instrText>
            </w:r>
            <w:r w:rsidR="001D3EF9">
              <w:rPr>
                <w:noProof/>
                <w:webHidden/>
              </w:rPr>
            </w:r>
            <w:r w:rsidR="001D3EF9">
              <w:rPr>
                <w:noProof/>
                <w:webHidden/>
              </w:rPr>
              <w:fldChar w:fldCharType="separate"/>
            </w:r>
            <w:r w:rsidR="00CE4360">
              <w:rPr>
                <w:noProof/>
                <w:webHidden/>
              </w:rPr>
              <w:t>4</w:t>
            </w:r>
            <w:r w:rsidR="001D3EF9">
              <w:rPr>
                <w:noProof/>
                <w:webHidden/>
              </w:rPr>
              <w:fldChar w:fldCharType="end"/>
            </w:r>
          </w:hyperlink>
        </w:p>
        <w:p w14:paraId="4407AC8B" w14:textId="02741DF7" w:rsidR="001D3EF9" w:rsidRDefault="004D1FFA">
          <w:pPr>
            <w:pStyle w:val="TOC1"/>
            <w:rPr>
              <w:rFonts w:asciiTheme="minorHAnsi" w:hAnsiTheme="minorHAnsi" w:cstheme="minorBidi"/>
              <w:b w:val="0"/>
              <w:bCs w:val="0"/>
              <w:noProof/>
              <w:sz w:val="22"/>
              <w:szCs w:val="22"/>
              <w:lang w:eastAsia="en-GB"/>
            </w:rPr>
          </w:pPr>
          <w:hyperlink w:anchor="_Toc151368687" w:history="1">
            <w:r w:rsidR="001D3EF9" w:rsidRPr="00971431">
              <w:rPr>
                <w:rStyle w:val="Hyperlink"/>
                <w:noProof/>
              </w:rPr>
              <w:t>Commentary on provisions of Act</w:t>
            </w:r>
            <w:r w:rsidR="001D3EF9">
              <w:rPr>
                <w:noProof/>
                <w:webHidden/>
              </w:rPr>
              <w:tab/>
            </w:r>
            <w:r w:rsidR="001D3EF9">
              <w:rPr>
                <w:noProof/>
                <w:webHidden/>
              </w:rPr>
              <w:fldChar w:fldCharType="begin"/>
            </w:r>
            <w:r w:rsidR="001D3EF9">
              <w:rPr>
                <w:noProof/>
                <w:webHidden/>
              </w:rPr>
              <w:instrText xml:space="preserve"> PAGEREF _Toc151368687 \h </w:instrText>
            </w:r>
            <w:r w:rsidR="001D3EF9">
              <w:rPr>
                <w:noProof/>
                <w:webHidden/>
              </w:rPr>
            </w:r>
            <w:r w:rsidR="001D3EF9">
              <w:rPr>
                <w:noProof/>
                <w:webHidden/>
              </w:rPr>
              <w:fldChar w:fldCharType="separate"/>
            </w:r>
            <w:r w:rsidR="00CE4360">
              <w:rPr>
                <w:noProof/>
                <w:webHidden/>
              </w:rPr>
              <w:t>4</w:t>
            </w:r>
            <w:r w:rsidR="001D3EF9">
              <w:rPr>
                <w:noProof/>
                <w:webHidden/>
              </w:rPr>
              <w:fldChar w:fldCharType="end"/>
            </w:r>
          </w:hyperlink>
        </w:p>
        <w:p w14:paraId="75732743" w14:textId="54626101" w:rsidR="001D3EF9" w:rsidRDefault="004D1FFA">
          <w:pPr>
            <w:pStyle w:val="TOC1"/>
            <w:rPr>
              <w:rFonts w:asciiTheme="minorHAnsi" w:hAnsiTheme="minorHAnsi" w:cstheme="minorBidi"/>
              <w:b w:val="0"/>
              <w:bCs w:val="0"/>
              <w:noProof/>
              <w:sz w:val="22"/>
              <w:szCs w:val="22"/>
              <w:lang w:eastAsia="en-GB"/>
            </w:rPr>
          </w:pPr>
          <w:hyperlink w:anchor="_Toc151368688" w:history="1">
            <w:r w:rsidR="001D3EF9" w:rsidRPr="00971431">
              <w:rPr>
                <w:rStyle w:val="Hyperlink"/>
                <w:noProof/>
              </w:rPr>
              <w:t>Commencement</w:t>
            </w:r>
            <w:r w:rsidR="001D3EF9">
              <w:rPr>
                <w:noProof/>
                <w:webHidden/>
              </w:rPr>
              <w:tab/>
            </w:r>
            <w:r w:rsidR="001D3EF9">
              <w:rPr>
                <w:noProof/>
                <w:webHidden/>
              </w:rPr>
              <w:fldChar w:fldCharType="begin"/>
            </w:r>
            <w:r w:rsidR="001D3EF9">
              <w:rPr>
                <w:noProof/>
                <w:webHidden/>
              </w:rPr>
              <w:instrText xml:space="preserve"> PAGEREF _Toc151368688 \h </w:instrText>
            </w:r>
            <w:r w:rsidR="001D3EF9">
              <w:rPr>
                <w:noProof/>
                <w:webHidden/>
              </w:rPr>
            </w:r>
            <w:r w:rsidR="001D3EF9">
              <w:rPr>
                <w:noProof/>
                <w:webHidden/>
              </w:rPr>
              <w:fldChar w:fldCharType="separate"/>
            </w:r>
            <w:r w:rsidR="00CE4360">
              <w:rPr>
                <w:noProof/>
                <w:webHidden/>
              </w:rPr>
              <w:t>6</w:t>
            </w:r>
            <w:r w:rsidR="001D3EF9">
              <w:rPr>
                <w:noProof/>
                <w:webHidden/>
              </w:rPr>
              <w:fldChar w:fldCharType="end"/>
            </w:r>
          </w:hyperlink>
        </w:p>
        <w:p w14:paraId="5DB61C37" w14:textId="7CD688D2" w:rsidR="001D3EF9" w:rsidRDefault="004D1FFA">
          <w:pPr>
            <w:pStyle w:val="TOC1"/>
            <w:rPr>
              <w:rFonts w:asciiTheme="minorHAnsi" w:hAnsiTheme="minorHAnsi" w:cstheme="minorBidi"/>
              <w:b w:val="0"/>
              <w:bCs w:val="0"/>
              <w:noProof/>
              <w:sz w:val="22"/>
              <w:szCs w:val="22"/>
              <w:lang w:eastAsia="en-GB"/>
            </w:rPr>
          </w:pPr>
          <w:hyperlink w:anchor="_Toc151368689" w:history="1">
            <w:r w:rsidR="001D3EF9" w:rsidRPr="00971431">
              <w:rPr>
                <w:rStyle w:val="Hyperlink"/>
                <w:noProof/>
              </w:rPr>
              <w:t>Related documents</w:t>
            </w:r>
            <w:r w:rsidR="001D3EF9">
              <w:rPr>
                <w:noProof/>
                <w:webHidden/>
              </w:rPr>
              <w:tab/>
            </w:r>
            <w:r w:rsidR="001D3EF9">
              <w:rPr>
                <w:noProof/>
                <w:webHidden/>
              </w:rPr>
              <w:fldChar w:fldCharType="begin"/>
            </w:r>
            <w:r w:rsidR="001D3EF9">
              <w:rPr>
                <w:noProof/>
                <w:webHidden/>
              </w:rPr>
              <w:instrText xml:space="preserve"> PAGEREF _Toc151368689 \h </w:instrText>
            </w:r>
            <w:r w:rsidR="001D3EF9">
              <w:rPr>
                <w:noProof/>
                <w:webHidden/>
              </w:rPr>
            </w:r>
            <w:r w:rsidR="001D3EF9">
              <w:rPr>
                <w:noProof/>
                <w:webHidden/>
              </w:rPr>
              <w:fldChar w:fldCharType="separate"/>
            </w:r>
            <w:r w:rsidR="00CE4360">
              <w:rPr>
                <w:noProof/>
                <w:webHidden/>
              </w:rPr>
              <w:t>6</w:t>
            </w:r>
            <w:r w:rsidR="001D3EF9">
              <w:rPr>
                <w:noProof/>
                <w:webHidden/>
              </w:rPr>
              <w:fldChar w:fldCharType="end"/>
            </w:r>
          </w:hyperlink>
        </w:p>
        <w:p w14:paraId="2E6552F5" w14:textId="5BEFE642" w:rsidR="001D3EF9" w:rsidRDefault="004D1FFA">
          <w:pPr>
            <w:pStyle w:val="TOC1"/>
            <w:rPr>
              <w:rFonts w:asciiTheme="minorHAnsi" w:hAnsiTheme="minorHAnsi" w:cstheme="minorBidi"/>
              <w:b w:val="0"/>
              <w:bCs w:val="0"/>
              <w:noProof/>
              <w:sz w:val="22"/>
              <w:szCs w:val="22"/>
              <w:lang w:eastAsia="en-GB"/>
            </w:rPr>
          </w:pPr>
          <w:hyperlink w:anchor="_Toc151368690" w:history="1">
            <w:r w:rsidR="001D3EF9" w:rsidRPr="00971431">
              <w:rPr>
                <w:rStyle w:val="Hyperlink"/>
                <w:noProof/>
              </w:rPr>
              <w:t>Annex A - Hansard References</w:t>
            </w:r>
            <w:r w:rsidR="001D3EF9">
              <w:rPr>
                <w:noProof/>
                <w:webHidden/>
              </w:rPr>
              <w:tab/>
            </w:r>
            <w:r w:rsidR="001D3EF9">
              <w:rPr>
                <w:noProof/>
                <w:webHidden/>
              </w:rPr>
              <w:fldChar w:fldCharType="begin"/>
            </w:r>
            <w:r w:rsidR="001D3EF9">
              <w:rPr>
                <w:noProof/>
                <w:webHidden/>
              </w:rPr>
              <w:instrText xml:space="preserve"> PAGEREF _Toc151368690 \h </w:instrText>
            </w:r>
            <w:r w:rsidR="001D3EF9">
              <w:rPr>
                <w:noProof/>
                <w:webHidden/>
              </w:rPr>
            </w:r>
            <w:r w:rsidR="001D3EF9">
              <w:rPr>
                <w:noProof/>
                <w:webHidden/>
              </w:rPr>
              <w:fldChar w:fldCharType="separate"/>
            </w:r>
            <w:r w:rsidR="00CE4360">
              <w:rPr>
                <w:noProof/>
                <w:webHidden/>
              </w:rPr>
              <w:t>7</w:t>
            </w:r>
            <w:r w:rsidR="001D3EF9">
              <w:rPr>
                <w:noProof/>
                <w:webHidden/>
              </w:rPr>
              <w:fldChar w:fldCharType="end"/>
            </w:r>
          </w:hyperlink>
        </w:p>
        <w:p w14:paraId="5B2B1D4B" w14:textId="002C46D7" w:rsidR="004D1FDC" w:rsidRDefault="004D1FDC" w:rsidP="004D1FDC">
          <w:pPr>
            <w:widowControl w:val="0"/>
            <w:tabs>
              <w:tab w:val="right" w:pos="12000"/>
            </w:tabs>
            <w:spacing w:before="60" w:after="0" w:line="240" w:lineRule="auto"/>
            <w:rPr>
              <w:rFonts w:ascii="Arial" w:eastAsia="Arial" w:hAnsi="Arial" w:cs="Arial"/>
              <w:b/>
              <w:color w:val="000000"/>
            </w:rPr>
          </w:pPr>
          <w:r>
            <w:fldChar w:fldCharType="end"/>
          </w:r>
        </w:p>
      </w:sdtContent>
    </w:sdt>
    <w:p w14:paraId="1648D1F4" w14:textId="5F948C55" w:rsidR="004D1FDC" w:rsidRPr="00125969" w:rsidRDefault="004D1FDC" w:rsidP="00125969">
      <w:pPr>
        <w:pStyle w:val="Heading1"/>
      </w:pPr>
      <w:r>
        <w:br w:type="page"/>
      </w:r>
      <w:bookmarkStart w:id="0" w:name="_Toc151368683"/>
      <w:r>
        <w:lastRenderedPageBreak/>
        <w:t xml:space="preserve">Overview of the </w:t>
      </w:r>
      <w:r w:rsidRPr="00125969">
        <w:t>Act</w:t>
      </w:r>
      <w:bookmarkEnd w:id="0"/>
    </w:p>
    <w:p w14:paraId="02AB4B32" w14:textId="77777777" w:rsidR="004D1FDC" w:rsidRDefault="004D1FDC" w:rsidP="00125969">
      <w:pPr>
        <w:pStyle w:val="ParaNumbered"/>
        <w:rPr>
          <w:rFonts w:eastAsia="Arial"/>
          <w:highlight w:val="white"/>
        </w:rPr>
      </w:pPr>
      <w:r>
        <w:rPr>
          <w:rFonts w:eastAsia="Arial"/>
          <w:highlight w:val="white"/>
        </w:rPr>
        <w:t xml:space="preserve">The Act consists of 5 sections: </w:t>
      </w:r>
    </w:p>
    <w:p w14:paraId="00707092" w14:textId="77777777" w:rsidR="004D1FDC" w:rsidRDefault="004D1FDC" w:rsidP="00125969">
      <w:pPr>
        <w:pStyle w:val="ParaBulleted"/>
        <w:rPr>
          <w:rFonts w:eastAsia="Arial"/>
          <w:highlight w:val="white"/>
        </w:rPr>
      </w:pPr>
      <w:r>
        <w:rPr>
          <w:rFonts w:eastAsia="Arial"/>
          <w:highlight w:val="white"/>
        </w:rPr>
        <w:t xml:space="preserve">Section 1 introduces a duty on employers to take reasonable steps to prevent sexual harassment of their </w:t>
      </w:r>
      <w:proofErr w:type="gramStart"/>
      <w:r>
        <w:rPr>
          <w:rFonts w:eastAsia="Arial"/>
          <w:highlight w:val="white"/>
        </w:rPr>
        <w:t>employees;</w:t>
      </w:r>
      <w:proofErr w:type="gramEnd"/>
    </w:p>
    <w:p w14:paraId="749B3561" w14:textId="77777777" w:rsidR="004D1FDC" w:rsidRDefault="004D1FDC" w:rsidP="00125969">
      <w:pPr>
        <w:pStyle w:val="ParaBulleted"/>
        <w:rPr>
          <w:rFonts w:eastAsia="Arial"/>
          <w:highlight w:val="white"/>
        </w:rPr>
      </w:pPr>
      <w:r>
        <w:rPr>
          <w:rFonts w:eastAsia="Arial"/>
          <w:highlight w:val="white"/>
        </w:rPr>
        <w:t xml:space="preserve">Section 2 makes provision about the enforcement of the employer </w:t>
      </w:r>
      <w:proofErr w:type="gramStart"/>
      <w:r>
        <w:rPr>
          <w:rFonts w:eastAsia="Arial"/>
          <w:highlight w:val="white"/>
        </w:rPr>
        <w:t>duty;</w:t>
      </w:r>
      <w:proofErr w:type="gramEnd"/>
    </w:p>
    <w:p w14:paraId="015BBEC0" w14:textId="77777777" w:rsidR="004D1FDC" w:rsidRDefault="004D1FDC" w:rsidP="00125969">
      <w:pPr>
        <w:pStyle w:val="ParaBulleted"/>
        <w:rPr>
          <w:rFonts w:eastAsia="Arial"/>
          <w:highlight w:val="white"/>
        </w:rPr>
      </w:pPr>
      <w:r>
        <w:rPr>
          <w:rFonts w:eastAsia="Arial"/>
          <w:highlight w:val="white"/>
        </w:rPr>
        <w:t xml:space="preserve">Section 3 provides for a compensation uplift in sexual harassment cases where there has been a breach of the employer </w:t>
      </w:r>
      <w:proofErr w:type="gramStart"/>
      <w:r>
        <w:rPr>
          <w:rFonts w:eastAsia="Arial"/>
          <w:highlight w:val="white"/>
        </w:rPr>
        <w:t>duty;</w:t>
      </w:r>
      <w:proofErr w:type="gramEnd"/>
    </w:p>
    <w:p w14:paraId="37B17D6E" w14:textId="77777777" w:rsidR="004D1FDC" w:rsidRDefault="004D1FDC" w:rsidP="00125969">
      <w:pPr>
        <w:pStyle w:val="ParaBulleted"/>
        <w:rPr>
          <w:rFonts w:eastAsia="Arial"/>
          <w:highlight w:val="white"/>
        </w:rPr>
      </w:pPr>
      <w:r>
        <w:rPr>
          <w:rFonts w:eastAsia="Arial"/>
          <w:highlight w:val="white"/>
        </w:rPr>
        <w:t>Section 4 makes consequential amendments to the Equality Act 2006 (“the 2006 Act”); and</w:t>
      </w:r>
    </w:p>
    <w:p w14:paraId="2F25A8D9" w14:textId="77777777" w:rsidR="004D1FDC" w:rsidRDefault="004D1FDC" w:rsidP="00125969">
      <w:pPr>
        <w:pStyle w:val="ParaBulleted"/>
        <w:rPr>
          <w:rFonts w:eastAsia="Arial"/>
          <w:highlight w:val="white"/>
        </w:rPr>
      </w:pPr>
      <w:r>
        <w:rPr>
          <w:rFonts w:eastAsia="Arial"/>
          <w:highlight w:val="white"/>
        </w:rPr>
        <w:t>Section 5 details the extent of the sections and when the provisions will commence.</w:t>
      </w:r>
    </w:p>
    <w:p w14:paraId="5F684F14" w14:textId="2A35E5D0" w:rsidR="004D1FDC" w:rsidRDefault="004D1FDC" w:rsidP="00125969">
      <w:pPr>
        <w:pStyle w:val="Heading1"/>
      </w:pPr>
      <w:bookmarkStart w:id="1" w:name="_Toc151368684"/>
      <w:r>
        <w:t xml:space="preserve">Policy </w:t>
      </w:r>
      <w:r w:rsidRPr="00125969">
        <w:t>background</w:t>
      </w:r>
      <w:bookmarkEnd w:id="1"/>
    </w:p>
    <w:p w14:paraId="288EFEF8" w14:textId="125C9A39" w:rsidR="004D1FDC" w:rsidRPr="00125969" w:rsidRDefault="004D1FDC" w:rsidP="00125969">
      <w:pPr>
        <w:pStyle w:val="ParaNumbered"/>
        <w:rPr>
          <w:rFonts w:eastAsia="Arial"/>
        </w:rPr>
      </w:pPr>
      <w:r>
        <w:rPr>
          <w:rFonts w:eastAsia="Arial"/>
        </w:rPr>
        <w:t>The Equality Act 2010 (“the 2010 Act”) provides legal protections against sexual harassment in the workplace. Despite this, persistent reports and revelations that have emerged in recent years indicate that it remains a problem within the workplace.</w:t>
      </w:r>
    </w:p>
    <w:p w14:paraId="546849B2" w14:textId="1572AD0D" w:rsidR="004D1FDC" w:rsidRPr="00125969" w:rsidRDefault="004D1FDC" w:rsidP="00125969">
      <w:pPr>
        <w:pStyle w:val="ParaNumbered"/>
        <w:rPr>
          <w:rFonts w:eastAsia="Arial"/>
        </w:rPr>
      </w:pPr>
      <w:r>
        <w:rPr>
          <w:rFonts w:eastAsia="Arial"/>
        </w:rPr>
        <w:t>In 2013, parliament repealed sections 40(2)-(4) of the 2010 Act. In 2018, the Court of Appeal ruled that, in the absence of those sections, the 2010 Act no longer makes employers liable for harassment of their employees by third parties like customers.</w:t>
      </w:r>
    </w:p>
    <w:p w14:paraId="3FE00463" w14:textId="77777777" w:rsidR="004D1FDC" w:rsidRDefault="004D1FDC" w:rsidP="00125969">
      <w:pPr>
        <w:pStyle w:val="ParaNumbered"/>
        <w:rPr>
          <w:rFonts w:eastAsia="Arial"/>
        </w:rPr>
      </w:pPr>
      <w:r>
        <w:rPr>
          <w:rFonts w:eastAsia="Arial"/>
        </w:rPr>
        <w:t xml:space="preserve">In response to the </w:t>
      </w:r>
      <w:hyperlink r:id="rId11">
        <w:r>
          <w:rPr>
            <w:rFonts w:eastAsia="Arial"/>
            <w:color w:val="1155CC"/>
            <w:u w:val="single"/>
          </w:rPr>
          <w:t>Women &amp; Equalities Committee’s fifth report of session 2017–19</w:t>
        </w:r>
      </w:hyperlink>
      <w:r>
        <w:rPr>
          <w:rFonts w:eastAsia="Arial"/>
        </w:rPr>
        <w:t xml:space="preserve">, the government held a </w:t>
      </w:r>
      <w:hyperlink r:id="rId12">
        <w:r>
          <w:rPr>
            <w:rFonts w:eastAsia="Arial"/>
            <w:color w:val="1155CC"/>
            <w:u w:val="single"/>
          </w:rPr>
          <w:t>public consultation and public questionnaire</w:t>
        </w:r>
      </w:hyperlink>
      <w:r>
        <w:rPr>
          <w:rFonts w:eastAsia="Arial"/>
        </w:rPr>
        <w:t xml:space="preserve"> about the effectiveness of anti-harassment law. In view of the results, the government committed to introduce legislation that would once again make employers liable for harassment of their employees by third parties and would require employers to take all reasonable steps to prevent sexual harassment of their employees.</w:t>
      </w:r>
    </w:p>
    <w:p w14:paraId="1359868D" w14:textId="70C00AF3" w:rsidR="004D1FDC" w:rsidRDefault="004D1FDC" w:rsidP="00125969">
      <w:pPr>
        <w:pStyle w:val="Heading1"/>
        <w:keepNext/>
      </w:pPr>
      <w:bookmarkStart w:id="2" w:name="_Toc151368685"/>
      <w:r>
        <w:t>Legal background</w:t>
      </w:r>
      <w:bookmarkEnd w:id="2"/>
    </w:p>
    <w:p w14:paraId="6C8B79DB" w14:textId="77777777" w:rsidR="004D1FDC" w:rsidRDefault="004D1FDC" w:rsidP="00125969">
      <w:pPr>
        <w:pStyle w:val="ParaNumbered"/>
        <w:rPr>
          <w:rFonts w:eastAsia="Arial"/>
        </w:rPr>
      </w:pPr>
      <w:r>
        <w:rPr>
          <w:rFonts w:eastAsia="Arial"/>
        </w:rPr>
        <w:t xml:space="preserve">Harassment in the workplace is prohibited under the 2010 Act. Section 26 of the 2010 Act defines three types of harassment. The first type, set out in section 26(1) of the 2010 Act, which applies to all the protected characteristics apart from pregnancy and maternity, and marriage and civil partnership, involves unwanted conduct which is related to a relevant </w:t>
      </w:r>
      <w:proofErr w:type="gramStart"/>
      <w:r>
        <w:rPr>
          <w:rFonts w:eastAsia="Arial"/>
        </w:rPr>
        <w:t>characteristic</w:t>
      </w:r>
      <w:proofErr w:type="gramEnd"/>
      <w:r>
        <w:rPr>
          <w:rFonts w:eastAsia="Arial"/>
        </w:rPr>
        <w:t xml:space="preserve"> and which has the purpose or effect of violating the victim’s dignity, or creating an intimidating, hostile, degrading, humiliating or offensive environment for the victim.</w:t>
      </w:r>
    </w:p>
    <w:p w14:paraId="3DCEADF6" w14:textId="77777777" w:rsidR="004D1FDC" w:rsidRDefault="004D1FDC" w:rsidP="00125969">
      <w:pPr>
        <w:pStyle w:val="ParaNumbered"/>
        <w:rPr>
          <w:rFonts w:eastAsia="Arial"/>
        </w:rPr>
      </w:pPr>
      <w:r>
        <w:rPr>
          <w:rFonts w:eastAsia="Arial"/>
        </w:rPr>
        <w:t xml:space="preserve">The second type of harassment, set out in section 26(2) of the 2010 Act, is sexual harassment, which is defined as unwanted conduct of a sexual nature that has the purpose or effect of violating an individual’s dignity, or creating an intimidating, hostile, degrading, humiliating or offensive environment for the victim. </w:t>
      </w:r>
    </w:p>
    <w:p w14:paraId="3CF48352" w14:textId="77777777" w:rsidR="004D1FDC" w:rsidRDefault="004D1FDC" w:rsidP="00125969">
      <w:pPr>
        <w:pStyle w:val="ParaNumbered"/>
        <w:rPr>
          <w:rFonts w:eastAsia="Arial"/>
        </w:rPr>
      </w:pPr>
      <w:r>
        <w:rPr>
          <w:rFonts w:eastAsia="Arial"/>
        </w:rPr>
        <w:t xml:space="preserve">The third type, set out in section 26(3) of the 2010 Act, is treating someone less </w:t>
      </w:r>
      <w:proofErr w:type="spellStart"/>
      <w:r>
        <w:rPr>
          <w:rFonts w:eastAsia="Arial"/>
        </w:rPr>
        <w:t>favourably</w:t>
      </w:r>
      <w:proofErr w:type="spellEnd"/>
      <w:r>
        <w:rPr>
          <w:rFonts w:eastAsia="Arial"/>
        </w:rPr>
        <w:t xml:space="preserve"> than another because they have either submitted, or failed to submit, to sexual harassment or harassment related to sex or gender reassignment.</w:t>
      </w:r>
    </w:p>
    <w:p w14:paraId="0B5EA92C" w14:textId="77777777" w:rsidR="004D1FDC" w:rsidRDefault="004D1FDC" w:rsidP="00125969">
      <w:pPr>
        <w:pStyle w:val="ParaNumbered"/>
        <w:rPr>
          <w:rFonts w:eastAsia="Arial"/>
        </w:rPr>
      </w:pPr>
      <w:r>
        <w:rPr>
          <w:rFonts w:eastAsia="Arial"/>
        </w:rPr>
        <w:lastRenderedPageBreak/>
        <w:t xml:space="preserve">Section 40 of the 2010 Act prohibits employers from harassing their employees or job applicants. Under section 109 of the 2010 Act employers may be vicariously liable for acts of discrimination, harassment and </w:t>
      </w:r>
      <w:proofErr w:type="spellStart"/>
      <w:r>
        <w:rPr>
          <w:rFonts w:eastAsia="Arial"/>
        </w:rPr>
        <w:t>victimisation</w:t>
      </w:r>
      <w:proofErr w:type="spellEnd"/>
      <w:r>
        <w:rPr>
          <w:rFonts w:eastAsia="Arial"/>
        </w:rPr>
        <w:t xml:space="preserve"> carried out by their employees in the course of employment. The combined effect of these provisions means that an employer may be legally liable for sexual harassment carried out by their staff. This employer liability applies regardless of </w:t>
      </w:r>
      <w:proofErr w:type="gramStart"/>
      <w:r>
        <w:rPr>
          <w:rFonts w:eastAsia="Arial"/>
        </w:rPr>
        <w:t>whether or not</w:t>
      </w:r>
      <w:proofErr w:type="gramEnd"/>
      <w:r>
        <w:rPr>
          <w:rFonts w:eastAsia="Arial"/>
        </w:rPr>
        <w:t xml:space="preserve"> they have approved, or are even aware of, their employees’ actions.</w:t>
      </w:r>
    </w:p>
    <w:p w14:paraId="498CC24B" w14:textId="77777777" w:rsidR="004D1FDC" w:rsidRDefault="004D1FDC" w:rsidP="00125969">
      <w:pPr>
        <w:pStyle w:val="ParaNumbered"/>
        <w:rPr>
          <w:rFonts w:eastAsia="Arial"/>
        </w:rPr>
      </w:pPr>
      <w:r>
        <w:rPr>
          <w:rFonts w:eastAsia="Arial"/>
        </w:rPr>
        <w:t xml:space="preserve">Section 109(4) of the 2010 Act provides that employers have a legal </w:t>
      </w:r>
      <w:proofErr w:type="spellStart"/>
      <w:r>
        <w:rPr>
          <w:rFonts w:eastAsia="Arial"/>
        </w:rPr>
        <w:t>defence</w:t>
      </w:r>
      <w:proofErr w:type="spellEnd"/>
      <w:r>
        <w:rPr>
          <w:rFonts w:eastAsia="Arial"/>
        </w:rPr>
        <w:t xml:space="preserve"> if they can show that they took ‘all reasonable steps’ to prevent their employee from acting unlawfully.</w:t>
      </w:r>
    </w:p>
    <w:p w14:paraId="380691C3" w14:textId="77777777" w:rsidR="004D1FDC" w:rsidRDefault="004D1FDC" w:rsidP="00125969">
      <w:pPr>
        <w:pStyle w:val="ParaNumbered"/>
        <w:rPr>
          <w:rFonts w:eastAsia="Arial"/>
        </w:rPr>
      </w:pPr>
      <w:r>
        <w:rPr>
          <w:rFonts w:eastAsia="Arial"/>
        </w:rPr>
        <w:t xml:space="preserve">Sections 20-24A of the 2006 Act set out the Equality and Human Rights Commission’s (EHRC’s) enforcement powers relevant to the Act. These include the power to conduct investigations in relation to an unlawful act under the 2010 Act, to issue an unlawful act notice, to make action plans or enter into agreements with the person who has committed the unlawful act. It can also apply for an injunction against that person in relation to the breach. See the </w:t>
      </w:r>
      <w:hyperlink r:id="rId13">
        <w:r>
          <w:rPr>
            <w:rFonts w:eastAsia="Arial"/>
            <w:color w:val="1155CC"/>
            <w:u w:val="single"/>
          </w:rPr>
          <w:t>EHRC’s website</w:t>
        </w:r>
      </w:hyperlink>
      <w:r>
        <w:rPr>
          <w:rFonts w:eastAsia="Arial"/>
        </w:rPr>
        <w:t xml:space="preserve"> for more detail on its enforcement powers. </w:t>
      </w:r>
    </w:p>
    <w:p w14:paraId="39FD6E2A" w14:textId="4EB5950E" w:rsidR="004D1FDC" w:rsidRDefault="004D1FDC" w:rsidP="00125969">
      <w:pPr>
        <w:pStyle w:val="Heading1"/>
        <w:keepNext/>
      </w:pPr>
      <w:bookmarkStart w:id="3" w:name="_Toc151368686"/>
      <w:r>
        <w:t>Territorial extent and application</w:t>
      </w:r>
      <w:bookmarkEnd w:id="3"/>
    </w:p>
    <w:p w14:paraId="4A781301" w14:textId="77777777" w:rsidR="004D1FDC" w:rsidRDefault="004D1FDC" w:rsidP="00125969">
      <w:pPr>
        <w:pStyle w:val="ParaNumbered"/>
        <w:rPr>
          <w:rFonts w:eastAsia="Arial"/>
        </w:rPr>
      </w:pPr>
      <w:r>
        <w:rPr>
          <w:rFonts w:eastAsia="Arial"/>
        </w:rPr>
        <w:t xml:space="preserve">Section 5(1) sets out the territorial extent of the Act. In line with the current extent and application of the 2010 Act, the Act extends to, and applies in, England and Wales and Scotland. It does not extend to Northern Ireland. </w:t>
      </w:r>
    </w:p>
    <w:p w14:paraId="7B7DEDB8" w14:textId="77777777" w:rsidR="004D1FDC" w:rsidRDefault="004D1FDC" w:rsidP="00125969">
      <w:pPr>
        <w:pStyle w:val="ParaNumbered"/>
        <w:rPr>
          <w:rFonts w:eastAsia="Arial"/>
        </w:rPr>
      </w:pPr>
      <w:r>
        <w:rPr>
          <w:rFonts w:eastAsia="Arial"/>
        </w:rPr>
        <w:t xml:space="preserve">The devolution settlements for both Scotland and Wales provide that employment and industrial relations, as well as equal opportunities, are generally reserved to the UK Parliament. While there are exceptions to this, none are relevant here. </w:t>
      </w:r>
    </w:p>
    <w:p w14:paraId="3D1A7544" w14:textId="5BB2CF56" w:rsidR="004D1FDC" w:rsidRPr="00125969" w:rsidRDefault="004D1FDC" w:rsidP="00125969">
      <w:pPr>
        <w:pStyle w:val="Heading1"/>
      </w:pPr>
      <w:bookmarkStart w:id="4" w:name="_Toc151368687"/>
      <w:r>
        <w:t xml:space="preserve">Commentary on </w:t>
      </w:r>
      <w:r w:rsidRPr="00125969">
        <w:t>provisions</w:t>
      </w:r>
      <w:r>
        <w:t xml:space="preserve"> of Act</w:t>
      </w:r>
      <w:bookmarkEnd w:id="4"/>
    </w:p>
    <w:p w14:paraId="3B118121" w14:textId="328EF8D6" w:rsidR="004D1FDC" w:rsidRDefault="004D1FDC" w:rsidP="00125969">
      <w:pPr>
        <w:pStyle w:val="HSubheading4"/>
      </w:pPr>
      <w:r>
        <w:rPr>
          <w:rFonts w:eastAsia="Arial"/>
        </w:rPr>
        <w:t>Section</w:t>
      </w:r>
      <w:r w:rsidR="00125969">
        <w:rPr>
          <w:rFonts w:eastAsia="Arial"/>
        </w:rPr>
        <w:t xml:space="preserve"> </w:t>
      </w:r>
      <w:r>
        <w:rPr>
          <w:rFonts w:eastAsia="Arial"/>
        </w:rPr>
        <w:t xml:space="preserve">1: Employer duty to prevent sexual harassment of </w:t>
      </w:r>
      <w:proofErr w:type="gramStart"/>
      <w:r>
        <w:rPr>
          <w:rFonts w:eastAsia="Arial"/>
        </w:rPr>
        <w:t>employees</w:t>
      </w:r>
      <w:proofErr w:type="gramEnd"/>
    </w:p>
    <w:p w14:paraId="29939725" w14:textId="77777777" w:rsidR="004D1FDC" w:rsidRDefault="004D1FDC" w:rsidP="00125969">
      <w:pPr>
        <w:pStyle w:val="ParaNumbered"/>
        <w:rPr>
          <w:rFonts w:eastAsia="Arial"/>
        </w:rPr>
      </w:pPr>
      <w:r>
        <w:rPr>
          <w:rFonts w:eastAsia="Arial"/>
        </w:rPr>
        <w:t xml:space="preserve">This section amends the 2010 Act by inserting new section 40A. It creates a duty on employers to prevent sexual harassment of their employees. </w:t>
      </w:r>
    </w:p>
    <w:p w14:paraId="1E1A3D36" w14:textId="77777777" w:rsidR="004D1FDC" w:rsidRDefault="004D1FDC" w:rsidP="00125969">
      <w:pPr>
        <w:pStyle w:val="ParaNumbered"/>
        <w:rPr>
          <w:rFonts w:eastAsia="Arial"/>
        </w:rPr>
      </w:pPr>
      <w:r>
        <w:rPr>
          <w:rFonts w:eastAsia="Arial"/>
        </w:rPr>
        <w:t>New section 40</w:t>
      </w:r>
      <w:proofErr w:type="gramStart"/>
      <w:r>
        <w:rPr>
          <w:rFonts w:eastAsia="Arial"/>
        </w:rPr>
        <w:t>A(</w:t>
      </w:r>
      <w:proofErr w:type="gramEnd"/>
      <w:r>
        <w:rPr>
          <w:rFonts w:eastAsia="Arial"/>
        </w:rPr>
        <w:t xml:space="preserve">1) describes the new duty: employers must take reasonable steps to prevent sexual harassment of their employees in the course of their employment. </w:t>
      </w:r>
    </w:p>
    <w:p w14:paraId="6FAB0121" w14:textId="77777777" w:rsidR="004D1FDC" w:rsidRDefault="004D1FDC" w:rsidP="00125969">
      <w:pPr>
        <w:pStyle w:val="ParaNumbered"/>
        <w:rPr>
          <w:rFonts w:eastAsia="Arial"/>
        </w:rPr>
      </w:pPr>
      <w:r>
        <w:rPr>
          <w:rFonts w:eastAsia="Arial"/>
        </w:rPr>
        <w:t>‘Reasonable steps’ depends on the specific circumstances of the employer, including its size and sector and other relevant facts. In most cases, the employer’s practices and procedures (</w:t>
      </w:r>
      <w:proofErr w:type="gramStart"/>
      <w:r>
        <w:rPr>
          <w:rFonts w:eastAsia="Arial"/>
        </w:rPr>
        <w:t>e.g.</w:t>
      </w:r>
      <w:proofErr w:type="gramEnd"/>
      <w:r>
        <w:rPr>
          <w:rFonts w:eastAsia="Arial"/>
        </w:rPr>
        <w:t xml:space="preserve"> grievance and reporting procedures) for preventing and dealing with sexual harassment are likely to be relevant.</w:t>
      </w:r>
    </w:p>
    <w:p w14:paraId="0E5737E4" w14:textId="77777777" w:rsidR="004D1FDC" w:rsidRDefault="004D1FDC" w:rsidP="00125969">
      <w:pPr>
        <w:pStyle w:val="ParaNumbered"/>
        <w:rPr>
          <w:rFonts w:eastAsia="Arial"/>
        </w:rPr>
      </w:pPr>
      <w:r>
        <w:rPr>
          <w:rFonts w:eastAsia="Arial"/>
        </w:rPr>
        <w:t>New section 40</w:t>
      </w:r>
      <w:proofErr w:type="gramStart"/>
      <w:r>
        <w:rPr>
          <w:rFonts w:eastAsia="Arial"/>
        </w:rPr>
        <w:t>A(</w:t>
      </w:r>
      <w:proofErr w:type="gramEnd"/>
      <w:r>
        <w:rPr>
          <w:rFonts w:eastAsia="Arial"/>
        </w:rPr>
        <w:t>2) defines “sexual harassment” in the context of new subsection (1) as meaning harassment of the kind described in section 26(2) (unwanted conduct of a sexual nature).</w:t>
      </w:r>
    </w:p>
    <w:p w14:paraId="4307E4B1" w14:textId="77777777" w:rsidR="004D1FDC" w:rsidRDefault="004D1FDC" w:rsidP="00125969">
      <w:pPr>
        <w:pStyle w:val="ParaNumbered"/>
        <w:rPr>
          <w:rFonts w:eastAsia="Arial"/>
        </w:rPr>
      </w:pPr>
      <w:r>
        <w:rPr>
          <w:rFonts w:eastAsia="Arial"/>
        </w:rPr>
        <w:t>New section 40</w:t>
      </w:r>
      <w:proofErr w:type="gramStart"/>
      <w:r>
        <w:rPr>
          <w:rFonts w:eastAsia="Arial"/>
        </w:rPr>
        <w:t>A(</w:t>
      </w:r>
      <w:proofErr w:type="gramEnd"/>
      <w:r>
        <w:rPr>
          <w:rFonts w:eastAsia="Arial"/>
        </w:rPr>
        <w:t xml:space="preserve">3) is a “signpost” provision, which explains that a breach of the employer duty in new section 40A(1) is enforceable in two ways. First, a standalone breach (and a breach of section 111 or 112 that relates to a breach of the employer duty) may be enforced by the EHRC as an unlawful act under its existing enforcement powers in Part 1 of the 2006 Act. Second, a breach may also be enforced by an employment tribunal where it has first found a </w:t>
      </w:r>
      <w:r>
        <w:rPr>
          <w:rFonts w:eastAsia="Arial"/>
        </w:rPr>
        <w:lastRenderedPageBreak/>
        <w:t xml:space="preserve">breach of section 40 which involved, to any extent, sexual harassment. Further provisions on the enforcement and remedy of the employer duty are provided in sections 2 and 3. </w:t>
      </w:r>
    </w:p>
    <w:p w14:paraId="636DA07F" w14:textId="41442E93" w:rsidR="004D1FDC" w:rsidRPr="00125969" w:rsidRDefault="004D1FDC" w:rsidP="00125969">
      <w:pPr>
        <w:pStyle w:val="ParaNumbered"/>
        <w:rPr>
          <w:rFonts w:eastAsia="Arial"/>
          <w:szCs w:val="20"/>
        </w:rPr>
      </w:pPr>
      <w:r>
        <w:rPr>
          <w:rFonts w:eastAsia="Arial"/>
        </w:rPr>
        <w:t xml:space="preserve">Incidents of </w:t>
      </w:r>
      <w:proofErr w:type="gramStart"/>
      <w:r>
        <w:rPr>
          <w:rFonts w:eastAsia="Arial"/>
        </w:rPr>
        <w:t>third party</w:t>
      </w:r>
      <w:proofErr w:type="gramEnd"/>
      <w:r>
        <w:rPr>
          <w:rFonts w:eastAsia="Arial"/>
        </w:rPr>
        <w:t xml:space="preserve"> harassment in the workplace will continue </w:t>
      </w:r>
      <w:r>
        <w:rPr>
          <w:rFonts w:eastAsia="Arial"/>
          <w:u w:val="single"/>
        </w:rPr>
        <w:t>not</w:t>
      </w:r>
      <w:r>
        <w:rPr>
          <w:rFonts w:eastAsia="Arial"/>
        </w:rPr>
        <w:t xml:space="preserve"> be covered by civil remedies. The situation would remain as it has been since the repeal of the third-party harassment protections in 2013.</w:t>
      </w:r>
    </w:p>
    <w:p w14:paraId="7FB308F1" w14:textId="77777777" w:rsidR="004D1FDC" w:rsidRDefault="004D1FDC" w:rsidP="00125969">
      <w:pPr>
        <w:pStyle w:val="HSubheading4"/>
        <w:rPr>
          <w:rFonts w:eastAsia="Arial"/>
        </w:rPr>
      </w:pPr>
      <w:r>
        <w:rPr>
          <w:rFonts w:eastAsia="Arial"/>
        </w:rPr>
        <w:t xml:space="preserve">Section 2: Enforcement of duty to prevent sexual harassment of </w:t>
      </w:r>
      <w:proofErr w:type="gramStart"/>
      <w:r>
        <w:rPr>
          <w:rFonts w:eastAsia="Arial"/>
        </w:rPr>
        <w:t>employees</w:t>
      </w:r>
      <w:proofErr w:type="gramEnd"/>
    </w:p>
    <w:p w14:paraId="126AF978" w14:textId="77777777" w:rsidR="004D1FDC" w:rsidRDefault="004D1FDC" w:rsidP="00125969">
      <w:pPr>
        <w:pStyle w:val="ParaNumbered"/>
        <w:rPr>
          <w:rFonts w:eastAsia="Arial"/>
        </w:rPr>
      </w:pPr>
      <w:r>
        <w:rPr>
          <w:rFonts w:eastAsia="Arial"/>
        </w:rPr>
        <w:t>This section amends section 120(8) of the 2010 Act and inserts new section 120(9).</w:t>
      </w:r>
    </w:p>
    <w:p w14:paraId="2CF12412" w14:textId="77777777" w:rsidR="004D1FDC" w:rsidRDefault="004D1FDC" w:rsidP="00125969">
      <w:pPr>
        <w:pStyle w:val="ParaNumbered"/>
        <w:rPr>
          <w:rFonts w:eastAsia="Arial"/>
        </w:rPr>
      </w:pPr>
      <w:r>
        <w:rPr>
          <w:rFonts w:eastAsia="Arial"/>
        </w:rPr>
        <w:t>The amendment to section 120(8) carves out breaches of the employer duty from the employment tribunal’s jurisdiction, meaning that tribunals cannot consider standalone breaches of the employer duty. Only the EHRC can take enforcement action against standalone breaches of the duty if an employer fails to take reasonable steps to prevent third-party sexual harassment of employees.</w:t>
      </w:r>
    </w:p>
    <w:p w14:paraId="6A392901" w14:textId="6C17B2DD" w:rsidR="004D1FDC" w:rsidRPr="00125969" w:rsidRDefault="004D1FDC" w:rsidP="004D1FDC">
      <w:pPr>
        <w:pStyle w:val="ParaNumbered"/>
        <w:rPr>
          <w:rFonts w:eastAsia="Arial"/>
        </w:rPr>
      </w:pPr>
      <w:r>
        <w:rPr>
          <w:rFonts w:eastAsia="Arial"/>
        </w:rPr>
        <w:t xml:space="preserve">New subsection (9) clarifies and puts beyond doubt the employment tribunal’s role in considering a breach of the employer duty in relation to a compensation uplift in relevant cases, as described in section 3 (see paragraph 23 below). This means that tribunals cannot consider individual claims for a breach of the employer duty other than in cases where a claim of sexual harassment has been upheld. </w:t>
      </w:r>
      <w:bookmarkStart w:id="5" w:name="_heading=h.pqdmg6dxtru8" w:colFirst="0" w:colLast="0"/>
      <w:bookmarkEnd w:id="5"/>
    </w:p>
    <w:p w14:paraId="2DE6FFF4" w14:textId="77777777" w:rsidR="004D1FDC" w:rsidRDefault="004D1FDC" w:rsidP="00125969">
      <w:pPr>
        <w:pStyle w:val="HSubheading4"/>
      </w:pPr>
      <w:r>
        <w:rPr>
          <w:rFonts w:eastAsia="Arial"/>
        </w:rPr>
        <w:t>Section 3: Sexual harassment of employees: compensation uplift</w:t>
      </w:r>
    </w:p>
    <w:p w14:paraId="11F5FF65" w14:textId="77777777" w:rsidR="004D1FDC" w:rsidRDefault="004D1FDC" w:rsidP="00125969">
      <w:pPr>
        <w:pStyle w:val="ParaNumbered"/>
        <w:rPr>
          <w:rFonts w:eastAsia="Arial"/>
        </w:rPr>
      </w:pPr>
      <w:r>
        <w:rPr>
          <w:rFonts w:eastAsia="Arial"/>
        </w:rPr>
        <w:t xml:space="preserve">This section inserts new section 124A into the 2010 Act. It provides for a new remedy in sexual harassment cases in respect of breaches of the employer duty. </w:t>
      </w:r>
    </w:p>
    <w:p w14:paraId="255391AC" w14:textId="77777777" w:rsidR="004D1FDC" w:rsidRDefault="004D1FDC" w:rsidP="00125969">
      <w:pPr>
        <w:pStyle w:val="ParaNumbered"/>
        <w:rPr>
          <w:rFonts w:eastAsia="Arial"/>
        </w:rPr>
      </w:pPr>
      <w:r>
        <w:rPr>
          <w:rFonts w:eastAsia="Arial"/>
        </w:rPr>
        <w:t>New sections 124</w:t>
      </w:r>
      <w:proofErr w:type="gramStart"/>
      <w:r>
        <w:rPr>
          <w:rFonts w:eastAsia="Arial"/>
        </w:rPr>
        <w:t>A(</w:t>
      </w:r>
      <w:proofErr w:type="gramEnd"/>
      <w:r>
        <w:rPr>
          <w:rFonts w:eastAsia="Arial"/>
        </w:rPr>
        <w:t xml:space="preserve">1) to (3) provide that where an employment tribunal finds that there has been a breach of section 40 of the 2010 Act which involved, to any extent,  sexual harassment, the tribunal must consider whether and to what extent the employer has also breached the employer duty to take reasonable steps to prevent the sexual harassment of their employees. If the tribunal finds that the employer duty has been breached, then the tribunal may order an uplift to the compensation awarded in respect of the sexual harassment claim. </w:t>
      </w:r>
    </w:p>
    <w:p w14:paraId="5ED9B0E1" w14:textId="681B9966" w:rsidR="004D1FDC" w:rsidRPr="00125969" w:rsidRDefault="004D1FDC" w:rsidP="00125969">
      <w:pPr>
        <w:pStyle w:val="ParaNumbered"/>
        <w:rPr>
          <w:rFonts w:eastAsia="Arial"/>
        </w:rPr>
      </w:pPr>
      <w:r>
        <w:rPr>
          <w:rFonts w:eastAsia="Arial"/>
        </w:rPr>
        <w:t>New section 124</w:t>
      </w:r>
      <w:proofErr w:type="gramStart"/>
      <w:r>
        <w:rPr>
          <w:rFonts w:eastAsia="Arial"/>
        </w:rPr>
        <w:t>A(</w:t>
      </w:r>
      <w:proofErr w:type="gramEnd"/>
      <w:r>
        <w:rPr>
          <w:rFonts w:eastAsia="Arial"/>
        </w:rPr>
        <w:t xml:space="preserve">4) provides that the amount of the compensation uplift must reflect the extent to which, in the tribunal’s opinion, the employer duty has been breached. The specific circumstances of each case will be considered as part of this. New subsection (4) also states that the compensation uplift may be no more than 25% of the amount awarded for the sexual harassment claim. A discretionary uplift to compensation is intended to allow the tribunal to take the specific circumstances of each workplace into account and avoid overall awards which may be disproportionate. </w:t>
      </w:r>
    </w:p>
    <w:p w14:paraId="6063A3BE" w14:textId="77777777" w:rsidR="004D1FDC" w:rsidRDefault="004D1FDC" w:rsidP="00125969">
      <w:pPr>
        <w:pStyle w:val="HSubheading4"/>
      </w:pPr>
      <w:r>
        <w:rPr>
          <w:rFonts w:eastAsia="Arial"/>
        </w:rPr>
        <w:t>Section 4: Consequential amendments to the Equality Act 2006</w:t>
      </w:r>
    </w:p>
    <w:p w14:paraId="698DA176" w14:textId="77777777" w:rsidR="004D1FDC" w:rsidRDefault="004D1FDC" w:rsidP="00125969">
      <w:pPr>
        <w:pStyle w:val="ParaNumbered"/>
        <w:rPr>
          <w:rFonts w:eastAsia="Arial"/>
        </w:rPr>
      </w:pPr>
      <w:r>
        <w:rPr>
          <w:rFonts w:eastAsia="Arial"/>
        </w:rPr>
        <w:t xml:space="preserve">Section 4 makes consequential amendments to Part 1 of the 2006 Act. </w:t>
      </w:r>
    </w:p>
    <w:p w14:paraId="79782C37" w14:textId="363BF5DA" w:rsidR="004D1FDC" w:rsidRDefault="004D1FDC" w:rsidP="00125969">
      <w:pPr>
        <w:pStyle w:val="ParaNumbered"/>
        <w:rPr>
          <w:rFonts w:eastAsia="Arial"/>
        </w:rPr>
      </w:pPr>
      <w:r>
        <w:rPr>
          <w:rFonts w:eastAsia="Arial"/>
        </w:rPr>
        <w:t>Section 4(2) inserts new section 21(8) into the 2006 Act. It provides that an appeal may be made in the employment tribunal in respect of an unlawful act notice which relates to a breach of the employer duty (or an alleged breach of section 111 or 112 of the 2010 Act which relates to a breach of the employer duty).</w:t>
      </w:r>
    </w:p>
    <w:p w14:paraId="12453FF5" w14:textId="77777777" w:rsidR="004D1FDC" w:rsidRDefault="004D1FDC" w:rsidP="00125969">
      <w:pPr>
        <w:pStyle w:val="ParaNumbered"/>
        <w:rPr>
          <w:rFonts w:eastAsia="Arial"/>
        </w:rPr>
      </w:pPr>
      <w:r>
        <w:rPr>
          <w:rFonts w:eastAsia="Arial"/>
        </w:rPr>
        <w:t>Section 4(3) inserts new paragraph (aa) into section 24</w:t>
      </w:r>
      <w:proofErr w:type="gramStart"/>
      <w:r>
        <w:rPr>
          <w:rFonts w:eastAsia="Arial"/>
        </w:rPr>
        <w:t>A(</w:t>
      </w:r>
      <w:proofErr w:type="gramEnd"/>
      <w:r>
        <w:rPr>
          <w:rFonts w:eastAsia="Arial"/>
        </w:rPr>
        <w:t>1) of the 2006 Act.</w:t>
      </w:r>
      <w:r>
        <w:rPr>
          <w:rFonts w:eastAsia="Arial"/>
          <w:sz w:val="24"/>
        </w:rPr>
        <w:t xml:space="preserve"> </w:t>
      </w:r>
      <w:r>
        <w:rPr>
          <w:rFonts w:eastAsia="Arial"/>
        </w:rPr>
        <w:t>It allows the EHRC to take enforcement action against a breach of the employer duty even if the EHRC does not know or suspect that the breach has affected someone</w:t>
      </w:r>
      <w:r>
        <w:rPr>
          <w:rFonts w:ascii="Roboto" w:eastAsia="Roboto" w:hAnsi="Roboto" w:cs="Roboto"/>
          <w:color w:val="444746"/>
          <w:sz w:val="21"/>
          <w:szCs w:val="21"/>
        </w:rPr>
        <w:t xml:space="preserve"> </w:t>
      </w:r>
      <w:r>
        <w:rPr>
          <w:rFonts w:eastAsia="Arial"/>
        </w:rPr>
        <w:t>(see section 24</w:t>
      </w:r>
      <w:proofErr w:type="gramStart"/>
      <w:r>
        <w:rPr>
          <w:rFonts w:eastAsia="Arial"/>
        </w:rPr>
        <w:t>A(</w:t>
      </w:r>
      <w:proofErr w:type="gramEnd"/>
      <w:r>
        <w:rPr>
          <w:rFonts w:eastAsia="Arial"/>
        </w:rPr>
        <w:t xml:space="preserve">2) of the 2006 Act). The same applies to a breach of section 111 (instructing, </w:t>
      </w:r>
      <w:proofErr w:type="gramStart"/>
      <w:r>
        <w:rPr>
          <w:rFonts w:eastAsia="Arial"/>
        </w:rPr>
        <w:t>causing</w:t>
      </w:r>
      <w:proofErr w:type="gramEnd"/>
      <w:r>
        <w:rPr>
          <w:rFonts w:eastAsia="Arial"/>
        </w:rPr>
        <w:t xml:space="preserve"> or inducing contraventions) or </w:t>
      </w:r>
      <w:r>
        <w:rPr>
          <w:rFonts w:eastAsia="Arial"/>
        </w:rPr>
        <w:lastRenderedPageBreak/>
        <w:t>112 (aiding contraventions) of the 2010 Act that relates to a breach of the employer duty.</w:t>
      </w:r>
    </w:p>
    <w:p w14:paraId="4962C85B" w14:textId="77777777" w:rsidR="004D1FDC" w:rsidRDefault="004D1FDC" w:rsidP="00125969">
      <w:pPr>
        <w:pStyle w:val="HSubheading4"/>
      </w:pPr>
      <w:r>
        <w:rPr>
          <w:rFonts w:eastAsia="Arial"/>
        </w:rPr>
        <w:t xml:space="preserve">Section 5: Extent, </w:t>
      </w:r>
      <w:proofErr w:type="gramStart"/>
      <w:r>
        <w:rPr>
          <w:rFonts w:eastAsia="Arial"/>
        </w:rPr>
        <w:t>commencement</w:t>
      </w:r>
      <w:proofErr w:type="gramEnd"/>
      <w:r>
        <w:rPr>
          <w:rFonts w:eastAsia="Arial"/>
        </w:rPr>
        <w:t xml:space="preserve"> and short title </w:t>
      </w:r>
    </w:p>
    <w:p w14:paraId="6DAD3621" w14:textId="77777777" w:rsidR="004D1FDC" w:rsidRDefault="004D1FDC" w:rsidP="00125969">
      <w:pPr>
        <w:pStyle w:val="ParaNumbered"/>
        <w:rPr>
          <w:rFonts w:eastAsia="Arial"/>
        </w:rPr>
      </w:pPr>
      <w:r>
        <w:rPr>
          <w:rFonts w:eastAsia="Arial"/>
        </w:rPr>
        <w:t>Section 5 provides the name of the Act. It also provides the Act’s commencement date (see paragraph 29 below) and territorial extent (see paragraphs 11 and 12 above).</w:t>
      </w:r>
    </w:p>
    <w:p w14:paraId="29027F7C" w14:textId="77777777" w:rsidR="004D1FDC" w:rsidRDefault="004D1FDC" w:rsidP="004D1FDC">
      <w:pPr>
        <w:pStyle w:val="Heading1"/>
        <w:keepNext/>
      </w:pPr>
      <w:bookmarkStart w:id="6" w:name="_Toc151368688"/>
      <w:r>
        <w:t>Commencement</w:t>
      </w:r>
      <w:bookmarkEnd w:id="6"/>
    </w:p>
    <w:p w14:paraId="6784B2BA" w14:textId="77777777" w:rsidR="004D1FDC" w:rsidRDefault="004D1FDC" w:rsidP="00125969">
      <w:pPr>
        <w:pStyle w:val="ParaNumbered"/>
        <w:rPr>
          <w:rFonts w:eastAsia="Arial"/>
        </w:rPr>
      </w:pPr>
      <w:r>
        <w:rPr>
          <w:rFonts w:eastAsia="Arial"/>
        </w:rPr>
        <w:t xml:space="preserve">Section 5 came into force on 26 October 2023. Sections 1 </w:t>
      </w:r>
      <w:r w:rsidRPr="00125969">
        <w:t>to</w:t>
      </w:r>
      <w:r>
        <w:rPr>
          <w:rFonts w:eastAsia="Arial"/>
        </w:rPr>
        <w:t xml:space="preserve"> 4 come into force on 26 October 2024.</w:t>
      </w:r>
    </w:p>
    <w:p w14:paraId="68C97757" w14:textId="77777777" w:rsidR="004D1FDC" w:rsidRDefault="004D1FDC" w:rsidP="004D1FDC">
      <w:pPr>
        <w:pStyle w:val="Heading1"/>
        <w:keepNext/>
      </w:pPr>
      <w:bookmarkStart w:id="7" w:name="_Toc151368689"/>
      <w:r>
        <w:t>Related documents</w:t>
      </w:r>
      <w:bookmarkEnd w:id="7"/>
    </w:p>
    <w:p w14:paraId="17D9263C" w14:textId="35536CA2" w:rsidR="004D1FDC" w:rsidRDefault="004D1FDC" w:rsidP="00125969">
      <w:pPr>
        <w:pStyle w:val="ParaNumbered"/>
        <w:rPr>
          <w:rFonts w:eastAsia="Arial"/>
          <w:sz w:val="24"/>
        </w:rPr>
      </w:pPr>
      <w:r>
        <w:rPr>
          <w:rFonts w:eastAsia="Arial"/>
        </w:rPr>
        <w:t>The following documents are relevant to the Act and can be read at the stated locations:</w:t>
      </w:r>
    </w:p>
    <w:p w14:paraId="107D7E94" w14:textId="6186D4DC" w:rsidR="004D1FDC" w:rsidRPr="00B66629" w:rsidRDefault="004D1FDC" w:rsidP="00125969">
      <w:pPr>
        <w:pStyle w:val="ParaBulleted"/>
        <w:rPr>
          <w:rFonts w:eastAsia="Arial"/>
        </w:rPr>
      </w:pPr>
      <w:r w:rsidRPr="00B66629">
        <w:rPr>
          <w:rFonts w:eastAsia="Arial"/>
        </w:rPr>
        <w:t>Women and Equalities Select Committee report: Sexual Harassment in the Workplace (25 July 2018):</w:t>
      </w:r>
      <w:r w:rsidR="00B66629">
        <w:rPr>
          <w:rFonts w:eastAsia="Arial"/>
        </w:rPr>
        <w:t xml:space="preserve"> </w:t>
      </w:r>
      <w:hyperlink r:id="rId14">
        <w:r w:rsidRPr="00B66629">
          <w:rPr>
            <w:rFonts w:eastAsia="Arial"/>
            <w:color w:val="1155CC"/>
            <w:u w:val="single"/>
          </w:rPr>
          <w:t>https://publications.parliament.uk/pa/cm201719/cmselect/cmwomeq/725/72502.htm</w:t>
        </w:r>
      </w:hyperlink>
      <w:r w:rsidRPr="00B66629">
        <w:rPr>
          <w:rFonts w:eastAsia="Arial"/>
        </w:rPr>
        <w:t xml:space="preserve"> </w:t>
      </w:r>
    </w:p>
    <w:p w14:paraId="3D5FC216" w14:textId="625B3CE4" w:rsidR="004D1FDC" w:rsidRPr="00B66629" w:rsidRDefault="004D1FDC" w:rsidP="00B66629">
      <w:pPr>
        <w:pStyle w:val="ParaBulleted"/>
        <w:rPr>
          <w:rFonts w:eastAsia="Arial"/>
        </w:rPr>
      </w:pPr>
      <w:r w:rsidRPr="00B66629">
        <w:rPr>
          <w:rFonts w:eastAsia="Arial"/>
        </w:rPr>
        <w:t xml:space="preserve">Government response to the Women and Equalities Select Committee report on </w:t>
      </w:r>
      <w:r w:rsidRPr="00B66629">
        <w:t>Sexual</w:t>
      </w:r>
      <w:r w:rsidRPr="00B66629">
        <w:rPr>
          <w:rFonts w:eastAsia="Arial"/>
        </w:rPr>
        <w:t xml:space="preserve"> Harassment in the Workplace (28 November 2018):</w:t>
      </w:r>
      <w:r w:rsidR="00B66629">
        <w:rPr>
          <w:rFonts w:eastAsia="Arial"/>
        </w:rPr>
        <w:t xml:space="preserve"> </w:t>
      </w:r>
      <w:hyperlink r:id="rId15" w:history="1">
        <w:r w:rsidR="00B66629" w:rsidRPr="00CE4360">
          <w:rPr>
            <w:color w:val="1155CC"/>
          </w:rPr>
          <w:t>https://publications.parliament.uk/pa/cm201719/cmselect/cmwomeq/1801/180102.htm</w:t>
        </w:r>
      </w:hyperlink>
    </w:p>
    <w:p w14:paraId="276B354B" w14:textId="77777777" w:rsidR="00B66629" w:rsidRPr="00B66629" w:rsidRDefault="004D1FDC" w:rsidP="00125969">
      <w:pPr>
        <w:pStyle w:val="ParaBulleted"/>
        <w:rPr>
          <w:rFonts w:eastAsia="Arial"/>
          <w:b/>
          <w:sz w:val="34"/>
          <w:szCs w:val="34"/>
        </w:rPr>
      </w:pPr>
      <w:r w:rsidRPr="00B66629">
        <w:rPr>
          <w:rFonts w:eastAsia="Arial"/>
        </w:rPr>
        <w:t xml:space="preserve">Government consultation and response on sexual harassment in the workplace (21 July 2021): </w:t>
      </w:r>
      <w:hyperlink r:id="rId16">
        <w:r w:rsidRPr="00B66629">
          <w:rPr>
            <w:rFonts w:eastAsia="Arial"/>
            <w:color w:val="1155CC"/>
            <w:u w:val="single"/>
          </w:rPr>
          <w:t>https://www.gov.uk/government/consultations/consultation-on-sexual-harassment-in-the-workplace</w:t>
        </w:r>
      </w:hyperlink>
    </w:p>
    <w:p w14:paraId="76D495D5" w14:textId="1E43BB0A" w:rsidR="004D1FDC" w:rsidRPr="00B66629" w:rsidRDefault="004D1FDC" w:rsidP="00125969">
      <w:pPr>
        <w:pStyle w:val="ParaBulleted"/>
        <w:rPr>
          <w:rFonts w:eastAsia="Arial"/>
          <w:b/>
          <w:sz w:val="34"/>
          <w:szCs w:val="34"/>
        </w:rPr>
      </w:pPr>
      <w:r w:rsidRPr="00B66629">
        <w:rPr>
          <w:rFonts w:eastAsia="Arial"/>
        </w:rPr>
        <w:t xml:space="preserve">Parliamentary stages of the Act: </w:t>
      </w:r>
      <w:hyperlink r:id="rId17">
        <w:r w:rsidRPr="00B66629">
          <w:rPr>
            <w:rFonts w:eastAsia="Arial"/>
            <w:color w:val="1155CC"/>
            <w:u w:val="single"/>
          </w:rPr>
          <w:t>https://bills.parliament.uk/bills/3205/stages</w:t>
        </w:r>
      </w:hyperlink>
      <w:r w:rsidRPr="00B66629">
        <w:rPr>
          <w:rFonts w:eastAsia="Arial"/>
        </w:rPr>
        <w:t xml:space="preserve"> </w:t>
      </w:r>
    </w:p>
    <w:p w14:paraId="5484F979" w14:textId="70668340" w:rsidR="004D1FDC" w:rsidRDefault="004D1FDC" w:rsidP="00125969">
      <w:pPr>
        <w:pStyle w:val="ParaBulleted"/>
        <w:rPr>
          <w:rFonts w:eastAsia="Arial"/>
        </w:rPr>
      </w:pPr>
      <w:r>
        <w:rPr>
          <w:rFonts w:eastAsia="Arial"/>
        </w:rPr>
        <w:t xml:space="preserve">Publications of the parliamentary stages of the Act: </w:t>
      </w:r>
      <w:hyperlink r:id="rId18">
        <w:r>
          <w:rPr>
            <w:rFonts w:eastAsia="Arial"/>
            <w:color w:val="1155CC"/>
            <w:u w:val="single"/>
          </w:rPr>
          <w:t>https://bills.parliament.uk/bills/3205/publications</w:t>
        </w:r>
      </w:hyperlink>
    </w:p>
    <w:p w14:paraId="0C6382C8" w14:textId="77777777" w:rsidR="004D1FDC" w:rsidRDefault="004D1FDC" w:rsidP="00125969">
      <w:pPr>
        <w:pStyle w:val="ParaBulleted"/>
        <w:rPr>
          <w:rFonts w:eastAsia="Arial"/>
          <w:b/>
          <w:sz w:val="34"/>
          <w:szCs w:val="34"/>
        </w:rPr>
      </w:pPr>
      <w:r>
        <w:rPr>
          <w:rFonts w:eastAsia="Arial"/>
        </w:rPr>
        <w:t xml:space="preserve">The Equality Act 2010: </w:t>
      </w:r>
      <w:hyperlink r:id="rId19">
        <w:r>
          <w:rPr>
            <w:rFonts w:eastAsia="Arial"/>
            <w:color w:val="0070C0"/>
            <w:u w:val="single"/>
          </w:rPr>
          <w:t>https://www.legislation.gov.uk/ukpga/2010/15/contents</w:t>
        </w:r>
      </w:hyperlink>
    </w:p>
    <w:p w14:paraId="27EE249B" w14:textId="77777777" w:rsidR="00CE4360" w:rsidRDefault="00CE4360">
      <w:pPr>
        <w:rPr>
          <w:rFonts w:ascii="Arial" w:eastAsiaTheme="majorEastAsia" w:hAnsi="Arial"/>
          <w:b/>
          <w:bCs/>
          <w:color w:val="0070C0"/>
          <w:sz w:val="36"/>
          <w:szCs w:val="28"/>
        </w:rPr>
      </w:pPr>
      <w:bookmarkStart w:id="8" w:name="_Toc151368690"/>
      <w:r>
        <w:br w:type="page"/>
      </w:r>
    </w:p>
    <w:p w14:paraId="0065FECF" w14:textId="0CBC1E96" w:rsidR="004D1FDC" w:rsidRDefault="004D1FDC" w:rsidP="00125969">
      <w:pPr>
        <w:pStyle w:val="Heading1"/>
      </w:pPr>
      <w:r>
        <w:lastRenderedPageBreak/>
        <w:t xml:space="preserve">Annex </w:t>
      </w:r>
      <w:r w:rsidR="000956CD">
        <w:t>A</w:t>
      </w:r>
      <w:r>
        <w:t xml:space="preserve"> - </w:t>
      </w:r>
      <w:r w:rsidRPr="00125969">
        <w:t>Hansard</w:t>
      </w:r>
      <w:r>
        <w:t xml:space="preserve"> References</w:t>
      </w:r>
      <w:bookmarkEnd w:id="8"/>
    </w:p>
    <w:p w14:paraId="162F61CF" w14:textId="77777777" w:rsidR="004D1FDC" w:rsidRDefault="004D1FDC" w:rsidP="00125969">
      <w:pPr>
        <w:pStyle w:val="ParaNumbered"/>
        <w:rPr>
          <w:rFonts w:eastAsia="Arial"/>
        </w:rPr>
      </w:pPr>
      <w:r>
        <w:rPr>
          <w:rFonts w:eastAsia="Arial"/>
        </w:rPr>
        <w:t>The following table sets out the dates and Hansard references for each stage of the Act's passage through Parliament.</w:t>
      </w:r>
    </w:p>
    <w:tbl>
      <w:tblPr>
        <w:tblStyle w:val="TableGrid"/>
        <w:tblW w:w="9071" w:type="dxa"/>
        <w:tblLayout w:type="fixed"/>
        <w:tblLook w:val="0600" w:firstRow="0" w:lastRow="0" w:firstColumn="0" w:lastColumn="0" w:noHBand="1" w:noVBand="1"/>
      </w:tblPr>
      <w:tblGrid>
        <w:gridCol w:w="3023"/>
        <w:gridCol w:w="3024"/>
        <w:gridCol w:w="3024"/>
      </w:tblGrid>
      <w:tr w:rsidR="004D1FDC" w14:paraId="3A1AC13B" w14:textId="77777777" w:rsidTr="00281F99">
        <w:tc>
          <w:tcPr>
            <w:tcW w:w="3023" w:type="dxa"/>
          </w:tcPr>
          <w:p w14:paraId="3CC6D868" w14:textId="77777777" w:rsidR="004D1FDC" w:rsidRPr="000956CD" w:rsidRDefault="004D1FDC" w:rsidP="00B77909">
            <w:pPr>
              <w:widowControl w:val="0"/>
              <w:pBdr>
                <w:top w:val="nil"/>
                <w:left w:val="nil"/>
                <w:bottom w:val="nil"/>
                <w:right w:val="nil"/>
                <w:between w:val="nil"/>
              </w:pBdr>
              <w:spacing w:after="0" w:line="240" w:lineRule="auto"/>
              <w:rPr>
                <w:rStyle w:val="TTableHeadings"/>
              </w:rPr>
            </w:pPr>
            <w:r w:rsidRPr="000956CD">
              <w:rPr>
                <w:rStyle w:val="TTableHeadings"/>
              </w:rPr>
              <w:t>Stage</w:t>
            </w:r>
          </w:p>
        </w:tc>
        <w:tc>
          <w:tcPr>
            <w:tcW w:w="3024" w:type="dxa"/>
          </w:tcPr>
          <w:p w14:paraId="3368EAB2" w14:textId="77777777" w:rsidR="004D1FDC" w:rsidRPr="000956CD" w:rsidRDefault="004D1FDC" w:rsidP="00B77909">
            <w:pPr>
              <w:widowControl w:val="0"/>
              <w:pBdr>
                <w:top w:val="nil"/>
                <w:left w:val="nil"/>
                <w:bottom w:val="nil"/>
                <w:right w:val="nil"/>
                <w:between w:val="nil"/>
              </w:pBdr>
              <w:spacing w:after="0" w:line="240" w:lineRule="auto"/>
              <w:rPr>
                <w:rStyle w:val="TTableHeadings"/>
              </w:rPr>
            </w:pPr>
            <w:r w:rsidRPr="000956CD">
              <w:rPr>
                <w:rStyle w:val="TTableHeadings"/>
              </w:rPr>
              <w:t>Date</w:t>
            </w:r>
          </w:p>
        </w:tc>
        <w:tc>
          <w:tcPr>
            <w:tcW w:w="3024" w:type="dxa"/>
          </w:tcPr>
          <w:p w14:paraId="5B006B21" w14:textId="77777777" w:rsidR="004D1FDC" w:rsidRPr="000956CD" w:rsidRDefault="004D1FDC" w:rsidP="00B77909">
            <w:pPr>
              <w:widowControl w:val="0"/>
              <w:pBdr>
                <w:top w:val="nil"/>
                <w:left w:val="nil"/>
                <w:bottom w:val="nil"/>
                <w:right w:val="nil"/>
                <w:between w:val="nil"/>
              </w:pBdr>
              <w:spacing w:after="0" w:line="240" w:lineRule="auto"/>
              <w:rPr>
                <w:rStyle w:val="TTableHeadings"/>
              </w:rPr>
            </w:pPr>
            <w:r w:rsidRPr="000956CD">
              <w:rPr>
                <w:rStyle w:val="TTableHeadings"/>
              </w:rPr>
              <w:t>Hansard reference</w:t>
            </w:r>
          </w:p>
        </w:tc>
      </w:tr>
      <w:tr w:rsidR="004D1FDC" w14:paraId="094CDEA4" w14:textId="77777777" w:rsidTr="00281F99">
        <w:trPr>
          <w:trHeight w:val="420"/>
        </w:trPr>
        <w:tc>
          <w:tcPr>
            <w:tcW w:w="9071" w:type="dxa"/>
            <w:gridSpan w:val="3"/>
          </w:tcPr>
          <w:p w14:paraId="2F73D205" w14:textId="77777777" w:rsidR="004D1FDC" w:rsidRPr="000956CD" w:rsidRDefault="004D1FDC" w:rsidP="000956CD">
            <w:pPr>
              <w:pStyle w:val="TTableText"/>
              <w:rPr>
                <w:rFonts w:eastAsia="Arial"/>
                <w:i/>
                <w:iCs/>
              </w:rPr>
            </w:pPr>
            <w:r w:rsidRPr="000956CD">
              <w:rPr>
                <w:rFonts w:eastAsia="Arial"/>
                <w:i/>
                <w:iCs/>
              </w:rPr>
              <w:t>House of Commons</w:t>
            </w:r>
          </w:p>
        </w:tc>
      </w:tr>
      <w:tr w:rsidR="004D1FDC" w14:paraId="749A6521" w14:textId="77777777" w:rsidTr="00281F99">
        <w:tc>
          <w:tcPr>
            <w:tcW w:w="3023" w:type="dxa"/>
          </w:tcPr>
          <w:p w14:paraId="6505DE5E" w14:textId="77777777" w:rsidR="004D1FDC" w:rsidRDefault="004D1FDC" w:rsidP="000956CD">
            <w:pPr>
              <w:pStyle w:val="TTableText"/>
              <w:rPr>
                <w:rFonts w:eastAsia="Arial"/>
              </w:rPr>
            </w:pPr>
            <w:r>
              <w:rPr>
                <w:rFonts w:eastAsia="Arial"/>
              </w:rPr>
              <w:t>Introduction and First Reading</w:t>
            </w:r>
          </w:p>
        </w:tc>
        <w:tc>
          <w:tcPr>
            <w:tcW w:w="3024" w:type="dxa"/>
          </w:tcPr>
          <w:p w14:paraId="2D309D1B" w14:textId="77777777" w:rsidR="004D1FDC" w:rsidRDefault="004D1FDC" w:rsidP="000956CD">
            <w:pPr>
              <w:pStyle w:val="TTableText"/>
              <w:rPr>
                <w:rFonts w:eastAsia="Arial"/>
              </w:rPr>
            </w:pPr>
            <w:r>
              <w:rPr>
                <w:rFonts w:eastAsia="Arial"/>
              </w:rPr>
              <w:t>15 June 2022</w:t>
            </w:r>
          </w:p>
        </w:tc>
        <w:tc>
          <w:tcPr>
            <w:tcW w:w="3024" w:type="dxa"/>
          </w:tcPr>
          <w:p w14:paraId="3D07F04C" w14:textId="06085C94" w:rsidR="004D1FDC" w:rsidRDefault="004D1FFA" w:rsidP="000956CD">
            <w:pPr>
              <w:pStyle w:val="TTableText"/>
              <w:rPr>
                <w:rFonts w:eastAsia="Arial"/>
              </w:rPr>
            </w:pPr>
            <w:hyperlink r:id="rId20">
              <w:r w:rsidR="004D1FDC">
                <w:rPr>
                  <w:rFonts w:eastAsia="Arial"/>
                  <w:color w:val="1155CC"/>
                  <w:u w:val="single"/>
                </w:rPr>
                <w:t xml:space="preserve">Volume 716, </w:t>
              </w:r>
              <w:r w:rsidR="000956CD">
                <w:rPr>
                  <w:rFonts w:eastAsia="Arial"/>
                  <w:color w:val="1155CC"/>
                  <w:u w:val="single"/>
                </w:rPr>
                <w:t>C</w:t>
              </w:r>
              <w:r w:rsidR="004D1FDC">
                <w:rPr>
                  <w:rFonts w:eastAsia="Arial"/>
                  <w:color w:val="1155CC"/>
                  <w:u w:val="single"/>
                </w:rPr>
                <w:t>olumn 315</w:t>
              </w:r>
            </w:hyperlink>
          </w:p>
        </w:tc>
      </w:tr>
      <w:tr w:rsidR="004D1FDC" w14:paraId="32D9F6AB" w14:textId="77777777" w:rsidTr="00281F99">
        <w:tc>
          <w:tcPr>
            <w:tcW w:w="3023" w:type="dxa"/>
          </w:tcPr>
          <w:p w14:paraId="622694CD" w14:textId="77777777" w:rsidR="004D1FDC" w:rsidRDefault="004D1FDC" w:rsidP="000956CD">
            <w:pPr>
              <w:pStyle w:val="TTableText"/>
              <w:rPr>
                <w:rFonts w:eastAsia="Arial"/>
              </w:rPr>
            </w:pPr>
            <w:r>
              <w:rPr>
                <w:rFonts w:eastAsia="Arial"/>
              </w:rPr>
              <w:t>Second Reading</w:t>
            </w:r>
          </w:p>
        </w:tc>
        <w:tc>
          <w:tcPr>
            <w:tcW w:w="3024" w:type="dxa"/>
          </w:tcPr>
          <w:p w14:paraId="7D277960" w14:textId="77777777" w:rsidR="004D1FDC" w:rsidRDefault="004D1FDC" w:rsidP="000956CD">
            <w:pPr>
              <w:pStyle w:val="TTableText"/>
              <w:rPr>
                <w:rFonts w:eastAsia="Arial"/>
              </w:rPr>
            </w:pPr>
            <w:r>
              <w:rPr>
                <w:rFonts w:eastAsia="Arial"/>
              </w:rPr>
              <w:t>21 October 2022</w:t>
            </w:r>
          </w:p>
        </w:tc>
        <w:tc>
          <w:tcPr>
            <w:tcW w:w="3024" w:type="dxa"/>
          </w:tcPr>
          <w:p w14:paraId="6E685035" w14:textId="3050B8F2" w:rsidR="004D1FDC" w:rsidRDefault="004D1FFA" w:rsidP="000956CD">
            <w:pPr>
              <w:pStyle w:val="TTableText"/>
              <w:rPr>
                <w:rFonts w:eastAsia="Arial"/>
              </w:rPr>
            </w:pPr>
            <w:hyperlink r:id="rId21">
              <w:r w:rsidR="004D1FDC">
                <w:rPr>
                  <w:rFonts w:eastAsia="Arial"/>
                  <w:color w:val="1155CC"/>
                  <w:u w:val="single"/>
                </w:rPr>
                <w:t xml:space="preserve">Volume 720, </w:t>
              </w:r>
              <w:r w:rsidR="000956CD">
                <w:rPr>
                  <w:rFonts w:eastAsia="Arial"/>
                  <w:color w:val="1155CC"/>
                  <w:u w:val="single"/>
                </w:rPr>
                <w:t>C</w:t>
              </w:r>
              <w:r w:rsidR="004D1FDC">
                <w:rPr>
                  <w:rFonts w:eastAsia="Arial"/>
                  <w:color w:val="1155CC"/>
                  <w:u w:val="single"/>
                </w:rPr>
                <w:t>olumns 1,007 to 1,012</w:t>
              </w:r>
            </w:hyperlink>
          </w:p>
        </w:tc>
      </w:tr>
      <w:tr w:rsidR="004D1FDC" w14:paraId="04DE7D08" w14:textId="77777777" w:rsidTr="00281F99">
        <w:tc>
          <w:tcPr>
            <w:tcW w:w="3023" w:type="dxa"/>
          </w:tcPr>
          <w:p w14:paraId="6ED8C9DF" w14:textId="77777777" w:rsidR="004D1FDC" w:rsidRDefault="004D1FDC" w:rsidP="000956CD">
            <w:pPr>
              <w:pStyle w:val="TTableText"/>
              <w:rPr>
                <w:rFonts w:eastAsia="Arial"/>
              </w:rPr>
            </w:pPr>
            <w:r>
              <w:rPr>
                <w:rFonts w:eastAsia="Arial"/>
              </w:rPr>
              <w:t>Public Bill Committee</w:t>
            </w:r>
          </w:p>
        </w:tc>
        <w:tc>
          <w:tcPr>
            <w:tcW w:w="3024" w:type="dxa"/>
          </w:tcPr>
          <w:p w14:paraId="0DC5625B" w14:textId="77777777" w:rsidR="004D1FDC" w:rsidRDefault="004D1FDC" w:rsidP="000956CD">
            <w:pPr>
              <w:pStyle w:val="TTableText"/>
              <w:rPr>
                <w:rFonts w:eastAsia="Arial"/>
              </w:rPr>
            </w:pPr>
            <w:r>
              <w:rPr>
                <w:rFonts w:eastAsia="Arial"/>
              </w:rPr>
              <w:t>23 November 2022</w:t>
            </w:r>
          </w:p>
        </w:tc>
        <w:tc>
          <w:tcPr>
            <w:tcW w:w="3024" w:type="dxa"/>
          </w:tcPr>
          <w:p w14:paraId="685AF7BA" w14:textId="77777777" w:rsidR="004D1FDC" w:rsidRDefault="004D1FFA" w:rsidP="000956CD">
            <w:pPr>
              <w:pStyle w:val="TTableText"/>
              <w:rPr>
                <w:rFonts w:eastAsia="Arial"/>
              </w:rPr>
            </w:pPr>
            <w:hyperlink r:id="rId22">
              <w:r w:rsidR="004D1FDC">
                <w:rPr>
                  <w:rFonts w:eastAsia="Arial"/>
                  <w:color w:val="1155CC"/>
                  <w:u w:val="single"/>
                </w:rPr>
                <w:t>Official report of the committee</w:t>
              </w:r>
            </w:hyperlink>
          </w:p>
        </w:tc>
      </w:tr>
      <w:tr w:rsidR="004D1FDC" w14:paraId="2EA856DB" w14:textId="77777777" w:rsidTr="00281F99">
        <w:tc>
          <w:tcPr>
            <w:tcW w:w="3023" w:type="dxa"/>
          </w:tcPr>
          <w:p w14:paraId="666F42F1" w14:textId="77777777" w:rsidR="004D1FDC" w:rsidRDefault="004D1FDC" w:rsidP="000956CD">
            <w:pPr>
              <w:pStyle w:val="TTableText"/>
              <w:rPr>
                <w:rFonts w:eastAsia="Arial"/>
              </w:rPr>
            </w:pPr>
            <w:r>
              <w:rPr>
                <w:rFonts w:eastAsia="Arial"/>
              </w:rPr>
              <w:t>Report and Third Reading</w:t>
            </w:r>
          </w:p>
        </w:tc>
        <w:tc>
          <w:tcPr>
            <w:tcW w:w="3024" w:type="dxa"/>
          </w:tcPr>
          <w:p w14:paraId="556809BE" w14:textId="77777777" w:rsidR="004D1FDC" w:rsidRDefault="004D1FDC" w:rsidP="000956CD">
            <w:pPr>
              <w:pStyle w:val="TTableText"/>
              <w:rPr>
                <w:rFonts w:eastAsia="Arial"/>
              </w:rPr>
            </w:pPr>
            <w:r>
              <w:rPr>
                <w:rFonts w:eastAsia="Arial"/>
              </w:rPr>
              <w:t>6 February 2023</w:t>
            </w:r>
          </w:p>
        </w:tc>
        <w:tc>
          <w:tcPr>
            <w:tcW w:w="3024" w:type="dxa"/>
          </w:tcPr>
          <w:p w14:paraId="134A90F9" w14:textId="162017EF" w:rsidR="004D1FDC" w:rsidRDefault="004D1FFA" w:rsidP="000956CD">
            <w:pPr>
              <w:pStyle w:val="TTableText"/>
              <w:rPr>
                <w:rFonts w:eastAsia="Arial"/>
              </w:rPr>
            </w:pPr>
            <w:hyperlink r:id="rId23">
              <w:r w:rsidR="004D1FDC">
                <w:rPr>
                  <w:rFonts w:eastAsia="Arial"/>
                  <w:color w:val="1155CC"/>
                  <w:u w:val="single"/>
                </w:rPr>
                <w:t xml:space="preserve">Volume 727, </w:t>
              </w:r>
              <w:r w:rsidR="000956CD">
                <w:rPr>
                  <w:rFonts w:eastAsia="Arial"/>
                  <w:color w:val="1155CC"/>
                  <w:u w:val="single"/>
                </w:rPr>
                <w:t>C</w:t>
              </w:r>
              <w:r w:rsidR="004D1FDC">
                <w:rPr>
                  <w:rFonts w:eastAsia="Arial"/>
                  <w:color w:val="1155CC"/>
                  <w:u w:val="single"/>
                </w:rPr>
                <w:t>olumns 584 to 600</w:t>
              </w:r>
            </w:hyperlink>
          </w:p>
        </w:tc>
      </w:tr>
      <w:tr w:rsidR="004D1FDC" w14:paraId="5166CD36" w14:textId="77777777" w:rsidTr="00281F99">
        <w:tc>
          <w:tcPr>
            <w:tcW w:w="3023" w:type="dxa"/>
          </w:tcPr>
          <w:p w14:paraId="0B18E475" w14:textId="77777777" w:rsidR="004D1FDC" w:rsidRDefault="004D1FDC" w:rsidP="000956CD">
            <w:pPr>
              <w:pStyle w:val="TTableText"/>
              <w:rPr>
                <w:rFonts w:eastAsia="Arial"/>
              </w:rPr>
            </w:pPr>
            <w:r>
              <w:rPr>
                <w:rFonts w:eastAsia="Arial"/>
              </w:rPr>
              <w:t>Consideration of Lords Amendments</w:t>
            </w:r>
          </w:p>
        </w:tc>
        <w:tc>
          <w:tcPr>
            <w:tcW w:w="3024" w:type="dxa"/>
          </w:tcPr>
          <w:p w14:paraId="55010843" w14:textId="77777777" w:rsidR="004D1FDC" w:rsidRDefault="004D1FDC" w:rsidP="000956CD">
            <w:pPr>
              <w:pStyle w:val="TTableText"/>
              <w:rPr>
                <w:rFonts w:eastAsia="Arial"/>
              </w:rPr>
            </w:pPr>
            <w:r>
              <w:rPr>
                <w:rFonts w:eastAsia="Arial"/>
              </w:rPr>
              <w:t>20 October 2023</w:t>
            </w:r>
          </w:p>
        </w:tc>
        <w:tc>
          <w:tcPr>
            <w:tcW w:w="3024" w:type="dxa"/>
          </w:tcPr>
          <w:p w14:paraId="23A6CF2E" w14:textId="6A2F6B1D" w:rsidR="004D1FDC" w:rsidRDefault="004D1FFA" w:rsidP="000956CD">
            <w:pPr>
              <w:pStyle w:val="TTableText"/>
              <w:rPr>
                <w:rFonts w:eastAsia="Arial"/>
              </w:rPr>
            </w:pPr>
            <w:hyperlink r:id="rId24">
              <w:r w:rsidR="004D1FDC">
                <w:rPr>
                  <w:rFonts w:eastAsia="Arial"/>
                  <w:color w:val="1155CC"/>
                  <w:u w:val="single"/>
                </w:rPr>
                <w:t xml:space="preserve">Volume 738, </w:t>
              </w:r>
              <w:r w:rsidR="000956CD">
                <w:rPr>
                  <w:rFonts w:eastAsia="Arial"/>
                  <w:color w:val="1155CC"/>
                  <w:u w:val="single"/>
                </w:rPr>
                <w:t>C</w:t>
              </w:r>
              <w:r w:rsidR="004D1FDC">
                <w:rPr>
                  <w:rFonts w:eastAsia="Arial"/>
                  <w:color w:val="1155CC"/>
                  <w:u w:val="single"/>
                </w:rPr>
                <w:t>olumns 483 to 494</w:t>
              </w:r>
            </w:hyperlink>
          </w:p>
        </w:tc>
      </w:tr>
      <w:tr w:rsidR="004D1FDC" w14:paraId="4DC9B09C" w14:textId="77777777" w:rsidTr="00281F99">
        <w:trPr>
          <w:trHeight w:val="420"/>
        </w:trPr>
        <w:tc>
          <w:tcPr>
            <w:tcW w:w="9071" w:type="dxa"/>
            <w:gridSpan w:val="3"/>
          </w:tcPr>
          <w:p w14:paraId="6FDB5E9D" w14:textId="77777777" w:rsidR="004D1FDC" w:rsidRDefault="004D1FDC" w:rsidP="000956CD">
            <w:pPr>
              <w:pStyle w:val="TTableText"/>
              <w:rPr>
                <w:rFonts w:eastAsia="Arial"/>
                <w:i/>
              </w:rPr>
            </w:pPr>
            <w:r>
              <w:rPr>
                <w:rFonts w:eastAsia="Arial"/>
                <w:i/>
              </w:rPr>
              <w:t>House of Lords</w:t>
            </w:r>
          </w:p>
        </w:tc>
      </w:tr>
      <w:tr w:rsidR="004D1FDC" w14:paraId="6F14241A" w14:textId="77777777" w:rsidTr="00281F99">
        <w:tc>
          <w:tcPr>
            <w:tcW w:w="3023" w:type="dxa"/>
          </w:tcPr>
          <w:p w14:paraId="4D892903" w14:textId="77777777" w:rsidR="004D1FDC" w:rsidRDefault="004D1FDC" w:rsidP="000956CD">
            <w:pPr>
              <w:pStyle w:val="TTableText"/>
              <w:rPr>
                <w:rFonts w:eastAsia="Arial"/>
              </w:rPr>
            </w:pPr>
            <w:r>
              <w:rPr>
                <w:rFonts w:eastAsia="Arial"/>
              </w:rPr>
              <w:t>First Reading</w:t>
            </w:r>
          </w:p>
        </w:tc>
        <w:tc>
          <w:tcPr>
            <w:tcW w:w="3024" w:type="dxa"/>
          </w:tcPr>
          <w:p w14:paraId="21F737DA" w14:textId="77777777" w:rsidR="004D1FDC" w:rsidRDefault="004D1FDC" w:rsidP="000956CD">
            <w:pPr>
              <w:pStyle w:val="TTableText"/>
              <w:rPr>
                <w:rFonts w:eastAsia="Arial"/>
              </w:rPr>
            </w:pPr>
            <w:r>
              <w:rPr>
                <w:rFonts w:eastAsia="Arial"/>
              </w:rPr>
              <w:t>6 February 2023</w:t>
            </w:r>
          </w:p>
        </w:tc>
        <w:tc>
          <w:tcPr>
            <w:tcW w:w="3024" w:type="dxa"/>
          </w:tcPr>
          <w:p w14:paraId="24265EEB" w14:textId="386A0EB9" w:rsidR="004D1FDC" w:rsidRDefault="004D1FFA" w:rsidP="000956CD">
            <w:pPr>
              <w:pStyle w:val="TTableText"/>
              <w:rPr>
                <w:rFonts w:eastAsia="Arial"/>
              </w:rPr>
            </w:pPr>
            <w:hyperlink r:id="rId25">
              <w:r w:rsidR="004D1FDC">
                <w:rPr>
                  <w:rFonts w:eastAsia="Arial"/>
                  <w:color w:val="1155CC"/>
                  <w:u w:val="single"/>
                </w:rPr>
                <w:t xml:space="preserve">Volume 827, </w:t>
              </w:r>
              <w:r w:rsidR="000956CD">
                <w:rPr>
                  <w:rFonts w:eastAsia="Arial"/>
                  <w:color w:val="1155CC"/>
                  <w:u w:val="single"/>
                </w:rPr>
                <w:t>C</w:t>
              </w:r>
              <w:r w:rsidR="004D1FDC">
                <w:rPr>
                  <w:rFonts w:eastAsia="Arial"/>
                  <w:color w:val="1155CC"/>
                  <w:u w:val="single"/>
                </w:rPr>
                <w:t>olumn 970</w:t>
              </w:r>
            </w:hyperlink>
          </w:p>
        </w:tc>
      </w:tr>
      <w:tr w:rsidR="004D1FDC" w14:paraId="57DEDE73" w14:textId="77777777" w:rsidTr="00281F99">
        <w:tc>
          <w:tcPr>
            <w:tcW w:w="3023" w:type="dxa"/>
          </w:tcPr>
          <w:p w14:paraId="72B9E544" w14:textId="77777777" w:rsidR="004D1FDC" w:rsidRDefault="004D1FDC" w:rsidP="000956CD">
            <w:pPr>
              <w:pStyle w:val="TTableText"/>
              <w:rPr>
                <w:rFonts w:eastAsia="Arial"/>
              </w:rPr>
            </w:pPr>
            <w:r>
              <w:rPr>
                <w:rFonts w:eastAsia="Arial"/>
              </w:rPr>
              <w:t>Second Reading</w:t>
            </w:r>
          </w:p>
        </w:tc>
        <w:tc>
          <w:tcPr>
            <w:tcW w:w="3024" w:type="dxa"/>
          </w:tcPr>
          <w:p w14:paraId="609D4A3A" w14:textId="77777777" w:rsidR="004D1FDC" w:rsidRDefault="004D1FDC" w:rsidP="000956CD">
            <w:pPr>
              <w:pStyle w:val="TTableText"/>
              <w:rPr>
                <w:rFonts w:eastAsia="Arial"/>
              </w:rPr>
            </w:pPr>
            <w:r>
              <w:rPr>
                <w:rFonts w:eastAsia="Arial"/>
              </w:rPr>
              <w:t>24 March 2023</w:t>
            </w:r>
          </w:p>
        </w:tc>
        <w:tc>
          <w:tcPr>
            <w:tcW w:w="3024" w:type="dxa"/>
          </w:tcPr>
          <w:p w14:paraId="0D357BE6" w14:textId="06E8B22B" w:rsidR="004D1FDC" w:rsidRDefault="004D1FFA" w:rsidP="000956CD">
            <w:pPr>
              <w:pStyle w:val="TTableText"/>
              <w:rPr>
                <w:rFonts w:eastAsia="Arial"/>
              </w:rPr>
            </w:pPr>
            <w:hyperlink r:id="rId26">
              <w:r w:rsidR="004D1FDC">
                <w:rPr>
                  <w:rFonts w:eastAsia="Arial"/>
                  <w:color w:val="1155CC"/>
                  <w:u w:val="single"/>
                </w:rPr>
                <w:t xml:space="preserve">Volume 828, </w:t>
              </w:r>
              <w:r w:rsidR="000956CD">
                <w:rPr>
                  <w:rFonts w:eastAsia="Arial"/>
                  <w:color w:val="1155CC"/>
                  <w:u w:val="single"/>
                </w:rPr>
                <w:t>C</w:t>
              </w:r>
              <w:r w:rsidR="004D1FDC">
                <w:rPr>
                  <w:rFonts w:eastAsia="Arial"/>
                  <w:color w:val="1155CC"/>
                  <w:u w:val="single"/>
                </w:rPr>
                <w:t>olumns 2,001 to 2,020</w:t>
              </w:r>
            </w:hyperlink>
          </w:p>
        </w:tc>
      </w:tr>
      <w:tr w:rsidR="004D1FDC" w14:paraId="130F2A01" w14:textId="77777777" w:rsidTr="00281F99">
        <w:tc>
          <w:tcPr>
            <w:tcW w:w="3023" w:type="dxa"/>
          </w:tcPr>
          <w:p w14:paraId="1C08CEF3" w14:textId="77777777" w:rsidR="004D1FDC" w:rsidRDefault="004D1FDC" w:rsidP="000956CD">
            <w:pPr>
              <w:pStyle w:val="TTableText"/>
              <w:rPr>
                <w:rFonts w:eastAsia="Arial"/>
              </w:rPr>
            </w:pPr>
            <w:r>
              <w:rPr>
                <w:rFonts w:eastAsia="Arial"/>
              </w:rPr>
              <w:t>Committee of the Whole House</w:t>
            </w:r>
          </w:p>
        </w:tc>
        <w:tc>
          <w:tcPr>
            <w:tcW w:w="3024" w:type="dxa"/>
          </w:tcPr>
          <w:p w14:paraId="18F80CB5" w14:textId="77777777" w:rsidR="004D1FDC" w:rsidRDefault="004D1FDC" w:rsidP="000956CD">
            <w:pPr>
              <w:pStyle w:val="TTableText"/>
              <w:rPr>
                <w:rFonts w:eastAsia="Arial"/>
              </w:rPr>
            </w:pPr>
            <w:r>
              <w:rPr>
                <w:rFonts w:eastAsia="Arial"/>
              </w:rPr>
              <w:t>14 July 2023</w:t>
            </w:r>
          </w:p>
        </w:tc>
        <w:tc>
          <w:tcPr>
            <w:tcW w:w="3024" w:type="dxa"/>
          </w:tcPr>
          <w:p w14:paraId="7F0C39B7" w14:textId="4C14411C" w:rsidR="004D1FDC" w:rsidRDefault="004D1FFA" w:rsidP="000956CD">
            <w:pPr>
              <w:pStyle w:val="TTableText"/>
              <w:rPr>
                <w:rFonts w:eastAsia="Arial"/>
              </w:rPr>
            </w:pPr>
            <w:hyperlink r:id="rId27">
              <w:r w:rsidR="004D1FDC">
                <w:rPr>
                  <w:rFonts w:eastAsia="Arial"/>
                  <w:color w:val="1155CC"/>
                  <w:u w:val="single"/>
                </w:rPr>
                <w:t xml:space="preserve">Volume 831, </w:t>
              </w:r>
              <w:r w:rsidR="000956CD">
                <w:rPr>
                  <w:rFonts w:eastAsia="Arial"/>
                  <w:color w:val="1155CC"/>
                  <w:u w:val="single"/>
                </w:rPr>
                <w:t>C</w:t>
              </w:r>
              <w:r w:rsidR="004D1FDC">
                <w:rPr>
                  <w:rFonts w:eastAsia="Arial"/>
                  <w:color w:val="1155CC"/>
                  <w:u w:val="single"/>
                </w:rPr>
                <w:t>olumns 2,027 to 2,036</w:t>
              </w:r>
            </w:hyperlink>
          </w:p>
        </w:tc>
      </w:tr>
      <w:tr w:rsidR="004D1FDC" w14:paraId="21F239EF" w14:textId="77777777" w:rsidTr="00281F99">
        <w:tc>
          <w:tcPr>
            <w:tcW w:w="3023" w:type="dxa"/>
          </w:tcPr>
          <w:p w14:paraId="47CB1A0A" w14:textId="77777777" w:rsidR="004D1FDC" w:rsidRDefault="004D1FDC" w:rsidP="000956CD">
            <w:pPr>
              <w:pStyle w:val="TTableText"/>
              <w:rPr>
                <w:rFonts w:eastAsia="Arial"/>
              </w:rPr>
            </w:pPr>
            <w:r>
              <w:rPr>
                <w:rFonts w:eastAsia="Arial"/>
              </w:rPr>
              <w:t>Report</w:t>
            </w:r>
          </w:p>
        </w:tc>
        <w:tc>
          <w:tcPr>
            <w:tcW w:w="3024" w:type="dxa"/>
          </w:tcPr>
          <w:p w14:paraId="55B2DBE1" w14:textId="77777777" w:rsidR="004D1FDC" w:rsidRDefault="004D1FDC" w:rsidP="000956CD">
            <w:pPr>
              <w:pStyle w:val="TTableText"/>
              <w:rPr>
                <w:rFonts w:eastAsia="Arial"/>
              </w:rPr>
            </w:pPr>
            <w:r>
              <w:rPr>
                <w:rFonts w:eastAsia="Arial"/>
              </w:rPr>
              <w:t>5 September 2023</w:t>
            </w:r>
          </w:p>
        </w:tc>
        <w:tc>
          <w:tcPr>
            <w:tcW w:w="3024" w:type="dxa"/>
          </w:tcPr>
          <w:p w14:paraId="49AA364E" w14:textId="290FB110" w:rsidR="004D1FDC" w:rsidRDefault="004D1FFA" w:rsidP="000956CD">
            <w:pPr>
              <w:pStyle w:val="TTableText"/>
              <w:rPr>
                <w:rFonts w:eastAsia="Arial"/>
              </w:rPr>
            </w:pPr>
            <w:hyperlink r:id="rId28">
              <w:r w:rsidR="004D1FDC">
                <w:rPr>
                  <w:rFonts w:eastAsia="Arial"/>
                  <w:color w:val="1155CC"/>
                  <w:u w:val="single"/>
                </w:rPr>
                <w:t xml:space="preserve">Volume 832, </w:t>
              </w:r>
              <w:r w:rsidR="000956CD">
                <w:rPr>
                  <w:rFonts w:eastAsia="Arial"/>
                  <w:color w:val="1155CC"/>
                  <w:u w:val="single"/>
                </w:rPr>
                <w:t>C</w:t>
              </w:r>
              <w:r w:rsidR="004D1FDC">
                <w:rPr>
                  <w:rFonts w:eastAsia="Arial"/>
                  <w:color w:val="1155CC"/>
                  <w:u w:val="single"/>
                </w:rPr>
                <w:t>olumn 328</w:t>
              </w:r>
            </w:hyperlink>
          </w:p>
        </w:tc>
      </w:tr>
      <w:tr w:rsidR="004D1FDC" w14:paraId="3C3898E3" w14:textId="77777777" w:rsidTr="00281F99">
        <w:tc>
          <w:tcPr>
            <w:tcW w:w="3023" w:type="dxa"/>
          </w:tcPr>
          <w:p w14:paraId="64A5595E" w14:textId="77777777" w:rsidR="004D1FDC" w:rsidRDefault="004D1FDC" w:rsidP="000956CD">
            <w:pPr>
              <w:pStyle w:val="TTableText"/>
              <w:rPr>
                <w:rFonts w:eastAsia="Arial"/>
              </w:rPr>
            </w:pPr>
            <w:r>
              <w:rPr>
                <w:rFonts w:eastAsia="Arial"/>
              </w:rPr>
              <w:t>Third Reading</w:t>
            </w:r>
          </w:p>
        </w:tc>
        <w:tc>
          <w:tcPr>
            <w:tcW w:w="3024" w:type="dxa"/>
          </w:tcPr>
          <w:p w14:paraId="3662594B" w14:textId="77777777" w:rsidR="004D1FDC" w:rsidRDefault="004D1FDC" w:rsidP="000956CD">
            <w:pPr>
              <w:pStyle w:val="TTableText"/>
              <w:rPr>
                <w:rFonts w:eastAsia="Arial"/>
              </w:rPr>
            </w:pPr>
            <w:r>
              <w:rPr>
                <w:rFonts w:eastAsia="Arial"/>
              </w:rPr>
              <w:t>12 September 2023</w:t>
            </w:r>
          </w:p>
        </w:tc>
        <w:tc>
          <w:tcPr>
            <w:tcW w:w="3024" w:type="dxa"/>
          </w:tcPr>
          <w:p w14:paraId="76086C88" w14:textId="11FDB764" w:rsidR="004D1FDC" w:rsidRDefault="004D1FFA" w:rsidP="000956CD">
            <w:pPr>
              <w:pStyle w:val="TTableText"/>
              <w:rPr>
                <w:rFonts w:eastAsia="Arial"/>
              </w:rPr>
            </w:pPr>
            <w:hyperlink r:id="rId29">
              <w:r w:rsidR="004D1FDC">
                <w:rPr>
                  <w:rFonts w:eastAsia="Arial"/>
                  <w:color w:val="1155CC"/>
                  <w:u w:val="single"/>
                </w:rPr>
                <w:t xml:space="preserve">Volume 832, </w:t>
              </w:r>
              <w:r w:rsidR="000956CD">
                <w:rPr>
                  <w:rFonts w:eastAsia="Arial"/>
                  <w:color w:val="1155CC"/>
                  <w:u w:val="single"/>
                </w:rPr>
                <w:t>C</w:t>
              </w:r>
              <w:r w:rsidR="004D1FDC">
                <w:rPr>
                  <w:rFonts w:eastAsia="Arial"/>
                  <w:color w:val="1155CC"/>
                  <w:u w:val="single"/>
                </w:rPr>
                <w:t>olumns 788 to 790</w:t>
              </w:r>
            </w:hyperlink>
          </w:p>
        </w:tc>
      </w:tr>
      <w:tr w:rsidR="004D1FDC" w14:paraId="11E1BED0" w14:textId="77777777" w:rsidTr="00281F99">
        <w:tc>
          <w:tcPr>
            <w:tcW w:w="3023" w:type="dxa"/>
          </w:tcPr>
          <w:p w14:paraId="624E237D" w14:textId="77777777" w:rsidR="004D1FDC" w:rsidRDefault="004D1FDC" w:rsidP="000956CD">
            <w:pPr>
              <w:pStyle w:val="TTableText"/>
              <w:rPr>
                <w:rFonts w:eastAsia="Arial"/>
              </w:rPr>
            </w:pPr>
            <w:r>
              <w:rPr>
                <w:rFonts w:eastAsia="Arial"/>
              </w:rPr>
              <w:t>Royal Assent</w:t>
            </w:r>
          </w:p>
        </w:tc>
        <w:tc>
          <w:tcPr>
            <w:tcW w:w="3024" w:type="dxa"/>
          </w:tcPr>
          <w:p w14:paraId="6AB4693F" w14:textId="77777777" w:rsidR="004D1FDC" w:rsidRDefault="004D1FDC" w:rsidP="000956CD">
            <w:pPr>
              <w:pStyle w:val="TTableText"/>
              <w:rPr>
                <w:rFonts w:eastAsia="Arial"/>
              </w:rPr>
            </w:pPr>
            <w:r>
              <w:rPr>
                <w:rFonts w:eastAsia="Arial"/>
              </w:rPr>
              <w:t>26 October 2023</w:t>
            </w:r>
          </w:p>
        </w:tc>
        <w:tc>
          <w:tcPr>
            <w:tcW w:w="3024" w:type="dxa"/>
          </w:tcPr>
          <w:p w14:paraId="263672E0" w14:textId="067B6360" w:rsidR="004D1FDC" w:rsidRDefault="004D1FFA" w:rsidP="000956CD">
            <w:pPr>
              <w:pStyle w:val="TTableText"/>
              <w:rPr>
                <w:rFonts w:eastAsia="Arial"/>
              </w:rPr>
            </w:pPr>
            <w:hyperlink r:id="rId30">
              <w:r w:rsidR="004D1FDC">
                <w:rPr>
                  <w:rFonts w:eastAsia="Arial"/>
                  <w:color w:val="1155CC"/>
                  <w:u w:val="single"/>
                </w:rPr>
                <w:t>Vol</w:t>
              </w:r>
              <w:r w:rsidR="000956CD">
                <w:rPr>
                  <w:rFonts w:eastAsia="Arial"/>
                  <w:color w:val="1155CC"/>
                  <w:u w:val="single"/>
                </w:rPr>
                <w:t>ume</w:t>
              </w:r>
              <w:r w:rsidR="004D1FDC">
                <w:rPr>
                  <w:rFonts w:eastAsia="Arial"/>
                  <w:color w:val="1155CC"/>
                  <w:u w:val="single"/>
                </w:rPr>
                <w:t xml:space="preserve"> 833</w:t>
              </w:r>
              <w:r w:rsidR="000956CD">
                <w:rPr>
                  <w:rFonts w:eastAsia="Arial"/>
                  <w:color w:val="1155CC"/>
                  <w:u w:val="single"/>
                </w:rPr>
                <w:t>,</w:t>
              </w:r>
              <w:r w:rsidR="004D1FDC">
                <w:rPr>
                  <w:rFonts w:eastAsia="Arial"/>
                  <w:color w:val="1155CC"/>
                  <w:u w:val="single"/>
                </w:rPr>
                <w:t xml:space="preserve"> Column 695</w:t>
              </w:r>
            </w:hyperlink>
          </w:p>
        </w:tc>
      </w:tr>
    </w:tbl>
    <w:p w14:paraId="1C61F753" w14:textId="77777777" w:rsidR="004D1FDC" w:rsidRDefault="004D1FDC" w:rsidP="004D1FDC">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4D1FDC" w:rsidSect="002066B3">
      <w:footerReference w:type="first" r:id="rId31"/>
      <w:pgSz w:w="11906" w:h="16838" w:code="9"/>
      <w:pgMar w:top="1134" w:right="1134" w:bottom="1673" w:left="1701" w:header="720" w:footer="720" w:gutter="0"/>
      <w:pgNumType w:start="2"/>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E8ADC" w14:textId="77777777" w:rsidR="007D62B3" w:rsidRDefault="007D62B3">
      <w:r>
        <w:separator/>
      </w:r>
    </w:p>
    <w:p w14:paraId="34F1F69C" w14:textId="77777777" w:rsidR="007D62B3" w:rsidRDefault="007D62B3"/>
    <w:p w14:paraId="418E8C99" w14:textId="77777777" w:rsidR="007D62B3" w:rsidRDefault="007D62B3"/>
  </w:endnote>
  <w:endnote w:type="continuationSeparator" w:id="0">
    <w:p w14:paraId="70643E1C" w14:textId="77777777" w:rsidR="007D62B3" w:rsidRDefault="007D62B3">
      <w:r>
        <w:continuationSeparator/>
      </w:r>
    </w:p>
    <w:p w14:paraId="50AFBDEB" w14:textId="77777777" w:rsidR="007D62B3" w:rsidRDefault="007D62B3"/>
    <w:p w14:paraId="0115C30E"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142C" w14:textId="77777777" w:rsidR="002066B3" w:rsidRPr="00CE4360" w:rsidRDefault="002066B3" w:rsidP="002066B3">
    <w:pPr>
      <w:pStyle w:val="Footer"/>
      <w:rPr>
        <w:i/>
      </w:rPr>
    </w:pPr>
    <w:r w:rsidRPr="000C288B">
      <w:rPr>
        <w:rStyle w:val="FooterText"/>
      </w:rPr>
      <w:t xml:space="preserve">These Explanatory Notes relate to the </w:t>
    </w:r>
    <w:r w:rsidRPr="00CE4360">
      <w:rPr>
        <w:rStyle w:val="FooterText"/>
      </w:rPr>
      <w:t xml:space="preserve">Worker Protection (Amendment </w:t>
    </w:r>
    <w:r>
      <w:rPr>
        <w:rStyle w:val="FooterText"/>
      </w:rPr>
      <w:t>o</w:t>
    </w:r>
    <w:r w:rsidRPr="00CE4360">
      <w:rPr>
        <w:rStyle w:val="FooterText"/>
      </w:rPr>
      <w:t>f Equality Act 2010) Act 2023</w:t>
    </w:r>
    <w:r>
      <w:rPr>
        <w:rStyle w:val="FooterText"/>
      </w:rPr>
      <w:t xml:space="preserve"> </w:t>
    </w:r>
    <w:r w:rsidRPr="000C288B">
      <w:rPr>
        <w:rStyle w:val="FooterText"/>
      </w:rPr>
      <w:t>which received Royal Assent on 26 October 2023 (c. 5</w:t>
    </w:r>
    <w:r>
      <w:rPr>
        <w:rStyle w:val="FooterText"/>
      </w:rPr>
      <w:t>1</w:t>
    </w:r>
    <w:r w:rsidRPr="000C288B">
      <w:rPr>
        <w:rStyle w:val="FooterText"/>
      </w:rPr>
      <w:t>).</w:t>
    </w:r>
  </w:p>
  <w:p w14:paraId="46424E32" w14:textId="23E40D9C" w:rsidR="00CE4360" w:rsidRDefault="002066B3" w:rsidP="004D1FFA">
    <w:pPr>
      <w:pStyle w:val="Footer"/>
      <w:jc w:val="cen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7A432" w14:textId="61C06913" w:rsidR="00CE4360" w:rsidRDefault="00CE4360" w:rsidP="00F746D7">
    <w:pPr>
      <w:pStyle w:val="Footer"/>
    </w:pPr>
    <w:r>
      <w:t>c. 51-EN</w:t>
    </w:r>
  </w:p>
  <w:p w14:paraId="2D8BFBDC" w14:textId="77777777" w:rsidR="00CE4360" w:rsidRDefault="00CE4360" w:rsidP="00CE4360">
    <w:pPr>
      <w:pStyle w:val="FootnoteTex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48D1" w14:textId="4CD034FC" w:rsidR="00CE4360" w:rsidRDefault="00CE4360" w:rsidP="00CE4360">
    <w:pPr>
      <w:pStyle w:val="Footer"/>
      <w:rPr>
        <w:rStyle w:val="FooterText"/>
      </w:rPr>
    </w:pPr>
    <w:r w:rsidRPr="000C288B">
      <w:rPr>
        <w:rStyle w:val="FooterText"/>
      </w:rPr>
      <w:t xml:space="preserve">These Explanatory Notes relate to the </w:t>
    </w:r>
    <w:r w:rsidRPr="00CE4360">
      <w:rPr>
        <w:rStyle w:val="FooterText"/>
      </w:rPr>
      <w:t xml:space="preserve">Worker Protection (Amendment </w:t>
    </w:r>
    <w:r>
      <w:rPr>
        <w:rStyle w:val="FooterText"/>
      </w:rPr>
      <w:t>o</w:t>
    </w:r>
    <w:r w:rsidRPr="00CE4360">
      <w:rPr>
        <w:rStyle w:val="FooterText"/>
      </w:rPr>
      <w:t>f Equality Act 2010) Act 2023</w:t>
    </w:r>
    <w:r>
      <w:rPr>
        <w:rStyle w:val="FooterText"/>
      </w:rPr>
      <w:t xml:space="preserve"> </w:t>
    </w:r>
    <w:r w:rsidRPr="000C288B">
      <w:rPr>
        <w:rStyle w:val="FooterText"/>
      </w:rPr>
      <w:t>which received Royal Assent on 26 October 2023 (c. 5</w:t>
    </w:r>
    <w:r>
      <w:rPr>
        <w:rStyle w:val="FooterText"/>
      </w:rPr>
      <w:t>1</w:t>
    </w:r>
    <w:r w:rsidRPr="000C288B">
      <w:rPr>
        <w:rStyle w:val="FooterText"/>
      </w:rPr>
      <w:t>).</w:t>
    </w:r>
  </w:p>
  <w:p w14:paraId="6A8D72B3" w14:textId="1747430D" w:rsidR="002066B3" w:rsidRPr="002066B3" w:rsidRDefault="002066B3" w:rsidP="002066B3">
    <w:pPr>
      <w:pStyle w:val="Footer"/>
      <w:jc w:val="center"/>
      <w:rPr>
        <w:iCs/>
      </w:rPr>
    </w:pPr>
    <w:r w:rsidRPr="002066B3">
      <w:rPr>
        <w:iCs/>
      </w:rPr>
      <w:fldChar w:fldCharType="begin"/>
    </w:r>
    <w:r w:rsidRPr="002066B3">
      <w:rPr>
        <w:iCs/>
      </w:rPr>
      <w:instrText>PAGE   \* MERGEFORMAT</w:instrText>
    </w:r>
    <w:r w:rsidRPr="002066B3">
      <w:rPr>
        <w:iCs/>
      </w:rPr>
      <w:fldChar w:fldCharType="separate"/>
    </w:r>
    <w:r w:rsidRPr="002066B3">
      <w:rPr>
        <w:iCs/>
      </w:rPr>
      <w:t>1</w:t>
    </w:r>
    <w:r w:rsidRPr="002066B3">
      <w:rPr>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F760" w14:textId="77777777" w:rsidR="007D62B3" w:rsidRDefault="007D62B3">
      <w:r>
        <w:separator/>
      </w:r>
    </w:p>
    <w:p w14:paraId="6265ECEC" w14:textId="77777777" w:rsidR="007D62B3" w:rsidRDefault="007D62B3"/>
    <w:p w14:paraId="7B3F0BC6" w14:textId="77777777" w:rsidR="007D62B3" w:rsidRDefault="007D62B3"/>
  </w:footnote>
  <w:footnote w:type="continuationSeparator" w:id="0">
    <w:p w14:paraId="5099ED0D" w14:textId="77777777" w:rsidR="007D62B3" w:rsidRDefault="007D62B3">
      <w:r>
        <w:continuationSeparator/>
      </w:r>
    </w:p>
    <w:p w14:paraId="3C27E6D6" w14:textId="77777777" w:rsidR="007D62B3" w:rsidRDefault="007D62B3"/>
    <w:p w14:paraId="61CF74C9" w14:textId="77777777" w:rsidR="007D62B3" w:rsidRDefault="007D62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4AE23E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188A4D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288371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6F0E66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CFB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E42EC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F4A9B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A2BD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7CF05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56CF5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8C27321"/>
    <w:multiLevelType w:val="multilevel"/>
    <w:tmpl w:val="01486BDE"/>
    <w:lvl w:ilvl="0">
      <w:start w:val="1"/>
      <w:numFmt w:val="decimal"/>
      <w:lvlText w:val="%1 "/>
      <w:lvlJc w:val="left"/>
      <w:pPr>
        <w:ind w:left="720" w:hanging="360"/>
      </w:pPr>
      <w:rPr>
        <w:color w:val="000000"/>
      </w:r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C517621"/>
    <w:multiLevelType w:val="multilevel"/>
    <w:tmpl w:val="46B631F4"/>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36BA4BB7"/>
    <w:multiLevelType w:val="multilevel"/>
    <w:tmpl w:val="FCDE764A"/>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0" w15:restartNumberingAfterBreak="0">
    <w:nsid w:val="465F787F"/>
    <w:multiLevelType w:val="multilevel"/>
    <w:tmpl w:val="FEFCBF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03459315">
    <w:abstractNumId w:val="13"/>
  </w:num>
  <w:num w:numId="2" w16cid:durableId="1345789405">
    <w:abstractNumId w:val="21"/>
  </w:num>
  <w:num w:numId="3" w16cid:durableId="2066025826">
    <w:abstractNumId w:val="24"/>
  </w:num>
  <w:num w:numId="4" w16cid:durableId="1084913801">
    <w:abstractNumId w:val="23"/>
  </w:num>
  <w:num w:numId="5" w16cid:durableId="576209976">
    <w:abstractNumId w:val="17"/>
  </w:num>
  <w:num w:numId="6" w16cid:durableId="1703675846">
    <w:abstractNumId w:val="25"/>
  </w:num>
  <w:num w:numId="7" w16cid:durableId="1171524233">
    <w:abstractNumId w:val="11"/>
  </w:num>
  <w:num w:numId="8" w16cid:durableId="1772437499">
    <w:abstractNumId w:val="15"/>
  </w:num>
  <w:num w:numId="9" w16cid:durableId="627855823">
    <w:abstractNumId w:val="22"/>
  </w:num>
  <w:num w:numId="10" w16cid:durableId="1952281256">
    <w:abstractNumId w:val="18"/>
  </w:num>
  <w:num w:numId="11" w16cid:durableId="1835803080">
    <w:abstractNumId w:val="26"/>
  </w:num>
  <w:num w:numId="12" w16cid:durableId="1835799335">
    <w:abstractNumId w:val="17"/>
    <w:lvlOverride w:ilvl="0">
      <w:startOverride w:val="1"/>
    </w:lvlOverride>
  </w:num>
  <w:num w:numId="13" w16cid:durableId="1539851593">
    <w:abstractNumId w:val="9"/>
  </w:num>
  <w:num w:numId="14" w16cid:durableId="1637178863">
    <w:abstractNumId w:val="7"/>
  </w:num>
  <w:num w:numId="15" w16cid:durableId="1660572748">
    <w:abstractNumId w:val="6"/>
  </w:num>
  <w:num w:numId="16" w16cid:durableId="734157307">
    <w:abstractNumId w:val="5"/>
  </w:num>
  <w:num w:numId="17" w16cid:durableId="538474633">
    <w:abstractNumId w:val="4"/>
  </w:num>
  <w:num w:numId="18" w16cid:durableId="416247413">
    <w:abstractNumId w:val="8"/>
  </w:num>
  <w:num w:numId="19" w16cid:durableId="776561613">
    <w:abstractNumId w:val="3"/>
  </w:num>
  <w:num w:numId="20" w16cid:durableId="503665173">
    <w:abstractNumId w:val="2"/>
  </w:num>
  <w:num w:numId="21" w16cid:durableId="2033415343">
    <w:abstractNumId w:val="1"/>
  </w:num>
  <w:num w:numId="22" w16cid:durableId="2107577785">
    <w:abstractNumId w:val="0"/>
  </w:num>
  <w:num w:numId="23" w16cid:durableId="585262310">
    <w:abstractNumId w:val="16"/>
  </w:num>
  <w:num w:numId="24" w16cid:durableId="1964998528">
    <w:abstractNumId w:val="23"/>
    <w:lvlOverride w:ilvl="0">
      <w:startOverride w:val="1"/>
    </w:lvlOverride>
  </w:num>
  <w:num w:numId="25" w16cid:durableId="1169367426">
    <w:abstractNumId w:val="10"/>
  </w:num>
  <w:num w:numId="26" w16cid:durableId="1433630484">
    <w:abstractNumId w:val="14"/>
  </w:num>
  <w:num w:numId="27" w16cid:durableId="467086258">
    <w:abstractNumId w:val="12"/>
  </w:num>
  <w:num w:numId="28" w16cid:durableId="421754614">
    <w:abstractNumId w:val="19"/>
  </w:num>
  <w:num w:numId="29" w16cid:durableId="249389062">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2668"/>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6CD"/>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25969"/>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3EF9"/>
    <w:rsid w:val="001D669A"/>
    <w:rsid w:val="001E0F8B"/>
    <w:rsid w:val="001E3774"/>
    <w:rsid w:val="001F0BE5"/>
    <w:rsid w:val="001F2D93"/>
    <w:rsid w:val="001F36D8"/>
    <w:rsid w:val="001F3C7A"/>
    <w:rsid w:val="00200C09"/>
    <w:rsid w:val="002042BC"/>
    <w:rsid w:val="00206464"/>
    <w:rsid w:val="002066B3"/>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1F99"/>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5362"/>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1FDC"/>
    <w:rsid w:val="004D1FFA"/>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86D"/>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1A4"/>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13E00"/>
    <w:rsid w:val="009204CC"/>
    <w:rsid w:val="00921DA9"/>
    <w:rsid w:val="00922955"/>
    <w:rsid w:val="00922B46"/>
    <w:rsid w:val="009245E7"/>
    <w:rsid w:val="0092520A"/>
    <w:rsid w:val="0092700D"/>
    <w:rsid w:val="00933688"/>
    <w:rsid w:val="009379F5"/>
    <w:rsid w:val="00940174"/>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66629"/>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4360"/>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46D7"/>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E204B0D"/>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55362"/>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MessageHeader">
    <w:name w:val="Message Header"/>
    <w:basedOn w:val="Normal"/>
    <w:link w:val="MessageHeaderChar"/>
    <w:uiPriority w:val="99"/>
    <w:unhideWhenUsed/>
    <w:locked/>
    <w:rsid w:val="0012596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125969"/>
    <w:rPr>
      <w:rFonts w:asciiTheme="majorHAnsi" w:eastAsiaTheme="majorEastAsia" w:hAnsiTheme="majorHAnsi" w:cstheme="majorBidi"/>
      <w:sz w:val="24"/>
      <w:szCs w:val="24"/>
      <w:shd w:val="pct20" w:color="auto" w:fill="auto"/>
      <w:lang w:val="en-GB"/>
    </w:rPr>
  </w:style>
  <w:style w:type="table" w:styleId="GridTable1Light-Accent1">
    <w:name w:val="Grid Table 1 Light Accent 1"/>
    <w:basedOn w:val="TableNormal"/>
    <w:uiPriority w:val="46"/>
    <w:rsid w:val="000956C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956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0956C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UnresolvedMention">
    <w:name w:val="Unresolved Mention"/>
    <w:basedOn w:val="DefaultParagraphFont"/>
    <w:uiPriority w:val="99"/>
    <w:semiHidden/>
    <w:unhideWhenUsed/>
    <w:rsid w:val="00B66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equalityhumanrights.com/en/our-litigation-and-enforcement-policy/our-enforcement-powers" TargetMode="External"/><Relationship Id="rId18" Type="http://schemas.openxmlformats.org/officeDocument/2006/relationships/hyperlink" Target="https://bills.parliament.uk/bills/3205/publications" TargetMode="External"/><Relationship Id="rId26" Type="http://schemas.openxmlformats.org/officeDocument/2006/relationships/hyperlink" Target="https://hansard.parliament.uk/lords/2023-03-24/debates/E05389A1-47A0-4428-8239-9151E0D67B0C/WorkerProtection(AmendmentOfEqualityAct2010)Bill" TargetMode="External"/><Relationship Id="rId3" Type="http://schemas.openxmlformats.org/officeDocument/2006/relationships/numbering" Target="numbering.xml"/><Relationship Id="rId21" Type="http://schemas.openxmlformats.org/officeDocument/2006/relationships/hyperlink" Target="https://hansard.parliament.uk/commons/2022-10-21/debates/40CF6AF9-2FF6-4C79-8DE4-13FBA34E4231/WorkerProtection(AmendmentOfEqualityAct2010)Bill" TargetMode="External"/><Relationship Id="rId7" Type="http://schemas.openxmlformats.org/officeDocument/2006/relationships/footnotes" Target="footnotes.xml"/><Relationship Id="rId12" Type="http://schemas.openxmlformats.org/officeDocument/2006/relationships/hyperlink" Target="https://www.gov.uk/government/consultations/consultation-on-sexual-harassment-in-the-workplace" TargetMode="External"/><Relationship Id="rId17" Type="http://schemas.openxmlformats.org/officeDocument/2006/relationships/hyperlink" Target="https://bills.parliament.uk/bills/3205/stages" TargetMode="External"/><Relationship Id="rId25" Type="http://schemas.openxmlformats.org/officeDocument/2006/relationships/hyperlink" Target="https://hansard.parliament.uk/lords/2023-02-06/debates/14BCA413-5ECF-41FA-B5D6-470A80E3B988/WorkerProtection(AmendmentOfEqualityAct2010)Bil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ov.uk/government/consultations/consultation-on-sexual-harassment-in-the-workplace" TargetMode="External"/><Relationship Id="rId20" Type="http://schemas.openxmlformats.org/officeDocument/2006/relationships/hyperlink" Target="https://hansard.parliament.uk/commons/2022-06-15/debates/78DA690C-B53E-4F57-B28B-2FA0F6FB0E6B/MigrationAndEconomicDevelopmentPartnershipWithRwanda" TargetMode="External"/><Relationship Id="rId29" Type="http://schemas.openxmlformats.org/officeDocument/2006/relationships/hyperlink" Target="https://hansard.parliament.uk/lords/2023-09-12/debates/EEA500A3-3356-4CBF-95BA-1EE4E7DDFB11/WorkerProtection(AmendmentOfEqualityAct2010)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mmittees.parliament.uk/work/6032/sexual-harassment-in-the-workplace-inquiry/publications/" TargetMode="External"/><Relationship Id="rId24" Type="http://schemas.openxmlformats.org/officeDocument/2006/relationships/hyperlink" Target="https://hansard.parliament.uk/commons/2023-10-20/debates/E4443F40-E49B-4DD3-A770-2FEE145852E7/WorkerProtection(AmendmentOfEqualityAct2010)Bill"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publications.parliament.uk/pa/cm201719/cmselect/cmwomeq/1801/180102.htm" TargetMode="External"/><Relationship Id="rId23" Type="http://schemas.openxmlformats.org/officeDocument/2006/relationships/hyperlink" Target="https://hansard.parliament.uk/commons/2023-02-03/debates/FA79968C-3F4A-426F-9205-90ED000B7E3B/WorkerProtection(AmendmentOfEqualityAct2010)Bill" TargetMode="External"/><Relationship Id="rId28" Type="http://schemas.openxmlformats.org/officeDocument/2006/relationships/hyperlink" Target="https://hansard.parliament.uk/lords/2023-09-05/debates/DFE87CD1-F245-4CB6-BDF9-395D1ACF4CDF/WorkerProtection(AmendmentOfEqualityAct2010)Bill" TargetMode="External"/><Relationship Id="rId10" Type="http://schemas.openxmlformats.org/officeDocument/2006/relationships/footer" Target="footer2.xml"/><Relationship Id="rId19" Type="http://schemas.openxmlformats.org/officeDocument/2006/relationships/hyperlink" Target="https://www.legislation.gov.uk/ukpga/2010/15/contents"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publications.parliament.uk/pa/cm201719/cmselect/cmwomeq/725/72502.htm" TargetMode="External"/><Relationship Id="rId22" Type="http://schemas.openxmlformats.org/officeDocument/2006/relationships/hyperlink" Target="https://publications.parliament.uk/pa/bills/cbill/58-03/0028/PBC028_Worker_Protection_1st_23_11_2022.pdf" TargetMode="External"/><Relationship Id="rId27" Type="http://schemas.openxmlformats.org/officeDocument/2006/relationships/hyperlink" Target="https://hansard.parliament.uk/Lords/2023-07-14/debates/998525BF-F99B-47A3-84E9-B7D4FB1FDF10/WorkerProtection(AmendmentOfEqualityAct2010)Bill" TargetMode="External"/><Relationship Id="rId30" Type="http://schemas.openxmlformats.org/officeDocument/2006/relationships/hyperlink" Target="https://hansard.parliament.uk/lords/2023-10-26/debates/DBDF53D6-E549-4E6E-AC9C-5843F481C438/RoyalAssent"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2037</Words>
  <Characters>13814</Characters>
  <Application>Microsoft Office Word</Application>
  <DocSecurity>0</DocSecurity>
  <Lines>1151</Lines>
  <Paragraphs>1219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13</cp:revision>
  <cp:lastPrinted>2016-01-06T10:34:00Z</cp:lastPrinted>
  <dcterms:created xsi:type="dcterms:W3CDTF">2023-11-20T10:03:00Z</dcterms:created>
  <dcterms:modified xsi:type="dcterms:W3CDTF">2023-11-21T10:25:00Z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2023-11-20T10:03:05Z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e8a1781f-dd5a-4cb6-901b-d094bb27540c</vt:lpwstr>
  </property>
  <property fmtid="{D5CDD505-2E9C-101B-9397-08002B2CF9AE}" pid="8" name="MSIP_Label_61c22e59-6e76-40e7-9277-37c464fc6354_ContentBits">
    <vt:lpwstr>0</vt:lpwstr>
  </property>
</Properties>
</file>