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rFonts w:ascii="Times New Roman" w:hAnsi="Times New Roman" w:cs="Times New Roman"/>
          <w:b/>
        </w:rPr>
      </w:pPr>
      <w:r>
        <w:rPr>
          <w:rFonts w:cs="Times New Roman" w:ascii="Times New Roman" w:hAnsi="Times New Roman"/>
          <w:b/>
        </w:rPr>
      </w:r>
    </w:p>
    <w:p>
      <w:pPr>
        <w:pStyle w:val="BodyText"/>
        <w:jc w:val="center"/>
        <w:rPr>
          <w:rFonts w:ascii="Times New Roman" w:hAnsi="Times New Roman" w:cs="Times New Roman"/>
          <w:b/>
        </w:rPr>
      </w:pPr>
      <w:r>
        <w:rPr>
          <w:rFonts w:cs="Times New Roman" w:ascii="Times New Roman" w:hAnsi="Times New Roman"/>
          <w:b/>
        </w:rPr>
        <w:t>EXPLANATORY MEMORANDUM TO</w:t>
      </w:r>
    </w:p>
    <w:p>
      <w:pPr>
        <w:pStyle w:val="Normal"/>
        <w:rPr>
          <w:rFonts w:ascii="Times New Roman" w:hAnsi="Times New Roman" w:cs="Times New Roman"/>
          <w:b/>
          <w:sz w:val="24"/>
        </w:rPr>
      </w:pPr>
      <w:r>
        <w:rPr>
          <w:rFonts w:cs="Times New Roman"/>
          <w:b/>
          <w:sz w:val="24"/>
        </w:rPr>
      </w:r>
    </w:p>
    <w:p>
      <w:pPr>
        <w:pStyle w:val="Heading1"/>
        <w:ind w:hanging="0" w:start="0"/>
        <w:jc w:val="center"/>
        <w:rPr>
          <w:rFonts w:ascii="Times New Roman" w:hAnsi="Times New Roman" w:cs="Times New Roman"/>
        </w:rPr>
      </w:pPr>
      <w:r>
        <w:rPr>
          <w:rFonts w:cs="Times New Roman" w:ascii="Times New Roman" w:hAnsi="Times New Roman"/>
        </w:rPr>
        <w:t>THE WORKING TIME (AMENDMENT) REGULATIONS</w:t>
      </w:r>
    </w:p>
    <w:p>
      <w:pPr>
        <w:pStyle w:val="Normal"/>
        <w:jc w:val="center"/>
        <w:rPr>
          <w:rFonts w:ascii="Times New Roman" w:hAnsi="Times New Roman" w:cs="Times New Roman"/>
          <w:b/>
          <w:sz w:val="24"/>
        </w:rPr>
      </w:pPr>
      <w:r>
        <w:rPr>
          <w:rFonts w:cs="Times New Roman"/>
          <w:b/>
          <w:sz w:val="24"/>
        </w:rPr>
      </w:r>
    </w:p>
    <w:p>
      <w:pPr>
        <w:pStyle w:val="Normal"/>
        <w:jc w:val="center"/>
        <w:rPr/>
      </w:pPr>
      <w:r>
        <w:rPr>
          <w:b/>
          <w:sz w:val="24"/>
        </w:rPr>
        <w:t>2013 No. [XXXX]</w:t>
      </w:r>
    </w:p>
    <w:p>
      <w:pPr>
        <w:pStyle w:val="Normal"/>
        <w:rPr>
          <w:b/>
          <w:sz w:val="24"/>
        </w:rPr>
      </w:pPr>
      <w:r>
        <w:rPr>
          <w:b/>
          <w:sz w:val="24"/>
        </w:rPr>
      </w:r>
    </w:p>
    <w:p>
      <w:pPr>
        <w:pStyle w:val="Normal"/>
        <w:rPr>
          <w:sz w:val="24"/>
        </w:rPr>
      </w:pPr>
      <w:r>
        <w:rPr>
          <w:sz w:val="24"/>
        </w:rPr>
      </w:r>
    </w:p>
    <w:p>
      <w:pPr>
        <w:pStyle w:val="Normal"/>
        <w:ind w:hanging="720" w:start="720" w:end="0"/>
        <w:rPr/>
      </w:pPr>
      <w:r>
        <w:rPr>
          <w:b/>
          <w:sz w:val="24"/>
        </w:rPr>
        <w:t>1.</w:t>
      </w:r>
      <w:r>
        <w:rPr>
          <w:sz w:val="24"/>
        </w:rPr>
        <w:tab/>
        <w:t>This explanatory memorandum has been prepared by the Department for Environment, Food and Rural Affairs and is laid before Parliament by Command of Her Majesty.</w:t>
      </w:r>
    </w:p>
    <w:p>
      <w:pPr>
        <w:pStyle w:val="Normal"/>
        <w:ind w:start="720" w:end="0"/>
        <w:rPr>
          <w:sz w:val="24"/>
        </w:rPr>
      </w:pPr>
      <w:r>
        <w:rPr>
          <w:sz w:val="24"/>
        </w:rPr>
      </w:r>
    </w:p>
    <w:p>
      <w:pPr>
        <w:pStyle w:val="Normal"/>
        <w:rPr>
          <w:b/>
          <w:sz w:val="24"/>
        </w:rPr>
      </w:pPr>
      <w:r>
        <w:rPr>
          <w:b/>
          <w:sz w:val="24"/>
        </w:rPr>
        <w:t xml:space="preserve">2. </w:t>
        <w:tab/>
        <w:t>Purpose of the instrument</w:t>
      </w:r>
    </w:p>
    <w:p>
      <w:pPr>
        <w:pStyle w:val="Normal"/>
        <w:rPr>
          <w:b/>
          <w:sz w:val="24"/>
        </w:rPr>
      </w:pPr>
      <w:r>
        <w:rPr>
          <w:b/>
          <w:sz w:val="24"/>
        </w:rPr>
      </w:r>
    </w:p>
    <w:p>
      <w:pPr>
        <w:pStyle w:val="Normal"/>
        <w:ind w:hanging="709" w:start="709" w:end="0"/>
        <w:rPr>
          <w:sz w:val="24"/>
        </w:rPr>
      </w:pPr>
      <w:r>
        <w:rPr>
          <w:b/>
          <w:sz w:val="24"/>
        </w:rPr>
        <w:tab/>
      </w:r>
      <w:r>
        <w:rPr>
          <w:sz w:val="24"/>
        </w:rPr>
        <w:t>2.1</w:t>
        <w:tab/>
        <w:t xml:space="preserve">To align the position for workers employed in agriculture in England and Wales with the position for workers in most other sectors under the Working Time Regulations 1998 (“the 1998 Regulations”). </w:t>
      </w:r>
    </w:p>
    <w:p>
      <w:pPr>
        <w:pStyle w:val="Normal"/>
        <w:rPr>
          <w:sz w:val="24"/>
        </w:rPr>
      </w:pPr>
      <w:r>
        <w:rPr>
          <w:sz w:val="24"/>
        </w:rPr>
      </w:r>
    </w:p>
    <w:p>
      <w:pPr>
        <w:pStyle w:val="Normal"/>
        <w:ind w:hanging="720" w:start="720" w:end="0"/>
        <w:rPr/>
      </w:pPr>
      <w:r>
        <w:rPr>
          <w:b/>
          <w:sz w:val="24"/>
        </w:rPr>
        <w:t>3.</w:t>
        <w:tab/>
        <w:t xml:space="preserve">Matters of special interest to the Joint Committee on Statutory Instruments </w:t>
      </w:r>
    </w:p>
    <w:p>
      <w:pPr>
        <w:pStyle w:val="Normal"/>
        <w:ind w:hanging="720" w:start="720" w:end="0"/>
        <w:rPr>
          <w:b/>
          <w:sz w:val="24"/>
        </w:rPr>
      </w:pPr>
      <w:r>
        <w:rPr>
          <w:b/>
          <w:sz w:val="24"/>
        </w:rPr>
      </w:r>
    </w:p>
    <w:p>
      <w:pPr>
        <w:pStyle w:val="Normal"/>
        <w:ind w:hanging="720" w:start="720" w:end="0"/>
        <w:rPr>
          <w:sz w:val="24"/>
        </w:rPr>
      </w:pPr>
      <w:r>
        <w:rPr>
          <w:b/>
          <w:sz w:val="24"/>
        </w:rPr>
        <w:tab/>
      </w:r>
      <w:r>
        <w:rPr>
          <w:sz w:val="24"/>
        </w:rPr>
        <w:t xml:space="preserve">3.1 </w:t>
        <w:tab/>
        <w:t>None</w:t>
      </w:r>
    </w:p>
    <w:p>
      <w:pPr>
        <w:pStyle w:val="Normal"/>
        <w:ind w:hanging="720" w:start="720" w:end="0"/>
        <w:rPr>
          <w:sz w:val="24"/>
        </w:rPr>
      </w:pPr>
      <w:r>
        <w:rPr>
          <w:sz w:val="24"/>
        </w:rPr>
      </w:r>
    </w:p>
    <w:p>
      <w:pPr>
        <w:pStyle w:val="Normal"/>
        <w:ind w:hanging="720" w:start="720" w:end="0"/>
        <w:rPr>
          <w:b/>
          <w:sz w:val="24"/>
        </w:rPr>
      </w:pPr>
      <w:r>
        <w:rPr>
          <w:b/>
          <w:sz w:val="24"/>
        </w:rPr>
        <w:t>4.</w:t>
        <w:tab/>
        <w:t>Legislative Context</w:t>
      </w:r>
    </w:p>
    <w:p>
      <w:pPr>
        <w:pStyle w:val="Normal"/>
        <w:ind w:hanging="720" w:start="720" w:end="0"/>
        <w:rPr>
          <w:b/>
          <w:sz w:val="24"/>
        </w:rPr>
      </w:pPr>
      <w:r>
        <w:rPr>
          <w:b/>
          <w:sz w:val="24"/>
        </w:rPr>
      </w:r>
    </w:p>
    <w:p>
      <w:pPr>
        <w:pStyle w:val="Normal"/>
        <w:ind w:hanging="720" w:start="720" w:end="0"/>
        <w:rPr>
          <w:sz w:val="24"/>
        </w:rPr>
      </w:pPr>
      <w:r>
        <w:rPr>
          <w:b/>
          <w:sz w:val="24"/>
        </w:rPr>
        <w:tab/>
      </w:r>
      <w:r>
        <w:rPr>
          <w:sz w:val="24"/>
        </w:rPr>
        <w:t>4.1</w:t>
        <w:tab/>
        <w:t xml:space="preserve">The Enterprise and Regulatory Reform Act 2013 provides for the abolition of the separate employment regime for agricultural workers in England and Wales.  As from 1 October 2013, workers employed in agriculture in England and Wales will be protected by the same statutory employment terms and conditions as workers in most other sectors of the economy.  </w:t>
      </w:r>
    </w:p>
    <w:p>
      <w:pPr>
        <w:pStyle w:val="Normal"/>
        <w:ind w:hanging="720" w:start="720" w:end="0"/>
        <w:rPr>
          <w:sz w:val="24"/>
        </w:rPr>
      </w:pPr>
      <w:r>
        <w:rPr>
          <w:sz w:val="24"/>
        </w:rPr>
      </w:r>
    </w:p>
    <w:p>
      <w:pPr>
        <w:pStyle w:val="Normal"/>
        <w:ind w:start="720" w:end="0"/>
        <w:rPr/>
      </w:pPr>
      <w:r>
        <w:rPr>
          <w:sz w:val="24"/>
        </w:rPr>
        <w:t>4.2</w:t>
        <w:tab/>
        <w:t xml:space="preserve">Agricultural workers are already protected by the 1998 Regulations, but </w:t>
      </w:r>
      <w:r>
        <w:rPr>
          <w:sz w:val="24"/>
          <w:szCs w:val="24"/>
        </w:rPr>
        <w:t>there are certain exemptions in</w:t>
      </w:r>
      <w:r>
        <w:rPr>
          <w:rFonts w:cs="Arial"/>
          <w:color w:val="000000"/>
          <w:sz w:val="24"/>
          <w:szCs w:val="24"/>
        </w:rPr>
        <w:t xml:space="preserve"> the Regulations which are specific to them. These are in relation to the date of the commencement of the leave year and leave notices.  </w:t>
      </w:r>
      <w:r>
        <w:rPr>
          <w:sz w:val="24"/>
        </w:rPr>
        <w:t xml:space="preserve">These technical amendments to the 1998 Regulations are a consequence of the move to a single employment regime. </w:t>
      </w:r>
    </w:p>
    <w:p>
      <w:pPr>
        <w:pStyle w:val="Normal"/>
        <w:ind w:start="720" w:end="0"/>
        <w:rPr>
          <w:rFonts w:cs="Arial"/>
          <w:color w:val="000000"/>
          <w:sz w:val="24"/>
          <w:szCs w:val="24"/>
        </w:rPr>
      </w:pPr>
      <w:r>
        <w:rPr>
          <w:rFonts w:cs="Arial"/>
          <w:color w:val="000000"/>
          <w:sz w:val="24"/>
          <w:szCs w:val="24"/>
        </w:rPr>
      </w:r>
    </w:p>
    <w:p>
      <w:pPr>
        <w:pStyle w:val="Normal"/>
        <w:ind w:start="720" w:end="0"/>
        <w:rPr/>
      </w:pPr>
      <w:r>
        <w:rPr>
          <w:rFonts w:cs="Arial"/>
          <w:color w:val="000000"/>
          <w:sz w:val="24"/>
          <w:szCs w:val="24"/>
        </w:rPr>
        <w:t>4.3</w:t>
        <w:tab/>
        <w:t>Currently, the 1998 Regulations provide that for most workers other than those only employed in agriculture, the leave year begins on the date provided for in a relevant agreement (regulation 13).  Where there is no provision in a relevant agreement and employment began on or before 1 October 1998, then the date is 1 October. Where employment commenced after 1 October 1998, the leave year begins on the date or anniversary of the date of commencement of employment.  Under article 45 of the Agricultural Wages (England and Wales) Order 2012, the leave year for all agricultural workers begins on 1 October.</w:t>
      </w:r>
    </w:p>
    <w:p>
      <w:pPr>
        <w:pStyle w:val="Normal"/>
        <w:shd w:fill="FFFFFF" w:val="clear"/>
        <w:textAlignment w:val="top"/>
        <w:rPr>
          <w:rFonts w:cs="Arial"/>
          <w:color w:val="000000"/>
          <w:sz w:val="24"/>
          <w:szCs w:val="24"/>
        </w:rPr>
      </w:pPr>
      <w:r>
        <w:rPr>
          <w:rFonts w:cs="Arial"/>
          <w:color w:val="000000"/>
          <w:sz w:val="24"/>
          <w:szCs w:val="24"/>
        </w:rPr>
      </w:r>
    </w:p>
    <w:p>
      <w:pPr>
        <w:pStyle w:val="Normal"/>
        <w:shd w:fill="FFFFFF" w:val="clear"/>
        <w:ind w:start="720" w:end="0"/>
        <w:textAlignment w:val="top"/>
        <w:rPr/>
      </w:pPr>
      <w:r>
        <w:rPr>
          <w:rFonts w:cs="Arial"/>
          <w:color w:val="000000"/>
          <w:sz w:val="24"/>
          <w:szCs w:val="24"/>
        </w:rPr>
        <w:t>4.4</w:t>
        <w:tab/>
        <w:t>The 1998 Regulations also set out a system for workers and employers to give notice about taking leave (regulation 15), which again does not currently apply to workers only employed in agriculture.  In essence, these provisions require a worker to notify an employer of the intention to take leave at least twice as many days in advance of the first day of leave as the number of leave days requested. Similarly, if the employer requires a worker to take leave, the employer must give notice of this within the same timescale. If a worker has requested leave and an employer does not agree to the worker taking that leave, the employer must give notice of this to the worker at least as many days in advance as the number of leave days requested. There are no similar provisions under the Agricultural Wages (England and Wales) Order 2012.</w:t>
      </w:r>
    </w:p>
    <w:p>
      <w:pPr>
        <w:pStyle w:val="Normal"/>
        <w:shd w:fill="FFFFFF" w:val="clear"/>
        <w:textAlignment w:val="top"/>
        <w:rPr>
          <w:rFonts w:cs="Arial"/>
          <w:color w:val="000000"/>
          <w:sz w:val="24"/>
          <w:szCs w:val="24"/>
        </w:rPr>
      </w:pPr>
      <w:r>
        <w:rPr>
          <w:rFonts w:cs="Arial"/>
          <w:color w:val="000000"/>
          <w:sz w:val="24"/>
          <w:szCs w:val="24"/>
        </w:rPr>
      </w:r>
    </w:p>
    <w:p>
      <w:pPr>
        <w:pStyle w:val="Normal"/>
        <w:ind w:hanging="720" w:start="720" w:end="0"/>
        <w:rPr>
          <w:sz w:val="24"/>
          <w:szCs w:val="24"/>
        </w:rPr>
      </w:pPr>
      <w:r>
        <w:rPr>
          <w:rFonts w:cs="Arial"/>
          <w:color w:val="000000"/>
          <w:sz w:val="24"/>
          <w:szCs w:val="24"/>
        </w:rPr>
        <w:tab/>
        <w:t>4.5</w:t>
        <w:tab/>
        <w:t xml:space="preserve">These Regulations will align the position for agricultural workers in England and Wales regarding commencement of leave year and notice for taking leave with the position for workers in most other sectors under the 1998 Regulations.  However, saving provisions will preserve a worker’s existing arrangements for the commencement of leave year and for notice of leave taking until the end of the current employment. </w:t>
      </w:r>
    </w:p>
    <w:p>
      <w:pPr>
        <w:pStyle w:val="Normal"/>
        <w:ind w:hanging="720" w:start="720" w:end="0"/>
        <w:rPr>
          <w:sz w:val="24"/>
          <w:szCs w:val="24"/>
        </w:rPr>
      </w:pPr>
      <w:r>
        <w:rPr>
          <w:sz w:val="24"/>
          <w:szCs w:val="24"/>
        </w:rPr>
      </w:r>
    </w:p>
    <w:p>
      <w:pPr>
        <w:pStyle w:val="Normal"/>
        <w:ind w:hanging="720" w:start="720" w:end="0"/>
        <w:rPr>
          <w:b/>
          <w:sz w:val="24"/>
        </w:rPr>
      </w:pPr>
      <w:r>
        <w:rPr>
          <w:b/>
          <w:sz w:val="24"/>
        </w:rPr>
        <w:t>5.</w:t>
        <w:tab/>
        <w:t>Territorial Extent and Application</w:t>
      </w:r>
    </w:p>
    <w:p>
      <w:pPr>
        <w:pStyle w:val="Normal"/>
        <w:ind w:hanging="720" w:start="720" w:end="0"/>
        <w:rPr>
          <w:b/>
          <w:sz w:val="24"/>
        </w:rPr>
      </w:pPr>
      <w:r>
        <w:rPr>
          <w:b/>
          <w:sz w:val="24"/>
        </w:rPr>
      </w:r>
    </w:p>
    <w:p>
      <w:pPr>
        <w:pStyle w:val="Normal"/>
        <w:ind w:hanging="720" w:start="720" w:end="0"/>
        <w:rPr>
          <w:sz w:val="24"/>
        </w:rPr>
      </w:pPr>
      <w:r>
        <w:rPr>
          <w:b/>
          <w:sz w:val="24"/>
        </w:rPr>
        <w:tab/>
      </w:r>
      <w:r>
        <w:rPr>
          <w:sz w:val="24"/>
        </w:rPr>
        <w:t>5.1</w:t>
      </w:r>
      <w:r>
        <w:rPr>
          <w:b/>
          <w:sz w:val="24"/>
        </w:rPr>
        <w:tab/>
      </w:r>
      <w:r>
        <w:rPr>
          <w:sz w:val="24"/>
        </w:rPr>
        <w:t>This instrument extends to Great Britain but the amendments of the 1998 Regulations only apply to workers employed in agriculture in England and Wales.</w:t>
      </w:r>
    </w:p>
    <w:p>
      <w:pPr>
        <w:pStyle w:val="Normal"/>
        <w:ind w:hanging="720" w:start="720" w:end="0"/>
        <w:rPr>
          <w:sz w:val="24"/>
        </w:rPr>
      </w:pPr>
      <w:r>
        <w:rPr>
          <w:sz w:val="24"/>
        </w:rPr>
      </w:r>
    </w:p>
    <w:p>
      <w:pPr>
        <w:pStyle w:val="Normal"/>
        <w:ind w:hanging="720" w:start="720" w:end="0"/>
        <w:rPr>
          <w:sz w:val="24"/>
        </w:rPr>
      </w:pPr>
      <w:r>
        <w:rPr>
          <w:sz w:val="24"/>
        </w:rPr>
        <w:tab/>
      </w:r>
    </w:p>
    <w:p>
      <w:pPr>
        <w:pStyle w:val="Normal"/>
        <w:ind w:hanging="720" w:start="720" w:end="0"/>
        <w:rPr>
          <w:b/>
          <w:sz w:val="24"/>
        </w:rPr>
      </w:pPr>
      <w:r>
        <w:rPr>
          <w:b/>
          <w:sz w:val="24"/>
        </w:rPr>
        <w:t>6.</w:t>
        <w:tab/>
        <w:t>European Convention on Human Rights</w:t>
      </w:r>
    </w:p>
    <w:p>
      <w:pPr>
        <w:pStyle w:val="Normal"/>
        <w:ind w:hanging="720" w:start="720" w:end="0"/>
        <w:rPr>
          <w:b/>
          <w:sz w:val="24"/>
        </w:rPr>
      </w:pPr>
      <w:r>
        <w:rPr>
          <w:b/>
          <w:sz w:val="24"/>
        </w:rPr>
      </w:r>
    </w:p>
    <w:p>
      <w:pPr>
        <w:pStyle w:val="Normal"/>
        <w:ind w:hanging="720" w:start="720" w:end="0"/>
        <w:rPr>
          <w:sz w:val="24"/>
        </w:rPr>
      </w:pPr>
      <w:r>
        <w:rPr>
          <w:b/>
          <w:sz w:val="24"/>
        </w:rPr>
        <w:tab/>
      </w:r>
      <w:r>
        <w:rPr>
          <w:sz w:val="24"/>
        </w:rPr>
        <w:t>6.1</w:t>
      </w:r>
      <w:r>
        <w:rPr>
          <w:b/>
          <w:sz w:val="24"/>
        </w:rPr>
        <w:tab/>
      </w:r>
      <w:r>
        <w:rPr>
          <w:sz w:val="24"/>
        </w:rPr>
        <w:t xml:space="preserve">The Secretary of State for Environment, Food and Rural Affairs has made the following statement regarding Human Rights: </w:t>
      </w:r>
    </w:p>
    <w:p>
      <w:pPr>
        <w:pStyle w:val="Normal"/>
        <w:ind w:hanging="720" w:start="720" w:end="0"/>
        <w:rPr>
          <w:sz w:val="24"/>
        </w:rPr>
      </w:pPr>
      <w:r>
        <w:rPr>
          <w:sz w:val="24"/>
        </w:rPr>
      </w:r>
    </w:p>
    <w:p>
      <w:pPr>
        <w:pStyle w:val="Normal"/>
        <w:ind w:start="720" w:end="0"/>
        <w:rPr>
          <w:sz w:val="24"/>
        </w:rPr>
      </w:pPr>
      <w:r>
        <w:rPr>
          <w:sz w:val="24"/>
        </w:rPr>
        <w:t>In my view the provisions of the Working Time (Amendment) Regulations 2013 are compatible with the Convention rights.</w:t>
      </w:r>
    </w:p>
    <w:p>
      <w:pPr>
        <w:pStyle w:val="Normal"/>
        <w:ind w:start="720" w:end="0"/>
        <w:rPr>
          <w:sz w:val="24"/>
        </w:rPr>
      </w:pPr>
      <w:r>
        <w:rPr>
          <w:sz w:val="24"/>
        </w:rPr>
      </w:r>
    </w:p>
    <w:p>
      <w:pPr>
        <w:pStyle w:val="Normal"/>
        <w:ind w:hanging="720" w:start="720" w:end="0"/>
        <w:rPr>
          <w:b/>
          <w:sz w:val="24"/>
        </w:rPr>
      </w:pPr>
      <w:r>
        <w:rPr>
          <w:b/>
          <w:sz w:val="24"/>
        </w:rPr>
        <w:t>7.</w:t>
        <w:tab/>
        <w:t>Policy background</w:t>
      </w:r>
    </w:p>
    <w:p>
      <w:pPr>
        <w:pStyle w:val="Normal"/>
        <w:ind w:hanging="720" w:start="720" w:end="0"/>
        <w:rPr>
          <w:b/>
          <w:sz w:val="24"/>
        </w:rPr>
      </w:pPr>
      <w:r>
        <w:rPr>
          <w:b/>
          <w:sz w:val="24"/>
        </w:rPr>
      </w:r>
    </w:p>
    <w:p>
      <w:pPr>
        <w:pStyle w:val="Heading7"/>
        <w:keepNext w:val="true"/>
        <w:numPr>
          <w:ilvl w:val="0"/>
          <w:numId w:val="2"/>
        </w:numPr>
        <w:spacing w:before="0" w:after="0"/>
        <w:rPr>
          <w:rFonts w:ascii="Times New Roman" w:hAnsi="Times New Roman" w:cs="Times New Roman"/>
        </w:rPr>
      </w:pPr>
      <w:r>
        <w:rPr>
          <w:rFonts w:cs="Times New Roman" w:ascii="Times New Roman" w:hAnsi="Times New Roman"/>
        </w:rPr>
        <w:t xml:space="preserve">What is being done and why </w:t>
      </w:r>
    </w:p>
    <w:p>
      <w:pPr>
        <w:pStyle w:val="Normal"/>
        <w:ind w:hanging="720" w:start="720" w:end="0"/>
        <w:rPr>
          <w:rFonts w:ascii="Times New Roman" w:hAnsi="Times New Roman" w:cs="Times New Roman"/>
          <w:b/>
          <w:sz w:val="24"/>
        </w:rPr>
      </w:pPr>
      <w:r>
        <w:rPr>
          <w:rFonts w:cs="Times New Roman"/>
          <w:b/>
          <w:sz w:val="24"/>
        </w:rPr>
      </w:r>
    </w:p>
    <w:p>
      <w:pPr>
        <w:pStyle w:val="Normal"/>
        <w:ind w:hanging="720" w:start="720" w:end="0"/>
        <w:rPr/>
      </w:pPr>
      <w:r>
        <w:rPr>
          <w:b/>
          <w:sz w:val="24"/>
        </w:rPr>
        <w:tab/>
      </w:r>
      <w:r>
        <w:rPr>
          <w:sz w:val="24"/>
        </w:rPr>
        <w:t>7.1</w:t>
        <w:tab/>
        <w:t xml:space="preserve"> Government is committed to providing an environment for all sectors of the economy in which private enterprise and businesses can flourish.  A key coalition objective is to simplify employment legislation and remove unnecessary burdens from businesses.  As part of this, the Government has brought forward legislation through the Enterprise and Regulatory Reform Act 2013 (c. 24) to abolish the Agricultural Wages Board for England and Wales in order to bring employment in agriculture into line with other sectors of the economy.  As from 1 October 2013, there will no longer be a separate employment regime for agricultural workers in England and Wales, but they will be protected by the National Minimum Wage Act 1998 (c. 39) and the 1998 Regulations as are other workers.  </w:t>
      </w:r>
    </w:p>
    <w:p>
      <w:pPr>
        <w:pStyle w:val="Normal"/>
        <w:ind w:hanging="720" w:start="720" w:end="0"/>
        <w:rPr>
          <w:sz w:val="24"/>
        </w:rPr>
      </w:pPr>
      <w:r>
        <w:rPr>
          <w:sz w:val="24"/>
        </w:rPr>
      </w:r>
    </w:p>
    <w:p>
      <w:pPr>
        <w:pStyle w:val="Normal"/>
        <w:ind w:start="720" w:end="0"/>
        <w:rPr>
          <w:sz w:val="24"/>
          <w:szCs w:val="24"/>
        </w:rPr>
      </w:pPr>
      <w:r>
        <w:rPr>
          <w:sz w:val="24"/>
        </w:rPr>
        <w:t>7.2</w:t>
        <w:tab/>
        <w:t>A</w:t>
      </w:r>
      <w:r>
        <w:rPr>
          <w:sz w:val="24"/>
          <w:szCs w:val="24"/>
        </w:rPr>
        <w:t>gricultural workers with contractual rights as at 1 October 2013 reflecting an Agricultural Wages Order made by the Agricultural Wages Board) will retain those rights until, either their contract is varied by mutual agreement, or their employment comes to an end.   This will include where a worker is entitled to enhanced rights under the 1998 Regulations, for example in relation to leave entitlement and rest breaks. However, agricultural workers will retain rights accrued under the Agricultural Wages (England and Wales) Order 2012 in relation to the commencement of their leave year and notice of leave taking until the end of their current employment.</w:t>
      </w:r>
    </w:p>
    <w:p>
      <w:pPr>
        <w:pStyle w:val="Normal"/>
        <w:ind w:hanging="720" w:start="720" w:end="0"/>
        <w:rPr>
          <w:sz w:val="24"/>
          <w:szCs w:val="24"/>
        </w:rPr>
      </w:pPr>
      <w:r>
        <w:rPr>
          <w:sz w:val="24"/>
          <w:szCs w:val="24"/>
        </w:rPr>
      </w:r>
    </w:p>
    <w:p>
      <w:pPr>
        <w:pStyle w:val="Normal"/>
        <w:ind w:start="720" w:end="0"/>
        <w:rPr>
          <w:sz w:val="24"/>
          <w:szCs w:val="24"/>
        </w:rPr>
      </w:pPr>
      <w:r>
        <w:rPr>
          <w:sz w:val="24"/>
          <w:szCs w:val="24"/>
        </w:rPr>
        <w:t>7.3</w:t>
        <w:tab/>
        <w:t xml:space="preserve">The removal of the separate agricultural minimum wage regime will lift regulatory burdens from farm and horticultural businesses and provide for the introduction of flexible modern employment practices.  It will make it easier for employers and workers to come to arrangements which suit their own particular circumstances. This should boost job opportunities and growth, and contribute to a successful and prosperous future for the industry.   </w:t>
      </w:r>
    </w:p>
    <w:p>
      <w:pPr>
        <w:pStyle w:val="Normal"/>
        <w:ind w:hanging="720" w:start="720" w:end="0"/>
        <w:rPr>
          <w:i/>
          <w:i/>
          <w:sz w:val="24"/>
        </w:rPr>
      </w:pPr>
      <w:r>
        <w:rPr>
          <w:sz w:val="24"/>
        </w:rPr>
        <w:tab/>
      </w:r>
    </w:p>
    <w:p>
      <w:pPr>
        <w:pStyle w:val="Heading7"/>
        <w:keepNext w:val="true"/>
        <w:numPr>
          <w:ilvl w:val="0"/>
          <w:numId w:val="2"/>
        </w:numPr>
        <w:spacing w:before="0" w:after="0"/>
        <w:rPr>
          <w:rFonts w:ascii="Times New Roman" w:hAnsi="Times New Roman" w:cs="Times New Roman"/>
        </w:rPr>
      </w:pPr>
      <w:r>
        <w:rPr>
          <w:rFonts w:cs="Times New Roman" w:ascii="Times New Roman" w:hAnsi="Times New Roman"/>
        </w:rPr>
        <w:t>Consolidation</w:t>
      </w:r>
    </w:p>
    <w:p>
      <w:pPr>
        <w:pStyle w:val="Normal"/>
        <w:rPr>
          <w:rFonts w:ascii="Times New Roman" w:hAnsi="Times New Roman" w:cs="Times New Roman"/>
        </w:rPr>
      </w:pPr>
      <w:r>
        <w:rPr>
          <w:rFonts w:cs="Times New Roman"/>
        </w:rPr>
      </w:r>
    </w:p>
    <w:p>
      <w:pPr>
        <w:pStyle w:val="Normal"/>
        <w:ind w:start="720" w:end="0"/>
        <w:rPr>
          <w:iCs/>
          <w:sz w:val="24"/>
        </w:rPr>
      </w:pPr>
      <w:r>
        <w:rPr>
          <w:iCs/>
          <w:sz w:val="24"/>
        </w:rPr>
        <w:t>7.4</w:t>
        <w:tab/>
        <w:t>Not applicable</w:t>
      </w:r>
    </w:p>
    <w:p>
      <w:pPr>
        <w:pStyle w:val="Normal"/>
        <w:ind w:hanging="720" w:start="720" w:end="0"/>
        <w:rPr>
          <w:iCs/>
          <w:sz w:val="24"/>
        </w:rPr>
      </w:pPr>
      <w:r>
        <w:rPr>
          <w:iCs/>
          <w:sz w:val="24"/>
        </w:rPr>
      </w:r>
    </w:p>
    <w:p>
      <w:pPr>
        <w:pStyle w:val="Normal"/>
        <w:rPr/>
      </w:pPr>
      <w:r>
        <w:rPr>
          <w:b/>
          <w:bCs/>
          <w:sz w:val="24"/>
        </w:rPr>
        <w:t>8.</w:t>
      </w:r>
      <w:r>
        <w:rPr>
          <w:sz w:val="24"/>
        </w:rPr>
        <w:t xml:space="preserve"> </w:t>
      </w:r>
      <w:r>
        <w:rPr>
          <w:b/>
          <w:sz w:val="24"/>
        </w:rPr>
        <w:tab/>
        <w:t>Consultation outcome</w:t>
      </w:r>
    </w:p>
    <w:p>
      <w:pPr>
        <w:pStyle w:val="Normal"/>
        <w:rPr>
          <w:b/>
          <w:sz w:val="24"/>
        </w:rPr>
      </w:pPr>
      <w:r>
        <w:rPr>
          <w:b/>
          <w:sz w:val="24"/>
        </w:rPr>
      </w:r>
    </w:p>
    <w:p>
      <w:pPr>
        <w:pStyle w:val="Normal"/>
        <w:ind w:start="720" w:end="0"/>
        <w:rPr>
          <w:sz w:val="24"/>
        </w:rPr>
      </w:pPr>
      <w:r>
        <w:rPr>
          <w:sz w:val="24"/>
        </w:rPr>
        <w:t>8.1</w:t>
        <w:tab/>
        <w:t>There has not been a separate consultation on the amendments to the 1998 Regulations as they are technical amendments which are a consequence of the   Government policy to abolish the Agricultural Wages Board and agricultural minimum wage regime, on which there has already been a consultation.</w:t>
      </w:r>
    </w:p>
    <w:p>
      <w:pPr>
        <w:pStyle w:val="Normal"/>
        <w:ind w:start="720" w:end="0"/>
        <w:rPr>
          <w:sz w:val="24"/>
        </w:rPr>
      </w:pPr>
      <w:r>
        <w:rPr>
          <w:sz w:val="24"/>
        </w:rPr>
      </w:r>
    </w:p>
    <w:p>
      <w:pPr>
        <w:pStyle w:val="ListParagraph"/>
        <w:spacing w:lineRule="auto" w:line="240"/>
        <w:rPr>
          <w:rFonts w:ascii="Times New Roman" w:hAnsi="Times New Roman" w:cs="Times New Roman"/>
          <w:b/>
          <w:sz w:val="24"/>
          <w:szCs w:val="24"/>
        </w:rPr>
      </w:pPr>
      <w:r>
        <w:rPr>
          <w:rFonts w:cs="Times New Roman" w:ascii="Times New Roman" w:hAnsi="Times New Roman"/>
          <w:sz w:val="24"/>
          <w:szCs w:val="24"/>
        </w:rPr>
        <w:t>8.2</w:t>
        <w:tab/>
        <w:t>The Government consulted on the future of the Agricultural Wages Board for England and Wales and related Agricultural Wages Committees and Agricultural Dwelling-House Committees in England for four weeks from 16 October to 12 November 2012. Copies of the consultation documents can be found at:</w:t>
      </w:r>
    </w:p>
    <w:p>
      <w:pPr>
        <w:pStyle w:val="Normal"/>
        <w:ind w:start="720" w:end="0"/>
        <w:rPr>
          <w:sz w:val="24"/>
          <w:szCs w:val="24"/>
        </w:rPr>
      </w:pPr>
      <w:hyperlink r:id="rId2">
        <w:r>
          <w:rPr>
            <w:rStyle w:val="Hyperlink"/>
            <w:sz w:val="24"/>
            <w:szCs w:val="24"/>
          </w:rPr>
          <w:t>https://www.gov.uk/government/consultations/the-future-of-the-agricultural-wages-board-for-england-and-wales-and-agricultural-wages-committees-and-agricultural-dwelling-house-advisory-committees-in-england</w:t>
        </w:r>
      </w:hyperlink>
    </w:p>
    <w:p>
      <w:pPr>
        <w:pStyle w:val="ListParagraph"/>
        <w:spacing w:lineRule="auto" w:line="240"/>
        <w:ind w:start="0" w:end="0"/>
        <w:rPr>
          <w:rFonts w:ascii="Times New Roman" w:hAnsi="Times New Roman" w:cs="Times New Roman"/>
          <w:b/>
          <w:sz w:val="24"/>
          <w:szCs w:val="24"/>
        </w:rPr>
      </w:pPr>
      <w:r>
        <w:rPr>
          <w:rFonts w:cs="Times New Roman" w:ascii="Times New Roman" w:hAnsi="Times New Roman"/>
          <w:b/>
          <w:sz w:val="24"/>
          <w:szCs w:val="24"/>
        </w:rPr>
      </w:r>
    </w:p>
    <w:p>
      <w:pPr>
        <w:pStyle w:val="ListParagraph"/>
        <w:spacing w:lineRule="auto" w:line="240"/>
        <w:rPr>
          <w:rFonts w:ascii="Times New Roman" w:hAnsi="Times New Roman" w:cs="Times New Roman"/>
          <w:sz w:val="24"/>
          <w:szCs w:val="24"/>
        </w:rPr>
      </w:pPr>
      <w:r>
        <w:rPr>
          <w:rFonts w:cs="Times New Roman" w:ascii="Times New Roman" w:hAnsi="Times New Roman"/>
          <w:sz w:val="24"/>
          <w:szCs w:val="24"/>
        </w:rPr>
        <w:t>8.3</w:t>
        <w:tab/>
        <w:t xml:space="preserve">The proposal to abolish the Agricultural Wages Board and related English committees was originally announced in July 2010.  Since then the policy has been discussed at meetings of the Board and the annual general meetings of the Agricultural Wages Committees in England. Views of stakeholders were already well known when the consultation was launched in October 2012 but the Government wanted to allow an opportunity for formal consultation in case there were arguments for retention that it had not previously considered. The four week period for the consultation was in line with the Government’s New Consultation Principles, which advocate a more proportionate and targeted approach, designed to encourage active consideration of what period is appropriate to each individual exercise rather than defaulting to a 12-week period, particularly where there has already been previous engagement.  In addition to the formal list of consultees, Defra wrote to around 13,000 people and organisations that regularly received copies of the Agricultural Wages Orders and during the consultation period arranged six special meetings of the English Agricultural Wages Committees in different regions of the country. David Heath, Minister of State for Agriculture and Food, also held a meeting with the Chair of the Board and the leaders of the two sides of the Board (employers and workers) to hear their views.  </w:t>
      </w:r>
    </w:p>
    <w:p>
      <w:pPr>
        <w:pStyle w:val="ListParagraph"/>
        <w:spacing w:lineRule="auto" w:line="240"/>
        <w:ind w:hanging="720" w:end="0"/>
        <w:rPr>
          <w:rFonts w:ascii="Times New Roman" w:hAnsi="Times New Roman" w:cs="Times New Roman"/>
          <w:sz w:val="24"/>
          <w:szCs w:val="24"/>
        </w:rPr>
      </w:pPr>
      <w:r>
        <w:rPr>
          <w:rFonts w:cs="Times New Roman" w:ascii="Times New Roman" w:hAnsi="Times New Roman"/>
          <w:sz w:val="24"/>
          <w:szCs w:val="24"/>
        </w:rPr>
      </w:r>
    </w:p>
    <w:p>
      <w:pPr>
        <w:pStyle w:val="ListParagraph"/>
        <w:spacing w:lineRule="auto" w:line="240"/>
        <w:rPr>
          <w:rFonts w:ascii="Times New Roman" w:hAnsi="Times New Roman" w:cs="Times New Roman"/>
          <w:sz w:val="24"/>
          <w:szCs w:val="24"/>
        </w:rPr>
      </w:pPr>
      <w:r>
        <w:rPr>
          <w:rFonts w:cs="Times New Roman" w:ascii="Times New Roman" w:hAnsi="Times New Roman"/>
          <w:sz w:val="24"/>
          <w:szCs w:val="24"/>
        </w:rPr>
        <w:t>8.4      The consultation on the future of the Agricultural Wages Board asked four questions:</w:t>
      </w:r>
    </w:p>
    <w:p>
      <w:pPr>
        <w:pStyle w:val="Normal"/>
        <w:numPr>
          <w:ilvl w:val="0"/>
          <w:numId w:val="3"/>
        </w:numPr>
        <w:rPr>
          <w:sz w:val="24"/>
          <w:szCs w:val="24"/>
        </w:rPr>
      </w:pPr>
      <w:r>
        <w:rPr>
          <w:sz w:val="24"/>
          <w:szCs w:val="24"/>
        </w:rPr>
        <w:t>Do you agree that employment legislation in the agriculture sector should be simplified?</w:t>
      </w:r>
    </w:p>
    <w:p>
      <w:pPr>
        <w:pStyle w:val="Normal"/>
        <w:numPr>
          <w:ilvl w:val="0"/>
          <w:numId w:val="3"/>
        </w:numPr>
        <w:rPr>
          <w:sz w:val="24"/>
          <w:szCs w:val="24"/>
        </w:rPr>
      </w:pPr>
      <w:r>
        <w:rPr>
          <w:sz w:val="24"/>
          <w:szCs w:val="24"/>
        </w:rPr>
        <w:t>Do you agree that agricultural workers in England and Wales should be brought within the same minimum employment terms and conditions as workers in all other sectors of the economy?</w:t>
      </w:r>
    </w:p>
    <w:p>
      <w:pPr>
        <w:pStyle w:val="Normal"/>
        <w:numPr>
          <w:ilvl w:val="0"/>
          <w:numId w:val="3"/>
        </w:numPr>
        <w:rPr>
          <w:sz w:val="24"/>
          <w:szCs w:val="24"/>
        </w:rPr>
      </w:pPr>
      <w:r>
        <w:rPr>
          <w:sz w:val="24"/>
          <w:szCs w:val="24"/>
        </w:rPr>
        <w:t>Do you agree with the Government’s proposal to abolish the Agricultural Wages Board, Agricultural Wages Committees, Agricultural Dwelling House Advisory Committees, and the agricultural minimum wage regime?</w:t>
      </w:r>
    </w:p>
    <w:p>
      <w:pPr>
        <w:pStyle w:val="Normal"/>
        <w:numPr>
          <w:ilvl w:val="0"/>
          <w:numId w:val="3"/>
        </w:numPr>
        <w:rPr>
          <w:sz w:val="24"/>
          <w:szCs w:val="24"/>
        </w:rPr>
      </w:pPr>
      <w:r>
        <w:rPr>
          <w:sz w:val="24"/>
          <w:szCs w:val="24"/>
        </w:rPr>
        <w:t>Do you have any additional points or options you would like Ministers to consider before making their final decision?</w:t>
      </w:r>
    </w:p>
    <w:p>
      <w:pPr>
        <w:pStyle w:val="Normal"/>
        <w:rPr>
          <w:sz w:val="24"/>
          <w:szCs w:val="24"/>
        </w:rPr>
      </w:pPr>
      <w:r>
        <w:rPr>
          <w:sz w:val="24"/>
          <w:szCs w:val="24"/>
        </w:rPr>
      </w:r>
    </w:p>
    <w:p>
      <w:pPr>
        <w:pStyle w:val="Normal"/>
        <w:ind w:start="720" w:end="0"/>
        <w:rPr>
          <w:sz w:val="24"/>
          <w:szCs w:val="24"/>
        </w:rPr>
      </w:pPr>
      <w:r>
        <w:rPr>
          <w:sz w:val="24"/>
          <w:szCs w:val="24"/>
        </w:rPr>
        <w:t>A numerical summary of the responses to the first three of these questions is set out in the table below:</w:t>
      </w:r>
    </w:p>
    <w:p>
      <w:pPr>
        <w:pStyle w:val="Normal"/>
        <w:ind w:start="720" w:end="0"/>
        <w:rPr>
          <w:sz w:val="24"/>
          <w:szCs w:val="24"/>
        </w:rPr>
      </w:pPr>
      <w:r>
        <w:rPr>
          <w:sz w:val="24"/>
          <w:szCs w:val="24"/>
        </w:rPr>
      </w:r>
    </w:p>
    <w:p>
      <w:pPr>
        <w:pStyle w:val="Normal"/>
        <w:rPr>
          <w:sz w:val="24"/>
          <w:szCs w:val="24"/>
        </w:rPr>
      </w:pPr>
      <w:r>
        <w:rPr>
          <w:sz w:val="24"/>
          <w:szCs w:val="24"/>
        </w:rPr>
      </w:r>
    </w:p>
    <w:tbl>
      <w:tblPr>
        <w:tblW w:w="9635" w:type="dxa"/>
        <w:jc w:val="start"/>
        <w:tblInd w:w="0" w:type="dxa"/>
        <w:tblLayout w:type="fixed"/>
        <w:tblCellMar>
          <w:top w:w="0" w:type="dxa"/>
          <w:start w:w="108" w:type="dxa"/>
          <w:bottom w:w="0" w:type="dxa"/>
          <w:end w:w="108" w:type="dxa"/>
        </w:tblCellMar>
      </w:tblPr>
      <w:tblGrid>
        <w:gridCol w:w="2093"/>
        <w:gridCol w:w="1225"/>
        <w:gridCol w:w="239"/>
        <w:gridCol w:w="653"/>
        <w:gridCol w:w="1152"/>
        <w:gridCol w:w="576"/>
        <w:gridCol w:w="1210"/>
        <w:gridCol w:w="1277"/>
        <w:gridCol w:w="1210"/>
      </w:tblGrid>
      <w:tr>
        <w:trPr>
          <w:trHeight w:val="780" w:hRule="atLeast"/>
        </w:trPr>
        <w:tc>
          <w:tcPr>
            <w:tcW w:w="2093" w:type="dxa"/>
            <w:tcBorders>
              <w:top w:val="single" w:sz="8" w:space="0" w:color="000000"/>
              <w:start w:val="single" w:sz="8" w:space="0" w:color="000000"/>
              <w:bottom w:val="single" w:sz="8" w:space="0" w:color="000000"/>
              <w:end w:val="single" w:sz="8" w:space="0" w:color="000000"/>
            </w:tcBorders>
          </w:tcPr>
          <w:p>
            <w:pPr>
              <w:pStyle w:val="Normal"/>
              <w:rPr>
                <w:color w:val="000000"/>
                <w:sz w:val="24"/>
                <w:szCs w:val="24"/>
              </w:rPr>
            </w:pPr>
            <w:r>
              <w:rPr>
                <w:color w:val="000000"/>
                <w:sz w:val="24"/>
                <w:szCs w:val="24"/>
              </w:rPr>
              <w:t>Question</w:t>
            </w:r>
          </w:p>
          <w:p>
            <w:pPr>
              <w:pStyle w:val="Normal"/>
              <w:rPr>
                <w:color w:val="000000"/>
                <w:sz w:val="24"/>
                <w:szCs w:val="24"/>
              </w:rPr>
            </w:pPr>
            <w:r>
              <w:rPr>
                <w:color w:val="000000"/>
                <w:sz w:val="24"/>
                <w:szCs w:val="24"/>
              </w:rPr>
            </w:r>
          </w:p>
        </w:tc>
        <w:tc>
          <w:tcPr>
            <w:tcW w:w="1225" w:type="dxa"/>
            <w:tcBorders>
              <w:top w:val="single" w:sz="8" w:space="0" w:color="000000"/>
              <w:bottom w:val="single" w:sz="8" w:space="0" w:color="000000"/>
              <w:end w:val="single" w:sz="4" w:space="0" w:color="000000"/>
            </w:tcBorders>
          </w:tcPr>
          <w:p>
            <w:pPr>
              <w:pStyle w:val="Normal"/>
              <w:rPr>
                <w:color w:val="000000"/>
                <w:sz w:val="24"/>
                <w:szCs w:val="24"/>
              </w:rPr>
            </w:pPr>
            <w:r>
              <w:rPr>
                <w:color w:val="000000"/>
                <w:sz w:val="24"/>
                <w:szCs w:val="24"/>
              </w:rPr>
              <w:t>Total Number of responses</w:t>
            </w:r>
          </w:p>
        </w:tc>
        <w:tc>
          <w:tcPr>
            <w:tcW w:w="239" w:type="dxa"/>
            <w:tcBorders>
              <w:top w:val="single" w:sz="8" w:space="0" w:color="000000"/>
              <w:start w:val="single" w:sz="4" w:space="0" w:color="000000"/>
              <w:bottom w:val="single" w:sz="8" w:space="0" w:color="000000"/>
            </w:tcBorders>
          </w:tcPr>
          <w:p>
            <w:pPr>
              <w:pStyle w:val="Normal"/>
              <w:snapToGrid w:val="false"/>
              <w:rPr>
                <w:color w:val="000000"/>
                <w:sz w:val="24"/>
                <w:szCs w:val="24"/>
              </w:rPr>
            </w:pPr>
            <w:r>
              <w:rPr>
                <w:color w:val="000000"/>
                <w:sz w:val="24"/>
                <w:szCs w:val="24"/>
              </w:rPr>
            </w:r>
          </w:p>
        </w:tc>
        <w:tc>
          <w:tcPr>
            <w:tcW w:w="653" w:type="dxa"/>
            <w:tcBorders>
              <w:top w:val="single" w:sz="8" w:space="0" w:color="000000"/>
              <w:bottom w:val="single" w:sz="8" w:space="0" w:color="000000"/>
              <w:end w:val="single" w:sz="8" w:space="0" w:color="000000"/>
            </w:tcBorders>
          </w:tcPr>
          <w:p>
            <w:pPr>
              <w:pStyle w:val="Normal"/>
              <w:rPr>
                <w:color w:val="000000"/>
                <w:sz w:val="24"/>
                <w:szCs w:val="24"/>
              </w:rPr>
            </w:pPr>
            <w:r>
              <w:rPr>
                <w:color w:val="000000"/>
                <w:sz w:val="24"/>
                <w:szCs w:val="24"/>
              </w:rPr>
              <w:t>Yes</w:t>
            </w:r>
          </w:p>
        </w:tc>
        <w:tc>
          <w:tcPr>
            <w:tcW w:w="1152" w:type="dxa"/>
            <w:tcBorders>
              <w:top w:val="single" w:sz="8" w:space="0" w:color="000000"/>
              <w:bottom w:val="single" w:sz="8" w:space="0" w:color="000000"/>
              <w:end w:val="single" w:sz="8" w:space="0" w:color="000000"/>
            </w:tcBorders>
          </w:tcPr>
          <w:p>
            <w:pPr>
              <w:pStyle w:val="Normal"/>
              <w:rPr>
                <w:color w:val="000000"/>
                <w:sz w:val="24"/>
                <w:szCs w:val="24"/>
              </w:rPr>
            </w:pPr>
            <w:r>
              <w:rPr>
                <w:color w:val="000000"/>
                <w:sz w:val="24"/>
                <w:szCs w:val="24"/>
              </w:rPr>
              <w:t>% of all responses received</w:t>
            </w:r>
          </w:p>
        </w:tc>
        <w:tc>
          <w:tcPr>
            <w:tcW w:w="576" w:type="dxa"/>
            <w:tcBorders>
              <w:top w:val="single" w:sz="8" w:space="0" w:color="000000"/>
              <w:bottom w:val="single" w:sz="8" w:space="0" w:color="000000"/>
              <w:end w:val="single" w:sz="8" w:space="0" w:color="000000"/>
            </w:tcBorders>
          </w:tcPr>
          <w:p>
            <w:pPr>
              <w:pStyle w:val="Normal"/>
              <w:rPr>
                <w:color w:val="000000"/>
                <w:sz w:val="24"/>
                <w:szCs w:val="24"/>
              </w:rPr>
            </w:pPr>
            <w:r>
              <w:rPr>
                <w:color w:val="000000"/>
                <w:sz w:val="24"/>
                <w:szCs w:val="24"/>
              </w:rPr>
              <w:t>No</w:t>
            </w:r>
          </w:p>
        </w:tc>
        <w:tc>
          <w:tcPr>
            <w:tcW w:w="1210" w:type="dxa"/>
            <w:tcBorders>
              <w:top w:val="single" w:sz="8" w:space="0" w:color="000000"/>
              <w:bottom w:val="single" w:sz="8" w:space="0" w:color="000000"/>
              <w:end w:val="single" w:sz="8" w:space="0" w:color="000000"/>
            </w:tcBorders>
          </w:tcPr>
          <w:p>
            <w:pPr>
              <w:pStyle w:val="Normal"/>
              <w:rPr>
                <w:color w:val="000000"/>
                <w:sz w:val="24"/>
                <w:szCs w:val="24"/>
              </w:rPr>
            </w:pPr>
            <w:r>
              <w:rPr>
                <w:color w:val="000000"/>
                <w:sz w:val="24"/>
                <w:szCs w:val="24"/>
              </w:rPr>
              <w:t>% of all responses received</w:t>
            </w:r>
          </w:p>
        </w:tc>
        <w:tc>
          <w:tcPr>
            <w:tcW w:w="1277" w:type="dxa"/>
            <w:tcBorders>
              <w:top w:val="single" w:sz="8" w:space="0" w:color="000000"/>
              <w:bottom w:val="single" w:sz="8" w:space="0" w:color="000000"/>
              <w:end w:val="single" w:sz="8" w:space="0" w:color="000000"/>
            </w:tcBorders>
          </w:tcPr>
          <w:p>
            <w:pPr>
              <w:pStyle w:val="Normal"/>
              <w:rPr>
                <w:color w:val="000000"/>
                <w:sz w:val="24"/>
                <w:szCs w:val="24"/>
              </w:rPr>
            </w:pPr>
            <w:r>
              <w:rPr>
                <w:color w:val="000000"/>
                <w:sz w:val="24"/>
                <w:szCs w:val="24"/>
              </w:rPr>
              <w:t>No preference expressed</w:t>
            </w:r>
          </w:p>
        </w:tc>
        <w:tc>
          <w:tcPr>
            <w:tcW w:w="1210" w:type="dxa"/>
            <w:tcBorders>
              <w:top w:val="single" w:sz="8" w:space="0" w:color="000000"/>
              <w:bottom w:val="single" w:sz="8" w:space="0" w:color="000000"/>
              <w:end w:val="single" w:sz="8" w:space="0" w:color="000000"/>
            </w:tcBorders>
          </w:tcPr>
          <w:p>
            <w:pPr>
              <w:pStyle w:val="Normal"/>
              <w:rPr>
                <w:color w:val="000000"/>
                <w:sz w:val="24"/>
                <w:szCs w:val="24"/>
              </w:rPr>
            </w:pPr>
            <w:r>
              <w:rPr>
                <w:color w:val="000000"/>
                <w:sz w:val="24"/>
                <w:szCs w:val="24"/>
              </w:rPr>
              <w:t>% of all responses received</w:t>
            </w:r>
          </w:p>
        </w:tc>
      </w:tr>
      <w:tr>
        <w:trPr>
          <w:trHeight w:val="915" w:hRule="atLeast"/>
        </w:trPr>
        <w:tc>
          <w:tcPr>
            <w:tcW w:w="2093" w:type="dxa"/>
            <w:tcBorders>
              <w:start w:val="single" w:sz="8" w:space="0" w:color="000000"/>
              <w:bottom w:val="single" w:sz="8" w:space="0" w:color="000000"/>
              <w:end w:val="single" w:sz="8" w:space="0" w:color="000000"/>
            </w:tcBorders>
          </w:tcPr>
          <w:p>
            <w:pPr>
              <w:pStyle w:val="Normal"/>
              <w:rPr/>
            </w:pPr>
            <w:r>
              <w:rPr>
                <w:sz w:val="24"/>
                <w:szCs w:val="24"/>
              </w:rPr>
              <w:t>1. Do you agree that employment legislation in the agriculture sector should be simplified?</w:t>
            </w:r>
          </w:p>
        </w:tc>
        <w:tc>
          <w:tcPr>
            <w:tcW w:w="1225" w:type="dxa"/>
            <w:tcBorders>
              <w:bottom w:val="single" w:sz="8" w:space="0" w:color="000000"/>
              <w:end w:val="single" w:sz="4" w:space="0" w:color="000000"/>
            </w:tcBorders>
          </w:tcPr>
          <w:p>
            <w:pPr>
              <w:pStyle w:val="Normal"/>
              <w:snapToGrid w:val="false"/>
              <w:jc w:val="center"/>
              <w:rPr>
                <w:sz w:val="24"/>
                <w:szCs w:val="24"/>
              </w:rPr>
            </w:pPr>
            <w:r>
              <w:rPr>
                <w:sz w:val="24"/>
                <w:szCs w:val="24"/>
              </w:rPr>
            </w:r>
          </w:p>
          <w:p>
            <w:pPr>
              <w:pStyle w:val="Normal"/>
              <w:jc w:val="center"/>
              <w:rPr>
                <w:sz w:val="24"/>
                <w:szCs w:val="24"/>
              </w:rPr>
            </w:pPr>
            <w:r>
              <w:rPr>
                <w:sz w:val="24"/>
                <w:szCs w:val="24"/>
              </w:rPr>
            </w:r>
          </w:p>
          <w:p>
            <w:pPr>
              <w:pStyle w:val="Normal"/>
              <w:jc w:val="center"/>
              <w:rPr/>
            </w:pPr>
            <w:r>
              <w:rPr/>
            </w:r>
          </w:p>
          <w:p>
            <w:pPr>
              <w:pStyle w:val="Normal"/>
              <w:jc w:val="center"/>
              <w:rPr>
                <w:sz w:val="24"/>
                <w:szCs w:val="24"/>
              </w:rPr>
            </w:pPr>
            <w:r>
              <w:rPr>
                <w:sz w:val="24"/>
                <w:szCs w:val="24"/>
              </w:rPr>
              <w:t>946</w:t>
            </w:r>
          </w:p>
        </w:tc>
        <w:tc>
          <w:tcPr>
            <w:tcW w:w="239" w:type="dxa"/>
            <w:tcBorders>
              <w:start w:val="single" w:sz="4" w:space="0" w:color="000000"/>
              <w:bottom w:val="single" w:sz="8" w:space="0" w:color="000000"/>
            </w:tcBorders>
          </w:tcPr>
          <w:p>
            <w:pPr>
              <w:pStyle w:val="Normal"/>
              <w:snapToGrid w:val="false"/>
              <w:jc w:val="center"/>
              <w:rPr>
                <w:sz w:val="24"/>
                <w:szCs w:val="24"/>
              </w:rPr>
            </w:pPr>
            <w:r>
              <w:rPr>
                <w:sz w:val="24"/>
                <w:szCs w:val="24"/>
              </w:rPr>
            </w:r>
          </w:p>
        </w:tc>
        <w:tc>
          <w:tcPr>
            <w:tcW w:w="653" w:type="dxa"/>
            <w:tcBorders>
              <w:bottom w:val="single" w:sz="8" w:space="0" w:color="000000"/>
              <w:end w:val="single" w:sz="8" w:space="0" w:color="000000"/>
            </w:tcBorders>
            <w:vAlign w:val="center"/>
          </w:tcPr>
          <w:p>
            <w:pPr>
              <w:pStyle w:val="Normal"/>
              <w:jc w:val="center"/>
              <w:rPr>
                <w:sz w:val="24"/>
                <w:szCs w:val="24"/>
              </w:rPr>
            </w:pPr>
            <w:r>
              <w:rPr>
                <w:sz w:val="24"/>
                <w:szCs w:val="24"/>
              </w:rPr>
              <w:t>397</w:t>
            </w:r>
          </w:p>
        </w:tc>
        <w:tc>
          <w:tcPr>
            <w:tcW w:w="1152" w:type="dxa"/>
            <w:tcBorders>
              <w:bottom w:val="single" w:sz="8" w:space="0" w:color="000000"/>
              <w:end w:val="single" w:sz="8" w:space="0" w:color="000000"/>
            </w:tcBorders>
            <w:vAlign w:val="center"/>
          </w:tcPr>
          <w:p>
            <w:pPr>
              <w:pStyle w:val="Normal"/>
              <w:jc w:val="center"/>
              <w:rPr>
                <w:sz w:val="24"/>
                <w:szCs w:val="24"/>
              </w:rPr>
            </w:pPr>
            <w:r>
              <w:rPr>
                <w:sz w:val="24"/>
                <w:szCs w:val="24"/>
              </w:rPr>
              <w:t>42%</w:t>
            </w:r>
          </w:p>
        </w:tc>
        <w:tc>
          <w:tcPr>
            <w:tcW w:w="576" w:type="dxa"/>
            <w:tcBorders>
              <w:bottom w:val="single" w:sz="8" w:space="0" w:color="000000"/>
              <w:end w:val="single" w:sz="8" w:space="0" w:color="000000"/>
            </w:tcBorders>
            <w:vAlign w:val="center"/>
          </w:tcPr>
          <w:p>
            <w:pPr>
              <w:pStyle w:val="Normal"/>
              <w:jc w:val="center"/>
              <w:rPr>
                <w:sz w:val="24"/>
                <w:szCs w:val="24"/>
              </w:rPr>
            </w:pPr>
            <w:r>
              <w:rPr>
                <w:sz w:val="24"/>
                <w:szCs w:val="24"/>
              </w:rPr>
              <w:t>69</w:t>
            </w:r>
          </w:p>
        </w:tc>
        <w:tc>
          <w:tcPr>
            <w:tcW w:w="1210" w:type="dxa"/>
            <w:tcBorders>
              <w:bottom w:val="single" w:sz="8" w:space="0" w:color="000000"/>
              <w:end w:val="single" w:sz="8" w:space="0" w:color="000000"/>
            </w:tcBorders>
            <w:vAlign w:val="center"/>
          </w:tcPr>
          <w:p>
            <w:pPr>
              <w:pStyle w:val="Normal"/>
              <w:jc w:val="center"/>
              <w:rPr>
                <w:sz w:val="24"/>
                <w:szCs w:val="24"/>
              </w:rPr>
            </w:pPr>
            <w:r>
              <w:rPr>
                <w:sz w:val="24"/>
                <w:szCs w:val="24"/>
              </w:rPr>
              <w:t>7%</w:t>
            </w:r>
          </w:p>
        </w:tc>
        <w:tc>
          <w:tcPr>
            <w:tcW w:w="1277" w:type="dxa"/>
            <w:tcBorders>
              <w:bottom w:val="single" w:sz="8" w:space="0" w:color="000000"/>
              <w:end w:val="single" w:sz="8" w:space="0" w:color="000000"/>
            </w:tcBorders>
            <w:vAlign w:val="center"/>
          </w:tcPr>
          <w:p>
            <w:pPr>
              <w:pStyle w:val="Normal"/>
              <w:jc w:val="center"/>
              <w:rPr>
                <w:sz w:val="24"/>
                <w:szCs w:val="24"/>
              </w:rPr>
            </w:pPr>
            <w:r>
              <w:rPr>
                <w:sz w:val="24"/>
                <w:szCs w:val="24"/>
              </w:rPr>
              <w:t>480</w:t>
            </w:r>
          </w:p>
        </w:tc>
        <w:tc>
          <w:tcPr>
            <w:tcW w:w="1210" w:type="dxa"/>
            <w:tcBorders>
              <w:bottom w:val="single" w:sz="8" w:space="0" w:color="000000"/>
              <w:end w:val="single" w:sz="8" w:space="0" w:color="000000"/>
            </w:tcBorders>
            <w:vAlign w:val="center"/>
          </w:tcPr>
          <w:p>
            <w:pPr>
              <w:pStyle w:val="Normal"/>
              <w:jc w:val="center"/>
              <w:rPr>
                <w:sz w:val="24"/>
                <w:szCs w:val="24"/>
              </w:rPr>
            </w:pPr>
            <w:r>
              <w:rPr>
                <w:sz w:val="24"/>
                <w:szCs w:val="24"/>
              </w:rPr>
              <w:t>51%</w:t>
            </w:r>
          </w:p>
        </w:tc>
      </w:tr>
      <w:tr>
        <w:trPr>
          <w:trHeight w:val="1815" w:hRule="atLeast"/>
        </w:trPr>
        <w:tc>
          <w:tcPr>
            <w:tcW w:w="2093" w:type="dxa"/>
            <w:tcBorders>
              <w:start w:val="single" w:sz="8" w:space="0" w:color="000000"/>
              <w:bottom w:val="single" w:sz="8" w:space="0" w:color="000000"/>
              <w:end w:val="single" w:sz="8" w:space="0" w:color="000000"/>
            </w:tcBorders>
          </w:tcPr>
          <w:p>
            <w:pPr>
              <w:pStyle w:val="Normal"/>
              <w:rPr/>
            </w:pPr>
            <w:r>
              <w:rPr>
                <w:sz w:val="24"/>
                <w:szCs w:val="24"/>
              </w:rPr>
              <w:t>2. Do you agree that agricultural workers in England and Wales should be brought within the same minimum terms and conditions as workers in all other sectors of the economy?</w:t>
            </w:r>
          </w:p>
        </w:tc>
        <w:tc>
          <w:tcPr>
            <w:tcW w:w="1225" w:type="dxa"/>
            <w:tcBorders>
              <w:bottom w:val="single" w:sz="8" w:space="0" w:color="000000"/>
              <w:end w:val="single" w:sz="4" w:space="0" w:color="000000"/>
            </w:tcBorders>
          </w:tcPr>
          <w:p>
            <w:pPr>
              <w:pStyle w:val="Normal"/>
              <w:snapToGrid w:val="false"/>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t xml:space="preserve">946 </w:t>
            </w:r>
          </w:p>
        </w:tc>
        <w:tc>
          <w:tcPr>
            <w:tcW w:w="239" w:type="dxa"/>
            <w:tcBorders>
              <w:start w:val="single" w:sz="4" w:space="0" w:color="000000"/>
              <w:bottom w:val="single" w:sz="8" w:space="0" w:color="000000"/>
            </w:tcBorders>
          </w:tcPr>
          <w:p>
            <w:pPr>
              <w:pStyle w:val="Normal"/>
              <w:snapToGrid w:val="false"/>
              <w:jc w:val="center"/>
              <w:rPr>
                <w:sz w:val="24"/>
                <w:szCs w:val="24"/>
              </w:rPr>
            </w:pPr>
            <w:r>
              <w:rPr>
                <w:sz w:val="24"/>
                <w:szCs w:val="24"/>
              </w:rPr>
            </w:r>
          </w:p>
        </w:tc>
        <w:tc>
          <w:tcPr>
            <w:tcW w:w="653" w:type="dxa"/>
            <w:tcBorders>
              <w:bottom w:val="single" w:sz="8" w:space="0" w:color="000000"/>
              <w:end w:val="single" w:sz="8" w:space="0" w:color="000000"/>
            </w:tcBorders>
            <w:vAlign w:val="center"/>
          </w:tcPr>
          <w:p>
            <w:pPr>
              <w:pStyle w:val="Normal"/>
              <w:jc w:val="center"/>
              <w:rPr>
                <w:sz w:val="24"/>
                <w:szCs w:val="24"/>
              </w:rPr>
            </w:pPr>
            <w:r>
              <w:rPr>
                <w:sz w:val="24"/>
                <w:szCs w:val="24"/>
              </w:rPr>
              <w:t>336</w:t>
            </w:r>
          </w:p>
        </w:tc>
        <w:tc>
          <w:tcPr>
            <w:tcW w:w="1152" w:type="dxa"/>
            <w:tcBorders>
              <w:bottom w:val="single" w:sz="8" w:space="0" w:color="000000"/>
              <w:end w:val="single" w:sz="8" w:space="0" w:color="000000"/>
            </w:tcBorders>
            <w:vAlign w:val="center"/>
          </w:tcPr>
          <w:p>
            <w:pPr>
              <w:pStyle w:val="Normal"/>
              <w:jc w:val="center"/>
              <w:rPr>
                <w:sz w:val="24"/>
                <w:szCs w:val="24"/>
              </w:rPr>
            </w:pPr>
            <w:r>
              <w:rPr>
                <w:sz w:val="24"/>
                <w:szCs w:val="24"/>
              </w:rPr>
              <w:t>36%</w:t>
            </w:r>
          </w:p>
        </w:tc>
        <w:tc>
          <w:tcPr>
            <w:tcW w:w="576" w:type="dxa"/>
            <w:tcBorders>
              <w:bottom w:val="single" w:sz="8" w:space="0" w:color="000000"/>
              <w:end w:val="single" w:sz="8" w:space="0" w:color="000000"/>
            </w:tcBorders>
            <w:vAlign w:val="center"/>
          </w:tcPr>
          <w:p>
            <w:pPr>
              <w:pStyle w:val="Normal"/>
              <w:jc w:val="center"/>
              <w:rPr>
                <w:sz w:val="24"/>
                <w:szCs w:val="24"/>
              </w:rPr>
            </w:pPr>
            <w:r>
              <w:rPr>
                <w:sz w:val="24"/>
                <w:szCs w:val="24"/>
              </w:rPr>
              <w:t xml:space="preserve">171 </w:t>
            </w:r>
          </w:p>
        </w:tc>
        <w:tc>
          <w:tcPr>
            <w:tcW w:w="1210" w:type="dxa"/>
            <w:tcBorders>
              <w:bottom w:val="single" w:sz="8" w:space="0" w:color="000000"/>
              <w:end w:val="single" w:sz="8" w:space="0" w:color="000000"/>
            </w:tcBorders>
            <w:vAlign w:val="center"/>
          </w:tcPr>
          <w:p>
            <w:pPr>
              <w:pStyle w:val="Normal"/>
              <w:jc w:val="center"/>
              <w:rPr>
                <w:sz w:val="24"/>
                <w:szCs w:val="24"/>
              </w:rPr>
            </w:pPr>
            <w:r>
              <w:rPr>
                <w:sz w:val="24"/>
                <w:szCs w:val="24"/>
              </w:rPr>
              <w:t>18%</w:t>
            </w:r>
          </w:p>
        </w:tc>
        <w:tc>
          <w:tcPr>
            <w:tcW w:w="1277" w:type="dxa"/>
            <w:tcBorders>
              <w:bottom w:val="single" w:sz="8" w:space="0" w:color="000000"/>
              <w:end w:val="single" w:sz="8" w:space="0" w:color="000000"/>
            </w:tcBorders>
            <w:vAlign w:val="center"/>
          </w:tcPr>
          <w:p>
            <w:pPr>
              <w:pStyle w:val="Normal"/>
              <w:jc w:val="center"/>
              <w:rPr>
                <w:sz w:val="24"/>
                <w:szCs w:val="24"/>
              </w:rPr>
            </w:pPr>
            <w:r>
              <w:rPr>
                <w:sz w:val="24"/>
                <w:szCs w:val="24"/>
              </w:rPr>
              <w:t xml:space="preserve">439 </w:t>
            </w:r>
          </w:p>
        </w:tc>
        <w:tc>
          <w:tcPr>
            <w:tcW w:w="1210" w:type="dxa"/>
            <w:tcBorders>
              <w:bottom w:val="single" w:sz="8" w:space="0" w:color="000000"/>
              <w:end w:val="single" w:sz="8" w:space="0" w:color="000000"/>
            </w:tcBorders>
            <w:vAlign w:val="center"/>
          </w:tcPr>
          <w:p>
            <w:pPr>
              <w:pStyle w:val="Normal"/>
              <w:jc w:val="center"/>
              <w:rPr>
                <w:sz w:val="24"/>
                <w:szCs w:val="24"/>
              </w:rPr>
            </w:pPr>
            <w:r>
              <w:rPr>
                <w:sz w:val="24"/>
                <w:szCs w:val="24"/>
              </w:rPr>
              <w:t>46%</w:t>
            </w:r>
          </w:p>
        </w:tc>
      </w:tr>
      <w:tr>
        <w:trPr>
          <w:trHeight w:val="1515" w:hRule="atLeast"/>
        </w:trPr>
        <w:tc>
          <w:tcPr>
            <w:tcW w:w="2093" w:type="dxa"/>
            <w:tcBorders>
              <w:top w:val="single" w:sz="4" w:space="0" w:color="000000"/>
              <w:start w:val="single" w:sz="8" w:space="0" w:color="000000"/>
              <w:bottom w:val="single" w:sz="8" w:space="0" w:color="000000"/>
              <w:end w:val="single" w:sz="8" w:space="0" w:color="000000"/>
            </w:tcBorders>
          </w:tcPr>
          <w:p>
            <w:pPr>
              <w:pStyle w:val="Normal"/>
              <w:rPr/>
            </w:pPr>
            <w:r>
              <w:rPr>
                <w:sz w:val="24"/>
                <w:szCs w:val="24"/>
              </w:rPr>
              <w:t>3. Do you agree with the Government’s proposal to abolish the Agricultural Wages Board, Agricultural Wages Committees, Agricultural Dwelling House Advisory  Committees and the agricultural minimum wage regime?</w:t>
            </w:r>
          </w:p>
        </w:tc>
        <w:tc>
          <w:tcPr>
            <w:tcW w:w="1225" w:type="dxa"/>
            <w:tcBorders>
              <w:top w:val="single" w:sz="4" w:space="0" w:color="000000"/>
              <w:bottom w:val="single" w:sz="8" w:space="0" w:color="000000"/>
              <w:end w:val="single" w:sz="4" w:space="0" w:color="000000"/>
            </w:tcBorders>
          </w:tcPr>
          <w:p>
            <w:pPr>
              <w:pStyle w:val="Normal"/>
              <w:snapToGrid w:val="false"/>
              <w:jc w:val="center"/>
              <w:rPr>
                <w:sz w:val="24"/>
                <w:szCs w:val="24"/>
              </w:rPr>
            </w:pPr>
            <w:r>
              <w:rPr>
                <w:sz w:val="24"/>
                <w:szCs w:val="24"/>
              </w:rPr>
            </w:r>
          </w:p>
          <w:p>
            <w:pPr>
              <w:pStyle w:val="Normal"/>
              <w:jc w:val="center"/>
              <w:rPr>
                <w:sz w:val="24"/>
                <w:szCs w:val="24"/>
              </w:rPr>
            </w:pPr>
            <w:r>
              <w:rPr>
                <w:sz w:val="24"/>
                <w:szCs w:val="24"/>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sz w:val="24"/>
                <w:szCs w:val="24"/>
              </w:rPr>
            </w:pPr>
            <w:r>
              <w:rPr>
                <w:sz w:val="24"/>
                <w:szCs w:val="24"/>
              </w:rPr>
              <w:t>946</w:t>
            </w:r>
          </w:p>
          <w:p>
            <w:pPr>
              <w:pStyle w:val="Normal"/>
              <w:jc w:val="center"/>
              <w:rPr>
                <w:sz w:val="24"/>
                <w:szCs w:val="24"/>
              </w:rPr>
            </w:pPr>
            <w:r>
              <w:rPr>
                <w:sz w:val="24"/>
                <w:szCs w:val="24"/>
              </w:rPr>
            </w:r>
          </w:p>
        </w:tc>
        <w:tc>
          <w:tcPr>
            <w:tcW w:w="239" w:type="dxa"/>
            <w:tcBorders>
              <w:top w:val="single" w:sz="4" w:space="0" w:color="000000"/>
              <w:start w:val="single" w:sz="4" w:space="0" w:color="000000"/>
              <w:bottom w:val="single" w:sz="8" w:space="0" w:color="000000"/>
            </w:tcBorders>
          </w:tcPr>
          <w:p>
            <w:pPr>
              <w:pStyle w:val="Normal"/>
              <w:snapToGrid w:val="false"/>
              <w:jc w:val="center"/>
              <w:rPr>
                <w:sz w:val="24"/>
                <w:szCs w:val="24"/>
              </w:rPr>
            </w:pPr>
            <w:r>
              <w:rPr>
                <w:sz w:val="24"/>
                <w:szCs w:val="24"/>
              </w:rPr>
            </w:r>
          </w:p>
        </w:tc>
        <w:tc>
          <w:tcPr>
            <w:tcW w:w="653" w:type="dxa"/>
            <w:tcBorders>
              <w:top w:val="single" w:sz="4" w:space="0" w:color="000000"/>
              <w:bottom w:val="single" w:sz="8" w:space="0" w:color="000000"/>
              <w:end w:val="single" w:sz="8" w:space="0" w:color="000000"/>
            </w:tcBorders>
            <w:vAlign w:val="center"/>
          </w:tcPr>
          <w:p>
            <w:pPr>
              <w:pStyle w:val="Normal"/>
              <w:jc w:val="center"/>
              <w:rPr>
                <w:sz w:val="24"/>
                <w:szCs w:val="24"/>
              </w:rPr>
            </w:pPr>
            <w:r>
              <w:rPr>
                <w:sz w:val="24"/>
                <w:szCs w:val="24"/>
              </w:rPr>
              <w:t xml:space="preserve">347 </w:t>
            </w:r>
          </w:p>
        </w:tc>
        <w:tc>
          <w:tcPr>
            <w:tcW w:w="1152" w:type="dxa"/>
            <w:tcBorders>
              <w:top w:val="single" w:sz="4" w:space="0" w:color="000000"/>
              <w:bottom w:val="single" w:sz="8" w:space="0" w:color="000000"/>
              <w:end w:val="single" w:sz="8" w:space="0" w:color="000000"/>
            </w:tcBorders>
            <w:vAlign w:val="center"/>
          </w:tcPr>
          <w:p>
            <w:pPr>
              <w:pStyle w:val="Normal"/>
              <w:jc w:val="center"/>
              <w:rPr>
                <w:sz w:val="24"/>
                <w:szCs w:val="24"/>
              </w:rPr>
            </w:pPr>
            <w:r>
              <w:rPr>
                <w:sz w:val="24"/>
                <w:szCs w:val="24"/>
              </w:rPr>
              <w:t>37%</w:t>
            </w:r>
          </w:p>
        </w:tc>
        <w:tc>
          <w:tcPr>
            <w:tcW w:w="576" w:type="dxa"/>
            <w:tcBorders>
              <w:top w:val="single" w:sz="4" w:space="0" w:color="000000"/>
              <w:bottom w:val="single" w:sz="8" w:space="0" w:color="000000"/>
              <w:end w:val="single" w:sz="8" w:space="0" w:color="000000"/>
            </w:tcBorders>
            <w:vAlign w:val="center"/>
          </w:tcPr>
          <w:p>
            <w:pPr>
              <w:pStyle w:val="Normal"/>
              <w:jc w:val="center"/>
              <w:rPr>
                <w:sz w:val="24"/>
                <w:szCs w:val="24"/>
              </w:rPr>
            </w:pPr>
            <w:r>
              <w:rPr>
                <w:sz w:val="24"/>
                <w:szCs w:val="24"/>
              </w:rPr>
              <w:t xml:space="preserve">580 </w:t>
            </w:r>
          </w:p>
        </w:tc>
        <w:tc>
          <w:tcPr>
            <w:tcW w:w="1210" w:type="dxa"/>
            <w:tcBorders>
              <w:top w:val="single" w:sz="4" w:space="0" w:color="000000"/>
              <w:bottom w:val="single" w:sz="8" w:space="0" w:color="000000"/>
              <w:end w:val="single" w:sz="8" w:space="0" w:color="000000"/>
            </w:tcBorders>
            <w:vAlign w:val="center"/>
          </w:tcPr>
          <w:p>
            <w:pPr>
              <w:pStyle w:val="Normal"/>
              <w:jc w:val="center"/>
              <w:rPr>
                <w:sz w:val="24"/>
                <w:szCs w:val="24"/>
              </w:rPr>
            </w:pPr>
            <w:r>
              <w:rPr>
                <w:sz w:val="24"/>
                <w:szCs w:val="24"/>
              </w:rPr>
              <w:t>61%</w:t>
            </w:r>
          </w:p>
        </w:tc>
        <w:tc>
          <w:tcPr>
            <w:tcW w:w="1277" w:type="dxa"/>
            <w:tcBorders>
              <w:top w:val="single" w:sz="4" w:space="0" w:color="000000"/>
              <w:bottom w:val="single" w:sz="8" w:space="0" w:color="000000"/>
              <w:end w:val="single" w:sz="8" w:space="0" w:color="000000"/>
            </w:tcBorders>
            <w:vAlign w:val="center"/>
          </w:tcPr>
          <w:p>
            <w:pPr>
              <w:pStyle w:val="Normal"/>
              <w:jc w:val="center"/>
              <w:rPr>
                <w:sz w:val="24"/>
                <w:szCs w:val="24"/>
              </w:rPr>
            </w:pPr>
            <w:r>
              <w:rPr>
                <w:sz w:val="24"/>
                <w:szCs w:val="24"/>
              </w:rPr>
              <w:t>19</w:t>
            </w:r>
          </w:p>
        </w:tc>
        <w:tc>
          <w:tcPr>
            <w:tcW w:w="1210" w:type="dxa"/>
            <w:tcBorders>
              <w:top w:val="single" w:sz="4" w:space="0" w:color="000000"/>
              <w:bottom w:val="single" w:sz="8" w:space="0" w:color="000000"/>
              <w:end w:val="single" w:sz="8" w:space="0" w:color="000000"/>
            </w:tcBorders>
            <w:vAlign w:val="center"/>
          </w:tcPr>
          <w:p>
            <w:pPr>
              <w:pStyle w:val="Normal"/>
              <w:jc w:val="center"/>
              <w:rPr>
                <w:sz w:val="24"/>
                <w:szCs w:val="24"/>
              </w:rPr>
            </w:pPr>
            <w:r>
              <w:rPr>
                <w:sz w:val="24"/>
                <w:szCs w:val="24"/>
              </w:rPr>
              <w:t>2%</w:t>
            </w:r>
          </w:p>
        </w:tc>
      </w:tr>
    </w:tbl>
    <w:p>
      <w:pPr>
        <w:pStyle w:val="Normal"/>
        <w:ind w:hanging="720" w:start="1440" w:end="0"/>
        <w:rPr>
          <w:b/>
          <w:sz w:val="24"/>
          <w:szCs w:val="24"/>
        </w:rPr>
      </w:pPr>
      <w:r>
        <w:rPr>
          <w:b/>
          <w:sz w:val="24"/>
          <w:szCs w:val="24"/>
        </w:rPr>
      </w:r>
    </w:p>
    <w:p>
      <w:pPr>
        <w:pStyle w:val="Normal"/>
        <w:ind w:hanging="720" w:start="1440" w:end="0"/>
        <w:rPr>
          <w:b/>
          <w:sz w:val="24"/>
          <w:szCs w:val="24"/>
        </w:rPr>
      </w:pPr>
      <w:r>
        <w:rPr>
          <w:b/>
          <w:sz w:val="24"/>
          <w:szCs w:val="24"/>
        </w:rPr>
      </w:r>
    </w:p>
    <w:p>
      <w:pPr>
        <w:pStyle w:val="Normal"/>
        <w:ind w:start="720" w:end="0"/>
        <w:rPr/>
      </w:pPr>
      <w:r>
        <w:rPr>
          <w:sz w:val="24"/>
          <w:szCs w:val="24"/>
        </w:rPr>
        <w:t>8.5</w:t>
        <w:tab/>
        <w:t>In response to question 4, additional comments made by those who responded included:</w:t>
      </w:r>
    </w:p>
    <w:p>
      <w:pPr>
        <w:pStyle w:val="Normal"/>
        <w:ind w:start="1080" w:end="0"/>
        <w:rPr>
          <w:sz w:val="24"/>
          <w:szCs w:val="24"/>
        </w:rPr>
      </w:pPr>
      <w:r>
        <w:rPr>
          <w:sz w:val="24"/>
          <w:szCs w:val="24"/>
        </w:rPr>
      </w:r>
    </w:p>
    <w:p>
      <w:pPr>
        <w:pStyle w:val="Normal"/>
        <w:numPr>
          <w:ilvl w:val="0"/>
          <w:numId w:val="4"/>
        </w:numPr>
        <w:rPr>
          <w:sz w:val="24"/>
          <w:szCs w:val="24"/>
        </w:rPr>
      </w:pPr>
      <w:r>
        <w:rPr>
          <w:sz w:val="24"/>
          <w:szCs w:val="24"/>
        </w:rPr>
        <w:t>Abolition of the Agricultural Wages Board and agricultural minimum wage regime should be carried out as soon as possible.</w:t>
      </w:r>
    </w:p>
    <w:p>
      <w:pPr>
        <w:pStyle w:val="Normal"/>
        <w:numPr>
          <w:ilvl w:val="0"/>
          <w:numId w:val="4"/>
        </w:numPr>
        <w:rPr>
          <w:sz w:val="24"/>
          <w:szCs w:val="24"/>
        </w:rPr>
      </w:pPr>
      <w:r>
        <w:rPr>
          <w:sz w:val="24"/>
          <w:szCs w:val="24"/>
        </w:rPr>
        <w:t>The Government should look at other areas where regulatory burdens on farmers could be reduced, including the gangmaster licensing legislation.</w:t>
      </w:r>
    </w:p>
    <w:p>
      <w:pPr>
        <w:pStyle w:val="Normal"/>
        <w:numPr>
          <w:ilvl w:val="0"/>
          <w:numId w:val="4"/>
        </w:numPr>
        <w:rPr>
          <w:sz w:val="24"/>
          <w:szCs w:val="24"/>
        </w:rPr>
      </w:pPr>
      <w:r>
        <w:rPr>
          <w:sz w:val="24"/>
          <w:szCs w:val="24"/>
        </w:rPr>
        <w:t>The consultation period was too short and there had not been adequate publicity.</w:t>
      </w:r>
    </w:p>
    <w:p>
      <w:pPr>
        <w:pStyle w:val="Normal"/>
        <w:numPr>
          <w:ilvl w:val="0"/>
          <w:numId w:val="4"/>
        </w:numPr>
        <w:rPr>
          <w:sz w:val="24"/>
          <w:szCs w:val="24"/>
        </w:rPr>
      </w:pPr>
      <w:r>
        <w:rPr>
          <w:sz w:val="24"/>
          <w:szCs w:val="24"/>
        </w:rPr>
        <w:t>The Agricultural Wages Board should be retained, but simplified and modernised.</w:t>
      </w:r>
    </w:p>
    <w:p>
      <w:pPr>
        <w:pStyle w:val="Normal"/>
        <w:numPr>
          <w:ilvl w:val="0"/>
          <w:numId w:val="4"/>
        </w:numPr>
        <w:rPr>
          <w:sz w:val="24"/>
          <w:szCs w:val="24"/>
        </w:rPr>
      </w:pPr>
      <w:r>
        <w:rPr>
          <w:sz w:val="24"/>
          <w:szCs w:val="24"/>
        </w:rPr>
        <w:t>The Gangmasters Licensing Authority should be maintained and adequately funded.</w:t>
      </w:r>
    </w:p>
    <w:p>
      <w:pPr>
        <w:pStyle w:val="Normal"/>
        <w:numPr>
          <w:ilvl w:val="0"/>
          <w:numId w:val="4"/>
        </w:numPr>
        <w:rPr>
          <w:sz w:val="24"/>
          <w:szCs w:val="24"/>
        </w:rPr>
      </w:pPr>
      <w:r>
        <w:rPr>
          <w:sz w:val="24"/>
          <w:szCs w:val="24"/>
        </w:rPr>
        <w:t>There needs to be effective communication of what the changes will mean for agricultural workers and employers.</w:t>
      </w:r>
    </w:p>
    <w:p>
      <w:pPr>
        <w:pStyle w:val="Normal"/>
        <w:numPr>
          <w:ilvl w:val="0"/>
          <w:numId w:val="4"/>
        </w:numPr>
        <w:rPr>
          <w:sz w:val="24"/>
          <w:szCs w:val="24"/>
        </w:rPr>
      </w:pPr>
      <w:r>
        <w:rPr>
          <w:sz w:val="24"/>
          <w:szCs w:val="24"/>
        </w:rPr>
        <w:t>Sufficient resources should be provided to Her Majesty’s Revenue and Customs to ensure the effective enforcement of the National Minimum Wage regime in the agriculture sector.</w:t>
      </w:r>
    </w:p>
    <w:p>
      <w:pPr>
        <w:pStyle w:val="Normal"/>
        <w:numPr>
          <w:ilvl w:val="0"/>
          <w:numId w:val="4"/>
        </w:numPr>
        <w:rPr>
          <w:sz w:val="24"/>
          <w:szCs w:val="24"/>
        </w:rPr>
      </w:pPr>
      <w:r>
        <w:rPr>
          <w:sz w:val="24"/>
          <w:szCs w:val="24"/>
        </w:rPr>
        <w:t>The National Farmers Union should organise a voluntary committee to provide guidance on wage setting.</w:t>
      </w:r>
    </w:p>
    <w:p>
      <w:pPr>
        <w:pStyle w:val="Normal"/>
        <w:numPr>
          <w:ilvl w:val="0"/>
          <w:numId w:val="4"/>
        </w:numPr>
        <w:rPr>
          <w:sz w:val="24"/>
          <w:szCs w:val="24"/>
        </w:rPr>
      </w:pPr>
      <w:r>
        <w:rPr>
          <w:sz w:val="24"/>
          <w:szCs w:val="24"/>
        </w:rPr>
        <w:t>Agricultural workers in England and Wales will be disadvantaged compared to those in Scotland and Northern Ireland where the separate Agricultural Wages Boards will be retained.</w:t>
      </w:r>
    </w:p>
    <w:p>
      <w:pPr>
        <w:pStyle w:val="Normal"/>
        <w:spacing w:lineRule="auto" w:line="360"/>
        <w:ind w:hanging="720" w:start="1440" w:end="0"/>
        <w:rPr>
          <w:b/>
          <w:sz w:val="24"/>
          <w:szCs w:val="24"/>
        </w:rPr>
      </w:pPr>
      <w:r>
        <w:rPr>
          <w:b/>
          <w:sz w:val="24"/>
          <w:szCs w:val="24"/>
        </w:rPr>
      </w:r>
    </w:p>
    <w:p>
      <w:pPr>
        <w:pStyle w:val="Normal"/>
        <w:ind w:hanging="720" w:start="1440" w:end="0"/>
        <w:rPr>
          <w:sz w:val="24"/>
          <w:szCs w:val="24"/>
        </w:rPr>
      </w:pPr>
      <w:r>
        <w:rPr>
          <w:sz w:val="24"/>
          <w:szCs w:val="24"/>
        </w:rPr>
        <w:t>8.6</w:t>
        <w:tab/>
        <w:t>The Government carefully considered the responses to the consultation</w:t>
      </w:r>
    </w:p>
    <w:p>
      <w:pPr>
        <w:pStyle w:val="Normal"/>
        <w:ind w:start="720" w:end="0"/>
        <w:rPr>
          <w:b/>
          <w:sz w:val="24"/>
          <w:szCs w:val="24"/>
        </w:rPr>
      </w:pPr>
      <w:r>
        <w:rPr>
          <w:sz w:val="24"/>
          <w:szCs w:val="24"/>
        </w:rPr>
        <w:t xml:space="preserve">exercise. While the responses to question 3 indicated a majority in favour of the retention of the Agricultural Wages Board, the Government did not consider that any new arguments had been put forward which would persuade it to alter its long stated intention to abolish the Agricultural Wages Board and related Committees, and bring employment in agriculture in line with that in other sectors of the economy.  Moreover, key industry bodies, such as the National Farmers Union, Tenant Farmers Association, Country Land and Business Association and also professional organisations such as the Central Association of Agricultural Valuers supported the abolition of the Agricultural Wages Board.  </w:t>
      </w:r>
    </w:p>
    <w:p>
      <w:pPr>
        <w:pStyle w:val="Normal"/>
        <w:ind w:hanging="720" w:start="1440" w:end="0"/>
        <w:rPr>
          <w:b/>
          <w:sz w:val="24"/>
          <w:szCs w:val="24"/>
        </w:rPr>
      </w:pPr>
      <w:r>
        <w:rPr>
          <w:b/>
          <w:sz w:val="24"/>
          <w:szCs w:val="24"/>
        </w:rPr>
      </w:r>
    </w:p>
    <w:p>
      <w:pPr>
        <w:pStyle w:val="Normal"/>
        <w:ind w:hanging="720" w:start="1440" w:end="0"/>
        <w:rPr>
          <w:b/>
          <w:sz w:val="24"/>
        </w:rPr>
      </w:pPr>
      <w:r>
        <w:rPr>
          <w:b/>
          <w:sz w:val="24"/>
        </w:rPr>
      </w:r>
    </w:p>
    <w:p>
      <w:pPr>
        <w:pStyle w:val="Normal"/>
        <w:ind w:hanging="720" w:start="720" w:end="0"/>
        <w:rPr>
          <w:b/>
          <w:sz w:val="24"/>
        </w:rPr>
      </w:pPr>
      <w:r>
        <w:rPr>
          <w:b/>
          <w:sz w:val="24"/>
        </w:rPr>
        <w:t>9.</w:t>
        <w:tab/>
        <w:t>Guidance</w:t>
      </w:r>
    </w:p>
    <w:p>
      <w:pPr>
        <w:pStyle w:val="Normal"/>
        <w:ind w:hanging="720" w:start="720" w:end="0"/>
        <w:rPr>
          <w:b/>
          <w:sz w:val="24"/>
        </w:rPr>
      </w:pPr>
      <w:r>
        <w:rPr>
          <w:b/>
          <w:sz w:val="24"/>
        </w:rPr>
      </w:r>
    </w:p>
    <w:p>
      <w:pPr>
        <w:pStyle w:val="Normal"/>
        <w:ind w:hanging="720" w:start="720" w:end="0"/>
        <w:rPr>
          <w:bCs/>
          <w:sz w:val="24"/>
        </w:rPr>
      </w:pPr>
      <w:r>
        <w:rPr>
          <w:bCs/>
          <w:sz w:val="24"/>
        </w:rPr>
        <w:tab/>
        <w:t>9.1</w:t>
        <w:tab/>
        <w:t xml:space="preserve">Defra will be making guidance available for workers and employers as to what the introduction of the National Minimum Wage and the 1998 Regulations will mean for them. </w:t>
      </w:r>
    </w:p>
    <w:p>
      <w:pPr>
        <w:pStyle w:val="Normal"/>
        <w:ind w:hanging="720" w:start="720" w:end="0"/>
        <w:rPr>
          <w:bCs/>
          <w:sz w:val="24"/>
        </w:rPr>
      </w:pPr>
      <w:r>
        <w:rPr>
          <w:bCs/>
          <w:sz w:val="24"/>
        </w:rPr>
      </w:r>
    </w:p>
    <w:p>
      <w:pPr>
        <w:pStyle w:val="Normal"/>
        <w:ind w:hanging="720" w:start="720" w:end="0"/>
        <w:rPr>
          <w:b/>
          <w:sz w:val="24"/>
        </w:rPr>
      </w:pPr>
      <w:r>
        <w:rPr>
          <w:b/>
          <w:sz w:val="24"/>
        </w:rPr>
        <w:t>10.</w:t>
        <w:tab/>
        <w:t>Impact</w:t>
      </w:r>
    </w:p>
    <w:p>
      <w:pPr>
        <w:pStyle w:val="Normal"/>
        <w:ind w:hanging="720" w:start="720" w:end="0"/>
        <w:rPr>
          <w:b/>
          <w:sz w:val="24"/>
        </w:rPr>
      </w:pPr>
      <w:r>
        <w:rPr>
          <w:b/>
          <w:sz w:val="24"/>
        </w:rPr>
      </w:r>
    </w:p>
    <w:p>
      <w:pPr>
        <w:pStyle w:val="Normal"/>
        <w:ind w:start="720" w:end="0"/>
        <w:rPr/>
      </w:pPr>
      <w:r>
        <w:rPr>
          <w:sz w:val="24"/>
        </w:rPr>
        <w:t>10.1</w:t>
        <w:tab/>
        <w:t xml:space="preserve">No significant impact on business, charities or voluntary bodies is foreseen as a result of these amendments. </w:t>
      </w:r>
    </w:p>
    <w:p>
      <w:pPr>
        <w:pStyle w:val="Normal"/>
        <w:ind w:start="720" w:end="0"/>
        <w:rPr>
          <w:sz w:val="24"/>
        </w:rPr>
      </w:pPr>
      <w:r>
        <w:rPr>
          <w:sz w:val="24"/>
        </w:rPr>
      </w:r>
    </w:p>
    <w:p>
      <w:pPr>
        <w:pStyle w:val="Normal"/>
        <w:ind w:hanging="720" w:start="720" w:end="0"/>
        <w:rPr/>
      </w:pPr>
      <w:r>
        <w:rPr>
          <w:sz w:val="24"/>
        </w:rPr>
        <w:tab/>
        <w:t>10.2</w:t>
        <w:tab/>
        <w:t>No significant impact on the public sector is foreseen.</w:t>
      </w:r>
    </w:p>
    <w:p>
      <w:pPr>
        <w:pStyle w:val="Normal"/>
        <w:ind w:hanging="720" w:start="720" w:end="0"/>
        <w:rPr>
          <w:sz w:val="24"/>
        </w:rPr>
      </w:pPr>
      <w:r>
        <w:rPr>
          <w:sz w:val="24"/>
        </w:rPr>
      </w:r>
    </w:p>
    <w:p>
      <w:pPr>
        <w:pStyle w:val="Normal"/>
        <w:ind w:start="720" w:end="0"/>
        <w:rPr>
          <w:sz w:val="24"/>
        </w:rPr>
      </w:pPr>
      <w:r>
        <w:rPr>
          <w:sz w:val="24"/>
        </w:rPr>
        <w:t>10.3</w:t>
        <w:tab/>
        <w:t>An Impact Assessment has not been prepared for this instrument.</w:t>
      </w:r>
    </w:p>
    <w:p>
      <w:pPr>
        <w:pStyle w:val="Normal"/>
        <w:ind w:hanging="720" w:start="720" w:end="0"/>
        <w:rPr>
          <w:sz w:val="24"/>
        </w:rPr>
      </w:pPr>
      <w:r>
        <w:rPr>
          <w:sz w:val="24"/>
        </w:rPr>
      </w:r>
    </w:p>
    <w:p>
      <w:pPr>
        <w:pStyle w:val="Normal"/>
        <w:numPr>
          <w:ilvl w:val="0"/>
          <w:numId w:val="5"/>
        </w:numPr>
        <w:rPr>
          <w:b/>
          <w:sz w:val="24"/>
        </w:rPr>
      </w:pPr>
      <w:r>
        <w:rPr>
          <w:b/>
          <w:sz w:val="24"/>
        </w:rPr>
        <w:t>Regulating small business</w:t>
      </w:r>
    </w:p>
    <w:p>
      <w:pPr>
        <w:pStyle w:val="Normal"/>
        <w:ind w:start="720" w:end="0"/>
        <w:rPr>
          <w:b/>
          <w:sz w:val="24"/>
        </w:rPr>
      </w:pPr>
      <w:r>
        <w:rPr>
          <w:b/>
          <w:sz w:val="24"/>
        </w:rPr>
      </w:r>
    </w:p>
    <w:p>
      <w:pPr>
        <w:pStyle w:val="Normal"/>
        <w:ind w:start="720" w:end="0"/>
        <w:jc w:val="both"/>
        <w:rPr>
          <w:sz w:val="24"/>
          <w:szCs w:val="24"/>
        </w:rPr>
      </w:pPr>
      <w:r>
        <w:rPr>
          <w:sz w:val="24"/>
          <w:szCs w:val="24"/>
        </w:rPr>
        <w:t xml:space="preserve">11.1 </w:t>
        <w:tab/>
        <w:t xml:space="preserve">The legislation applies to small business. </w:t>
      </w:r>
    </w:p>
    <w:p>
      <w:pPr>
        <w:pStyle w:val="Normal"/>
        <w:ind w:start="720" w:end="0"/>
        <w:jc w:val="both"/>
        <w:rPr>
          <w:sz w:val="24"/>
          <w:szCs w:val="24"/>
        </w:rPr>
      </w:pPr>
      <w:r>
        <w:rPr>
          <w:sz w:val="24"/>
          <w:szCs w:val="24"/>
        </w:rPr>
      </w:r>
    </w:p>
    <w:p>
      <w:pPr>
        <w:pStyle w:val="Normal"/>
        <w:ind w:start="720" w:end="0"/>
        <w:jc w:val="both"/>
        <w:rPr/>
      </w:pPr>
      <w:r>
        <w:rPr>
          <w:sz w:val="24"/>
          <w:szCs w:val="24"/>
        </w:rPr>
        <w:t>11.2</w:t>
        <w:tab/>
        <w:t xml:space="preserve">These are technical amendments, which are not expected to have any significant impact on business. Hence it is not considered necessary to make adjustment for small businesses.     </w:t>
        <w:tab/>
      </w:r>
    </w:p>
    <w:p>
      <w:pPr>
        <w:pStyle w:val="Normal"/>
        <w:ind w:start="720" w:end="0"/>
        <w:rPr>
          <w:b/>
          <w:sz w:val="24"/>
          <w:szCs w:val="24"/>
        </w:rPr>
      </w:pPr>
      <w:r>
        <w:rPr>
          <w:b/>
          <w:sz w:val="24"/>
          <w:szCs w:val="24"/>
        </w:rPr>
      </w:r>
    </w:p>
    <w:p>
      <w:pPr>
        <w:pStyle w:val="Normal"/>
        <w:numPr>
          <w:ilvl w:val="0"/>
          <w:numId w:val="5"/>
        </w:numPr>
        <w:rPr>
          <w:b/>
          <w:sz w:val="24"/>
        </w:rPr>
      </w:pPr>
      <w:r>
        <w:rPr>
          <w:b/>
          <w:sz w:val="24"/>
        </w:rPr>
        <w:t>Monitoring &amp; review</w:t>
      </w:r>
    </w:p>
    <w:p>
      <w:pPr>
        <w:pStyle w:val="Normal"/>
        <w:rPr>
          <w:b/>
          <w:sz w:val="24"/>
        </w:rPr>
      </w:pPr>
      <w:r>
        <w:rPr>
          <w:b/>
          <w:sz w:val="24"/>
        </w:rPr>
      </w:r>
    </w:p>
    <w:p>
      <w:pPr>
        <w:pStyle w:val="Normal"/>
        <w:ind w:hanging="720" w:start="1440" w:end="0"/>
        <w:rPr/>
      </w:pPr>
      <w:r>
        <w:rPr>
          <w:sz w:val="24"/>
        </w:rPr>
        <w:t>12.1</w:t>
        <w:tab/>
      </w:r>
      <w:r>
        <w:rPr>
          <w:sz w:val="24"/>
          <w:szCs w:val="24"/>
        </w:rPr>
        <w:t>Defra collects a range of statistics in the agricultural sector, including information</w:t>
      </w:r>
    </w:p>
    <w:p>
      <w:pPr>
        <w:pStyle w:val="Normal"/>
        <w:ind w:hanging="720" w:start="1440" w:end="0"/>
        <w:rPr>
          <w:sz w:val="24"/>
        </w:rPr>
      </w:pPr>
      <w:r>
        <w:rPr>
          <w:sz w:val="24"/>
          <w:szCs w:val="24"/>
        </w:rPr>
        <w:t xml:space="preserve"> </w:t>
      </w:r>
      <w:r>
        <w:rPr>
          <w:sz w:val="24"/>
          <w:szCs w:val="24"/>
        </w:rPr>
        <w:t>about agricultural employment, and will continue to do so after the abolition of the AWB</w:t>
      </w:r>
    </w:p>
    <w:p>
      <w:pPr>
        <w:pStyle w:val="Normal"/>
        <w:ind w:hanging="720" w:start="720" w:end="0"/>
        <w:rPr>
          <w:b/>
          <w:sz w:val="24"/>
        </w:rPr>
      </w:pPr>
      <w:r>
        <w:rPr>
          <w:b/>
          <w:sz w:val="24"/>
        </w:rPr>
      </w:r>
    </w:p>
    <w:p>
      <w:pPr>
        <w:pStyle w:val="Normal"/>
        <w:ind w:hanging="720" w:start="720" w:end="0"/>
        <w:rPr>
          <w:b/>
          <w:sz w:val="24"/>
        </w:rPr>
      </w:pPr>
      <w:r>
        <w:rPr>
          <w:b/>
          <w:sz w:val="24"/>
        </w:rPr>
        <w:t xml:space="preserve">13. </w:t>
        <w:tab/>
        <w:t>Contact</w:t>
      </w:r>
    </w:p>
    <w:p>
      <w:pPr>
        <w:pStyle w:val="Normal"/>
        <w:ind w:hanging="720" w:start="720" w:end="0"/>
        <w:rPr>
          <w:b/>
          <w:sz w:val="24"/>
        </w:rPr>
      </w:pPr>
      <w:r>
        <w:rPr>
          <w:b/>
          <w:sz w:val="24"/>
        </w:rPr>
      </w:r>
    </w:p>
    <w:p>
      <w:pPr>
        <w:pStyle w:val="Normal"/>
        <w:ind w:hanging="720" w:start="720" w:end="0"/>
        <w:rPr/>
      </w:pPr>
      <w:r>
        <w:rPr>
          <w:b/>
          <w:sz w:val="24"/>
        </w:rPr>
        <w:tab/>
      </w:r>
      <w:r>
        <w:rPr>
          <w:sz w:val="24"/>
        </w:rPr>
        <w:t xml:space="preserve">Judith Marsden at the Department for Environment, Food and Rural Affairs Tel: 0207-238-5748/07827-821645 or email: </w:t>
      </w:r>
      <w:hyperlink r:id="rId3">
        <w:r>
          <w:rPr>
            <w:rStyle w:val="Hyperlink"/>
            <w:sz w:val="24"/>
          </w:rPr>
          <w:t>Judith.marsden@defra.gsi.gov.uk</w:t>
        </w:r>
      </w:hyperlink>
      <w:r>
        <w:rPr>
          <w:sz w:val="24"/>
        </w:rPr>
        <w:t xml:space="preserve">  can answer any queries regarding the instrument.</w:t>
      </w:r>
      <w:r>
        <w:rPr>
          <w:rFonts w:cs="Arial" w:ascii="Arial" w:hAnsi="Arial"/>
          <w:sz w:val="24"/>
          <w:szCs w:val="24"/>
        </w:rPr>
        <w:t xml:space="preserve"> </w:t>
      </w:r>
    </w:p>
    <w:sectPr>
      <w:type w:val="nextPage"/>
      <w:pgSz w:w="12240" w:h="15840"/>
      <w:pgMar w:left="1418" w:right="141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DejaVu Sans">
    <w:charset w:val="01" w:characterSet="utf-8"/>
    <w:family w:val="swiss"/>
    <w:pitch w:val="variable"/>
  </w:font>
  <w:font w:name="Tahom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080"/>
        </w:tabs>
        <w:ind w:start="1080" w:hanging="360"/>
      </w:pPr>
      <w:rPr>
        <w:rFonts w:ascii="Symbol" w:hAnsi="Symbol" w:cs="Symbol" w:hint="default"/>
      </w:rPr>
    </w:lvl>
  </w:abstractNum>
  <w:abstractNum w:abstractNumId="3">
    <w:lvl w:ilvl="0">
      <w:start w:val="1"/>
      <w:numFmt w:val="bullet"/>
      <w:lvlText w:val=""/>
      <w:lvlJc w:val="start"/>
      <w:pPr>
        <w:tabs>
          <w:tab w:val="num" w:pos="0"/>
        </w:tabs>
        <w:ind w:start="1440" w:hanging="360"/>
      </w:pPr>
      <w:rPr>
        <w:rFonts w:ascii="Symbol" w:hAnsi="Symbol" w:cs="Symbol" w:hint="default"/>
      </w:rPr>
    </w:lvl>
  </w:abstractNum>
  <w:abstractNum w:abstractNumId="4">
    <w:lvl w:ilvl="0">
      <w:start w:val="1"/>
      <w:numFmt w:val="bullet"/>
      <w:lvlText w:val=""/>
      <w:lvlJc w:val="start"/>
      <w:pPr>
        <w:tabs>
          <w:tab w:val="num" w:pos="0"/>
        </w:tabs>
        <w:ind w:start="1800" w:hanging="360"/>
      </w:pPr>
      <w:rPr>
        <w:rFonts w:ascii="Symbol" w:hAnsi="Symbol" w:cs="Symbol" w:hint="default"/>
      </w:rPr>
    </w:lvl>
  </w:abstractNum>
  <w:abstractNum w:abstractNumId="5">
    <w:lvl w:ilvl="0">
      <w:start w:val="11"/>
      <w:numFmt w:val="decimal"/>
      <w:lvlText w:val="%1."/>
      <w:lvlJc w:val="start"/>
      <w:pPr>
        <w:tabs>
          <w:tab w:val="num" w:pos="720"/>
        </w:tabs>
        <w:ind w:start="720" w:hanging="7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trackRevisions/>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numPr>
        <w:ilvl w:val="0"/>
        <w:numId w:val="1"/>
      </w:numPr>
      <w:jc w:val="both"/>
      <w:outlineLvl w:val="0"/>
    </w:pPr>
    <w:rPr>
      <w:rFonts w:ascii="Arial" w:hAnsi="Arial" w:cs="Arial"/>
      <w:b/>
      <w:bCs/>
      <w:sz w:val="24"/>
      <w:szCs w:val="24"/>
    </w:rPr>
  </w:style>
  <w:style w:type="paragraph" w:styleId="Heading2">
    <w:name w:val="Heading 2"/>
    <w:basedOn w:val="Normal"/>
    <w:next w:val="Normal"/>
    <w:qFormat/>
    <w:pPr>
      <w:keepNext w:val="true"/>
      <w:numPr>
        <w:ilvl w:val="1"/>
        <w:numId w:val="1"/>
      </w:numPr>
      <w:pBdr>
        <w:top w:val="single" w:sz="12" w:space="1" w:color="000000"/>
      </w:pBdr>
      <w:ind w:hanging="720" w:start="720" w:end="0"/>
      <w:jc w:val="both"/>
      <w:outlineLvl w:val="1"/>
    </w:pPr>
    <w:rPr>
      <w:rFonts w:ascii="Arial" w:hAnsi="Arial" w:cs="Arial"/>
      <w:b/>
      <w:sz w:val="24"/>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sz w:val="26"/>
    </w:rPr>
  </w:style>
  <w:style w:type="paragraph" w:styleId="Heading4">
    <w:name w:val="Heading 4"/>
    <w:basedOn w:val="Normal"/>
    <w:next w:val="Normal"/>
    <w:qFormat/>
    <w:pPr>
      <w:keepNext w:val="true"/>
      <w:numPr>
        <w:ilvl w:val="3"/>
        <w:numId w:val="1"/>
      </w:numPr>
      <w:ind w:hanging="720" w:start="720" w:end="0"/>
      <w:jc w:val="both"/>
      <w:outlineLvl w:val="3"/>
    </w:pPr>
    <w:rPr>
      <w:rFonts w:ascii="Arial" w:hAnsi="Arial" w:cs="Arial"/>
      <w:b/>
      <w:bCs/>
      <w:i/>
      <w:sz w:val="24"/>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Calibri" w:hAnsi="Calibri" w:eastAsia="Times New Roman" w:cs="Times New Roman"/>
      <w:sz w:val="24"/>
      <w:szCs w:val="24"/>
    </w:rPr>
  </w:style>
  <w:style w:type="character" w:styleId="WW8Num1z0">
    <w:name w:val="WW8Num1z0"/>
    <w:qFormat/>
    <w:rPr>
      <w:rFonts w:ascii="Symbol" w:hAnsi="Symbol" w:cs="Symbol"/>
    </w:rPr>
  </w:style>
  <w:style w:type="character" w:styleId="WW8Num1z1">
    <w:name w:val="WW8Num1z1"/>
    <w:qFormat/>
    <w:rPr>
      <w:rFonts w:ascii="Courier New" w:hAnsi="Courier New" w:cs="Wingdings"/>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ing5Char">
    <w:name w:val="Heading 5 Char"/>
    <w:qFormat/>
    <w:rPr>
      <w:rFonts w:ascii="Calibri" w:hAnsi="Calibri" w:eastAsia="Times New Roman" w:cs="Times New Roman"/>
      <w:b/>
      <w:bCs/>
      <w:i/>
      <w:iCs/>
      <w:sz w:val="26"/>
      <w:szCs w:val="26"/>
    </w:rPr>
  </w:style>
  <w:style w:type="character" w:styleId="Heading6Char">
    <w:name w:val="Heading 6 Char"/>
    <w:qFormat/>
    <w:rPr>
      <w:rFonts w:ascii="Calibri" w:hAnsi="Calibri" w:eastAsia="Times New Roman" w:cs="Times New Roman"/>
      <w:b/>
      <w:bCs/>
      <w:sz w:val="22"/>
      <w:szCs w:val="22"/>
    </w:rPr>
  </w:style>
  <w:style w:type="character" w:styleId="Heading7Char">
    <w:name w:val="Heading 7 Char"/>
    <w:qFormat/>
    <w:rPr>
      <w:rFonts w:ascii="Calibri" w:hAnsi="Calibri" w:eastAsia="Times New Roman" w:cs="Times New Roman"/>
      <w:sz w:val="24"/>
      <w:szCs w:val="24"/>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rPr>
      <w:rFonts w:ascii="Arial" w:hAnsi="Arial" w:cs="Arial"/>
      <w:sz w:val="24"/>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Indent">
    <w:name w:val="Body Text Indent"/>
    <w:basedOn w:val="Normal"/>
    <w:pPr>
      <w:ind w:hanging="0" w:start="720" w:end="0"/>
    </w:pPr>
    <w:rPr>
      <w:sz w:val="24"/>
    </w:rPr>
  </w:style>
  <w:style w:type="paragraph" w:styleId="BodyTextIndent2">
    <w:name w:val="Body Text Indent 2"/>
    <w:basedOn w:val="Normal"/>
    <w:qFormat/>
    <w:pPr>
      <w:ind w:hanging="0" w:start="1440" w:end="0"/>
    </w:pPr>
    <w:rPr>
      <w:sz w:val="24"/>
    </w:rPr>
  </w:style>
  <w:style w:type="paragraph" w:styleId="BodyText2">
    <w:name w:val="Body Text 2"/>
    <w:basedOn w:val="Normal"/>
    <w:qFormat/>
    <w:pPr>
      <w:jc w:val="both"/>
    </w:pPr>
    <w:rPr>
      <w:rFonts w:ascii="Arial" w:hAnsi="Arial" w:cs="Arial"/>
      <w:sz w:val="24"/>
    </w:rPr>
  </w:style>
  <w:style w:type="paragraph" w:styleId="BodyTextIndent3">
    <w:name w:val="Body Text Indent 3"/>
    <w:basedOn w:val="Normal"/>
    <w:qFormat/>
    <w:pPr>
      <w:ind w:hanging="0" w:start="1080" w:end="0"/>
    </w:pPr>
    <w:rPr>
      <w:rFonts w:ascii="Arial" w:hAnsi="Arial" w:cs="Arial"/>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BodyText3">
    <w:name w:val="Body Text 3"/>
    <w:basedOn w:val="Normal"/>
    <w:qFormat/>
    <w:pPr>
      <w:pBdr>
        <w:top w:val="single" w:sz="12" w:space="1" w:color="000000"/>
      </w:pBdr>
      <w:jc w:val="both"/>
    </w:pPr>
    <w:rPr>
      <w:rFonts w:ascii="Arial" w:hAnsi="Arial" w:cs="Arial"/>
      <w:b/>
      <w:sz w:val="28"/>
      <w:szCs w:val="32"/>
    </w:rPr>
  </w:style>
  <w:style w:type="paragraph" w:styleId="FootnoteText">
    <w:name w:val="Footnote Text"/>
    <w:basedOn w:val="Normal"/>
    <w:pPr/>
    <w:rPr/>
  </w:style>
  <w:style w:type="paragraph" w:styleId="Affirmativebullet">
    <w:name w:val="Affirmative bullet"/>
    <w:basedOn w:val="Normal"/>
    <w:qFormat/>
    <w:pPr>
      <w:numPr>
        <w:ilvl w:val="0"/>
        <w:numId w:val="5"/>
      </w:numPr>
    </w:pPr>
    <w:rPr>
      <w:sz w:val="24"/>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v.uk/government/consultations/the-future-of-the-agricultural-wages-board-for-england-and-wales-and-agricultural-wages-committees-and-agricultural-dwelling-house-advisory-committees-in-england" TargetMode="External"/><Relationship Id="rId3" Type="http://schemas.openxmlformats.org/officeDocument/2006/relationships/hyperlink" Target="mailto:Judith.marsden@defra.gsi.gov.uk"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2013-06-27T10:02:00Z</dcterms:created>
  <dc:creator>apawsey</dc:creator>
  <dc:description/>
  <dc:language>en-US</dc:language>
  <cp:lastModifiedBy>m188612</cp:lastModifiedBy>
  <cp:lastPrinted>2013-06-26T12:10:00Z</cp:lastPrinted>
  <dcterms:modified xsi:type="dcterms:W3CDTF">2013-06-27T10:02:00Z</dcterms:modified>
  <cp:revision>2</cp:revision>
  <dc:subject/>
  <dc:title>Statutory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aveats">
    <vt:lpwstr> </vt:lpwstr>
  </property>
  <property fmtid="{D5CDD505-2E9C-101B-9397-08002B2CF9AE}" pid="3" name="Objective-Classification">
    <vt:lpwstr>[Inherited - none]</vt:lpwstr>
  </property>
  <property fmtid="{D5CDD505-2E9C-101B-9397-08002B2CF9AE}" pid="4" name="Objective-Comment">
    <vt:lpwstr> </vt:lpwstr>
  </property>
  <property fmtid="{D5CDD505-2E9C-101B-9397-08002B2CF9AE}" pid="5" name="Objective-CreationStamp">
    <vt:filetime>2011-01-20T16:26:58Z</vt:filetime>
  </property>
  <property fmtid="{D5CDD505-2E9C-101B-9397-08002B2CF9AE}" pid="6" name="Objective-Creators Organisation [system]">
    <vt:lpwstr>The National Archives</vt:lpwstr>
  </property>
  <property fmtid="{D5CDD505-2E9C-101B-9397-08002B2CF9AE}" pid="7" name="Objective-DatePublished">
    <vt:filetime>2011-01-20T16:26:58Z</vt:filetime>
  </property>
  <property fmtid="{D5CDD505-2E9C-101B-9397-08002B2CF9AE}" pid="8" name="Objective-Disclosable under FOI [system]">
    <vt:lpwstr>Not specified</vt:lpwstr>
  </property>
  <property fmtid="{D5CDD505-2E9C-101B-9397-08002B2CF9AE}" pid="9" name="Objective-Disclosed to the data subject [system]">
    <vt:lpwstr>No</vt:lpwstr>
  </property>
  <property fmtid="{D5CDD505-2E9C-101B-9397-08002B2CF9AE}" pid="10" name="Objective-FOI exemptions [system]">
    <vt:lpwstr> </vt:lpwstr>
  </property>
  <property fmtid="{D5CDD505-2E9C-101B-9397-08002B2CF9AE}" pid="11" name="Objective-FileNumber">
    <vt:lpwstr> </vt:lpwstr>
  </property>
  <property fmtid="{D5CDD505-2E9C-101B-9397-08002B2CF9AE}" pid="12" name="Objective-Id">
    <vt:lpwstr>A2410094</vt:lpwstr>
  </property>
  <property fmtid="{D5CDD505-2E9C-101B-9397-08002B2CF9AE}" pid="13" name="Objective-If Yes identify reference [system]">
    <vt:lpwstr> </vt:lpwstr>
  </property>
  <property fmtid="{D5CDD505-2E9C-101B-9397-08002B2CF9AE}" pid="14" name="Objective-Intranet Content [system]">
    <vt:lpwstr> </vt:lpwstr>
  </property>
  <property fmtid="{D5CDD505-2E9C-101B-9397-08002B2CF9AE}" pid="15" name="Objective-IsApproved">
    <vt:bool>0</vt:bool>
  </property>
  <property fmtid="{D5CDD505-2E9C-101B-9397-08002B2CF9AE}" pid="16" name="Objective-IsPublished">
    <vt:bool>1</vt:bool>
  </property>
  <property fmtid="{D5CDD505-2E9C-101B-9397-08002B2CF9AE}" pid="17" name="Objective-ModificationStamp">
    <vt:filetime>2011-01-20T16:26:59Z</vt:filetime>
  </property>
  <property fmtid="{D5CDD505-2E9C-101B-9397-08002B2CF9AE}" pid="18" name="Objective-Owner">
    <vt:lpwstr>Dawn Dean</vt:lpwstr>
  </property>
  <property fmtid="{D5CDD505-2E9C-101B-9397-08002B2CF9AE}" pid="19" name="Objective-Parent">
    <vt:lpwstr>2011</vt:lpwstr>
  </property>
  <property fmtid="{D5CDD505-2E9C-101B-9397-08002B2CF9AE}" pid="20" name="Objective-Path">
    <vt:lpwstr>File Plan:Legislation and Publishing Services:Engagement:SI Practice and Training:SI Practice circulars:2011:</vt:lpwstr>
  </property>
  <property fmtid="{D5CDD505-2E9C-101B-9397-08002B2CF9AE}" pid="21" name="Objective-Protective Marking [system]">
    <vt:lpwstr>UNCLASSIFIED</vt:lpwstr>
  </property>
  <property fmtid="{D5CDD505-2E9C-101B-9397-08002B2CF9AE}" pid="22" name="Objective-Sensitive personal data [system]">
    <vt:lpwstr>No</vt:lpwstr>
  </property>
  <property fmtid="{D5CDD505-2E9C-101B-9397-08002B2CF9AE}" pid="23" name="Objective-State">
    <vt:lpwstr>Published</vt:lpwstr>
  </property>
  <property fmtid="{D5CDD505-2E9C-101B-9397-08002B2CF9AE}" pid="24" name="Objective-TNA Department [system]">
    <vt:lpwstr>Publishing Services Department</vt:lpwstr>
  </property>
  <property fmtid="{D5CDD505-2E9C-101B-9397-08002B2CF9AE}" pid="25" name="Objective-Title">
    <vt:lpwstr>SIP Circular No 1 (2011)</vt:lpwstr>
  </property>
  <property fmtid="{D5CDD505-2E9C-101B-9397-08002B2CF9AE}" pid="26" name="Objective-Version">
    <vt:lpwstr>1.0</vt:lpwstr>
  </property>
  <property fmtid="{D5CDD505-2E9C-101B-9397-08002B2CF9AE}" pid="27" name="Objective-VersionComment">
    <vt:lpwstr>First version</vt:lpwstr>
  </property>
  <property fmtid="{D5CDD505-2E9C-101B-9397-08002B2CF9AE}" pid="28" name="Objective-VersionNumber">
    <vt:r8>1</vt:r8>
  </property>
  <property fmtid="{D5CDD505-2E9C-101B-9397-08002B2CF9AE}" pid="29" name="_NewReviewCycle">
    <vt:lpwstr/>
  </property>
</Properties>
</file>