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wmf" ContentType="image/x-wmf"/>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cs="Arial"/>
          <w:szCs w:val="22"/>
        </w:rPr>
      </w:pPr>
      <w:r>
        <w:rPr>
          <w:rFonts w:cs="Arial"/>
          <w:szCs w:val="22"/>
        </w:rPr>
        <w:t>Final</w:t>
      </w:r>
    </w:p>
    <w:p>
      <w:pPr>
        <w:pStyle w:val="Normal"/>
        <w:jc w:val="center"/>
        <w:rPr>
          <w:rFonts w:cs="Arial"/>
          <w:szCs w:val="22"/>
        </w:rPr>
      </w:pPr>
      <w:r>
        <w:rPr>
          <w:rFonts w:cs="Arial"/>
          <w:szCs w:val="22"/>
        </w:rPr>
        <w:t xml:space="preserve">Business and Regulatory Impact Assessment </w:t>
      </w:r>
    </w:p>
    <w:p>
      <w:pPr>
        <w:pStyle w:val="Normal"/>
        <w:jc w:val="center"/>
        <w:rPr>
          <w:rFonts w:cs="Arial"/>
          <w:szCs w:val="22"/>
        </w:rPr>
      </w:pPr>
      <w:r>
        <w:rPr>
          <w:rFonts w:cs="Arial"/>
          <w:szCs w:val="22"/>
        </w:rPr>
      </w:r>
    </w:p>
    <w:tbl>
      <w:tblPr>
        <w:tblW w:w="5000" w:type="pct"/>
        <w:jc w:val="start"/>
        <w:tblInd w:w="0" w:type="dxa"/>
        <w:tblLayout w:type="fixed"/>
        <w:tblCellMar>
          <w:top w:w="0" w:type="dxa"/>
          <w:start w:w="108" w:type="dxa"/>
          <w:bottom w:w="0" w:type="dxa"/>
          <w:end w:w="108" w:type="dxa"/>
        </w:tblCellMar>
      </w:tblPr>
      <w:tblGrid>
        <w:gridCol w:w="3008"/>
        <w:gridCol w:w="3009"/>
        <w:gridCol w:w="3009"/>
      </w:tblGrid>
      <w:tr>
        <w:trPr/>
        <w:tc>
          <w:tcPr>
            <w:tcW w:w="9026" w:type="dxa"/>
            <w:gridSpan w:val="3"/>
            <w:tcBorders>
              <w:top w:val="single" w:sz="4" w:space="0" w:color="000000"/>
              <w:start w:val="single" w:sz="4" w:space="0" w:color="000000"/>
              <w:bottom w:val="single" w:sz="4" w:space="0" w:color="000000"/>
              <w:end w:val="single" w:sz="4" w:space="0" w:color="000000"/>
            </w:tcBorders>
          </w:tcPr>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360" w:end="0"/>
              <w:rPr>
                <w:rFonts w:cs="Arial"/>
                <w:b/>
                <w:szCs w:val="22"/>
              </w:rPr>
            </w:pPr>
            <w:r>
              <w:rPr>
                <w:rFonts w:cs="Arial"/>
                <w:b/>
                <w:szCs w:val="22"/>
              </w:rPr>
              <w:t xml:space="preserve">Title of Proposal </w:t>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360" w:end="0"/>
              <w:rPr>
                <w:rFonts w:cs="Arial"/>
                <w:b/>
                <w:szCs w:val="22"/>
              </w:rPr>
            </w:pPr>
            <w:r>
              <w:rPr>
                <w:rFonts w:cs="Arial"/>
                <w:b/>
                <w:szCs w:val="22"/>
              </w:rPr>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rPr>
                <w:rFonts w:cs="Arial"/>
                <w:szCs w:val="22"/>
              </w:rPr>
            </w:pPr>
            <w:r>
              <w:rPr>
                <w:rFonts w:cs="Arial"/>
                <w:szCs w:val="22"/>
              </w:rPr>
              <w:t>THE DEBT ARRANGEMENT SCHEME (SCOTLAND) AMENDMENT REGULATIONS 2013</w:t>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rPr>
                <w:rFonts w:cs="Arial"/>
                <w:szCs w:val="22"/>
              </w:rPr>
            </w:pPr>
            <w:r>
              <w:rPr>
                <w:rFonts w:cs="Arial"/>
                <w:szCs w:val="22"/>
              </w:rPr>
            </w:r>
          </w:p>
        </w:tc>
      </w:tr>
      <w:tr>
        <w:trPr/>
        <w:tc>
          <w:tcPr>
            <w:tcW w:w="9026" w:type="dxa"/>
            <w:gridSpan w:val="3"/>
            <w:tcBorders>
              <w:top w:val="single" w:sz="4" w:space="0" w:color="000000"/>
              <w:start w:val="single" w:sz="4" w:space="0" w:color="000000"/>
              <w:bottom w:val="single" w:sz="4" w:space="0" w:color="000000"/>
              <w:end w:val="single" w:sz="4" w:space="0" w:color="000000"/>
            </w:tcBorders>
          </w:tcPr>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360" w:end="0"/>
              <w:rPr>
                <w:rFonts w:cs="Arial"/>
                <w:b/>
                <w:szCs w:val="22"/>
              </w:rPr>
            </w:pPr>
            <w:r>
              <w:rPr>
                <w:rFonts w:cs="Arial"/>
                <w:b/>
                <w:szCs w:val="22"/>
              </w:rPr>
              <w:t xml:space="preserve">Purpose and intended effect </w:t>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360" w:end="0"/>
              <w:rPr>
                <w:rFonts w:cs="Arial"/>
                <w:b/>
                <w:szCs w:val="22"/>
              </w:rPr>
            </w:pPr>
            <w:r>
              <w:rPr>
                <w:rFonts w:cs="Arial"/>
                <w:b/>
                <w:szCs w:val="22"/>
              </w:rPr>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360" w:end="0"/>
              <w:rPr>
                <w:rFonts w:cs="Arial"/>
                <w:b/>
                <w:szCs w:val="22"/>
              </w:rPr>
            </w:pPr>
            <w:r>
              <w:rPr>
                <w:rFonts w:cs="Arial"/>
                <w:b/>
                <w:szCs w:val="22"/>
              </w:rPr>
              <w:t>Background</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720" w:end="0"/>
              <w:rPr>
                <w:rFonts w:cs="Arial"/>
                <w:b/>
                <w:szCs w:val="22"/>
              </w:rPr>
            </w:pPr>
            <w:r>
              <w:rPr>
                <w:rFonts w:cs="Arial"/>
                <w:b/>
                <w:szCs w:val="22"/>
              </w:rPr>
            </w:r>
          </w:p>
          <w:p>
            <w:pPr>
              <w:pStyle w:val="BillADPara"/>
              <w:numPr>
                <w:ilvl w:val="0"/>
                <w:numId w:val="0"/>
              </w:numPr>
              <w:tabs>
                <w:tab w:val="left" w:pos="1418" w:leader="none"/>
                <w:tab w:val="left" w:pos="2126" w:leader="none"/>
                <w:tab w:val="left" w:pos="2160" w:leader="none"/>
                <w:tab w:val="left" w:pos="2835" w:leader="none"/>
                <w:tab w:val="left" w:pos="2880" w:leader="none"/>
                <w:tab w:val="left" w:pos="3544" w:leader="none"/>
                <w:tab w:val="left" w:pos="4253" w:leader="none"/>
                <w:tab w:val="left" w:pos="4680" w:leader="none"/>
                <w:tab w:val="left" w:pos="4961" w:leader="none"/>
                <w:tab w:val="left" w:pos="5400" w:leader="none"/>
                <w:tab w:val="left" w:pos="5670" w:leader="none"/>
                <w:tab w:val="right" w:pos="9000" w:leader="none"/>
              </w:tabs>
              <w:spacing w:lineRule="atLeast" w:line="240"/>
              <w:ind w:hanging="0" w:start="0"/>
              <w:rPr>
                <w:rFonts w:ascii="Arial" w:hAnsi="Arial" w:cs="Arial"/>
                <w:sz w:val="22"/>
                <w:szCs w:val="22"/>
              </w:rPr>
            </w:pPr>
            <w:r>
              <w:rPr>
                <w:rFonts w:cs="Arial" w:ascii="Arial" w:hAnsi="Arial"/>
                <w:sz w:val="22"/>
                <w:szCs w:val="22"/>
              </w:rPr>
              <w:t xml:space="preserve">The purpose of the Debt Arrangement Scheme (DAS) is to provide a facility for the orderly repayment principally of multiple debts. </w:t>
            </w:r>
          </w:p>
          <w:p>
            <w:pPr>
              <w:pStyle w:val="BillADPara"/>
              <w:numPr>
                <w:ilvl w:val="0"/>
                <w:numId w:val="0"/>
              </w:numPr>
              <w:tabs>
                <w:tab w:val="left" w:pos="1418" w:leader="none"/>
                <w:tab w:val="left" w:pos="2126" w:leader="none"/>
                <w:tab w:val="left" w:pos="2160" w:leader="none"/>
                <w:tab w:val="left" w:pos="2835" w:leader="none"/>
                <w:tab w:val="left" w:pos="2880" w:leader="none"/>
                <w:tab w:val="left" w:pos="3544" w:leader="none"/>
                <w:tab w:val="left" w:pos="4253" w:leader="none"/>
                <w:tab w:val="left" w:pos="4680" w:leader="none"/>
                <w:tab w:val="left" w:pos="4961" w:leader="none"/>
                <w:tab w:val="left" w:pos="5400" w:leader="none"/>
                <w:tab w:val="left" w:pos="5670" w:leader="none"/>
                <w:tab w:val="right" w:pos="9000" w:leader="none"/>
              </w:tabs>
              <w:spacing w:lineRule="atLeast" w:line="240"/>
              <w:ind w:hanging="0" w:start="0"/>
              <w:rPr>
                <w:rFonts w:ascii="Arial" w:hAnsi="Arial" w:cs="Arial"/>
                <w:sz w:val="22"/>
                <w:szCs w:val="22"/>
              </w:rPr>
            </w:pPr>
            <w:r>
              <w:rPr>
                <w:rFonts w:cs="Arial" w:ascii="Arial" w:hAnsi="Arial"/>
                <w:sz w:val="22"/>
                <w:szCs w:val="22"/>
              </w:rPr>
              <w:t>The policy objectives of the DAS are to:</w:t>
            </w:r>
          </w:p>
          <w:p>
            <w:pPr>
              <w:pStyle w:val="Default"/>
              <w:numPr>
                <w:ilvl w:val="0"/>
                <w:numId w:val="3"/>
              </w:numPr>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jc w:val="both"/>
              <w:rPr>
                <w:sz w:val="22"/>
                <w:szCs w:val="22"/>
              </w:rPr>
            </w:pPr>
            <w:r>
              <w:rPr>
                <w:sz w:val="22"/>
                <w:szCs w:val="22"/>
              </w:rPr>
              <w:t xml:space="preserve">Provide a facility for the orderly repayment principally of multiple debts. </w:t>
            </w:r>
          </w:p>
          <w:p>
            <w:pPr>
              <w:pStyle w:val="Default"/>
              <w:numPr>
                <w:ilvl w:val="0"/>
                <w:numId w:val="3"/>
              </w:numPr>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jc w:val="both"/>
              <w:rPr>
                <w:sz w:val="22"/>
                <w:szCs w:val="22"/>
              </w:rPr>
            </w:pPr>
            <w:r>
              <w:rPr>
                <w:sz w:val="22"/>
                <w:szCs w:val="22"/>
              </w:rPr>
              <w:t>The policy objectives of the DAS are to:-</w:t>
            </w:r>
          </w:p>
          <w:p>
            <w:pPr>
              <w:pStyle w:val="Default"/>
              <w:numPr>
                <w:ilvl w:val="0"/>
                <w:numId w:val="3"/>
              </w:numPr>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jc w:val="both"/>
              <w:rPr>
                <w:sz w:val="22"/>
                <w:szCs w:val="22"/>
              </w:rPr>
            </w:pPr>
            <w:r>
              <w:rPr>
                <w:sz w:val="22"/>
                <w:szCs w:val="22"/>
              </w:rPr>
              <w:t>Enable people to resolve debt problems in a dignified way;</w:t>
            </w:r>
          </w:p>
          <w:p>
            <w:pPr>
              <w:pStyle w:val="Default"/>
              <w:numPr>
                <w:ilvl w:val="0"/>
                <w:numId w:val="3"/>
              </w:numPr>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jc w:val="both"/>
              <w:rPr>
                <w:sz w:val="22"/>
                <w:szCs w:val="22"/>
              </w:rPr>
            </w:pPr>
            <w:r>
              <w:rPr>
                <w:sz w:val="22"/>
                <w:szCs w:val="22"/>
              </w:rPr>
              <w:t>Reduce the need for creditors to take legal action to recover their debts;</w:t>
            </w:r>
          </w:p>
          <w:p>
            <w:pPr>
              <w:pStyle w:val="Default"/>
              <w:numPr>
                <w:ilvl w:val="0"/>
                <w:numId w:val="3"/>
              </w:numPr>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jc w:val="both"/>
              <w:rPr>
                <w:sz w:val="22"/>
                <w:szCs w:val="22"/>
              </w:rPr>
            </w:pPr>
            <w:r>
              <w:rPr>
                <w:sz w:val="22"/>
                <w:szCs w:val="22"/>
              </w:rPr>
              <w:t>Minimise the impact of bad debt on both debtors and creditors.</w:t>
            </w:r>
          </w:p>
          <w:p>
            <w:pPr>
              <w:pStyle w:val="Normal"/>
              <w:tabs>
                <w:tab w:val="left" w:pos="360" w:leader="none"/>
                <w:tab w:val="left" w:pos="720" w:leader="none"/>
                <w:tab w:val="left" w:pos="1440" w:leader="none"/>
                <w:tab w:val="left" w:pos="2160" w:leader="none"/>
                <w:tab w:val="left" w:pos="2880" w:leader="none"/>
                <w:tab w:val="left" w:pos="4680" w:leader="none"/>
                <w:tab w:val="left" w:pos="5400" w:leader="none"/>
                <w:tab w:val="right" w:pos="9000" w:leader="none"/>
              </w:tabs>
              <w:autoSpaceDE w:val="false"/>
              <w:jc w:val="both"/>
              <w:rPr>
                <w:rFonts w:cs="Arial"/>
                <w:sz w:val="22"/>
                <w:szCs w:val="22"/>
                <w:lang w:eastAsia="en-GB"/>
              </w:rPr>
            </w:pPr>
            <w:r>
              <w:rPr>
                <w:rFonts w:cs="Arial"/>
                <w:sz w:val="22"/>
                <w:szCs w:val="22"/>
                <w:lang w:eastAsia="en-GB"/>
              </w:rPr>
            </w:r>
          </w:p>
          <w:p>
            <w:pPr>
              <w:pStyle w:val="BillADPara"/>
              <w:numPr>
                <w:ilvl w:val="0"/>
                <w:numId w:val="0"/>
              </w:numPr>
              <w:tabs>
                <w:tab w:val="left" w:pos="1418" w:leader="none"/>
                <w:tab w:val="left" w:pos="2126" w:leader="none"/>
                <w:tab w:val="left" w:pos="2160" w:leader="none"/>
                <w:tab w:val="left" w:pos="2835" w:leader="none"/>
                <w:tab w:val="left" w:pos="2880" w:leader="none"/>
                <w:tab w:val="left" w:pos="3544" w:leader="none"/>
                <w:tab w:val="left" w:pos="4253" w:leader="none"/>
                <w:tab w:val="left" w:pos="4680" w:leader="none"/>
                <w:tab w:val="left" w:pos="4961" w:leader="none"/>
                <w:tab w:val="left" w:pos="5400" w:leader="none"/>
                <w:tab w:val="left" w:pos="5670" w:leader="none"/>
                <w:tab w:val="right" w:pos="9000" w:leader="none"/>
              </w:tabs>
              <w:spacing w:lineRule="atLeast" w:line="240"/>
              <w:ind w:hanging="0" w:start="0"/>
              <w:rPr>
                <w:rFonts w:ascii="Arial" w:hAnsi="Arial" w:cs="Arial"/>
                <w:sz w:val="22"/>
                <w:szCs w:val="22"/>
              </w:rPr>
            </w:pPr>
            <w:r>
              <w:rPr>
                <w:rFonts w:cs="Arial" w:ascii="Arial" w:hAnsi="Arial"/>
                <w:sz w:val="22"/>
                <w:szCs w:val="22"/>
              </w:rPr>
              <w:t>DAS is a powerful tool capable of helping many people. It allows people who are unable to pay their debts as they fall due, who have a reasonable level of surplus income after meeting their basic needs, to pay those debts over a longer period.  It helps them to manage their way out of debt problems, removing the stress that can be associated with debt, giving them the opportunity to start over.</w:t>
            </w:r>
          </w:p>
          <w:p>
            <w:pPr>
              <w:pStyle w:val="BillADPara"/>
              <w:numPr>
                <w:ilvl w:val="0"/>
                <w:numId w:val="0"/>
              </w:numPr>
              <w:tabs>
                <w:tab w:val="left" w:pos="1418" w:leader="none"/>
                <w:tab w:val="left" w:pos="2126" w:leader="none"/>
                <w:tab w:val="left" w:pos="2160" w:leader="none"/>
                <w:tab w:val="left" w:pos="2835" w:leader="none"/>
                <w:tab w:val="left" w:pos="2880" w:leader="none"/>
                <w:tab w:val="left" w:pos="3544" w:leader="none"/>
                <w:tab w:val="left" w:pos="4253" w:leader="none"/>
                <w:tab w:val="left" w:pos="4680" w:leader="none"/>
                <w:tab w:val="left" w:pos="4961" w:leader="none"/>
                <w:tab w:val="left" w:pos="5400" w:leader="none"/>
                <w:tab w:val="left" w:pos="5670" w:leader="none"/>
                <w:tab w:val="right" w:pos="9000" w:leader="none"/>
              </w:tabs>
              <w:spacing w:lineRule="atLeast" w:line="240"/>
              <w:ind w:hanging="0" w:start="0"/>
              <w:rPr/>
            </w:pPr>
            <w:r>
              <w:rPr>
                <w:rFonts w:cs="Arial" w:ascii="Arial" w:hAnsi="Arial"/>
                <w:sz w:val="22"/>
                <w:szCs w:val="22"/>
              </w:rPr>
              <w:t xml:space="preserve">DAS is one of a range of debt solutions and may not be the best option for everyone with debt problems. For that reason, anyone considering DAS must first be given advice from an approved money adviser. In those cases where DAS is suitable the adviser, </w:t>
            </w:r>
            <w:r>
              <w:rPr>
                <w:rFonts w:cs="Arial" w:ascii="Arial" w:hAnsi="Arial"/>
                <w:color w:val="000000"/>
                <w:sz w:val="21"/>
                <w:szCs w:val="21"/>
              </w:rPr>
              <w:t>on behalf of the debtor, w</w:t>
            </w:r>
            <w:r>
              <w:rPr>
                <w:rFonts w:cs="Arial" w:ascii="Arial" w:hAnsi="Arial"/>
                <w:sz w:val="22"/>
                <w:szCs w:val="22"/>
              </w:rPr>
              <w:t xml:space="preserve">ill </w:t>
            </w:r>
            <w:r>
              <w:rPr>
                <w:rFonts w:cs="Arial" w:ascii="Arial" w:hAnsi="Arial"/>
                <w:color w:val="000000"/>
                <w:sz w:val="21"/>
                <w:szCs w:val="21"/>
              </w:rPr>
              <w:t xml:space="preserve">apply to the DAS administrator for the approval of a Debt Payment Programme (DPP). </w:t>
            </w:r>
          </w:p>
          <w:p>
            <w:pPr>
              <w:pStyle w:val="BillADPara"/>
              <w:numPr>
                <w:ilvl w:val="0"/>
                <w:numId w:val="0"/>
              </w:numPr>
              <w:tabs>
                <w:tab w:val="left" w:pos="1418" w:leader="none"/>
                <w:tab w:val="left" w:pos="2126" w:leader="none"/>
                <w:tab w:val="left" w:pos="2160" w:leader="none"/>
                <w:tab w:val="left" w:pos="2835" w:leader="none"/>
                <w:tab w:val="left" w:pos="2880" w:leader="none"/>
                <w:tab w:val="left" w:pos="3544" w:leader="none"/>
                <w:tab w:val="left" w:pos="4253" w:leader="none"/>
                <w:tab w:val="left" w:pos="4680" w:leader="none"/>
                <w:tab w:val="left" w:pos="4961" w:leader="none"/>
                <w:tab w:val="left" w:pos="5400" w:leader="none"/>
                <w:tab w:val="left" w:pos="5670" w:leader="none"/>
                <w:tab w:val="right" w:pos="9000" w:leader="none"/>
              </w:tabs>
              <w:spacing w:lineRule="atLeast" w:line="240"/>
              <w:ind w:hanging="0" w:start="0"/>
              <w:rPr/>
            </w:pPr>
            <w:r>
              <w:rPr>
                <w:rFonts w:cs="Arial" w:ascii="Arial" w:hAnsi="Arial"/>
                <w:sz w:val="22"/>
                <w:szCs w:val="22"/>
              </w:rPr>
              <w:t xml:space="preserve">The Accountant in Bankruptcy (AiB) carries out the functions of the DAS administrator on behalf of Scottish Ministers.  Approval of a DPP is subject to all the creditors agreeing or deemed consent from creditors where creditors fail to respond.  Should the latter be the case the DAS Administrator will carry out a fair and reasonable test before making a decision on whether or not to grant approval of the DPP. The debtor’s creditors are unable to petition to sequestrate the debtor or use diligence (seize and sell assets) against them where the debtor has intimated their intention to apply for a DPP and the intimation is recorded on the </w:t>
            </w:r>
            <w:r>
              <w:rPr>
                <w:rFonts w:cs="Arial" w:ascii="Arial" w:hAnsi="Arial"/>
                <w:color w:val="222222"/>
                <w:sz w:val="21"/>
                <w:szCs w:val="21"/>
              </w:rPr>
              <w:t>Debt Arrangement Scheme Hub (DASH) register and</w:t>
            </w:r>
            <w:r>
              <w:rPr>
                <w:rFonts w:cs="Arial" w:ascii="Arial" w:hAnsi="Arial"/>
                <w:sz w:val="22"/>
                <w:szCs w:val="22"/>
              </w:rPr>
              <w:t xml:space="preserve"> once a DPP is approved, this immunity remains throughout the course of the DPP.</w:t>
            </w:r>
          </w:p>
          <w:p>
            <w:pPr>
              <w:pStyle w:val="BillADPara"/>
              <w:numPr>
                <w:ilvl w:val="0"/>
                <w:numId w:val="0"/>
              </w:numPr>
              <w:tabs>
                <w:tab w:val="left" w:pos="1418" w:leader="none"/>
                <w:tab w:val="left" w:pos="2126" w:leader="none"/>
                <w:tab w:val="left" w:pos="2160" w:leader="none"/>
                <w:tab w:val="left" w:pos="2835" w:leader="none"/>
                <w:tab w:val="left" w:pos="2880" w:leader="none"/>
                <w:tab w:val="left" w:pos="3544" w:leader="none"/>
                <w:tab w:val="left" w:pos="4253" w:leader="none"/>
                <w:tab w:val="left" w:pos="4680" w:leader="none"/>
                <w:tab w:val="left" w:pos="4961" w:leader="none"/>
                <w:tab w:val="left" w:pos="5400" w:leader="none"/>
                <w:tab w:val="left" w:pos="5670" w:leader="none"/>
                <w:tab w:val="right" w:pos="9000" w:leader="none"/>
              </w:tabs>
              <w:spacing w:lineRule="atLeast" w:line="240"/>
              <w:ind w:hanging="0" w:start="0"/>
              <w:rPr/>
            </w:pPr>
            <w:r>
              <w:rPr>
                <w:rFonts w:cs="Arial" w:ascii="Arial" w:hAnsi="Arial"/>
                <w:sz w:val="22"/>
                <w:szCs w:val="22"/>
              </w:rPr>
              <w:t>Once the DPP is approved the debtor no longer needs to make individual payments to each creditor. Instead, a single payment is made to an approved payments distributor who divides that payment between the debtor’s creditors on a pro-rata basis. The costs of this are met by charging the creditors a capped administration fee deducted from that payment. The creditors benefit from reduced administrative, legal and recovery costs and increased certainty of payment. The recording of the programme and some of the administration costs are covered by the public purse.</w:t>
            </w:r>
          </w:p>
          <w:p>
            <w:pPr>
              <w:pStyle w:val="BillADPara"/>
              <w:numPr>
                <w:ilvl w:val="0"/>
                <w:numId w:val="0"/>
              </w:numPr>
              <w:tabs>
                <w:tab w:val="left" w:pos="1418" w:leader="none"/>
                <w:tab w:val="left" w:pos="2126" w:leader="none"/>
                <w:tab w:val="left" w:pos="2160" w:leader="none"/>
                <w:tab w:val="left" w:pos="2835" w:leader="none"/>
                <w:tab w:val="left" w:pos="2880" w:leader="none"/>
                <w:tab w:val="left" w:pos="3544" w:leader="none"/>
                <w:tab w:val="left" w:pos="4253" w:leader="none"/>
                <w:tab w:val="left" w:pos="4680" w:leader="none"/>
                <w:tab w:val="left" w:pos="4961" w:leader="none"/>
                <w:tab w:val="left" w:pos="5400" w:leader="none"/>
                <w:tab w:val="left" w:pos="5670" w:leader="none"/>
                <w:tab w:val="right" w:pos="9000" w:leader="none"/>
              </w:tabs>
              <w:spacing w:lineRule="atLeast" w:line="240"/>
              <w:ind w:hanging="0" w:start="0"/>
              <w:rPr>
                <w:rFonts w:ascii="Arial" w:hAnsi="Arial" w:cs="Arial"/>
                <w:sz w:val="22"/>
                <w:szCs w:val="22"/>
              </w:rPr>
            </w:pPr>
            <w:r>
              <w:rPr>
                <w:rFonts w:cs="Arial" w:ascii="Arial" w:hAnsi="Arial"/>
                <w:sz w:val="22"/>
                <w:szCs w:val="22"/>
              </w:rPr>
              <w:t>The debtor in a DPP is protected from the risk of losing their home provided that they continue to pay their mortgage payments, in contrast to bankruptcy or a trust deed where ownership of all land and buildings passes to the trustee for the benefit of creditors.</w:t>
            </w:r>
          </w:p>
          <w:p>
            <w:pPr>
              <w:pStyle w:val="BillADPara"/>
              <w:numPr>
                <w:ilvl w:val="0"/>
                <w:numId w:val="0"/>
              </w:numPr>
              <w:tabs>
                <w:tab w:val="left" w:pos="1418" w:leader="none"/>
                <w:tab w:val="left" w:pos="2126" w:leader="none"/>
                <w:tab w:val="left" w:pos="2160" w:leader="none"/>
                <w:tab w:val="left" w:pos="2835" w:leader="none"/>
                <w:tab w:val="left" w:pos="2880" w:leader="none"/>
                <w:tab w:val="left" w:pos="3544" w:leader="none"/>
                <w:tab w:val="left" w:pos="4253" w:leader="none"/>
                <w:tab w:val="left" w:pos="4680" w:leader="none"/>
                <w:tab w:val="left" w:pos="4961" w:leader="none"/>
                <w:tab w:val="left" w:pos="5400" w:leader="none"/>
                <w:tab w:val="left" w:pos="5670" w:leader="none"/>
                <w:tab w:val="right" w:pos="9000" w:leader="none"/>
              </w:tabs>
              <w:spacing w:lineRule="atLeast" w:line="240"/>
              <w:ind w:hanging="0" w:start="0"/>
              <w:rPr>
                <w:rFonts w:ascii="Arial" w:hAnsi="Arial" w:cs="Arial"/>
                <w:sz w:val="22"/>
                <w:szCs w:val="22"/>
              </w:rPr>
            </w:pPr>
            <w:r>
              <w:rPr>
                <w:rFonts w:cs="Arial" w:ascii="Arial" w:hAnsi="Arial"/>
                <w:sz w:val="22"/>
                <w:szCs w:val="22"/>
              </w:rPr>
              <w:t xml:space="preserve">Changes to DAS were introduced in June 2007 as part of the Bankruptcy and Diligence etc. (Scotland) Act 2007. These froze interest and charges on debts included in a DPP on the date of approval. The take up of DAS increased as a direct result of these changes. </w:t>
            </w:r>
          </w:p>
          <w:p>
            <w:pPr>
              <w:pStyle w:val="BillADPara"/>
              <w:numPr>
                <w:ilvl w:val="0"/>
                <w:numId w:val="0"/>
              </w:numPr>
              <w:tabs>
                <w:tab w:val="left" w:pos="1418" w:leader="none"/>
                <w:tab w:val="left" w:pos="2126" w:leader="none"/>
                <w:tab w:val="left" w:pos="2160" w:leader="none"/>
                <w:tab w:val="left" w:pos="2835" w:leader="none"/>
                <w:tab w:val="left" w:pos="2880" w:leader="none"/>
                <w:tab w:val="left" w:pos="3544" w:leader="none"/>
                <w:tab w:val="left" w:pos="4253" w:leader="none"/>
                <w:tab w:val="left" w:pos="4680" w:leader="none"/>
                <w:tab w:val="left" w:pos="4961" w:leader="none"/>
                <w:tab w:val="left" w:pos="5400" w:leader="none"/>
                <w:tab w:val="left" w:pos="5670" w:leader="none"/>
                <w:tab w:val="right" w:pos="9000" w:leader="none"/>
              </w:tabs>
              <w:spacing w:lineRule="atLeast" w:line="240"/>
              <w:ind w:hanging="0" w:start="0"/>
              <w:rPr/>
            </w:pPr>
            <w:r>
              <w:rPr>
                <w:rFonts w:cs="Arial" w:ascii="Arial" w:hAnsi="Arial"/>
                <w:sz w:val="22"/>
                <w:szCs w:val="22"/>
              </w:rPr>
              <w:t>Following a public consultation on DAS in 2009, it was found that while the uptake of DAS had increased, barriers still remained preventing debtors from accessing the Scheme. To address this and other issues further changes to the Scheme were introduced on 1 July 2011, via The Debt Arrangement Scheme (Scotland) Regulations 2011. These changes can be summarised as follows:-</w:t>
            </w:r>
          </w:p>
          <w:p>
            <w:pPr>
              <w:pStyle w:val="Default"/>
              <w:numPr>
                <w:ilvl w:val="0"/>
                <w:numId w:val="3"/>
              </w:numPr>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jc w:val="both"/>
              <w:rPr>
                <w:sz w:val="22"/>
                <w:szCs w:val="22"/>
              </w:rPr>
            </w:pPr>
            <w:r>
              <w:rPr>
                <w:sz w:val="22"/>
                <w:szCs w:val="22"/>
              </w:rPr>
              <w:t>Widening the money advice gateway so that more people and organisations can be approved to offer DAS, ensuring that people across Scotland are able to benefit from the Scheme;</w:t>
            </w:r>
          </w:p>
          <w:p>
            <w:pPr>
              <w:pStyle w:val="Default"/>
              <w:numPr>
                <w:ilvl w:val="0"/>
                <w:numId w:val="3"/>
              </w:numPr>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jc w:val="both"/>
              <w:rPr>
                <w:sz w:val="22"/>
                <w:szCs w:val="22"/>
              </w:rPr>
            </w:pPr>
            <w:r>
              <w:rPr>
                <w:sz w:val="22"/>
                <w:szCs w:val="22"/>
              </w:rPr>
              <w:t>Removing the administrative burden from free sector money advisers – Accountant in Bankruptcy (AiB), the DAS Administrator, is now responsible for the ongoing administration, in cases proposed by free sector money advisers, following an application for a DPP;</w:t>
            </w:r>
          </w:p>
          <w:p>
            <w:pPr>
              <w:pStyle w:val="Default"/>
              <w:numPr>
                <w:ilvl w:val="0"/>
                <w:numId w:val="3"/>
              </w:numPr>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jc w:val="both"/>
              <w:rPr>
                <w:sz w:val="22"/>
                <w:szCs w:val="22"/>
              </w:rPr>
            </w:pPr>
            <w:r>
              <w:rPr>
                <w:sz w:val="22"/>
                <w:szCs w:val="22"/>
              </w:rPr>
              <w:t xml:space="preserve">The ability for people with a single debt to apply; </w:t>
            </w:r>
          </w:p>
          <w:p>
            <w:pPr>
              <w:pStyle w:val="Default"/>
              <w:numPr>
                <w:ilvl w:val="0"/>
                <w:numId w:val="3"/>
              </w:numPr>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jc w:val="both"/>
              <w:rPr>
                <w:sz w:val="22"/>
                <w:szCs w:val="22"/>
              </w:rPr>
            </w:pPr>
            <w:r>
              <w:rPr>
                <w:sz w:val="22"/>
                <w:szCs w:val="22"/>
              </w:rPr>
              <w:t xml:space="preserve">The ability for couples who are jointly and severally liable for a debt to apply for a joint DPP; </w:t>
            </w:r>
          </w:p>
          <w:p>
            <w:pPr>
              <w:pStyle w:val="Default"/>
              <w:numPr>
                <w:ilvl w:val="0"/>
                <w:numId w:val="3"/>
              </w:numPr>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jc w:val="both"/>
              <w:rPr>
                <w:sz w:val="22"/>
                <w:szCs w:val="22"/>
              </w:rPr>
            </w:pPr>
            <w:r>
              <w:rPr>
                <w:sz w:val="22"/>
                <w:szCs w:val="22"/>
              </w:rPr>
              <w:t>The ability for debtors to apply for a payment holiday of 6 months for debtors to adapt to temporary income shocks;</w:t>
            </w:r>
          </w:p>
          <w:p>
            <w:pPr>
              <w:pStyle w:val="Default"/>
              <w:numPr>
                <w:ilvl w:val="0"/>
                <w:numId w:val="3"/>
              </w:numPr>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jc w:val="both"/>
              <w:rPr>
                <w:sz w:val="22"/>
                <w:szCs w:val="22"/>
              </w:rPr>
            </w:pPr>
            <w:r>
              <w:rPr>
                <w:sz w:val="22"/>
                <w:szCs w:val="22"/>
              </w:rPr>
              <w:t xml:space="preserve">The creation of a panel of 4 approved payments distributors who are responsible for collecting and distributing payments to creditors; and </w:t>
            </w:r>
          </w:p>
          <w:p>
            <w:pPr>
              <w:pStyle w:val="Default"/>
              <w:numPr>
                <w:ilvl w:val="0"/>
                <w:numId w:val="3"/>
              </w:numPr>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jc w:val="both"/>
              <w:rPr>
                <w:sz w:val="22"/>
                <w:szCs w:val="22"/>
              </w:rPr>
            </w:pPr>
            <w:r>
              <w:rPr>
                <w:sz w:val="22"/>
                <w:szCs w:val="22"/>
              </w:rPr>
              <w:t xml:space="preserve">A 2% fee collected from each DPP, payable to AiB, to cover the application cost </w:t>
            </w:r>
          </w:p>
          <w:p>
            <w:pPr>
              <w:pStyle w:val="Default"/>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start="360" w:end="0"/>
              <w:jc w:val="both"/>
              <w:rPr>
                <w:sz w:val="22"/>
                <w:szCs w:val="22"/>
              </w:rPr>
            </w:pPr>
            <w:r>
              <w:rPr>
                <w:sz w:val="22"/>
                <w:szCs w:val="22"/>
              </w:rPr>
            </w:r>
          </w:p>
          <w:p>
            <w:pPr>
              <w:pStyle w:val="BillADPara"/>
              <w:numPr>
                <w:ilvl w:val="0"/>
                <w:numId w:val="0"/>
              </w:numPr>
              <w:tabs>
                <w:tab w:val="left" w:pos="1418" w:leader="none"/>
                <w:tab w:val="left" w:pos="2126" w:leader="none"/>
                <w:tab w:val="left" w:pos="2160" w:leader="none"/>
                <w:tab w:val="left" w:pos="2835" w:leader="none"/>
                <w:tab w:val="left" w:pos="2880" w:leader="none"/>
                <w:tab w:val="left" w:pos="3544" w:leader="none"/>
                <w:tab w:val="left" w:pos="4253" w:leader="none"/>
                <w:tab w:val="left" w:pos="4680" w:leader="none"/>
                <w:tab w:val="left" w:pos="4961" w:leader="none"/>
                <w:tab w:val="left" w:pos="5400" w:leader="none"/>
                <w:tab w:val="left" w:pos="5670" w:leader="none"/>
                <w:tab w:val="right" w:pos="9000" w:leader="none"/>
              </w:tabs>
              <w:spacing w:lineRule="atLeast" w:line="240"/>
              <w:ind w:hanging="0" w:start="0"/>
              <w:rPr/>
            </w:pPr>
            <w:r>
              <w:rPr/>
              <w:t>Table 1 shows the uptake of DAS year on year since its first full financial year in 2005/06.</w:t>
            </w:r>
          </w:p>
          <w:tbl>
            <w:tblPr>
              <w:tblW w:w="5000" w:type="pct"/>
              <w:jc w:val="start"/>
              <w:tblInd w:w="0" w:type="dxa"/>
              <w:tblLayout w:type="fixed"/>
              <w:tblCellMar>
                <w:top w:w="0" w:type="dxa"/>
                <w:start w:w="108" w:type="dxa"/>
                <w:bottom w:w="0" w:type="dxa"/>
                <w:end w:w="108" w:type="dxa"/>
              </w:tblCellMar>
            </w:tblPr>
            <w:tblGrid>
              <w:gridCol w:w="1560"/>
              <w:gridCol w:w="1036"/>
              <w:gridCol w:w="1036"/>
              <w:gridCol w:w="1036"/>
              <w:gridCol w:w="1036"/>
              <w:gridCol w:w="1036"/>
              <w:gridCol w:w="1036"/>
              <w:gridCol w:w="1034"/>
            </w:tblGrid>
            <w:tr>
              <w:trPr>
                <w:trHeight w:val="166" w:hRule="atLeast"/>
              </w:trPr>
              <w:tc>
                <w:tcPr>
                  <w:tcW w:w="8810" w:type="dxa"/>
                  <w:gridSpan w:val="8"/>
                  <w:tcBorders>
                    <w:top w:val="single" w:sz="8" w:space="0" w:color="000000"/>
                    <w:start w:val="single" w:sz="8" w:space="0" w:color="000000"/>
                    <w:bottom w:val="single" w:sz="8" w:space="0" w:color="000000"/>
                    <w:end w:val="single" w:sz="8" w:space="0" w:color="000000"/>
                  </w:tcBorders>
                </w:tcPr>
                <w:p>
                  <w:pPr>
                    <w:pStyle w:val="Default"/>
                    <w:jc w:val="both"/>
                    <w:rPr>
                      <w:sz w:val="22"/>
                      <w:szCs w:val="22"/>
                    </w:rPr>
                  </w:pPr>
                  <w:r>
                    <w:rPr>
                      <w:b/>
                      <w:bCs/>
                      <w:color w:val="000000"/>
                      <w:sz w:val="22"/>
                      <w:szCs w:val="22"/>
                    </w:rPr>
                    <w:t xml:space="preserve">Table 1: Number of DPPs approved by financial year. </w:t>
                  </w:r>
                  <w:r>
                    <w:rPr>
                      <w:b/>
                      <w:bCs/>
                      <w:sz w:val="22"/>
                      <w:szCs w:val="22"/>
                    </w:rPr>
                    <w:t xml:space="preserve">DPPs by financial year </w:t>
                  </w:r>
                </w:p>
              </w:tc>
            </w:tr>
            <w:tr>
              <w:trPr>
                <w:trHeight w:val="159" w:hRule="atLeast"/>
              </w:trPr>
              <w:tc>
                <w:tcPr>
                  <w:tcW w:w="1560" w:type="dxa"/>
                  <w:tcBorders>
                    <w:top w:val="single" w:sz="8" w:space="0" w:color="000000"/>
                    <w:start w:val="single" w:sz="8" w:space="0" w:color="000000"/>
                    <w:bottom w:val="single" w:sz="8" w:space="0" w:color="000000"/>
                    <w:end w:val="single" w:sz="8" w:space="0" w:color="000000"/>
                  </w:tcBorders>
                </w:tcPr>
                <w:p>
                  <w:pPr>
                    <w:pStyle w:val="Default"/>
                    <w:jc w:val="both"/>
                    <w:rPr>
                      <w:sz w:val="22"/>
                      <w:szCs w:val="22"/>
                    </w:rPr>
                  </w:pPr>
                  <w:r>
                    <w:rPr>
                      <w:sz w:val="22"/>
                      <w:szCs w:val="22"/>
                    </w:rPr>
                    <w:t xml:space="preserve">Year </w:t>
                  </w:r>
                </w:p>
              </w:tc>
              <w:tc>
                <w:tcPr>
                  <w:tcW w:w="1036" w:type="dxa"/>
                  <w:tcBorders>
                    <w:top w:val="single" w:sz="8" w:space="0" w:color="000000"/>
                    <w:start w:val="single" w:sz="8" w:space="0" w:color="000000"/>
                    <w:bottom w:val="single" w:sz="8" w:space="0" w:color="000000"/>
                    <w:end w:val="single" w:sz="8" w:space="0" w:color="000000"/>
                  </w:tcBorders>
                </w:tcPr>
                <w:p>
                  <w:pPr>
                    <w:pStyle w:val="Default"/>
                    <w:jc w:val="both"/>
                    <w:rPr>
                      <w:sz w:val="22"/>
                      <w:szCs w:val="22"/>
                    </w:rPr>
                  </w:pPr>
                  <w:r>
                    <w:rPr>
                      <w:sz w:val="22"/>
                      <w:szCs w:val="22"/>
                    </w:rPr>
                    <w:t xml:space="preserve">2005/06 </w:t>
                  </w:r>
                </w:p>
              </w:tc>
              <w:tc>
                <w:tcPr>
                  <w:tcW w:w="1036" w:type="dxa"/>
                  <w:tcBorders>
                    <w:top w:val="single" w:sz="8" w:space="0" w:color="000000"/>
                    <w:start w:val="single" w:sz="8" w:space="0" w:color="000000"/>
                    <w:bottom w:val="single" w:sz="8" w:space="0" w:color="000000"/>
                    <w:end w:val="single" w:sz="8" w:space="0" w:color="000000"/>
                  </w:tcBorders>
                </w:tcPr>
                <w:p>
                  <w:pPr>
                    <w:pStyle w:val="Default"/>
                    <w:jc w:val="both"/>
                    <w:rPr>
                      <w:sz w:val="22"/>
                      <w:szCs w:val="22"/>
                    </w:rPr>
                  </w:pPr>
                  <w:r>
                    <w:rPr>
                      <w:sz w:val="22"/>
                      <w:szCs w:val="22"/>
                    </w:rPr>
                    <w:t xml:space="preserve">2006/07 </w:t>
                  </w:r>
                </w:p>
              </w:tc>
              <w:tc>
                <w:tcPr>
                  <w:tcW w:w="1036" w:type="dxa"/>
                  <w:tcBorders>
                    <w:top w:val="single" w:sz="8" w:space="0" w:color="000000"/>
                    <w:start w:val="single" w:sz="8" w:space="0" w:color="000000"/>
                    <w:bottom w:val="single" w:sz="8" w:space="0" w:color="000000"/>
                    <w:end w:val="single" w:sz="8" w:space="0" w:color="000000"/>
                  </w:tcBorders>
                </w:tcPr>
                <w:p>
                  <w:pPr>
                    <w:pStyle w:val="Default"/>
                    <w:jc w:val="both"/>
                    <w:rPr>
                      <w:sz w:val="22"/>
                      <w:szCs w:val="22"/>
                    </w:rPr>
                  </w:pPr>
                  <w:r>
                    <w:rPr>
                      <w:sz w:val="22"/>
                      <w:szCs w:val="22"/>
                    </w:rPr>
                    <w:t xml:space="preserve">2007/08 </w:t>
                  </w:r>
                </w:p>
              </w:tc>
              <w:tc>
                <w:tcPr>
                  <w:tcW w:w="1036" w:type="dxa"/>
                  <w:tcBorders>
                    <w:top w:val="single" w:sz="8" w:space="0" w:color="000000"/>
                    <w:start w:val="single" w:sz="8" w:space="0" w:color="000000"/>
                    <w:bottom w:val="single" w:sz="8" w:space="0" w:color="000000"/>
                    <w:end w:val="single" w:sz="8" w:space="0" w:color="000000"/>
                  </w:tcBorders>
                </w:tcPr>
                <w:p>
                  <w:pPr>
                    <w:pStyle w:val="Default"/>
                    <w:jc w:val="both"/>
                    <w:rPr>
                      <w:sz w:val="22"/>
                      <w:szCs w:val="22"/>
                    </w:rPr>
                  </w:pPr>
                  <w:r>
                    <w:rPr>
                      <w:sz w:val="22"/>
                      <w:szCs w:val="22"/>
                    </w:rPr>
                    <w:t xml:space="preserve">2008/09 </w:t>
                  </w:r>
                </w:p>
              </w:tc>
              <w:tc>
                <w:tcPr>
                  <w:tcW w:w="1036" w:type="dxa"/>
                  <w:tcBorders>
                    <w:top w:val="single" w:sz="8" w:space="0" w:color="000000"/>
                    <w:start w:val="single" w:sz="8" w:space="0" w:color="000000"/>
                    <w:bottom w:val="single" w:sz="8" w:space="0" w:color="000000"/>
                    <w:end w:val="single" w:sz="8" w:space="0" w:color="000000"/>
                  </w:tcBorders>
                </w:tcPr>
                <w:p>
                  <w:pPr>
                    <w:pStyle w:val="Default"/>
                    <w:jc w:val="both"/>
                    <w:rPr>
                      <w:sz w:val="22"/>
                      <w:szCs w:val="22"/>
                    </w:rPr>
                  </w:pPr>
                  <w:r>
                    <w:rPr>
                      <w:sz w:val="22"/>
                      <w:szCs w:val="22"/>
                    </w:rPr>
                    <w:t xml:space="preserve">2009/10 </w:t>
                  </w:r>
                </w:p>
              </w:tc>
              <w:tc>
                <w:tcPr>
                  <w:tcW w:w="1036" w:type="dxa"/>
                  <w:tcBorders>
                    <w:top w:val="single" w:sz="8" w:space="0" w:color="000000"/>
                    <w:start w:val="single" w:sz="8" w:space="0" w:color="000000"/>
                    <w:bottom w:val="single" w:sz="8" w:space="0" w:color="000000"/>
                    <w:end w:val="single" w:sz="8" w:space="0" w:color="000000"/>
                  </w:tcBorders>
                </w:tcPr>
                <w:p>
                  <w:pPr>
                    <w:pStyle w:val="Default"/>
                    <w:jc w:val="both"/>
                    <w:rPr>
                      <w:sz w:val="22"/>
                      <w:szCs w:val="22"/>
                    </w:rPr>
                  </w:pPr>
                  <w:r>
                    <w:rPr>
                      <w:sz w:val="22"/>
                      <w:szCs w:val="22"/>
                    </w:rPr>
                    <w:t xml:space="preserve">2010/11 </w:t>
                  </w:r>
                </w:p>
              </w:tc>
              <w:tc>
                <w:tcPr>
                  <w:tcW w:w="1034" w:type="dxa"/>
                  <w:tcBorders>
                    <w:top w:val="single" w:sz="8" w:space="0" w:color="000000"/>
                    <w:start w:val="single" w:sz="8" w:space="0" w:color="000000"/>
                    <w:bottom w:val="single" w:sz="8" w:space="0" w:color="000000"/>
                    <w:end w:val="single" w:sz="8" w:space="0" w:color="000000"/>
                  </w:tcBorders>
                </w:tcPr>
                <w:p>
                  <w:pPr>
                    <w:pStyle w:val="Default"/>
                    <w:jc w:val="both"/>
                    <w:rPr>
                      <w:sz w:val="22"/>
                      <w:szCs w:val="22"/>
                    </w:rPr>
                  </w:pPr>
                  <w:r>
                    <w:rPr>
                      <w:sz w:val="22"/>
                      <w:szCs w:val="22"/>
                    </w:rPr>
                    <w:t xml:space="preserve">2011/12 </w:t>
                  </w:r>
                </w:p>
              </w:tc>
            </w:tr>
            <w:tr>
              <w:trPr>
                <w:trHeight w:val="159" w:hRule="atLeast"/>
              </w:trPr>
              <w:tc>
                <w:tcPr>
                  <w:tcW w:w="1560" w:type="dxa"/>
                  <w:tcBorders>
                    <w:top w:val="single" w:sz="8" w:space="0" w:color="000000"/>
                    <w:start w:val="single" w:sz="8" w:space="0" w:color="000000"/>
                    <w:bottom w:val="single" w:sz="8" w:space="0" w:color="000000"/>
                    <w:end w:val="single" w:sz="8" w:space="0" w:color="000000"/>
                  </w:tcBorders>
                </w:tcPr>
                <w:p>
                  <w:pPr>
                    <w:pStyle w:val="Default"/>
                    <w:jc w:val="both"/>
                    <w:rPr>
                      <w:sz w:val="22"/>
                      <w:szCs w:val="22"/>
                    </w:rPr>
                  </w:pPr>
                  <w:r>
                    <w:rPr>
                      <w:sz w:val="22"/>
                      <w:szCs w:val="22"/>
                    </w:rPr>
                    <w:t xml:space="preserve">No of DPPs </w:t>
                  </w:r>
                </w:p>
              </w:tc>
              <w:tc>
                <w:tcPr>
                  <w:tcW w:w="1036" w:type="dxa"/>
                  <w:tcBorders>
                    <w:top w:val="single" w:sz="8" w:space="0" w:color="000000"/>
                    <w:start w:val="single" w:sz="8" w:space="0" w:color="000000"/>
                    <w:bottom w:val="single" w:sz="8" w:space="0" w:color="000000"/>
                    <w:end w:val="single" w:sz="8" w:space="0" w:color="000000"/>
                  </w:tcBorders>
                </w:tcPr>
                <w:p>
                  <w:pPr>
                    <w:pStyle w:val="Default"/>
                    <w:jc w:val="both"/>
                    <w:rPr>
                      <w:sz w:val="22"/>
                      <w:szCs w:val="22"/>
                    </w:rPr>
                  </w:pPr>
                  <w:r>
                    <w:rPr>
                      <w:sz w:val="22"/>
                      <w:szCs w:val="22"/>
                    </w:rPr>
                    <w:t xml:space="preserve">149 </w:t>
                  </w:r>
                </w:p>
              </w:tc>
              <w:tc>
                <w:tcPr>
                  <w:tcW w:w="1036" w:type="dxa"/>
                  <w:tcBorders>
                    <w:top w:val="single" w:sz="8" w:space="0" w:color="000000"/>
                    <w:start w:val="single" w:sz="8" w:space="0" w:color="000000"/>
                    <w:bottom w:val="single" w:sz="8" w:space="0" w:color="000000"/>
                    <w:end w:val="single" w:sz="8" w:space="0" w:color="000000"/>
                  </w:tcBorders>
                </w:tcPr>
                <w:p>
                  <w:pPr>
                    <w:pStyle w:val="Default"/>
                    <w:jc w:val="both"/>
                    <w:rPr>
                      <w:sz w:val="22"/>
                      <w:szCs w:val="22"/>
                    </w:rPr>
                  </w:pPr>
                  <w:r>
                    <w:rPr>
                      <w:sz w:val="22"/>
                      <w:szCs w:val="22"/>
                    </w:rPr>
                    <w:t xml:space="preserve">134 </w:t>
                  </w:r>
                </w:p>
              </w:tc>
              <w:tc>
                <w:tcPr>
                  <w:tcW w:w="1036" w:type="dxa"/>
                  <w:tcBorders>
                    <w:top w:val="single" w:sz="8" w:space="0" w:color="000000"/>
                    <w:start w:val="single" w:sz="8" w:space="0" w:color="000000"/>
                    <w:bottom w:val="single" w:sz="8" w:space="0" w:color="000000"/>
                    <w:end w:val="single" w:sz="8" w:space="0" w:color="000000"/>
                  </w:tcBorders>
                </w:tcPr>
                <w:p>
                  <w:pPr>
                    <w:pStyle w:val="Default"/>
                    <w:jc w:val="both"/>
                    <w:rPr>
                      <w:sz w:val="22"/>
                      <w:szCs w:val="22"/>
                    </w:rPr>
                  </w:pPr>
                  <w:r>
                    <w:rPr>
                      <w:sz w:val="22"/>
                      <w:szCs w:val="22"/>
                    </w:rPr>
                    <w:t xml:space="preserve">442 </w:t>
                  </w:r>
                </w:p>
              </w:tc>
              <w:tc>
                <w:tcPr>
                  <w:tcW w:w="1036" w:type="dxa"/>
                  <w:tcBorders>
                    <w:top w:val="single" w:sz="8" w:space="0" w:color="000000"/>
                    <w:start w:val="single" w:sz="8" w:space="0" w:color="000000"/>
                    <w:bottom w:val="single" w:sz="8" w:space="0" w:color="000000"/>
                    <w:end w:val="single" w:sz="8" w:space="0" w:color="000000"/>
                  </w:tcBorders>
                </w:tcPr>
                <w:p>
                  <w:pPr>
                    <w:pStyle w:val="Default"/>
                    <w:jc w:val="both"/>
                    <w:rPr>
                      <w:sz w:val="22"/>
                      <w:szCs w:val="22"/>
                    </w:rPr>
                  </w:pPr>
                  <w:r>
                    <w:rPr>
                      <w:sz w:val="22"/>
                      <w:szCs w:val="22"/>
                    </w:rPr>
                    <w:t xml:space="preserve">386 </w:t>
                  </w:r>
                </w:p>
              </w:tc>
              <w:tc>
                <w:tcPr>
                  <w:tcW w:w="1036" w:type="dxa"/>
                  <w:tcBorders>
                    <w:top w:val="single" w:sz="8" w:space="0" w:color="000000"/>
                    <w:start w:val="single" w:sz="8" w:space="0" w:color="000000"/>
                    <w:bottom w:val="single" w:sz="8" w:space="0" w:color="000000"/>
                    <w:end w:val="single" w:sz="8" w:space="0" w:color="000000"/>
                  </w:tcBorders>
                </w:tcPr>
                <w:p>
                  <w:pPr>
                    <w:pStyle w:val="Default"/>
                    <w:jc w:val="both"/>
                    <w:rPr>
                      <w:sz w:val="22"/>
                      <w:szCs w:val="22"/>
                    </w:rPr>
                  </w:pPr>
                  <w:r>
                    <w:rPr>
                      <w:sz w:val="22"/>
                      <w:szCs w:val="22"/>
                    </w:rPr>
                    <w:t xml:space="preserve">1,417 </w:t>
                  </w:r>
                </w:p>
              </w:tc>
              <w:tc>
                <w:tcPr>
                  <w:tcW w:w="1036" w:type="dxa"/>
                  <w:tcBorders>
                    <w:top w:val="single" w:sz="8" w:space="0" w:color="000000"/>
                    <w:start w:val="single" w:sz="8" w:space="0" w:color="000000"/>
                    <w:bottom w:val="single" w:sz="8" w:space="0" w:color="000000"/>
                    <w:end w:val="single" w:sz="8" w:space="0" w:color="000000"/>
                  </w:tcBorders>
                </w:tcPr>
                <w:p>
                  <w:pPr>
                    <w:pStyle w:val="Default"/>
                    <w:jc w:val="both"/>
                    <w:rPr>
                      <w:sz w:val="22"/>
                      <w:szCs w:val="22"/>
                    </w:rPr>
                  </w:pPr>
                  <w:r>
                    <w:rPr>
                      <w:sz w:val="22"/>
                      <w:szCs w:val="22"/>
                    </w:rPr>
                    <w:t xml:space="preserve">1,910 </w:t>
                  </w:r>
                </w:p>
              </w:tc>
              <w:tc>
                <w:tcPr>
                  <w:tcW w:w="1034" w:type="dxa"/>
                  <w:tcBorders>
                    <w:top w:val="single" w:sz="8" w:space="0" w:color="000000"/>
                    <w:start w:val="single" w:sz="8" w:space="0" w:color="000000"/>
                    <w:bottom w:val="single" w:sz="8" w:space="0" w:color="000000"/>
                    <w:end w:val="single" w:sz="8" w:space="0" w:color="000000"/>
                  </w:tcBorders>
                </w:tcPr>
                <w:p>
                  <w:pPr>
                    <w:pStyle w:val="Default"/>
                    <w:jc w:val="both"/>
                    <w:rPr>
                      <w:sz w:val="22"/>
                      <w:szCs w:val="22"/>
                    </w:rPr>
                  </w:pPr>
                  <w:r>
                    <w:rPr>
                      <w:sz w:val="22"/>
                      <w:szCs w:val="22"/>
                    </w:rPr>
                    <w:t xml:space="preserve">3,319 </w:t>
                  </w:r>
                </w:p>
              </w:tc>
            </w:tr>
          </w:tbl>
          <w:p>
            <w:pPr>
              <w:pStyle w:val="Normal"/>
              <w:tabs>
                <w:tab w:val="left" w:pos="360" w:leader="none"/>
                <w:tab w:val="left" w:pos="720" w:leader="none"/>
                <w:tab w:val="left" w:pos="1440" w:leader="none"/>
                <w:tab w:val="left" w:pos="2160" w:leader="none"/>
                <w:tab w:val="left" w:pos="2880" w:leader="none"/>
                <w:tab w:val="left" w:pos="4680" w:leader="none"/>
                <w:tab w:val="left" w:pos="5400" w:leader="none"/>
                <w:tab w:val="right" w:pos="9000" w:leader="none"/>
              </w:tabs>
              <w:autoSpaceDE w:val="false"/>
              <w:jc w:val="both"/>
              <w:rPr>
                <w:rFonts w:cs="Arial"/>
                <w:szCs w:val="22"/>
                <w:lang w:eastAsia="en-GB"/>
              </w:rPr>
            </w:pPr>
            <w:r>
              <w:rPr>
                <w:rFonts w:cs="Arial"/>
                <w:szCs w:val="22"/>
                <w:lang w:eastAsia="en-GB"/>
              </w:rPr>
            </w:r>
          </w:p>
          <w:p>
            <w:pPr>
              <w:pStyle w:val="Normal"/>
              <w:tabs>
                <w:tab w:val="left" w:pos="360" w:leader="none"/>
                <w:tab w:val="left" w:pos="720" w:leader="none"/>
                <w:tab w:val="left" w:pos="1440" w:leader="none"/>
                <w:tab w:val="left" w:pos="2160" w:leader="none"/>
                <w:tab w:val="left" w:pos="2880" w:leader="none"/>
                <w:tab w:val="left" w:pos="4680" w:leader="none"/>
                <w:tab w:val="left" w:pos="5400" w:leader="none"/>
                <w:tab w:val="right" w:pos="9000" w:leader="none"/>
              </w:tabs>
              <w:autoSpaceDE w:val="false"/>
              <w:jc w:val="both"/>
              <w:rPr>
                <w:rFonts w:cs="Arial"/>
                <w:szCs w:val="22"/>
                <w:lang w:eastAsia="en-GB"/>
              </w:rPr>
            </w:pPr>
            <w:r>
              <w:rPr>
                <w:rFonts w:cs="Arial"/>
                <w:szCs w:val="22"/>
                <w:lang w:eastAsia="en-GB"/>
              </w:rPr>
              <w:t>2012 DAS Review</w:t>
            </w:r>
          </w:p>
          <w:p>
            <w:pPr>
              <w:pStyle w:val="Normal"/>
              <w:tabs>
                <w:tab w:val="left" w:pos="360" w:leader="none"/>
                <w:tab w:val="left" w:pos="720" w:leader="none"/>
                <w:tab w:val="left" w:pos="1440" w:leader="none"/>
                <w:tab w:val="left" w:pos="2160" w:leader="none"/>
                <w:tab w:val="left" w:pos="2880" w:leader="none"/>
                <w:tab w:val="left" w:pos="4680" w:leader="none"/>
                <w:tab w:val="left" w:pos="5400" w:leader="none"/>
                <w:tab w:val="right" w:pos="9000" w:leader="none"/>
              </w:tabs>
              <w:autoSpaceDE w:val="false"/>
              <w:jc w:val="both"/>
              <w:rPr>
                <w:rFonts w:cs="Arial"/>
                <w:szCs w:val="22"/>
                <w:lang w:eastAsia="en-GB"/>
              </w:rPr>
            </w:pPr>
            <w:r>
              <w:rPr>
                <w:rFonts w:cs="Arial"/>
                <w:szCs w:val="22"/>
                <w:lang w:eastAsia="en-GB"/>
              </w:rPr>
            </w:r>
          </w:p>
          <w:p>
            <w:pPr>
              <w:pStyle w:val="BillADPara"/>
              <w:numPr>
                <w:ilvl w:val="0"/>
                <w:numId w:val="0"/>
              </w:numPr>
              <w:tabs>
                <w:tab w:val="left" w:pos="1418" w:leader="none"/>
                <w:tab w:val="left" w:pos="2126" w:leader="none"/>
                <w:tab w:val="left" w:pos="2160" w:leader="none"/>
                <w:tab w:val="left" w:pos="2835" w:leader="none"/>
                <w:tab w:val="left" w:pos="2880" w:leader="none"/>
                <w:tab w:val="left" w:pos="3544" w:leader="none"/>
                <w:tab w:val="left" w:pos="4253" w:leader="none"/>
                <w:tab w:val="left" w:pos="4680" w:leader="none"/>
                <w:tab w:val="left" w:pos="4961" w:leader="none"/>
                <w:tab w:val="left" w:pos="5400" w:leader="none"/>
                <w:tab w:val="left" w:pos="5670" w:leader="none"/>
                <w:tab w:val="right" w:pos="9000" w:leader="none"/>
              </w:tabs>
              <w:spacing w:lineRule="atLeast" w:line="240"/>
              <w:ind w:hanging="0" w:start="0"/>
              <w:rPr>
                <w:rFonts w:ascii="Arial" w:hAnsi="Arial" w:cs="Arial"/>
                <w:sz w:val="22"/>
                <w:szCs w:val="22"/>
              </w:rPr>
            </w:pPr>
            <w:r>
              <w:rPr>
                <w:rFonts w:cs="Arial" w:ascii="Arial" w:hAnsi="Arial"/>
                <w:sz w:val="22"/>
                <w:szCs w:val="22"/>
              </w:rPr>
              <w:t>In November 2012, AiB published a review of the Debt Arrangement Scheme:-</w:t>
            </w:r>
          </w:p>
          <w:p>
            <w:pPr>
              <w:pStyle w:val="Normal"/>
              <w:tabs>
                <w:tab w:val="left" w:pos="360" w:leader="none"/>
                <w:tab w:val="left" w:pos="720" w:leader="none"/>
                <w:tab w:val="left" w:pos="1440" w:leader="none"/>
                <w:tab w:val="left" w:pos="2160" w:leader="none"/>
                <w:tab w:val="left" w:pos="2880" w:leader="none"/>
                <w:tab w:val="left" w:pos="4680" w:leader="none"/>
                <w:tab w:val="left" w:pos="5400" w:leader="none"/>
                <w:tab w:val="right" w:pos="9000" w:leader="none"/>
              </w:tabs>
              <w:autoSpaceDE w:val="false"/>
              <w:jc w:val="both"/>
              <w:rPr>
                <w:rFonts w:cs="Arial"/>
                <w:szCs w:val="22"/>
                <w:lang w:eastAsia="en-GB"/>
              </w:rPr>
            </w:pPr>
            <w:hyperlink r:id="rId2">
              <w:r>
                <w:rPr>
                  <w:rStyle w:val="Hyperlink"/>
                  <w:rFonts w:cs="Arial"/>
                  <w:szCs w:val="22"/>
                  <w:lang w:eastAsia="en-GB"/>
                </w:rPr>
                <w:t>http://www.aib.gov.uk/publications/debt-arrangement-scheme-review-2012</w:t>
              </w:r>
            </w:hyperlink>
            <w:r>
              <w:rPr>
                <w:rFonts w:cs="Arial"/>
                <w:color w:val="000000"/>
                <w:szCs w:val="22"/>
                <w:lang w:eastAsia="en-GB"/>
              </w:rPr>
              <w:t xml:space="preserve">). </w:t>
            </w:r>
          </w:p>
          <w:p>
            <w:pPr>
              <w:pStyle w:val="Normal"/>
              <w:tabs>
                <w:tab w:val="left" w:pos="360" w:leader="none"/>
                <w:tab w:val="left" w:pos="720" w:leader="none"/>
                <w:tab w:val="left" w:pos="1440" w:leader="none"/>
                <w:tab w:val="left" w:pos="2160" w:leader="none"/>
                <w:tab w:val="left" w:pos="2880" w:leader="none"/>
                <w:tab w:val="left" w:pos="4680" w:leader="none"/>
                <w:tab w:val="left" w:pos="5400" w:leader="none"/>
                <w:tab w:val="right" w:pos="9000" w:leader="none"/>
              </w:tabs>
              <w:autoSpaceDE w:val="false"/>
              <w:jc w:val="both"/>
              <w:rPr>
                <w:rFonts w:cs="Arial"/>
                <w:szCs w:val="22"/>
                <w:lang w:eastAsia="en-GB"/>
              </w:rPr>
            </w:pPr>
            <w:r>
              <w:rPr>
                <w:rFonts w:cs="Arial"/>
                <w:szCs w:val="22"/>
                <w:lang w:eastAsia="en-GB"/>
              </w:rPr>
            </w:r>
          </w:p>
          <w:p>
            <w:pPr>
              <w:pStyle w:val="BillADPara"/>
              <w:numPr>
                <w:ilvl w:val="0"/>
                <w:numId w:val="0"/>
              </w:numPr>
              <w:tabs>
                <w:tab w:val="left" w:pos="1418" w:leader="none"/>
                <w:tab w:val="left" w:pos="2126" w:leader="none"/>
                <w:tab w:val="left" w:pos="2160" w:leader="none"/>
                <w:tab w:val="left" w:pos="2835" w:leader="none"/>
                <w:tab w:val="left" w:pos="2880" w:leader="none"/>
                <w:tab w:val="left" w:pos="3544" w:leader="none"/>
                <w:tab w:val="left" w:pos="4253" w:leader="none"/>
                <w:tab w:val="left" w:pos="4680" w:leader="none"/>
                <w:tab w:val="left" w:pos="4961" w:leader="none"/>
                <w:tab w:val="left" w:pos="5400" w:leader="none"/>
                <w:tab w:val="left" w:pos="5670" w:leader="none"/>
                <w:tab w:val="right" w:pos="9000" w:leader="none"/>
              </w:tabs>
              <w:spacing w:lineRule="atLeast" w:line="240"/>
              <w:ind w:hanging="0" w:start="0"/>
              <w:rPr>
                <w:rFonts w:ascii="Arial" w:hAnsi="Arial" w:cs="Arial"/>
                <w:sz w:val="22"/>
                <w:szCs w:val="22"/>
              </w:rPr>
            </w:pPr>
            <w:r>
              <w:rPr>
                <w:rFonts w:cs="Arial" w:ascii="Arial" w:hAnsi="Arial"/>
                <w:sz w:val="22"/>
                <w:szCs w:val="22"/>
              </w:rPr>
              <w:t>The review found that :-</w:t>
            </w:r>
          </w:p>
          <w:p>
            <w:pPr>
              <w:pStyle w:val="Normal"/>
              <w:numPr>
                <w:ilvl w:val="0"/>
                <w:numId w:val="7"/>
              </w:numPr>
              <w:autoSpaceDE w:val="false"/>
              <w:jc w:val="both"/>
              <w:rPr>
                <w:rFonts w:cs="Arial"/>
                <w:color w:val="000000"/>
                <w:szCs w:val="22"/>
                <w:lang w:eastAsia="en-GB"/>
              </w:rPr>
            </w:pPr>
            <w:r>
              <w:rPr>
                <w:rFonts w:cs="Arial"/>
                <w:color w:val="000000"/>
                <w:szCs w:val="22"/>
                <w:lang w:eastAsia="en-GB"/>
              </w:rPr>
              <w:t xml:space="preserve">The market for DAS continued to grow at a rapid rate, and represented a significant fraction of the market when compared with numbers of bankruptcies and protected trust deeds; </w:t>
            </w:r>
          </w:p>
          <w:p>
            <w:pPr>
              <w:pStyle w:val="Normal"/>
              <w:numPr>
                <w:ilvl w:val="0"/>
                <w:numId w:val="7"/>
              </w:numPr>
              <w:autoSpaceDE w:val="false"/>
              <w:jc w:val="both"/>
              <w:rPr>
                <w:rFonts w:cs="Arial"/>
                <w:color w:val="000000"/>
                <w:szCs w:val="22"/>
                <w:lang w:eastAsia="en-GB"/>
              </w:rPr>
            </w:pPr>
            <w:r>
              <w:rPr>
                <w:rFonts w:cs="Arial"/>
                <w:color w:val="000000"/>
                <w:szCs w:val="22"/>
                <w:lang w:eastAsia="en-GB"/>
              </w:rPr>
              <w:t xml:space="preserve">DAS remained a flexible solution for a broad range of debtors due to its lack of restrictions on the duration, value of debt or repayment amounts in any DPP; </w:t>
            </w:r>
          </w:p>
          <w:p>
            <w:pPr>
              <w:pStyle w:val="Normal"/>
              <w:numPr>
                <w:ilvl w:val="0"/>
                <w:numId w:val="7"/>
              </w:numPr>
              <w:autoSpaceDE w:val="false"/>
              <w:jc w:val="both"/>
              <w:rPr>
                <w:rFonts w:cs="Arial"/>
                <w:color w:val="000000"/>
                <w:szCs w:val="22"/>
                <w:lang w:eastAsia="en-GB"/>
              </w:rPr>
            </w:pPr>
            <w:r>
              <w:rPr>
                <w:rFonts w:cs="Arial"/>
                <w:color w:val="000000"/>
                <w:szCs w:val="22"/>
                <w:lang w:eastAsia="en-GB"/>
              </w:rPr>
              <w:t xml:space="preserve">The trend over the review period was largely (but not exclusively) towards younger debtors taking out shorter duration DPPs in order to repay smaller amounts of total debt; </w:t>
            </w:r>
          </w:p>
          <w:p>
            <w:pPr>
              <w:pStyle w:val="Normal"/>
              <w:numPr>
                <w:ilvl w:val="0"/>
                <w:numId w:val="7"/>
              </w:numPr>
              <w:tabs>
                <w:tab w:val="left" w:pos="720" w:leader="none"/>
              </w:tabs>
              <w:autoSpaceDE w:val="false"/>
              <w:jc w:val="both"/>
              <w:rPr>
                <w:rFonts w:cs="Arial"/>
                <w:color w:val="000000"/>
                <w:szCs w:val="22"/>
                <w:lang w:eastAsia="en-GB"/>
              </w:rPr>
            </w:pPr>
            <w:r>
              <w:rPr>
                <w:rFonts w:cs="Arial"/>
                <w:color w:val="000000"/>
                <w:szCs w:val="22"/>
                <w:lang w:eastAsia="en-GB"/>
              </w:rPr>
              <w:t xml:space="preserve">Take up of joint application DPPs had proven strong, making up almost a fifth of DPPs in the review period and more than a quarter of the total debt. Joint application DPPs tended to be significantly longer, for a larger total debt, for on average slightly older debtors; </w:t>
            </w:r>
          </w:p>
          <w:p>
            <w:pPr>
              <w:pStyle w:val="Normal"/>
              <w:numPr>
                <w:ilvl w:val="0"/>
                <w:numId w:val="7"/>
              </w:numPr>
              <w:tabs>
                <w:tab w:val="left" w:pos="720" w:leader="none"/>
              </w:tabs>
              <w:autoSpaceDE w:val="false"/>
              <w:jc w:val="both"/>
              <w:rPr>
                <w:rFonts w:cs="Arial"/>
                <w:color w:val="000000"/>
                <w:szCs w:val="22"/>
                <w:lang w:eastAsia="en-GB"/>
              </w:rPr>
            </w:pPr>
            <w:r>
              <w:rPr>
                <w:rFonts w:cs="Arial"/>
                <w:color w:val="000000"/>
                <w:szCs w:val="22"/>
                <w:lang w:eastAsia="en-GB"/>
              </w:rPr>
              <w:t>Take up of single debt DPPs had been limited;</w:t>
            </w:r>
          </w:p>
          <w:p>
            <w:pPr>
              <w:pStyle w:val="Normal"/>
              <w:numPr>
                <w:ilvl w:val="0"/>
                <w:numId w:val="7"/>
              </w:numPr>
              <w:tabs>
                <w:tab w:val="left" w:pos="720" w:leader="none"/>
              </w:tabs>
              <w:autoSpaceDE w:val="false"/>
              <w:jc w:val="both"/>
              <w:rPr>
                <w:rFonts w:cs="Arial"/>
                <w:color w:val="000000"/>
                <w:szCs w:val="22"/>
                <w:lang w:eastAsia="en-GB"/>
              </w:rPr>
            </w:pPr>
            <w:r>
              <w:rPr>
                <w:rFonts w:cs="Arial"/>
                <w:color w:val="000000"/>
                <w:szCs w:val="22"/>
                <w:lang w:eastAsia="en-GB"/>
              </w:rPr>
              <w:t xml:space="preserve">Analysis of the geographic spread of DAS take-up showed that, at sheriffdom level, take up was broadly similar across most areas; </w:t>
            </w:r>
          </w:p>
          <w:p>
            <w:pPr>
              <w:pStyle w:val="Normal"/>
              <w:numPr>
                <w:ilvl w:val="0"/>
                <w:numId w:val="7"/>
              </w:numPr>
              <w:autoSpaceDE w:val="false"/>
              <w:jc w:val="both"/>
              <w:rPr>
                <w:rFonts w:cs="Arial"/>
                <w:color w:val="000000"/>
                <w:szCs w:val="22"/>
                <w:lang w:eastAsia="en-GB"/>
              </w:rPr>
            </w:pPr>
            <w:r>
              <w:rPr>
                <w:rFonts w:cs="Arial"/>
                <w:color w:val="000000"/>
                <w:szCs w:val="22"/>
                <w:lang w:eastAsia="en-GB"/>
              </w:rPr>
              <w:t xml:space="preserve">At the smaller and more specific level of Local Authority areas, however, it was clear that there were still disparities in the rate of take up that may not have been seen at sheriffdom level. Factors such as money adviser engagement and availability of advisers may have helped to explain this, although differing microeconomic factors and debtor demographics would also have played a role; and  </w:t>
            </w:r>
          </w:p>
          <w:p>
            <w:pPr>
              <w:pStyle w:val="Normal"/>
              <w:numPr>
                <w:ilvl w:val="0"/>
                <w:numId w:val="7"/>
              </w:numPr>
              <w:autoSpaceDE w:val="false"/>
              <w:jc w:val="both"/>
              <w:rPr>
                <w:rFonts w:cs="Arial"/>
                <w:color w:val="000000"/>
                <w:szCs w:val="22"/>
                <w:lang w:eastAsia="en-GB"/>
              </w:rPr>
            </w:pPr>
            <w:r>
              <w:rPr>
                <w:rFonts w:cs="Arial"/>
                <w:szCs w:val="22"/>
              </w:rPr>
              <w:t>Private sector led DPPs dominated the market, accounting for the majority of DPPs.</w:t>
            </w:r>
          </w:p>
          <w:p>
            <w:pPr>
              <w:pStyle w:val="Normal"/>
              <w:autoSpaceDE w:val="false"/>
              <w:ind w:start="360" w:end="0"/>
              <w:jc w:val="both"/>
              <w:rPr>
                <w:rFonts w:cs="Arial"/>
                <w:color w:val="000000"/>
                <w:szCs w:val="22"/>
                <w:lang w:eastAsia="en-GB"/>
              </w:rPr>
            </w:pPr>
            <w:r>
              <w:rPr>
                <w:rFonts w:cs="Arial"/>
                <w:color w:val="000000"/>
                <w:szCs w:val="22"/>
                <w:lang w:eastAsia="en-GB"/>
              </w:rPr>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rPr>
                <w:rFonts w:cs="Arial"/>
                <w:b/>
                <w:szCs w:val="22"/>
              </w:rPr>
            </w:pPr>
            <w:r>
              <w:rPr>
                <w:rFonts w:cs="Arial"/>
                <w:b/>
                <w:szCs w:val="22"/>
              </w:rPr>
              <w:t>Objective</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rPr>
                <w:rFonts w:cs="Arial"/>
                <w:b/>
                <w:szCs w:val="22"/>
              </w:rPr>
            </w:pPr>
            <w:r>
              <w:rPr>
                <w:rFonts w:cs="Arial"/>
                <w:b/>
                <w:szCs w:val="22"/>
              </w:rPr>
            </w:r>
          </w:p>
          <w:p>
            <w:pPr>
              <w:pStyle w:val="BillADPara"/>
              <w:numPr>
                <w:ilvl w:val="0"/>
                <w:numId w:val="0"/>
              </w:numPr>
              <w:tabs>
                <w:tab w:val="left" w:pos="1418" w:leader="none"/>
                <w:tab w:val="left" w:pos="2126" w:leader="none"/>
                <w:tab w:val="left" w:pos="2160" w:leader="none"/>
                <w:tab w:val="left" w:pos="2835" w:leader="none"/>
                <w:tab w:val="left" w:pos="2880" w:leader="none"/>
                <w:tab w:val="left" w:pos="3544" w:leader="none"/>
                <w:tab w:val="left" w:pos="4253" w:leader="none"/>
                <w:tab w:val="left" w:pos="4680" w:leader="none"/>
                <w:tab w:val="left" w:pos="4961" w:leader="none"/>
                <w:tab w:val="left" w:pos="5400" w:leader="none"/>
                <w:tab w:val="left" w:pos="5670" w:leader="none"/>
                <w:tab w:val="right" w:pos="9000" w:leader="none"/>
              </w:tabs>
              <w:spacing w:lineRule="atLeast" w:line="240"/>
              <w:ind w:hanging="0" w:start="0"/>
              <w:rPr>
                <w:rFonts w:ascii="Arial" w:hAnsi="Arial" w:cs="Arial"/>
                <w:sz w:val="22"/>
                <w:szCs w:val="22"/>
              </w:rPr>
            </w:pPr>
            <w:r>
              <w:rPr>
                <w:rFonts w:cs="Arial" w:ascii="Arial" w:hAnsi="Arial"/>
                <w:sz w:val="22"/>
                <w:szCs w:val="22"/>
              </w:rPr>
              <w:t>Based on the outcomes of the consultation and feedback from DAS workshops held during 2012, AiB have developed DAS policy in several key areas and, in addition to other more minor amendments,  the instrument makes provision for the following principal changes:-</w:t>
            </w:r>
          </w:p>
          <w:p>
            <w:pPr>
              <w:pStyle w:val="Normal"/>
              <w:numPr>
                <w:ilvl w:val="0"/>
                <w:numId w:val="2"/>
              </w:numPr>
              <w:tabs>
                <w:tab w:val="clear" w:pos="720"/>
                <w:tab w:val="left" w:pos="360" w:leader="none"/>
              </w:tabs>
              <w:autoSpaceDE w:val="false"/>
              <w:rPr>
                <w:rFonts w:cs="Arial"/>
                <w:b/>
                <w:color w:val="000000"/>
                <w:szCs w:val="22"/>
                <w:lang w:eastAsia="en-GB"/>
              </w:rPr>
            </w:pPr>
            <w:r>
              <w:rPr>
                <w:rFonts w:cs="Arial"/>
                <w:szCs w:val="22"/>
              </w:rPr>
              <w:t>To freeze the amount of debt owed, on  the date at which the DPP is applied for by a debtor;</w:t>
            </w:r>
          </w:p>
          <w:p>
            <w:pPr>
              <w:pStyle w:val="Normal"/>
              <w:numPr>
                <w:ilvl w:val="0"/>
                <w:numId w:val="2"/>
              </w:numPr>
              <w:tabs>
                <w:tab w:val="clear" w:pos="720"/>
                <w:tab w:val="left" w:pos="360" w:leader="none"/>
              </w:tabs>
              <w:autoSpaceDE w:val="false"/>
              <w:rPr>
                <w:rFonts w:cs="Arial"/>
                <w:b/>
                <w:color w:val="000000"/>
                <w:szCs w:val="22"/>
                <w:lang w:eastAsia="en-GB"/>
              </w:rPr>
            </w:pPr>
            <w:r>
              <w:rPr>
                <w:rFonts w:cs="Arial"/>
                <w:szCs w:val="22"/>
              </w:rPr>
              <w:t xml:space="preserve">To allow the DAS Administrator to correct accidental errors; </w:t>
            </w:r>
          </w:p>
          <w:p>
            <w:pPr>
              <w:pStyle w:val="Normal"/>
              <w:numPr>
                <w:ilvl w:val="0"/>
                <w:numId w:val="2"/>
              </w:numPr>
              <w:tabs>
                <w:tab w:val="clear" w:pos="720"/>
                <w:tab w:val="left" w:pos="360" w:leader="none"/>
              </w:tabs>
              <w:autoSpaceDE w:val="false"/>
              <w:rPr>
                <w:rFonts w:cs="Arial"/>
                <w:b/>
                <w:color w:val="000000"/>
                <w:szCs w:val="22"/>
                <w:lang w:eastAsia="en-GB"/>
              </w:rPr>
            </w:pPr>
            <w:r>
              <w:rPr>
                <w:rFonts w:cs="Arial"/>
                <w:szCs w:val="22"/>
              </w:rPr>
              <w:t>To make it clear that the continuing money adviser’s fee for setting up and administering the DPP is excluded from the DPP;</w:t>
            </w:r>
          </w:p>
          <w:p>
            <w:pPr>
              <w:pStyle w:val="Normal"/>
              <w:numPr>
                <w:ilvl w:val="0"/>
                <w:numId w:val="2"/>
              </w:numPr>
              <w:tabs>
                <w:tab w:val="clear" w:pos="720"/>
                <w:tab w:val="left" w:pos="360" w:leader="none"/>
              </w:tabs>
              <w:autoSpaceDE w:val="false"/>
              <w:rPr>
                <w:rFonts w:cs="Arial"/>
                <w:b/>
                <w:color w:val="000000"/>
                <w:szCs w:val="22"/>
                <w:lang w:eastAsia="en-GB"/>
              </w:rPr>
            </w:pPr>
            <w:r>
              <w:rPr>
                <w:rFonts w:cs="Arial"/>
                <w:szCs w:val="22"/>
              </w:rPr>
              <w:t xml:space="preserve">To make it clear that Payment Distributors provide a service on behalf of the debtor; </w:t>
            </w:r>
          </w:p>
          <w:p>
            <w:pPr>
              <w:pStyle w:val="Normal"/>
              <w:numPr>
                <w:ilvl w:val="0"/>
                <w:numId w:val="2"/>
              </w:numPr>
              <w:tabs>
                <w:tab w:val="clear" w:pos="720"/>
                <w:tab w:val="left" w:pos="360" w:leader="none"/>
              </w:tabs>
              <w:autoSpaceDE w:val="false"/>
              <w:rPr>
                <w:rFonts w:cs="Arial"/>
                <w:b/>
                <w:color w:val="000000"/>
                <w:szCs w:val="22"/>
                <w:lang w:eastAsia="en-GB"/>
              </w:rPr>
            </w:pPr>
            <w:r>
              <w:rPr>
                <w:rFonts w:cs="Arial"/>
                <w:szCs w:val="22"/>
              </w:rPr>
              <w:t>To clarify that the maximum amount which can be charged by payments distributors as an administration fee is inclusive of any chargeable VAT. :</w:t>
            </w:r>
          </w:p>
          <w:p>
            <w:pPr>
              <w:pStyle w:val="Normal"/>
              <w:numPr>
                <w:ilvl w:val="0"/>
                <w:numId w:val="2"/>
              </w:numPr>
              <w:tabs>
                <w:tab w:val="clear" w:pos="720"/>
                <w:tab w:val="left" w:pos="360" w:leader="none"/>
              </w:tabs>
              <w:autoSpaceDE w:val="false"/>
              <w:rPr>
                <w:rFonts w:cs="Arial"/>
                <w:b/>
                <w:color w:val="000000"/>
                <w:szCs w:val="22"/>
                <w:lang w:eastAsia="en-GB"/>
              </w:rPr>
            </w:pPr>
            <w:r>
              <w:rPr>
                <w:rFonts w:cs="Arial"/>
                <w:szCs w:val="22"/>
              </w:rPr>
              <w:t xml:space="preserve">To remove the requirement that the two debtors in a joint DPP have a joint and severally liable debt included in the programme; </w:t>
            </w:r>
          </w:p>
          <w:p>
            <w:pPr>
              <w:pStyle w:val="Normal"/>
              <w:numPr>
                <w:ilvl w:val="0"/>
                <w:numId w:val="2"/>
              </w:numPr>
              <w:tabs>
                <w:tab w:val="clear" w:pos="720"/>
                <w:tab w:val="left" w:pos="360" w:leader="none"/>
              </w:tabs>
              <w:autoSpaceDE w:val="false"/>
              <w:rPr>
                <w:rFonts w:cs="Arial"/>
                <w:b/>
                <w:color w:val="000000"/>
                <w:szCs w:val="22"/>
                <w:lang w:eastAsia="en-GB"/>
              </w:rPr>
            </w:pPr>
            <w:r>
              <w:rPr>
                <w:rFonts w:cs="Arial"/>
                <w:szCs w:val="22"/>
              </w:rPr>
              <w:t xml:space="preserve">To make it clear that where a creditor has sold on the debt that is incorporated in the DPP, that they must immediately notify the DAS Administrator that they have assigned the rights and details of the assignee; </w:t>
            </w:r>
          </w:p>
          <w:p>
            <w:pPr>
              <w:pStyle w:val="Normal"/>
              <w:numPr>
                <w:ilvl w:val="0"/>
                <w:numId w:val="2"/>
              </w:numPr>
              <w:tabs>
                <w:tab w:val="clear" w:pos="720"/>
                <w:tab w:val="left" w:pos="360" w:leader="none"/>
              </w:tabs>
              <w:autoSpaceDE w:val="false"/>
              <w:rPr>
                <w:rFonts w:cs="Arial"/>
                <w:b/>
                <w:color w:val="000000"/>
                <w:szCs w:val="22"/>
                <w:lang w:eastAsia="en-GB"/>
              </w:rPr>
            </w:pPr>
            <w:r>
              <w:rPr>
                <w:rFonts w:cs="Arial"/>
                <w:szCs w:val="22"/>
              </w:rPr>
              <w:t xml:space="preserve">To re-introduce  a composition element into DAS. Where a debtor has been making payments to their DPP for a period of 12 years (excluding any payment breaks) and has repaid at least 70% of the total debt outstanding when the DPP was approved, they would be eligible; </w:t>
            </w:r>
          </w:p>
          <w:p>
            <w:pPr>
              <w:pStyle w:val="Normal"/>
              <w:numPr>
                <w:ilvl w:val="0"/>
                <w:numId w:val="2"/>
              </w:numPr>
              <w:tabs>
                <w:tab w:val="clear" w:pos="720"/>
                <w:tab w:val="left" w:pos="360" w:leader="none"/>
              </w:tabs>
              <w:autoSpaceDE w:val="false"/>
              <w:rPr>
                <w:rFonts w:cs="Arial"/>
                <w:b/>
                <w:color w:val="000000"/>
                <w:szCs w:val="22"/>
                <w:lang w:eastAsia="en-GB"/>
              </w:rPr>
            </w:pPr>
            <w:r>
              <w:rPr>
                <w:rFonts w:cs="Arial"/>
                <w:szCs w:val="22"/>
              </w:rPr>
              <w:t>To introduce a review process within AiB which will enable the DAS Administrator to consider decisions; and</w:t>
            </w:r>
          </w:p>
          <w:p>
            <w:pPr>
              <w:pStyle w:val="Normal"/>
              <w:numPr>
                <w:ilvl w:val="0"/>
                <w:numId w:val="2"/>
              </w:numPr>
              <w:tabs>
                <w:tab w:val="clear" w:pos="720"/>
                <w:tab w:val="left" w:pos="360" w:leader="none"/>
              </w:tabs>
              <w:autoSpaceDE w:val="false"/>
              <w:rPr>
                <w:rFonts w:cs="Arial"/>
                <w:szCs w:val="22"/>
              </w:rPr>
            </w:pPr>
            <w:r>
              <w:rPr>
                <w:rFonts w:cs="Arial"/>
                <w:szCs w:val="22"/>
              </w:rPr>
              <w:t>To amend the regulations to allow for a flexible payment break of up to six months rather than a fixed period of six months.</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autoSpaceDE w:val="false"/>
              <w:spacing w:lineRule="atLeast" w:line="240"/>
              <w:jc w:val="both"/>
              <w:rPr>
                <w:rFonts w:cs="Arial"/>
                <w:szCs w:val="22"/>
              </w:rPr>
            </w:pPr>
            <w:r>
              <w:rPr>
                <w:rFonts w:cs="Arial"/>
                <w:szCs w:val="22"/>
              </w:rPr>
            </w:r>
          </w:p>
          <w:p>
            <w:pPr>
              <w:pStyle w:val="Normal"/>
              <w:tabs>
                <w:tab w:val="clear" w:pos="720"/>
                <w:tab w:val="left" w:pos="2160" w:leader="none"/>
                <w:tab w:val="left" w:pos="2880" w:leader="none"/>
                <w:tab w:val="left" w:pos="4680" w:leader="none"/>
                <w:tab w:val="left" w:pos="5400" w:leader="none"/>
                <w:tab w:val="right" w:pos="9000" w:leader="none"/>
              </w:tabs>
              <w:autoSpaceDE w:val="false"/>
              <w:spacing w:lineRule="atLeast" w:line="240"/>
              <w:rPr>
                <w:rFonts w:cs="Arial"/>
                <w:szCs w:val="22"/>
              </w:rPr>
            </w:pPr>
            <w:r>
              <w:rPr>
                <w:rFonts w:cs="Arial"/>
                <w:szCs w:val="22"/>
              </w:rPr>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rPr>
                <w:rFonts w:cs="Arial"/>
                <w:b/>
                <w:szCs w:val="22"/>
              </w:rPr>
            </w:pPr>
            <w:r>
              <w:rPr>
                <w:rFonts w:cs="Arial"/>
                <w:b/>
                <w:szCs w:val="22"/>
              </w:rPr>
              <w:t xml:space="preserve">Rationale for Government intervention </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rPr>
                <w:rFonts w:cs="Arial"/>
                <w:b/>
                <w:szCs w:val="22"/>
              </w:rPr>
            </w:pPr>
            <w:r>
              <w:rPr>
                <w:rFonts w:cs="Arial"/>
                <w:b/>
                <w:szCs w:val="22"/>
              </w:rPr>
            </w:r>
          </w:p>
          <w:p>
            <w:pPr>
              <w:pStyle w:val="BillADPara"/>
              <w:numPr>
                <w:ilvl w:val="0"/>
                <w:numId w:val="0"/>
              </w:numPr>
              <w:tabs>
                <w:tab w:val="left" w:pos="1418" w:leader="none"/>
                <w:tab w:val="left" w:pos="2126" w:leader="none"/>
                <w:tab w:val="left" w:pos="2160" w:leader="none"/>
                <w:tab w:val="left" w:pos="2835" w:leader="none"/>
                <w:tab w:val="left" w:pos="2880" w:leader="none"/>
                <w:tab w:val="left" w:pos="3544" w:leader="none"/>
                <w:tab w:val="left" w:pos="4253" w:leader="none"/>
                <w:tab w:val="left" w:pos="4680" w:leader="none"/>
                <w:tab w:val="left" w:pos="4961" w:leader="none"/>
                <w:tab w:val="left" w:pos="5400" w:leader="none"/>
                <w:tab w:val="left" w:pos="5670" w:leader="none"/>
                <w:tab w:val="right" w:pos="9000" w:leader="none"/>
              </w:tabs>
              <w:spacing w:lineRule="atLeast" w:line="240"/>
              <w:ind w:hanging="0" w:start="0"/>
              <w:rPr/>
            </w:pPr>
            <w:r>
              <w:rPr>
                <w:rFonts w:cs="Arial" w:ascii="Arial" w:hAnsi="Arial"/>
                <w:sz w:val="22"/>
                <w:szCs w:val="22"/>
              </w:rPr>
              <w:t xml:space="preserve">The Scottish Government recognises the responsibility it has to take action where it can to help the people of Scotland by ensuring that debt relief products are fit for purpose, support the people of Scotland and strengthen Scotland’s economy. The Scottish Government has therefore decided to make changes to the Debt Arrangement Scheme legislation which it believes will serve better the interests of the people of Scotland. </w:t>
            </w:r>
          </w:p>
          <w:p>
            <w:pPr>
              <w:pStyle w:val="BillADPara"/>
              <w:numPr>
                <w:ilvl w:val="0"/>
                <w:numId w:val="0"/>
              </w:numPr>
              <w:tabs>
                <w:tab w:val="left" w:pos="1418" w:leader="none"/>
                <w:tab w:val="left" w:pos="2126" w:leader="none"/>
                <w:tab w:val="left" w:pos="2160" w:leader="none"/>
                <w:tab w:val="left" w:pos="2835" w:leader="none"/>
                <w:tab w:val="left" w:pos="2880" w:leader="none"/>
                <w:tab w:val="left" w:pos="3544" w:leader="none"/>
                <w:tab w:val="left" w:pos="4253" w:leader="none"/>
                <w:tab w:val="left" w:pos="4680" w:leader="none"/>
                <w:tab w:val="left" w:pos="4961" w:leader="none"/>
                <w:tab w:val="left" w:pos="5400" w:leader="none"/>
                <w:tab w:val="left" w:pos="5670" w:leader="none"/>
                <w:tab w:val="right" w:pos="9000" w:leader="none"/>
              </w:tabs>
              <w:spacing w:lineRule="atLeast" w:line="240"/>
              <w:ind w:hanging="0" w:start="0"/>
              <w:rPr>
                <w:rFonts w:ascii="Arial" w:hAnsi="Arial" w:cs="Arial"/>
                <w:sz w:val="22"/>
                <w:szCs w:val="22"/>
              </w:rPr>
            </w:pPr>
            <w:r>
              <w:rPr>
                <w:rFonts w:cs="Arial" w:ascii="Arial" w:hAnsi="Arial"/>
                <w:sz w:val="22"/>
                <w:szCs w:val="22"/>
              </w:rPr>
              <w:t>The amendment regulations, if passed, will contribute to the Scottish Government Economic Strategy to make Scotland a more successful country, with opportunities for all to flourish, through increasing sustainable economic growth, aligned by the delivery of the following national outcomes:</w:t>
            </w:r>
          </w:p>
          <w:p>
            <w:pPr>
              <w:pStyle w:val="Normal"/>
              <w:tabs>
                <w:tab w:val="left" w:pos="720" w:leader="none"/>
                <w:tab w:val="left" w:pos="1440" w:leader="none"/>
                <w:tab w:val="left" w:pos="2160" w:leader="none"/>
                <w:tab w:val="left" w:pos="2880" w:leader="none"/>
                <w:tab w:val="left" w:pos="4680" w:leader="none"/>
                <w:tab w:val="left" w:pos="5400" w:leader="none"/>
                <w:tab w:val="right" w:pos="8296" w:leader="dot"/>
                <w:tab w:val="right" w:pos="9000" w:leader="none"/>
              </w:tabs>
              <w:autoSpaceDE w:val="false"/>
              <w:spacing w:lineRule="atLeast" w:line="240"/>
              <w:ind w:hanging="360" w:start="720" w:end="0"/>
              <w:jc w:val="both"/>
              <w:rPr>
                <w:rFonts w:ascii="Arial" w:hAnsi="Arial" w:cs="Arial"/>
                <w:sz w:val="22"/>
                <w:szCs w:val="22"/>
                <w:lang w:eastAsia="en-GB"/>
              </w:rPr>
            </w:pPr>
            <w:r>
              <w:rPr>
                <w:rFonts w:cs="Arial"/>
                <w:sz w:val="22"/>
                <w:szCs w:val="22"/>
                <w:lang w:eastAsia="en-GB"/>
              </w:rPr>
            </w:r>
          </w:p>
          <w:p>
            <w:pPr>
              <w:pStyle w:val="Normal"/>
              <w:tabs>
                <w:tab w:val="left" w:pos="720" w:leader="none"/>
                <w:tab w:val="left" w:pos="1440" w:leader="none"/>
                <w:tab w:val="left" w:pos="2160" w:leader="none"/>
                <w:tab w:val="left" w:pos="2880" w:leader="none"/>
                <w:tab w:val="left" w:pos="4680" w:leader="none"/>
                <w:tab w:val="left" w:pos="5400" w:leader="none"/>
                <w:tab w:val="right" w:pos="8296" w:leader="dot"/>
                <w:tab w:val="right" w:pos="9000" w:leader="none"/>
              </w:tabs>
              <w:autoSpaceDE w:val="false"/>
              <w:spacing w:lineRule="atLeast" w:line="240"/>
              <w:ind w:hanging="360" w:start="720" w:end="0"/>
              <w:jc w:val="both"/>
              <w:rPr/>
            </w:pPr>
            <w:r>
              <w:rPr>
                <w:rFonts w:cs="Arial"/>
                <w:b/>
                <w:szCs w:val="22"/>
                <w:lang w:eastAsia="en-GB"/>
              </w:rPr>
              <w:t>Business</w:t>
            </w:r>
            <w:r>
              <w:rPr>
                <w:rFonts w:cs="Arial"/>
                <w:szCs w:val="22"/>
                <w:lang w:eastAsia="en-GB"/>
              </w:rPr>
              <w:t xml:space="preserve"> - A culture of entrepreneurship, leadership, creativity and international</w:t>
            </w:r>
          </w:p>
          <w:p>
            <w:pPr>
              <w:pStyle w:val="Normal"/>
              <w:tabs>
                <w:tab w:val="left" w:pos="720" w:leader="none"/>
                <w:tab w:val="left" w:pos="1440" w:leader="none"/>
                <w:tab w:val="left" w:pos="2160" w:leader="none"/>
                <w:tab w:val="left" w:pos="2880" w:leader="none"/>
                <w:tab w:val="left" w:pos="4680" w:leader="none"/>
                <w:tab w:val="left" w:pos="5400" w:leader="none"/>
                <w:tab w:val="right" w:pos="8296" w:leader="dot"/>
                <w:tab w:val="right" w:pos="9000" w:leader="none"/>
              </w:tabs>
              <w:autoSpaceDE w:val="false"/>
              <w:spacing w:lineRule="atLeast" w:line="240"/>
              <w:ind w:hanging="360" w:start="720" w:end="0"/>
              <w:jc w:val="both"/>
              <w:rPr>
                <w:rFonts w:cs="Arial"/>
                <w:szCs w:val="22"/>
                <w:lang w:eastAsia="en-GB"/>
              </w:rPr>
            </w:pPr>
            <w:r>
              <w:rPr>
                <w:rFonts w:cs="Arial"/>
                <w:szCs w:val="22"/>
                <w:lang w:eastAsia="en-GB"/>
              </w:rPr>
              <w:t>Ambition;</w:t>
            </w:r>
          </w:p>
          <w:p>
            <w:pPr>
              <w:pStyle w:val="Normal"/>
              <w:tabs>
                <w:tab w:val="left" w:pos="720" w:leader="none"/>
                <w:tab w:val="left" w:pos="1440" w:leader="none"/>
                <w:tab w:val="left" w:pos="2160" w:leader="none"/>
                <w:tab w:val="left" w:pos="2880" w:leader="none"/>
                <w:tab w:val="left" w:pos="4680" w:leader="none"/>
                <w:tab w:val="left" w:pos="5400" w:leader="none"/>
                <w:tab w:val="right" w:pos="8296" w:leader="dot"/>
                <w:tab w:val="right" w:pos="9000" w:leader="none"/>
              </w:tabs>
              <w:autoSpaceDE w:val="false"/>
              <w:spacing w:lineRule="atLeast" w:line="240"/>
              <w:ind w:hanging="360" w:start="720" w:end="0"/>
              <w:jc w:val="both"/>
              <w:rPr>
                <w:rFonts w:cs="Arial"/>
                <w:szCs w:val="22"/>
                <w:lang w:eastAsia="en-GB"/>
              </w:rPr>
            </w:pPr>
            <w:r>
              <w:rPr>
                <w:rFonts w:cs="Arial"/>
                <w:szCs w:val="22"/>
                <w:lang w:eastAsia="en-GB"/>
              </w:rPr>
            </w:r>
          </w:p>
          <w:p>
            <w:pPr>
              <w:pStyle w:val="Normal"/>
              <w:tabs>
                <w:tab w:val="left" w:pos="720" w:leader="none"/>
                <w:tab w:val="left" w:pos="1440" w:leader="none"/>
                <w:tab w:val="left" w:pos="2160" w:leader="none"/>
                <w:tab w:val="left" w:pos="2880" w:leader="none"/>
                <w:tab w:val="left" w:pos="4680" w:leader="none"/>
                <w:tab w:val="left" w:pos="5400" w:leader="none"/>
                <w:tab w:val="right" w:pos="8296" w:leader="dot"/>
                <w:tab w:val="right" w:pos="9000" w:leader="none"/>
              </w:tabs>
              <w:autoSpaceDE w:val="false"/>
              <w:spacing w:lineRule="atLeast" w:line="240"/>
              <w:ind w:hanging="360" w:start="720" w:end="0"/>
              <w:jc w:val="both"/>
              <w:rPr/>
            </w:pPr>
            <w:r>
              <w:rPr>
                <w:rFonts w:cs="Arial"/>
                <w:b/>
                <w:szCs w:val="22"/>
                <w:lang w:eastAsia="en-GB"/>
              </w:rPr>
              <w:t>Inequalities</w:t>
            </w:r>
            <w:r>
              <w:rPr>
                <w:rFonts w:cs="Arial"/>
                <w:szCs w:val="22"/>
                <w:lang w:eastAsia="en-GB"/>
              </w:rPr>
              <w:t xml:space="preserve"> - We have tackled the significant inequalities in Scottish society;</w:t>
            </w:r>
          </w:p>
          <w:p>
            <w:pPr>
              <w:pStyle w:val="Normal"/>
              <w:tabs>
                <w:tab w:val="left" w:pos="720" w:leader="none"/>
                <w:tab w:val="left" w:pos="1440" w:leader="none"/>
                <w:tab w:val="left" w:pos="2160" w:leader="none"/>
                <w:tab w:val="left" w:pos="2880" w:leader="none"/>
                <w:tab w:val="left" w:pos="4680" w:leader="none"/>
                <w:tab w:val="left" w:pos="5400" w:leader="none"/>
                <w:tab w:val="right" w:pos="8296" w:leader="dot"/>
                <w:tab w:val="right" w:pos="9000" w:leader="none"/>
              </w:tabs>
              <w:autoSpaceDE w:val="false"/>
              <w:spacing w:lineRule="atLeast" w:line="240"/>
              <w:ind w:hanging="360" w:start="720" w:end="0"/>
              <w:jc w:val="both"/>
              <w:rPr>
                <w:rFonts w:cs="Arial"/>
                <w:szCs w:val="22"/>
                <w:lang w:eastAsia="en-GB"/>
              </w:rPr>
            </w:pPr>
            <w:r>
              <w:rPr>
                <w:rFonts w:cs="Arial"/>
                <w:szCs w:val="22"/>
                <w:lang w:eastAsia="en-GB"/>
              </w:rPr>
            </w:r>
          </w:p>
          <w:p>
            <w:pPr>
              <w:pStyle w:val="Normal"/>
              <w:tabs>
                <w:tab w:val="left" w:pos="720" w:leader="none"/>
                <w:tab w:val="left" w:pos="1440" w:leader="none"/>
                <w:tab w:val="left" w:pos="2160" w:leader="none"/>
                <w:tab w:val="left" w:pos="2880" w:leader="none"/>
                <w:tab w:val="left" w:pos="4680" w:leader="none"/>
                <w:tab w:val="left" w:pos="5400" w:leader="none"/>
                <w:tab w:val="right" w:pos="8296" w:leader="dot"/>
                <w:tab w:val="right" w:pos="9000" w:leader="none"/>
              </w:tabs>
              <w:autoSpaceDE w:val="false"/>
              <w:spacing w:lineRule="atLeast" w:line="240"/>
              <w:ind w:hanging="360" w:start="720" w:end="0"/>
              <w:jc w:val="both"/>
              <w:rPr/>
            </w:pPr>
            <w:r>
              <w:rPr>
                <w:rFonts w:cs="Arial"/>
                <w:b/>
                <w:bCs/>
                <w:szCs w:val="22"/>
                <w:lang w:eastAsia="en-GB"/>
              </w:rPr>
              <w:t xml:space="preserve">Employment opportunities - </w:t>
            </w:r>
            <w:r>
              <w:rPr>
                <w:rFonts w:cs="Arial"/>
                <w:szCs w:val="22"/>
                <w:lang w:eastAsia="en-GB"/>
              </w:rPr>
              <w:t>Realising our full economic potential with more and</w:t>
            </w:r>
          </w:p>
          <w:p>
            <w:pPr>
              <w:pStyle w:val="Normal"/>
              <w:tabs>
                <w:tab w:val="left" w:pos="720" w:leader="none"/>
                <w:tab w:val="left" w:pos="1440" w:leader="none"/>
                <w:tab w:val="left" w:pos="2160" w:leader="none"/>
                <w:tab w:val="left" w:pos="2880" w:leader="none"/>
                <w:tab w:val="left" w:pos="4680" w:leader="none"/>
                <w:tab w:val="left" w:pos="5400" w:leader="none"/>
                <w:tab w:val="right" w:pos="8296" w:leader="dot"/>
                <w:tab w:val="right" w:pos="9000" w:leader="none"/>
              </w:tabs>
              <w:autoSpaceDE w:val="false"/>
              <w:spacing w:lineRule="atLeast" w:line="240"/>
              <w:ind w:hanging="360" w:start="720" w:end="0"/>
              <w:jc w:val="both"/>
              <w:rPr>
                <w:rFonts w:cs="Arial"/>
                <w:szCs w:val="22"/>
                <w:lang w:eastAsia="en-GB"/>
              </w:rPr>
            </w:pPr>
            <w:r>
              <w:rPr>
                <w:rFonts w:cs="Arial"/>
                <w:szCs w:val="22"/>
                <w:lang w:eastAsia="en-GB"/>
              </w:rPr>
              <w:t>better employment opportunities for our people;</w:t>
            </w:r>
          </w:p>
          <w:p>
            <w:pPr>
              <w:pStyle w:val="Normal"/>
              <w:tabs>
                <w:tab w:val="left" w:pos="720" w:leader="none"/>
                <w:tab w:val="left" w:pos="1440" w:leader="none"/>
                <w:tab w:val="left" w:pos="2160" w:leader="none"/>
                <w:tab w:val="left" w:pos="2880" w:leader="none"/>
                <w:tab w:val="left" w:pos="4680" w:leader="none"/>
                <w:tab w:val="left" w:pos="5400" w:leader="none"/>
                <w:tab w:val="right" w:pos="8296" w:leader="dot"/>
                <w:tab w:val="right" w:pos="9000" w:leader="none"/>
              </w:tabs>
              <w:autoSpaceDE w:val="false"/>
              <w:spacing w:lineRule="atLeast" w:line="240"/>
              <w:ind w:hanging="360" w:start="720" w:end="0"/>
              <w:jc w:val="both"/>
              <w:rPr>
                <w:rFonts w:cs="Arial"/>
                <w:szCs w:val="22"/>
                <w:lang w:eastAsia="en-GB"/>
              </w:rPr>
            </w:pPr>
            <w:r>
              <w:rPr>
                <w:rFonts w:cs="Arial"/>
                <w:szCs w:val="22"/>
                <w:lang w:eastAsia="en-GB"/>
              </w:rPr>
            </w:r>
          </w:p>
          <w:p>
            <w:pPr>
              <w:pStyle w:val="Normal"/>
              <w:tabs>
                <w:tab w:val="left" w:pos="720" w:leader="none"/>
                <w:tab w:val="left" w:pos="1440" w:leader="none"/>
                <w:tab w:val="left" w:pos="2160" w:leader="none"/>
                <w:tab w:val="left" w:pos="2880" w:leader="none"/>
                <w:tab w:val="left" w:pos="4680" w:leader="none"/>
                <w:tab w:val="left" w:pos="5400" w:leader="none"/>
                <w:tab w:val="right" w:pos="8296" w:leader="dot"/>
                <w:tab w:val="right" w:pos="9000" w:leader="none"/>
              </w:tabs>
              <w:autoSpaceDE w:val="false"/>
              <w:spacing w:lineRule="atLeast" w:line="240"/>
              <w:ind w:hanging="360" w:start="720" w:end="0"/>
              <w:jc w:val="both"/>
              <w:rPr/>
            </w:pPr>
            <w:r>
              <w:rPr>
                <w:rFonts w:cs="Arial"/>
                <w:b/>
                <w:bCs/>
                <w:szCs w:val="22"/>
                <w:lang w:eastAsia="en-GB"/>
              </w:rPr>
              <w:t xml:space="preserve">Communities - </w:t>
            </w:r>
            <w:r>
              <w:rPr>
                <w:rFonts w:cs="Arial"/>
                <w:szCs w:val="22"/>
                <w:lang w:eastAsia="en-GB"/>
              </w:rPr>
              <w:t>We have strong, resilient and supportive communities where people</w:t>
            </w:r>
          </w:p>
          <w:p>
            <w:pPr>
              <w:pStyle w:val="Normal"/>
              <w:tabs>
                <w:tab w:val="left" w:pos="720" w:leader="none"/>
                <w:tab w:val="left" w:pos="1440" w:leader="none"/>
                <w:tab w:val="left" w:pos="2160" w:leader="none"/>
                <w:tab w:val="left" w:pos="2880" w:leader="none"/>
                <w:tab w:val="left" w:pos="4680" w:leader="none"/>
                <w:tab w:val="left" w:pos="5400" w:leader="none"/>
                <w:tab w:val="right" w:pos="8296" w:leader="dot"/>
                <w:tab w:val="right" w:pos="9000" w:leader="none"/>
              </w:tabs>
              <w:autoSpaceDE w:val="false"/>
              <w:spacing w:lineRule="atLeast" w:line="240"/>
              <w:ind w:hanging="360" w:start="720" w:end="0"/>
              <w:jc w:val="both"/>
              <w:rPr>
                <w:rFonts w:cs="Arial"/>
                <w:szCs w:val="22"/>
                <w:lang w:eastAsia="en-GB"/>
              </w:rPr>
            </w:pPr>
            <w:r>
              <w:rPr>
                <w:rFonts w:cs="Arial"/>
                <w:szCs w:val="22"/>
                <w:lang w:eastAsia="en-GB"/>
              </w:rPr>
              <w:t>take responsibility for their own actions and how they affect others.</w:t>
            </w:r>
          </w:p>
          <w:p>
            <w:pPr>
              <w:pStyle w:val="Heading1"/>
              <w:numPr>
                <w:ilvl w:val="0"/>
                <w:numId w:val="0"/>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hanging="0" w:start="0"/>
              <w:rPr>
                <w:rFonts w:cs="Arial"/>
                <w:b/>
                <w:szCs w:val="22"/>
                <w:lang w:eastAsia="en-GB"/>
              </w:rPr>
            </w:pPr>
            <w:r>
              <w:rPr>
                <w:rFonts w:cs="Arial"/>
                <w:b/>
                <w:szCs w:val="22"/>
                <w:lang w:eastAsia="en-GB"/>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autoSpaceDE w:val="false"/>
              <w:spacing w:lineRule="atLeast" w:line="240"/>
              <w:jc w:val="both"/>
              <w:rPr>
                <w:rFonts w:cs="Arial"/>
                <w:b/>
                <w:szCs w:val="22"/>
                <w:lang w:eastAsia="en-GB"/>
              </w:rPr>
            </w:pPr>
            <w:r>
              <w:rPr>
                <w:rFonts w:cs="Arial"/>
                <w:b/>
                <w:szCs w:val="22"/>
                <w:lang w:eastAsia="en-GB"/>
              </w:rPr>
            </w:r>
          </w:p>
        </w:tc>
      </w:tr>
      <w:tr>
        <w:trPr/>
        <w:tc>
          <w:tcPr>
            <w:tcW w:w="9026" w:type="dxa"/>
            <w:gridSpan w:val="3"/>
            <w:tcBorders>
              <w:top w:val="single" w:sz="4" w:space="0" w:color="000000"/>
              <w:start w:val="single" w:sz="4" w:space="0" w:color="000000"/>
              <w:bottom w:val="single" w:sz="4" w:space="0" w:color="000000"/>
              <w:end w:val="single" w:sz="4" w:space="0" w:color="000000"/>
            </w:tcBorders>
          </w:tcPr>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360" w:end="0"/>
              <w:rPr>
                <w:rFonts w:cs="Arial"/>
                <w:b/>
                <w:szCs w:val="22"/>
              </w:rPr>
            </w:pPr>
            <w:r>
              <w:rPr>
                <w:rFonts w:cs="Arial"/>
                <w:b/>
                <w:szCs w:val="22"/>
              </w:rPr>
              <w:t xml:space="preserve">Consultation </w:t>
            </w:r>
          </w:p>
          <w:p>
            <w:pPr>
              <w:pStyle w:val="Normal"/>
              <w:numPr>
                <w:ilvl w:val="0"/>
                <w:numId w:val="6"/>
              </w:numPr>
              <w:tabs>
                <w:tab w:val="clear" w:pos="720"/>
                <w:tab w:val="left" w:pos="2160" w:leader="none"/>
                <w:tab w:val="left" w:pos="2880" w:leader="none"/>
                <w:tab w:val="left" w:pos="4680" w:leader="none"/>
                <w:tab w:val="left" w:pos="5400" w:leader="none"/>
                <w:tab w:val="right" w:pos="9000" w:leader="none"/>
              </w:tabs>
              <w:spacing w:lineRule="atLeast" w:line="240"/>
              <w:rPr>
                <w:rFonts w:cs="Arial"/>
                <w:b/>
                <w:szCs w:val="22"/>
              </w:rPr>
            </w:pPr>
            <w:r>
              <w:rPr>
                <w:rFonts w:cs="Arial"/>
                <w:b/>
                <w:szCs w:val="22"/>
              </w:rPr>
              <w:t>Within Government</w:t>
            </w:r>
          </w:p>
          <w:p>
            <w:pPr>
              <w:pStyle w:val="BillADPara"/>
              <w:numPr>
                <w:ilvl w:val="0"/>
                <w:numId w:val="0"/>
              </w:numPr>
              <w:tabs>
                <w:tab w:val="left" w:pos="1418" w:leader="none"/>
                <w:tab w:val="left" w:pos="2126" w:leader="none"/>
                <w:tab w:val="left" w:pos="2160" w:leader="none"/>
                <w:tab w:val="left" w:pos="2835" w:leader="none"/>
                <w:tab w:val="left" w:pos="2880" w:leader="none"/>
                <w:tab w:val="left" w:pos="3544" w:leader="none"/>
                <w:tab w:val="left" w:pos="4253" w:leader="none"/>
                <w:tab w:val="left" w:pos="4680" w:leader="none"/>
                <w:tab w:val="left" w:pos="4961" w:leader="none"/>
                <w:tab w:val="left" w:pos="5400" w:leader="none"/>
                <w:tab w:val="left" w:pos="5670" w:leader="none"/>
                <w:tab w:val="right" w:pos="9000" w:leader="none"/>
              </w:tabs>
              <w:spacing w:lineRule="atLeast" w:line="240"/>
              <w:ind w:hanging="0" w:start="0"/>
              <w:rPr>
                <w:rFonts w:ascii="Arial" w:hAnsi="Arial" w:cs="Arial"/>
                <w:sz w:val="22"/>
                <w:szCs w:val="22"/>
              </w:rPr>
            </w:pPr>
            <w:r>
              <w:rPr>
                <w:rFonts w:cs="Arial" w:ascii="Arial" w:hAnsi="Arial"/>
                <w:sz w:val="22"/>
                <w:szCs w:val="22"/>
              </w:rPr>
              <w:t>Wide consultation and discussion with colleagues in the Scottish Government has taken place throughout the development of these Regulations.  Comments have been sought on the Regulations themselves and the potential impact of the new Regulations on their relevant areas of business.  Colleagues within the Accountant in Bankruptcy (AiB), in DAS Team, Change Management and Finance were also consulted on these Regulations.</w:t>
            </w:r>
          </w:p>
          <w:p>
            <w:pPr>
              <w:pStyle w:val="Normal"/>
              <w:numPr>
                <w:ilvl w:val="0"/>
                <w:numId w:val="6"/>
              </w:numPr>
              <w:tabs>
                <w:tab w:val="clear" w:pos="720"/>
                <w:tab w:val="left" w:pos="2160" w:leader="none"/>
                <w:tab w:val="left" w:pos="2880" w:leader="none"/>
                <w:tab w:val="left" w:pos="4680" w:leader="none"/>
                <w:tab w:val="left" w:pos="5400" w:leader="none"/>
                <w:tab w:val="right" w:pos="9000" w:leader="none"/>
              </w:tabs>
              <w:spacing w:lineRule="atLeast" w:line="240"/>
              <w:rPr>
                <w:rFonts w:cs="Arial"/>
                <w:b/>
                <w:szCs w:val="22"/>
              </w:rPr>
            </w:pPr>
            <w:r>
              <w:rPr>
                <w:rFonts w:cs="Arial"/>
                <w:b/>
                <w:szCs w:val="22"/>
              </w:rPr>
              <w:t>Public Consultation</w:t>
            </w:r>
          </w:p>
          <w:p>
            <w:pPr>
              <w:pStyle w:val="BillADPara"/>
              <w:numPr>
                <w:ilvl w:val="0"/>
                <w:numId w:val="0"/>
              </w:numPr>
              <w:tabs>
                <w:tab w:val="left" w:pos="1418" w:leader="none"/>
                <w:tab w:val="left" w:pos="2126" w:leader="none"/>
                <w:tab w:val="left" w:pos="2160" w:leader="none"/>
                <w:tab w:val="left" w:pos="2835" w:leader="none"/>
                <w:tab w:val="left" w:pos="2880" w:leader="none"/>
                <w:tab w:val="left" w:pos="3544" w:leader="none"/>
                <w:tab w:val="left" w:pos="4253" w:leader="none"/>
                <w:tab w:val="left" w:pos="4680" w:leader="none"/>
                <w:tab w:val="left" w:pos="4961" w:leader="none"/>
                <w:tab w:val="left" w:pos="5400" w:leader="none"/>
                <w:tab w:val="left" w:pos="5670" w:leader="none"/>
                <w:tab w:val="right" w:pos="9000" w:leader="none"/>
              </w:tabs>
              <w:spacing w:lineRule="atLeast" w:line="240"/>
              <w:ind w:hanging="0" w:start="0"/>
              <w:rPr>
                <w:rFonts w:ascii="Arial" w:hAnsi="Arial" w:cs="Arial"/>
                <w:sz w:val="22"/>
                <w:szCs w:val="22"/>
              </w:rPr>
            </w:pPr>
            <w:r>
              <w:rPr>
                <w:rFonts w:cs="Arial" w:ascii="Arial" w:hAnsi="Arial"/>
                <w:sz w:val="22"/>
                <w:szCs w:val="22"/>
              </w:rPr>
              <w:t xml:space="preserve">The proposed changes to DAS were consulted on as part if the wider “Bankruptcy Law Reform” consultation which launched in February of 2012.  The consultation closed on 18 May 2012 and a report summarising the responses was published on the Scottish Government’s web pages on 28 August 2012.  </w:t>
            </w:r>
          </w:p>
          <w:p>
            <w:pPr>
              <w:pStyle w:val="Normal"/>
              <w:autoSpaceDE w:val="false"/>
              <w:rPr>
                <w:rFonts w:cs="Arial"/>
                <w:szCs w:val="22"/>
                <w:lang w:eastAsia="en-GB"/>
              </w:rPr>
            </w:pPr>
            <w:r>
              <w:rPr>
                <w:rFonts w:cs="Arial"/>
                <w:szCs w:val="22"/>
                <w:lang w:eastAsia="en-GB"/>
              </w:rPr>
              <w:t>A total of 129 responses were received by AiB at the close of the consultation. A list of the organisations who responded (and who gave their permission for the details to be disclosed) can be found in Annex A of this document. The breakdown of respondents was as follows.</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jc w:val="both"/>
              <w:rPr>
                <w:rFonts w:cs="Arial"/>
                <w:szCs w:val="22"/>
                <w:lang w:eastAsia="en-GB"/>
              </w:rPr>
            </w:pPr>
            <w:r>
              <w:rPr>
                <w:rFonts w:cs="Arial"/>
                <w:szCs w:val="22"/>
                <w:lang w:eastAsia="en-GB"/>
              </w:rPr>
            </w:r>
          </w:p>
          <w:p>
            <w:pPr>
              <w:pStyle w:val="Normal"/>
              <w:tabs>
                <w:tab w:val="left" w:pos="720" w:leader="none"/>
                <w:tab w:val="left" w:pos="2160" w:leader="none"/>
                <w:tab w:val="left" w:pos="2880" w:leader="none"/>
                <w:tab w:val="left" w:pos="4680" w:leader="none"/>
                <w:tab w:val="left" w:pos="5400" w:leader="none"/>
                <w:tab w:val="right" w:pos="9000" w:leader="none"/>
              </w:tabs>
              <w:spacing w:lineRule="atLeast" w:line="240"/>
              <w:rPr>
                <w:rFonts w:cs="Arial"/>
                <w:b/>
                <w:i/>
                <w:i/>
                <w:color w:val="000000"/>
                <w:szCs w:val="22"/>
              </w:rPr>
            </w:pPr>
            <w:r>
              <w:rPr>
                <w:rFonts w:cs="Arial"/>
                <w:szCs w:val="22"/>
              </w:rPr>
              <w:drawing>
                <wp:inline distT="0" distB="0" distL="0" distR="0">
                  <wp:extent cx="5727700" cy="315087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3"/>
                          <a:srcRect l="-4" t="-8" r="-4" b="-8"/>
                          <a:stretch>
                            <a:fillRect/>
                          </a:stretch>
                        </pic:blipFill>
                        <pic:spPr bwMode="auto">
                          <a:xfrm>
                            <a:off x="0" y="0"/>
                            <a:ext cx="5727700" cy="3150870"/>
                          </a:xfrm>
                          <a:prstGeom prst="rect">
                            <a:avLst/>
                          </a:prstGeom>
                        </pic:spPr>
                      </pic:pic>
                    </a:graphicData>
                  </a:graphic>
                </wp:inline>
              </w:drawing>
            </w:r>
          </w:p>
          <w:p>
            <w:pPr>
              <w:pStyle w:val="Normal"/>
              <w:tabs>
                <w:tab w:val="left" w:pos="720" w:leader="none"/>
                <w:tab w:val="left" w:pos="2160" w:leader="none"/>
                <w:tab w:val="left" w:pos="2880" w:leader="none"/>
                <w:tab w:val="left" w:pos="4680" w:leader="none"/>
                <w:tab w:val="left" w:pos="5400" w:leader="none"/>
                <w:tab w:val="right" w:pos="9000" w:leader="none"/>
              </w:tabs>
              <w:spacing w:lineRule="atLeast" w:line="240"/>
              <w:rPr>
                <w:rFonts w:cs="Arial"/>
                <w:b/>
                <w:i/>
                <w:i/>
                <w:color w:val="000000"/>
                <w:szCs w:val="22"/>
              </w:rPr>
            </w:pPr>
            <w:r>
              <w:rPr>
                <w:rFonts w:cs="Arial"/>
                <w:b/>
                <w:i/>
                <w:color w:val="000000"/>
                <w:szCs w:val="22"/>
              </w:rPr>
            </w:r>
          </w:p>
          <w:p>
            <w:pPr>
              <w:pStyle w:val="Normal"/>
              <w:tabs>
                <w:tab w:val="left" w:pos="720" w:leader="none"/>
                <w:tab w:val="left" w:pos="2160" w:leader="none"/>
                <w:tab w:val="left" w:pos="2880" w:leader="none"/>
                <w:tab w:val="left" w:pos="4680" w:leader="none"/>
                <w:tab w:val="left" w:pos="5400" w:leader="none"/>
                <w:tab w:val="right" w:pos="9000" w:leader="none"/>
              </w:tabs>
              <w:spacing w:lineRule="atLeast" w:line="240"/>
              <w:rPr>
                <w:rFonts w:cs="Arial"/>
                <w:b/>
                <w:i/>
                <w:i/>
                <w:color w:val="000000"/>
                <w:szCs w:val="22"/>
              </w:rPr>
            </w:pPr>
            <w:r>
              <w:rPr>
                <w:rFonts w:cs="Arial"/>
                <w:b/>
                <w:i/>
                <w:color w:val="000000"/>
                <w:szCs w:val="22"/>
              </w:rPr>
            </w:r>
          </w:p>
          <w:p>
            <w:pPr>
              <w:pStyle w:val="Normal"/>
              <w:tabs>
                <w:tab w:val="left" w:pos="720" w:leader="none"/>
                <w:tab w:val="left" w:pos="2160" w:leader="none"/>
                <w:tab w:val="left" w:pos="2880" w:leader="none"/>
                <w:tab w:val="left" w:pos="4680" w:leader="none"/>
                <w:tab w:val="left" w:pos="5400" w:leader="none"/>
                <w:tab w:val="right" w:pos="9000" w:leader="none"/>
              </w:tabs>
              <w:spacing w:lineRule="atLeast" w:line="240"/>
              <w:rPr>
                <w:rFonts w:cs="Arial"/>
                <w:color w:val="000000"/>
                <w:szCs w:val="22"/>
              </w:rPr>
            </w:pPr>
            <w:r>
              <w:rPr>
                <w:rFonts w:cs="Arial"/>
                <w:color w:val="000000"/>
                <w:szCs w:val="22"/>
              </w:rPr>
              <w:t xml:space="preserve">The Scottish Government response to the consultation was published on 1 November 2012, and an update on Bankruptcy Law Reform was published on 28 February 2013. These consultation documents are available on the AiB website, here: http://www.aib.gov.uk/guidance/publications/consultations-and-reviews/bankruptcy-law-reform/bankruptcy-law-reform. </w:t>
            </w:r>
          </w:p>
          <w:p>
            <w:pPr>
              <w:pStyle w:val="Normal"/>
              <w:tabs>
                <w:tab w:val="left" w:pos="720" w:leader="none"/>
                <w:tab w:val="left" w:pos="2160" w:leader="none"/>
                <w:tab w:val="left" w:pos="2880" w:leader="none"/>
                <w:tab w:val="left" w:pos="4680" w:leader="none"/>
                <w:tab w:val="left" w:pos="5400" w:leader="none"/>
                <w:tab w:val="right" w:pos="9000" w:leader="none"/>
              </w:tabs>
              <w:spacing w:lineRule="atLeast" w:line="240"/>
              <w:rPr>
                <w:rFonts w:cs="Arial"/>
                <w:color w:val="000000"/>
                <w:szCs w:val="22"/>
              </w:rPr>
            </w:pPr>
            <w:r>
              <w:rPr>
                <w:rFonts w:cs="Arial"/>
                <w:color w:val="000000"/>
                <w:szCs w:val="22"/>
              </w:rPr>
            </w:r>
          </w:p>
          <w:p>
            <w:pPr>
              <w:pStyle w:val="Normal"/>
              <w:tabs>
                <w:tab w:val="left" w:pos="720" w:leader="none"/>
                <w:tab w:val="left" w:pos="2160" w:leader="none"/>
                <w:tab w:val="left" w:pos="2880" w:leader="none"/>
                <w:tab w:val="left" w:pos="4680" w:leader="none"/>
                <w:tab w:val="left" w:pos="5400" w:leader="none"/>
                <w:tab w:val="right" w:pos="9000" w:leader="none"/>
              </w:tabs>
              <w:spacing w:lineRule="atLeast" w:line="240"/>
              <w:rPr>
                <w:rFonts w:cs="Arial"/>
                <w:color w:val="000000"/>
                <w:szCs w:val="22"/>
              </w:rPr>
            </w:pPr>
            <w:r>
              <w:rPr>
                <w:rFonts w:cs="Arial"/>
                <w:color w:val="000000"/>
                <w:szCs w:val="22"/>
              </w:rPr>
              <w:t>In addition to the above events which were generally related to the Bankruptcy Law Reform a number of DAS specific events were held in Glasgow, Inverness and Edinburgh in Autumn of 2012 and further events in Glasgow, Dundee and Edinburgh in March/April 2013. These DAS specific events featured key representatives from a wide range of stakeholder groups, including those from the money advice, payments distribution and creditor sectors.</w:t>
            </w:r>
          </w:p>
          <w:p>
            <w:pPr>
              <w:pStyle w:val="Normal"/>
              <w:tabs>
                <w:tab w:val="left" w:pos="720" w:leader="none"/>
                <w:tab w:val="left" w:pos="2160" w:leader="none"/>
                <w:tab w:val="left" w:pos="2880" w:leader="none"/>
                <w:tab w:val="left" w:pos="4680" w:leader="none"/>
                <w:tab w:val="left" w:pos="5400" w:leader="none"/>
                <w:tab w:val="right" w:pos="9000" w:leader="none"/>
              </w:tabs>
              <w:spacing w:lineRule="atLeast" w:line="240"/>
              <w:rPr>
                <w:rFonts w:cs="Arial"/>
                <w:color w:val="000000"/>
                <w:szCs w:val="22"/>
              </w:rPr>
            </w:pPr>
            <w:r>
              <w:rPr>
                <w:rFonts w:cs="Arial"/>
                <w:color w:val="000000"/>
                <w:szCs w:val="22"/>
              </w:rPr>
            </w:r>
          </w:p>
          <w:p>
            <w:pPr>
              <w:pStyle w:val="Normal"/>
              <w:tabs>
                <w:tab w:val="left" w:pos="720" w:leader="none"/>
                <w:tab w:val="left" w:pos="2160" w:leader="none"/>
                <w:tab w:val="left" w:pos="2880" w:leader="none"/>
                <w:tab w:val="left" w:pos="4680" w:leader="none"/>
                <w:tab w:val="left" w:pos="5400" w:leader="none"/>
                <w:tab w:val="right" w:pos="9000" w:leader="none"/>
              </w:tabs>
              <w:spacing w:lineRule="atLeast" w:line="240"/>
              <w:rPr>
                <w:rFonts w:cs="Arial"/>
                <w:color w:val="000000"/>
                <w:szCs w:val="22"/>
              </w:rPr>
            </w:pPr>
            <w:r>
              <w:rPr>
                <w:rFonts w:cs="Arial"/>
                <w:color w:val="000000"/>
                <w:szCs w:val="22"/>
              </w:rPr>
            </w:r>
          </w:p>
          <w:p>
            <w:pPr>
              <w:pStyle w:val="Normal"/>
              <w:tabs>
                <w:tab w:val="left" w:pos="720" w:leader="none"/>
                <w:tab w:val="left" w:pos="2160" w:leader="none"/>
                <w:tab w:val="left" w:pos="2880" w:leader="none"/>
                <w:tab w:val="left" w:pos="4680" w:leader="none"/>
                <w:tab w:val="left" w:pos="5400" w:leader="none"/>
                <w:tab w:val="right" w:pos="9000" w:leader="none"/>
              </w:tabs>
              <w:spacing w:lineRule="atLeast" w:line="240"/>
              <w:rPr>
                <w:rFonts w:cs="Arial"/>
                <w:color w:val="000000"/>
                <w:szCs w:val="22"/>
              </w:rPr>
            </w:pPr>
            <w:r>
              <w:rPr>
                <w:rFonts w:cs="Arial"/>
                <w:color w:val="000000"/>
                <w:szCs w:val="22"/>
              </w:rPr>
              <w:t>The workshops were intended to provide an overview of the proposed key changes to the Scheme and to assess initial feedback on the likely impact of the Regulations.  Feedback from each of those sessions was generally supportive with some individuals providing written support for widening access and adding transparency to the payments distribution process. Delegates were also provided with details of a contact within Scottish Government who they could liaise with for further details or updates on progress.</w:t>
            </w:r>
          </w:p>
          <w:p>
            <w:pPr>
              <w:pStyle w:val="Normal"/>
              <w:tabs>
                <w:tab w:val="left" w:pos="720" w:leader="none"/>
                <w:tab w:val="left" w:pos="2160" w:leader="none"/>
                <w:tab w:val="left" w:pos="2880" w:leader="none"/>
                <w:tab w:val="left" w:pos="4680" w:leader="none"/>
                <w:tab w:val="left" w:pos="5400" w:leader="none"/>
                <w:tab w:val="right" w:pos="9000" w:leader="none"/>
              </w:tabs>
              <w:spacing w:lineRule="atLeast" w:line="240"/>
              <w:rPr>
                <w:rFonts w:cs="Arial"/>
                <w:color w:val="000000"/>
                <w:szCs w:val="22"/>
              </w:rPr>
            </w:pPr>
            <w:r>
              <w:rPr>
                <w:rFonts w:cs="Arial"/>
                <w:color w:val="000000"/>
                <w:szCs w:val="22"/>
              </w:rPr>
            </w:r>
          </w:p>
          <w:p>
            <w:pPr>
              <w:pStyle w:val="Normal"/>
              <w:tabs>
                <w:tab w:val="left" w:pos="720" w:leader="none"/>
                <w:tab w:val="left" w:pos="2160" w:leader="none"/>
                <w:tab w:val="left" w:pos="2880" w:leader="none"/>
                <w:tab w:val="left" w:pos="4680" w:leader="none"/>
                <w:tab w:val="left" w:pos="5400" w:leader="none"/>
                <w:tab w:val="right" w:pos="9000" w:leader="none"/>
              </w:tabs>
              <w:spacing w:lineRule="atLeast" w:line="240"/>
              <w:rPr>
                <w:rFonts w:cs="Arial"/>
                <w:color w:val="000000"/>
                <w:szCs w:val="22"/>
              </w:rPr>
            </w:pPr>
            <w:r>
              <w:rPr>
                <w:rFonts w:cs="Arial"/>
                <w:color w:val="000000"/>
                <w:szCs w:val="22"/>
              </w:rPr>
              <w:t>AiB have also worked separately with senior delegates from Money Advice Scotland and Citizens Advice Scotland, representatives from the Money Advice Training, Resources, Information and Consultancy Services and Social Inclusion colleagues in smaller groups throughout the development of the new DAS Regulations.</w:t>
            </w:r>
          </w:p>
          <w:p>
            <w:pPr>
              <w:pStyle w:val="Normal"/>
              <w:tabs>
                <w:tab w:val="left" w:pos="720" w:leader="none"/>
                <w:tab w:val="left" w:pos="2160" w:leader="none"/>
                <w:tab w:val="left" w:pos="2880" w:leader="none"/>
                <w:tab w:val="left" w:pos="4680" w:leader="none"/>
                <w:tab w:val="left" w:pos="5400" w:leader="none"/>
                <w:tab w:val="right" w:pos="9000" w:leader="none"/>
              </w:tabs>
              <w:spacing w:lineRule="atLeast" w:line="240"/>
              <w:rPr>
                <w:rFonts w:cs="Arial"/>
                <w:color w:val="000000"/>
                <w:szCs w:val="22"/>
              </w:rPr>
            </w:pPr>
            <w:r>
              <w:rPr>
                <w:rFonts w:cs="Arial"/>
                <w:color w:val="000000"/>
                <w:szCs w:val="22"/>
              </w:rPr>
            </w:r>
          </w:p>
          <w:p>
            <w:pPr>
              <w:pStyle w:val="Normal"/>
              <w:tabs>
                <w:tab w:val="left" w:pos="720" w:leader="none"/>
                <w:tab w:val="left" w:pos="2160" w:leader="none"/>
                <w:tab w:val="left" w:pos="2880" w:leader="none"/>
                <w:tab w:val="left" w:pos="4680" w:leader="none"/>
                <w:tab w:val="left" w:pos="5400" w:leader="none"/>
                <w:tab w:val="right" w:pos="9000" w:leader="none"/>
              </w:tabs>
              <w:spacing w:lineRule="atLeast" w:line="240"/>
              <w:rPr>
                <w:rFonts w:cs="Arial"/>
                <w:color w:val="000000"/>
                <w:szCs w:val="22"/>
              </w:rPr>
            </w:pPr>
            <w:r>
              <w:rPr>
                <w:rFonts w:cs="Arial"/>
                <w:color w:val="000000"/>
                <w:szCs w:val="22"/>
              </w:rPr>
              <w:t>AiB staff also invited representatives from all the current payments distributers to a meeting in order to discuss changes to this part of the DAS process.</w:t>
            </w:r>
          </w:p>
          <w:p>
            <w:pPr>
              <w:pStyle w:val="Normal"/>
              <w:tabs>
                <w:tab w:val="left" w:pos="720" w:leader="none"/>
                <w:tab w:val="left" w:pos="2160" w:leader="none"/>
                <w:tab w:val="left" w:pos="2880" w:leader="none"/>
                <w:tab w:val="left" w:pos="4680" w:leader="none"/>
                <w:tab w:val="left" w:pos="5400" w:leader="none"/>
                <w:tab w:val="right" w:pos="9000" w:leader="none"/>
              </w:tabs>
              <w:spacing w:lineRule="atLeast" w:line="240"/>
              <w:rPr>
                <w:rFonts w:cs="Arial"/>
                <w:color w:val="000000"/>
                <w:szCs w:val="22"/>
              </w:rPr>
            </w:pPr>
            <w:r>
              <w:rPr>
                <w:rFonts w:cs="Arial"/>
                <w:color w:val="000000"/>
                <w:szCs w:val="22"/>
              </w:rPr>
            </w:r>
          </w:p>
          <w:p>
            <w:pPr>
              <w:pStyle w:val="Normal"/>
              <w:tabs>
                <w:tab w:val="left" w:pos="720" w:leader="none"/>
                <w:tab w:val="left" w:pos="2160" w:leader="none"/>
                <w:tab w:val="left" w:pos="2880" w:leader="none"/>
                <w:tab w:val="left" w:pos="4680" w:leader="none"/>
                <w:tab w:val="left" w:pos="5400" w:leader="none"/>
                <w:tab w:val="right" w:pos="9000" w:leader="none"/>
              </w:tabs>
              <w:spacing w:lineRule="atLeast" w:line="240"/>
              <w:rPr>
                <w:rFonts w:cs="Arial"/>
                <w:color w:val="000000"/>
                <w:szCs w:val="22"/>
              </w:rPr>
            </w:pPr>
            <w:r>
              <w:rPr>
                <w:rFonts w:cs="Arial"/>
                <w:color w:val="000000"/>
                <w:szCs w:val="22"/>
              </w:rPr>
              <w:t>A full list of those consulted and who agreed to the release of this information is attached to the consultation report published on the Scottish Government website.</w:t>
            </w:r>
          </w:p>
          <w:p>
            <w:pPr>
              <w:pStyle w:val="Normal"/>
              <w:tabs>
                <w:tab w:val="left" w:pos="720" w:leader="none"/>
                <w:tab w:val="left" w:pos="2160" w:leader="none"/>
                <w:tab w:val="left" w:pos="2880" w:leader="none"/>
                <w:tab w:val="left" w:pos="4680" w:leader="none"/>
                <w:tab w:val="left" w:pos="5400" w:leader="none"/>
                <w:tab w:val="right" w:pos="9000" w:leader="none"/>
              </w:tabs>
              <w:spacing w:lineRule="atLeast" w:line="240"/>
              <w:rPr>
                <w:rFonts w:cs="Arial"/>
                <w:color w:val="000000"/>
                <w:szCs w:val="22"/>
              </w:rPr>
            </w:pPr>
            <w:r>
              <w:rPr>
                <w:rFonts w:cs="Arial"/>
                <w:color w:val="000000"/>
                <w:szCs w:val="22"/>
              </w:rPr>
            </w:r>
          </w:p>
          <w:p>
            <w:pPr>
              <w:pStyle w:val="Normal"/>
              <w:numPr>
                <w:ilvl w:val="0"/>
                <w:numId w:val="6"/>
              </w:numPr>
              <w:tabs>
                <w:tab w:val="clear" w:pos="720"/>
                <w:tab w:val="left" w:pos="2160" w:leader="none"/>
                <w:tab w:val="left" w:pos="2880" w:leader="none"/>
                <w:tab w:val="left" w:pos="4680" w:leader="none"/>
                <w:tab w:val="left" w:pos="5400" w:leader="none"/>
                <w:tab w:val="right" w:pos="9000" w:leader="none"/>
              </w:tabs>
              <w:spacing w:lineRule="atLeast" w:line="240"/>
              <w:rPr>
                <w:rFonts w:cs="Arial"/>
                <w:b/>
                <w:szCs w:val="22"/>
              </w:rPr>
            </w:pPr>
            <w:r>
              <w:rPr>
                <w:b/>
                <w:szCs w:val="22"/>
              </w:rPr>
              <w:t>Business</w:t>
            </w:r>
          </w:p>
          <w:p>
            <w:pPr>
              <w:pStyle w:val="Normal"/>
              <w:tabs>
                <w:tab w:val="left" w:pos="720" w:leader="none"/>
                <w:tab w:val="left" w:pos="2160" w:leader="none"/>
                <w:tab w:val="left" w:pos="2880" w:leader="none"/>
                <w:tab w:val="left" w:pos="4680" w:leader="none"/>
                <w:tab w:val="left" w:pos="5400" w:leader="none"/>
                <w:tab w:val="right" w:pos="9000" w:leader="none"/>
              </w:tabs>
              <w:spacing w:lineRule="atLeast" w:line="240"/>
              <w:rPr>
                <w:rFonts w:cs="Arial"/>
                <w:color w:val="000000"/>
                <w:szCs w:val="22"/>
              </w:rPr>
            </w:pPr>
            <w:r>
              <w:rPr>
                <w:rFonts w:cs="Arial"/>
                <w:color w:val="000000"/>
                <w:szCs w:val="22"/>
              </w:rPr>
              <w:t>As previously mentioned, AIB consulted directly with key representatives from  a wide range of stakeholder groups. Detail of these discussions can be found in the Scottish Firms Impact Test section.</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start="1080" w:end="0"/>
              <w:rPr>
                <w:rFonts w:cs="Arial"/>
                <w:b/>
                <w:color w:val="000000"/>
                <w:szCs w:val="22"/>
              </w:rPr>
            </w:pPr>
            <w:r>
              <w:rPr>
                <w:rFonts w:cs="Arial"/>
                <w:b/>
                <w:color w:val="000000"/>
                <w:szCs w:val="22"/>
              </w:rPr>
            </w:r>
          </w:p>
        </w:tc>
      </w:tr>
      <w:tr>
        <w:trPr/>
        <w:tc>
          <w:tcPr>
            <w:tcW w:w="9026" w:type="dxa"/>
            <w:gridSpan w:val="3"/>
            <w:tcBorders>
              <w:top w:val="single" w:sz="4" w:space="0" w:color="000000"/>
              <w:start w:val="single" w:sz="4" w:space="0" w:color="000000"/>
              <w:bottom w:val="single" w:sz="4" w:space="0" w:color="000000"/>
              <w:end w:val="single" w:sz="4" w:space="0" w:color="000000"/>
            </w:tcBorders>
          </w:tcPr>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360" w:end="0"/>
              <w:rPr>
                <w:rFonts w:cs="Arial"/>
                <w:b/>
                <w:szCs w:val="22"/>
              </w:rPr>
            </w:pPr>
            <w:r>
              <w:rPr>
                <w:rFonts w:cs="Arial"/>
                <w:b/>
                <w:szCs w:val="22"/>
              </w:rPr>
              <w:t xml:space="preserve">Options </w:t>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360" w:end="0"/>
              <w:rPr>
                <w:rFonts w:cs="Arial"/>
                <w:b/>
                <w:szCs w:val="22"/>
              </w:rPr>
            </w:pPr>
            <w:r>
              <w:rPr>
                <w:rFonts w:cs="Arial"/>
                <w:b/>
                <w:szCs w:val="22"/>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jc w:val="both"/>
              <w:rPr>
                <w:rFonts w:cs="Arial"/>
                <w:b/>
                <w:szCs w:val="24"/>
              </w:rPr>
            </w:pPr>
            <w:r>
              <w:rPr>
                <w:rFonts w:cs="Arial"/>
                <w:b/>
                <w:szCs w:val="24"/>
              </w:rPr>
              <w:t>Option 1 – No change</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jc w:val="both"/>
              <w:rPr>
                <w:rFonts w:cs="Arial"/>
                <w:b/>
                <w:szCs w:val="24"/>
              </w:rPr>
            </w:pPr>
            <w:r>
              <w:rPr>
                <w:rFonts w:cs="Arial"/>
                <w:b/>
                <w:szCs w:val="24"/>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jc w:val="both"/>
              <w:rPr>
                <w:rFonts w:cs="Arial"/>
                <w:szCs w:val="24"/>
              </w:rPr>
            </w:pPr>
            <w:r>
              <w:rPr>
                <w:rFonts w:cs="Arial"/>
                <w:szCs w:val="24"/>
              </w:rPr>
              <w:t>Benefits – Status quo maintained</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jc w:val="both"/>
              <w:rPr>
                <w:rFonts w:cs="Arial"/>
                <w:szCs w:val="24"/>
              </w:rPr>
            </w:pPr>
            <w:r>
              <w:rPr>
                <w:rFonts w:cs="Arial"/>
                <w:szCs w:val="24"/>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jc w:val="both"/>
              <w:rPr>
                <w:rFonts w:cs="Arial"/>
                <w:szCs w:val="24"/>
              </w:rPr>
            </w:pPr>
            <w:r>
              <w:rPr>
                <w:rFonts w:cs="Arial"/>
                <w:szCs w:val="24"/>
              </w:rPr>
              <w:t>Cost – No cost incurred other than that already spent on the consultation process</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jc w:val="both"/>
              <w:rPr>
                <w:rFonts w:cs="Arial"/>
                <w:szCs w:val="24"/>
              </w:rPr>
            </w:pPr>
            <w:r>
              <w:rPr>
                <w:rFonts w:cs="Arial"/>
                <w:szCs w:val="24"/>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jc w:val="both"/>
              <w:rPr>
                <w:rFonts w:cs="Arial"/>
                <w:szCs w:val="24"/>
              </w:rPr>
            </w:pPr>
            <w:r>
              <w:rPr>
                <w:rFonts w:cs="Arial"/>
                <w:szCs w:val="24"/>
              </w:rPr>
              <w:t>Sectors and groups affected – No change to individuals, creditors and the broader Scottish economy.</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jc w:val="both"/>
              <w:rPr>
                <w:rFonts w:cs="Arial"/>
                <w:szCs w:val="24"/>
              </w:rPr>
            </w:pPr>
            <w:r>
              <w:rPr>
                <w:rFonts w:cs="Arial"/>
                <w:szCs w:val="24"/>
              </w:rPr>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rPr/>
            </w:pPr>
            <w:r>
              <w:rPr>
                <w:rFonts w:cs="Arial"/>
                <w:b/>
                <w:szCs w:val="24"/>
              </w:rPr>
              <w:t xml:space="preserve">Option 2 - </w:t>
            </w:r>
            <w:r>
              <w:rPr>
                <w:rFonts w:cs="Arial"/>
                <w:b/>
                <w:szCs w:val="22"/>
              </w:rPr>
              <w:t>THE DEBT ARRANGEMENT SCHEME (SCOTLAND) AMENDMENT REGULATIONS 2013</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jc w:val="both"/>
              <w:rPr>
                <w:rFonts w:cs="Arial"/>
                <w:b/>
                <w:szCs w:val="24"/>
              </w:rPr>
            </w:pPr>
            <w:r>
              <w:rPr>
                <w:rFonts w:cs="Arial"/>
                <w:b/>
                <w:szCs w:val="24"/>
              </w:rPr>
            </w:r>
          </w:p>
          <w:p>
            <w:pPr>
              <w:pStyle w:val="Heading1"/>
              <w:numPr>
                <w:ilvl w:val="0"/>
                <w:numId w:val="0"/>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hanging="0" w:start="0"/>
              <w:rPr>
                <w:rFonts w:cs="Arial"/>
                <w:szCs w:val="24"/>
              </w:rPr>
            </w:pPr>
            <w:r>
              <w:rPr>
                <w:rFonts w:cs="Arial"/>
                <w:szCs w:val="24"/>
              </w:rPr>
              <w:t>Benefits – The new Regulations will benefit individuals, creditors and the broader Scottish economy.  As the number of DPPs increase, more creditors will receive what is due to them.  In the larger economy, changes to the Scheme will aid economic recovery with obvious benefits for businesses in both the private and public sectors respectively.</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jc w:val="both"/>
              <w:rPr>
                <w:rFonts w:cs="Arial"/>
                <w:szCs w:val="24"/>
              </w:rPr>
            </w:pPr>
            <w:r>
              <w:rPr>
                <w:rFonts w:cs="Arial"/>
                <w:szCs w:val="24"/>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jc w:val="both"/>
              <w:rPr>
                <w:rFonts w:cs="Arial"/>
                <w:szCs w:val="24"/>
              </w:rPr>
            </w:pPr>
            <w:r>
              <w:rPr>
                <w:rFonts w:cs="Arial"/>
                <w:szCs w:val="24"/>
              </w:rPr>
              <w:t>Costs - Changes to the Debt Arrangement Scheme Hub (DASH) system to accommodate the changes being introduced this summer.  The development proposal (fixed price) is £52,363. This cost has been budgeted for and will require no additional funding.</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jc w:val="both"/>
              <w:rPr>
                <w:rFonts w:cs="Arial"/>
                <w:szCs w:val="24"/>
              </w:rPr>
            </w:pPr>
            <w:r>
              <w:rPr>
                <w:rFonts w:cs="Arial"/>
                <w:szCs w:val="24"/>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jc w:val="both"/>
              <w:rPr>
                <w:rFonts w:cs="Arial"/>
                <w:szCs w:val="24"/>
              </w:rPr>
            </w:pPr>
            <w:r>
              <w:rPr>
                <w:rFonts w:cs="Arial"/>
                <w:szCs w:val="24"/>
              </w:rPr>
              <w:t>Sectors and groups affected - The new Regulations will benefit individuals, creditors and the broader Scottish economy, as described above.</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jc w:val="both"/>
              <w:rPr>
                <w:rFonts w:cs="Arial"/>
                <w:szCs w:val="24"/>
              </w:rPr>
            </w:pPr>
            <w:r>
              <w:rPr>
                <w:rFonts w:cs="Arial"/>
                <w:szCs w:val="24"/>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jc w:val="both"/>
              <w:rPr>
                <w:rFonts w:cs="Arial"/>
                <w:b/>
                <w:szCs w:val="22"/>
              </w:rPr>
            </w:pPr>
            <w:r>
              <w:rPr>
                <w:rFonts w:cs="Arial"/>
                <w:b/>
                <w:szCs w:val="22"/>
              </w:rPr>
            </w:r>
          </w:p>
        </w:tc>
      </w:tr>
      <w:tr>
        <w:trPr/>
        <w:tc>
          <w:tcPr>
            <w:tcW w:w="9026" w:type="dxa"/>
            <w:gridSpan w:val="3"/>
            <w:tcBorders>
              <w:top w:val="single" w:sz="4" w:space="0" w:color="000000"/>
              <w:start w:val="single" w:sz="4" w:space="0" w:color="000000"/>
              <w:bottom w:val="single" w:sz="4" w:space="0" w:color="000000"/>
              <w:end w:val="single" w:sz="4" w:space="0" w:color="000000"/>
            </w:tcBorders>
          </w:tcPr>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360" w:end="0"/>
              <w:rPr>
                <w:rFonts w:cs="Arial"/>
                <w:b/>
                <w:szCs w:val="22"/>
              </w:rPr>
            </w:pPr>
            <w:r>
              <w:rPr>
                <w:rFonts w:cs="Arial"/>
                <w:b/>
                <w:szCs w:val="22"/>
              </w:rPr>
              <w:t xml:space="preserve">Scottish Firms Impact Test </w:t>
            </w:r>
          </w:p>
          <w:p>
            <w:pPr>
              <w:pStyle w:val="Heading1"/>
              <w:numPr>
                <w:ilvl w:val="0"/>
                <w:numId w:val="0"/>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hanging="0" w:start="0"/>
              <w:rPr>
                <w:rFonts w:cs="Arial"/>
                <w:szCs w:val="24"/>
              </w:rPr>
            </w:pPr>
            <w:r>
              <w:rPr>
                <w:rFonts w:cs="Arial"/>
                <w:szCs w:val="24"/>
              </w:rPr>
              <w:t>During the consultations process AiB staff worked with stakeholders to recommend key changes on how DAS operates and create new draft Regulations.  The key theme was to improve the 2011 regulations and to help AiB’s overall aim to provide better returns to creditors.</w:t>
            </w:r>
          </w:p>
          <w:p>
            <w:pPr>
              <w:pStyle w:val="Heading1"/>
              <w:numPr>
                <w:ilvl w:val="0"/>
                <w:numId w:val="0"/>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hanging="0" w:start="0"/>
              <w:rPr>
                <w:rFonts w:cs="Arial"/>
                <w:szCs w:val="24"/>
              </w:rPr>
            </w:pPr>
            <w:r>
              <w:rPr>
                <w:rFonts w:cs="Arial"/>
                <w:szCs w:val="24"/>
              </w:rPr>
            </w:r>
          </w:p>
          <w:p>
            <w:pPr>
              <w:pStyle w:val="Heading1"/>
              <w:numPr>
                <w:ilvl w:val="0"/>
                <w:numId w:val="0"/>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hanging="0" w:start="0"/>
              <w:rPr>
                <w:rFonts w:cs="Arial"/>
                <w:szCs w:val="24"/>
              </w:rPr>
            </w:pPr>
            <w:r>
              <w:rPr>
                <w:rFonts w:cs="Arial"/>
                <w:szCs w:val="24"/>
              </w:rPr>
              <w:t>48 delegates attended  three workshops held in March/April 2013 with stakeholders from the money advice, payments distribution and creditor sectors.  The workshops were intended to provide an overview of the proposed key changes to the Scheme and to assess initial feedback on the likely impact of the Regulations.  Feedback from each of those sessions was generally supportive with some individuals providing written support for widening access and adding transparency to the payments distribution process.  Delegates were also provided with details of a contact within Scottish Government who they could liaise with for further details or updates on progress.</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szCs w:val="24"/>
              </w:rPr>
            </w:pPr>
            <w:r>
              <w:rPr>
                <w:rFonts w:cs="Arial"/>
                <w:szCs w:val="24"/>
              </w:rPr>
            </w:r>
          </w:p>
          <w:p>
            <w:pPr>
              <w:pStyle w:val="Heading1"/>
              <w:numPr>
                <w:ilvl w:val="0"/>
                <w:numId w:val="0"/>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hanging="0" w:start="0"/>
              <w:rPr>
                <w:rFonts w:cs="Arial"/>
                <w:szCs w:val="24"/>
              </w:rPr>
            </w:pPr>
            <w:r>
              <w:rPr>
                <w:rFonts w:cs="Arial"/>
                <w:szCs w:val="24"/>
              </w:rPr>
              <w:t>AiB have also worked separately with senior delegates from Money Advice Scotland and Citizens Advice Scotland, representatives from the Money Advice Training, Resources, Information and Consultancy Services and Social Inclusion colleagues in smaller groups throughout the development of the new DAS Regulations.</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szCs w:val="24"/>
              </w:rPr>
            </w:pPr>
            <w:r>
              <w:rPr>
                <w:rFonts w:cs="Arial"/>
                <w:szCs w:val="24"/>
              </w:rPr>
            </w:r>
          </w:p>
          <w:p>
            <w:pPr>
              <w:pStyle w:val="Heading1"/>
              <w:numPr>
                <w:ilvl w:val="0"/>
                <w:numId w:val="0"/>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hanging="0" w:start="0"/>
              <w:rPr/>
            </w:pPr>
            <w:r>
              <w:rPr>
                <w:rFonts w:cs="Arial"/>
                <w:szCs w:val="24"/>
              </w:rPr>
              <w:t>AiB staff also invited representatives from all the current payments distributers to attend a quarterly payment distributer’s panel in order to discuss changes to this part of the DAS process.</w:t>
            </w:r>
          </w:p>
          <w:p>
            <w:pPr>
              <w:pStyle w:val="Heading1"/>
              <w:numPr>
                <w:ilvl w:val="0"/>
                <w:numId w:val="0"/>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hanging="0" w:start="0"/>
              <w:rPr>
                <w:rFonts w:cs="Arial"/>
                <w:szCs w:val="24"/>
              </w:rPr>
            </w:pPr>
            <w:r>
              <w:rPr>
                <w:rFonts w:cs="Arial"/>
                <w:szCs w:val="24"/>
              </w:rPr>
            </w:r>
          </w:p>
          <w:p>
            <w:pPr>
              <w:pStyle w:val="Heading1"/>
              <w:numPr>
                <w:ilvl w:val="0"/>
                <w:numId w:val="0"/>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hanging="0" w:start="0"/>
              <w:rPr>
                <w:rFonts w:cs="Arial"/>
                <w:szCs w:val="24"/>
              </w:rPr>
            </w:pPr>
            <w:r>
              <w:rPr>
                <w:rFonts w:cs="Arial"/>
                <w:szCs w:val="24"/>
              </w:rPr>
              <w:t>It is hoped that these changes will help stimulate a further improved uptake of DAS and help provide recourse to effective debt management to a greater number of debtors.</w:t>
            </w:r>
          </w:p>
          <w:p>
            <w:pPr>
              <w:pStyle w:val="Heading1"/>
              <w:numPr>
                <w:ilvl w:val="0"/>
                <w:numId w:val="0"/>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hanging="0" w:start="0"/>
              <w:rPr>
                <w:rFonts w:cs="Arial"/>
                <w:szCs w:val="24"/>
              </w:rPr>
            </w:pPr>
            <w:r>
              <w:rPr>
                <w:rFonts w:cs="Arial"/>
                <w:szCs w:val="24"/>
              </w:rPr>
            </w:r>
          </w:p>
          <w:p>
            <w:pPr>
              <w:pStyle w:val="Heading1"/>
              <w:numPr>
                <w:ilvl w:val="0"/>
                <w:numId w:val="0"/>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hanging="0" w:start="0"/>
              <w:rPr>
                <w:rFonts w:cs="Arial"/>
                <w:color w:val="FF0000"/>
                <w:szCs w:val="24"/>
              </w:rPr>
            </w:pPr>
            <w:r>
              <w:rPr>
                <w:rFonts w:cs="Arial"/>
                <w:color w:val="FF0000"/>
                <w:szCs w:val="24"/>
              </w:rPr>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360" w:end="0"/>
              <w:rPr>
                <w:rFonts w:cs="Arial"/>
                <w:b/>
                <w:szCs w:val="22"/>
              </w:rPr>
            </w:pPr>
            <w:r>
              <w:rPr>
                <w:rFonts w:cs="Arial"/>
                <w:b/>
                <w:szCs w:val="22"/>
              </w:rPr>
              <w:t>Competition Assessment</w:t>
            </w:r>
          </w:p>
          <w:p>
            <w:pPr>
              <w:pStyle w:val="Normal"/>
              <w:tabs>
                <w:tab w:val="left" w:pos="720" w:leader="none"/>
              </w:tabs>
              <w:autoSpaceDE w:val="false"/>
              <w:rPr>
                <w:rFonts w:cs="Arial"/>
                <w:b/>
                <w:szCs w:val="24"/>
              </w:rPr>
            </w:pPr>
            <w:r>
              <w:rPr>
                <w:rFonts w:cs="Arial"/>
                <w:b/>
                <w:szCs w:val="24"/>
              </w:rPr>
            </w:r>
          </w:p>
          <w:p>
            <w:pPr>
              <w:pStyle w:val="Heading1"/>
              <w:numPr>
                <w:ilvl w:val="0"/>
                <w:numId w:val="0"/>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hanging="0" w:start="0"/>
              <w:rPr>
                <w:rFonts w:cs="Arial"/>
                <w:szCs w:val="24"/>
              </w:rPr>
            </w:pPr>
            <w:r>
              <w:rPr>
                <w:rFonts w:cs="Arial"/>
                <w:szCs w:val="24"/>
              </w:rPr>
              <w:t>There should be no competitive advantage to any particular individual or group as a consequence of the introduction of the Regulations.</w:t>
            </w:r>
          </w:p>
          <w:p>
            <w:pPr>
              <w:pStyle w:val="Normal"/>
              <w:tabs>
                <w:tab w:val="left" w:pos="720" w:leader="none"/>
              </w:tabs>
              <w:autoSpaceDE w:val="false"/>
              <w:rPr>
                <w:rFonts w:cs="Arial"/>
                <w:szCs w:val="24"/>
              </w:rPr>
            </w:pPr>
            <w:r>
              <w:rPr>
                <w:rFonts w:cs="Arial"/>
                <w:szCs w:val="24"/>
              </w:rPr>
            </w:r>
          </w:p>
          <w:p>
            <w:pPr>
              <w:pStyle w:val="Heading1"/>
              <w:numPr>
                <w:ilvl w:val="0"/>
                <w:numId w:val="0"/>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hanging="0" w:start="0"/>
              <w:rPr>
                <w:rFonts w:cs="Arial"/>
                <w:szCs w:val="24"/>
              </w:rPr>
            </w:pPr>
            <w:r>
              <w:rPr>
                <w:rFonts w:cs="Arial"/>
                <w:szCs w:val="24"/>
              </w:rPr>
              <w:t>Competition will be enhanced through the competitive tender for persons or bodies to be approved as payment distributors.  Tendering for a provider to be appointed an approved payments distributor will support delivery of a better service and ensure best returns for creditors many of which are Small and Medium Enterprises (SMEs).</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jc w:val="both"/>
              <w:rPr>
                <w:rFonts w:cs="Arial"/>
                <w:szCs w:val="24"/>
              </w:rPr>
            </w:pPr>
            <w:r>
              <w:rPr>
                <w:rFonts w:cs="Arial"/>
                <w:szCs w:val="24"/>
              </w:rPr>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360" w:end="0"/>
              <w:rPr>
                <w:rFonts w:cs="Arial"/>
                <w:b/>
                <w:szCs w:val="22"/>
              </w:rPr>
            </w:pPr>
            <w:r>
              <w:rPr>
                <w:rFonts w:cs="Arial"/>
                <w:b/>
                <w:szCs w:val="22"/>
              </w:rPr>
              <w:t>Test run of business forms</w:t>
            </w:r>
          </w:p>
          <w:p>
            <w:pPr>
              <w:pStyle w:val="Normal"/>
              <w:tabs>
                <w:tab w:val="left" w:pos="720" w:leader="none"/>
              </w:tabs>
              <w:autoSpaceDE w:val="false"/>
              <w:rPr>
                <w:rFonts w:cs="Arial"/>
                <w:b/>
                <w:color w:val="000000"/>
                <w:szCs w:val="24"/>
              </w:rPr>
            </w:pPr>
            <w:r>
              <w:rPr>
                <w:rFonts w:cs="Arial"/>
                <w:b/>
                <w:color w:val="000000"/>
                <w:szCs w:val="24"/>
              </w:rPr>
            </w:r>
          </w:p>
          <w:p>
            <w:pPr>
              <w:pStyle w:val="Heading1"/>
              <w:numPr>
                <w:ilvl w:val="0"/>
                <w:numId w:val="0"/>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hanging="0" w:start="0"/>
              <w:rPr>
                <w:rFonts w:cs="Arial"/>
                <w:szCs w:val="24"/>
              </w:rPr>
            </w:pPr>
            <w:r>
              <w:rPr/>
              <w:t>The changes to the forms are minor and amended forms will be tested internally. In addition to this we hold ongoing training sessions with the users of the forms.</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start="1080" w:end="0"/>
              <w:rPr>
                <w:rFonts w:cs="Arial"/>
                <w:b/>
                <w:szCs w:val="22"/>
              </w:rPr>
            </w:pPr>
            <w:r>
              <w:rPr>
                <w:rFonts w:cs="Arial"/>
                <w:b/>
                <w:szCs w:val="22"/>
              </w:rPr>
            </w:r>
          </w:p>
        </w:tc>
      </w:tr>
      <w:tr>
        <w:trPr/>
        <w:tc>
          <w:tcPr>
            <w:tcW w:w="9026" w:type="dxa"/>
            <w:gridSpan w:val="3"/>
            <w:tcBorders>
              <w:top w:val="single" w:sz="4" w:space="0" w:color="000000"/>
              <w:start w:val="single" w:sz="4" w:space="0" w:color="000000"/>
              <w:bottom w:val="single" w:sz="4" w:space="0" w:color="000000"/>
              <w:end w:val="single" w:sz="4" w:space="0" w:color="000000"/>
            </w:tcBorders>
          </w:tcPr>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360" w:end="0"/>
              <w:rPr>
                <w:rFonts w:cs="Arial"/>
                <w:b/>
                <w:szCs w:val="22"/>
              </w:rPr>
            </w:pPr>
            <w:r>
              <w:rPr>
                <w:rFonts w:cs="Arial"/>
                <w:b/>
                <w:szCs w:val="22"/>
              </w:rPr>
              <w:t xml:space="preserve">Legal Aid Impact Test </w:t>
            </w:r>
          </w:p>
          <w:p>
            <w:pPr>
              <w:pStyle w:val="Heading1"/>
              <w:numPr>
                <w:ilvl w:val="0"/>
                <w:numId w:val="0"/>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hanging="0" w:start="0"/>
              <w:jc w:val="both"/>
              <w:rPr>
                <w:rFonts w:cs="Arial"/>
                <w:szCs w:val="24"/>
              </w:rPr>
            </w:pPr>
            <w:r>
              <w:rPr>
                <w:rFonts w:cs="Arial"/>
                <w:szCs w:val="24"/>
              </w:rPr>
              <w:t>The introduction of these Regulations will have no impact on the legal aid fund. The Scottish Legal Aid Board has confirmed this assessment.</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jc w:val="both"/>
              <w:rPr>
                <w:rFonts w:cs="Arial"/>
                <w:szCs w:val="24"/>
              </w:rPr>
            </w:pPr>
            <w:r>
              <w:rPr>
                <w:rFonts w:cs="Arial"/>
                <w:szCs w:val="24"/>
              </w:rPr>
            </w:r>
          </w:p>
        </w:tc>
      </w:tr>
      <w:tr>
        <w:trPr/>
        <w:tc>
          <w:tcPr>
            <w:tcW w:w="9026" w:type="dxa"/>
            <w:gridSpan w:val="3"/>
            <w:tcBorders>
              <w:top w:val="single" w:sz="4" w:space="0" w:color="000000"/>
              <w:start w:val="single" w:sz="4" w:space="0" w:color="000000"/>
              <w:bottom w:val="single" w:sz="4" w:space="0" w:color="000000"/>
              <w:end w:val="single" w:sz="4" w:space="0" w:color="000000"/>
            </w:tcBorders>
          </w:tcPr>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360" w:end="0"/>
              <w:rPr>
                <w:rFonts w:cs="Arial"/>
                <w:b/>
                <w:szCs w:val="22"/>
              </w:rPr>
            </w:pPr>
            <w:r>
              <w:rPr>
                <w:rFonts w:cs="Arial"/>
                <w:b/>
                <w:szCs w:val="22"/>
              </w:rPr>
              <w:t xml:space="preserve">Enforcement, sanctions and monitoring </w:t>
            </w:r>
          </w:p>
          <w:p>
            <w:pPr>
              <w:pStyle w:val="Heading1"/>
              <w:numPr>
                <w:ilvl w:val="0"/>
                <w:numId w:val="0"/>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hanging="0" w:start="0"/>
              <w:jc w:val="both"/>
              <w:rPr>
                <w:rFonts w:cs="Arial"/>
                <w:szCs w:val="24"/>
              </w:rPr>
            </w:pPr>
            <w:r>
              <w:rPr>
                <w:rFonts w:cs="Arial"/>
                <w:szCs w:val="24"/>
              </w:rPr>
              <w:t xml:space="preserve">The Scottish Government will review the Regulations following their first year of operation in order to assess how successful they have been in meeting their policy objective.  AiB will also provide and encourage feedback with stakeholders. </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start="360" w:end="0"/>
              <w:rPr>
                <w:rFonts w:cs="Arial"/>
                <w:b/>
                <w:szCs w:val="22"/>
              </w:rPr>
            </w:pPr>
            <w:r>
              <w:rPr>
                <w:rFonts w:cs="Arial"/>
                <w:b/>
                <w:szCs w:val="22"/>
              </w:rPr>
            </w:r>
          </w:p>
        </w:tc>
      </w:tr>
      <w:tr>
        <w:trPr/>
        <w:tc>
          <w:tcPr>
            <w:tcW w:w="9026" w:type="dxa"/>
            <w:gridSpan w:val="3"/>
            <w:tcBorders>
              <w:top w:val="single" w:sz="4" w:space="0" w:color="000000"/>
              <w:start w:val="single" w:sz="4" w:space="0" w:color="000000"/>
              <w:bottom w:val="single" w:sz="4" w:space="0" w:color="000000"/>
              <w:end w:val="single" w:sz="4" w:space="0" w:color="000000"/>
            </w:tcBorders>
          </w:tcPr>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360" w:end="0"/>
              <w:rPr>
                <w:rFonts w:cs="Arial"/>
                <w:b/>
                <w:szCs w:val="22"/>
              </w:rPr>
            </w:pPr>
            <w:r>
              <w:rPr>
                <w:rFonts w:cs="Arial"/>
                <w:b/>
                <w:szCs w:val="22"/>
              </w:rPr>
              <w:t xml:space="preserve">Implementation and delivery plan </w:t>
            </w:r>
          </w:p>
          <w:p>
            <w:pPr>
              <w:pStyle w:val="Heading1"/>
              <w:numPr>
                <w:ilvl w:val="0"/>
                <w:numId w:val="0"/>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hanging="0" w:start="0"/>
              <w:jc w:val="both"/>
              <w:rPr>
                <w:rFonts w:cs="Arial"/>
                <w:b/>
                <w:szCs w:val="24"/>
              </w:rPr>
            </w:pPr>
            <w:r>
              <w:rPr>
                <w:rFonts w:cs="Arial"/>
                <w:b/>
                <w:szCs w:val="24"/>
              </w:rPr>
            </w:r>
          </w:p>
          <w:p>
            <w:pPr>
              <w:pStyle w:val="Heading1"/>
              <w:numPr>
                <w:ilvl w:val="0"/>
                <w:numId w:val="0"/>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hanging="0" w:start="0"/>
              <w:jc w:val="both"/>
              <w:rPr>
                <w:rFonts w:cs="Arial"/>
                <w:szCs w:val="24"/>
              </w:rPr>
            </w:pPr>
            <w:r>
              <w:rPr>
                <w:rFonts w:cs="Arial"/>
                <w:szCs w:val="24"/>
              </w:rPr>
              <w:t xml:space="preserve">The published guidance to support stakeholders when they are considering the DAS Scheme as a suitable form of debt management for their clients will be updated to reflect these changes. </w:t>
            </w:r>
          </w:p>
          <w:p>
            <w:pPr>
              <w:pStyle w:val="Normal"/>
              <w:rPr>
                <w:rFonts w:cs="Arial"/>
                <w:szCs w:val="24"/>
              </w:rPr>
            </w:pPr>
            <w:r>
              <w:rPr>
                <w:rFonts w:cs="Arial"/>
                <w:szCs w:val="24"/>
              </w:rPr>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360" w:end="0"/>
              <w:rPr>
                <w:rFonts w:cs="Arial"/>
                <w:b/>
                <w:szCs w:val="22"/>
              </w:rPr>
            </w:pPr>
            <w:r>
              <w:rPr>
                <w:rFonts w:cs="Arial"/>
                <w:b/>
                <w:szCs w:val="22"/>
              </w:rPr>
              <w:t>Post-implementation review</w:t>
            </w:r>
          </w:p>
          <w:p>
            <w:pPr>
              <w:pStyle w:val="Heading1"/>
              <w:numPr>
                <w:ilvl w:val="0"/>
                <w:numId w:val="0"/>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hanging="0" w:start="0"/>
              <w:jc w:val="both"/>
              <w:rPr>
                <w:rFonts w:cs="Arial"/>
                <w:szCs w:val="24"/>
              </w:rPr>
            </w:pPr>
            <w:r>
              <w:rPr>
                <w:rFonts w:cs="Arial"/>
                <w:szCs w:val="24"/>
              </w:rPr>
              <w:t xml:space="preserve">To evaluate the impact of the new legislation the Scottish Government has given an undertaking that AiB will carry out a review after the first year of operation.  This will involve the analysis of statistical data collated by AiB.  </w:t>
            </w:r>
          </w:p>
          <w:p>
            <w:pPr>
              <w:pStyle w:val="Heading1"/>
              <w:numPr>
                <w:ilvl w:val="0"/>
                <w:numId w:val="0"/>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hanging="0" w:start="0"/>
              <w:jc w:val="both"/>
              <w:rPr>
                <w:rFonts w:cs="Arial"/>
                <w:szCs w:val="24"/>
              </w:rPr>
            </w:pPr>
            <w:r>
              <w:rPr>
                <w:rFonts w:cs="Arial"/>
                <w:szCs w:val="24"/>
              </w:rPr>
            </w:r>
          </w:p>
          <w:p>
            <w:pPr>
              <w:pStyle w:val="Heading1"/>
              <w:numPr>
                <w:ilvl w:val="0"/>
                <w:numId w:val="0"/>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hanging="0" w:start="0"/>
              <w:jc w:val="both"/>
              <w:rPr>
                <w:rFonts w:cs="Arial"/>
                <w:szCs w:val="24"/>
              </w:rPr>
            </w:pPr>
            <w:r>
              <w:rPr>
                <w:rFonts w:cs="Arial"/>
                <w:szCs w:val="24"/>
              </w:rPr>
              <w:t>The Scottish Government will review the findings of this research and consider whether any changes are necessary to the legislation or associated guidance in light of its findings.  Any changes identified will be brought to the attention of the Scottish Parliament and Parliamentary committees where necessary.  A final report detailing the findings and conclusion of the review will be published</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jc w:val="both"/>
              <w:rPr>
                <w:rFonts w:cs="Arial"/>
                <w:szCs w:val="24"/>
              </w:rPr>
            </w:pPr>
            <w:r>
              <w:rPr>
                <w:rFonts w:cs="Arial"/>
                <w:szCs w:val="24"/>
              </w:rPr>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360" w:end="0"/>
              <w:rPr>
                <w:rFonts w:cs="Arial"/>
                <w:b/>
                <w:szCs w:val="22"/>
              </w:rPr>
            </w:pPr>
            <w:r>
              <w:rPr>
                <w:rFonts w:cs="Arial"/>
                <w:b/>
                <w:szCs w:val="22"/>
              </w:rPr>
              <w:t xml:space="preserve">Summary and recommendation </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jc w:val="both"/>
              <w:rPr>
                <w:rFonts w:cs="Arial"/>
                <w:b/>
                <w:szCs w:val="22"/>
              </w:rPr>
            </w:pPr>
            <w:r>
              <w:rPr>
                <w:rFonts w:cs="Arial"/>
                <w:b/>
                <w:szCs w:val="22"/>
              </w:rPr>
            </w:r>
          </w:p>
        </w:tc>
      </w:tr>
      <w:tr>
        <w:trPr/>
        <w:tc>
          <w:tcPr>
            <w:tcW w:w="3008"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jc w:val="both"/>
              <w:rPr/>
            </w:pPr>
            <w:r>
              <w:rPr/>
              <w:t>Option</w:t>
            </w:r>
          </w:p>
        </w:tc>
        <w:tc>
          <w:tcPr>
            <w:tcW w:w="3009"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jc w:val="both"/>
              <w:rPr/>
            </w:pPr>
            <w:r>
              <w:rPr/>
              <w:t xml:space="preserve">Costs </w:t>
            </w:r>
          </w:p>
        </w:tc>
        <w:tc>
          <w:tcPr>
            <w:tcW w:w="3009"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jc w:val="both"/>
              <w:rPr/>
            </w:pPr>
            <w:r>
              <w:rPr/>
              <w:t>Benefits</w:t>
            </w:r>
          </w:p>
        </w:tc>
      </w:tr>
      <w:tr>
        <w:trPr/>
        <w:tc>
          <w:tcPr>
            <w:tcW w:w="3008"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jc w:val="both"/>
              <w:rPr/>
            </w:pPr>
            <w:r>
              <w:rPr/>
              <w:t xml:space="preserve">1 - </w:t>
            </w:r>
            <w:r>
              <w:rPr>
                <w:rFonts w:cs="Arial"/>
                <w:szCs w:val="24"/>
              </w:rPr>
              <w:t>No change</w:t>
            </w:r>
          </w:p>
        </w:tc>
        <w:tc>
          <w:tcPr>
            <w:tcW w:w="3009"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jc w:val="both"/>
              <w:rPr/>
            </w:pPr>
            <w:r>
              <w:rPr/>
              <w:t>No additional costs other than those already incurred in the consultation process</w:t>
            </w:r>
          </w:p>
        </w:tc>
        <w:tc>
          <w:tcPr>
            <w:tcW w:w="3009"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jc w:val="both"/>
              <w:rPr>
                <w:rFonts w:cs="Arial"/>
                <w:szCs w:val="24"/>
              </w:rPr>
            </w:pPr>
            <w:r>
              <w:rPr>
                <w:rFonts w:cs="Arial"/>
                <w:szCs w:val="24"/>
              </w:rPr>
              <w:t>Status quo maintained</w:t>
            </w:r>
          </w:p>
        </w:tc>
      </w:tr>
      <w:tr>
        <w:trPr/>
        <w:tc>
          <w:tcPr>
            <w:tcW w:w="3008"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jc w:val="both"/>
              <w:rPr/>
            </w:pPr>
            <w:r>
              <w:rPr/>
              <w:t xml:space="preserve">2 - </w:t>
            </w:r>
            <w:r>
              <w:rPr>
                <w:rFonts w:cs="Arial"/>
                <w:szCs w:val="22"/>
              </w:rPr>
              <w:t>THE DEBT ARRANGEMENT SCHEME (SCOTLAND) AMENDMENT REGULATIONS 2013</w:t>
            </w:r>
          </w:p>
        </w:tc>
        <w:tc>
          <w:tcPr>
            <w:tcW w:w="3009"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jc w:val="both"/>
              <w:rPr>
                <w:rFonts w:cs="Arial"/>
                <w:szCs w:val="24"/>
              </w:rPr>
            </w:pPr>
            <w:r>
              <w:rPr>
                <w:rFonts w:cs="Arial"/>
                <w:szCs w:val="24"/>
              </w:rPr>
              <w:t>Changes to the Debt Arrangement Scheme Hub (DASH) system to accommodate the changes being introduced this summer.  The development proposal (fixed price) is £52,363. This cost has been budgeted for and will require no additional funding.</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jc w:val="both"/>
              <w:rPr>
                <w:rFonts w:cs="Arial"/>
                <w:szCs w:val="24"/>
              </w:rPr>
            </w:pPr>
            <w:r>
              <w:rPr>
                <w:rFonts w:cs="Arial"/>
                <w:szCs w:val="24"/>
              </w:rPr>
            </w:r>
          </w:p>
        </w:tc>
        <w:tc>
          <w:tcPr>
            <w:tcW w:w="3009" w:type="dxa"/>
            <w:tcBorders>
              <w:top w:val="single" w:sz="4" w:space="0" w:color="000000"/>
              <w:start w:val="single" w:sz="4" w:space="0" w:color="000000"/>
              <w:bottom w:val="single" w:sz="4" w:space="0" w:color="000000"/>
              <w:end w:val="single" w:sz="4" w:space="0" w:color="000000"/>
            </w:tcBorders>
          </w:tcPr>
          <w:p>
            <w:pPr>
              <w:pStyle w:val="Heading1"/>
              <w:numPr>
                <w:ilvl w:val="0"/>
                <w:numId w:val="0"/>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hanging="0" w:start="0"/>
              <w:rPr>
                <w:rFonts w:cs="Arial"/>
                <w:szCs w:val="24"/>
              </w:rPr>
            </w:pPr>
            <w:r>
              <w:rPr/>
              <w:t>The new Regulations will benefit individuals, creditors and the broader Scottish economy.  As the number of DPPs increase, more creditors will receive what is due to them.  In the larger economy, changes to the Scheme will aid economic recovery with obvious benefits for businesses in both the private and public sectors respectively.</w:t>
            </w:r>
          </w:p>
        </w:tc>
      </w:tr>
      <w:tr>
        <w:trPr/>
        <w:tc>
          <w:tcPr>
            <w:tcW w:w="9026" w:type="dxa"/>
            <w:gridSpan w:val="3"/>
            <w:tcBorders>
              <w:top w:val="single" w:sz="4" w:space="0" w:color="000000"/>
              <w:start w:val="single" w:sz="4" w:space="0" w:color="000000"/>
              <w:bottom w:val="single" w:sz="4" w:space="0" w:color="000000"/>
              <w:end w:val="single" w:sz="4" w:space="0" w:color="000000"/>
            </w:tcBorders>
          </w:tcPr>
          <w:p>
            <w:pPr>
              <w:pStyle w:val="Normal"/>
              <w:tabs>
                <w:tab w:val="clear" w:pos="720"/>
                <w:tab w:val="left" w:pos="1440" w:leader="none"/>
                <w:tab w:val="left" w:pos="2160" w:leader="none"/>
                <w:tab w:val="left" w:pos="2880" w:leader="none"/>
                <w:tab w:val="left" w:pos="4680" w:leader="none"/>
                <w:tab w:val="left" w:pos="5400" w:leader="none"/>
                <w:tab w:val="right" w:pos="9000" w:leader="none"/>
              </w:tabs>
              <w:snapToGrid w:val="false"/>
              <w:spacing w:lineRule="atLeast" w:line="240"/>
              <w:rPr>
                <w:rFonts w:cs="Arial"/>
                <w:szCs w:val="24"/>
              </w:rPr>
            </w:pPr>
            <w:r>
              <w:rPr>
                <w:rFonts w:cs="Arial"/>
                <w:szCs w:val="24"/>
              </w:rPr>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rPr>
                <w:rFonts w:cs="Arial"/>
                <w:szCs w:val="22"/>
              </w:rPr>
            </w:pPr>
            <w:r>
              <w:rPr>
                <w:rFonts w:cs="Arial"/>
                <w:szCs w:val="24"/>
              </w:rPr>
              <w:t xml:space="preserve">Option 2 is recommended. The Scottish Government considers that the </w:t>
            </w:r>
            <w:r>
              <w:rPr>
                <w:rFonts w:cs="Arial"/>
                <w:szCs w:val="22"/>
              </w:rPr>
              <w:t xml:space="preserve">THE DEBT ARRANGEMENT SCHEME (SCOTLAND) AMENDMENT REGULATIONS 2013 </w:t>
            </w:r>
            <w:r>
              <w:rPr>
                <w:rFonts w:cs="Arial"/>
                <w:szCs w:val="24"/>
              </w:rPr>
              <w:t>command the support of key stakeholders, and will improve access to the Debt Arrangement Scheme.</w:t>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360" w:end="0"/>
              <w:rPr>
                <w:rFonts w:cs="Arial"/>
                <w:b/>
                <w:szCs w:val="22"/>
              </w:rPr>
            </w:pPr>
            <w:r>
              <w:rPr>
                <w:rFonts w:cs="Arial"/>
                <w:b/>
                <w:szCs w:val="22"/>
              </w:rPr>
            </w:r>
          </w:p>
          <w:p>
            <w:pPr>
              <w:pStyle w:val="Normal"/>
              <w:numPr>
                <w:ilvl w:val="0"/>
                <w:numId w:val="4"/>
              </w:numPr>
              <w:tabs>
                <w:tab w:val="clear" w:pos="720"/>
                <w:tab w:val="left" w:pos="2160" w:leader="none"/>
                <w:tab w:val="left" w:pos="2880" w:leader="none"/>
                <w:tab w:val="left" w:pos="4680" w:leader="none"/>
                <w:tab w:val="left" w:pos="5400" w:leader="none"/>
                <w:tab w:val="right" w:pos="9000" w:leader="none"/>
              </w:tabs>
              <w:spacing w:lineRule="atLeast" w:line="240"/>
              <w:rPr>
                <w:rFonts w:cs="Arial"/>
                <w:b/>
                <w:szCs w:val="22"/>
              </w:rPr>
            </w:pPr>
            <w:r>
              <w:rPr>
                <w:rFonts w:cs="Arial"/>
                <w:b/>
                <w:szCs w:val="22"/>
              </w:rPr>
              <w:t>Summary costs and benefits table</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b/>
                <w:szCs w:val="22"/>
              </w:rPr>
            </w:pPr>
            <w:r>
              <w:rPr>
                <w:rFonts w:cs="Arial"/>
                <w:b/>
                <w:szCs w:val="22"/>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szCs w:val="22"/>
              </w:rPr>
            </w:pPr>
            <w:r>
              <w:rPr>
                <w:rFonts w:cs="Arial"/>
                <w:szCs w:val="22"/>
              </w:rPr>
            </w:r>
          </w:p>
          <w:tbl>
            <w:tblPr>
              <w:tblW w:w="8996" w:type="dxa"/>
              <w:jc w:val="start"/>
              <w:tblInd w:w="0" w:type="dxa"/>
              <w:tblLayout w:type="fixed"/>
              <w:tblCellMar>
                <w:top w:w="0" w:type="dxa"/>
                <w:start w:w="108" w:type="dxa"/>
                <w:bottom w:w="0" w:type="dxa"/>
                <w:end w:w="108" w:type="dxa"/>
              </w:tblCellMar>
            </w:tblPr>
            <w:tblGrid>
              <w:gridCol w:w="925"/>
              <w:gridCol w:w="3982"/>
              <w:gridCol w:w="4089"/>
            </w:tblGrid>
            <w:tr>
              <w:trPr/>
              <w:tc>
                <w:tcPr>
                  <w:tcW w:w="925" w:type="dxa"/>
                  <w:tcBorders>
                    <w:top w:val="single" w:sz="12" w:space="0" w:color="000000"/>
                    <w:start w:val="single" w:sz="12" w:space="0" w:color="000000"/>
                    <w:bottom w:val="single" w:sz="12" w:space="0" w:color="000000"/>
                    <w:end w:val="single" w:sz="12" w:space="0" w:color="000000"/>
                  </w:tcBorders>
                  <w:shd w:fill="A6A6A6" w:val="clear"/>
                </w:tcPr>
                <w:p>
                  <w:pPr>
                    <w:pStyle w:val="Normal"/>
                    <w:rPr>
                      <w:rFonts w:cs="Arial"/>
                      <w:b/>
                      <w:szCs w:val="24"/>
                    </w:rPr>
                  </w:pPr>
                  <w:r>
                    <w:rPr>
                      <w:rFonts w:cs="Arial"/>
                      <w:b/>
                      <w:szCs w:val="24"/>
                    </w:rPr>
                    <w:t>Option</w:t>
                  </w:r>
                </w:p>
              </w:tc>
              <w:tc>
                <w:tcPr>
                  <w:tcW w:w="3982" w:type="dxa"/>
                  <w:tcBorders>
                    <w:top w:val="single" w:sz="12" w:space="0" w:color="000000"/>
                    <w:start w:val="single" w:sz="12" w:space="0" w:color="000000"/>
                    <w:bottom w:val="single" w:sz="12" w:space="0" w:color="000000"/>
                    <w:end w:val="single" w:sz="12" w:space="0" w:color="000000"/>
                  </w:tcBorders>
                  <w:shd w:fill="A6A6A6" w:val="clear"/>
                </w:tcPr>
                <w:p>
                  <w:pPr>
                    <w:pStyle w:val="Normal"/>
                    <w:rPr>
                      <w:rFonts w:cs="Arial"/>
                      <w:b/>
                      <w:szCs w:val="24"/>
                    </w:rPr>
                  </w:pPr>
                  <w:r>
                    <w:rPr>
                      <w:rFonts w:cs="Arial"/>
                      <w:b/>
                      <w:szCs w:val="24"/>
                    </w:rPr>
                    <w:t xml:space="preserve">Total benefit per annum:  </w:t>
                  </w:r>
                </w:p>
                <w:p>
                  <w:pPr>
                    <w:pStyle w:val="Normal"/>
                    <w:rPr>
                      <w:rFonts w:cs="Arial"/>
                      <w:b/>
                      <w:szCs w:val="24"/>
                    </w:rPr>
                  </w:pPr>
                  <w:r>
                    <w:rPr>
                      <w:rFonts w:cs="Arial"/>
                      <w:b/>
                      <w:szCs w:val="24"/>
                    </w:rPr>
                    <w:t>- economic, environmental, social</w:t>
                  </w:r>
                </w:p>
              </w:tc>
              <w:tc>
                <w:tcPr>
                  <w:tcW w:w="4089" w:type="dxa"/>
                  <w:tcBorders>
                    <w:top w:val="single" w:sz="12" w:space="0" w:color="000000"/>
                    <w:start w:val="single" w:sz="12" w:space="0" w:color="000000"/>
                    <w:bottom w:val="single" w:sz="12" w:space="0" w:color="000000"/>
                    <w:end w:val="single" w:sz="12" w:space="0" w:color="000000"/>
                  </w:tcBorders>
                  <w:shd w:fill="A6A6A6" w:val="clear"/>
                </w:tcPr>
                <w:p>
                  <w:pPr>
                    <w:pStyle w:val="Normal"/>
                    <w:rPr>
                      <w:rFonts w:cs="Arial"/>
                      <w:b/>
                      <w:szCs w:val="24"/>
                    </w:rPr>
                  </w:pPr>
                  <w:r>
                    <w:rPr>
                      <w:rFonts w:cs="Arial"/>
                      <w:b/>
                      <w:szCs w:val="24"/>
                    </w:rPr>
                    <w:t>Total cost per annum:</w:t>
                  </w:r>
                </w:p>
                <w:p>
                  <w:pPr>
                    <w:pStyle w:val="Normal"/>
                    <w:rPr>
                      <w:rFonts w:cs="Arial"/>
                      <w:b/>
                      <w:szCs w:val="24"/>
                    </w:rPr>
                  </w:pPr>
                  <w:r>
                    <w:rPr>
                      <w:rFonts w:cs="Arial"/>
                      <w:b/>
                      <w:szCs w:val="24"/>
                    </w:rPr>
                    <w:t>- economic, environmental, social</w:t>
                  </w:r>
                </w:p>
                <w:p>
                  <w:pPr>
                    <w:pStyle w:val="Normal"/>
                    <w:rPr/>
                  </w:pPr>
                  <w:r>
                    <w:rPr>
                      <w:rFonts w:cs="Arial"/>
                      <w:b/>
                      <w:szCs w:val="24"/>
                    </w:rPr>
                    <w:t>- policy and administrative</w:t>
                  </w:r>
                </w:p>
              </w:tc>
            </w:tr>
            <w:tr>
              <w:trPr/>
              <w:tc>
                <w:tcPr>
                  <w:tcW w:w="925" w:type="dxa"/>
                  <w:tcBorders>
                    <w:top w:val="single" w:sz="12" w:space="0" w:color="000000"/>
                    <w:start w:val="single" w:sz="12" w:space="0" w:color="000000"/>
                    <w:bottom w:val="single" w:sz="12" w:space="0" w:color="000000"/>
                    <w:end w:val="single" w:sz="12" w:space="0" w:color="000000"/>
                  </w:tcBorders>
                </w:tcPr>
                <w:p>
                  <w:pPr>
                    <w:pStyle w:val="Normal"/>
                    <w:rPr>
                      <w:rFonts w:cs="Arial"/>
                      <w:b/>
                      <w:szCs w:val="24"/>
                    </w:rPr>
                  </w:pPr>
                  <w:r>
                    <w:rPr>
                      <w:rFonts w:cs="Arial"/>
                      <w:b/>
                      <w:szCs w:val="24"/>
                    </w:rPr>
                    <w:t>1</w:t>
                  </w:r>
                </w:p>
              </w:tc>
              <w:tc>
                <w:tcPr>
                  <w:tcW w:w="3982" w:type="dxa"/>
                  <w:tcBorders>
                    <w:top w:val="single" w:sz="12" w:space="0" w:color="000000"/>
                    <w:start w:val="single" w:sz="12" w:space="0" w:color="000000"/>
                    <w:bottom w:val="single" w:sz="12" w:space="0" w:color="000000"/>
                    <w:end w:val="single" w:sz="12" w:space="0" w:color="000000"/>
                  </w:tcBorders>
                </w:tcPr>
                <w:p>
                  <w:pPr>
                    <w:pStyle w:val="Normal"/>
                    <w:rPr>
                      <w:rFonts w:cs="Arial"/>
                      <w:szCs w:val="24"/>
                    </w:rPr>
                  </w:pPr>
                  <w:r>
                    <w:rPr>
                      <w:rFonts w:cs="Arial"/>
                      <w:szCs w:val="24"/>
                    </w:rPr>
                    <w:t>No Change</w:t>
                  </w:r>
                </w:p>
              </w:tc>
              <w:tc>
                <w:tcPr>
                  <w:tcW w:w="4089" w:type="dxa"/>
                  <w:tcBorders>
                    <w:top w:val="single" w:sz="12" w:space="0" w:color="000000"/>
                    <w:start w:val="single" w:sz="12" w:space="0" w:color="000000"/>
                    <w:bottom w:val="single" w:sz="12" w:space="0" w:color="000000"/>
                    <w:end w:val="single" w:sz="12" w:space="0" w:color="000000"/>
                  </w:tcBorders>
                </w:tcPr>
                <w:p>
                  <w:pPr>
                    <w:pStyle w:val="Normal"/>
                    <w:rPr>
                      <w:rFonts w:cs="Arial"/>
                      <w:szCs w:val="24"/>
                    </w:rPr>
                  </w:pPr>
                  <w:r>
                    <w:rPr>
                      <w:rFonts w:cs="Arial"/>
                      <w:szCs w:val="24"/>
                    </w:rPr>
                    <w:t>No Change</w:t>
                  </w:r>
                </w:p>
              </w:tc>
            </w:tr>
            <w:tr>
              <w:trPr/>
              <w:tc>
                <w:tcPr>
                  <w:tcW w:w="925" w:type="dxa"/>
                  <w:tcBorders>
                    <w:top w:val="single" w:sz="12" w:space="0" w:color="000000"/>
                    <w:start w:val="single" w:sz="12" w:space="0" w:color="000000"/>
                    <w:bottom w:val="single" w:sz="12" w:space="0" w:color="000000"/>
                    <w:end w:val="single" w:sz="12" w:space="0" w:color="000000"/>
                  </w:tcBorders>
                </w:tcPr>
                <w:p>
                  <w:pPr>
                    <w:pStyle w:val="Normal"/>
                    <w:rPr>
                      <w:rFonts w:cs="Arial"/>
                      <w:b/>
                      <w:szCs w:val="24"/>
                    </w:rPr>
                  </w:pPr>
                  <w:r>
                    <w:rPr>
                      <w:rFonts w:cs="Arial"/>
                      <w:b/>
                      <w:szCs w:val="24"/>
                    </w:rPr>
                    <w:t>2</w:t>
                  </w:r>
                </w:p>
              </w:tc>
              <w:tc>
                <w:tcPr>
                  <w:tcW w:w="3982" w:type="dxa"/>
                  <w:tcBorders>
                    <w:top w:val="single" w:sz="12" w:space="0" w:color="000000"/>
                    <w:start w:val="single" w:sz="12" w:space="0" w:color="000000"/>
                    <w:bottom w:val="single" w:sz="12" w:space="0" w:color="000000"/>
                    <w:end w:val="single" w:sz="12" w:space="0" w:color="000000"/>
                  </w:tcBorders>
                </w:tcPr>
                <w:p>
                  <w:pPr>
                    <w:pStyle w:val="Normal"/>
                    <w:rPr>
                      <w:rFonts w:cs="Arial"/>
                      <w:szCs w:val="24"/>
                    </w:rPr>
                  </w:pPr>
                  <w:r>
                    <w:rPr/>
                    <w:t>Actual pre annum monetary benefit is unknown. As the number of DPPs increase, more creditors will receive what is due to them.  In the larger economy, changes to the Scheme will aid economic recovery with obvious benefits for businesses in both the private and public sectors respectively.</w:t>
                  </w:r>
                </w:p>
              </w:tc>
              <w:tc>
                <w:tcPr>
                  <w:tcW w:w="4089" w:type="dxa"/>
                  <w:tcBorders>
                    <w:top w:val="single" w:sz="12" w:space="0" w:color="000000"/>
                    <w:start w:val="single" w:sz="12" w:space="0" w:color="000000"/>
                    <w:bottom w:val="single" w:sz="12" w:space="0" w:color="000000"/>
                    <w:end w:val="single" w:sz="12" w:space="0" w:color="000000"/>
                  </w:tcBorders>
                </w:tcPr>
                <w:p>
                  <w:pPr>
                    <w:pStyle w:val="Normal"/>
                    <w:rPr>
                      <w:rFonts w:cs="Arial"/>
                      <w:color w:val="800080"/>
                    </w:rPr>
                  </w:pPr>
                  <w:r>
                    <w:rPr>
                      <w:rFonts w:cs="Arial"/>
                      <w:szCs w:val="24"/>
                    </w:rPr>
                    <w:t>£52,363 which will come from the 13/14 budget -</w:t>
                  </w:r>
                  <w:r>
                    <w:rPr>
                      <w:rFonts w:cs="Arial"/>
                    </w:rPr>
                    <w:t>this amount covers the system build process, software release testing phase, the User acceptance phase, the implementation and the warranty period.</w:t>
                  </w:r>
                </w:p>
                <w:p>
                  <w:pPr>
                    <w:pStyle w:val="Normal"/>
                    <w:rPr>
                      <w:rFonts w:cs="Arial"/>
                      <w:color w:val="800080"/>
                      <w:szCs w:val="24"/>
                    </w:rPr>
                  </w:pPr>
                  <w:r>
                    <w:rPr>
                      <w:rFonts w:cs="Arial"/>
                      <w:color w:val="800080"/>
                      <w:szCs w:val="24"/>
                    </w:rPr>
                  </w:r>
                </w:p>
              </w:tc>
            </w:tr>
          </w:tbl>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szCs w:val="22"/>
              </w:rPr>
            </w:pPr>
            <w:r>
              <w:rPr>
                <w:rFonts w:cs="Arial"/>
                <w:szCs w:val="22"/>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b/>
                <w:szCs w:val="22"/>
              </w:rPr>
            </w:pPr>
            <w:r>
              <w:rPr>
                <w:rFonts w:cs="Arial"/>
                <w:b/>
                <w:szCs w:val="22"/>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b/>
                <w:szCs w:val="22"/>
              </w:rPr>
            </w:pPr>
            <w:r>
              <w:rPr>
                <w:rFonts w:cs="Arial"/>
                <w:b/>
                <w:szCs w:val="22"/>
              </w:rPr>
            </w:r>
          </w:p>
        </w:tc>
      </w:tr>
      <w:tr>
        <w:trPr>
          <w:trHeight w:val="7725" w:hRule="atLeast"/>
        </w:trPr>
        <w:tc>
          <w:tcPr>
            <w:tcW w:w="9026" w:type="dxa"/>
            <w:gridSpan w:val="3"/>
            <w:tcBorders>
              <w:top w:val="single" w:sz="4" w:space="0" w:color="000000"/>
              <w:start w:val="single" w:sz="4" w:space="0" w:color="000000"/>
              <w:bottom w:val="single" w:sz="4" w:space="0" w:color="000000"/>
              <w:end w:val="single" w:sz="4" w:space="0" w:color="000000"/>
            </w:tcBorders>
          </w:tcPr>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360" w:end="0"/>
              <w:rPr>
                <w:rFonts w:cs="Arial"/>
                <w:b/>
                <w:szCs w:val="22"/>
              </w:rPr>
            </w:pPr>
            <w:r>
              <w:rPr>
                <w:rFonts w:cs="Arial"/>
                <w:b/>
                <w:szCs w:val="22"/>
              </w:rPr>
              <w:t xml:space="preserve">Declaration and publication </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i/>
                <w:i/>
                <w:szCs w:val="24"/>
              </w:rPr>
            </w:pPr>
            <w:r>
              <w:rPr>
                <w:rStyle w:val="Emphasis"/>
                <w:rFonts w:cs="Arial"/>
                <w:i w:val="false"/>
                <w:szCs w:val="24"/>
              </w:rPr>
              <w:t>I have read the Business and Regulatory Impact Assessment and I am satisfied that (a) it represents a fair and reasonable view of the expected costs, benefits and impact of the policy, and (b) that the benefits justify the costs I am satisfied that business impact has been assessed with the support of businesses in Scotland.</w:t>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360" w:end="0"/>
              <w:rPr>
                <w:rFonts w:cs="Arial"/>
                <w:i/>
                <w:i/>
                <w:szCs w:val="22"/>
              </w:rPr>
            </w:pPr>
            <w:r>
              <w:rPr>
                <w:rFonts w:cs="Arial"/>
                <w:i/>
                <w:szCs w:val="22"/>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b/>
                <w:szCs w:val="22"/>
                <w:lang w:val="en-US" w:eastAsia="en-US"/>
              </w:rPr>
            </w:pPr>
            <w:r>
              <w:rPr>
                <w:rFonts w:cs="Arial"/>
                <w:b/>
                <w:szCs w:val="22"/>
                <w:lang w:val="en-US" w:eastAsia="en-US"/>
              </w:rPr>
            </w:r>
            <w:r>
              <mc:AlternateContent>
                <mc:Choice Requires="wps">
                  <w:drawing>
                    <wp:anchor behindDoc="0" distT="0" distB="0" distL="114935" distR="114935" simplePos="0" locked="0" layoutInCell="1" allowOverlap="1" relativeHeight="3">
                      <wp:simplePos x="0" y="0"/>
                      <wp:positionH relativeFrom="column">
                        <wp:posOffset>225425</wp:posOffset>
                      </wp:positionH>
                      <wp:positionV relativeFrom="paragraph">
                        <wp:posOffset>-6985</wp:posOffset>
                      </wp:positionV>
                      <wp:extent cx="4693920" cy="4220845"/>
                      <wp:effectExtent l="0" t="0" r="0" b="0"/>
                      <wp:wrapNone/>
                      <wp:docPr id="2" name="Frame1"/>
                      <a:graphic xmlns:a="http://schemas.openxmlformats.org/drawingml/2006/main">
                        <a:graphicData uri="http://schemas.microsoft.com/office/word/2010/wordprocessingShape">
                          <wps:wsp>
                            <wps:cNvSpPr txBox="1"/>
                            <wps:spPr>
                              <a:xfrm>
                                <a:off x="0" y="0"/>
                                <a:ext cx="4693920" cy="4220845"/>
                              </a:xfrm>
                              <a:prstGeom prst="rect"/>
                              <a:solidFill>
                                <a:srgbClr val="FFFFFF"/>
                              </a:solidFill>
                              <a:ln w="9525">
                                <a:solidFill>
                                  <a:srgbClr val="000000"/>
                                </a:solidFill>
                              </a:ln>
                            </wps:spPr>
                            <wps:txbx>
                              <w:txbxContent>
                                <w:p>
                                  <w:pPr>
                                    <w:pStyle w:val="Normal"/>
                                    <w:rPr>
                                      <w:b/>
                                    </w:rPr>
                                  </w:pPr>
                                  <w:r>
                                    <w:rPr>
                                      <w:b/>
                                    </w:rPr>
                                    <w:t>Signed:</w:t>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i/>
                                      <w:i/>
                                    </w:rPr>
                                  </w:pPr>
                                  <w:r>
                                    <w:rPr>
                                      <w:b/>
                                      <w:i/>
                                    </w:rPr>
                                  </w:r>
                                </w:p>
                                <w:p>
                                  <w:pPr>
                                    <w:pStyle w:val="Normal"/>
                                    <w:rPr>
                                      <w:b/>
                                      <w:i/>
                                      <w:i/>
                                    </w:rPr>
                                  </w:pPr>
                                  <w:r>
                                    <w:rPr>
                                      <w:b/>
                                      <w:i/>
                                    </w:rPr>
                                  </w:r>
                                </w:p>
                                <w:p>
                                  <w:pPr>
                                    <w:pStyle w:val="Normal"/>
                                    <w:rPr>
                                      <w:b/>
                                    </w:rPr>
                                  </w:pPr>
                                  <w:r>
                                    <w:rPr>
                                      <w:b/>
                                    </w:rPr>
                                    <w:t>Date:</w:t>
                                  </w:r>
                                </w:p>
                                <w:p>
                                  <w:pPr>
                                    <w:pStyle w:val="Normal"/>
                                    <w:rPr>
                                      <w:b/>
                                    </w:rPr>
                                  </w:pPr>
                                  <w:r>
                                    <w:rPr>
                                      <w:b/>
                                    </w:rPr>
                                  </w:r>
                                </w:p>
                                <w:p>
                                  <w:pPr>
                                    <w:pStyle w:val="Normal"/>
                                    <w:rPr>
                                      <w:b/>
                                    </w:rPr>
                                  </w:pPr>
                                  <w:r>
                                    <w:rPr>
                                      <w:b/>
                                    </w:rPr>
                                    <w:t>Minister’s name, title etc*</w:t>
                                  </w:r>
                                </w:p>
                                <w:p>
                                  <w:pPr>
                                    <w:pStyle w:val="Normal"/>
                                    <w:rPr>
                                      <w:b/>
                                    </w:rPr>
                                  </w:pPr>
                                  <w:r>
                                    <w:rPr>
                                      <w:b/>
                                    </w:rPr>
                                  </w:r>
                                </w:p>
                                <w:p>
                                  <w:pPr>
                                    <w:pStyle w:val="Normal"/>
                                    <w:rPr>
                                      <w:b/>
                                    </w:rPr>
                                  </w:pPr>
                                  <w:r>
                                    <w:rPr>
                                      <w:b/>
                                    </w:rPr>
                                  </w:r>
                                </w:p>
                                <w:p>
                                  <w:pPr>
                                    <w:pStyle w:val="Heading6"/>
                                    <w:rPr/>
                                  </w:pPr>
                                  <w:r>
                                    <w:rPr/>
                                    <w:t>Scottish Government Contact point:</w:t>
                                  </w:r>
                                </w:p>
                                <w:p>
                                  <w:pPr>
                                    <w:pStyle w:val="Normal"/>
                                    <w:rPr>
                                      <w:rFonts w:cs="Arial"/>
                                      <w:sz w:val="24"/>
                                      <w:szCs w:val="24"/>
                                    </w:rPr>
                                  </w:pPr>
                                  <w:r>
                                    <w:rPr>
                                      <w:rFonts w:cs="Arial"/>
                                      <w:sz w:val="24"/>
                                      <w:szCs w:val="24"/>
                                    </w:rPr>
                                    <w:t>Martin Smith</w:t>
                                  </w:r>
                                </w:p>
                                <w:p>
                                  <w:pPr>
                                    <w:pStyle w:val="Normal"/>
                                    <w:rPr>
                                      <w:rFonts w:cs="Arial"/>
                                      <w:sz w:val="24"/>
                                      <w:szCs w:val="24"/>
                                    </w:rPr>
                                  </w:pPr>
                                  <w:r>
                                    <w:rPr>
                                      <w:rFonts w:cs="Arial"/>
                                      <w:sz w:val="24"/>
                                      <w:szCs w:val="24"/>
                                    </w:rPr>
                                    <w:t>Policy Development Manager</w:t>
                                  </w:r>
                                </w:p>
                                <w:p>
                                  <w:pPr>
                                    <w:pStyle w:val="Normal"/>
                                    <w:rPr>
                                      <w:rFonts w:cs="Arial"/>
                                      <w:sz w:val="24"/>
                                      <w:szCs w:val="24"/>
                                    </w:rPr>
                                  </w:pPr>
                                  <w:r>
                                    <w:rPr>
                                      <w:rFonts w:cs="Arial"/>
                                      <w:sz w:val="24"/>
                                      <w:szCs w:val="24"/>
                                    </w:rPr>
                                    <w:t xml:space="preserve">Accountant in Bankruptcy </w:t>
                                  </w:r>
                                </w:p>
                                <w:p>
                                  <w:pPr>
                                    <w:pStyle w:val="Normal"/>
                                    <w:rPr/>
                                  </w:pPr>
                                  <w:r>
                                    <w:rPr>
                                      <w:rFonts w:cs="Arial"/>
                                      <w:sz w:val="24"/>
                                      <w:szCs w:val="24"/>
                                    </w:rPr>
                                    <w:t xml:space="preserve">1 </w:t>
                                  </w:r>
                                  <w:r>
                                    <w:rPr>
                                      <w:rStyle w:val="spelle"/>
                                      <w:rFonts w:cs="Arial"/>
                                      <w:sz w:val="24"/>
                                      <w:szCs w:val="24"/>
                                    </w:rPr>
                                    <w:t>Pennyburn</w:t>
                                  </w:r>
                                  <w:r>
                                    <w:rPr>
                                      <w:rFonts w:cs="Arial"/>
                                      <w:sz w:val="24"/>
                                      <w:szCs w:val="24"/>
                                    </w:rPr>
                                    <w:t xml:space="preserve"> Road</w:t>
                                  </w:r>
                                </w:p>
                                <w:p>
                                  <w:pPr>
                                    <w:pStyle w:val="Normal"/>
                                    <w:rPr>
                                      <w:rFonts w:cs="Arial"/>
                                      <w:sz w:val="24"/>
                                      <w:szCs w:val="24"/>
                                    </w:rPr>
                                  </w:pPr>
                                  <w:r>
                                    <w:rPr>
                                      <w:rStyle w:val="spelle"/>
                                      <w:rFonts w:cs="Arial"/>
                                      <w:sz w:val="24"/>
                                      <w:szCs w:val="24"/>
                                    </w:rPr>
                                    <w:t>Kilwinning</w:t>
                                  </w:r>
                                </w:p>
                                <w:p>
                                  <w:pPr>
                                    <w:pStyle w:val="Normal"/>
                                    <w:rPr>
                                      <w:rFonts w:cs="Arial"/>
                                      <w:sz w:val="24"/>
                                      <w:szCs w:val="24"/>
                                    </w:rPr>
                                  </w:pPr>
                                  <w:r>
                                    <w:rPr>
                                      <w:rFonts w:cs="Arial"/>
                                      <w:sz w:val="24"/>
                                      <w:szCs w:val="24"/>
                                    </w:rPr>
                                    <w:t>Ayrshire</w:t>
                                  </w:r>
                                </w:p>
                                <w:p>
                                  <w:pPr>
                                    <w:pStyle w:val="Normal"/>
                                    <w:rPr>
                                      <w:rFonts w:cs="Arial"/>
                                      <w:sz w:val="24"/>
                                      <w:szCs w:val="24"/>
                                    </w:rPr>
                                  </w:pPr>
                                  <w:r>
                                    <w:rPr>
                                      <w:rStyle w:val="spelle"/>
                                      <w:rFonts w:cs="Arial"/>
                                      <w:sz w:val="24"/>
                                      <w:szCs w:val="24"/>
                                    </w:rPr>
                                    <w:t>KA13</w:t>
                                  </w:r>
                                  <w:r>
                                    <w:rPr>
                                      <w:rFonts w:cs="Arial"/>
                                      <w:sz w:val="24"/>
                                      <w:szCs w:val="24"/>
                                    </w:rPr>
                                    <w:t xml:space="preserve"> </w:t>
                                  </w:r>
                                  <w:r>
                                    <w:rPr>
                                      <w:rStyle w:val="spelle"/>
                                      <w:rFonts w:cs="Arial"/>
                                      <w:sz w:val="24"/>
                                      <w:szCs w:val="24"/>
                                    </w:rPr>
                                    <w:t>6SA</w:t>
                                  </w:r>
                                  <w:r>
                                    <w:rPr>
                                      <w:rFonts w:cs="Arial"/>
                                      <w:sz w:val="24"/>
                                      <w:szCs w:val="24"/>
                                    </w:rPr>
                                    <w:t xml:space="preserve"> </w:t>
                                  </w:r>
                                </w:p>
                                <w:p>
                                  <w:pPr>
                                    <w:pStyle w:val="Normal"/>
                                    <w:rPr>
                                      <w:rFonts w:cs="Arial"/>
                                      <w:sz w:val="24"/>
                                      <w:szCs w:val="24"/>
                                    </w:rPr>
                                  </w:pPr>
                                  <w:hyperlink r:id="rId4">
                                    <w:r>
                                      <w:rPr>
                                        <w:rStyle w:val="Hyperlink"/>
                                        <w:rFonts w:cs="Arial"/>
                                        <w:color w:val="000000"/>
                                        <w:sz w:val="24"/>
                                        <w:szCs w:val="24"/>
                                      </w:rPr>
                                      <w:t>martin.smith2@aib.gsi.gov.uk</w:t>
                                    </w:r>
                                  </w:hyperlink>
                                </w:p>
                                <w:p>
                                  <w:pPr>
                                    <w:pStyle w:val="Normal"/>
                                    <w:rPr>
                                      <w:rFonts w:cs="Arial"/>
                                      <w:sz w:val="24"/>
                                      <w:szCs w:val="24"/>
                                    </w:rPr>
                                  </w:pPr>
                                  <w:r>
                                    <w:rPr>
                                      <w:rFonts w:cs="Arial"/>
                                      <w:sz w:val="24"/>
                                      <w:szCs w:val="24"/>
                                    </w:rPr>
                                    <w:t>0300 200 2692</w:t>
                                  </w:r>
                                </w:p>
                                <w:p>
                                  <w:pPr>
                                    <w:pStyle w:val="Normal"/>
                                    <w:rPr>
                                      <w:rFonts w:cs="Arial"/>
                                      <w:sz w:val="24"/>
                                      <w:szCs w:val="24"/>
                                    </w:rPr>
                                  </w:pPr>
                                  <w:r>
                                    <w:rPr>
                                      <w:rFonts w:cs="Arial"/>
                                      <w:sz w:val="24"/>
                                      <w:szCs w:val="24"/>
                                    </w:rPr>
                                  </w:r>
                                </w:p>
                                <w:p>
                                  <w:pPr>
                                    <w:pStyle w:val="Normal"/>
                                    <w:rPr/>
                                  </w:pPr>
                                  <w:r>
                                    <w:rPr/>
                                  </w:r>
                                </w:p>
                                <w:p>
                                  <w:pPr>
                                    <w:pStyle w:val="Normal"/>
                                    <w:rPr/>
                                  </w:pPr>
                                  <w:r>
                                    <w:rPr/>
                                  </w:r>
                                </w:p>
                                <w:p>
                                  <w:pPr>
                                    <w:pStyle w:val="Normal"/>
                                    <w:rPr/>
                                  </w:pPr>
                                  <w:r>
                                    <w:rPr/>
                                  </w:r>
                                </w:p>
                                <w:p>
                                  <w:pPr>
                                    <w:pStyle w:val="Normal"/>
                                    <w:rPr/>
                                  </w:pPr>
                                  <w:r>
                                    <w:rPr/>
                                  </w:r>
                                </w:p>
                                <w:p>
                                  <w:pPr>
                                    <w:pStyle w:val="Normal"/>
                                    <w:rPr/>
                                  </w:pPr>
                                  <w:r>
                                    <w:rPr/>
                                  </w:r>
                                </w:p>
                              </w:txbxContent>
                            </wps:txbx>
                            <wps:bodyPr anchor="t" lIns="91440" tIns="45720" rIns="91440" bIns="45720">
                              <a:noAutofit/>
                            </wps:bodyPr>
                          </wps:wsp>
                        </a:graphicData>
                      </a:graphic>
                    </wp:anchor>
                  </w:drawing>
                </mc:Choice>
                <mc:Fallback>
                  <w:pict>
                    <v:rect fillcolor="#FFFFFF" strokecolor="#000000" strokeweight="0pt" style="position:absolute;rotation:-0;width:369.6pt;height:332.35pt;mso-wrap-distance-left:9.05pt;mso-wrap-distance-right:9.05pt;mso-wrap-distance-top:0pt;mso-wrap-distance-bottom:0pt;margin-top:-0.55pt;mso-position-vertical-relative:text;margin-left:17.75pt;mso-position-horizontal-relative:text">
                      <v:textbox>
                        <w:txbxContent>
                          <w:p>
                            <w:pPr>
                              <w:pStyle w:val="Normal"/>
                              <w:rPr>
                                <w:b/>
                              </w:rPr>
                            </w:pPr>
                            <w:r>
                              <w:rPr>
                                <w:b/>
                              </w:rPr>
                              <w:t>Signed:</w:t>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i/>
                                <w:i/>
                              </w:rPr>
                            </w:pPr>
                            <w:r>
                              <w:rPr>
                                <w:b/>
                                <w:i/>
                              </w:rPr>
                            </w:r>
                          </w:p>
                          <w:p>
                            <w:pPr>
                              <w:pStyle w:val="Normal"/>
                              <w:rPr>
                                <w:b/>
                                <w:i/>
                                <w:i/>
                              </w:rPr>
                            </w:pPr>
                            <w:r>
                              <w:rPr>
                                <w:b/>
                                <w:i/>
                              </w:rPr>
                            </w:r>
                          </w:p>
                          <w:p>
                            <w:pPr>
                              <w:pStyle w:val="Normal"/>
                              <w:rPr>
                                <w:b/>
                              </w:rPr>
                            </w:pPr>
                            <w:r>
                              <w:rPr>
                                <w:b/>
                              </w:rPr>
                              <w:t>Date:</w:t>
                            </w:r>
                          </w:p>
                          <w:p>
                            <w:pPr>
                              <w:pStyle w:val="Normal"/>
                              <w:rPr>
                                <w:b/>
                              </w:rPr>
                            </w:pPr>
                            <w:r>
                              <w:rPr>
                                <w:b/>
                              </w:rPr>
                            </w:r>
                          </w:p>
                          <w:p>
                            <w:pPr>
                              <w:pStyle w:val="Normal"/>
                              <w:rPr>
                                <w:b/>
                              </w:rPr>
                            </w:pPr>
                            <w:r>
                              <w:rPr>
                                <w:b/>
                              </w:rPr>
                              <w:t>Minister’s name, title etc*</w:t>
                            </w:r>
                          </w:p>
                          <w:p>
                            <w:pPr>
                              <w:pStyle w:val="Normal"/>
                              <w:rPr>
                                <w:b/>
                              </w:rPr>
                            </w:pPr>
                            <w:r>
                              <w:rPr>
                                <w:b/>
                              </w:rPr>
                            </w:r>
                          </w:p>
                          <w:p>
                            <w:pPr>
                              <w:pStyle w:val="Normal"/>
                              <w:rPr>
                                <w:b/>
                              </w:rPr>
                            </w:pPr>
                            <w:r>
                              <w:rPr>
                                <w:b/>
                              </w:rPr>
                            </w:r>
                          </w:p>
                          <w:p>
                            <w:pPr>
                              <w:pStyle w:val="Heading6"/>
                              <w:rPr/>
                            </w:pPr>
                            <w:r>
                              <w:rPr/>
                              <w:t>Scottish Government Contact point:</w:t>
                            </w:r>
                          </w:p>
                          <w:p>
                            <w:pPr>
                              <w:pStyle w:val="Normal"/>
                              <w:rPr>
                                <w:rFonts w:cs="Arial"/>
                                <w:sz w:val="24"/>
                                <w:szCs w:val="24"/>
                              </w:rPr>
                            </w:pPr>
                            <w:r>
                              <w:rPr>
                                <w:rFonts w:cs="Arial"/>
                                <w:sz w:val="24"/>
                                <w:szCs w:val="24"/>
                              </w:rPr>
                              <w:t>Martin Smith</w:t>
                            </w:r>
                          </w:p>
                          <w:p>
                            <w:pPr>
                              <w:pStyle w:val="Normal"/>
                              <w:rPr>
                                <w:rFonts w:cs="Arial"/>
                                <w:sz w:val="24"/>
                                <w:szCs w:val="24"/>
                              </w:rPr>
                            </w:pPr>
                            <w:r>
                              <w:rPr>
                                <w:rFonts w:cs="Arial"/>
                                <w:sz w:val="24"/>
                                <w:szCs w:val="24"/>
                              </w:rPr>
                              <w:t>Policy Development Manager</w:t>
                            </w:r>
                          </w:p>
                          <w:p>
                            <w:pPr>
                              <w:pStyle w:val="Normal"/>
                              <w:rPr>
                                <w:rFonts w:cs="Arial"/>
                                <w:sz w:val="24"/>
                                <w:szCs w:val="24"/>
                              </w:rPr>
                            </w:pPr>
                            <w:r>
                              <w:rPr>
                                <w:rFonts w:cs="Arial"/>
                                <w:sz w:val="24"/>
                                <w:szCs w:val="24"/>
                              </w:rPr>
                              <w:t xml:space="preserve">Accountant in Bankruptcy </w:t>
                            </w:r>
                          </w:p>
                          <w:p>
                            <w:pPr>
                              <w:pStyle w:val="Normal"/>
                              <w:rPr/>
                            </w:pPr>
                            <w:r>
                              <w:rPr>
                                <w:rFonts w:cs="Arial"/>
                                <w:sz w:val="24"/>
                                <w:szCs w:val="24"/>
                              </w:rPr>
                              <w:t xml:space="preserve">1 </w:t>
                            </w:r>
                            <w:r>
                              <w:rPr>
                                <w:rStyle w:val="spelle"/>
                                <w:rFonts w:cs="Arial"/>
                                <w:sz w:val="24"/>
                                <w:szCs w:val="24"/>
                              </w:rPr>
                              <w:t>Pennyburn</w:t>
                            </w:r>
                            <w:r>
                              <w:rPr>
                                <w:rFonts w:cs="Arial"/>
                                <w:sz w:val="24"/>
                                <w:szCs w:val="24"/>
                              </w:rPr>
                              <w:t xml:space="preserve"> Road</w:t>
                            </w:r>
                          </w:p>
                          <w:p>
                            <w:pPr>
                              <w:pStyle w:val="Normal"/>
                              <w:rPr>
                                <w:rFonts w:cs="Arial"/>
                                <w:sz w:val="24"/>
                                <w:szCs w:val="24"/>
                              </w:rPr>
                            </w:pPr>
                            <w:r>
                              <w:rPr>
                                <w:rStyle w:val="spelle"/>
                                <w:rFonts w:cs="Arial"/>
                                <w:sz w:val="24"/>
                                <w:szCs w:val="24"/>
                              </w:rPr>
                              <w:t>Kilwinning</w:t>
                            </w:r>
                          </w:p>
                          <w:p>
                            <w:pPr>
                              <w:pStyle w:val="Normal"/>
                              <w:rPr>
                                <w:rFonts w:cs="Arial"/>
                                <w:sz w:val="24"/>
                                <w:szCs w:val="24"/>
                              </w:rPr>
                            </w:pPr>
                            <w:r>
                              <w:rPr>
                                <w:rFonts w:cs="Arial"/>
                                <w:sz w:val="24"/>
                                <w:szCs w:val="24"/>
                              </w:rPr>
                              <w:t>Ayrshire</w:t>
                            </w:r>
                          </w:p>
                          <w:p>
                            <w:pPr>
                              <w:pStyle w:val="Normal"/>
                              <w:rPr>
                                <w:rFonts w:cs="Arial"/>
                                <w:sz w:val="24"/>
                                <w:szCs w:val="24"/>
                              </w:rPr>
                            </w:pPr>
                            <w:r>
                              <w:rPr>
                                <w:rStyle w:val="spelle"/>
                                <w:rFonts w:cs="Arial"/>
                                <w:sz w:val="24"/>
                                <w:szCs w:val="24"/>
                              </w:rPr>
                              <w:t>KA13</w:t>
                            </w:r>
                            <w:r>
                              <w:rPr>
                                <w:rFonts w:cs="Arial"/>
                                <w:sz w:val="24"/>
                                <w:szCs w:val="24"/>
                              </w:rPr>
                              <w:t xml:space="preserve"> </w:t>
                            </w:r>
                            <w:r>
                              <w:rPr>
                                <w:rStyle w:val="spelle"/>
                                <w:rFonts w:cs="Arial"/>
                                <w:sz w:val="24"/>
                                <w:szCs w:val="24"/>
                              </w:rPr>
                              <w:t>6SA</w:t>
                            </w:r>
                            <w:r>
                              <w:rPr>
                                <w:rFonts w:cs="Arial"/>
                                <w:sz w:val="24"/>
                                <w:szCs w:val="24"/>
                              </w:rPr>
                              <w:t xml:space="preserve"> </w:t>
                            </w:r>
                          </w:p>
                          <w:p>
                            <w:pPr>
                              <w:pStyle w:val="Normal"/>
                              <w:rPr>
                                <w:rFonts w:cs="Arial"/>
                                <w:sz w:val="24"/>
                                <w:szCs w:val="24"/>
                              </w:rPr>
                            </w:pPr>
                            <w:hyperlink r:id="rId5">
                              <w:r>
                                <w:rPr>
                                  <w:rStyle w:val="Hyperlink"/>
                                  <w:rFonts w:cs="Arial"/>
                                  <w:color w:val="000000"/>
                                  <w:sz w:val="24"/>
                                  <w:szCs w:val="24"/>
                                </w:rPr>
                                <w:t>martin.smith2@aib.gsi.gov.uk</w:t>
                              </w:r>
                            </w:hyperlink>
                          </w:p>
                          <w:p>
                            <w:pPr>
                              <w:pStyle w:val="Normal"/>
                              <w:rPr>
                                <w:rFonts w:cs="Arial"/>
                                <w:sz w:val="24"/>
                                <w:szCs w:val="24"/>
                              </w:rPr>
                            </w:pPr>
                            <w:r>
                              <w:rPr>
                                <w:rFonts w:cs="Arial"/>
                                <w:sz w:val="24"/>
                                <w:szCs w:val="24"/>
                              </w:rPr>
                              <w:t>0300 200 2692</w:t>
                            </w:r>
                          </w:p>
                          <w:p>
                            <w:pPr>
                              <w:pStyle w:val="Normal"/>
                              <w:rPr>
                                <w:rFonts w:cs="Arial"/>
                                <w:sz w:val="24"/>
                                <w:szCs w:val="24"/>
                              </w:rPr>
                            </w:pPr>
                            <w:r>
                              <w:rPr>
                                <w:rFonts w:cs="Arial"/>
                                <w:sz w:val="24"/>
                                <w:szCs w:val="24"/>
                              </w:rPr>
                            </w:r>
                          </w:p>
                          <w:p>
                            <w:pPr>
                              <w:pStyle w:val="Normal"/>
                              <w:rPr/>
                            </w:pPr>
                            <w:r>
                              <w:rPr/>
                            </w:r>
                          </w:p>
                          <w:p>
                            <w:pPr>
                              <w:pStyle w:val="Normal"/>
                              <w:rPr/>
                            </w:pPr>
                            <w:r>
                              <w:rPr/>
                            </w:r>
                          </w:p>
                          <w:p>
                            <w:pPr>
                              <w:pStyle w:val="Normal"/>
                              <w:rPr/>
                            </w:pPr>
                            <w:r>
                              <w:rPr/>
                            </w:r>
                          </w:p>
                          <w:p>
                            <w:pPr>
                              <w:pStyle w:val="Normal"/>
                              <w:rPr/>
                            </w:pPr>
                            <w:r>
                              <w:rPr/>
                            </w:r>
                          </w:p>
                          <w:p>
                            <w:pPr>
                              <w:pStyle w:val="Normal"/>
                              <w:rPr/>
                            </w:pPr>
                            <w:r>
                              <w:rPr/>
                            </w:r>
                          </w:p>
                        </w:txbxContent>
                      </v:textbox>
                      <w10:wrap type="none"/>
                    </v:rect>
                  </w:pict>
                </mc:Fallback>
              </mc:AlternateConten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b/>
                <w:szCs w:val="22"/>
              </w:rPr>
            </w:pPr>
            <w:r>
              <w:rPr>
                <w:rFonts w:cs="Arial"/>
                <w:b/>
                <w:szCs w:val="22"/>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b/>
                <w:szCs w:val="22"/>
              </w:rPr>
            </w:pPr>
            <w:r>
              <w:rPr>
                <w:rFonts w:cs="Arial"/>
                <w:b/>
                <w:szCs w:val="22"/>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b/>
                <w:szCs w:val="22"/>
              </w:rPr>
            </w:pPr>
            <w:r>
              <w:rPr>
                <w:rFonts w:cs="Arial"/>
                <w:b/>
                <w:szCs w:val="22"/>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b/>
                <w:szCs w:val="22"/>
              </w:rPr>
            </w:pPr>
            <w:r>
              <w:rPr>
                <w:rFonts w:cs="Arial"/>
                <w:b/>
                <w:szCs w:val="22"/>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b/>
                <w:szCs w:val="22"/>
              </w:rPr>
            </w:pPr>
            <w:r>
              <w:rPr>
                <w:rFonts w:cs="Arial"/>
                <w:b/>
                <w:szCs w:val="22"/>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b/>
                <w:szCs w:val="22"/>
              </w:rPr>
            </w:pPr>
            <w:r>
              <w:rPr>
                <w:rFonts w:cs="Arial"/>
                <w:b/>
                <w:szCs w:val="22"/>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b/>
                <w:szCs w:val="22"/>
              </w:rPr>
            </w:pPr>
            <w:r>
              <w:rPr>
                <w:rFonts w:cs="Arial"/>
                <w:b/>
                <w:szCs w:val="22"/>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b/>
                <w:szCs w:val="22"/>
              </w:rPr>
            </w:pPr>
            <w:r>
              <w:rPr>
                <w:rFonts w:cs="Arial"/>
                <w:b/>
                <w:szCs w:val="22"/>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b/>
                <w:szCs w:val="22"/>
              </w:rPr>
            </w:pPr>
            <w:r>
              <w:rPr>
                <w:rFonts w:cs="Arial"/>
                <w:b/>
                <w:szCs w:val="22"/>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b/>
                <w:szCs w:val="22"/>
              </w:rPr>
            </w:pPr>
            <w:r>
              <w:rPr>
                <w:rFonts w:cs="Arial"/>
                <w:b/>
                <w:szCs w:val="22"/>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b/>
                <w:szCs w:val="22"/>
              </w:rPr>
            </w:pPr>
            <w:r>
              <w:rPr>
                <w:rFonts w:cs="Arial"/>
                <w:b/>
                <w:szCs w:val="22"/>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b/>
                <w:szCs w:val="22"/>
              </w:rPr>
            </w:pPr>
            <w:r>
              <w:rPr>
                <w:rFonts w:cs="Arial"/>
                <w:b/>
                <w:szCs w:val="22"/>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b/>
                <w:szCs w:val="22"/>
              </w:rPr>
            </w:pPr>
            <w:r>
              <w:rPr>
                <w:rFonts w:cs="Arial"/>
                <w:b/>
                <w:szCs w:val="22"/>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b/>
                <w:szCs w:val="22"/>
              </w:rPr>
            </w:pPr>
            <w:r>
              <w:rPr>
                <w:rFonts w:cs="Arial"/>
                <w:b/>
                <w:szCs w:val="22"/>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b/>
                <w:szCs w:val="22"/>
              </w:rPr>
            </w:pPr>
            <w:r>
              <w:rPr>
                <w:rFonts w:cs="Arial"/>
                <w:b/>
                <w:szCs w:val="22"/>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b/>
                <w:szCs w:val="22"/>
              </w:rPr>
            </w:pPr>
            <w:r>
              <w:rPr>
                <w:rFonts w:cs="Arial"/>
                <w:b/>
                <w:szCs w:val="22"/>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b/>
                <w:szCs w:val="22"/>
              </w:rPr>
            </w:pPr>
            <w:r>
              <w:rPr>
                <w:rFonts w:cs="Arial"/>
                <w:b/>
                <w:szCs w:val="22"/>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b/>
                <w:szCs w:val="22"/>
              </w:rPr>
            </w:pPr>
            <w:r>
              <w:rPr>
                <w:rFonts w:cs="Arial"/>
                <w:b/>
                <w:szCs w:val="22"/>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b/>
                <w:szCs w:val="22"/>
              </w:rPr>
            </w:pPr>
            <w:r>
              <w:rPr>
                <w:rFonts w:cs="Arial"/>
                <w:b/>
                <w:szCs w:val="22"/>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b/>
                <w:szCs w:val="22"/>
              </w:rPr>
            </w:pPr>
            <w:r>
              <w:rPr>
                <w:rFonts w:cs="Arial"/>
                <w:b/>
                <w:szCs w:val="22"/>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b/>
                <w:szCs w:val="22"/>
              </w:rPr>
            </w:pPr>
            <w:r>
              <w:rPr>
                <w:rFonts w:cs="Arial"/>
                <w:b/>
                <w:szCs w:val="22"/>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b/>
                <w:szCs w:val="22"/>
              </w:rPr>
            </w:pPr>
            <w:r>
              <w:rPr>
                <w:rFonts w:cs="Arial"/>
                <w:b/>
                <w:szCs w:val="22"/>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b/>
                <w:szCs w:val="22"/>
              </w:rPr>
            </w:pPr>
            <w:r>
              <w:rPr>
                <w:rFonts w:cs="Arial"/>
                <w:b/>
                <w:szCs w:val="22"/>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b/>
                <w:szCs w:val="22"/>
              </w:rPr>
            </w:pPr>
            <w:r>
              <w:rPr>
                <w:rFonts w:cs="Arial"/>
                <w:b/>
                <w:szCs w:val="22"/>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b/>
                <w:szCs w:val="22"/>
              </w:rPr>
            </w:pPr>
            <w:r>
              <w:rPr>
                <w:rFonts w:cs="Arial"/>
                <w:b/>
                <w:szCs w:val="22"/>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b/>
                <w:szCs w:val="22"/>
              </w:rPr>
            </w:pPr>
            <w:r>
              <w:rPr>
                <w:rFonts w:cs="Arial"/>
                <w:b/>
                <w:szCs w:val="22"/>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b/>
                <w:szCs w:val="22"/>
              </w:rPr>
            </w:pPr>
            <w:r>
              <w:rPr>
                <w:rFonts w:cs="Arial"/>
                <w:b/>
                <w:szCs w:val="22"/>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b/>
                <w:szCs w:val="22"/>
              </w:rPr>
            </w:pPr>
            <w:r>
              <w:rPr>
                <w:rFonts w:cs="Arial"/>
                <w:b/>
                <w:szCs w:val="22"/>
              </w:rPr>
            </w:r>
          </w:p>
        </w:tc>
      </w:tr>
    </w:tbl>
    <w:p>
      <w:pPr>
        <w:pStyle w:val="Normal"/>
        <w:rPr>
          <w:rFonts w:cs="Arial"/>
          <w:color w:val="000000"/>
          <w:szCs w:val="22"/>
        </w:rPr>
      </w:pPr>
      <w:r>
        <w:rPr>
          <w:rFonts w:cs="Arial"/>
          <w:color w:val="000000"/>
          <w:szCs w:val="22"/>
        </w:rPr>
      </w:r>
    </w:p>
    <w:p>
      <w:pPr>
        <w:pStyle w:val="Normal"/>
        <w:rPr/>
      </w:pPr>
      <w:r>
        <w:rPr>
          <w:rFonts w:cs="Arial"/>
          <w:color w:val="000000"/>
          <w:szCs w:val="22"/>
        </w:rPr>
        <w:t>*Delete as appropriate/once completed</w:t>
      </w:r>
    </w:p>
    <w:sectPr>
      <w:headerReference w:type="default" r:id="rId6"/>
      <w:footerReference w:type="default" r:id="rId7"/>
      <w:type w:val="nextPage"/>
      <w:pgSz w:w="11906" w:h="16838"/>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DejaVu Serif">
    <w:charset w:val="01" w:characterSet="utf-8"/>
    <w:family w:val="roman"/>
    <w:pitch w:val="variable"/>
  </w:font>
  <w:font w:name="Wingdings">
    <w:charset w:val="02"/>
    <w:family w:val="auto"/>
    <w:pitch w:val="variable"/>
  </w:font>
  <w:font w:name="Courier New">
    <w:charset w:val="00" w:characterSet="windows-1252"/>
    <w:family w:val="modern"/>
    <w:pitch w:val="default"/>
  </w:font>
  <w:font w:name="DejaVu Sans">
    <w:charset w:val="01" w:characterSet="utf-8"/>
    <w:family w:val="swiss"/>
    <w:pitch w:val="variable"/>
  </w:font>
  <w:font w:name="Tahoma">
    <w:charset w:val="00" w:characterSet="windows-1252"/>
    <w:family w:val="swiss"/>
    <w:pitch w:val="variable"/>
  </w:font>
  <w:font w:name="Courier New">
    <w:charset w:val="00" w:characterSet="windows-1252"/>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153"/>
        <w:tab w:val="clear" w:pos="8306"/>
        <w:tab w:val="center" w:pos="4500" w:leader="none"/>
        <w:tab w:val="right" w:pos="9000" w:leader="none"/>
      </w:tabs>
      <w:rPr>
        <w:sz w:val="20"/>
      </w:rPr>
    </w:pPr>
    <w:r>
      <w:rPr>
        <w:sz w:val="2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lear" w:pos="8306"/>
        <w:tab w:val="center" w:pos="4500" w:leader="none"/>
        <w:tab w:val="right" w:pos="9000" w:leader="none"/>
      </w:tabs>
      <w:rPr>
        <w:sz w:val="20"/>
      </w:rPr>
    </w:pPr>
    <w:r>
      <w:rPr>
        <w:sz w:val="2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start"/>
      <w:pPr>
        <w:tabs>
          <w:tab w:val="num" w:pos="720"/>
        </w:tabs>
        <w:ind w:start="0" w:hanging="0"/>
      </w:pPr>
    </w:lvl>
    <w:lvl w:ilvl="1">
      <w:start w:val="1"/>
      <w:pStyle w:val="Heading2"/>
      <w:numFmt w:val="decimal"/>
      <w:lvlText w:val="%1.%2"/>
      <w:lvlJc w:val="start"/>
      <w:pPr>
        <w:tabs>
          <w:tab w:val="num" w:pos="720"/>
        </w:tabs>
        <w:ind w:start="0" w:hanging="0"/>
      </w:pPr>
    </w:lvl>
    <w:lvl w:ilvl="2">
      <w:start w:val="1"/>
      <w:pStyle w:val="Heading3"/>
      <w:numFmt w:val="decimal"/>
      <w:lvlText w:val="%1.%2.%3"/>
      <w:lvlJc w:val="start"/>
      <w:pPr>
        <w:tabs>
          <w:tab w:val="num" w:pos="720"/>
        </w:tabs>
        <w:ind w:start="0" w:hanging="0"/>
      </w:pPr>
    </w:lvl>
    <w:lvl w:ilvl="3">
      <w:start w:val="1"/>
      <w:numFmt w:val="decimal"/>
      <w:lvlText w:val="%1.%2.%3.%4"/>
      <w:lvlJc w:val="start"/>
      <w:pPr>
        <w:tabs>
          <w:tab w:val="num" w:pos="0"/>
        </w:tabs>
        <w:ind w:start="0" w:hanging="0"/>
      </w:pPr>
    </w:lvl>
    <w:lvl w:ilvl="4">
      <w:start w:val="1"/>
      <w:numFmt w:val="decimal"/>
      <w:lvlText w:val="%1.%2.%3.%4.%5"/>
      <w:lvlJc w:val="start"/>
      <w:pPr>
        <w:tabs>
          <w:tab w:val="num" w:pos="0"/>
        </w:tabs>
        <w:ind w:start="0" w:hanging="0"/>
      </w:pPr>
    </w:lvl>
    <w:lvl w:ilvl="5">
      <w:start w:val="1"/>
      <w:numFmt w:val="decimal"/>
      <w:lvlText w:val="%1.%2.%3.%4.%5.%6"/>
      <w:lvlJc w:val="start"/>
      <w:pPr>
        <w:tabs>
          <w:tab w:val="num" w:pos="0"/>
        </w:tabs>
        <w:ind w:start="0" w:hanging="0"/>
      </w:pPr>
    </w:lvl>
    <w:lvl w:ilvl="6">
      <w:start w:val="1"/>
      <w:numFmt w:val="decimal"/>
      <w:lvlText w:val="%1.%2.%3.%4.%5.%6.%7"/>
      <w:lvlJc w:val="start"/>
      <w:pPr>
        <w:tabs>
          <w:tab w:val="num" w:pos="0"/>
        </w:tabs>
        <w:ind w:start="0" w:hanging="0"/>
      </w:pPr>
    </w:lvl>
    <w:lvl w:ilvl="7">
      <w:start w:val="1"/>
      <w:numFmt w:val="decimal"/>
      <w:lvlText w:val="%1.%2.%3.%4.%5.%6.%7.%8"/>
      <w:lvlJc w:val="start"/>
      <w:pPr>
        <w:tabs>
          <w:tab w:val="num" w:pos="0"/>
        </w:tabs>
        <w:ind w:start="0" w:hanging="0"/>
      </w:pPr>
    </w:lvl>
    <w:lvl w:ilvl="8">
      <w:start w:val="1"/>
      <w:numFmt w:val="decimal"/>
      <w:lvlText w:val="%1.%2.%3.%4.%5.%6.%7.%8.%9"/>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1080"/>
        </w:tabs>
        <w:ind w:start="1080" w:hanging="360"/>
      </w:pPr>
      <w:rPr>
        <w:rFonts w:ascii="Symbol" w:hAnsi="Symbol" w:cs="Symbol" w:hint="default"/>
        <w:color w:val="00000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1080"/>
        </w:tabs>
        <w:ind w:start="1080" w:hanging="360"/>
      </w:pPr>
      <w:rPr>
        <w:rFonts w:ascii="Symbol" w:hAnsi="Symbol" w:cs="Symbol" w:hint="default"/>
        <w:color w:val="000000"/>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abstractNum w:abstractNumId="8">
    <w:lvl w:ilvl="0">
      <w:start w:val="1"/>
      <w:numFmt w:val="bullet"/>
      <w:lvlText w:val=""/>
      <w:lvlJc w:val="start"/>
      <w:pPr>
        <w:tabs>
          <w:tab w:val="num" w:pos="360"/>
        </w:tabs>
        <w:ind w:start="360" w:hanging="360"/>
      </w:pPr>
      <w:rPr>
        <w:rFonts w:ascii="Symbol" w:hAnsi="Symbol" w:cs="Symbol" w:hint="default"/>
      </w:rPr>
    </w:lvl>
  </w:abstractNum>
  <w:abstractNum w:abstractNumId="9">
    <w:lvl w:ilvl="0">
      <w:start w:val="1"/>
      <w:numFmt w:val="lowerLetter"/>
      <w:lvlText w:val="%1."/>
      <w:lvlJc w:val="start"/>
      <w:pPr>
        <w:tabs>
          <w:tab w:val="num" w:pos="0"/>
        </w:tabs>
        <w:ind w:start="0" w:hanging="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0">
    <w:lvl w:ilvl="0">
      <w:start w:val="1"/>
      <w:numFmt w:val="lowerLetter"/>
      <w:lvlText w:val="%1."/>
      <w:lvlJc w:val="start"/>
      <w:pPr>
        <w:tabs>
          <w:tab w:val="num" w:pos="0"/>
        </w:tabs>
        <w:ind w:start="0" w:hanging="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1">
    <w:lvl w:ilvl="0">
      <w:start w:val="1"/>
      <w:numFmt w:val="lowerLetter"/>
      <w:lvlText w:val="%1."/>
      <w:lvlJc w:val="start"/>
      <w:pPr>
        <w:tabs>
          <w:tab w:val="num" w:pos="0"/>
        </w:tabs>
        <w:ind w:start="0" w:hanging="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2">
    <w:lvl w:ilvl="0">
      <w:start w:val="1"/>
      <w:numFmt w:val="lowerLetter"/>
      <w:lvlText w:val="%1."/>
      <w:lvlJc w:val="start"/>
      <w:pPr>
        <w:tabs>
          <w:tab w:val="num" w:pos="0"/>
        </w:tabs>
        <w:ind w:start="0" w:hanging="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trackRevisions/>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DejaVu Serif" w:hAnsi="DejaVu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Arial" w:hAnsi="Arial" w:eastAsia="Times New Roman" w:cs="Arial"/>
      <w:color w:val="auto"/>
      <w:sz w:val="22"/>
      <w:szCs w:val="20"/>
      <w:lang w:val="en-GB" w:bidi="ar-SA" w:eastAsia="zh-CN"/>
    </w:rPr>
  </w:style>
  <w:style w:type="paragraph" w:styleId="Heading1">
    <w:name w:val="Heading 1"/>
    <w:basedOn w:val="Normal"/>
    <w:next w:val="Normal"/>
    <w:qFormat/>
    <w:pPr>
      <w:numPr>
        <w:ilvl w:val="0"/>
        <w:numId w:val="1"/>
      </w:numPr>
      <w:outlineLvl w:val="0"/>
    </w:pPr>
    <w:rPr>
      <w:kern w:val="2"/>
    </w:rPr>
  </w:style>
  <w:style w:type="paragraph" w:styleId="Heading2">
    <w:name w:val="Heading 2"/>
    <w:basedOn w:val="Normal"/>
    <w:next w:val="Normal"/>
    <w:qFormat/>
    <w:pPr>
      <w:numPr>
        <w:ilvl w:val="1"/>
        <w:numId w:val="1"/>
      </w:numPr>
      <w:ind w:hanging="0" w:start="720" w:end="0"/>
      <w:outlineLvl w:val="1"/>
    </w:pPr>
    <w:rPr>
      <w:kern w:val="2"/>
    </w:rPr>
  </w:style>
  <w:style w:type="paragraph" w:styleId="Heading3">
    <w:name w:val="Heading 3"/>
    <w:basedOn w:val="Normal"/>
    <w:next w:val="Normal"/>
    <w:qFormat/>
    <w:pPr>
      <w:numPr>
        <w:ilvl w:val="2"/>
        <w:numId w:val="1"/>
      </w:numPr>
      <w:tabs>
        <w:tab w:val="clear" w:pos="720"/>
      </w:tabs>
      <w:ind w:hanging="0" w:start="1440" w:end="0"/>
      <w:outlineLvl w:val="2"/>
    </w:pPr>
    <w:rPr>
      <w:kern w:val="2"/>
    </w:rPr>
  </w:style>
  <w:style w:type="paragraph" w:styleId="Heading6">
    <w:name w:val="Heading 6"/>
    <w:basedOn w:val="Normal"/>
    <w:next w:val="Normal"/>
    <w:qFormat/>
    <w:pPr>
      <w:keepNext w:val="true"/>
      <w:outlineLvl w:val="5"/>
    </w:pPr>
    <w:rPr>
      <w:b/>
    </w:rPr>
  </w:style>
  <w:style w:type="character" w:styleId="WW8Num2z0">
    <w:name w:val="WW8Num2z0"/>
    <w:qFormat/>
    <w:rPr>
      <w:rFonts w:ascii="Symbol" w:hAnsi="Symbol" w:cs="Symbol"/>
      <w:color w:val="000000"/>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2z4">
    <w:name w:val="WW8Num2z4"/>
    <w:qFormat/>
    <w:rPr>
      <w:rFonts w:ascii="Courier New" w:hAnsi="Courier New" w:cs="Courier New"/>
    </w:rPr>
  </w:style>
  <w:style w:type="character" w:styleId="WW8Num3z0">
    <w:name w:val="WW8Num3z0"/>
    <w:qFormat/>
    <w:rPr>
      <w:b/>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color w:val="000000"/>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b/>
    </w:rPr>
  </w:style>
  <w:style w:type="character" w:styleId="WW8Num8z0">
    <w:name w:val="WW8Num8z0"/>
    <w:qFormat/>
    <w:rPr>
      <w:rFonts w:ascii="Symbol" w:hAnsi="Symbol" w:cs="Symbol"/>
      <w:sz w:val="20"/>
    </w:rPr>
  </w:style>
  <w:style w:type="character" w:styleId="WW8Num8z1">
    <w:name w:val="WW8Num8z1"/>
    <w:qFormat/>
    <w:rPr>
      <w:rFonts w:ascii="Courier New" w:hAnsi="Courier New" w:cs="Courier New"/>
      <w:sz w:val="20"/>
    </w:rPr>
  </w:style>
  <w:style w:type="character" w:styleId="WW8Num8z2">
    <w:name w:val="WW8Num8z2"/>
    <w:qFormat/>
    <w:rPr>
      <w:rFonts w:ascii="Wingdings" w:hAnsi="Wingdings" w:cs="Wingdings"/>
      <w:sz w:val="20"/>
    </w:rPr>
  </w:style>
  <w:style w:type="character" w:styleId="WW8Num9z0">
    <w:name w:val="WW8Num9z0"/>
    <w:qFormat/>
    <w:rPr>
      <w:rFonts w:ascii="Symbol" w:hAnsi="Symbol" w:cs="Symbol"/>
    </w:rPr>
  </w:style>
  <w:style w:type="character" w:styleId="WW8Num10z1">
    <w:name w:val="WW8Num10z1"/>
    <w:qFormat/>
    <w:rPr>
      <w:rFonts w:ascii="Symbol" w:hAnsi="Symbol" w:cs="Symbol"/>
      <w:color w:val="000000"/>
    </w:rPr>
  </w:style>
  <w:style w:type="character" w:styleId="WW8Num11z0">
    <w:name w:val="WW8Num11z0"/>
    <w:qFormat/>
    <w:rPr>
      <w:rFonts w:ascii="Symbol" w:hAnsi="Symbol" w:cs="Symbol"/>
      <w:color w:val="000000"/>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Symbol" w:hAnsi="Symbol" w:cs="Symbol"/>
      <w:color w:val="000000"/>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rFonts w:ascii="Symbol" w:hAnsi="Symbol" w:cs="Symbol"/>
      <w:color w:val="000000"/>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b w:val="false"/>
      <w:i w:val="false"/>
    </w:rPr>
  </w:style>
  <w:style w:type="character" w:styleId="WW8Num14z1">
    <w:name w:val="WW8Num14z1"/>
    <w:qFormat/>
    <w:rPr>
      <w:rFonts w:ascii="Symbol" w:hAnsi="Symbol" w:cs="Symbol"/>
    </w:rPr>
  </w:style>
  <w:style w:type="character" w:styleId="WW8Num15z0">
    <w:name w:val="WW8Num15z0"/>
    <w:qFormat/>
    <w:rPr>
      <w:rFonts w:ascii="Symbol" w:hAnsi="Symbol" w:cs="Symbol"/>
      <w:color w:val="000000"/>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rFonts w:ascii="Symbol" w:hAnsi="Symbol" w:cs="Symbol"/>
      <w:color w:val="000000"/>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ascii="Symbol" w:hAnsi="Symbol" w:cs="Symbol"/>
      <w:color w:val="000000"/>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rFonts w:ascii="Symbol" w:hAnsi="Symbol" w:cs="Symbol"/>
      <w:sz w:val="20"/>
    </w:rPr>
  </w:style>
  <w:style w:type="character" w:styleId="WW8Num18z1">
    <w:name w:val="WW8Num18z1"/>
    <w:qFormat/>
    <w:rPr>
      <w:rFonts w:ascii="Courier New" w:hAnsi="Courier New" w:cs="Courier New"/>
      <w:sz w:val="20"/>
    </w:rPr>
  </w:style>
  <w:style w:type="character" w:styleId="WW8Num18z2">
    <w:name w:val="WW8Num18z2"/>
    <w:qFormat/>
    <w:rPr>
      <w:rFonts w:ascii="Wingdings" w:hAnsi="Wingdings" w:cs="Wingdings"/>
      <w:sz w:val="20"/>
    </w:rPr>
  </w:style>
  <w:style w:type="character" w:styleId="WW8Num19z0">
    <w:name w:val="WW8Num19z0"/>
    <w:qFormat/>
    <w:rPr>
      <w:rFonts w:ascii="Symbol" w:hAnsi="Symbol" w:cs="Symbol"/>
      <w:color w:val="000000"/>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rFonts w:ascii="Symbol" w:hAnsi="Symbol" w:cs="Symbol"/>
      <w:color w:val="000000"/>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style>
  <w:style w:type="character" w:styleId="WW8Num22z0">
    <w:name w:val="WW8Num22z0"/>
    <w:qFormat/>
    <w:rPr>
      <w:rFonts w:ascii="Symbol" w:hAnsi="Symbol" w:cs="Symbol"/>
      <w:color w:val="000000"/>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0">
    <w:name w:val="WW8Num23z0"/>
    <w:qFormat/>
    <w:rPr>
      <w:rFonts w:ascii="Symbol" w:hAnsi="Symbol" w:cs="Symbol"/>
      <w:sz w:val="20"/>
    </w:rPr>
  </w:style>
  <w:style w:type="character" w:styleId="WW8Num23z1">
    <w:name w:val="WW8Num23z1"/>
    <w:qFormat/>
    <w:rPr>
      <w:rFonts w:ascii="Courier New" w:hAnsi="Courier New" w:cs="Courier New"/>
      <w:sz w:val="20"/>
    </w:rPr>
  </w:style>
  <w:style w:type="character" w:styleId="WW8Num23z2">
    <w:name w:val="WW8Num23z2"/>
    <w:qFormat/>
    <w:rPr>
      <w:rFonts w:ascii="Wingdings" w:hAnsi="Wingdings" w:cs="Wingdings"/>
      <w:sz w:val="20"/>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6z0">
    <w:name w:val="WW8Num26z0"/>
    <w:qFormat/>
    <w:rPr>
      <w:rFonts w:ascii="Symbol" w:hAnsi="Symbol" w:cs="Symbol"/>
      <w:color w:val="000000"/>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6z3">
    <w:name w:val="WW8Num26z3"/>
    <w:qFormat/>
    <w:rPr>
      <w:rFonts w:ascii="Symbol" w:hAnsi="Symbol" w:cs="Symbol"/>
    </w:rPr>
  </w:style>
  <w:style w:type="character" w:styleId="WW8Num27z0">
    <w:name w:val="WW8Num27z0"/>
    <w:qFormat/>
    <w:rPr>
      <w:rFonts w:ascii="Symbol" w:hAnsi="Symbol" w:cs="Symbol"/>
      <w:color w:val="000000"/>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7z3">
    <w:name w:val="WW8Num27z3"/>
    <w:qFormat/>
    <w:rPr>
      <w:rFonts w:ascii="Symbol" w:hAnsi="Symbol" w:cs="Symbol"/>
    </w:rPr>
  </w:style>
  <w:style w:type="character" w:styleId="DefaultParagraphFont">
    <w:name w:val="Default Paragraph Font"/>
    <w:qFormat/>
    <w:rPr/>
  </w:style>
  <w:style w:type="character" w:styleId="CommentReference">
    <w:name w:val="Comment Reference"/>
    <w:qFormat/>
    <w:rPr>
      <w:sz w:val="16"/>
      <w:szCs w:val="16"/>
    </w:rPr>
  </w:style>
  <w:style w:type="character" w:styleId="Strong">
    <w:name w:val="Strong"/>
    <w:qFormat/>
    <w:rPr>
      <w:b/>
      <w:bCs/>
    </w:rPr>
  </w:style>
  <w:style w:type="character" w:styleId="Hyperlink">
    <w:name w:val="Hyperlink"/>
    <w:rPr>
      <w:color w:val="0000FF"/>
      <w:u w:val="single"/>
    </w:rPr>
  </w:style>
  <w:style w:type="character" w:styleId="FollowedHyperlink">
    <w:name w:val="FollowedHyperlink"/>
    <w:rPr>
      <w:color w:val="606420"/>
      <w:u w:val="single"/>
    </w:rPr>
  </w:style>
  <w:style w:type="character" w:styleId="Emphasis">
    <w:name w:val="Emphasis"/>
    <w:qFormat/>
    <w:rPr>
      <w:i/>
      <w:iCs/>
    </w:rPr>
  </w:style>
  <w:style w:type="character" w:styleId="spelle">
    <w:name w:val="spelle"/>
    <w:basedOn w:val="DefaultParagraphFont"/>
    <w:qFormat/>
    <w:rPr/>
  </w:style>
  <w:style w:type="paragraph" w:styleId="Heading">
    <w:name w:val="Heading"/>
    <w:basedOn w:val="Normal"/>
    <w:next w:val="BodyText"/>
    <w:qFormat/>
    <w:pPr>
      <w:keepNext w:val="true"/>
      <w:spacing w:before="240" w:after="120"/>
    </w:pPr>
    <w:rPr>
      <w:rFonts w:ascii="DejaVu Sans" w:hAnsi="DejaVu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Bulletted">
    <w:name w:val="Bulletted"/>
    <w:basedOn w:val="Normal"/>
    <w:next w:val="Normal"/>
    <w:qFormat/>
    <w:pPr>
      <w:numPr>
        <w:ilvl w:val="0"/>
        <w:numId w:val="8"/>
      </w:numPr>
      <w:tabs>
        <w:tab w:val="clear" w:pos="720"/>
        <w:tab w:val="left" w:pos="360" w:leader="none"/>
        <w:tab w:val="left" w:pos="1080" w:leader="none"/>
        <w:tab w:val="left" w:pos="1800" w:leader="none"/>
        <w:tab w:val="left" w:pos="3240" w:leader="none"/>
      </w:tabs>
    </w:pPr>
    <w:rPr/>
  </w:style>
  <w:style w:type="paragraph" w:styleId="Outline4">
    <w:name w:val="Outline4"/>
    <w:basedOn w:val="Normal"/>
    <w:next w:val="Normal"/>
    <w:qFormat/>
    <w:pPr>
      <w:numPr>
        <w:ilvl w:val="0"/>
        <w:numId w:val="9"/>
      </w:numPr>
      <w:ind w:hanging="0" w:start="2160" w:end="0"/>
    </w:pPr>
    <w:rPr>
      <w:kern w:val="2"/>
    </w:rPr>
  </w:style>
  <w:style w:type="paragraph" w:styleId="Outline5">
    <w:name w:val="Outline5"/>
    <w:basedOn w:val="Normal"/>
    <w:next w:val="Normal"/>
    <w:qFormat/>
    <w:pPr>
      <w:numPr>
        <w:ilvl w:val="0"/>
        <w:numId w:val="10"/>
      </w:numPr>
      <w:ind w:hanging="0" w:start="720" w:end="0"/>
    </w:pPr>
    <w:rPr>
      <w:kern w:val="2"/>
    </w:rPr>
  </w:style>
  <w:style w:type="paragraph" w:styleId="Outline6">
    <w:name w:val="Outline6"/>
    <w:basedOn w:val="Normal"/>
    <w:next w:val="Normal"/>
    <w:qFormat/>
    <w:pPr>
      <w:numPr>
        <w:ilvl w:val="0"/>
        <w:numId w:val="11"/>
      </w:numPr>
      <w:spacing w:before="0" w:after="240"/>
      <w:ind w:hanging="0" w:start="2160" w:end="0"/>
    </w:pPr>
    <w:rPr>
      <w:kern w:val="2"/>
    </w:rPr>
  </w:style>
  <w:style w:type="paragraph" w:styleId="Outline7">
    <w:name w:val="Outline7"/>
    <w:basedOn w:val="Normal"/>
    <w:next w:val="Normal"/>
    <w:qFormat/>
    <w:pPr>
      <w:numPr>
        <w:ilvl w:val="0"/>
        <w:numId w:val="12"/>
      </w:numPr>
      <w:spacing w:before="0" w:after="240"/>
      <w:ind w:hanging="0" w:start="720" w:end="0"/>
    </w:pPr>
    <w:rPr>
      <w:kern w:val="2"/>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CommentText">
    <w:name w:val="Comment Text"/>
    <w:basedOn w:val="Normal"/>
    <w:qFormat/>
    <w:pPr/>
    <w:rPr>
      <w:sz w:val="20"/>
    </w:rPr>
  </w:style>
  <w:style w:type="paragraph" w:styleId="CommentSubject">
    <w:name w:val="Comment Subject"/>
    <w:basedOn w:val="CommentText"/>
    <w:next w:val="CommentText"/>
    <w:qFormat/>
    <w:pPr/>
    <w:rPr>
      <w:b/>
      <w:bCs/>
    </w:rPr>
  </w:style>
  <w:style w:type="paragraph" w:styleId="BalloonText">
    <w:name w:val="Balloon Text"/>
    <w:basedOn w:val="Normal"/>
    <w:qFormat/>
    <w:pPr/>
    <w:rPr>
      <w:rFonts w:ascii="Tahoma" w:hAnsi="Tahoma" w:cs="Tahoma"/>
      <w:sz w:val="16"/>
      <w:szCs w:val="16"/>
    </w:rPr>
  </w:style>
  <w:style w:type="paragraph" w:styleId="NormalWeb">
    <w:name w:val="Normal (Web)"/>
    <w:basedOn w:val="Normal"/>
    <w:qFormat/>
    <w:pPr/>
    <w:rPr>
      <w:szCs w:val="24"/>
    </w:rPr>
  </w:style>
  <w:style w:type="paragraph" w:styleId="BillADPara">
    <w:name w:val="BillADPara"/>
    <w:basedOn w:val="Normal"/>
    <w:qFormat/>
    <w:pPr>
      <w:numPr>
        <w:ilvl w:val="0"/>
        <w:numId w:val="5"/>
      </w:numPr>
      <w:tabs>
        <w:tab w:val="clear" w:pos="720"/>
        <w:tab w:val="left" w:pos="1418" w:leader="none"/>
        <w:tab w:val="left" w:pos="2126" w:leader="none"/>
        <w:tab w:val="left" w:pos="2835" w:leader="none"/>
        <w:tab w:val="left" w:pos="3544" w:leader="none"/>
        <w:tab w:val="left" w:pos="4253" w:leader="none"/>
        <w:tab w:val="left" w:pos="4961" w:leader="none"/>
        <w:tab w:val="left" w:pos="5670" w:leader="none"/>
      </w:tabs>
      <w:spacing w:before="0" w:after="360"/>
      <w:jc w:val="both"/>
    </w:pPr>
    <w:rPr>
      <w:rFonts w:ascii="Times New Roman" w:hAnsi="Times New Roman" w:cs="Times New Roman"/>
      <w:sz w:val="24"/>
    </w:rPr>
  </w:style>
  <w:style w:type="paragraph" w:styleId="BillADHeading3">
    <w:name w:val="BillADHeading3"/>
    <w:basedOn w:val="Normal"/>
    <w:qFormat/>
    <w:pPr>
      <w:keepNext w:val="true"/>
      <w:keepLines/>
      <w:widowControl w:val="false"/>
      <w:tabs>
        <w:tab w:val="clear" w:pos="720"/>
        <w:tab w:val="left" w:pos="709" w:leader="none"/>
        <w:tab w:val="left" w:pos="1418" w:leader="none"/>
        <w:tab w:val="left" w:pos="2126" w:leader="none"/>
        <w:tab w:val="left" w:pos="2835" w:leader="none"/>
        <w:tab w:val="left" w:pos="3544" w:leader="none"/>
        <w:tab w:val="left" w:pos="4253" w:leader="none"/>
        <w:tab w:val="left" w:pos="4961" w:leader="none"/>
        <w:tab w:val="left" w:pos="5670" w:leader="none"/>
      </w:tabs>
      <w:spacing w:before="0" w:after="240"/>
      <w:jc w:val="both"/>
    </w:pPr>
    <w:rPr>
      <w:rFonts w:ascii="Times New Roman" w:hAnsi="Times New Roman" w:cs="Times New Roman"/>
      <w:b/>
      <w:sz w:val="24"/>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aib.gov.uk/publications/debt-arrangement-scheme-review-2012" TargetMode="External"/><Relationship Id="rId3" Type="http://schemas.openxmlformats.org/officeDocument/2006/relationships/image" Target="media/image1.wmf"/><Relationship Id="rId4" Type="http://schemas.openxmlformats.org/officeDocument/2006/relationships/hyperlink" Target="mailto:martin.smith2@aib.gsi.gov.uk" TargetMode="External"/><Relationship Id="rId5" Type="http://schemas.openxmlformats.org/officeDocument/2006/relationships/hyperlink" Target="mailto:martin.smith2@aib.gsi.gov.uk"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2013-05-20T14:47:00Z</dcterms:created>
  <dc:creator>u202231</dc:creator>
  <dc:description/>
  <dc:language>en-US</dc:language>
  <cp:lastModifiedBy>u200912</cp:lastModifiedBy>
  <cp:lastPrinted>2013-05-10T12:04:00Z</cp:lastPrinted>
  <dcterms:modified xsi:type="dcterms:W3CDTF">2013-05-20T14:47:00Z</dcterms:modified>
  <cp:revision>2</cp:revision>
  <dc:subject/>
  <dc:title>Regulatory Impact Assessment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bjective-Caveats">
    <vt:lpwstr/>
  </property>
  <property fmtid="{D5CDD505-2E9C-101B-9397-08002B2CF9AE}" pid="3" name="Objective-Classification">
    <vt:lpwstr>[Inherited - Restricted]</vt:lpwstr>
  </property>
  <property fmtid="{D5CDD505-2E9C-101B-9397-08002B2CF9AE}" pid="4" name="Objective-Comment">
    <vt:lpwstr/>
  </property>
  <property fmtid="{D5CDD505-2E9C-101B-9397-08002B2CF9AE}" pid="5" name="Objective-CreationStamp">
    <vt:filetime>2013-05-07T15:15:23Z</vt:filetime>
  </property>
  <property fmtid="{D5CDD505-2E9C-101B-9397-08002B2CF9AE}" pid="6" name="Objective-Date Received [system]">
    <vt:lpwstr/>
  </property>
  <property fmtid="{D5CDD505-2E9C-101B-9397-08002B2CF9AE}" pid="7" name="Objective-Date of Original [system]">
    <vt:lpwstr/>
  </property>
  <property fmtid="{D5CDD505-2E9C-101B-9397-08002B2CF9AE}" pid="8" name="Objective-DatePublished">
    <vt:filetime>2013-05-17T10:37:12Z</vt:filetime>
  </property>
  <property fmtid="{D5CDD505-2E9C-101B-9397-08002B2CF9AE}" pid="9" name="Objective-FileNumber">
    <vt:lpwstr>POL/15841</vt:lpwstr>
  </property>
  <property fmtid="{D5CDD505-2E9C-101B-9397-08002B2CF9AE}" pid="10" name="Objective-Id">
    <vt:lpwstr>A5879320</vt:lpwstr>
  </property>
  <property fmtid="{D5CDD505-2E9C-101B-9397-08002B2CF9AE}" pid="11" name="Objective-IsApproved">
    <vt:bool>0</vt:bool>
  </property>
  <property fmtid="{D5CDD505-2E9C-101B-9397-08002B2CF9AE}" pid="12" name="Objective-IsPublished">
    <vt:bool>1</vt:bool>
  </property>
  <property fmtid="{D5CDD505-2E9C-101B-9397-08002B2CF9AE}" pid="13" name="Objective-ModificationStamp">
    <vt:filetime>2013-05-17T10:37:13Z</vt:filetime>
  </property>
  <property fmtid="{D5CDD505-2E9C-101B-9397-08002B2CF9AE}" pid="14" name="Objective-Owner">
    <vt:lpwstr>Smith, Martin M (N413894)</vt:lpwstr>
  </property>
  <property fmtid="{D5CDD505-2E9C-101B-9397-08002B2CF9AE}" pid="15" name="Objective-Parent">
    <vt:lpwstr>Accountant in Bankruptcy (AiB) - Policy Development - Bankruptcy Vision [S] Bill - General: 2011</vt:lpwstr>
  </property>
  <property fmtid="{D5CDD505-2E9C-101B-9397-08002B2CF9AE}" pid="16" name="Objective-Path">
    <vt:lpwstr>Objective Global Folder:SG File Plan:Business and industry:Business practice and regulation:Insolvency:Advice and policy: Insolvency:Accountant in Bankruptcy (AiB) - Policy Development - Bankruptcy Vision [S] Bill - General: 2011:</vt:lpwstr>
  </property>
  <property fmtid="{D5CDD505-2E9C-101B-9397-08002B2CF9AE}" pid="17" name="Objective-SG Web Publication - Category 2 Classification [system]">
    <vt:lpwstr/>
  </property>
  <property fmtid="{D5CDD505-2E9C-101B-9397-08002B2CF9AE}" pid="18" name="Objective-SG Web Publication - Category [system]">
    <vt:lpwstr/>
  </property>
  <property fmtid="{D5CDD505-2E9C-101B-9397-08002B2CF9AE}" pid="19" name="Objective-State">
    <vt:lpwstr>Published</vt:lpwstr>
  </property>
  <property fmtid="{D5CDD505-2E9C-101B-9397-08002B2CF9AE}" pid="20" name="Objective-Title">
    <vt:lpwstr>Debt Arrangement Scheme (DAS) -  BRIA - 2013</vt:lpwstr>
  </property>
  <property fmtid="{D5CDD505-2E9C-101B-9397-08002B2CF9AE}" pid="21" name="Objective-Version">
    <vt:lpwstr>6.0</vt:lpwstr>
  </property>
  <property fmtid="{D5CDD505-2E9C-101B-9397-08002B2CF9AE}" pid="22" name="Objective-VersionComment">
    <vt:lpwstr/>
  </property>
  <property fmtid="{D5CDD505-2E9C-101B-9397-08002B2CF9AE}" pid="23" name="Objective-VersionNumber">
    <vt:r8>11</vt:r8>
  </property>
</Properties>
</file>