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7040" w:rsidRDefault="00CA64BD" w:rsidP="00F01D87">
      <w:pPr>
        <w:jc w:val="both"/>
        <w:rPr>
          <w:rFonts w:ascii="Arial" w:hAnsi="Arial" w:cs="Arial"/>
          <w:b/>
          <w:sz w:val="28"/>
          <w:szCs w:val="28"/>
        </w:rPr>
      </w:pPr>
      <w:r w:rsidRPr="00CA64BD">
        <w:rPr>
          <w:rFonts w:ascii="Arial" w:hAnsi="Arial" w:cs="Arial"/>
          <w:b/>
          <w:sz w:val="28"/>
          <w:szCs w:val="28"/>
        </w:rPr>
        <w:t>COMMISSION DIRECTIVE 2014/80/EU</w:t>
      </w:r>
      <w:r>
        <w:rPr>
          <w:rFonts w:ascii="Arial" w:hAnsi="Arial" w:cs="Arial"/>
          <w:b/>
          <w:sz w:val="28"/>
          <w:szCs w:val="28"/>
        </w:rPr>
        <w:t xml:space="preserve"> </w:t>
      </w:r>
      <w:r w:rsidRPr="00CA64BD">
        <w:rPr>
          <w:rFonts w:ascii="Arial" w:hAnsi="Arial" w:cs="Arial"/>
          <w:b/>
          <w:sz w:val="28"/>
          <w:szCs w:val="28"/>
        </w:rPr>
        <w:t>of 20 June 2014</w:t>
      </w:r>
      <w:r>
        <w:rPr>
          <w:rFonts w:ascii="Arial" w:hAnsi="Arial" w:cs="Arial"/>
          <w:b/>
          <w:sz w:val="28"/>
          <w:szCs w:val="28"/>
        </w:rPr>
        <w:t xml:space="preserve"> </w:t>
      </w:r>
      <w:r w:rsidRPr="00CA64BD">
        <w:rPr>
          <w:rFonts w:ascii="Arial" w:hAnsi="Arial" w:cs="Arial"/>
          <w:b/>
          <w:sz w:val="28"/>
          <w:szCs w:val="28"/>
        </w:rPr>
        <w:t>amending Annex II to Directive 2006/118/EC of the European Parliament and of the Council on the protection of groundwater agai</w:t>
      </w:r>
      <w:r>
        <w:rPr>
          <w:rFonts w:ascii="Arial" w:hAnsi="Arial" w:cs="Arial"/>
          <w:b/>
          <w:sz w:val="28"/>
          <w:szCs w:val="28"/>
        </w:rPr>
        <w:t>nst pollution and deterioration</w:t>
      </w:r>
      <w:r w:rsidR="00137040">
        <w:rPr>
          <w:rFonts w:ascii="Arial" w:hAnsi="Arial" w:cs="Arial"/>
          <w:b/>
          <w:sz w:val="28"/>
          <w:szCs w:val="28"/>
        </w:rPr>
        <w:t>:</w:t>
      </w:r>
    </w:p>
    <w:p w:rsidR="00483109" w:rsidRDefault="00483109" w:rsidP="00F01D87">
      <w:pPr>
        <w:jc w:val="both"/>
        <w:rPr>
          <w:rFonts w:ascii="Arial" w:hAnsi="Arial" w:cs="Arial"/>
          <w:b/>
          <w:sz w:val="28"/>
          <w:szCs w:val="28"/>
        </w:rPr>
      </w:pPr>
    </w:p>
    <w:p w:rsidR="00B921ED" w:rsidRDefault="00137040" w:rsidP="00F01D87">
      <w:pPr>
        <w:jc w:val="both"/>
        <w:rPr>
          <w:rFonts w:ascii="Arial" w:hAnsi="Arial" w:cs="Arial"/>
          <w:b/>
          <w:sz w:val="28"/>
          <w:szCs w:val="28"/>
        </w:rPr>
      </w:pPr>
      <w:r>
        <w:rPr>
          <w:rFonts w:ascii="Arial" w:hAnsi="Arial" w:cs="Arial"/>
          <w:b/>
          <w:sz w:val="28"/>
          <w:szCs w:val="28"/>
        </w:rPr>
        <w:t xml:space="preserve">Transposition note </w:t>
      </w:r>
      <w:r w:rsidR="00AF67BA">
        <w:rPr>
          <w:rFonts w:ascii="Arial" w:hAnsi="Arial" w:cs="Arial"/>
          <w:b/>
          <w:sz w:val="28"/>
          <w:szCs w:val="28"/>
        </w:rPr>
        <w:t>with regard to</w:t>
      </w:r>
      <w:r>
        <w:rPr>
          <w:rFonts w:ascii="Arial" w:hAnsi="Arial" w:cs="Arial"/>
          <w:b/>
          <w:sz w:val="28"/>
          <w:szCs w:val="28"/>
        </w:rPr>
        <w:t xml:space="preserve"> the </w:t>
      </w:r>
      <w:r w:rsidR="007F123E">
        <w:rPr>
          <w:rFonts w:ascii="Arial" w:hAnsi="Arial" w:cs="Arial"/>
          <w:b/>
          <w:sz w:val="28"/>
          <w:szCs w:val="28"/>
        </w:rPr>
        <w:t xml:space="preserve">Groundwater </w:t>
      </w:r>
      <w:r w:rsidR="00186828">
        <w:rPr>
          <w:rFonts w:ascii="Arial" w:hAnsi="Arial" w:cs="Arial"/>
          <w:b/>
          <w:sz w:val="28"/>
          <w:szCs w:val="28"/>
        </w:rPr>
        <w:t>(Amendment)</w:t>
      </w:r>
      <w:r>
        <w:rPr>
          <w:rFonts w:ascii="Arial" w:hAnsi="Arial" w:cs="Arial"/>
          <w:b/>
          <w:sz w:val="28"/>
          <w:szCs w:val="28"/>
        </w:rPr>
        <w:t xml:space="preserve"> Regulations (Northern Ireland</w:t>
      </w:r>
      <w:r w:rsidR="00CC749A">
        <w:rPr>
          <w:rFonts w:ascii="Arial" w:hAnsi="Arial" w:cs="Arial"/>
          <w:b/>
          <w:sz w:val="28"/>
          <w:szCs w:val="28"/>
        </w:rPr>
        <w:t>) 201</w:t>
      </w:r>
      <w:r w:rsidR="007F123E">
        <w:rPr>
          <w:rFonts w:ascii="Arial" w:hAnsi="Arial" w:cs="Arial"/>
          <w:b/>
          <w:sz w:val="28"/>
          <w:szCs w:val="28"/>
        </w:rPr>
        <w:t>6</w:t>
      </w:r>
      <w:r w:rsidR="005C6FA3">
        <w:rPr>
          <w:rFonts w:ascii="Arial" w:hAnsi="Arial" w:cs="Arial"/>
          <w:b/>
          <w:sz w:val="28"/>
          <w:szCs w:val="28"/>
        </w:rPr>
        <w:t xml:space="preserve"> (S.R 201</w:t>
      </w:r>
      <w:r w:rsidR="007F123E">
        <w:rPr>
          <w:rFonts w:ascii="Arial" w:hAnsi="Arial" w:cs="Arial"/>
          <w:b/>
          <w:sz w:val="28"/>
          <w:szCs w:val="28"/>
        </w:rPr>
        <w:t>6</w:t>
      </w:r>
      <w:r w:rsidR="005C6FA3">
        <w:rPr>
          <w:rFonts w:ascii="Arial" w:hAnsi="Arial" w:cs="Arial"/>
          <w:b/>
          <w:sz w:val="28"/>
          <w:szCs w:val="28"/>
        </w:rPr>
        <w:t>/</w:t>
      </w:r>
      <w:r w:rsidR="00710A76">
        <w:rPr>
          <w:rFonts w:ascii="Arial" w:hAnsi="Arial" w:cs="Arial"/>
          <w:b/>
          <w:sz w:val="28"/>
          <w:szCs w:val="28"/>
        </w:rPr>
        <w:t>119</w:t>
      </w:r>
      <w:r w:rsidR="005C6FA3" w:rsidRPr="00BA6529">
        <w:rPr>
          <w:rFonts w:ascii="Arial" w:hAnsi="Arial" w:cs="Arial"/>
          <w:b/>
          <w:sz w:val="28"/>
          <w:szCs w:val="28"/>
        </w:rPr>
        <w:t>)</w:t>
      </w:r>
      <w:r w:rsidR="008114EF">
        <w:rPr>
          <w:rFonts w:ascii="Arial" w:hAnsi="Arial" w:cs="Arial"/>
          <w:b/>
          <w:sz w:val="28"/>
          <w:szCs w:val="28"/>
        </w:rPr>
        <w:t xml:space="preserve">, </w:t>
      </w:r>
    </w:p>
    <w:p w:rsidR="00B921ED" w:rsidRDefault="00B921ED">
      <w:pPr>
        <w:rPr>
          <w:rFonts w:ascii="Arial" w:hAnsi="Arial" w:cs="Arial"/>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60"/>
        <w:gridCol w:w="7020"/>
        <w:gridCol w:w="3960"/>
        <w:gridCol w:w="2340"/>
      </w:tblGrid>
      <w:tr w:rsidR="00B921ED" w:rsidRPr="0068274C" w:rsidTr="0068274C">
        <w:trPr>
          <w:tblHeader/>
        </w:trPr>
        <w:tc>
          <w:tcPr>
            <w:tcW w:w="1260" w:type="dxa"/>
          </w:tcPr>
          <w:p w:rsidR="00B921ED" w:rsidRPr="0068274C" w:rsidRDefault="00B921ED" w:rsidP="0068274C">
            <w:pPr>
              <w:jc w:val="center"/>
              <w:rPr>
                <w:rFonts w:ascii="Arial" w:hAnsi="Arial" w:cs="Arial"/>
                <w:b/>
              </w:rPr>
            </w:pPr>
            <w:r w:rsidRPr="0068274C">
              <w:rPr>
                <w:rFonts w:ascii="Arial" w:hAnsi="Arial" w:cs="Arial"/>
                <w:b/>
              </w:rPr>
              <w:t>ARTICLE</w:t>
            </w:r>
          </w:p>
        </w:tc>
        <w:tc>
          <w:tcPr>
            <w:tcW w:w="7020" w:type="dxa"/>
          </w:tcPr>
          <w:p w:rsidR="00B921ED" w:rsidRPr="0068274C" w:rsidRDefault="00B921ED">
            <w:pPr>
              <w:rPr>
                <w:rFonts w:ascii="Arial" w:hAnsi="Arial" w:cs="Arial"/>
                <w:b/>
              </w:rPr>
            </w:pPr>
            <w:r w:rsidRPr="0068274C">
              <w:rPr>
                <w:rFonts w:ascii="Arial" w:hAnsi="Arial" w:cs="Arial"/>
                <w:b/>
              </w:rPr>
              <w:t>OBJECTIVE</w:t>
            </w:r>
          </w:p>
        </w:tc>
        <w:tc>
          <w:tcPr>
            <w:tcW w:w="3960" w:type="dxa"/>
          </w:tcPr>
          <w:p w:rsidR="00B921ED" w:rsidRPr="0068274C" w:rsidRDefault="00B921ED">
            <w:pPr>
              <w:rPr>
                <w:rFonts w:ascii="Arial" w:hAnsi="Arial" w:cs="Arial"/>
                <w:b/>
              </w:rPr>
            </w:pPr>
            <w:r w:rsidRPr="0068274C">
              <w:rPr>
                <w:rFonts w:ascii="Arial" w:hAnsi="Arial" w:cs="Arial"/>
                <w:b/>
              </w:rPr>
              <w:t>IMPLEMENTATION</w:t>
            </w:r>
          </w:p>
        </w:tc>
        <w:tc>
          <w:tcPr>
            <w:tcW w:w="2340" w:type="dxa"/>
          </w:tcPr>
          <w:p w:rsidR="00B921ED" w:rsidRPr="0068274C" w:rsidRDefault="00B921ED">
            <w:pPr>
              <w:rPr>
                <w:rFonts w:ascii="Arial" w:hAnsi="Arial" w:cs="Arial"/>
              </w:rPr>
            </w:pPr>
            <w:r w:rsidRPr="0068274C">
              <w:rPr>
                <w:rFonts w:ascii="Arial" w:hAnsi="Arial" w:cs="Arial"/>
                <w:b/>
              </w:rPr>
              <w:t>RESPONSIBILITY</w:t>
            </w:r>
          </w:p>
        </w:tc>
      </w:tr>
      <w:tr w:rsidR="001E6510" w:rsidRPr="0068274C" w:rsidTr="0068274C">
        <w:tc>
          <w:tcPr>
            <w:tcW w:w="1260" w:type="dxa"/>
          </w:tcPr>
          <w:p w:rsidR="001E6510" w:rsidRPr="0068274C" w:rsidRDefault="002A5B68" w:rsidP="0068274C">
            <w:pPr>
              <w:jc w:val="center"/>
              <w:rPr>
                <w:rFonts w:ascii="Arial" w:hAnsi="Arial" w:cs="Arial"/>
              </w:rPr>
            </w:pPr>
            <w:r>
              <w:rPr>
                <w:rFonts w:ascii="Arial" w:hAnsi="Arial" w:cs="Arial"/>
              </w:rPr>
              <w:t>1</w:t>
            </w:r>
          </w:p>
        </w:tc>
        <w:tc>
          <w:tcPr>
            <w:tcW w:w="7020" w:type="dxa"/>
          </w:tcPr>
          <w:p w:rsidR="001E6510" w:rsidRDefault="00CA64BD" w:rsidP="008114EF">
            <w:pPr>
              <w:rPr>
                <w:rFonts w:ascii="Arial" w:hAnsi="Arial" w:cs="Arial"/>
              </w:rPr>
            </w:pPr>
            <w:r w:rsidRPr="00CA64BD">
              <w:rPr>
                <w:rFonts w:ascii="Arial" w:hAnsi="Arial" w:cs="Arial"/>
              </w:rPr>
              <w:t xml:space="preserve">Annex II to </w:t>
            </w:r>
            <w:r w:rsidR="00A514C3">
              <w:rPr>
                <w:rFonts w:ascii="Arial" w:hAnsi="Arial" w:cs="Arial"/>
              </w:rPr>
              <w:t xml:space="preserve">the Groundwater </w:t>
            </w:r>
            <w:r w:rsidRPr="00CA64BD">
              <w:rPr>
                <w:rFonts w:ascii="Arial" w:hAnsi="Arial" w:cs="Arial"/>
              </w:rPr>
              <w:t xml:space="preserve">Directive 2006/118/EC is amended in accordance with the Annex to </w:t>
            </w:r>
            <w:r w:rsidR="00A514C3" w:rsidRPr="00A514C3">
              <w:rPr>
                <w:rFonts w:ascii="Arial" w:hAnsi="Arial" w:cs="Arial"/>
              </w:rPr>
              <w:t>COMMISSION DIRECTIVE 2014/80/EU</w:t>
            </w:r>
            <w:r w:rsidRPr="00CA64BD">
              <w:rPr>
                <w:rFonts w:ascii="Arial" w:hAnsi="Arial" w:cs="Arial"/>
              </w:rPr>
              <w:t>.</w:t>
            </w:r>
          </w:p>
        </w:tc>
        <w:tc>
          <w:tcPr>
            <w:tcW w:w="3960" w:type="dxa"/>
          </w:tcPr>
          <w:p w:rsidR="001E6510" w:rsidRPr="0068274C" w:rsidRDefault="002A5B68" w:rsidP="00A072FD">
            <w:pPr>
              <w:rPr>
                <w:rFonts w:ascii="Arial" w:hAnsi="Arial" w:cs="Arial"/>
              </w:rPr>
            </w:pPr>
            <w:r>
              <w:rPr>
                <w:rFonts w:ascii="Arial" w:hAnsi="Arial" w:cs="Arial"/>
              </w:rPr>
              <w:t>Regulation 1</w:t>
            </w:r>
            <w:r w:rsidR="00126A67">
              <w:rPr>
                <w:rFonts w:ascii="Arial" w:hAnsi="Arial" w:cs="Arial"/>
              </w:rPr>
              <w:t xml:space="preserve"> of</w:t>
            </w:r>
            <w:r>
              <w:rPr>
                <w:rFonts w:ascii="Arial" w:hAnsi="Arial" w:cs="Arial"/>
              </w:rPr>
              <w:t xml:space="preserve"> </w:t>
            </w:r>
            <w:r w:rsidR="00126A67">
              <w:rPr>
                <w:rFonts w:ascii="Arial" w:hAnsi="Arial" w:cs="Arial"/>
              </w:rPr>
              <w:t xml:space="preserve">the </w:t>
            </w:r>
            <w:r w:rsidR="00A072FD">
              <w:rPr>
                <w:rFonts w:ascii="Arial" w:hAnsi="Arial" w:cs="Arial"/>
              </w:rPr>
              <w:t xml:space="preserve">Groundwater </w:t>
            </w:r>
            <w:r w:rsidR="001529D1" w:rsidRPr="001529D1">
              <w:rPr>
                <w:rFonts w:ascii="Arial" w:hAnsi="Arial" w:cs="Arial"/>
              </w:rPr>
              <w:t>(Amendment) Regulations (Northern Ireland) 201</w:t>
            </w:r>
            <w:r w:rsidR="00D86C5F">
              <w:rPr>
                <w:rFonts w:ascii="Arial" w:hAnsi="Arial" w:cs="Arial"/>
              </w:rPr>
              <w:t>6</w:t>
            </w:r>
          </w:p>
        </w:tc>
        <w:tc>
          <w:tcPr>
            <w:tcW w:w="2340" w:type="dxa"/>
          </w:tcPr>
          <w:p w:rsidR="001E6510" w:rsidRDefault="002A5B68" w:rsidP="002A5B68">
            <w:pPr>
              <w:rPr>
                <w:rFonts w:ascii="Arial" w:hAnsi="Arial" w:cs="Arial"/>
              </w:rPr>
            </w:pPr>
            <w:r>
              <w:rPr>
                <w:rFonts w:ascii="Arial" w:hAnsi="Arial" w:cs="Arial"/>
              </w:rPr>
              <w:t xml:space="preserve">The </w:t>
            </w:r>
            <w:r w:rsidRPr="0068274C">
              <w:rPr>
                <w:rFonts w:ascii="Arial" w:hAnsi="Arial" w:cs="Arial"/>
              </w:rPr>
              <w:t>Department of</w:t>
            </w:r>
            <w:r w:rsidR="00F437D8">
              <w:rPr>
                <w:rFonts w:ascii="Arial" w:hAnsi="Arial" w:cs="Arial"/>
              </w:rPr>
              <w:t xml:space="preserve"> the </w:t>
            </w:r>
            <w:r w:rsidRPr="0068274C">
              <w:rPr>
                <w:rFonts w:ascii="Arial" w:hAnsi="Arial" w:cs="Arial"/>
              </w:rPr>
              <w:t>Environment</w:t>
            </w:r>
          </w:p>
        </w:tc>
      </w:tr>
      <w:tr w:rsidR="001E6510" w:rsidRPr="0068274C" w:rsidTr="0068274C">
        <w:tc>
          <w:tcPr>
            <w:tcW w:w="1260" w:type="dxa"/>
          </w:tcPr>
          <w:p w:rsidR="001E6510" w:rsidRPr="0068274C" w:rsidRDefault="002A5B68" w:rsidP="0068274C">
            <w:pPr>
              <w:jc w:val="center"/>
              <w:rPr>
                <w:rFonts w:ascii="Arial" w:hAnsi="Arial" w:cs="Arial"/>
              </w:rPr>
            </w:pPr>
            <w:r>
              <w:rPr>
                <w:rFonts w:ascii="Arial" w:hAnsi="Arial" w:cs="Arial"/>
              </w:rPr>
              <w:t>2</w:t>
            </w:r>
          </w:p>
        </w:tc>
        <w:tc>
          <w:tcPr>
            <w:tcW w:w="7020" w:type="dxa"/>
          </w:tcPr>
          <w:p w:rsidR="002A5B68" w:rsidRDefault="002D1789" w:rsidP="002A5B68">
            <w:pPr>
              <w:rPr>
                <w:rFonts w:ascii="Arial" w:hAnsi="Arial" w:cs="Arial"/>
              </w:rPr>
            </w:pPr>
            <w:r w:rsidRPr="002D1789">
              <w:rPr>
                <w:rFonts w:ascii="Arial" w:hAnsi="Arial" w:cs="Arial"/>
              </w:rPr>
              <w:t>Member States shall bring into force the laws, regulations and administrative provisions necessary to comply with this Directive by 24 months from the date of entry into force at the latest. They shall forthwith communicate to the Commission the text of those provisions.</w:t>
            </w:r>
          </w:p>
          <w:p w:rsidR="002D1789" w:rsidRPr="002D1789" w:rsidRDefault="002D1789" w:rsidP="002D1789">
            <w:pPr>
              <w:rPr>
                <w:rFonts w:ascii="Arial" w:hAnsi="Arial" w:cs="Arial"/>
              </w:rPr>
            </w:pPr>
            <w:r w:rsidRPr="002D1789">
              <w:rPr>
                <w:rFonts w:ascii="Arial" w:hAnsi="Arial" w:cs="Arial"/>
              </w:rPr>
              <w:t>When Member States adopt those provisions, they shall contain a reference to this Directive or be accompanied by such a reference on the occasion of their official publication. Member States shall determine how such reference is to be made.</w:t>
            </w:r>
          </w:p>
          <w:p w:rsidR="002D1789" w:rsidRDefault="002D1789" w:rsidP="002D1789">
            <w:pPr>
              <w:rPr>
                <w:rFonts w:ascii="Arial" w:hAnsi="Arial" w:cs="Arial"/>
              </w:rPr>
            </w:pPr>
            <w:r w:rsidRPr="002D1789">
              <w:rPr>
                <w:rFonts w:ascii="Arial" w:hAnsi="Arial" w:cs="Arial"/>
              </w:rPr>
              <w:t xml:space="preserve"> Member States shall communicate to the Commission the text of the main provisions of national law which they adopt in the field covered by this Directive.</w:t>
            </w:r>
          </w:p>
        </w:tc>
        <w:tc>
          <w:tcPr>
            <w:tcW w:w="3960" w:type="dxa"/>
          </w:tcPr>
          <w:p w:rsidR="00CC7563" w:rsidRPr="0068274C" w:rsidRDefault="00F028E7" w:rsidP="00D86C5F">
            <w:pPr>
              <w:rPr>
                <w:rFonts w:ascii="Arial" w:hAnsi="Arial" w:cs="Arial"/>
              </w:rPr>
            </w:pPr>
            <w:r>
              <w:rPr>
                <w:rFonts w:ascii="Arial" w:hAnsi="Arial" w:cs="Arial"/>
              </w:rPr>
              <w:t>Regulation 3</w:t>
            </w:r>
            <w:r w:rsidR="00F437D8">
              <w:rPr>
                <w:rFonts w:ascii="Arial" w:hAnsi="Arial" w:cs="Arial"/>
              </w:rPr>
              <w:t xml:space="preserve"> </w:t>
            </w:r>
            <w:r w:rsidR="00126A67">
              <w:rPr>
                <w:rFonts w:ascii="Arial" w:hAnsi="Arial" w:cs="Arial"/>
              </w:rPr>
              <w:t xml:space="preserve">of the </w:t>
            </w:r>
            <w:r w:rsidR="00D86C5F">
              <w:rPr>
                <w:rFonts w:ascii="Arial" w:hAnsi="Arial" w:cs="Arial"/>
              </w:rPr>
              <w:t xml:space="preserve">Groundwater </w:t>
            </w:r>
            <w:r w:rsidR="00D86C5F" w:rsidRPr="001529D1">
              <w:rPr>
                <w:rFonts w:ascii="Arial" w:hAnsi="Arial" w:cs="Arial"/>
              </w:rPr>
              <w:t>(Amendment) Regulations (Northern Ireland) 201</w:t>
            </w:r>
            <w:r w:rsidR="00D86C5F">
              <w:rPr>
                <w:rFonts w:ascii="Arial" w:hAnsi="Arial" w:cs="Arial"/>
              </w:rPr>
              <w:t>6</w:t>
            </w:r>
          </w:p>
        </w:tc>
        <w:tc>
          <w:tcPr>
            <w:tcW w:w="2340" w:type="dxa"/>
          </w:tcPr>
          <w:p w:rsidR="001E6510" w:rsidRDefault="00F437D8" w:rsidP="00791D4F">
            <w:pPr>
              <w:rPr>
                <w:rFonts w:ascii="Arial" w:hAnsi="Arial" w:cs="Arial"/>
              </w:rPr>
            </w:pPr>
            <w:r>
              <w:rPr>
                <w:rFonts w:ascii="Arial" w:hAnsi="Arial" w:cs="Arial"/>
              </w:rPr>
              <w:t xml:space="preserve">The </w:t>
            </w:r>
            <w:r w:rsidRPr="0068274C">
              <w:rPr>
                <w:rFonts w:ascii="Arial" w:hAnsi="Arial" w:cs="Arial"/>
              </w:rPr>
              <w:t xml:space="preserve">Department of </w:t>
            </w:r>
            <w:r>
              <w:rPr>
                <w:rFonts w:ascii="Arial" w:hAnsi="Arial" w:cs="Arial"/>
              </w:rPr>
              <w:t xml:space="preserve">the </w:t>
            </w:r>
            <w:r w:rsidRPr="0068274C">
              <w:rPr>
                <w:rFonts w:ascii="Arial" w:hAnsi="Arial" w:cs="Arial"/>
              </w:rPr>
              <w:t>Environment</w:t>
            </w:r>
            <w:r w:rsidR="00375AC3">
              <w:rPr>
                <w:rFonts w:ascii="Arial" w:hAnsi="Arial" w:cs="Arial"/>
              </w:rPr>
              <w:t xml:space="preserve">. </w:t>
            </w:r>
          </w:p>
        </w:tc>
      </w:tr>
      <w:tr w:rsidR="002D1789" w:rsidRPr="0068274C" w:rsidTr="0068274C">
        <w:tc>
          <w:tcPr>
            <w:tcW w:w="1260" w:type="dxa"/>
          </w:tcPr>
          <w:p w:rsidR="002D1789" w:rsidRPr="0068274C" w:rsidRDefault="002D1789" w:rsidP="0068274C">
            <w:pPr>
              <w:jc w:val="center"/>
              <w:rPr>
                <w:rFonts w:ascii="Arial" w:hAnsi="Arial" w:cs="Arial"/>
              </w:rPr>
            </w:pPr>
            <w:r w:rsidRPr="0068274C">
              <w:rPr>
                <w:rFonts w:ascii="Arial" w:hAnsi="Arial" w:cs="Arial"/>
              </w:rPr>
              <w:t>3</w:t>
            </w:r>
          </w:p>
        </w:tc>
        <w:tc>
          <w:tcPr>
            <w:tcW w:w="7020" w:type="dxa"/>
          </w:tcPr>
          <w:p w:rsidR="002D1789" w:rsidRPr="0068274C" w:rsidRDefault="00467A49" w:rsidP="00467A49">
            <w:pPr>
              <w:rPr>
                <w:rFonts w:ascii="Arial" w:hAnsi="Arial" w:cs="Arial"/>
              </w:rPr>
            </w:pPr>
            <w:r w:rsidRPr="00467A49">
              <w:rPr>
                <w:rFonts w:ascii="Arial" w:hAnsi="Arial" w:cs="Arial"/>
              </w:rPr>
              <w:t>This Directive shall enter into force on the twentieth day following that of its publication in the Official Journal of the European Union.</w:t>
            </w:r>
          </w:p>
        </w:tc>
        <w:tc>
          <w:tcPr>
            <w:tcW w:w="3960" w:type="dxa"/>
          </w:tcPr>
          <w:p w:rsidR="002D1789" w:rsidRDefault="002D1789" w:rsidP="001A7B7D">
            <w:pPr>
              <w:rPr>
                <w:rFonts w:ascii="Arial" w:hAnsi="Arial" w:cs="Arial"/>
              </w:rPr>
            </w:pPr>
            <w:r>
              <w:rPr>
                <w:rFonts w:ascii="Arial" w:hAnsi="Arial" w:cs="Arial"/>
              </w:rPr>
              <w:t xml:space="preserve">Regulation 1,2 and Explanatory note of the </w:t>
            </w:r>
            <w:r w:rsidR="00D86C5F">
              <w:rPr>
                <w:rFonts w:ascii="Arial" w:hAnsi="Arial" w:cs="Arial"/>
              </w:rPr>
              <w:t xml:space="preserve">Groundwater </w:t>
            </w:r>
            <w:r w:rsidR="00D86C5F" w:rsidRPr="001529D1">
              <w:rPr>
                <w:rFonts w:ascii="Arial" w:hAnsi="Arial" w:cs="Arial"/>
              </w:rPr>
              <w:t>(Amendment) Regulations (Northern Ireland) 201</w:t>
            </w:r>
            <w:r w:rsidR="00D86C5F">
              <w:rPr>
                <w:rFonts w:ascii="Arial" w:hAnsi="Arial" w:cs="Arial"/>
              </w:rPr>
              <w:t>6</w:t>
            </w:r>
          </w:p>
          <w:p w:rsidR="002D1789" w:rsidRPr="0068274C" w:rsidRDefault="002D1789" w:rsidP="001A7B7D">
            <w:pPr>
              <w:rPr>
                <w:rFonts w:ascii="Arial" w:hAnsi="Arial" w:cs="Arial"/>
              </w:rPr>
            </w:pPr>
          </w:p>
        </w:tc>
        <w:tc>
          <w:tcPr>
            <w:tcW w:w="2340" w:type="dxa"/>
          </w:tcPr>
          <w:p w:rsidR="002D1789" w:rsidRPr="0068274C" w:rsidRDefault="002D1789" w:rsidP="001A7B7D">
            <w:pPr>
              <w:rPr>
                <w:rFonts w:ascii="Arial" w:hAnsi="Arial" w:cs="Arial"/>
              </w:rPr>
            </w:pPr>
            <w:r>
              <w:rPr>
                <w:rFonts w:ascii="Arial" w:hAnsi="Arial" w:cs="Arial"/>
              </w:rPr>
              <w:t xml:space="preserve">The </w:t>
            </w:r>
            <w:r w:rsidRPr="0068274C">
              <w:rPr>
                <w:rFonts w:ascii="Arial" w:hAnsi="Arial" w:cs="Arial"/>
              </w:rPr>
              <w:t>Department of the Environment</w:t>
            </w:r>
          </w:p>
        </w:tc>
      </w:tr>
    </w:tbl>
    <w:p w:rsidR="00B921ED" w:rsidRPr="00B921ED" w:rsidRDefault="00B921ED">
      <w:pPr>
        <w:rPr>
          <w:rFonts w:ascii="Arial" w:hAnsi="Arial" w:cs="Arial"/>
          <w:b/>
        </w:rPr>
      </w:pPr>
    </w:p>
    <w:sectPr w:rsidR="00B921ED" w:rsidRPr="00B921ED" w:rsidSect="005C6FA3">
      <w:footerReference w:type="even" r:id="rId7"/>
      <w:footerReference w:type="default" r:id="rId8"/>
      <w:pgSz w:w="16838" w:h="11906" w:orient="landscape"/>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4F6A" w:rsidRDefault="00BA4F6A">
      <w:r>
        <w:separator/>
      </w:r>
    </w:p>
  </w:endnote>
  <w:endnote w:type="continuationSeparator" w:id="0">
    <w:p w:rsidR="00BA4F6A" w:rsidRDefault="00BA4F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1048" w:rsidRDefault="00052DEC" w:rsidP="005C6FA3">
    <w:pPr>
      <w:pStyle w:val="Footer"/>
      <w:framePr w:wrap="around" w:vAnchor="text" w:hAnchor="margin" w:xAlign="center" w:y="1"/>
      <w:rPr>
        <w:rStyle w:val="PageNumber"/>
      </w:rPr>
    </w:pPr>
    <w:r>
      <w:rPr>
        <w:rStyle w:val="PageNumber"/>
      </w:rPr>
      <w:fldChar w:fldCharType="begin"/>
    </w:r>
    <w:r w:rsidR="007A1048">
      <w:rPr>
        <w:rStyle w:val="PageNumber"/>
      </w:rPr>
      <w:instrText xml:space="preserve">PAGE  </w:instrText>
    </w:r>
    <w:r>
      <w:rPr>
        <w:rStyle w:val="PageNumber"/>
      </w:rPr>
      <w:fldChar w:fldCharType="end"/>
    </w:r>
  </w:p>
  <w:p w:rsidR="007A1048" w:rsidRDefault="007A104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1048" w:rsidRDefault="00052DEC" w:rsidP="005C6FA3">
    <w:pPr>
      <w:pStyle w:val="Footer"/>
      <w:framePr w:wrap="around" w:vAnchor="text" w:hAnchor="margin" w:xAlign="center" w:y="1"/>
      <w:rPr>
        <w:rStyle w:val="PageNumber"/>
      </w:rPr>
    </w:pPr>
    <w:r>
      <w:rPr>
        <w:rStyle w:val="PageNumber"/>
      </w:rPr>
      <w:fldChar w:fldCharType="begin"/>
    </w:r>
    <w:r w:rsidR="007A1048">
      <w:rPr>
        <w:rStyle w:val="PageNumber"/>
      </w:rPr>
      <w:instrText xml:space="preserve">PAGE  </w:instrText>
    </w:r>
    <w:r>
      <w:rPr>
        <w:rStyle w:val="PageNumber"/>
      </w:rPr>
      <w:fldChar w:fldCharType="separate"/>
    </w:r>
    <w:r w:rsidR="00710A76">
      <w:rPr>
        <w:rStyle w:val="PageNumber"/>
        <w:noProof/>
      </w:rPr>
      <w:t>1</w:t>
    </w:r>
    <w:r>
      <w:rPr>
        <w:rStyle w:val="PageNumber"/>
      </w:rPr>
      <w:fldChar w:fldCharType="end"/>
    </w:r>
  </w:p>
  <w:p w:rsidR="007A1048" w:rsidRDefault="007A10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4F6A" w:rsidRDefault="00BA4F6A">
      <w:r>
        <w:separator/>
      </w:r>
    </w:p>
  </w:footnote>
  <w:footnote w:type="continuationSeparator" w:id="0">
    <w:p w:rsidR="00BA4F6A" w:rsidRDefault="00BA4F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73467"/>
    <w:multiLevelType w:val="hybridMultilevel"/>
    <w:tmpl w:val="1084D444"/>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stylePaneFormatFilter w:val="3F01"/>
  <w:defaultTabStop w:val="720"/>
  <w:characterSpacingControl w:val="doNotCompress"/>
  <w:footnotePr>
    <w:footnote w:id="-1"/>
    <w:footnote w:id="0"/>
  </w:footnotePr>
  <w:endnotePr>
    <w:endnote w:id="-1"/>
    <w:endnote w:id="0"/>
  </w:endnotePr>
  <w:compat/>
  <w:rsids>
    <w:rsidRoot w:val="00B921ED"/>
    <w:rsid w:val="000476E6"/>
    <w:rsid w:val="00052DEC"/>
    <w:rsid w:val="00093DFA"/>
    <w:rsid w:val="00097A77"/>
    <w:rsid w:val="00126A67"/>
    <w:rsid w:val="00127059"/>
    <w:rsid w:val="001312E4"/>
    <w:rsid w:val="00137040"/>
    <w:rsid w:val="00140268"/>
    <w:rsid w:val="00141D0C"/>
    <w:rsid w:val="001473D5"/>
    <w:rsid w:val="001529D1"/>
    <w:rsid w:val="001624BA"/>
    <w:rsid w:val="001834CB"/>
    <w:rsid w:val="00186828"/>
    <w:rsid w:val="00194156"/>
    <w:rsid w:val="001A7B7D"/>
    <w:rsid w:val="001C6700"/>
    <w:rsid w:val="001E6510"/>
    <w:rsid w:val="00215FC0"/>
    <w:rsid w:val="002407E3"/>
    <w:rsid w:val="00242852"/>
    <w:rsid w:val="002A5B68"/>
    <w:rsid w:val="002B683A"/>
    <w:rsid w:val="002D00D3"/>
    <w:rsid w:val="002D1789"/>
    <w:rsid w:val="002D2812"/>
    <w:rsid w:val="002E435F"/>
    <w:rsid w:val="0031559B"/>
    <w:rsid w:val="00361D1F"/>
    <w:rsid w:val="00375AC3"/>
    <w:rsid w:val="00467A49"/>
    <w:rsid w:val="00472497"/>
    <w:rsid w:val="00483109"/>
    <w:rsid w:val="004A2AD1"/>
    <w:rsid w:val="004A55B4"/>
    <w:rsid w:val="004D68A5"/>
    <w:rsid w:val="00503028"/>
    <w:rsid w:val="00511110"/>
    <w:rsid w:val="0054045A"/>
    <w:rsid w:val="0054539E"/>
    <w:rsid w:val="0054675D"/>
    <w:rsid w:val="005C6FA3"/>
    <w:rsid w:val="005E70CE"/>
    <w:rsid w:val="006362EE"/>
    <w:rsid w:val="00646060"/>
    <w:rsid w:val="00646E79"/>
    <w:rsid w:val="0068274C"/>
    <w:rsid w:val="00686180"/>
    <w:rsid w:val="006C0377"/>
    <w:rsid w:val="006D2A4F"/>
    <w:rsid w:val="006E01FF"/>
    <w:rsid w:val="006F24AF"/>
    <w:rsid w:val="0070662B"/>
    <w:rsid w:val="007108F3"/>
    <w:rsid w:val="00710A76"/>
    <w:rsid w:val="00741C7C"/>
    <w:rsid w:val="00767D40"/>
    <w:rsid w:val="0077370F"/>
    <w:rsid w:val="00791D4F"/>
    <w:rsid w:val="007A1048"/>
    <w:rsid w:val="007A2535"/>
    <w:rsid w:val="007F123E"/>
    <w:rsid w:val="008114EF"/>
    <w:rsid w:val="008527B1"/>
    <w:rsid w:val="0086137D"/>
    <w:rsid w:val="0091138B"/>
    <w:rsid w:val="009271A8"/>
    <w:rsid w:val="00930721"/>
    <w:rsid w:val="00976127"/>
    <w:rsid w:val="00977A72"/>
    <w:rsid w:val="009D6072"/>
    <w:rsid w:val="00A072FD"/>
    <w:rsid w:val="00A12EF2"/>
    <w:rsid w:val="00A20650"/>
    <w:rsid w:val="00A361AA"/>
    <w:rsid w:val="00A41D1B"/>
    <w:rsid w:val="00A50E41"/>
    <w:rsid w:val="00A514C3"/>
    <w:rsid w:val="00A5196C"/>
    <w:rsid w:val="00A71D63"/>
    <w:rsid w:val="00AA23F9"/>
    <w:rsid w:val="00AF3D69"/>
    <w:rsid w:val="00AF67BA"/>
    <w:rsid w:val="00B364DA"/>
    <w:rsid w:val="00B81B2F"/>
    <w:rsid w:val="00B921ED"/>
    <w:rsid w:val="00B977D6"/>
    <w:rsid w:val="00BA4F6A"/>
    <w:rsid w:val="00BA6529"/>
    <w:rsid w:val="00BF00A1"/>
    <w:rsid w:val="00C064CC"/>
    <w:rsid w:val="00C21A46"/>
    <w:rsid w:val="00C429AB"/>
    <w:rsid w:val="00C445E7"/>
    <w:rsid w:val="00C57E12"/>
    <w:rsid w:val="00C653E9"/>
    <w:rsid w:val="00C87C06"/>
    <w:rsid w:val="00CA3DD3"/>
    <w:rsid w:val="00CA64BD"/>
    <w:rsid w:val="00CB46EE"/>
    <w:rsid w:val="00CC0284"/>
    <w:rsid w:val="00CC749A"/>
    <w:rsid w:val="00CC7563"/>
    <w:rsid w:val="00CE39C3"/>
    <w:rsid w:val="00CF4881"/>
    <w:rsid w:val="00CF5D2C"/>
    <w:rsid w:val="00D03B08"/>
    <w:rsid w:val="00D269CD"/>
    <w:rsid w:val="00D354AF"/>
    <w:rsid w:val="00D53CD0"/>
    <w:rsid w:val="00D737F0"/>
    <w:rsid w:val="00D826B0"/>
    <w:rsid w:val="00D86C5F"/>
    <w:rsid w:val="00DF756D"/>
    <w:rsid w:val="00E019B2"/>
    <w:rsid w:val="00E04B47"/>
    <w:rsid w:val="00E216EB"/>
    <w:rsid w:val="00E45075"/>
    <w:rsid w:val="00E82EA4"/>
    <w:rsid w:val="00E92D27"/>
    <w:rsid w:val="00EA5186"/>
    <w:rsid w:val="00EA736D"/>
    <w:rsid w:val="00EB4B93"/>
    <w:rsid w:val="00F01D87"/>
    <w:rsid w:val="00F028E7"/>
    <w:rsid w:val="00F067E9"/>
    <w:rsid w:val="00F437D8"/>
    <w:rsid w:val="00F55351"/>
    <w:rsid w:val="00F910E4"/>
    <w:rsid w:val="00FC1F4A"/>
    <w:rsid w:val="00FD205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62E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921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F01D87"/>
    <w:rPr>
      <w:rFonts w:ascii="Tahoma" w:hAnsi="Tahoma" w:cs="Tahoma"/>
      <w:sz w:val="16"/>
      <w:szCs w:val="16"/>
    </w:rPr>
  </w:style>
  <w:style w:type="paragraph" w:styleId="Footer">
    <w:name w:val="footer"/>
    <w:basedOn w:val="Normal"/>
    <w:rsid w:val="005C6FA3"/>
    <w:pPr>
      <w:tabs>
        <w:tab w:val="center" w:pos="4153"/>
        <w:tab w:val="right" w:pos="8306"/>
      </w:tabs>
    </w:pPr>
  </w:style>
  <w:style w:type="character" w:styleId="PageNumber">
    <w:name w:val="page number"/>
    <w:basedOn w:val="DefaultParagraphFont"/>
    <w:rsid w:val="005C6FA3"/>
  </w:style>
  <w:style w:type="character" w:customStyle="1" w:styleId="italic1">
    <w:name w:val="italic1"/>
    <w:basedOn w:val="DefaultParagraphFont"/>
    <w:rsid w:val="00CA64BD"/>
    <w:rPr>
      <w:i/>
      <w:iCs/>
    </w:rPr>
  </w:style>
  <w:style w:type="paragraph" w:customStyle="1" w:styleId="ti-art2">
    <w:name w:val="ti-art2"/>
    <w:basedOn w:val="Normal"/>
    <w:rsid w:val="00CA64BD"/>
    <w:pPr>
      <w:spacing w:before="326" w:after="109" w:line="312" w:lineRule="atLeast"/>
      <w:jc w:val="center"/>
    </w:pPr>
    <w:rPr>
      <w:i/>
      <w:iCs/>
    </w:rPr>
  </w:style>
  <w:style w:type="paragraph" w:customStyle="1" w:styleId="normal2">
    <w:name w:val="normal2"/>
    <w:basedOn w:val="Normal"/>
    <w:rsid w:val="00CA64BD"/>
    <w:pPr>
      <w:spacing w:before="109" w:line="312" w:lineRule="atLeast"/>
      <w:jc w:val="both"/>
    </w:pPr>
  </w:style>
</w:styles>
</file>

<file path=word/webSettings.xml><?xml version="1.0" encoding="utf-8"?>
<w:webSettings xmlns:r="http://schemas.openxmlformats.org/officeDocument/2006/relationships" xmlns:w="http://schemas.openxmlformats.org/wordprocessingml/2006/main">
  <w:divs>
    <w:div w:id="152068572">
      <w:bodyDiv w:val="1"/>
      <w:marLeft w:val="0"/>
      <w:marRight w:val="0"/>
      <w:marTop w:val="0"/>
      <w:marBottom w:val="0"/>
      <w:divBdr>
        <w:top w:val="none" w:sz="0" w:space="0" w:color="auto"/>
        <w:left w:val="none" w:sz="0" w:space="0" w:color="auto"/>
        <w:bottom w:val="none" w:sz="0" w:space="0" w:color="auto"/>
        <w:right w:val="none" w:sz="0" w:space="0" w:color="auto"/>
      </w:divBdr>
      <w:divsChild>
        <w:div w:id="1686438462">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293295954">
      <w:bodyDiv w:val="1"/>
      <w:marLeft w:val="0"/>
      <w:marRight w:val="0"/>
      <w:marTop w:val="0"/>
      <w:marBottom w:val="0"/>
      <w:divBdr>
        <w:top w:val="none" w:sz="0" w:space="0" w:color="auto"/>
        <w:left w:val="none" w:sz="0" w:space="0" w:color="auto"/>
        <w:bottom w:val="none" w:sz="0" w:space="0" w:color="auto"/>
        <w:right w:val="none" w:sz="0" w:space="0" w:color="auto"/>
      </w:divBdr>
      <w:divsChild>
        <w:div w:id="1825313654">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481510064">
      <w:bodyDiv w:val="1"/>
      <w:marLeft w:val="0"/>
      <w:marRight w:val="0"/>
      <w:marTop w:val="0"/>
      <w:marBottom w:val="0"/>
      <w:divBdr>
        <w:top w:val="none" w:sz="0" w:space="0" w:color="auto"/>
        <w:left w:val="none" w:sz="0" w:space="0" w:color="auto"/>
        <w:bottom w:val="none" w:sz="0" w:space="0" w:color="auto"/>
        <w:right w:val="none" w:sz="0" w:space="0" w:color="auto"/>
      </w:divBdr>
      <w:divsChild>
        <w:div w:id="177696229">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834105605">
      <w:bodyDiv w:val="1"/>
      <w:marLeft w:val="0"/>
      <w:marRight w:val="0"/>
      <w:marTop w:val="0"/>
      <w:marBottom w:val="0"/>
      <w:divBdr>
        <w:top w:val="none" w:sz="0" w:space="0" w:color="auto"/>
        <w:left w:val="none" w:sz="0" w:space="0" w:color="auto"/>
        <w:bottom w:val="none" w:sz="0" w:space="0" w:color="auto"/>
        <w:right w:val="none" w:sz="0" w:space="0" w:color="auto"/>
      </w:divBdr>
      <w:divsChild>
        <w:div w:id="766539862">
          <w:marLeft w:val="480"/>
          <w:marRight w:val="480"/>
          <w:marTop w:val="0"/>
          <w:marBottom w:val="160"/>
          <w:divBdr>
            <w:top w:val="single" w:sz="6" w:space="8" w:color="112449"/>
            <w:left w:val="single" w:sz="6" w:space="8" w:color="112449"/>
            <w:bottom w:val="single" w:sz="6" w:space="8" w:color="112449"/>
            <w:right w:val="single" w:sz="6" w:space="8" w:color="112449"/>
          </w:divBdr>
        </w:div>
      </w:divsChild>
    </w:div>
    <w:div w:id="921988774">
      <w:bodyDiv w:val="1"/>
      <w:marLeft w:val="0"/>
      <w:marRight w:val="0"/>
      <w:marTop w:val="0"/>
      <w:marBottom w:val="0"/>
      <w:divBdr>
        <w:top w:val="none" w:sz="0" w:space="0" w:color="auto"/>
        <w:left w:val="none" w:sz="0" w:space="0" w:color="auto"/>
        <w:bottom w:val="none" w:sz="0" w:space="0" w:color="auto"/>
        <w:right w:val="none" w:sz="0" w:space="0" w:color="auto"/>
      </w:divBdr>
      <w:divsChild>
        <w:div w:id="1495032126">
          <w:marLeft w:val="360"/>
          <w:marRight w:val="360"/>
          <w:marTop w:val="0"/>
          <w:marBottom w:val="120"/>
          <w:divBdr>
            <w:top w:val="single" w:sz="4" w:space="6" w:color="112449"/>
            <w:left w:val="single" w:sz="4" w:space="6" w:color="112449"/>
            <w:bottom w:val="single" w:sz="4" w:space="6" w:color="112449"/>
            <w:right w:val="single" w:sz="4" w:space="6" w:color="112449"/>
          </w:divBdr>
        </w:div>
      </w:divsChild>
    </w:div>
    <w:div w:id="1093547178">
      <w:bodyDiv w:val="1"/>
      <w:marLeft w:val="0"/>
      <w:marRight w:val="0"/>
      <w:marTop w:val="0"/>
      <w:marBottom w:val="0"/>
      <w:divBdr>
        <w:top w:val="none" w:sz="0" w:space="0" w:color="auto"/>
        <w:left w:val="none" w:sz="0" w:space="0" w:color="auto"/>
        <w:bottom w:val="none" w:sz="0" w:space="0" w:color="auto"/>
        <w:right w:val="none" w:sz="0" w:space="0" w:color="auto"/>
      </w:divBdr>
      <w:divsChild>
        <w:div w:id="157119064">
          <w:marLeft w:val="0"/>
          <w:marRight w:val="0"/>
          <w:marTop w:val="0"/>
          <w:marBottom w:val="0"/>
          <w:divBdr>
            <w:top w:val="none" w:sz="0" w:space="0" w:color="auto"/>
            <w:left w:val="none" w:sz="0" w:space="0" w:color="auto"/>
            <w:bottom w:val="none" w:sz="0" w:space="0" w:color="auto"/>
            <w:right w:val="none" w:sz="0" w:space="0" w:color="auto"/>
          </w:divBdr>
          <w:divsChild>
            <w:div w:id="1291008675">
              <w:marLeft w:val="0"/>
              <w:marRight w:val="0"/>
              <w:marTop w:val="0"/>
              <w:marBottom w:val="0"/>
              <w:divBdr>
                <w:top w:val="none" w:sz="0" w:space="0" w:color="auto"/>
                <w:left w:val="none" w:sz="0" w:space="0" w:color="auto"/>
                <w:bottom w:val="none" w:sz="0" w:space="0" w:color="auto"/>
                <w:right w:val="none" w:sz="0" w:space="0" w:color="auto"/>
              </w:divBdr>
              <w:divsChild>
                <w:div w:id="960183466">
                  <w:marLeft w:val="0"/>
                  <w:marRight w:val="0"/>
                  <w:marTop w:val="0"/>
                  <w:marBottom w:val="0"/>
                  <w:divBdr>
                    <w:top w:val="none" w:sz="0" w:space="0" w:color="auto"/>
                    <w:left w:val="none" w:sz="0" w:space="0" w:color="auto"/>
                    <w:bottom w:val="none" w:sz="0" w:space="0" w:color="auto"/>
                    <w:right w:val="none" w:sz="0" w:space="0" w:color="auto"/>
                  </w:divBdr>
                  <w:divsChild>
                    <w:div w:id="506094617">
                      <w:marLeft w:val="1"/>
                      <w:marRight w:val="1"/>
                      <w:marTop w:val="0"/>
                      <w:marBottom w:val="0"/>
                      <w:divBdr>
                        <w:top w:val="none" w:sz="0" w:space="0" w:color="auto"/>
                        <w:left w:val="none" w:sz="0" w:space="0" w:color="auto"/>
                        <w:bottom w:val="none" w:sz="0" w:space="0" w:color="auto"/>
                        <w:right w:val="none" w:sz="0" w:space="0" w:color="auto"/>
                      </w:divBdr>
                      <w:divsChild>
                        <w:div w:id="1369329373">
                          <w:marLeft w:val="0"/>
                          <w:marRight w:val="0"/>
                          <w:marTop w:val="0"/>
                          <w:marBottom w:val="0"/>
                          <w:divBdr>
                            <w:top w:val="none" w:sz="0" w:space="0" w:color="auto"/>
                            <w:left w:val="none" w:sz="0" w:space="0" w:color="auto"/>
                            <w:bottom w:val="none" w:sz="0" w:space="0" w:color="auto"/>
                            <w:right w:val="none" w:sz="0" w:space="0" w:color="auto"/>
                          </w:divBdr>
                          <w:divsChild>
                            <w:div w:id="774640009">
                              <w:marLeft w:val="0"/>
                              <w:marRight w:val="0"/>
                              <w:marTop w:val="0"/>
                              <w:marBottom w:val="360"/>
                              <w:divBdr>
                                <w:top w:val="none" w:sz="0" w:space="0" w:color="auto"/>
                                <w:left w:val="none" w:sz="0" w:space="0" w:color="auto"/>
                                <w:bottom w:val="none" w:sz="0" w:space="0" w:color="auto"/>
                                <w:right w:val="none" w:sz="0" w:space="0" w:color="auto"/>
                              </w:divBdr>
                              <w:divsChild>
                                <w:div w:id="1660771289">
                                  <w:marLeft w:val="0"/>
                                  <w:marRight w:val="0"/>
                                  <w:marTop w:val="0"/>
                                  <w:marBottom w:val="0"/>
                                  <w:divBdr>
                                    <w:top w:val="none" w:sz="0" w:space="0" w:color="auto"/>
                                    <w:left w:val="none" w:sz="0" w:space="0" w:color="auto"/>
                                    <w:bottom w:val="none" w:sz="0" w:space="0" w:color="auto"/>
                                    <w:right w:val="none" w:sz="0" w:space="0" w:color="auto"/>
                                  </w:divBdr>
                                  <w:divsChild>
                                    <w:div w:id="1377705041">
                                      <w:marLeft w:val="0"/>
                                      <w:marRight w:val="0"/>
                                      <w:marTop w:val="0"/>
                                      <w:marBottom w:val="0"/>
                                      <w:divBdr>
                                        <w:top w:val="none" w:sz="0" w:space="0" w:color="auto"/>
                                        <w:left w:val="none" w:sz="0" w:space="0" w:color="auto"/>
                                        <w:bottom w:val="none" w:sz="0" w:space="0" w:color="auto"/>
                                        <w:right w:val="none" w:sz="0" w:space="0" w:color="auto"/>
                                      </w:divBdr>
                                      <w:divsChild>
                                        <w:div w:id="39578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828691">
      <w:bodyDiv w:val="1"/>
      <w:marLeft w:val="0"/>
      <w:marRight w:val="0"/>
      <w:marTop w:val="0"/>
      <w:marBottom w:val="0"/>
      <w:divBdr>
        <w:top w:val="none" w:sz="0" w:space="0" w:color="auto"/>
        <w:left w:val="none" w:sz="0" w:space="0" w:color="auto"/>
        <w:bottom w:val="none" w:sz="0" w:space="0" w:color="auto"/>
        <w:right w:val="none" w:sz="0" w:space="0" w:color="auto"/>
      </w:divBdr>
      <w:divsChild>
        <w:div w:id="399793927">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269698624">
      <w:bodyDiv w:val="1"/>
      <w:marLeft w:val="0"/>
      <w:marRight w:val="0"/>
      <w:marTop w:val="0"/>
      <w:marBottom w:val="0"/>
      <w:divBdr>
        <w:top w:val="none" w:sz="0" w:space="0" w:color="auto"/>
        <w:left w:val="none" w:sz="0" w:space="0" w:color="auto"/>
        <w:bottom w:val="none" w:sz="0" w:space="0" w:color="auto"/>
        <w:right w:val="none" w:sz="0" w:space="0" w:color="auto"/>
      </w:divBdr>
      <w:divsChild>
        <w:div w:id="501359820">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400707387">
      <w:bodyDiv w:val="1"/>
      <w:marLeft w:val="0"/>
      <w:marRight w:val="0"/>
      <w:marTop w:val="0"/>
      <w:marBottom w:val="0"/>
      <w:divBdr>
        <w:top w:val="none" w:sz="0" w:space="0" w:color="auto"/>
        <w:left w:val="none" w:sz="0" w:space="0" w:color="auto"/>
        <w:bottom w:val="none" w:sz="0" w:space="0" w:color="auto"/>
        <w:right w:val="none" w:sz="0" w:space="0" w:color="auto"/>
      </w:divBdr>
      <w:divsChild>
        <w:div w:id="269630093">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424839397">
      <w:bodyDiv w:val="1"/>
      <w:marLeft w:val="0"/>
      <w:marRight w:val="0"/>
      <w:marTop w:val="0"/>
      <w:marBottom w:val="0"/>
      <w:divBdr>
        <w:top w:val="none" w:sz="0" w:space="0" w:color="auto"/>
        <w:left w:val="none" w:sz="0" w:space="0" w:color="auto"/>
        <w:bottom w:val="none" w:sz="0" w:space="0" w:color="auto"/>
        <w:right w:val="none" w:sz="0" w:space="0" w:color="auto"/>
      </w:divBdr>
      <w:divsChild>
        <w:div w:id="826165902">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503004635">
      <w:bodyDiv w:val="1"/>
      <w:marLeft w:val="0"/>
      <w:marRight w:val="0"/>
      <w:marTop w:val="0"/>
      <w:marBottom w:val="0"/>
      <w:divBdr>
        <w:top w:val="none" w:sz="0" w:space="0" w:color="auto"/>
        <w:left w:val="none" w:sz="0" w:space="0" w:color="auto"/>
        <w:bottom w:val="none" w:sz="0" w:space="0" w:color="auto"/>
        <w:right w:val="none" w:sz="0" w:space="0" w:color="auto"/>
      </w:divBdr>
      <w:divsChild>
        <w:div w:id="988362331">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GROUNDWATER DAUGHTER DIRECTIVE (2006/118/EC) – TRANSPOSITION NOTE</vt:lpstr>
    </vt:vector>
  </TitlesOfParts>
  <Company>DFP</Company>
  <LinksUpToDate>false</LinksUpToDate>
  <CharactersWithSpaces>1683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DAUGHTER DIRECTIVE (2006/118/EC) – TRANSPOSITION NOTE</dc:title>
  <dc:creator>1395969</dc:creator>
  <cp:lastModifiedBy>Liz Halliday</cp:lastModifiedBy>
  <cp:revision>3</cp:revision>
  <cp:lastPrinted>2015-11-06T13:06:00Z</cp:lastPrinted>
  <dcterms:created xsi:type="dcterms:W3CDTF">2016-03-07T11:03:00Z</dcterms:created>
  <dcterms:modified xsi:type="dcterms:W3CDTF">2016-03-07T11:03:00Z</dcterms:modified>
</cp:coreProperties>
</file>