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TRANSPOSITION NOTE</w:t>
      </w:r>
    </w:p>
    <w:p>
      <w:pPr>
        <w:pStyle w:val="Normal"/>
        <w:rPr>
          <w:b/>
        </w:rPr>
      </w:pPr>
      <w:r>
        <w:rPr>
          <w:b/>
        </w:rPr>
      </w:r>
    </w:p>
    <w:p>
      <w:pPr>
        <w:pStyle w:val="Normal"/>
        <w:rPr/>
      </w:pPr>
      <w:r>
        <w:rPr/>
        <w:t xml:space="preserve">The Public Water Supplies (Scotland) Regulations 2014 (“the Regulations”) consolidate the Water Supply (Water Quality) (Scotland) Regulations 2001 and make new provision in relation to, among other things, the monitoring of drinking water abstraction points. </w:t>
      </w:r>
    </w:p>
    <w:p>
      <w:pPr>
        <w:pStyle w:val="Normal"/>
        <w:rPr/>
      </w:pPr>
      <w:r>
        <w:rPr/>
      </w:r>
    </w:p>
    <w:p>
      <w:pPr>
        <w:pStyle w:val="Normal"/>
        <w:rPr/>
      </w:pPr>
      <w:r>
        <w:rPr/>
        <w:t>The Regulations aim to protect human health from the adverse effects of any contamination of water supplied by Scottish Water for human consumption purposes by ensuring that it is wholesome. In so far as the Regulations apply to water supplied by Scottish Water for human consumption purposes, they continue to apply the measures necessary to deliver the requirements of Council Directive 98/83/EC on the quality of water intended for human consumption</w:t>
      </w:r>
      <w:r>
        <w:rPr>
          <w:rStyle w:val="FootnoteCharacters"/>
          <w:rStyle w:val="FootnoteReference"/>
        </w:rPr>
        <w:footnoteReference w:id="2"/>
      </w:r>
      <w:r>
        <w:rPr/>
        <w:t xml:space="preserve"> (“the Directive”) in Scotland. </w:t>
      </w:r>
    </w:p>
    <w:p>
      <w:pPr>
        <w:pStyle w:val="Normal"/>
        <w:rPr/>
      </w:pPr>
      <w:r>
        <w:rPr/>
      </w:r>
    </w:p>
    <w:p>
      <w:pPr>
        <w:pStyle w:val="Normal"/>
        <w:rPr/>
      </w:pPr>
      <w:r>
        <w:rPr/>
        <w:t>The table below sets out how the Regulations transpose the relevant Articles of the Directive in so far as it applies to water supplied by Scottish Water for human consumption purposes.</w:t>
      </w:r>
    </w:p>
    <w:p>
      <w:pPr>
        <w:pStyle w:val="Normal"/>
        <w:rPr/>
      </w:pPr>
      <w:r>
        <w:rPr/>
      </w:r>
    </w:p>
    <w:tbl>
      <w:tblPr>
        <w:tblW w:w="9134" w:type="dxa"/>
        <w:jc w:val="left"/>
        <w:tblInd w:w="108" w:type="dxa"/>
        <w:tblLayout w:type="fixed"/>
        <w:tblCellMar>
          <w:top w:w="0" w:type="dxa"/>
          <w:left w:w="108" w:type="dxa"/>
          <w:bottom w:w="0" w:type="dxa"/>
          <w:right w:w="108" w:type="dxa"/>
        </w:tblCellMar>
      </w:tblPr>
      <w:tblGrid>
        <w:gridCol w:w="1276"/>
        <w:gridCol w:w="2410"/>
        <w:gridCol w:w="5448"/>
      </w:tblGrid>
      <w:tr>
        <w:trPr>
          <w:trHeight w:val="435"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b/>
              </w:rPr>
            </w:pPr>
            <w:r>
              <w:rPr>
                <w:b/>
              </w:rPr>
              <w:t>Article</w:t>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b/>
              </w:rPr>
            </w:pPr>
            <w:r>
              <w:rPr>
                <w:b/>
              </w:rPr>
              <w:t>Requirement</w:t>
            </w:r>
          </w:p>
        </w:tc>
        <w:tc>
          <w:tcPr>
            <w:tcW w:w="5448" w:type="dxa"/>
            <w:tcBorders>
              <w:top w:val="single" w:sz="4" w:space="0" w:color="000000"/>
              <w:left w:val="single" w:sz="4" w:space="0" w:color="000000"/>
              <w:bottom w:val="single" w:sz="4" w:space="0" w:color="000000"/>
              <w:right w:val="single" w:sz="4" w:space="0" w:color="000000"/>
            </w:tcBorders>
          </w:tcPr>
          <w:p>
            <w:pPr>
              <w:pStyle w:val="Normal"/>
              <w:jc w:val="left"/>
              <w:rPr>
                <w:b/>
              </w:rPr>
            </w:pPr>
            <w:r>
              <w:rPr>
                <w:b/>
              </w:rPr>
              <w:t xml:space="preserve">Provision </w:t>
            </w:r>
          </w:p>
        </w:tc>
      </w:tr>
      <w:tr>
        <w:trPr>
          <w:trHeight w:val="508"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1</w:t>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Objective </w:t>
            </w:r>
          </w:p>
        </w:tc>
        <w:tc>
          <w:tcPr>
            <w:tcW w:w="5448" w:type="dxa"/>
            <w:tcBorders>
              <w:top w:val="single" w:sz="4" w:space="0" w:color="000000"/>
              <w:left w:val="single" w:sz="4" w:space="0" w:color="000000"/>
              <w:bottom w:val="single" w:sz="4" w:space="0" w:color="000000"/>
              <w:right w:val="single" w:sz="4" w:space="0" w:color="000000"/>
            </w:tcBorders>
          </w:tcPr>
          <w:p>
            <w:pPr>
              <w:pStyle w:val="Normal"/>
              <w:jc w:val="left"/>
              <w:rPr/>
            </w:pPr>
            <w:r>
              <w:rPr/>
              <w:t>None required</w:t>
            </w:r>
          </w:p>
        </w:tc>
      </w:tr>
      <w:tr>
        <w:trPr>
          <w:trHeight w:val="435"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2</w:t>
            </w:r>
          </w:p>
          <w:p>
            <w:pPr>
              <w:pStyle w:val="Normal"/>
              <w:rPr/>
            </w:pPr>
            <w:r>
              <w:rPr/>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Definitions </w:t>
            </w:r>
          </w:p>
        </w:tc>
        <w:tc>
          <w:tcPr>
            <w:tcW w:w="5448" w:type="dxa"/>
            <w:tcBorders>
              <w:top w:val="single" w:sz="4" w:space="0" w:color="000000"/>
              <w:left w:val="single" w:sz="4" w:space="0" w:color="000000"/>
              <w:bottom w:val="single" w:sz="4" w:space="0" w:color="000000"/>
              <w:right w:val="single" w:sz="4" w:space="0" w:color="000000"/>
            </w:tcBorders>
          </w:tcPr>
          <w:p>
            <w:pPr>
              <w:pStyle w:val="Normal"/>
              <w:jc w:val="left"/>
              <w:rPr/>
            </w:pPr>
            <w:r>
              <w:rPr/>
              <w:t>Regulation 2(1)</w:t>
            </w:r>
          </w:p>
        </w:tc>
      </w:tr>
      <w:tr>
        <w:trPr>
          <w:trHeight w:val="540"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3</w:t>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Exemptions </w:t>
            </w:r>
          </w:p>
          <w:p>
            <w:pPr>
              <w:pStyle w:val="Normal"/>
              <w:jc w:val="left"/>
              <w:rPr/>
            </w:pPr>
            <w:r>
              <w:rPr/>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 xml:space="preserve">Regulation 1(4) </w:t>
            </w:r>
          </w:p>
        </w:tc>
      </w:tr>
      <w:tr>
        <w:trPr>
          <w:trHeight w:val="525"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4</w:t>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General obligations </w:t>
            </w:r>
          </w:p>
          <w:p>
            <w:pPr>
              <w:pStyle w:val="Normal"/>
              <w:jc w:val="left"/>
              <w:rPr/>
            </w:pPr>
            <w:r>
              <w:rPr/>
            </w:r>
          </w:p>
          <w:p>
            <w:pPr>
              <w:pStyle w:val="Normal"/>
              <w:jc w:val="left"/>
              <w:rPr/>
            </w:pPr>
            <w:r>
              <w:rPr/>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 xml:space="preserve">Regulation 4 </w:t>
            </w:r>
          </w:p>
          <w:p>
            <w:pPr>
              <w:pStyle w:val="Normal"/>
              <w:rPr/>
            </w:pPr>
            <w:r>
              <w:rPr/>
              <w:t xml:space="preserve">(read with regulations 17 to 23). </w:t>
            </w:r>
          </w:p>
        </w:tc>
      </w:tr>
      <w:tr>
        <w:trPr>
          <w:trHeight w:val="345"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5</w:t>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Quality standards</w:t>
            </w:r>
          </w:p>
          <w:p>
            <w:pPr>
              <w:pStyle w:val="Normal"/>
              <w:jc w:val="left"/>
              <w:rPr/>
            </w:pPr>
            <w:r>
              <w:rPr/>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 xml:space="preserve">Schedule 1 </w:t>
            </w:r>
          </w:p>
          <w:p>
            <w:pPr>
              <w:pStyle w:val="Normal"/>
              <w:rPr/>
            </w:pPr>
            <w:r>
              <w:rPr/>
              <w:t>(read with regulation 4)</w:t>
            </w:r>
          </w:p>
          <w:p>
            <w:pPr>
              <w:pStyle w:val="Normal"/>
              <w:rPr/>
            </w:pPr>
            <w:r>
              <w:rPr/>
            </w:r>
          </w:p>
        </w:tc>
      </w:tr>
      <w:tr>
        <w:trPr>
          <w:trHeight w:val="540"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6</w:t>
            </w:r>
          </w:p>
          <w:p>
            <w:pPr>
              <w:pStyle w:val="Normal"/>
              <w:rPr/>
            </w:pPr>
            <w:r>
              <w:rPr/>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Point of compliance </w:t>
            </w:r>
          </w:p>
          <w:p>
            <w:pPr>
              <w:pStyle w:val="Normal"/>
              <w:jc w:val="left"/>
              <w:rPr/>
            </w:pPr>
            <w:r>
              <w:rPr/>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Regulations 6 and 13 (read with regulation 5)</w:t>
            </w:r>
          </w:p>
          <w:p>
            <w:pPr>
              <w:pStyle w:val="Normal"/>
              <w:rPr/>
            </w:pPr>
            <w:r>
              <w:rPr/>
              <w:t xml:space="preserve">Regulations 17 to 23 </w:t>
            </w:r>
          </w:p>
          <w:p>
            <w:pPr>
              <w:pStyle w:val="Normal"/>
              <w:rPr/>
            </w:pPr>
            <w:r>
              <w:rPr/>
            </w:r>
          </w:p>
        </w:tc>
      </w:tr>
      <w:tr>
        <w:trPr>
          <w:trHeight w:val="540"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7</w:t>
            </w:r>
          </w:p>
          <w:p>
            <w:pPr>
              <w:pStyle w:val="Normal"/>
              <w:rPr/>
            </w:pPr>
            <w:r>
              <w:rPr/>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Monitoring</w:t>
            </w:r>
          </w:p>
          <w:p>
            <w:pPr>
              <w:pStyle w:val="Normal"/>
              <w:jc w:val="left"/>
              <w:rPr/>
            </w:pPr>
            <w:r>
              <w:rPr/>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Regulations 4 to 15 (read with Schedules 1 to 3)</w:t>
            </w:r>
          </w:p>
          <w:p>
            <w:pPr>
              <w:pStyle w:val="Normal"/>
              <w:rPr/>
            </w:pPr>
            <w:r>
              <w:rPr/>
            </w:r>
          </w:p>
        </w:tc>
      </w:tr>
      <w:tr>
        <w:trPr>
          <w:trHeight w:val="540"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8</w:t>
            </w:r>
          </w:p>
          <w:p>
            <w:pPr>
              <w:pStyle w:val="Normal"/>
              <w:rPr/>
            </w:pPr>
            <w:r>
              <w:rPr/>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Remedial action etc.</w:t>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 xml:space="preserve">Regulations 17 to 23 </w:t>
            </w:r>
          </w:p>
        </w:tc>
      </w:tr>
      <w:tr>
        <w:trPr>
          <w:trHeight w:val="540"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9</w:t>
            </w:r>
          </w:p>
          <w:p>
            <w:pPr>
              <w:pStyle w:val="Normal"/>
              <w:rPr/>
            </w:pPr>
            <w:r>
              <w:rPr/>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Derogations</w:t>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Regulations 24 to 28</w:t>
            </w:r>
          </w:p>
        </w:tc>
      </w:tr>
      <w:tr>
        <w:trPr>
          <w:trHeight w:val="540"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10</w:t>
            </w:r>
          </w:p>
          <w:p>
            <w:pPr>
              <w:pStyle w:val="Normal"/>
              <w:rPr/>
            </w:pPr>
            <w:r>
              <w:rPr/>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Quality assurance etc.</w:t>
            </w:r>
          </w:p>
          <w:p>
            <w:pPr>
              <w:pStyle w:val="Normal"/>
              <w:jc w:val="left"/>
              <w:rPr/>
            </w:pPr>
            <w:r>
              <w:rPr/>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Regulations 33 and 34</w:t>
            </w:r>
          </w:p>
          <w:p>
            <w:pPr>
              <w:pStyle w:val="Normal"/>
              <w:rPr/>
            </w:pPr>
            <w:r>
              <w:rPr/>
            </w:r>
          </w:p>
        </w:tc>
      </w:tr>
      <w:tr>
        <w:trPr>
          <w:trHeight w:val="540"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rPr/>
            </w:pPr>
            <w:r>
              <w:rPr/>
              <w:t>Article 13</w:t>
            </w:r>
          </w:p>
          <w:p>
            <w:pPr>
              <w:pStyle w:val="Normal"/>
              <w:rPr/>
            </w:pPr>
            <w:r>
              <w:rPr/>
            </w:r>
          </w:p>
        </w:tc>
        <w:tc>
          <w:tcPr>
            <w:tcW w:w="2410" w:type="dxa"/>
            <w:tcBorders>
              <w:top w:val="single" w:sz="4" w:space="0" w:color="000000"/>
              <w:left w:val="single" w:sz="4" w:space="0" w:color="000000"/>
              <w:bottom w:val="single" w:sz="4" w:space="0" w:color="000000"/>
              <w:right w:val="single" w:sz="4" w:space="0" w:color="000000"/>
            </w:tcBorders>
          </w:tcPr>
          <w:p>
            <w:pPr>
              <w:pStyle w:val="Normal"/>
              <w:jc w:val="left"/>
              <w:rPr/>
            </w:pPr>
            <w:r>
              <w:rPr/>
              <w:t>Information</w:t>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Regulations 37 and 39</w:t>
            </w:r>
          </w:p>
        </w:tc>
      </w:tr>
      <w:tr>
        <w:trPr>
          <w:trHeight w:val="540"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Annexes </w:t>
            </w:r>
          </w:p>
          <w:p>
            <w:pPr>
              <w:pStyle w:val="Normal"/>
              <w:jc w:val="left"/>
              <w:rPr/>
            </w:pPr>
            <w:r>
              <w:rPr/>
            </w:r>
          </w:p>
        </w:tc>
        <w:tc>
          <w:tcPr>
            <w:tcW w:w="2410" w:type="dxa"/>
            <w:tcBorders>
              <w:top w:val="single" w:sz="4" w:space="0" w:color="000000"/>
              <w:left w:val="single" w:sz="4" w:space="0" w:color="000000"/>
              <w:bottom w:val="single" w:sz="4" w:space="0" w:color="000000"/>
              <w:right w:val="single" w:sz="4" w:space="0" w:color="000000"/>
            </w:tcBorders>
          </w:tcPr>
          <w:p>
            <w:pPr>
              <w:pStyle w:val="Normal"/>
              <w:snapToGrid w:val="false"/>
              <w:jc w:val="left"/>
              <w:rPr/>
            </w:pPr>
            <w:r>
              <w:rPr/>
            </w:r>
          </w:p>
        </w:tc>
        <w:tc>
          <w:tcPr>
            <w:tcW w:w="5448" w:type="dxa"/>
            <w:tcBorders>
              <w:top w:val="single" w:sz="4" w:space="0" w:color="000000"/>
              <w:left w:val="single" w:sz="4" w:space="0" w:color="000000"/>
              <w:bottom w:val="single" w:sz="4" w:space="0" w:color="000000"/>
              <w:right w:val="single" w:sz="4" w:space="0" w:color="000000"/>
            </w:tcBorders>
          </w:tcPr>
          <w:p>
            <w:pPr>
              <w:pStyle w:val="Normal"/>
              <w:rPr/>
            </w:pPr>
            <w:r>
              <w:rPr/>
              <w:t>Schedules  1 to 3</w:t>
            </w:r>
          </w:p>
        </w:tc>
      </w:tr>
    </w:tbl>
    <w:p>
      <w:pPr>
        <w:pStyle w:val="Normal"/>
        <w:rPr/>
      </w:pPr>
      <w:r>
        <w:rPr/>
      </w:r>
    </w:p>
    <w:p>
      <w:pPr>
        <w:pStyle w:val="Normal"/>
        <w:rPr/>
      </w:pPr>
      <w:r>
        <w:rPr/>
        <w:t>Scottish Government</w:t>
      </w:r>
    </w:p>
    <w:p>
      <w:pPr>
        <w:pStyle w:val="Normal"/>
        <w:rPr/>
      </w:pPr>
      <w:r>
        <w:rPr/>
        <w:t>October 2014</w:t>
      </w:r>
    </w:p>
    <w:sectPr>
      <w:headerReference w:type="default" r:id="rId2"/>
      <w:footerReference w:type="default" r:id="rId3"/>
      <w:footnotePr>
        <w:numFmt w:val="decimal"/>
      </w:footnotePr>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Tahoma">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center" w:pos="4500" w:leader="none"/>
        <w:tab w:val="right" w:pos="9000" w:leader="none"/>
      </w:tabs>
      <w:jc w:val="left"/>
      <w:rPr>
        <w:sz w:val="20"/>
      </w:rPr>
    </w:pPr>
    <w:r>
      <w:rPr>
        <w:sz w:val="2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OJ L 330, 5.12.98, p.32, as last amended by Regulation (EC) No 596/2009 (OJ L 188, 18.7.2009, p. 14).</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500" w:leader="none"/>
        <w:tab w:val="right" w:pos="9000" w:leader="none"/>
      </w:tabs>
      <w:jc w:val="left"/>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20"/>
        </w:tabs>
        <w:ind w:left="0" w:hanging="0"/>
      </w:pPr>
    </w:lvl>
    <w:lvl w:ilvl="1">
      <w:start w:val="1"/>
      <w:pStyle w:val="Heading2"/>
      <w:numFmt w:val="decimal"/>
      <w:lvlText w:val="%1.%2"/>
      <w:lvlJc w:val="left"/>
      <w:pPr>
        <w:tabs>
          <w:tab w:val="num" w:pos="720"/>
        </w:tabs>
        <w:ind w:left="0" w:hanging="0"/>
      </w:pPr>
    </w:lvl>
    <w:lvl w:ilvl="2">
      <w:start w:val="1"/>
      <w:pStyle w:val="Heading3"/>
      <w:numFmt w:val="decimal"/>
      <w:lvlText w:val="%1.%2.%3"/>
      <w:lvlJc w:val="left"/>
      <w:pPr>
        <w:tabs>
          <w:tab w:val="num" w:pos="720"/>
        </w:tabs>
        <w:ind w:left="0" w:hanging="0"/>
      </w:pPr>
    </w:lvl>
    <w:lvl w:ilvl="3">
      <w:start w:val="1"/>
      <w:numFmt w:val="decimal"/>
      <w:lvlText w:val="%1.%2.%3.%4"/>
      <w:lvlJc w:val="left"/>
      <w:pPr>
        <w:tabs>
          <w:tab w:val="num" w:pos="0"/>
        </w:tabs>
        <w:ind w:left="0" w:hanging="0"/>
      </w:pPr>
    </w:lvl>
    <w:lvl w:ilvl="4">
      <w:start w:val="1"/>
      <w:numFmt w:val="decimal"/>
      <w:lvlText w:val="%1.%2.%3.%4.%5"/>
      <w:lvlJc w:val="left"/>
      <w:pPr>
        <w:tabs>
          <w:tab w:val="num" w:pos="0"/>
        </w:tabs>
        <w:ind w:left="0" w:hanging="0"/>
      </w:pPr>
    </w:lvl>
    <w:lvl w:ilvl="5">
      <w:start w:val="1"/>
      <w:numFmt w:val="decimal"/>
      <w:lvlText w:val="%1.%2.%3.%4.%5.%6"/>
      <w:lvlJc w:val="left"/>
      <w:pPr>
        <w:tabs>
          <w:tab w:val="num" w:pos="0"/>
        </w:tabs>
        <w:ind w:left="0" w:hanging="0"/>
      </w:pPr>
    </w:lvl>
    <w:lvl w:ilvl="6">
      <w:start w:val="1"/>
      <w:numFmt w:val="decimal"/>
      <w:lvlText w:val="%1.%2.%3.%4.%5.%6.%7"/>
      <w:lvlJc w:val="left"/>
      <w:pPr>
        <w:tabs>
          <w:tab w:val="num" w:pos="0"/>
        </w:tabs>
        <w:ind w:left="0" w:hanging="0"/>
      </w:pPr>
    </w:lvl>
    <w:lvl w:ilvl="7">
      <w:start w:val="1"/>
      <w:numFmt w:val="decimal"/>
      <w:lvlText w:val="%1.%2.%3.%4.%5.%6.%7.%8"/>
      <w:lvlJc w:val="left"/>
      <w:pPr>
        <w:tabs>
          <w:tab w:val="num" w:pos="0"/>
        </w:tabs>
        <w:ind w:left="0" w:hanging="0"/>
      </w:pPr>
    </w:lvl>
    <w:lvl w:ilvl="8">
      <w:start w:val="1"/>
      <w:numFmt w:val="decimal"/>
      <w:lvlText w:val="%1.%2.%3.%4.%5.%6.%7.%8.%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tabs>
        <w:tab w:val="left" w:pos="720" w:leader="none"/>
        <w:tab w:val="left" w:pos="1440" w:leader="none"/>
        <w:tab w:val="left" w:pos="2160" w:leader="none"/>
        <w:tab w:val="left" w:pos="2880" w:leader="none"/>
        <w:tab w:val="left" w:pos="4680" w:leader="none"/>
        <w:tab w:val="left" w:pos="5400" w:leader="none"/>
        <w:tab w:val="right" w:pos="9000" w:leader="none"/>
      </w:tabs>
      <w:bidi w:val="0"/>
      <w:spacing w:lineRule="atLeast" w:line="240"/>
      <w:jc w:val="both"/>
    </w:pPr>
    <w:rPr>
      <w:rFonts w:ascii="Times New Roman" w:hAnsi="Times New Roman" w:eastAsia="Times New Roman" w:cs="Times New Roman"/>
      <w:color w:val="auto"/>
      <w:sz w:val="24"/>
      <w:szCs w:val="20"/>
      <w:lang w:val="en-GB" w:bidi="ar-SA" w:eastAsia="zh-CN"/>
    </w:rPr>
  </w:style>
  <w:style w:type="paragraph" w:styleId="Heading1">
    <w:name w:val="heading 1"/>
    <w:basedOn w:val="Normal"/>
    <w:next w:val="Normal"/>
    <w:qFormat/>
    <w:pPr>
      <w:numPr>
        <w:ilvl w:val="0"/>
        <w:numId w:val="1"/>
      </w:numPr>
      <w:outlineLvl w:val="0"/>
    </w:pPr>
    <w:rPr>
      <w:kern w:val="2"/>
    </w:rPr>
  </w:style>
  <w:style w:type="paragraph" w:styleId="Heading2">
    <w:name w:val="heading 2"/>
    <w:basedOn w:val="Normal"/>
    <w:next w:val="Normal"/>
    <w:qFormat/>
    <w:pPr>
      <w:numPr>
        <w:ilvl w:val="1"/>
        <w:numId w:val="1"/>
      </w:numPr>
      <w:ind w:hanging="0" w:left="720" w:right="0"/>
      <w:outlineLvl w:val="1"/>
    </w:pPr>
    <w:rPr>
      <w:kern w:val="2"/>
    </w:rPr>
  </w:style>
  <w:style w:type="paragraph" w:styleId="Heading3">
    <w:name w:val="heading 3"/>
    <w:basedOn w:val="Normal"/>
    <w:next w:val="Normal"/>
    <w:qFormat/>
    <w:pPr>
      <w:numPr>
        <w:ilvl w:val="2"/>
        <w:numId w:val="1"/>
      </w:numPr>
      <w:tabs>
        <w:tab w:val="clear" w:pos="720"/>
        <w:tab w:val="left" w:pos="1440" w:leader="none"/>
        <w:tab w:val="left" w:pos="2160" w:leader="none"/>
        <w:tab w:val="left" w:pos="2880" w:leader="none"/>
        <w:tab w:val="left" w:pos="4680" w:leader="none"/>
        <w:tab w:val="left" w:pos="5400" w:leader="none"/>
        <w:tab w:val="right" w:pos="9000" w:leader="none"/>
      </w:tabs>
      <w:ind w:hanging="0" w:left="1440" w:right="0"/>
      <w:outlineLvl w:val="2"/>
    </w:pPr>
    <w:rPr>
      <w:kern w:val="2"/>
    </w:rPr>
  </w:style>
  <w:style w:type="paragraph" w:styleId="Heading4">
    <w:name w:val="heading 4"/>
    <w:basedOn w:val="Normal"/>
    <w:next w:val="Normal"/>
    <w:qFormat/>
    <w:pPr>
      <w:keepNext w:val="true"/>
      <w:spacing w:before="240" w:after="60"/>
      <w:outlineLvl w:val="3"/>
    </w:pPr>
    <w:rPr>
      <w:b/>
      <w:sz w:val="28"/>
    </w:rPr>
  </w:style>
  <w:style w:type="paragraph" w:styleId="Heading5">
    <w:name w:val="heading 5"/>
    <w:basedOn w:val="Normal"/>
    <w:next w:val="Normal"/>
    <w:qFormat/>
    <w:pPr>
      <w:keepNext w:val="true"/>
      <w:outlineLvl w:val="4"/>
    </w:pPr>
    <w:rPr>
      <w:b/>
    </w:rPr>
  </w:style>
  <w:style w:type="paragraph" w:styleId="Heading6">
    <w:name w:val="heading 6"/>
    <w:basedOn w:val="Normal"/>
    <w:next w:val="Normal"/>
    <w:qFormat/>
    <w:pPr>
      <w:spacing w:before="240" w:after="60"/>
      <w:outlineLvl w:val="5"/>
    </w:pPr>
    <w:rPr>
      <w:b/>
      <w:sz w:val="22"/>
    </w:rPr>
  </w:style>
  <w:style w:type="character" w:styleId="WW8Num3z0">
    <w:name w:val="WW8Num3z0"/>
    <w:qFormat/>
    <w:rPr>
      <w:rFonts w:ascii="Wingdings" w:hAnsi="Wingdings" w:cs="Wingdings"/>
      <w:sz w:val="16"/>
    </w:rPr>
  </w:style>
  <w:style w:type="character" w:styleId="WW8Num4z0">
    <w:name w:val="WW8Num4z0"/>
    <w:qFormat/>
    <w:rPr>
      <w:b w:val="fals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b w:val="false"/>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sz w:val="16"/>
    </w:rPr>
  </w:style>
  <w:style w:type="character" w:styleId="WW8Num9z0">
    <w:name w:val="WW8Num9z0"/>
    <w:qFormat/>
    <w:rPr>
      <w:b w:val="false"/>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rFonts w:ascii="Wingdings" w:hAnsi="Wingdings" w:cs="Wingdings"/>
      <w:sz w:val="16"/>
    </w:rPr>
  </w:style>
  <w:style w:type="character" w:styleId="WW8Num13z0">
    <w:name w:val="WW8Num13z0"/>
    <w:qFormat/>
    <w:rPr>
      <w:rFonts w:ascii="Wingdings" w:hAnsi="Wingdings" w:cs="Wingdings"/>
      <w:sz w:val="16"/>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Heading1Char">
    <w:name w:val="Heading 1 Char"/>
    <w:qFormat/>
    <w:rPr>
      <w:kern w:val="2"/>
      <w:sz w:val="24"/>
    </w:rPr>
  </w:style>
  <w:style w:type="character" w:styleId="Heading2Char">
    <w:name w:val="Heading 2 Char"/>
    <w:qFormat/>
    <w:rPr>
      <w:kern w:val="2"/>
      <w:sz w:val="24"/>
    </w:rPr>
  </w:style>
  <w:style w:type="character" w:styleId="Heading3Char">
    <w:name w:val="Heading 3 Char"/>
    <w:qFormat/>
    <w:rPr>
      <w:kern w:val="2"/>
      <w:sz w:val="24"/>
    </w:rPr>
  </w:style>
  <w:style w:type="character" w:styleId="HeaderChar">
    <w:name w:val="Header Char"/>
    <w:qFormat/>
    <w:rPr>
      <w:sz w:val="24"/>
    </w:rPr>
  </w:style>
  <w:style w:type="character" w:styleId="FooterChar">
    <w:name w:val="Footer Char"/>
    <w:qFormat/>
    <w:rPr>
      <w:sz w:val="24"/>
    </w:rPr>
  </w:style>
  <w:style w:type="character" w:styleId="BalloonTextChar">
    <w:name w:val="Balloon Text Char"/>
    <w:qFormat/>
    <w:rPr>
      <w:rFonts w:ascii="Tahoma" w:hAnsi="Tahoma"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ulletted">
    <w:name w:val="Bulletted"/>
    <w:basedOn w:val="Normal"/>
    <w:next w:val="Normal"/>
    <w:qFormat/>
    <w:pPr>
      <w:numPr>
        <w:ilvl w:val="0"/>
        <w:numId w:val="2"/>
      </w:numPr>
      <w:tabs>
        <w:tab w:val="left" w:pos="360" w:leader="none"/>
        <w:tab w:val="left" w:pos="720" w:leader="none"/>
        <w:tab w:val="left" w:pos="1080" w:leader="none"/>
        <w:tab w:val="left" w:pos="1440" w:leader="none"/>
        <w:tab w:val="left" w:pos="1800" w:leader="none"/>
        <w:tab w:val="left" w:pos="2160" w:leader="none"/>
        <w:tab w:val="left" w:pos="2880" w:leader="none"/>
        <w:tab w:val="left" w:pos="3240" w:leader="none"/>
        <w:tab w:val="left" w:pos="4680" w:leader="none"/>
        <w:tab w:val="left" w:pos="5400" w:leader="none"/>
        <w:tab w:val="right" w:pos="9000" w:leader="none"/>
      </w:tabs>
    </w:pPr>
    <w:rPr/>
  </w:style>
  <w:style w:type="paragraph" w:styleId="Outline4">
    <w:name w:val="Outline4"/>
    <w:basedOn w:val="Normal"/>
    <w:next w:val="Normal"/>
    <w:qFormat/>
    <w:pPr>
      <w:numPr>
        <w:ilvl w:val="0"/>
        <w:numId w:val="3"/>
      </w:numPr>
      <w:ind w:hanging="0" w:left="2160" w:right="0"/>
    </w:pPr>
    <w:rPr>
      <w:kern w:val="2"/>
    </w:rPr>
  </w:style>
  <w:style w:type="paragraph" w:styleId="Outline5">
    <w:name w:val="Outline5"/>
    <w:basedOn w:val="Normal"/>
    <w:next w:val="Normal"/>
    <w:qFormat/>
    <w:pPr>
      <w:numPr>
        <w:ilvl w:val="0"/>
        <w:numId w:val="4"/>
      </w:numPr>
      <w:ind w:hanging="0" w:left="720" w:right="0"/>
    </w:pPr>
    <w:rPr>
      <w:kern w:val="2"/>
    </w:rPr>
  </w:style>
  <w:style w:type="paragraph" w:styleId="Outline6">
    <w:name w:val="Outline6"/>
    <w:basedOn w:val="Normal"/>
    <w:next w:val="Normal"/>
    <w:qFormat/>
    <w:pPr>
      <w:numPr>
        <w:ilvl w:val="0"/>
        <w:numId w:val="5"/>
      </w:numPr>
      <w:spacing w:before="0" w:after="240"/>
      <w:ind w:hanging="0" w:left="2160" w:right="0"/>
    </w:pPr>
    <w:rPr>
      <w:kern w:val="2"/>
    </w:rPr>
  </w:style>
  <w:style w:type="paragraph" w:styleId="Outline7">
    <w:name w:val="Outline7"/>
    <w:basedOn w:val="Normal"/>
    <w:next w:val="Normal"/>
    <w:qFormat/>
    <w:pPr>
      <w:numPr>
        <w:ilvl w:val="0"/>
        <w:numId w:val="6"/>
      </w:numPr>
      <w:spacing w:before="0" w:after="240"/>
      <w:ind w:hanging="0" w:left="720" w:right="0"/>
    </w:pPr>
    <w:rPr>
      <w:kern w:val="2"/>
    </w:rPr>
  </w:style>
  <w:style w:type="paragraph" w:styleId="HeaderandFooter">
    <w:name w:val="Header and Footer"/>
    <w:basedOn w:val="Normal"/>
    <w:qFormat/>
    <w:pPr>
      <w:suppressLineNumbers/>
      <w:tabs>
        <w:tab w:val="clear" w:pos="720"/>
        <w:tab w:val="clear" w:pos="1440"/>
        <w:tab w:val="clear" w:pos="2160"/>
        <w:tab w:val="clear" w:pos="2880"/>
        <w:tab w:val="clear" w:pos="4680"/>
        <w:tab w:val="clear" w:pos="5400"/>
        <w:tab w:val="clear" w:pos="9000"/>
        <w:tab w:val="center" w:pos="4819" w:leader="none"/>
        <w:tab w:val="right" w:pos="9638" w:leader="none"/>
      </w:tabs>
    </w:pPr>
    <w:rPr/>
  </w:style>
  <w:style w:type="paragraph" w:styleId="Header">
    <w:name w:val="header"/>
    <w:basedOn w:val="Normal"/>
    <w:pPr>
      <w:tabs>
        <w:tab w:val="clear" w:pos="720"/>
        <w:tab w:val="clear" w:pos="1440"/>
        <w:tab w:val="clear" w:pos="2160"/>
        <w:tab w:val="clear" w:pos="2880"/>
        <w:tab w:val="clear" w:pos="4680"/>
        <w:tab w:val="clear" w:pos="5400"/>
        <w:tab w:val="clear" w:pos="9000"/>
        <w:tab w:val="center" w:pos="4153" w:leader="none"/>
        <w:tab w:val="right" w:pos="8306" w:leader="none"/>
      </w:tabs>
    </w:pPr>
    <w:rPr/>
  </w:style>
  <w:style w:type="paragraph" w:styleId="Footer">
    <w:name w:val="footer"/>
    <w:basedOn w:val="Normal"/>
    <w:pPr>
      <w:tabs>
        <w:tab w:val="clear" w:pos="720"/>
        <w:tab w:val="clear" w:pos="1440"/>
        <w:tab w:val="clear" w:pos="2160"/>
        <w:tab w:val="clear" w:pos="2880"/>
        <w:tab w:val="clear" w:pos="4680"/>
        <w:tab w:val="clear" w:pos="5400"/>
        <w:tab w:val="clear" w:pos="9000"/>
        <w:tab w:val="center" w:pos="4153" w:leader="none"/>
        <w:tab w:val="right" w:pos="8306" w:leader="none"/>
      </w:tabs>
    </w:pPr>
    <w:rPr/>
  </w:style>
  <w:style w:type="paragraph" w:styleId="FootnoteText">
    <w:name w:val="footnote text"/>
    <w:basedOn w:val="Normal"/>
    <w:pPr/>
    <w:rPr>
      <w:sz w:val="20"/>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ListParagraph">
    <w:name w:val="List Paragraph"/>
    <w:basedOn w:val="Normal"/>
    <w:qFormat/>
    <w:pPr>
      <w:spacing w:before="0" w:after="0"/>
      <w:ind w:hanging="0" w:left="720" w:right="0"/>
      <w:contextualSpacing/>
    </w:pPr>
    <w:rPr>
      <w:rFonts w:ascii="Arial" w:hAnsi="Arial"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2014-10-31T09:51:00Z</dcterms:created>
  <dc:creator>Marie Ferguson</dc:creator>
  <dc:description/>
  <dc:language>en-GB</dc:language>
  <cp:lastModifiedBy>u200912</cp:lastModifiedBy>
  <cp:lastPrinted>2014-06-18T10:44:00Z</cp:lastPrinted>
  <dcterms:modified xsi:type="dcterms:W3CDTF">2014-10-31T09:51:00Z</dcterms:modified>
  <cp:revision>2</cp:revision>
  <dc:subject/>
  <dc:title>TRANSPOSITION NOTE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aveats">
    <vt:lpwstr/>
  </property>
  <property fmtid="{D5CDD505-2E9C-101B-9397-08002B2CF9AE}" pid="3" name="Objective-Classification">
    <vt:lpwstr>[Inherited - Not Protectively Marked]</vt:lpwstr>
  </property>
  <property fmtid="{D5CDD505-2E9C-101B-9397-08002B2CF9AE}" pid="4" name="Objective-Comment">
    <vt:lpwstr/>
  </property>
  <property fmtid="{D5CDD505-2E9C-101B-9397-08002B2CF9AE}" pid="5" name="Objective-CreationStamp">
    <vt:filetime>2014-10-30T16:23:20Z</vt:filetime>
  </property>
  <property fmtid="{D5CDD505-2E9C-101B-9397-08002B2CF9AE}" pid="6" name="Objective-Date Received [system]">
    <vt:lpwstr/>
  </property>
  <property fmtid="{D5CDD505-2E9C-101B-9397-08002B2CF9AE}" pid="7" name="Objective-Date of Original [system]">
    <vt:lpwstr/>
  </property>
  <property fmtid="{D5CDD505-2E9C-101B-9397-08002B2CF9AE}" pid="8" name="Objective-DatePublished">
    <vt:filetime>2014-10-30T16:23:58Z</vt:filetime>
  </property>
  <property fmtid="{D5CDD505-2E9C-101B-9397-08002B2CF9AE}" pid="9" name="Objective-FileNumber">
    <vt:lpwstr/>
  </property>
  <property fmtid="{D5CDD505-2E9C-101B-9397-08002B2CF9AE}" pid="10" name="Objective-Id">
    <vt:lpwstr>A9593449</vt:lpwstr>
  </property>
  <property fmtid="{D5CDD505-2E9C-101B-9397-08002B2CF9AE}" pid="11" name="Objective-IsApproved">
    <vt:bool>0</vt:bool>
  </property>
  <property fmtid="{D5CDD505-2E9C-101B-9397-08002B2CF9AE}" pid="12" name="Objective-IsPublished">
    <vt:bool>1</vt:bool>
  </property>
  <property fmtid="{D5CDD505-2E9C-101B-9397-08002B2CF9AE}" pid="13" name="Objective-ModificationStamp">
    <vt:filetime>2014-10-30T16:23:59Z</vt:filetime>
  </property>
  <property fmtid="{D5CDD505-2E9C-101B-9397-08002B2CF9AE}" pid="14" name="Objective-Owner">
    <vt:lpwstr>McMinn, Lynne L (N203954)</vt:lpwstr>
  </property>
  <property fmtid="{D5CDD505-2E9C-101B-9397-08002B2CF9AE}" pid="15" name="Objective-Parent">
    <vt:lpwstr>Water Quality Amending Regulations 2011 - Policy Development:  2011-</vt:lpwstr>
  </property>
  <property fmtid="{D5CDD505-2E9C-101B-9397-08002B2CF9AE}" pid="16" name="Objective-Path">
    <vt:lpwstr>Objective Global Folder:SG File Plan:Agriculture, environment and natural resources:Water resources:Water quality:Advice and policy: Water quality:Water Quality Amending Regulations 2011 - Policy Development:  2011-:</vt:lpwstr>
  </property>
  <property fmtid="{D5CDD505-2E9C-101B-9397-08002B2CF9AE}" pid="17" name="Objective-SG Web Publication - Category 2 Classification [system]">
    <vt:lpwstr/>
  </property>
  <property fmtid="{D5CDD505-2E9C-101B-9397-08002B2CF9AE}" pid="18" name="Objective-SG Web Publication - Category [system]">
    <vt:lpwstr/>
  </property>
  <property fmtid="{D5CDD505-2E9C-101B-9397-08002B2CF9AE}" pid="19" name="Objective-State">
    <vt:lpwstr>Published</vt:lpwstr>
  </property>
  <property fmtid="{D5CDD505-2E9C-101B-9397-08002B2CF9AE}" pid="20" name="Objective-Title">
    <vt:lpwstr>The Public Water Supplies (Scotland) Regulations 2014 - Transposition Note2</vt:lpwstr>
  </property>
  <property fmtid="{D5CDD505-2E9C-101B-9397-08002B2CF9AE}" pid="21" name="Objective-Version">
    <vt:lpwstr>1.0</vt:lpwstr>
  </property>
  <property fmtid="{D5CDD505-2E9C-101B-9397-08002B2CF9AE}" pid="22" name="Objective-VersionComment">
    <vt:lpwstr>Version 2</vt:lpwstr>
  </property>
  <property fmtid="{D5CDD505-2E9C-101B-9397-08002B2CF9AE}" pid="23" name="Objective-VersionNumber">
    <vt:r8>2</vt:r8>
  </property>
</Properties>
</file>