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b/>
          <w:szCs w:val="24"/>
        </w:rPr>
        <w:t>TRANSPOSITION NOTE FOR COUNCIL DIRECTIVE 2001/110/EC RELATING TO HONEY (AS AMENDED)</w:t>
      </w:r>
    </w:p>
    <w:p>
      <w:pPr>
        <w:pStyle w:val="Normal"/>
        <w:rPr>
          <w:b/>
          <w:szCs w:val="24"/>
        </w:rPr>
      </w:pPr>
      <w:r>
        <w:rPr>
          <w:b/>
          <w:szCs w:val="24"/>
        </w:rPr>
        <w:t>(DIRECTIVE TO DOMESTIC REGULATIONS)</w:t>
      </w:r>
    </w:p>
    <w:p>
      <w:pPr>
        <w:pStyle w:val="Normal"/>
        <w:rPr>
          <w:b/>
          <w:szCs w:val="24"/>
        </w:rPr>
      </w:pPr>
      <w:r>
        <w:rPr>
          <w:b/>
          <w:szCs w:val="24"/>
        </w:rPr>
      </w:r>
    </w:p>
    <w:p>
      <w:pPr>
        <w:pStyle w:val="Normal"/>
        <w:rPr/>
      </w:pPr>
      <w:r>
        <w:rPr>
          <w:szCs w:val="24"/>
        </w:rPr>
        <w:t xml:space="preserve">This Note shows how the requirements of Council Directive 2001/110/EC relating to honey (“the Honey Directive”), as last amended by Directive 2014/63/EU of the European Parliament and the Council, have been implemented in England. </w:t>
      </w:r>
    </w:p>
    <w:p>
      <w:pPr>
        <w:pStyle w:val="Normal"/>
        <w:rPr>
          <w:szCs w:val="24"/>
        </w:rPr>
      </w:pPr>
      <w:r>
        <w:rPr>
          <w:szCs w:val="24"/>
        </w:rPr>
      </w:r>
    </w:p>
    <w:p>
      <w:pPr>
        <w:pStyle w:val="Normal"/>
        <w:rPr/>
      </w:pPr>
      <w:r>
        <w:rPr>
          <w:szCs w:val="24"/>
        </w:rPr>
        <w:t>As well as the provisions of the Honey Directive, Regulation (EU) No 1169/2011 of the European Parliament and of the Council on the provision of food information to consumers applies to the products regulated by the Honey Directive. The name of food provisions in Article 17 of Regulation (EU) No 1169/2011 will apply. The names of products prescribed by the Honey Directive are legal names for the purposes of Article 17(1) of the Regulation (EU) No 1169/2011. The requirements relating to the availability, placement and presentation of mandatory particulars will apply to the particulars that are mandatory under the Honey Directive. Article 8 of Regulation (EU) No 1169/2011 contains provisions regulating the information that businesses must provide when selling food to other businesses. This includes, for example, an obligation to provide sufficient information to those businesses to enable mandatory food information to be provided to the final consumer and mass caterers when food is eventually sold to them. Enforcement provisions relating to the provisions of Regulation (EU) No 1169/2011 are contained in the Food Information Regulations 2014 (S.I. 2014/1855).</w:t>
      </w:r>
    </w:p>
    <w:p>
      <w:pPr>
        <w:pStyle w:val="Normal"/>
        <w:rPr>
          <w:b/>
          <w:szCs w:val="24"/>
        </w:rPr>
      </w:pPr>
      <w:r>
        <w:rPr>
          <w:b/>
          <w:szCs w:val="24"/>
        </w:rPr>
      </w:r>
    </w:p>
    <w:p>
      <w:pPr>
        <w:pStyle w:val="Normal"/>
        <w:rPr>
          <w:b/>
          <w:szCs w:val="24"/>
        </w:rPr>
      </w:pPr>
      <w:r>
        <w:rPr>
          <w:b/>
          <w:szCs w:val="24"/>
        </w:rPr>
        <w:t>Approach of the Regulations</w:t>
      </w:r>
    </w:p>
    <w:p>
      <w:pPr>
        <w:pStyle w:val="Normal"/>
        <w:rPr>
          <w:b/>
          <w:szCs w:val="24"/>
        </w:rPr>
      </w:pPr>
      <w:r>
        <w:rPr>
          <w:b/>
          <w:szCs w:val="24"/>
        </w:rPr>
      </w:r>
    </w:p>
    <w:p>
      <w:pPr>
        <w:pStyle w:val="Normal"/>
        <w:rPr>
          <w:szCs w:val="24"/>
        </w:rPr>
      </w:pPr>
      <w:r>
        <w:rPr>
          <w:szCs w:val="24"/>
        </w:rPr>
        <w:t xml:space="preserve">The Honey Directive was originally implemented in England by the Honey (England) Regulations 2003 (S.I. 2003/2243) (“the 2003 Regulations”). However, the 2003 Regulations have been amended by the Honey (Amendment) (England) Regulations 2005 (S.I. 2005/1920) and the Food Information Regulations 2014. Now that the Honey Directive has been amended (by Directive 2014/63/EU), it has decided to replace the 2003 Regulations with updated domestic Regulations which implement the Honey Directive, as amended by Directive 2014/63/EU. </w:t>
      </w:r>
    </w:p>
    <w:p>
      <w:pPr>
        <w:pStyle w:val="Normal"/>
        <w:rPr>
          <w:szCs w:val="24"/>
        </w:rPr>
      </w:pPr>
      <w:r>
        <w:rPr>
          <w:szCs w:val="24"/>
        </w:rPr>
      </w:r>
    </w:p>
    <w:p>
      <w:pPr>
        <w:pStyle w:val="Normal"/>
        <w:rPr>
          <w:szCs w:val="24"/>
        </w:rPr>
      </w:pPr>
      <w:r>
        <w:rPr>
          <w:szCs w:val="24"/>
        </w:rPr>
        <w:t>The requirements of the Honey Directive, as amended, will be implemented by the Honey (England) Regulations 2015 (“the 2015 Regulations”) as follows:</w:t>
      </w:r>
    </w:p>
    <w:p>
      <w:pPr>
        <w:pStyle w:val="Normal"/>
        <w:rPr>
          <w:szCs w:val="24"/>
        </w:rPr>
      </w:pPr>
      <w:r>
        <w:rPr>
          <w:szCs w:val="24"/>
        </w:rPr>
      </w:r>
    </w:p>
    <w:tbl>
      <w:tblPr>
        <w:tblW w:w="21150" w:type="dxa"/>
        <w:jc w:val="left"/>
        <w:tblInd w:w="0" w:type="dxa"/>
        <w:tblLayout w:type="fixed"/>
        <w:tblCellMar>
          <w:top w:w="0" w:type="dxa"/>
          <w:left w:w="108" w:type="dxa"/>
          <w:bottom w:w="0" w:type="dxa"/>
          <w:right w:w="108" w:type="dxa"/>
        </w:tblCellMar>
      </w:tblPr>
      <w:tblGrid>
        <w:gridCol w:w="2141"/>
        <w:gridCol w:w="6783"/>
        <w:gridCol w:w="6137"/>
        <w:gridCol w:w="6089"/>
      </w:tblGrid>
      <w:tr>
        <w:trPr>
          <w:tblHeader w:val="true"/>
        </w:trPr>
        <w:tc>
          <w:tcPr>
            <w:tcW w:w="2141" w:type="dxa"/>
            <w:tcBorders>
              <w:top w:val="single" w:sz="4" w:space="0" w:color="000000"/>
              <w:left w:val="single" w:sz="4" w:space="0" w:color="000000"/>
              <w:bottom w:val="single" w:sz="4" w:space="0" w:color="000000"/>
              <w:right w:val="single" w:sz="4" w:space="0" w:color="000000"/>
            </w:tcBorders>
            <w:shd w:fill="C2D69B" w:val="clear"/>
          </w:tcPr>
          <w:p>
            <w:pPr>
              <w:pStyle w:val="Normal"/>
              <w:snapToGrid w:val="false"/>
              <w:rPr>
                <w:szCs w:val="24"/>
              </w:rPr>
            </w:pPr>
            <w:r>
              <w:rPr>
                <w:szCs w:val="24"/>
              </w:rPr>
            </w:r>
          </w:p>
          <w:p>
            <w:pPr>
              <w:pStyle w:val="Normal"/>
              <w:rPr/>
            </w:pPr>
            <w:r>
              <w:rPr>
                <w:szCs w:val="24"/>
              </w:rPr>
              <w:t>Article in the Honey Directive</w:t>
            </w:r>
          </w:p>
          <w:p>
            <w:pPr>
              <w:pStyle w:val="Normal"/>
              <w:spacing w:before="0" w:after="200"/>
              <w:rPr>
                <w:szCs w:val="24"/>
              </w:rPr>
            </w:pPr>
            <w:r>
              <w:rPr>
                <w:szCs w:val="24"/>
              </w:rPr>
            </w:r>
          </w:p>
        </w:tc>
        <w:tc>
          <w:tcPr>
            <w:tcW w:w="6783" w:type="dxa"/>
            <w:tcBorders>
              <w:top w:val="single" w:sz="4" w:space="0" w:color="000000"/>
              <w:left w:val="single" w:sz="4" w:space="0" w:color="000000"/>
              <w:bottom w:val="single" w:sz="4" w:space="0" w:color="000000"/>
              <w:right w:val="single" w:sz="4" w:space="0" w:color="000000"/>
            </w:tcBorders>
            <w:shd w:fill="C2D69B" w:val="clear"/>
          </w:tcPr>
          <w:p>
            <w:pPr>
              <w:pStyle w:val="Normal"/>
              <w:snapToGrid w:val="false"/>
              <w:rPr>
                <w:szCs w:val="24"/>
              </w:rPr>
            </w:pPr>
            <w:r>
              <w:rPr>
                <w:szCs w:val="24"/>
              </w:rPr>
            </w:r>
          </w:p>
          <w:p>
            <w:pPr>
              <w:pStyle w:val="Normal"/>
              <w:spacing w:before="0" w:after="200"/>
              <w:rPr>
                <w:szCs w:val="24"/>
              </w:rPr>
            </w:pPr>
            <w:r>
              <w:rPr>
                <w:szCs w:val="24"/>
              </w:rPr>
              <w:t>Objective</w:t>
            </w:r>
          </w:p>
        </w:tc>
        <w:tc>
          <w:tcPr>
            <w:tcW w:w="6137" w:type="dxa"/>
            <w:tcBorders>
              <w:top w:val="single" w:sz="4" w:space="0" w:color="000000"/>
              <w:left w:val="single" w:sz="4" w:space="0" w:color="000000"/>
              <w:bottom w:val="single" w:sz="4" w:space="0" w:color="000000"/>
              <w:right w:val="single" w:sz="4" w:space="0" w:color="000000"/>
            </w:tcBorders>
            <w:shd w:fill="C2D69B" w:val="clear"/>
          </w:tcPr>
          <w:p>
            <w:pPr>
              <w:pStyle w:val="Normal"/>
              <w:snapToGrid w:val="false"/>
              <w:rPr>
                <w:szCs w:val="24"/>
              </w:rPr>
            </w:pPr>
            <w:r>
              <w:rPr>
                <w:szCs w:val="24"/>
              </w:rPr>
            </w:r>
          </w:p>
          <w:p>
            <w:pPr>
              <w:pStyle w:val="Normal"/>
              <w:spacing w:before="0" w:after="200"/>
              <w:rPr>
                <w:szCs w:val="24"/>
              </w:rPr>
            </w:pPr>
            <w:r>
              <w:rPr>
                <w:szCs w:val="24"/>
              </w:rPr>
              <w:t>Provision in the Honey (England) Regulations 2015</w:t>
            </w:r>
          </w:p>
        </w:tc>
        <w:tc>
          <w:tcPr>
            <w:tcW w:w="6089" w:type="dxa"/>
            <w:tcBorders>
              <w:top w:val="single" w:sz="4" w:space="0" w:color="000000"/>
              <w:left w:val="single" w:sz="4" w:space="0" w:color="000000"/>
              <w:bottom w:val="single" w:sz="4" w:space="0" w:color="000000"/>
              <w:right w:val="single" w:sz="4" w:space="0" w:color="000000"/>
            </w:tcBorders>
            <w:shd w:fill="C2D69B" w:val="clear"/>
          </w:tcPr>
          <w:p>
            <w:pPr>
              <w:pStyle w:val="Normal"/>
              <w:snapToGrid w:val="false"/>
              <w:rPr>
                <w:szCs w:val="24"/>
              </w:rPr>
            </w:pPr>
            <w:r>
              <w:rPr>
                <w:szCs w:val="24"/>
              </w:rPr>
            </w:r>
          </w:p>
          <w:p>
            <w:pPr>
              <w:pStyle w:val="Normal"/>
              <w:spacing w:before="0" w:after="200"/>
              <w:rPr>
                <w:szCs w:val="24"/>
              </w:rPr>
            </w:pPr>
            <w:r>
              <w:rPr>
                <w:szCs w:val="24"/>
              </w:rPr>
              <w:t>Comment</w:t>
            </w:r>
          </w:p>
        </w:tc>
      </w:tr>
      <w:tr>
        <w:trPr/>
        <w:tc>
          <w:tcPr>
            <w:tcW w:w="2141"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szCs w:val="24"/>
              </w:rPr>
            </w:pPr>
            <w:r>
              <w:rPr>
                <w:szCs w:val="24"/>
              </w:rPr>
              <w:t>Article 1, first sentence)</w:t>
            </w:r>
          </w:p>
          <w:p>
            <w:pPr>
              <w:pStyle w:val="Normal"/>
              <w:spacing w:before="0" w:after="200"/>
              <w:rPr>
                <w:szCs w:val="24"/>
              </w:rPr>
            </w:pPr>
            <w:r>
              <w:rPr>
                <w:szCs w:val="24"/>
              </w:rPr>
            </w:r>
          </w:p>
        </w:tc>
        <w:tc>
          <w:tcPr>
            <w:tcW w:w="6783"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szCs w:val="24"/>
              </w:rPr>
            </w:pPr>
            <w:r>
              <w:rPr>
                <w:szCs w:val="24"/>
              </w:rPr>
              <w:t>Specifies the products to which the Directive applies</w:t>
            </w:r>
          </w:p>
          <w:p>
            <w:pPr>
              <w:pStyle w:val="Normal"/>
              <w:spacing w:before="0" w:after="200"/>
              <w:rPr>
                <w:szCs w:val="24"/>
              </w:rPr>
            </w:pPr>
            <w:r>
              <w:rPr>
                <w:szCs w:val="24"/>
              </w:rPr>
            </w:r>
          </w:p>
        </w:tc>
        <w:tc>
          <w:tcPr>
            <w:tcW w:w="6137"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spacing w:before="0" w:after="200"/>
              <w:rPr>
                <w:szCs w:val="24"/>
              </w:rPr>
            </w:pPr>
            <w:r>
              <w:rPr>
                <w:szCs w:val="24"/>
              </w:rPr>
              <w:t>No specific provision</w:t>
            </w:r>
          </w:p>
        </w:tc>
        <w:tc>
          <w:tcPr>
            <w:tcW w:w="6089"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szCs w:val="24"/>
              </w:rPr>
            </w:pPr>
            <w:r>
              <w:rPr>
                <w:szCs w:val="24"/>
              </w:rPr>
              <w:t xml:space="preserve">This forms of the basis of the whole of the 2015 Regulations – it runs throughout the provisions. </w:t>
            </w:r>
          </w:p>
          <w:p>
            <w:pPr>
              <w:pStyle w:val="Normal"/>
              <w:spacing w:before="0" w:after="200"/>
              <w:rPr>
                <w:szCs w:val="24"/>
              </w:rPr>
            </w:pPr>
            <w:r>
              <w:rPr>
                <w:szCs w:val="24"/>
              </w:rPr>
            </w:r>
          </w:p>
        </w:tc>
      </w:tr>
      <w:tr>
        <w:trPr/>
        <w:tc>
          <w:tcPr>
            <w:tcW w:w="2141"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szCs w:val="24"/>
              </w:rPr>
            </w:pPr>
            <w:r>
              <w:rPr>
                <w:szCs w:val="24"/>
              </w:rPr>
              <w:t>Article 1, second sentence</w:t>
            </w:r>
          </w:p>
          <w:p>
            <w:pPr>
              <w:pStyle w:val="Normal"/>
              <w:spacing w:before="0" w:after="200"/>
              <w:rPr>
                <w:szCs w:val="24"/>
              </w:rPr>
            </w:pPr>
            <w:r>
              <w:rPr>
                <w:szCs w:val="24"/>
              </w:rPr>
            </w:r>
          </w:p>
        </w:tc>
        <w:tc>
          <w:tcPr>
            <w:tcW w:w="6783"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szCs w:val="24"/>
              </w:rPr>
            </w:pPr>
            <w:r>
              <w:rPr>
                <w:szCs w:val="24"/>
              </w:rPr>
              <w:t>Requirement for the regulated products to meet the criteria set out in Annex II</w:t>
            </w:r>
          </w:p>
          <w:p>
            <w:pPr>
              <w:pStyle w:val="Normal"/>
              <w:spacing w:before="0" w:after="200"/>
              <w:rPr>
                <w:szCs w:val="24"/>
              </w:rPr>
            </w:pPr>
            <w:r>
              <w:rPr>
                <w:szCs w:val="24"/>
              </w:rPr>
            </w:r>
          </w:p>
        </w:tc>
        <w:tc>
          <w:tcPr>
            <w:tcW w:w="6137"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szCs w:val="24"/>
              </w:rPr>
            </w:pPr>
            <w:r>
              <w:rPr>
                <w:szCs w:val="24"/>
              </w:rPr>
              <w:t>Regulation 16</w:t>
            </w:r>
          </w:p>
          <w:p>
            <w:pPr>
              <w:pStyle w:val="Normal"/>
              <w:spacing w:before="0" w:after="200"/>
              <w:rPr>
                <w:szCs w:val="24"/>
              </w:rPr>
            </w:pPr>
            <w:r>
              <w:rPr>
                <w:szCs w:val="24"/>
              </w:rPr>
            </w:r>
          </w:p>
        </w:tc>
        <w:tc>
          <w:tcPr>
            <w:tcW w:w="6089" w:type="dxa"/>
            <w:tcBorders>
              <w:top w:val="single" w:sz="4" w:space="0" w:color="000000"/>
              <w:left w:val="single" w:sz="4" w:space="0" w:color="000000"/>
              <w:bottom w:val="single" w:sz="4" w:space="0" w:color="000000"/>
              <w:right w:val="single" w:sz="4" w:space="0" w:color="000000"/>
            </w:tcBorders>
          </w:tcPr>
          <w:p>
            <w:pPr>
              <w:pStyle w:val="Normal"/>
              <w:snapToGrid w:val="false"/>
              <w:spacing w:before="0" w:after="200"/>
              <w:rPr>
                <w:szCs w:val="24"/>
              </w:rPr>
            </w:pPr>
            <w:r>
              <w:rPr>
                <w:szCs w:val="24"/>
              </w:rPr>
            </w:r>
          </w:p>
        </w:tc>
      </w:tr>
      <w:tr>
        <w:trPr/>
        <w:tc>
          <w:tcPr>
            <w:tcW w:w="2141"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szCs w:val="24"/>
              </w:rPr>
            </w:pPr>
            <w:r>
              <w:rPr>
                <w:szCs w:val="24"/>
              </w:rPr>
              <w:t>Article 2, introductory words</w:t>
            </w:r>
          </w:p>
          <w:p>
            <w:pPr>
              <w:pStyle w:val="Normal"/>
              <w:spacing w:before="0" w:after="200"/>
              <w:rPr>
                <w:szCs w:val="24"/>
              </w:rPr>
            </w:pPr>
            <w:r>
              <w:rPr>
                <w:szCs w:val="24"/>
              </w:rPr>
            </w:r>
          </w:p>
        </w:tc>
        <w:tc>
          <w:tcPr>
            <w:tcW w:w="6783"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szCs w:val="24"/>
              </w:rPr>
            </w:pPr>
            <w:r>
              <w:rPr>
                <w:szCs w:val="24"/>
              </w:rPr>
              <w:t>Application of Directive 2000/13/EC</w:t>
            </w:r>
          </w:p>
          <w:p>
            <w:pPr>
              <w:pStyle w:val="Normal"/>
              <w:spacing w:before="0" w:after="200"/>
              <w:rPr>
                <w:szCs w:val="24"/>
              </w:rPr>
            </w:pPr>
            <w:r>
              <w:rPr>
                <w:szCs w:val="24"/>
              </w:rPr>
            </w:r>
          </w:p>
        </w:tc>
        <w:tc>
          <w:tcPr>
            <w:tcW w:w="6137"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pPr>
            <w:r>
              <w:rPr>
                <w:szCs w:val="24"/>
              </w:rPr>
              <w:t>For the most part nothing is needed.</w:t>
            </w:r>
          </w:p>
          <w:p>
            <w:pPr>
              <w:pStyle w:val="Normal"/>
              <w:rPr>
                <w:szCs w:val="24"/>
              </w:rPr>
            </w:pPr>
            <w:r>
              <w:rPr>
                <w:szCs w:val="24"/>
              </w:rPr>
            </w:r>
          </w:p>
          <w:p>
            <w:pPr>
              <w:pStyle w:val="Normal"/>
              <w:rPr>
                <w:szCs w:val="24"/>
              </w:rPr>
            </w:pPr>
            <w:r>
              <w:rPr>
                <w:szCs w:val="24"/>
              </w:rPr>
            </w:r>
          </w:p>
          <w:p>
            <w:pPr>
              <w:pStyle w:val="Normal"/>
              <w:rPr>
                <w:szCs w:val="24"/>
              </w:rPr>
            </w:pPr>
            <w:r>
              <w:rPr>
                <w:szCs w:val="24"/>
              </w:rPr>
            </w:r>
          </w:p>
          <w:p>
            <w:pPr>
              <w:pStyle w:val="Normal"/>
              <w:rPr>
                <w:szCs w:val="24"/>
              </w:rPr>
            </w:pPr>
            <w:r>
              <w:rPr>
                <w:szCs w:val="24"/>
              </w:rPr>
            </w:r>
          </w:p>
          <w:p>
            <w:pPr>
              <w:pStyle w:val="Normal"/>
              <w:rPr>
                <w:szCs w:val="24"/>
              </w:rPr>
            </w:pPr>
            <w:r>
              <w:rPr>
                <w:szCs w:val="24"/>
              </w:rPr>
            </w:r>
          </w:p>
          <w:p>
            <w:pPr>
              <w:pStyle w:val="Normal"/>
              <w:rPr>
                <w:szCs w:val="24"/>
              </w:rPr>
            </w:pPr>
            <w:r>
              <w:rPr>
                <w:szCs w:val="24"/>
              </w:rPr>
            </w:r>
          </w:p>
          <w:p>
            <w:pPr>
              <w:pStyle w:val="Normal"/>
              <w:rPr>
                <w:szCs w:val="24"/>
              </w:rPr>
            </w:pPr>
            <w:r>
              <w:rPr>
                <w:szCs w:val="24"/>
              </w:rPr>
            </w:r>
          </w:p>
          <w:p>
            <w:pPr>
              <w:pStyle w:val="Normal"/>
              <w:rPr>
                <w:szCs w:val="24"/>
              </w:rPr>
            </w:pPr>
            <w:r>
              <w:rPr>
                <w:szCs w:val="24"/>
              </w:rPr>
            </w:r>
          </w:p>
          <w:p>
            <w:pPr>
              <w:pStyle w:val="Normal"/>
              <w:rPr>
                <w:szCs w:val="24"/>
              </w:rPr>
            </w:pPr>
            <w:r>
              <w:rPr>
                <w:szCs w:val="24"/>
              </w:rPr>
            </w:r>
          </w:p>
          <w:p>
            <w:pPr>
              <w:pStyle w:val="Normal"/>
              <w:rPr>
                <w:szCs w:val="24"/>
              </w:rPr>
            </w:pPr>
            <w:r>
              <w:rPr>
                <w:szCs w:val="24"/>
              </w:rPr>
            </w:r>
          </w:p>
          <w:p>
            <w:pPr>
              <w:pStyle w:val="Normal"/>
              <w:rPr>
                <w:szCs w:val="24"/>
              </w:rPr>
            </w:pPr>
            <w:r>
              <w:rPr>
                <w:szCs w:val="24"/>
              </w:rPr>
            </w:r>
          </w:p>
          <w:p>
            <w:pPr>
              <w:pStyle w:val="Normal"/>
              <w:rPr>
                <w:szCs w:val="24"/>
              </w:rPr>
            </w:pPr>
            <w:r>
              <w:rPr>
                <w:szCs w:val="24"/>
              </w:rPr>
            </w:r>
          </w:p>
          <w:p>
            <w:pPr>
              <w:pStyle w:val="Normal"/>
              <w:rPr>
                <w:szCs w:val="24"/>
              </w:rPr>
            </w:pPr>
            <w:r>
              <w:rPr>
                <w:szCs w:val="24"/>
              </w:rPr>
            </w:r>
          </w:p>
          <w:p>
            <w:pPr>
              <w:pStyle w:val="Normal"/>
              <w:rPr>
                <w:szCs w:val="24"/>
              </w:rPr>
            </w:pPr>
            <w:r>
              <w:rPr>
                <w:szCs w:val="24"/>
              </w:rPr>
            </w:r>
          </w:p>
          <w:p>
            <w:pPr>
              <w:pStyle w:val="Normal"/>
              <w:rPr>
                <w:szCs w:val="24"/>
              </w:rPr>
            </w:pPr>
            <w:r>
              <w:rPr>
                <w:szCs w:val="24"/>
              </w:rPr>
            </w:r>
          </w:p>
          <w:p>
            <w:pPr>
              <w:pStyle w:val="Normal"/>
              <w:rPr>
                <w:szCs w:val="24"/>
              </w:rPr>
            </w:pPr>
            <w:r>
              <w:rPr>
                <w:szCs w:val="24"/>
              </w:rPr>
            </w:r>
          </w:p>
          <w:p>
            <w:pPr>
              <w:pStyle w:val="Normal"/>
              <w:rPr>
                <w:szCs w:val="24"/>
              </w:rPr>
            </w:pPr>
            <w:r>
              <w:rPr>
                <w:szCs w:val="24"/>
              </w:rPr>
              <w:t>Regulation 4</w:t>
            </w:r>
          </w:p>
          <w:p>
            <w:pPr>
              <w:pStyle w:val="Normal"/>
              <w:rPr>
                <w:szCs w:val="24"/>
              </w:rPr>
            </w:pPr>
            <w:r>
              <w:rPr>
                <w:szCs w:val="24"/>
              </w:rPr>
            </w:r>
          </w:p>
          <w:p>
            <w:pPr>
              <w:pStyle w:val="Normal"/>
              <w:rPr>
                <w:szCs w:val="24"/>
              </w:rPr>
            </w:pPr>
            <w:r>
              <w:rPr>
                <w:szCs w:val="24"/>
              </w:rPr>
            </w:r>
          </w:p>
          <w:p>
            <w:pPr>
              <w:pStyle w:val="Normal"/>
              <w:rPr>
                <w:szCs w:val="24"/>
              </w:rPr>
            </w:pPr>
            <w:r>
              <w:rPr>
                <w:szCs w:val="24"/>
              </w:rPr>
            </w:r>
          </w:p>
          <w:p>
            <w:pPr>
              <w:pStyle w:val="Normal"/>
              <w:rPr>
                <w:szCs w:val="24"/>
              </w:rPr>
            </w:pPr>
            <w:r>
              <w:rPr>
                <w:szCs w:val="24"/>
              </w:rPr>
            </w:r>
          </w:p>
          <w:p>
            <w:pPr>
              <w:pStyle w:val="Normal"/>
              <w:rPr>
                <w:szCs w:val="24"/>
              </w:rPr>
            </w:pPr>
            <w:r>
              <w:rPr>
                <w:szCs w:val="24"/>
              </w:rPr>
            </w:r>
          </w:p>
          <w:p>
            <w:pPr>
              <w:pStyle w:val="Normal"/>
              <w:rPr>
                <w:szCs w:val="24"/>
              </w:rPr>
            </w:pPr>
            <w:r>
              <w:rPr>
                <w:szCs w:val="24"/>
              </w:rPr>
            </w:r>
          </w:p>
          <w:p>
            <w:pPr>
              <w:pStyle w:val="Normal"/>
              <w:rPr>
                <w:szCs w:val="24"/>
              </w:rPr>
            </w:pPr>
            <w:r>
              <w:rPr>
                <w:szCs w:val="24"/>
              </w:rPr>
            </w:r>
          </w:p>
          <w:p>
            <w:pPr>
              <w:pStyle w:val="Normal"/>
              <w:rPr>
                <w:szCs w:val="24"/>
              </w:rPr>
            </w:pPr>
            <w:r>
              <w:rPr>
                <w:szCs w:val="24"/>
              </w:rPr>
            </w:r>
          </w:p>
          <w:p>
            <w:pPr>
              <w:pStyle w:val="Normal"/>
              <w:rPr>
                <w:szCs w:val="24"/>
              </w:rPr>
            </w:pPr>
            <w:r>
              <w:rPr>
                <w:szCs w:val="24"/>
              </w:rPr>
            </w:r>
          </w:p>
          <w:p>
            <w:pPr>
              <w:pStyle w:val="Normal"/>
              <w:rPr>
                <w:szCs w:val="24"/>
              </w:rPr>
            </w:pPr>
            <w:r>
              <w:rPr>
                <w:szCs w:val="24"/>
              </w:rPr>
            </w:r>
          </w:p>
          <w:p>
            <w:pPr>
              <w:pStyle w:val="Normal"/>
              <w:rPr>
                <w:szCs w:val="24"/>
              </w:rPr>
            </w:pPr>
            <w:r>
              <w:rPr>
                <w:szCs w:val="24"/>
              </w:rPr>
            </w:r>
          </w:p>
          <w:p>
            <w:pPr>
              <w:pStyle w:val="Normal"/>
              <w:spacing w:before="0" w:after="200"/>
              <w:rPr>
                <w:szCs w:val="24"/>
              </w:rPr>
            </w:pPr>
            <w:r>
              <w:rPr>
                <w:szCs w:val="24"/>
              </w:rPr>
            </w:r>
          </w:p>
        </w:tc>
        <w:tc>
          <w:tcPr>
            <w:tcW w:w="6089"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b/>
                <w:szCs w:val="24"/>
              </w:rPr>
            </w:pPr>
            <w:r>
              <w:rPr>
                <w:b/>
                <w:szCs w:val="24"/>
              </w:rPr>
              <w:t>Direct applicability of the provisions of Regulation (EU) No 1169/2011</w:t>
            </w:r>
          </w:p>
          <w:p>
            <w:pPr>
              <w:pStyle w:val="Normal"/>
              <w:rPr>
                <w:b/>
                <w:szCs w:val="24"/>
              </w:rPr>
            </w:pPr>
            <w:r>
              <w:rPr>
                <w:b/>
                <w:szCs w:val="24"/>
              </w:rPr>
            </w:r>
          </w:p>
          <w:p>
            <w:pPr>
              <w:pStyle w:val="Normal"/>
              <w:rPr/>
            </w:pPr>
            <w:r>
              <w:rPr>
                <w:szCs w:val="24"/>
              </w:rPr>
              <w:t>Directive 2000/13/EC was repealed by Regulation (EU) No 1169/2011 of the European Parliament and of the Council on the provision of food information to consumers on 13</w:t>
            </w:r>
            <w:r>
              <w:rPr>
                <w:szCs w:val="24"/>
                <w:vertAlign w:val="superscript"/>
              </w:rPr>
              <w:t>th</w:t>
            </w:r>
            <w:r>
              <w:rPr>
                <w:szCs w:val="24"/>
              </w:rPr>
              <w:t xml:space="preserve"> December 2014.</w:t>
            </w:r>
          </w:p>
          <w:p>
            <w:pPr>
              <w:pStyle w:val="Normal"/>
              <w:rPr>
                <w:szCs w:val="24"/>
              </w:rPr>
            </w:pPr>
            <w:r>
              <w:rPr>
                <w:szCs w:val="24"/>
              </w:rPr>
            </w:r>
          </w:p>
          <w:p>
            <w:pPr>
              <w:pStyle w:val="Normal"/>
              <w:rPr>
                <w:szCs w:val="24"/>
              </w:rPr>
            </w:pPr>
            <w:r>
              <w:rPr>
                <w:szCs w:val="24"/>
              </w:rPr>
              <w:t xml:space="preserve">By virtue of Article 53(2) of Regulation (EU) No 1169/2011, references to Directive 2000/13/EC in the Honey Directive are now treated as references to Regulation (EU) No 1169/2011. </w:t>
            </w:r>
          </w:p>
          <w:p>
            <w:pPr>
              <w:pStyle w:val="Normal"/>
              <w:rPr>
                <w:szCs w:val="24"/>
              </w:rPr>
            </w:pPr>
            <w:r>
              <w:rPr>
                <w:szCs w:val="24"/>
              </w:rPr>
            </w:r>
          </w:p>
          <w:p>
            <w:pPr>
              <w:pStyle w:val="Normal"/>
              <w:rPr>
                <w:szCs w:val="24"/>
              </w:rPr>
            </w:pPr>
            <w:r>
              <w:rPr>
                <w:szCs w:val="24"/>
              </w:rPr>
              <w:t>The provisions of Regulation (EU) No 1169/2011 are directly applicable. They are enforced, in England, under the Food Information Regulations 2014 (S.I. 2014/1855).</w:t>
            </w:r>
          </w:p>
          <w:p>
            <w:pPr>
              <w:pStyle w:val="Normal"/>
              <w:rPr>
                <w:szCs w:val="24"/>
              </w:rPr>
            </w:pPr>
            <w:r>
              <w:rPr>
                <w:szCs w:val="24"/>
              </w:rPr>
            </w:r>
          </w:p>
          <w:p>
            <w:pPr>
              <w:pStyle w:val="Normal"/>
              <w:rPr>
                <w:b/>
                <w:szCs w:val="24"/>
              </w:rPr>
            </w:pPr>
            <w:r>
              <w:rPr>
                <w:b/>
                <w:szCs w:val="24"/>
              </w:rPr>
            </w:r>
          </w:p>
          <w:p>
            <w:pPr>
              <w:pStyle w:val="Normal"/>
              <w:rPr/>
            </w:pPr>
            <w:r>
              <w:rPr>
                <w:b/>
                <w:szCs w:val="24"/>
              </w:rPr>
              <w:t>Limited scope</w:t>
            </w:r>
          </w:p>
          <w:p>
            <w:pPr>
              <w:pStyle w:val="Normal"/>
              <w:rPr/>
            </w:pPr>
            <w:r>
              <w:rPr>
                <w:szCs w:val="24"/>
              </w:rPr>
              <w:t xml:space="preserve">The opening words of Article 2 of the Honey Directive state that Article 2000/13/EC is to apply to the Annex I products. The 2000/13/EC reference must, as explained above, be construed as a 1169/2011 reference now. </w:t>
            </w:r>
          </w:p>
          <w:p>
            <w:pPr>
              <w:pStyle w:val="Normal"/>
              <w:rPr>
                <w:szCs w:val="24"/>
              </w:rPr>
            </w:pPr>
            <w:r>
              <w:rPr>
                <w:szCs w:val="24"/>
              </w:rPr>
            </w:r>
          </w:p>
          <w:p>
            <w:pPr>
              <w:pStyle w:val="Normal"/>
              <w:rPr>
                <w:szCs w:val="24"/>
              </w:rPr>
            </w:pPr>
            <w:r>
              <w:rPr>
                <w:szCs w:val="24"/>
              </w:rPr>
              <w:t xml:space="preserve">As Regulation (EU) No 1169/2011 only applies (at least for the most part) to food intended for supply to a final consumer or mass caterer, then (because of the opening words of Article 2 of the Honey Directive) so should our domestic legislation implementing the Honey Directive. This implemented by regulation 4 and this approach to scope mirrors the approach taken in the Honey (England) Regulations 2003. </w:t>
            </w:r>
          </w:p>
          <w:p>
            <w:pPr>
              <w:pStyle w:val="Normal"/>
              <w:rPr>
                <w:szCs w:val="24"/>
              </w:rPr>
            </w:pPr>
            <w:r>
              <w:rPr>
                <w:szCs w:val="24"/>
              </w:rPr>
            </w:r>
          </w:p>
          <w:p>
            <w:pPr>
              <w:pStyle w:val="Normal"/>
              <w:rPr>
                <w:szCs w:val="24"/>
              </w:rPr>
            </w:pPr>
            <w:r>
              <w:rPr>
                <w:szCs w:val="24"/>
              </w:rPr>
              <w:t>Not all of the provisions of the Honey Directive are only intended to apply the food intended for supply to a final consumer or mass caterers. Some provisions are of wider scope. This is why the scope provision in regulation 4(1) of the 2015 Regulations is limited to the provisions of the 2015 Regulations listed in (a) to (c) of that paragraph.</w:t>
            </w:r>
          </w:p>
          <w:p>
            <w:pPr>
              <w:pStyle w:val="Normal"/>
              <w:rPr>
                <w:szCs w:val="24"/>
              </w:rPr>
            </w:pPr>
            <w:r>
              <w:rPr>
                <w:szCs w:val="24"/>
              </w:rPr>
            </w:r>
          </w:p>
          <w:p>
            <w:pPr>
              <w:pStyle w:val="Normal"/>
              <w:spacing w:before="0" w:after="200"/>
              <w:rPr>
                <w:szCs w:val="24"/>
              </w:rPr>
            </w:pPr>
            <w:r>
              <w:rPr>
                <w:szCs w:val="24"/>
              </w:rPr>
            </w:r>
          </w:p>
        </w:tc>
      </w:tr>
      <w:tr>
        <w:trPr>
          <w:trHeight w:val="793" w:hRule="atLeast"/>
        </w:trPr>
        <w:tc>
          <w:tcPr>
            <w:tcW w:w="2141"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spacing w:before="0" w:after="200"/>
              <w:rPr>
                <w:szCs w:val="24"/>
              </w:rPr>
            </w:pPr>
            <w:r>
              <w:rPr>
                <w:szCs w:val="24"/>
              </w:rPr>
              <w:t>Article 2, point 1</w:t>
            </w:r>
          </w:p>
        </w:tc>
        <w:tc>
          <w:tcPr>
            <w:tcW w:w="6783"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szCs w:val="24"/>
              </w:rPr>
            </w:pPr>
            <w:r>
              <w:rPr>
                <w:szCs w:val="24"/>
              </w:rPr>
              <w:t>Restricting the use of the term “honey” as a product name</w:t>
            </w:r>
          </w:p>
          <w:p>
            <w:pPr>
              <w:pStyle w:val="Normal"/>
              <w:spacing w:before="0" w:after="200"/>
              <w:rPr>
                <w:szCs w:val="24"/>
              </w:rPr>
            </w:pPr>
            <w:r>
              <w:rPr>
                <w:szCs w:val="24"/>
              </w:rPr>
            </w:r>
          </w:p>
        </w:tc>
        <w:tc>
          <w:tcPr>
            <w:tcW w:w="6137"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pPr>
            <w:r>
              <w:rPr>
                <w:szCs w:val="24"/>
              </w:rPr>
              <w:t>Regulation 6(1), (2) and (3)</w:t>
            </w:r>
          </w:p>
          <w:p>
            <w:pPr>
              <w:pStyle w:val="Normal"/>
              <w:spacing w:before="0" w:after="200"/>
              <w:rPr>
                <w:szCs w:val="24"/>
              </w:rPr>
            </w:pPr>
            <w:r>
              <w:rPr>
                <w:szCs w:val="24"/>
              </w:rPr>
            </w:r>
          </w:p>
        </w:tc>
        <w:tc>
          <w:tcPr>
            <w:tcW w:w="6089" w:type="dxa"/>
            <w:tcBorders>
              <w:top w:val="single" w:sz="4" w:space="0" w:color="000000"/>
              <w:left w:val="single" w:sz="4" w:space="0" w:color="000000"/>
              <w:bottom w:val="single" w:sz="4" w:space="0" w:color="000000"/>
              <w:right w:val="single" w:sz="4" w:space="0" w:color="000000"/>
            </w:tcBorders>
          </w:tcPr>
          <w:p>
            <w:pPr>
              <w:pStyle w:val="Normal"/>
              <w:snapToGrid w:val="false"/>
              <w:spacing w:before="0" w:after="200"/>
              <w:rPr>
                <w:color w:val="002060"/>
                <w:szCs w:val="24"/>
              </w:rPr>
            </w:pPr>
            <w:r>
              <w:rPr>
                <w:color w:val="002060"/>
                <w:szCs w:val="24"/>
              </w:rPr>
            </w:r>
          </w:p>
        </w:tc>
      </w:tr>
      <w:tr>
        <w:trPr/>
        <w:tc>
          <w:tcPr>
            <w:tcW w:w="2141" w:type="dxa"/>
            <w:tcBorders>
              <w:top w:val="single" w:sz="4" w:space="0" w:color="000000"/>
              <w:left w:val="single" w:sz="4" w:space="0" w:color="000000"/>
              <w:bottom w:val="single" w:sz="4" w:space="0" w:color="000000"/>
              <w:right w:val="single" w:sz="4" w:space="0" w:color="000000"/>
            </w:tcBorders>
          </w:tcPr>
          <w:p>
            <w:pPr>
              <w:pStyle w:val="Normal"/>
              <w:snapToGrid w:val="false"/>
              <w:rPr>
                <w:color w:val="000000"/>
                <w:szCs w:val="24"/>
              </w:rPr>
            </w:pPr>
            <w:r>
              <w:rPr>
                <w:color w:val="000000"/>
                <w:szCs w:val="24"/>
              </w:rPr>
            </w:r>
          </w:p>
          <w:p>
            <w:pPr>
              <w:pStyle w:val="Normal"/>
              <w:spacing w:before="0" w:after="200"/>
              <w:rPr/>
            </w:pPr>
            <w:r>
              <w:rPr>
                <w:color w:val="000000"/>
                <w:szCs w:val="24"/>
              </w:rPr>
              <w:t>Article 2, point 2, first sub-paragraph, first sentence</w:t>
            </w:r>
          </w:p>
        </w:tc>
        <w:tc>
          <w:tcPr>
            <w:tcW w:w="6783" w:type="dxa"/>
            <w:tcBorders>
              <w:top w:val="single" w:sz="4" w:space="0" w:color="000000"/>
              <w:left w:val="single" w:sz="4" w:space="0" w:color="000000"/>
              <w:bottom w:val="single" w:sz="4" w:space="0" w:color="000000"/>
              <w:right w:val="single" w:sz="4" w:space="0" w:color="000000"/>
            </w:tcBorders>
          </w:tcPr>
          <w:p>
            <w:pPr>
              <w:pStyle w:val="Normal"/>
              <w:snapToGrid w:val="false"/>
              <w:rPr>
                <w:color w:val="000000"/>
                <w:szCs w:val="24"/>
              </w:rPr>
            </w:pPr>
            <w:r>
              <w:rPr>
                <w:color w:val="000000"/>
                <w:szCs w:val="24"/>
              </w:rPr>
            </w:r>
          </w:p>
          <w:p>
            <w:pPr>
              <w:pStyle w:val="Normal"/>
              <w:rPr>
                <w:color w:val="000000"/>
                <w:szCs w:val="24"/>
              </w:rPr>
            </w:pPr>
            <w:r>
              <w:rPr>
                <w:color w:val="000000"/>
                <w:szCs w:val="24"/>
              </w:rPr>
              <w:t>Regulating the use of product names – requiring the names to be used for regulated products and prohibiting those names from being used for other products</w:t>
            </w:r>
          </w:p>
          <w:p>
            <w:pPr>
              <w:pStyle w:val="Normal"/>
              <w:rPr>
                <w:color w:val="000000"/>
                <w:szCs w:val="24"/>
              </w:rPr>
            </w:pPr>
            <w:r>
              <w:rPr>
                <w:color w:val="000000"/>
                <w:szCs w:val="24"/>
              </w:rPr>
            </w:r>
          </w:p>
          <w:p>
            <w:pPr>
              <w:pStyle w:val="Normal"/>
              <w:spacing w:before="0" w:after="200"/>
              <w:rPr>
                <w:color w:val="000000"/>
                <w:szCs w:val="24"/>
              </w:rPr>
            </w:pPr>
            <w:r>
              <w:rPr>
                <w:color w:val="000000"/>
                <w:szCs w:val="24"/>
              </w:rPr>
            </w:r>
          </w:p>
        </w:tc>
        <w:tc>
          <w:tcPr>
            <w:tcW w:w="6137" w:type="dxa"/>
            <w:tcBorders>
              <w:top w:val="single" w:sz="4" w:space="0" w:color="000000"/>
              <w:left w:val="single" w:sz="4" w:space="0" w:color="000000"/>
              <w:bottom w:val="single" w:sz="4" w:space="0" w:color="000000"/>
              <w:right w:val="single" w:sz="4" w:space="0" w:color="000000"/>
            </w:tcBorders>
          </w:tcPr>
          <w:p>
            <w:pPr>
              <w:pStyle w:val="Normal"/>
              <w:snapToGrid w:val="false"/>
              <w:rPr>
                <w:color w:val="000000"/>
                <w:szCs w:val="24"/>
              </w:rPr>
            </w:pPr>
            <w:r>
              <w:rPr>
                <w:color w:val="000000"/>
                <w:szCs w:val="24"/>
              </w:rPr>
            </w:r>
          </w:p>
          <w:p>
            <w:pPr>
              <w:pStyle w:val="Normal"/>
              <w:rPr/>
            </w:pPr>
            <w:r>
              <w:rPr>
                <w:b/>
                <w:color w:val="000000"/>
                <w:szCs w:val="24"/>
              </w:rPr>
              <w:t>For blossom honey and nectar honey:</w:t>
            </w:r>
          </w:p>
          <w:p>
            <w:pPr>
              <w:pStyle w:val="Normal"/>
              <w:rPr/>
            </w:pPr>
            <w:r>
              <w:rPr>
                <w:color w:val="000000"/>
                <w:szCs w:val="24"/>
              </w:rPr>
              <w:t>Regulation 7(1) and (2)</w:t>
            </w:r>
          </w:p>
          <w:p>
            <w:pPr>
              <w:pStyle w:val="Normal"/>
              <w:rPr>
                <w:color w:val="000000"/>
                <w:szCs w:val="24"/>
              </w:rPr>
            </w:pPr>
            <w:r>
              <w:rPr>
                <w:color w:val="000000"/>
                <w:szCs w:val="24"/>
              </w:rPr>
            </w:r>
          </w:p>
          <w:p>
            <w:pPr>
              <w:pStyle w:val="Normal"/>
              <w:rPr>
                <w:b/>
                <w:color w:val="000000"/>
                <w:szCs w:val="24"/>
              </w:rPr>
            </w:pPr>
            <w:r>
              <w:rPr>
                <w:b/>
                <w:color w:val="000000"/>
                <w:szCs w:val="24"/>
              </w:rPr>
              <w:t>For honeydew honey:</w:t>
            </w:r>
          </w:p>
          <w:p>
            <w:pPr>
              <w:pStyle w:val="Normal"/>
              <w:rPr/>
            </w:pPr>
            <w:r>
              <w:rPr>
                <w:color w:val="000000"/>
                <w:szCs w:val="24"/>
              </w:rPr>
              <w:t>Regulation 8(1) and (2)</w:t>
            </w:r>
          </w:p>
          <w:p>
            <w:pPr>
              <w:pStyle w:val="Normal"/>
              <w:rPr>
                <w:color w:val="000000"/>
                <w:szCs w:val="24"/>
              </w:rPr>
            </w:pPr>
            <w:r>
              <w:rPr>
                <w:color w:val="000000"/>
                <w:szCs w:val="24"/>
              </w:rPr>
            </w:r>
          </w:p>
          <w:p>
            <w:pPr>
              <w:pStyle w:val="Normal"/>
              <w:rPr>
                <w:b/>
                <w:color w:val="000000"/>
                <w:szCs w:val="24"/>
              </w:rPr>
            </w:pPr>
            <w:r>
              <w:rPr>
                <w:b/>
                <w:color w:val="000000"/>
                <w:szCs w:val="24"/>
              </w:rPr>
              <w:t>For comb honey:</w:t>
            </w:r>
          </w:p>
          <w:p>
            <w:pPr>
              <w:pStyle w:val="Normal"/>
              <w:rPr/>
            </w:pPr>
            <w:r>
              <w:rPr>
                <w:color w:val="000000"/>
                <w:szCs w:val="24"/>
              </w:rPr>
              <w:t>Regulation 9(1) and (2)</w:t>
            </w:r>
          </w:p>
          <w:p>
            <w:pPr>
              <w:pStyle w:val="Normal"/>
              <w:rPr>
                <w:color w:val="000000"/>
                <w:szCs w:val="24"/>
              </w:rPr>
            </w:pPr>
            <w:r>
              <w:rPr>
                <w:color w:val="000000"/>
                <w:szCs w:val="24"/>
              </w:rPr>
            </w:r>
          </w:p>
          <w:p>
            <w:pPr>
              <w:pStyle w:val="Normal"/>
              <w:rPr/>
            </w:pPr>
            <w:r>
              <w:rPr>
                <w:b/>
                <w:color w:val="000000"/>
                <w:szCs w:val="24"/>
              </w:rPr>
              <w:t>For chunk honey and cut comb in honey:</w:t>
            </w:r>
          </w:p>
          <w:p>
            <w:pPr>
              <w:pStyle w:val="Normal"/>
              <w:rPr/>
            </w:pPr>
            <w:r>
              <w:rPr>
                <w:color w:val="000000"/>
                <w:szCs w:val="24"/>
              </w:rPr>
              <w:t>Regulation 10(1) and (2)</w:t>
            </w:r>
          </w:p>
          <w:p>
            <w:pPr>
              <w:pStyle w:val="Normal"/>
              <w:rPr>
                <w:color w:val="000000"/>
                <w:szCs w:val="24"/>
              </w:rPr>
            </w:pPr>
            <w:r>
              <w:rPr>
                <w:color w:val="000000"/>
                <w:szCs w:val="24"/>
              </w:rPr>
            </w:r>
          </w:p>
          <w:p>
            <w:pPr>
              <w:pStyle w:val="Normal"/>
              <w:rPr>
                <w:b/>
                <w:color w:val="000000"/>
                <w:szCs w:val="24"/>
              </w:rPr>
            </w:pPr>
            <w:r>
              <w:rPr>
                <w:b/>
                <w:color w:val="000000"/>
                <w:szCs w:val="24"/>
              </w:rPr>
              <w:t>For drained honey:</w:t>
            </w:r>
          </w:p>
          <w:p>
            <w:pPr>
              <w:pStyle w:val="Normal"/>
              <w:rPr/>
            </w:pPr>
            <w:r>
              <w:rPr>
                <w:color w:val="000000"/>
                <w:szCs w:val="24"/>
              </w:rPr>
              <w:t>Regulation 11(1) and (2)</w:t>
            </w:r>
          </w:p>
          <w:p>
            <w:pPr>
              <w:pStyle w:val="Normal"/>
              <w:rPr>
                <w:color w:val="000000"/>
                <w:szCs w:val="24"/>
              </w:rPr>
            </w:pPr>
            <w:r>
              <w:rPr>
                <w:color w:val="000000"/>
                <w:szCs w:val="24"/>
              </w:rPr>
            </w:r>
          </w:p>
          <w:p>
            <w:pPr>
              <w:pStyle w:val="Normal"/>
              <w:rPr>
                <w:b/>
                <w:color w:val="000000"/>
                <w:szCs w:val="24"/>
              </w:rPr>
            </w:pPr>
            <w:r>
              <w:rPr>
                <w:b/>
                <w:color w:val="000000"/>
                <w:szCs w:val="24"/>
              </w:rPr>
              <w:t>For extracted honey:</w:t>
            </w:r>
          </w:p>
          <w:p>
            <w:pPr>
              <w:pStyle w:val="Normal"/>
              <w:rPr/>
            </w:pPr>
            <w:r>
              <w:rPr>
                <w:color w:val="000000"/>
                <w:szCs w:val="24"/>
              </w:rPr>
              <w:t>Regulation 12(1) and (3)</w:t>
            </w:r>
          </w:p>
          <w:p>
            <w:pPr>
              <w:pStyle w:val="Normal"/>
              <w:rPr>
                <w:color w:val="000000"/>
                <w:szCs w:val="24"/>
              </w:rPr>
            </w:pPr>
            <w:r>
              <w:rPr>
                <w:color w:val="000000"/>
                <w:szCs w:val="24"/>
              </w:rPr>
            </w:r>
          </w:p>
          <w:p>
            <w:pPr>
              <w:pStyle w:val="Normal"/>
              <w:rPr>
                <w:b/>
                <w:color w:val="000000"/>
                <w:szCs w:val="24"/>
              </w:rPr>
            </w:pPr>
            <w:r>
              <w:rPr>
                <w:b/>
                <w:color w:val="000000"/>
                <w:szCs w:val="24"/>
              </w:rPr>
            </w:r>
          </w:p>
          <w:p>
            <w:pPr>
              <w:pStyle w:val="Normal"/>
              <w:rPr>
                <w:b/>
                <w:color w:val="000000"/>
                <w:szCs w:val="24"/>
              </w:rPr>
            </w:pPr>
            <w:r>
              <w:rPr>
                <w:b/>
                <w:color w:val="000000"/>
                <w:szCs w:val="24"/>
              </w:rPr>
            </w:r>
          </w:p>
          <w:p>
            <w:pPr>
              <w:pStyle w:val="Normal"/>
              <w:rPr>
                <w:b/>
                <w:color w:val="000000"/>
                <w:szCs w:val="24"/>
              </w:rPr>
            </w:pPr>
            <w:r>
              <w:rPr>
                <w:b/>
                <w:color w:val="000000"/>
                <w:szCs w:val="24"/>
              </w:rPr>
              <w:t>For pressed honey:</w:t>
            </w:r>
          </w:p>
          <w:p>
            <w:pPr>
              <w:pStyle w:val="Normal"/>
              <w:rPr/>
            </w:pPr>
            <w:r>
              <w:rPr>
                <w:color w:val="000000"/>
                <w:szCs w:val="24"/>
              </w:rPr>
              <w:t>Regulation 13(1) and (2)</w:t>
            </w:r>
          </w:p>
          <w:p>
            <w:pPr>
              <w:pStyle w:val="Normal"/>
              <w:rPr>
                <w:color w:val="000000"/>
                <w:szCs w:val="24"/>
              </w:rPr>
            </w:pPr>
            <w:r>
              <w:rPr>
                <w:color w:val="000000"/>
                <w:szCs w:val="24"/>
              </w:rPr>
            </w:r>
          </w:p>
          <w:p>
            <w:pPr>
              <w:pStyle w:val="Normal"/>
              <w:rPr>
                <w:b/>
                <w:color w:val="000000"/>
                <w:szCs w:val="24"/>
              </w:rPr>
            </w:pPr>
            <w:r>
              <w:rPr>
                <w:b/>
                <w:color w:val="000000"/>
                <w:szCs w:val="24"/>
              </w:rPr>
              <w:t>For filtered honey:</w:t>
            </w:r>
          </w:p>
          <w:p>
            <w:pPr>
              <w:pStyle w:val="Normal"/>
              <w:rPr/>
            </w:pPr>
            <w:r>
              <w:rPr>
                <w:color w:val="000000"/>
                <w:szCs w:val="24"/>
              </w:rPr>
              <w:t>Regulation 14(1) and (2)</w:t>
            </w:r>
          </w:p>
          <w:p>
            <w:pPr>
              <w:pStyle w:val="Normal"/>
              <w:rPr>
                <w:color w:val="000000"/>
                <w:szCs w:val="24"/>
              </w:rPr>
            </w:pPr>
            <w:r>
              <w:rPr>
                <w:color w:val="000000"/>
                <w:szCs w:val="24"/>
              </w:rPr>
            </w:r>
          </w:p>
          <w:p>
            <w:pPr>
              <w:pStyle w:val="Normal"/>
              <w:rPr>
                <w:b/>
                <w:color w:val="000000"/>
                <w:szCs w:val="24"/>
              </w:rPr>
            </w:pPr>
            <w:r>
              <w:rPr>
                <w:b/>
                <w:color w:val="000000"/>
                <w:szCs w:val="24"/>
              </w:rPr>
              <w:t>For baker’s honey:</w:t>
            </w:r>
          </w:p>
          <w:p>
            <w:pPr>
              <w:pStyle w:val="Normal"/>
              <w:rPr/>
            </w:pPr>
            <w:r>
              <w:rPr>
                <w:color w:val="000000"/>
                <w:szCs w:val="24"/>
              </w:rPr>
              <w:t>Regulation 15(1) and (2)</w:t>
            </w:r>
          </w:p>
          <w:p>
            <w:pPr>
              <w:pStyle w:val="Normal"/>
              <w:rPr>
                <w:color w:val="000000"/>
                <w:szCs w:val="24"/>
              </w:rPr>
            </w:pPr>
            <w:r>
              <w:rPr>
                <w:color w:val="000000"/>
                <w:szCs w:val="24"/>
              </w:rPr>
            </w:r>
          </w:p>
          <w:p>
            <w:pPr>
              <w:pStyle w:val="Normal"/>
              <w:spacing w:before="0" w:after="200"/>
              <w:rPr>
                <w:color w:val="000000"/>
                <w:szCs w:val="24"/>
              </w:rPr>
            </w:pPr>
            <w:r>
              <w:rPr>
                <w:color w:val="000000"/>
                <w:szCs w:val="24"/>
              </w:rPr>
            </w:r>
          </w:p>
        </w:tc>
        <w:tc>
          <w:tcPr>
            <w:tcW w:w="6089" w:type="dxa"/>
            <w:tcBorders>
              <w:top w:val="single" w:sz="4" w:space="0" w:color="000000"/>
              <w:left w:val="single" w:sz="4" w:space="0" w:color="000000"/>
              <w:bottom w:val="single" w:sz="4" w:space="0" w:color="000000"/>
              <w:right w:val="single" w:sz="4" w:space="0" w:color="000000"/>
            </w:tcBorders>
          </w:tcPr>
          <w:p>
            <w:pPr>
              <w:pStyle w:val="Normal"/>
              <w:snapToGrid w:val="false"/>
              <w:rPr>
                <w:color w:val="002060"/>
                <w:szCs w:val="24"/>
              </w:rPr>
            </w:pPr>
            <w:r>
              <w:rPr>
                <w:color w:val="002060"/>
                <w:szCs w:val="24"/>
              </w:rPr>
            </w:r>
          </w:p>
          <w:p>
            <w:pPr>
              <w:pStyle w:val="Normal"/>
              <w:spacing w:before="0" w:after="200"/>
              <w:rPr>
                <w:color w:val="002060"/>
                <w:szCs w:val="24"/>
              </w:rPr>
            </w:pPr>
            <w:r>
              <w:rPr>
                <w:color w:val="002060"/>
                <w:szCs w:val="24"/>
              </w:rPr>
            </w:r>
          </w:p>
        </w:tc>
      </w:tr>
      <w:tr>
        <w:trPr>
          <w:trHeight w:val="4498" w:hRule="atLeast"/>
        </w:trPr>
        <w:tc>
          <w:tcPr>
            <w:tcW w:w="2141" w:type="dxa"/>
            <w:tcBorders>
              <w:top w:val="single" w:sz="4" w:space="0" w:color="000000"/>
              <w:left w:val="single" w:sz="4" w:space="0" w:color="000000"/>
              <w:bottom w:val="single" w:sz="4" w:space="0" w:color="000000"/>
              <w:right w:val="single" w:sz="4" w:space="0" w:color="000000"/>
            </w:tcBorders>
          </w:tcPr>
          <w:p>
            <w:pPr>
              <w:pStyle w:val="Normal"/>
              <w:snapToGrid w:val="false"/>
              <w:rPr>
                <w:color w:val="002060"/>
                <w:szCs w:val="24"/>
              </w:rPr>
            </w:pPr>
            <w:r>
              <w:rPr>
                <w:color w:val="002060"/>
                <w:szCs w:val="24"/>
              </w:rPr>
            </w:r>
          </w:p>
          <w:p>
            <w:pPr>
              <w:pStyle w:val="Normal"/>
              <w:spacing w:before="0" w:after="200"/>
              <w:rPr>
                <w:color w:val="002060"/>
                <w:szCs w:val="24"/>
              </w:rPr>
            </w:pPr>
            <w:r>
              <w:rPr>
                <w:color w:val="000000"/>
                <w:szCs w:val="24"/>
              </w:rPr>
              <w:t>Article 2, point 2, first sub-paragraph, second sentence</w:t>
            </w:r>
          </w:p>
        </w:tc>
        <w:tc>
          <w:tcPr>
            <w:tcW w:w="6783" w:type="dxa"/>
            <w:tcBorders>
              <w:top w:val="single" w:sz="4" w:space="0" w:color="000000"/>
              <w:left w:val="single" w:sz="4" w:space="0" w:color="000000"/>
              <w:bottom w:val="single" w:sz="4" w:space="0" w:color="000000"/>
              <w:right w:val="single" w:sz="4" w:space="0" w:color="000000"/>
            </w:tcBorders>
          </w:tcPr>
          <w:p>
            <w:pPr>
              <w:pStyle w:val="Normal"/>
              <w:snapToGrid w:val="false"/>
              <w:rPr>
                <w:color w:val="002060"/>
                <w:szCs w:val="24"/>
              </w:rPr>
            </w:pPr>
            <w:r>
              <w:rPr>
                <w:color w:val="002060"/>
                <w:szCs w:val="24"/>
              </w:rPr>
            </w:r>
          </w:p>
          <w:p>
            <w:pPr>
              <w:pStyle w:val="Normal"/>
              <w:rPr>
                <w:color w:val="000000"/>
                <w:szCs w:val="24"/>
              </w:rPr>
            </w:pPr>
            <w:r>
              <w:rPr>
                <w:color w:val="000000"/>
                <w:szCs w:val="24"/>
              </w:rPr>
              <w:t>Permitting the use of the simple product name “honey” in the case of some of the regulated products</w:t>
            </w:r>
          </w:p>
          <w:p>
            <w:pPr>
              <w:pStyle w:val="Normal"/>
              <w:spacing w:before="0" w:after="200"/>
              <w:rPr>
                <w:color w:val="002060"/>
                <w:szCs w:val="24"/>
              </w:rPr>
            </w:pPr>
            <w:r>
              <w:rPr>
                <w:color w:val="002060"/>
                <w:szCs w:val="24"/>
              </w:rPr>
            </w:r>
          </w:p>
        </w:tc>
        <w:tc>
          <w:tcPr>
            <w:tcW w:w="6137" w:type="dxa"/>
            <w:tcBorders>
              <w:top w:val="single" w:sz="4" w:space="0" w:color="000000"/>
              <w:left w:val="single" w:sz="4" w:space="0" w:color="000000"/>
              <w:bottom w:val="single" w:sz="4" w:space="0" w:color="000000"/>
              <w:right w:val="single" w:sz="4" w:space="0" w:color="000000"/>
            </w:tcBorders>
          </w:tcPr>
          <w:p>
            <w:pPr>
              <w:pStyle w:val="Normal"/>
              <w:snapToGrid w:val="false"/>
              <w:rPr>
                <w:color w:val="000000"/>
                <w:szCs w:val="24"/>
              </w:rPr>
            </w:pPr>
            <w:r>
              <w:rPr>
                <w:color w:val="000000"/>
                <w:szCs w:val="24"/>
              </w:rPr>
            </w:r>
          </w:p>
          <w:p>
            <w:pPr>
              <w:pStyle w:val="Normal"/>
              <w:rPr/>
            </w:pPr>
            <w:r>
              <w:rPr>
                <w:b/>
                <w:color w:val="000000"/>
                <w:szCs w:val="24"/>
              </w:rPr>
              <w:t>For blossom honey and nectar honey:</w:t>
            </w:r>
          </w:p>
          <w:p>
            <w:pPr>
              <w:pStyle w:val="Normal"/>
              <w:rPr/>
            </w:pPr>
            <w:r>
              <w:rPr>
                <w:color w:val="000000"/>
                <w:szCs w:val="24"/>
              </w:rPr>
              <w:t>Regulation 7(1)</w:t>
            </w:r>
          </w:p>
          <w:p>
            <w:pPr>
              <w:pStyle w:val="Normal"/>
              <w:rPr>
                <w:color w:val="000000"/>
                <w:szCs w:val="24"/>
              </w:rPr>
            </w:pPr>
            <w:r>
              <w:rPr>
                <w:color w:val="000000"/>
                <w:szCs w:val="24"/>
              </w:rPr>
            </w:r>
          </w:p>
          <w:p>
            <w:pPr>
              <w:pStyle w:val="Normal"/>
              <w:rPr>
                <w:b/>
                <w:color w:val="000000"/>
                <w:szCs w:val="24"/>
              </w:rPr>
            </w:pPr>
            <w:r>
              <w:rPr>
                <w:b/>
                <w:color w:val="000000"/>
                <w:szCs w:val="24"/>
              </w:rPr>
              <w:t>For honeydew honey:</w:t>
            </w:r>
          </w:p>
          <w:p>
            <w:pPr>
              <w:pStyle w:val="Normal"/>
              <w:rPr/>
            </w:pPr>
            <w:r>
              <w:rPr>
                <w:color w:val="000000"/>
                <w:szCs w:val="24"/>
              </w:rPr>
              <w:t>Regulation 8(1)</w:t>
            </w:r>
          </w:p>
          <w:p>
            <w:pPr>
              <w:pStyle w:val="Normal"/>
              <w:rPr>
                <w:color w:val="000000"/>
                <w:szCs w:val="24"/>
              </w:rPr>
            </w:pPr>
            <w:r>
              <w:rPr>
                <w:color w:val="000000"/>
                <w:szCs w:val="24"/>
              </w:rPr>
            </w:r>
          </w:p>
          <w:p>
            <w:pPr>
              <w:pStyle w:val="Normal"/>
              <w:rPr>
                <w:b/>
                <w:color w:val="000000"/>
                <w:szCs w:val="24"/>
              </w:rPr>
            </w:pPr>
            <w:r>
              <w:rPr>
                <w:b/>
                <w:color w:val="000000"/>
                <w:szCs w:val="24"/>
              </w:rPr>
              <w:t>For drained honey:</w:t>
            </w:r>
          </w:p>
          <w:p>
            <w:pPr>
              <w:pStyle w:val="Normal"/>
              <w:rPr/>
            </w:pPr>
            <w:r>
              <w:rPr>
                <w:color w:val="000000"/>
                <w:szCs w:val="24"/>
              </w:rPr>
              <w:t>Regulation 11(1)</w:t>
            </w:r>
          </w:p>
          <w:p>
            <w:pPr>
              <w:pStyle w:val="Normal"/>
              <w:rPr>
                <w:color w:val="000000"/>
                <w:szCs w:val="24"/>
              </w:rPr>
            </w:pPr>
            <w:r>
              <w:rPr>
                <w:color w:val="000000"/>
                <w:szCs w:val="24"/>
              </w:rPr>
            </w:r>
          </w:p>
          <w:p>
            <w:pPr>
              <w:pStyle w:val="Normal"/>
              <w:rPr>
                <w:b/>
                <w:color w:val="000000"/>
                <w:szCs w:val="24"/>
              </w:rPr>
            </w:pPr>
            <w:r>
              <w:rPr>
                <w:b/>
                <w:color w:val="000000"/>
                <w:szCs w:val="24"/>
              </w:rPr>
              <w:t>For extracted honey:</w:t>
            </w:r>
          </w:p>
          <w:p>
            <w:pPr>
              <w:pStyle w:val="Normal"/>
              <w:rPr/>
            </w:pPr>
            <w:r>
              <w:rPr>
                <w:color w:val="000000"/>
                <w:szCs w:val="24"/>
              </w:rPr>
              <w:t>Regulation 12(1)</w:t>
            </w:r>
          </w:p>
          <w:p>
            <w:pPr>
              <w:pStyle w:val="Normal"/>
              <w:rPr>
                <w:color w:val="000000"/>
                <w:szCs w:val="24"/>
              </w:rPr>
            </w:pPr>
            <w:r>
              <w:rPr>
                <w:color w:val="000000"/>
                <w:szCs w:val="24"/>
              </w:rPr>
            </w:r>
          </w:p>
          <w:p>
            <w:pPr>
              <w:pStyle w:val="Normal"/>
              <w:rPr>
                <w:b/>
                <w:color w:val="000000"/>
                <w:szCs w:val="24"/>
              </w:rPr>
            </w:pPr>
            <w:r>
              <w:rPr>
                <w:b/>
                <w:color w:val="000000"/>
                <w:szCs w:val="24"/>
              </w:rPr>
              <w:t>For pressed honey:</w:t>
            </w:r>
          </w:p>
          <w:p>
            <w:pPr>
              <w:pStyle w:val="Normal"/>
              <w:rPr/>
            </w:pPr>
            <w:r>
              <w:rPr>
                <w:color w:val="000000"/>
                <w:szCs w:val="24"/>
              </w:rPr>
              <w:t>Regulation 13(1)</w:t>
            </w:r>
          </w:p>
          <w:p>
            <w:pPr>
              <w:pStyle w:val="Normal"/>
              <w:rPr>
                <w:color w:val="002060"/>
                <w:szCs w:val="24"/>
              </w:rPr>
            </w:pPr>
            <w:r>
              <w:rPr>
                <w:color w:val="002060"/>
                <w:szCs w:val="24"/>
              </w:rPr>
            </w:r>
          </w:p>
          <w:p>
            <w:pPr>
              <w:pStyle w:val="Normal"/>
              <w:spacing w:before="0" w:after="200"/>
              <w:rPr>
                <w:color w:val="002060"/>
                <w:szCs w:val="24"/>
              </w:rPr>
            </w:pPr>
            <w:r>
              <w:rPr>
                <w:color w:val="002060"/>
                <w:szCs w:val="24"/>
              </w:rPr>
            </w:r>
          </w:p>
        </w:tc>
        <w:tc>
          <w:tcPr>
            <w:tcW w:w="6089" w:type="dxa"/>
            <w:tcBorders>
              <w:top w:val="single" w:sz="4" w:space="0" w:color="000000"/>
              <w:left w:val="single" w:sz="4" w:space="0" w:color="000000"/>
              <w:bottom w:val="single" w:sz="4" w:space="0" w:color="000000"/>
              <w:right w:val="single" w:sz="4" w:space="0" w:color="000000"/>
            </w:tcBorders>
          </w:tcPr>
          <w:p>
            <w:pPr>
              <w:pStyle w:val="Normal"/>
              <w:snapToGrid w:val="false"/>
              <w:spacing w:before="0" w:after="200"/>
              <w:rPr>
                <w:color w:val="002060"/>
                <w:szCs w:val="24"/>
              </w:rPr>
            </w:pPr>
            <w:r>
              <w:rPr>
                <w:color w:val="002060"/>
                <w:szCs w:val="24"/>
              </w:rPr>
            </w:r>
          </w:p>
        </w:tc>
      </w:tr>
      <w:tr>
        <w:trPr>
          <w:trHeight w:val="780" w:hRule="atLeast"/>
        </w:trPr>
        <w:tc>
          <w:tcPr>
            <w:tcW w:w="2141" w:type="dxa"/>
            <w:tcBorders>
              <w:top w:val="single" w:sz="4" w:space="0" w:color="000000"/>
              <w:left w:val="single" w:sz="4" w:space="0" w:color="000000"/>
              <w:bottom w:val="single" w:sz="4" w:space="0" w:color="000000"/>
              <w:right w:val="single" w:sz="4" w:space="0" w:color="000000"/>
            </w:tcBorders>
          </w:tcPr>
          <w:p>
            <w:pPr>
              <w:pStyle w:val="Normal"/>
              <w:snapToGrid w:val="false"/>
              <w:rPr>
                <w:color w:val="000000"/>
                <w:szCs w:val="24"/>
              </w:rPr>
            </w:pPr>
            <w:r>
              <w:rPr>
                <w:color w:val="000000"/>
                <w:szCs w:val="24"/>
              </w:rPr>
            </w:r>
          </w:p>
          <w:p>
            <w:pPr>
              <w:pStyle w:val="Normal"/>
              <w:rPr>
                <w:color w:val="000000"/>
                <w:szCs w:val="24"/>
              </w:rPr>
            </w:pPr>
            <w:r>
              <w:rPr>
                <w:color w:val="000000"/>
                <w:szCs w:val="24"/>
              </w:rPr>
              <w:t xml:space="preserve">Article 2, point 2, second sub-paragraph, paragraph (a) </w:t>
            </w:r>
          </w:p>
          <w:p>
            <w:pPr>
              <w:pStyle w:val="Normal"/>
              <w:spacing w:before="0" w:after="200"/>
              <w:rPr>
                <w:color w:val="000000"/>
                <w:szCs w:val="24"/>
              </w:rPr>
            </w:pPr>
            <w:r>
              <w:rPr>
                <w:color w:val="000000"/>
                <w:szCs w:val="24"/>
              </w:rPr>
            </w:r>
          </w:p>
        </w:tc>
        <w:tc>
          <w:tcPr>
            <w:tcW w:w="6783" w:type="dxa"/>
            <w:tcBorders>
              <w:top w:val="single" w:sz="4" w:space="0" w:color="000000"/>
              <w:left w:val="single" w:sz="4" w:space="0" w:color="000000"/>
              <w:bottom w:val="single" w:sz="4" w:space="0" w:color="000000"/>
              <w:right w:val="single" w:sz="4" w:space="0" w:color="000000"/>
            </w:tcBorders>
          </w:tcPr>
          <w:p>
            <w:pPr>
              <w:pStyle w:val="Normal"/>
              <w:snapToGrid w:val="false"/>
              <w:rPr>
                <w:color w:val="000000"/>
                <w:szCs w:val="24"/>
              </w:rPr>
            </w:pPr>
            <w:r>
              <w:rPr>
                <w:color w:val="000000"/>
                <w:szCs w:val="24"/>
              </w:rPr>
            </w:r>
          </w:p>
          <w:p>
            <w:pPr>
              <w:pStyle w:val="Normal"/>
              <w:rPr/>
            </w:pPr>
            <w:r>
              <w:rPr>
                <w:color w:val="000000"/>
                <w:szCs w:val="24"/>
              </w:rPr>
              <w:t xml:space="preserve">Additional labelling requirement for baker’s honey </w:t>
            </w:r>
          </w:p>
          <w:p>
            <w:pPr>
              <w:pStyle w:val="Normal"/>
              <w:spacing w:before="0" w:after="200"/>
              <w:rPr>
                <w:color w:val="000000"/>
                <w:szCs w:val="24"/>
              </w:rPr>
            </w:pPr>
            <w:r>
              <w:rPr>
                <w:color w:val="000000"/>
                <w:szCs w:val="24"/>
              </w:rPr>
            </w:r>
          </w:p>
        </w:tc>
        <w:tc>
          <w:tcPr>
            <w:tcW w:w="6137" w:type="dxa"/>
            <w:tcBorders>
              <w:top w:val="single" w:sz="4" w:space="0" w:color="000000"/>
              <w:left w:val="single" w:sz="4" w:space="0" w:color="000000"/>
              <w:bottom w:val="single" w:sz="4" w:space="0" w:color="000000"/>
              <w:right w:val="single" w:sz="4" w:space="0" w:color="000000"/>
            </w:tcBorders>
          </w:tcPr>
          <w:p>
            <w:pPr>
              <w:pStyle w:val="Normal"/>
              <w:snapToGrid w:val="false"/>
              <w:rPr>
                <w:color w:val="000000"/>
                <w:szCs w:val="24"/>
              </w:rPr>
            </w:pPr>
            <w:r>
              <w:rPr>
                <w:color w:val="000000"/>
                <w:szCs w:val="24"/>
              </w:rPr>
            </w:r>
          </w:p>
          <w:p>
            <w:pPr>
              <w:pStyle w:val="Normal"/>
              <w:widowControl/>
              <w:bidi w:val="0"/>
              <w:spacing w:lineRule="auto" w:line="276" w:before="0" w:after="200"/>
              <w:rPr/>
            </w:pPr>
            <w:r>
              <w:rPr>
                <w:color w:val="000000"/>
                <w:szCs w:val="24"/>
              </w:rPr>
              <w:t>Regulation 15(4)</w:t>
            </w:r>
          </w:p>
        </w:tc>
        <w:tc>
          <w:tcPr>
            <w:tcW w:w="6089" w:type="dxa"/>
            <w:tcBorders>
              <w:top w:val="single" w:sz="4" w:space="0" w:color="000000"/>
              <w:left w:val="single" w:sz="4" w:space="0" w:color="000000"/>
              <w:bottom w:val="single" w:sz="4" w:space="0" w:color="000000"/>
              <w:right w:val="single" w:sz="4" w:space="0" w:color="000000"/>
            </w:tcBorders>
          </w:tcPr>
          <w:p>
            <w:pPr>
              <w:pStyle w:val="Normal"/>
              <w:snapToGrid w:val="false"/>
              <w:spacing w:before="0" w:after="200"/>
              <w:rPr>
                <w:color w:val="002060"/>
                <w:szCs w:val="24"/>
              </w:rPr>
            </w:pPr>
            <w:r>
              <w:rPr>
                <w:color w:val="002060"/>
                <w:szCs w:val="24"/>
              </w:rPr>
            </w:r>
          </w:p>
        </w:tc>
      </w:tr>
      <w:tr>
        <w:trPr>
          <w:trHeight w:val="847" w:hRule="atLeast"/>
          <w:cantSplit w:val="true"/>
        </w:trPr>
        <w:tc>
          <w:tcPr>
            <w:tcW w:w="2141" w:type="dxa"/>
            <w:tcBorders>
              <w:top w:val="single" w:sz="4" w:space="0" w:color="000000"/>
              <w:left w:val="single" w:sz="4" w:space="0" w:color="000000"/>
              <w:bottom w:val="single" w:sz="4" w:space="0" w:color="000000"/>
              <w:right w:val="single" w:sz="4" w:space="0" w:color="000000"/>
            </w:tcBorders>
          </w:tcPr>
          <w:p>
            <w:pPr>
              <w:pStyle w:val="Normal"/>
              <w:snapToGrid w:val="false"/>
              <w:rPr>
                <w:color w:val="002060"/>
                <w:szCs w:val="24"/>
              </w:rPr>
            </w:pPr>
            <w:r>
              <w:rPr>
                <w:color w:val="002060"/>
                <w:szCs w:val="24"/>
              </w:rPr>
            </w:r>
          </w:p>
          <w:p>
            <w:pPr>
              <w:pStyle w:val="Normal"/>
              <w:spacing w:before="0" w:after="200"/>
              <w:rPr>
                <w:color w:val="002060"/>
                <w:szCs w:val="24"/>
              </w:rPr>
            </w:pPr>
            <w:r>
              <w:rPr>
                <w:color w:val="000000"/>
                <w:szCs w:val="24"/>
              </w:rPr>
              <w:t>Article 2, point 2, second sub-paragraph, paragraph (b)</w:t>
            </w:r>
          </w:p>
        </w:tc>
        <w:tc>
          <w:tcPr>
            <w:tcW w:w="6783" w:type="dxa"/>
            <w:tcBorders>
              <w:top w:val="single" w:sz="4" w:space="0" w:color="000000"/>
              <w:left w:val="single" w:sz="4" w:space="0" w:color="000000"/>
              <w:bottom w:val="single" w:sz="4" w:space="0" w:color="000000"/>
              <w:right w:val="single" w:sz="4" w:space="0" w:color="000000"/>
            </w:tcBorders>
          </w:tcPr>
          <w:p>
            <w:pPr>
              <w:pStyle w:val="Normal"/>
              <w:snapToGrid w:val="false"/>
              <w:rPr>
                <w:color w:val="000000"/>
                <w:szCs w:val="24"/>
              </w:rPr>
            </w:pPr>
            <w:r>
              <w:rPr>
                <w:color w:val="000000"/>
                <w:szCs w:val="24"/>
              </w:rPr>
            </w:r>
          </w:p>
          <w:p>
            <w:pPr>
              <w:pStyle w:val="Normal"/>
              <w:spacing w:before="0" w:after="200"/>
              <w:rPr>
                <w:color w:val="000000"/>
                <w:szCs w:val="24"/>
              </w:rPr>
            </w:pPr>
            <w:r>
              <w:rPr>
                <w:color w:val="000000"/>
                <w:szCs w:val="24"/>
              </w:rPr>
              <w:t>Allowing supplemental information to be provided relating to floral or vegetable origin, regional, territorial or topographical origin and specific quality criteria but not in the case of filtered honey and baker’s honey</w:t>
            </w:r>
          </w:p>
        </w:tc>
        <w:tc>
          <w:tcPr>
            <w:tcW w:w="6137" w:type="dxa"/>
            <w:tcBorders>
              <w:top w:val="single" w:sz="4" w:space="0" w:color="000000"/>
              <w:left w:val="single" w:sz="4" w:space="0" w:color="000000"/>
              <w:bottom w:val="single" w:sz="4" w:space="0" w:color="000000"/>
              <w:right w:val="single" w:sz="4" w:space="0" w:color="000000"/>
            </w:tcBorders>
          </w:tcPr>
          <w:p>
            <w:pPr>
              <w:pStyle w:val="Normal"/>
              <w:snapToGrid w:val="false"/>
              <w:rPr>
                <w:color w:val="000000"/>
                <w:szCs w:val="24"/>
              </w:rPr>
            </w:pPr>
            <w:r>
              <w:rPr>
                <w:color w:val="000000"/>
                <w:szCs w:val="24"/>
              </w:rPr>
            </w:r>
          </w:p>
          <w:p>
            <w:pPr>
              <w:pStyle w:val="Normal"/>
              <w:rPr/>
            </w:pPr>
            <w:r>
              <w:rPr>
                <w:color w:val="000000"/>
                <w:szCs w:val="24"/>
              </w:rPr>
              <w:t>Regulation 17(2), (3), (4) and (5)</w:t>
            </w:r>
          </w:p>
          <w:p>
            <w:pPr>
              <w:pStyle w:val="Normal"/>
              <w:rPr>
                <w:color w:val="000000"/>
                <w:szCs w:val="24"/>
              </w:rPr>
            </w:pPr>
            <w:r>
              <w:rPr>
                <w:color w:val="000000"/>
                <w:szCs w:val="24"/>
              </w:rPr>
            </w:r>
          </w:p>
          <w:p>
            <w:pPr>
              <w:pStyle w:val="Normal"/>
              <w:rPr>
                <w:color w:val="000000"/>
                <w:szCs w:val="24"/>
              </w:rPr>
            </w:pPr>
            <w:r>
              <w:rPr>
                <w:color w:val="000000"/>
                <w:szCs w:val="24"/>
              </w:rPr>
              <w:t>Filtered honey exclusion:</w:t>
            </w:r>
          </w:p>
          <w:p>
            <w:pPr>
              <w:pStyle w:val="Normal"/>
              <w:rPr>
                <w:color w:val="000000"/>
                <w:szCs w:val="24"/>
              </w:rPr>
            </w:pPr>
            <w:r>
              <w:rPr>
                <w:color w:val="000000"/>
                <w:szCs w:val="24"/>
              </w:rPr>
              <w:t>Regulation 14(3)</w:t>
            </w:r>
          </w:p>
          <w:p>
            <w:pPr>
              <w:pStyle w:val="Normal"/>
              <w:rPr>
                <w:color w:val="000000"/>
                <w:szCs w:val="24"/>
              </w:rPr>
            </w:pPr>
            <w:r>
              <w:rPr>
                <w:color w:val="000000"/>
                <w:szCs w:val="24"/>
              </w:rPr>
            </w:r>
          </w:p>
          <w:p>
            <w:pPr>
              <w:pStyle w:val="Normal"/>
              <w:rPr>
                <w:color w:val="000000"/>
                <w:szCs w:val="24"/>
              </w:rPr>
            </w:pPr>
            <w:r>
              <w:rPr>
                <w:color w:val="000000"/>
                <w:szCs w:val="24"/>
              </w:rPr>
              <w:t>Baker’s honey exclusion:</w:t>
            </w:r>
          </w:p>
          <w:p>
            <w:pPr>
              <w:pStyle w:val="Normal"/>
              <w:rPr>
                <w:color w:val="000000"/>
                <w:szCs w:val="24"/>
              </w:rPr>
            </w:pPr>
            <w:r>
              <w:rPr>
                <w:color w:val="000000"/>
                <w:szCs w:val="24"/>
              </w:rPr>
              <w:t>Regulation 15(3)</w:t>
            </w:r>
          </w:p>
          <w:p>
            <w:pPr>
              <w:pStyle w:val="Normal"/>
              <w:spacing w:before="0" w:after="200"/>
              <w:rPr>
                <w:color w:val="000000"/>
                <w:szCs w:val="24"/>
              </w:rPr>
            </w:pPr>
            <w:r>
              <w:rPr>
                <w:color w:val="000000"/>
                <w:szCs w:val="24"/>
              </w:rPr>
            </w:r>
          </w:p>
        </w:tc>
        <w:tc>
          <w:tcPr>
            <w:tcW w:w="6089" w:type="dxa"/>
            <w:tcBorders>
              <w:top w:val="single" w:sz="4" w:space="0" w:color="000000"/>
              <w:left w:val="single" w:sz="4" w:space="0" w:color="000000"/>
              <w:bottom w:val="single" w:sz="4" w:space="0" w:color="000000"/>
              <w:right w:val="single" w:sz="4" w:space="0" w:color="000000"/>
            </w:tcBorders>
          </w:tcPr>
          <w:p>
            <w:pPr>
              <w:pStyle w:val="Normal"/>
              <w:snapToGrid w:val="false"/>
              <w:spacing w:before="0" w:after="200"/>
              <w:rPr>
                <w:color w:val="002060"/>
                <w:szCs w:val="24"/>
              </w:rPr>
            </w:pPr>
            <w:r>
              <w:rPr>
                <w:color w:val="002060"/>
                <w:szCs w:val="24"/>
              </w:rPr>
            </w:r>
          </w:p>
        </w:tc>
      </w:tr>
      <w:tr>
        <w:trPr>
          <w:trHeight w:val="844" w:hRule="atLeast"/>
          <w:cantSplit w:val="true"/>
        </w:trPr>
        <w:tc>
          <w:tcPr>
            <w:tcW w:w="2141" w:type="dxa"/>
            <w:tcBorders>
              <w:top w:val="single" w:sz="4" w:space="0" w:color="000000"/>
              <w:left w:val="single" w:sz="4" w:space="0" w:color="000000"/>
              <w:bottom w:val="single" w:sz="4" w:space="0" w:color="000000"/>
              <w:right w:val="single" w:sz="4" w:space="0" w:color="000000"/>
            </w:tcBorders>
          </w:tcPr>
          <w:p>
            <w:pPr>
              <w:pStyle w:val="Normal"/>
              <w:snapToGrid w:val="false"/>
              <w:rPr>
                <w:color w:val="002060"/>
                <w:szCs w:val="24"/>
              </w:rPr>
            </w:pPr>
            <w:r>
              <w:rPr>
                <w:color w:val="002060"/>
                <w:szCs w:val="24"/>
              </w:rPr>
            </w:r>
          </w:p>
          <w:p>
            <w:pPr>
              <w:pStyle w:val="Normal"/>
              <w:rPr/>
            </w:pPr>
            <w:r>
              <w:rPr>
                <w:szCs w:val="24"/>
              </w:rPr>
              <w:t>Article 2, point 3, first sentence</w:t>
            </w:r>
          </w:p>
          <w:p>
            <w:pPr>
              <w:pStyle w:val="Normal"/>
              <w:spacing w:before="0" w:after="200"/>
              <w:rPr>
                <w:szCs w:val="24"/>
              </w:rPr>
            </w:pPr>
            <w:r>
              <w:rPr>
                <w:szCs w:val="24"/>
              </w:rPr>
            </w:r>
          </w:p>
        </w:tc>
        <w:tc>
          <w:tcPr>
            <w:tcW w:w="6783"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color w:val="000000"/>
                <w:szCs w:val="24"/>
              </w:rPr>
            </w:pPr>
            <w:r>
              <w:rPr>
                <w:color w:val="000000"/>
                <w:szCs w:val="24"/>
              </w:rPr>
              <w:t xml:space="preserve">Permitting the use of the simple product name “honey” in the product name of a compound food in which baker’s honey has been used as an ingredient </w:t>
            </w:r>
          </w:p>
          <w:p>
            <w:pPr>
              <w:pStyle w:val="Normal"/>
              <w:rPr>
                <w:color w:val="000000"/>
                <w:szCs w:val="24"/>
              </w:rPr>
            </w:pPr>
            <w:r>
              <w:rPr>
                <w:color w:val="000000"/>
                <w:szCs w:val="24"/>
              </w:rPr>
            </w:r>
          </w:p>
          <w:p>
            <w:pPr>
              <w:pStyle w:val="Normal"/>
              <w:spacing w:before="0" w:after="200"/>
              <w:rPr>
                <w:szCs w:val="24"/>
              </w:rPr>
            </w:pPr>
            <w:r>
              <w:rPr>
                <w:szCs w:val="24"/>
              </w:rPr>
            </w:r>
          </w:p>
        </w:tc>
        <w:tc>
          <w:tcPr>
            <w:tcW w:w="6137"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szCs w:val="24"/>
              </w:rPr>
            </w:pPr>
            <w:r>
              <w:rPr>
                <w:szCs w:val="24"/>
              </w:rPr>
              <w:t>Regulation 15(6)</w:t>
            </w:r>
          </w:p>
          <w:p>
            <w:pPr>
              <w:pStyle w:val="Normal"/>
              <w:spacing w:before="0" w:after="200"/>
              <w:rPr>
                <w:szCs w:val="24"/>
              </w:rPr>
            </w:pPr>
            <w:r>
              <w:rPr>
                <w:szCs w:val="24"/>
              </w:rPr>
            </w:r>
          </w:p>
        </w:tc>
        <w:tc>
          <w:tcPr>
            <w:tcW w:w="6089" w:type="dxa"/>
            <w:tcBorders>
              <w:top w:val="single" w:sz="4" w:space="0" w:color="000000"/>
              <w:left w:val="single" w:sz="4" w:space="0" w:color="000000"/>
              <w:bottom w:val="single" w:sz="4" w:space="0" w:color="000000"/>
              <w:right w:val="single" w:sz="4" w:space="0" w:color="000000"/>
            </w:tcBorders>
          </w:tcPr>
          <w:p>
            <w:pPr>
              <w:pStyle w:val="Normal"/>
              <w:snapToGrid w:val="false"/>
              <w:spacing w:before="0" w:after="200"/>
              <w:rPr>
                <w:color w:val="002060"/>
                <w:szCs w:val="24"/>
              </w:rPr>
            </w:pPr>
            <w:r>
              <w:rPr>
                <w:color w:val="002060"/>
                <w:szCs w:val="24"/>
              </w:rPr>
            </w:r>
          </w:p>
        </w:tc>
      </w:tr>
      <w:tr>
        <w:trPr/>
        <w:tc>
          <w:tcPr>
            <w:tcW w:w="2141" w:type="dxa"/>
            <w:tcBorders>
              <w:top w:val="single" w:sz="4" w:space="0" w:color="000000"/>
              <w:left w:val="single" w:sz="4" w:space="0" w:color="000000"/>
              <w:bottom w:val="single" w:sz="4" w:space="0" w:color="000000"/>
              <w:right w:val="single" w:sz="4" w:space="0" w:color="000000"/>
            </w:tcBorders>
          </w:tcPr>
          <w:p>
            <w:pPr>
              <w:pStyle w:val="Normal"/>
              <w:snapToGrid w:val="false"/>
              <w:rPr>
                <w:color w:val="002060"/>
                <w:szCs w:val="24"/>
              </w:rPr>
            </w:pPr>
            <w:r>
              <w:rPr>
                <w:color w:val="002060"/>
                <w:szCs w:val="24"/>
              </w:rPr>
            </w:r>
          </w:p>
          <w:p>
            <w:pPr>
              <w:pStyle w:val="Normal"/>
              <w:rPr/>
            </w:pPr>
            <w:r>
              <w:rPr>
                <w:szCs w:val="24"/>
              </w:rPr>
              <w:t>Article 2, point 3, second sentence</w:t>
            </w:r>
          </w:p>
          <w:p>
            <w:pPr>
              <w:pStyle w:val="Normal"/>
              <w:spacing w:before="0" w:after="200"/>
              <w:rPr>
                <w:szCs w:val="24"/>
              </w:rPr>
            </w:pPr>
            <w:r>
              <w:rPr>
                <w:szCs w:val="24"/>
              </w:rPr>
            </w:r>
          </w:p>
        </w:tc>
        <w:tc>
          <w:tcPr>
            <w:tcW w:w="6783" w:type="dxa"/>
            <w:tcBorders>
              <w:top w:val="single" w:sz="4" w:space="0" w:color="000000"/>
              <w:left w:val="single" w:sz="4" w:space="0" w:color="000000"/>
              <w:bottom w:val="single" w:sz="4" w:space="0" w:color="000000"/>
              <w:right w:val="single" w:sz="4" w:space="0" w:color="000000"/>
            </w:tcBorders>
          </w:tcPr>
          <w:p>
            <w:pPr>
              <w:pStyle w:val="Normal"/>
              <w:snapToGrid w:val="false"/>
              <w:rPr>
                <w:color w:val="000000"/>
                <w:szCs w:val="24"/>
              </w:rPr>
            </w:pPr>
            <w:r>
              <w:rPr>
                <w:color w:val="000000"/>
                <w:szCs w:val="24"/>
              </w:rPr>
            </w:r>
          </w:p>
          <w:p>
            <w:pPr>
              <w:pStyle w:val="Normal"/>
              <w:rPr>
                <w:color w:val="000000"/>
                <w:szCs w:val="24"/>
              </w:rPr>
            </w:pPr>
            <w:r>
              <w:rPr>
                <w:color w:val="000000"/>
                <w:szCs w:val="24"/>
              </w:rPr>
              <w:t>Requirement that baker’s honey is identified as ‘baker’s honey’ in the list of ingredients of a compound food in a case where baker’s honey has been used as an ingredient in the compound food but the name ‘honey’ is used in the product name of the compound food  (as permitted by the first sentence of point 3 of Article 2)</w:t>
            </w:r>
          </w:p>
          <w:p>
            <w:pPr>
              <w:pStyle w:val="Normal"/>
              <w:rPr>
                <w:color w:val="000000"/>
                <w:szCs w:val="24"/>
              </w:rPr>
            </w:pPr>
            <w:r>
              <w:rPr>
                <w:color w:val="000000"/>
                <w:szCs w:val="24"/>
              </w:rPr>
            </w:r>
          </w:p>
          <w:p>
            <w:pPr>
              <w:pStyle w:val="Normal"/>
              <w:spacing w:before="0" w:after="200"/>
              <w:rPr>
                <w:color w:val="000000"/>
                <w:szCs w:val="24"/>
              </w:rPr>
            </w:pPr>
            <w:r>
              <w:rPr>
                <w:color w:val="000000"/>
                <w:szCs w:val="24"/>
              </w:rPr>
            </w:r>
          </w:p>
        </w:tc>
        <w:tc>
          <w:tcPr>
            <w:tcW w:w="6137"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szCs w:val="24"/>
              </w:rPr>
            </w:pPr>
            <w:r>
              <w:rPr>
                <w:szCs w:val="24"/>
              </w:rPr>
              <w:t>Regulation 15(7)</w:t>
            </w:r>
          </w:p>
          <w:p>
            <w:pPr>
              <w:pStyle w:val="Normal"/>
              <w:rPr>
                <w:szCs w:val="24"/>
              </w:rPr>
            </w:pPr>
            <w:r>
              <w:rPr>
                <w:szCs w:val="24"/>
              </w:rPr>
            </w:r>
          </w:p>
          <w:p>
            <w:pPr>
              <w:pStyle w:val="Normal"/>
              <w:spacing w:before="0" w:after="200"/>
              <w:rPr>
                <w:szCs w:val="24"/>
              </w:rPr>
            </w:pPr>
            <w:r>
              <w:rPr>
                <w:szCs w:val="24"/>
              </w:rPr>
            </w:r>
          </w:p>
        </w:tc>
        <w:tc>
          <w:tcPr>
            <w:tcW w:w="6089" w:type="dxa"/>
            <w:tcBorders>
              <w:top w:val="single" w:sz="4" w:space="0" w:color="000000"/>
              <w:left w:val="single" w:sz="4" w:space="0" w:color="000000"/>
              <w:bottom w:val="single" w:sz="4" w:space="0" w:color="000000"/>
              <w:right w:val="single" w:sz="4" w:space="0" w:color="000000"/>
            </w:tcBorders>
          </w:tcPr>
          <w:p>
            <w:pPr>
              <w:pStyle w:val="Normal"/>
              <w:snapToGrid w:val="false"/>
              <w:spacing w:before="0" w:after="200"/>
              <w:rPr>
                <w:color w:val="002060"/>
                <w:szCs w:val="24"/>
              </w:rPr>
            </w:pPr>
            <w:r>
              <w:rPr>
                <w:color w:val="002060"/>
                <w:szCs w:val="24"/>
              </w:rPr>
            </w:r>
          </w:p>
        </w:tc>
      </w:tr>
      <w:tr>
        <w:trPr/>
        <w:tc>
          <w:tcPr>
            <w:tcW w:w="2141" w:type="dxa"/>
            <w:tcBorders>
              <w:top w:val="single" w:sz="4" w:space="0" w:color="000000"/>
              <w:left w:val="single" w:sz="4" w:space="0" w:color="000000"/>
              <w:bottom w:val="single" w:sz="4" w:space="0" w:color="000000"/>
              <w:right w:val="single" w:sz="4" w:space="0" w:color="000000"/>
            </w:tcBorders>
          </w:tcPr>
          <w:p>
            <w:pPr>
              <w:pStyle w:val="Normal"/>
              <w:snapToGrid w:val="false"/>
              <w:rPr>
                <w:color w:val="002060"/>
                <w:szCs w:val="24"/>
              </w:rPr>
            </w:pPr>
            <w:r>
              <w:rPr>
                <w:color w:val="002060"/>
                <w:szCs w:val="24"/>
              </w:rPr>
            </w:r>
          </w:p>
          <w:p>
            <w:pPr>
              <w:pStyle w:val="Normal"/>
              <w:rPr>
                <w:szCs w:val="24"/>
              </w:rPr>
            </w:pPr>
            <w:r>
              <w:rPr>
                <w:szCs w:val="24"/>
              </w:rPr>
              <w:t>Article 2, point 4(a)</w:t>
            </w:r>
          </w:p>
          <w:p>
            <w:pPr>
              <w:pStyle w:val="Normal"/>
              <w:spacing w:before="0" w:after="200"/>
              <w:rPr>
                <w:szCs w:val="24"/>
              </w:rPr>
            </w:pPr>
            <w:r>
              <w:rPr>
                <w:szCs w:val="24"/>
              </w:rPr>
            </w:r>
          </w:p>
        </w:tc>
        <w:tc>
          <w:tcPr>
            <w:tcW w:w="6783"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pPr>
            <w:r>
              <w:rPr>
                <w:szCs w:val="24"/>
              </w:rPr>
              <w:t xml:space="preserve">Mandatory requirement for an indication of the country or countries of origin of honey to be given on the label </w:t>
            </w:r>
          </w:p>
          <w:p>
            <w:pPr>
              <w:pStyle w:val="Normal"/>
              <w:spacing w:before="0" w:after="200"/>
              <w:rPr>
                <w:szCs w:val="24"/>
              </w:rPr>
            </w:pPr>
            <w:r>
              <w:rPr>
                <w:szCs w:val="24"/>
              </w:rPr>
            </w:r>
          </w:p>
        </w:tc>
        <w:tc>
          <w:tcPr>
            <w:tcW w:w="6137"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pPr>
            <w:r>
              <w:rPr>
                <w:szCs w:val="24"/>
              </w:rPr>
              <w:t>Regulation 17(1)</w:t>
            </w:r>
          </w:p>
          <w:p>
            <w:pPr>
              <w:pStyle w:val="Normal"/>
              <w:rPr>
                <w:szCs w:val="24"/>
              </w:rPr>
            </w:pPr>
            <w:r>
              <w:rPr>
                <w:szCs w:val="24"/>
              </w:rPr>
            </w:r>
          </w:p>
          <w:p>
            <w:pPr>
              <w:pStyle w:val="Normal"/>
              <w:spacing w:before="0" w:after="200"/>
              <w:rPr>
                <w:szCs w:val="24"/>
              </w:rPr>
            </w:pPr>
            <w:r>
              <w:rPr>
                <w:szCs w:val="24"/>
              </w:rPr>
            </w:r>
          </w:p>
        </w:tc>
        <w:tc>
          <w:tcPr>
            <w:tcW w:w="6089" w:type="dxa"/>
            <w:tcBorders>
              <w:top w:val="single" w:sz="4" w:space="0" w:color="000000"/>
              <w:left w:val="single" w:sz="4" w:space="0" w:color="000000"/>
              <w:bottom w:val="single" w:sz="4" w:space="0" w:color="000000"/>
              <w:right w:val="single" w:sz="4" w:space="0" w:color="000000"/>
            </w:tcBorders>
          </w:tcPr>
          <w:p>
            <w:pPr>
              <w:pStyle w:val="Normal"/>
              <w:snapToGrid w:val="false"/>
              <w:spacing w:before="0" w:after="200"/>
              <w:rPr>
                <w:color w:val="002060"/>
                <w:szCs w:val="24"/>
              </w:rPr>
            </w:pPr>
            <w:r>
              <w:rPr>
                <w:color w:val="002060"/>
                <w:szCs w:val="24"/>
              </w:rPr>
            </w:r>
          </w:p>
        </w:tc>
      </w:tr>
      <w:tr>
        <w:trPr/>
        <w:tc>
          <w:tcPr>
            <w:tcW w:w="2141" w:type="dxa"/>
            <w:tcBorders>
              <w:top w:val="single" w:sz="4" w:space="0" w:color="000000"/>
              <w:left w:val="single" w:sz="4" w:space="0" w:color="000000"/>
              <w:bottom w:val="single" w:sz="4" w:space="0" w:color="000000"/>
              <w:right w:val="single" w:sz="4" w:space="0" w:color="000000"/>
            </w:tcBorders>
          </w:tcPr>
          <w:p>
            <w:pPr>
              <w:pStyle w:val="Normal"/>
              <w:snapToGrid w:val="false"/>
              <w:rPr>
                <w:color w:val="002060"/>
                <w:szCs w:val="24"/>
              </w:rPr>
            </w:pPr>
            <w:r>
              <w:rPr>
                <w:color w:val="002060"/>
                <w:szCs w:val="24"/>
              </w:rPr>
            </w:r>
          </w:p>
          <w:p>
            <w:pPr>
              <w:pStyle w:val="Normal"/>
              <w:rPr>
                <w:szCs w:val="24"/>
              </w:rPr>
            </w:pPr>
            <w:r>
              <w:rPr>
                <w:szCs w:val="24"/>
              </w:rPr>
              <w:t>Article 2, point 4(b)</w:t>
            </w:r>
          </w:p>
          <w:p>
            <w:pPr>
              <w:pStyle w:val="Normal"/>
              <w:rPr>
                <w:szCs w:val="24"/>
              </w:rPr>
            </w:pPr>
            <w:r>
              <w:rPr>
                <w:szCs w:val="24"/>
              </w:rPr>
            </w:r>
          </w:p>
          <w:p>
            <w:pPr>
              <w:pStyle w:val="Normal"/>
              <w:spacing w:before="0" w:after="200"/>
              <w:rPr>
                <w:szCs w:val="24"/>
              </w:rPr>
            </w:pPr>
            <w:r>
              <w:rPr>
                <w:szCs w:val="24"/>
              </w:rPr>
            </w:r>
          </w:p>
        </w:tc>
        <w:tc>
          <w:tcPr>
            <w:tcW w:w="6783"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szCs w:val="24"/>
              </w:rPr>
            </w:pPr>
            <w:r>
              <w:rPr>
                <w:szCs w:val="24"/>
              </w:rPr>
              <w:t>Provision requiring the mandatory country of origin indication to be considered as a mandatory indication under Article 3 of  Directive 2000/13/EC and for the relevant provisions of Directive 2000/13/EC to be applied accordingly</w:t>
            </w:r>
          </w:p>
          <w:p>
            <w:pPr>
              <w:pStyle w:val="Normal"/>
              <w:rPr>
                <w:szCs w:val="24"/>
              </w:rPr>
            </w:pPr>
            <w:r>
              <w:rPr>
                <w:szCs w:val="24"/>
              </w:rPr>
            </w:r>
          </w:p>
          <w:p>
            <w:pPr>
              <w:pStyle w:val="Normal"/>
              <w:spacing w:before="0" w:after="200"/>
              <w:rPr>
                <w:szCs w:val="24"/>
              </w:rPr>
            </w:pPr>
            <w:r>
              <w:rPr>
                <w:szCs w:val="24"/>
              </w:rPr>
            </w:r>
          </w:p>
        </w:tc>
        <w:tc>
          <w:tcPr>
            <w:tcW w:w="6137"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szCs w:val="24"/>
              </w:rPr>
            </w:pPr>
            <w:r>
              <w:rPr>
                <w:szCs w:val="24"/>
              </w:rPr>
              <w:t xml:space="preserve">Does not need direct implementation in the 2015 Regulations themselves but regulation 21 of the 2015 Regulations, as read with paragraphs 1 and 2 of Schedule 3 to those Regulations, makes a consequential amendment to the Food Information Regulations 2014 to implement the provision. </w:t>
            </w:r>
          </w:p>
          <w:p>
            <w:pPr>
              <w:pStyle w:val="Normal"/>
              <w:spacing w:before="0" w:after="200"/>
              <w:rPr>
                <w:szCs w:val="24"/>
              </w:rPr>
            </w:pPr>
            <w:r>
              <w:rPr>
                <w:szCs w:val="24"/>
              </w:rPr>
            </w:r>
          </w:p>
        </w:tc>
        <w:tc>
          <w:tcPr>
            <w:tcW w:w="6089"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pPr>
            <w:r>
              <w:rPr>
                <w:szCs w:val="24"/>
              </w:rPr>
              <w:t>Directive 2000/13/EC was repealed by Regulation (EU) No 1169/2011.</w:t>
            </w:r>
          </w:p>
          <w:p>
            <w:pPr>
              <w:pStyle w:val="Normal"/>
              <w:rPr>
                <w:szCs w:val="24"/>
              </w:rPr>
            </w:pPr>
            <w:r>
              <w:rPr>
                <w:szCs w:val="24"/>
              </w:rPr>
            </w:r>
          </w:p>
          <w:p>
            <w:pPr>
              <w:pStyle w:val="Normal"/>
              <w:rPr>
                <w:szCs w:val="24"/>
              </w:rPr>
            </w:pPr>
            <w:r>
              <w:rPr>
                <w:szCs w:val="24"/>
              </w:rPr>
              <w:t xml:space="preserve">By virtue of Article 53(2) of Regulation (EU) No 1169/2011, references to Directive 2000/13/EC in the Honey Directive are now treated as references to Regulation (EU) No 1169/2011. </w:t>
            </w:r>
          </w:p>
          <w:p>
            <w:pPr>
              <w:pStyle w:val="Normal"/>
              <w:rPr>
                <w:szCs w:val="24"/>
              </w:rPr>
            </w:pPr>
            <w:r>
              <w:rPr>
                <w:szCs w:val="24"/>
              </w:rPr>
            </w:r>
          </w:p>
          <w:p>
            <w:pPr>
              <w:pStyle w:val="Normal"/>
              <w:rPr>
                <w:szCs w:val="24"/>
              </w:rPr>
            </w:pPr>
            <w:r>
              <w:rPr>
                <w:szCs w:val="24"/>
              </w:rPr>
              <w:t xml:space="preserve">The provisions in Article 12 Regulation (EU) No 1169/2011 relating to the availability and placement of mandatory food information, and the provisions of Article 13(1) of that Regulation relating to the presentation of mandatory food information, apply, by virtue of Regulation (EU) No 1169/2011,  to the presentation of mandatory food information. </w:t>
            </w:r>
          </w:p>
          <w:p>
            <w:pPr>
              <w:pStyle w:val="Normal"/>
              <w:rPr>
                <w:szCs w:val="24"/>
              </w:rPr>
            </w:pPr>
            <w:r>
              <w:rPr>
                <w:szCs w:val="24"/>
              </w:rPr>
            </w:r>
          </w:p>
          <w:p>
            <w:pPr>
              <w:pStyle w:val="Normal"/>
              <w:rPr>
                <w:szCs w:val="24"/>
              </w:rPr>
            </w:pPr>
            <w:r>
              <w:rPr>
                <w:szCs w:val="24"/>
              </w:rPr>
              <w:t>‘</w:t>
            </w:r>
            <w:r>
              <w:rPr>
                <w:szCs w:val="24"/>
              </w:rPr>
              <w:t xml:space="preserve">Mandatory food information’ is defined as meaning ‘the particulars that are required to be provided to the final consumer by Union provisions’. These will include the country of origin indication that is required to be provided under point 4(a) of Article 2 of the Honey Directive. </w:t>
            </w:r>
          </w:p>
          <w:p>
            <w:pPr>
              <w:pStyle w:val="Normal"/>
              <w:rPr>
                <w:szCs w:val="24"/>
              </w:rPr>
            </w:pPr>
            <w:r>
              <w:rPr>
                <w:szCs w:val="24"/>
              </w:rPr>
            </w:r>
          </w:p>
          <w:p>
            <w:pPr>
              <w:pStyle w:val="Normal"/>
              <w:rPr>
                <w:szCs w:val="24"/>
              </w:rPr>
            </w:pPr>
            <w:r>
              <w:rPr>
                <w:szCs w:val="24"/>
              </w:rPr>
              <w:t xml:space="preserve">Enforcement provisions enabling compliance with Articles 12 and 13(1) of Regulation (EU) No 1169/2011 to be enforced in England are contained in the Food Information Regulations 2014. </w:t>
            </w:r>
          </w:p>
          <w:p>
            <w:pPr>
              <w:pStyle w:val="Normal"/>
              <w:rPr>
                <w:szCs w:val="24"/>
              </w:rPr>
            </w:pPr>
            <w:r>
              <w:rPr>
                <w:szCs w:val="24"/>
              </w:rPr>
            </w:r>
          </w:p>
          <w:p>
            <w:pPr>
              <w:pStyle w:val="Normal"/>
              <w:rPr>
                <w:szCs w:val="24"/>
              </w:rPr>
            </w:pPr>
            <w:r>
              <w:rPr>
                <w:szCs w:val="24"/>
              </w:rPr>
            </w:r>
          </w:p>
          <w:p>
            <w:pPr>
              <w:pStyle w:val="Normal"/>
              <w:rPr>
                <w:szCs w:val="24"/>
              </w:rPr>
            </w:pPr>
            <w:r>
              <w:rPr>
                <w:szCs w:val="24"/>
              </w:rPr>
            </w:r>
          </w:p>
          <w:p>
            <w:pPr>
              <w:pStyle w:val="Normal"/>
              <w:rPr>
                <w:szCs w:val="24"/>
              </w:rPr>
            </w:pPr>
            <w:r>
              <w:rPr>
                <w:szCs w:val="24"/>
              </w:rPr>
              <w:t xml:space="preserve">This is the position for all mandatory food information. </w:t>
            </w:r>
          </w:p>
          <w:p>
            <w:pPr>
              <w:pStyle w:val="Normal"/>
              <w:rPr>
                <w:szCs w:val="24"/>
              </w:rPr>
            </w:pPr>
            <w:r>
              <w:rPr>
                <w:szCs w:val="24"/>
              </w:rPr>
            </w:r>
          </w:p>
          <w:p>
            <w:pPr>
              <w:pStyle w:val="Normal"/>
              <w:rPr>
                <w:szCs w:val="24"/>
              </w:rPr>
            </w:pPr>
            <w:r>
              <w:rPr>
                <w:szCs w:val="24"/>
              </w:rPr>
              <w:t>However, there is an additional element in relation to the country of origin information required by the Honey Directive. Not only must that country of origin information be treated as ‘mandatory food information’, it must be treated as if it was mandatory food information required by Article 9 of Regulation (EU) No 1169/2011 (in succession to Article 3 of Directive 2000/13/EC).  This makes a difference when it comes to the minimum font size that must be used for that country of origin information.</w:t>
            </w:r>
          </w:p>
          <w:p>
            <w:pPr>
              <w:pStyle w:val="Normal"/>
              <w:rPr>
                <w:szCs w:val="24"/>
              </w:rPr>
            </w:pPr>
            <w:r>
              <w:rPr>
                <w:szCs w:val="24"/>
              </w:rPr>
            </w:r>
          </w:p>
          <w:p>
            <w:pPr>
              <w:pStyle w:val="Normal"/>
              <w:rPr>
                <w:szCs w:val="24"/>
              </w:rPr>
            </w:pPr>
            <w:r>
              <w:rPr>
                <w:szCs w:val="24"/>
              </w:rPr>
              <w:t>The 2015 Regulations amend the Food Information Regulations 2014 so  that the country of origin indication must is treated in the same way as mandatory particulars required by Article 9(1). This means that the minimum font size provisions in Article 13(2) and (3) of Regulation (EU) No 1169/2011 apply to them. The consequential amendments made by regulation 21 of the 2015 Regulations as read with paragraphs 1 and 2 of Schedule 3 to the Regulations, have this effect.</w:t>
            </w:r>
          </w:p>
          <w:p>
            <w:pPr>
              <w:pStyle w:val="Normal"/>
              <w:rPr>
                <w:szCs w:val="24"/>
              </w:rPr>
            </w:pPr>
            <w:r>
              <w:rPr>
                <w:szCs w:val="24"/>
              </w:rPr>
            </w:r>
          </w:p>
          <w:p>
            <w:pPr>
              <w:pStyle w:val="Normal"/>
              <w:spacing w:before="0" w:after="200"/>
              <w:rPr>
                <w:szCs w:val="24"/>
              </w:rPr>
            </w:pPr>
            <w:r>
              <w:rPr>
                <w:szCs w:val="24"/>
              </w:rPr>
            </w:r>
          </w:p>
        </w:tc>
      </w:tr>
      <w:tr>
        <w:trPr/>
        <w:tc>
          <w:tcPr>
            <w:tcW w:w="2141" w:type="dxa"/>
            <w:tcBorders>
              <w:top w:val="single" w:sz="4" w:space="0" w:color="000000"/>
              <w:left w:val="single" w:sz="4" w:space="0" w:color="000000"/>
              <w:bottom w:val="single" w:sz="4" w:space="0" w:color="000000"/>
              <w:right w:val="single" w:sz="4" w:space="0" w:color="000000"/>
            </w:tcBorders>
          </w:tcPr>
          <w:p>
            <w:pPr>
              <w:pStyle w:val="Normal"/>
              <w:snapToGrid w:val="false"/>
              <w:rPr>
                <w:color w:val="002060"/>
                <w:szCs w:val="24"/>
              </w:rPr>
            </w:pPr>
            <w:r>
              <w:rPr>
                <w:color w:val="002060"/>
                <w:szCs w:val="24"/>
              </w:rPr>
            </w:r>
          </w:p>
          <w:p>
            <w:pPr>
              <w:pStyle w:val="Normal"/>
              <w:rPr>
                <w:szCs w:val="24"/>
              </w:rPr>
            </w:pPr>
            <w:r>
              <w:rPr>
                <w:szCs w:val="24"/>
              </w:rPr>
              <w:t>Article 2, point 5</w:t>
            </w:r>
          </w:p>
          <w:p>
            <w:pPr>
              <w:pStyle w:val="Normal"/>
              <w:spacing w:before="0" w:after="200"/>
              <w:rPr>
                <w:szCs w:val="24"/>
              </w:rPr>
            </w:pPr>
            <w:r>
              <w:rPr>
                <w:szCs w:val="24"/>
              </w:rPr>
            </w:r>
          </w:p>
        </w:tc>
        <w:tc>
          <w:tcPr>
            <w:tcW w:w="6783"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pPr>
            <w:r>
              <w:rPr>
                <w:szCs w:val="24"/>
              </w:rPr>
              <w:t>Exclusion of pollen from the definition of ingredient set out in point (f) of Article 2(2) of Regulation (EU) No 1169/2011 of the European Parliament and of the Council.</w:t>
            </w:r>
          </w:p>
          <w:p>
            <w:pPr>
              <w:pStyle w:val="Normal"/>
              <w:spacing w:before="0" w:after="200"/>
              <w:rPr>
                <w:szCs w:val="24"/>
              </w:rPr>
            </w:pPr>
            <w:r>
              <w:rPr>
                <w:szCs w:val="24"/>
              </w:rPr>
            </w:r>
          </w:p>
        </w:tc>
        <w:tc>
          <w:tcPr>
            <w:tcW w:w="6137"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pPr>
            <w:r>
              <w:rPr>
                <w:szCs w:val="24"/>
              </w:rPr>
              <w:t>Regulation 3(1)  - definition of “ingredient”</w:t>
            </w:r>
          </w:p>
          <w:p>
            <w:pPr>
              <w:pStyle w:val="Normal"/>
              <w:rPr>
                <w:szCs w:val="24"/>
              </w:rPr>
            </w:pPr>
            <w:r>
              <w:rPr>
                <w:szCs w:val="24"/>
              </w:rPr>
            </w:r>
          </w:p>
          <w:p>
            <w:pPr>
              <w:pStyle w:val="Normal"/>
              <w:spacing w:before="0" w:after="200"/>
              <w:rPr>
                <w:szCs w:val="24"/>
              </w:rPr>
            </w:pPr>
            <w:r>
              <w:rPr>
                <w:szCs w:val="24"/>
              </w:rPr>
            </w:r>
          </w:p>
        </w:tc>
        <w:tc>
          <w:tcPr>
            <w:tcW w:w="6089"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spacing w:before="0" w:after="200"/>
              <w:rPr>
                <w:szCs w:val="24"/>
              </w:rPr>
            </w:pPr>
            <w:r>
              <w:rPr>
                <w:szCs w:val="24"/>
              </w:rPr>
            </w:r>
          </w:p>
        </w:tc>
      </w:tr>
      <w:tr>
        <w:trPr/>
        <w:tc>
          <w:tcPr>
            <w:tcW w:w="2141" w:type="dxa"/>
            <w:tcBorders>
              <w:top w:val="single" w:sz="4" w:space="0" w:color="000000"/>
              <w:left w:val="single" w:sz="4" w:space="0" w:color="000000"/>
              <w:bottom w:val="single" w:sz="4" w:space="0" w:color="000000"/>
              <w:right w:val="single" w:sz="4" w:space="0" w:color="000000"/>
            </w:tcBorders>
          </w:tcPr>
          <w:p>
            <w:pPr>
              <w:pStyle w:val="Normal"/>
              <w:snapToGrid w:val="false"/>
              <w:rPr>
                <w:color w:val="002060"/>
                <w:szCs w:val="24"/>
              </w:rPr>
            </w:pPr>
            <w:r>
              <w:rPr>
                <w:color w:val="002060"/>
                <w:szCs w:val="24"/>
              </w:rPr>
            </w:r>
          </w:p>
          <w:p>
            <w:pPr>
              <w:pStyle w:val="Normal"/>
              <w:rPr>
                <w:szCs w:val="24"/>
              </w:rPr>
            </w:pPr>
            <w:r>
              <w:rPr>
                <w:szCs w:val="24"/>
              </w:rPr>
              <w:t>Article 3</w:t>
            </w:r>
          </w:p>
          <w:p>
            <w:pPr>
              <w:pStyle w:val="Normal"/>
              <w:spacing w:before="0" w:after="200"/>
              <w:rPr>
                <w:szCs w:val="24"/>
              </w:rPr>
            </w:pPr>
            <w:r>
              <w:rPr>
                <w:szCs w:val="24"/>
              </w:rPr>
            </w:r>
          </w:p>
        </w:tc>
        <w:tc>
          <w:tcPr>
            <w:tcW w:w="6783"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szCs w:val="24"/>
              </w:rPr>
            </w:pPr>
            <w:r>
              <w:rPr>
                <w:szCs w:val="24"/>
              </w:rPr>
              <w:t>Requirement for indication of the full product name to be given on bulk containers, packs and trade documents in the case of baker’s honey and filtered honey</w:t>
            </w:r>
          </w:p>
          <w:p>
            <w:pPr>
              <w:pStyle w:val="Normal"/>
              <w:spacing w:before="0" w:after="200"/>
              <w:rPr>
                <w:szCs w:val="24"/>
              </w:rPr>
            </w:pPr>
            <w:r>
              <w:rPr>
                <w:szCs w:val="24"/>
              </w:rPr>
            </w:r>
          </w:p>
        </w:tc>
        <w:tc>
          <w:tcPr>
            <w:tcW w:w="6137"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b/>
                <w:szCs w:val="24"/>
              </w:rPr>
            </w:pPr>
            <w:r>
              <w:rPr>
                <w:b/>
                <w:szCs w:val="24"/>
              </w:rPr>
              <w:t>For filtered honey:</w:t>
            </w:r>
          </w:p>
          <w:p>
            <w:pPr>
              <w:pStyle w:val="Normal"/>
              <w:rPr>
                <w:szCs w:val="24"/>
              </w:rPr>
            </w:pPr>
            <w:r>
              <w:rPr>
                <w:szCs w:val="24"/>
              </w:rPr>
              <w:t>Regulation 14(4)</w:t>
            </w:r>
          </w:p>
          <w:p>
            <w:pPr>
              <w:pStyle w:val="Normal"/>
              <w:rPr>
                <w:b/>
                <w:szCs w:val="24"/>
              </w:rPr>
            </w:pPr>
            <w:r>
              <w:rPr>
                <w:b/>
                <w:szCs w:val="24"/>
              </w:rPr>
            </w:r>
          </w:p>
          <w:p>
            <w:pPr>
              <w:pStyle w:val="Normal"/>
              <w:rPr>
                <w:b/>
                <w:szCs w:val="24"/>
              </w:rPr>
            </w:pPr>
            <w:r>
              <w:rPr>
                <w:b/>
                <w:szCs w:val="24"/>
              </w:rPr>
              <w:t>For baker’s honey:</w:t>
            </w:r>
          </w:p>
          <w:p>
            <w:pPr>
              <w:pStyle w:val="Normal"/>
              <w:rPr>
                <w:szCs w:val="24"/>
              </w:rPr>
            </w:pPr>
            <w:r>
              <w:rPr>
                <w:szCs w:val="24"/>
              </w:rPr>
              <w:t>Regulation 15(5)</w:t>
            </w:r>
          </w:p>
          <w:p>
            <w:pPr>
              <w:pStyle w:val="Normal"/>
              <w:rPr>
                <w:szCs w:val="24"/>
              </w:rPr>
            </w:pPr>
            <w:r>
              <w:rPr>
                <w:szCs w:val="24"/>
              </w:rPr>
            </w:r>
          </w:p>
          <w:p>
            <w:pPr>
              <w:pStyle w:val="Normal"/>
              <w:spacing w:before="0" w:after="200"/>
              <w:rPr>
                <w:szCs w:val="24"/>
              </w:rPr>
            </w:pPr>
            <w:r>
              <w:rPr>
                <w:szCs w:val="24"/>
              </w:rPr>
            </w:r>
          </w:p>
        </w:tc>
        <w:tc>
          <w:tcPr>
            <w:tcW w:w="6089" w:type="dxa"/>
            <w:tcBorders>
              <w:top w:val="single" w:sz="4" w:space="0" w:color="000000"/>
              <w:left w:val="single" w:sz="4" w:space="0" w:color="000000"/>
              <w:bottom w:val="single" w:sz="4" w:space="0" w:color="000000"/>
              <w:right w:val="single" w:sz="4" w:space="0" w:color="000000"/>
            </w:tcBorders>
          </w:tcPr>
          <w:p>
            <w:pPr>
              <w:pStyle w:val="Normal"/>
              <w:snapToGrid w:val="false"/>
              <w:rPr>
                <w:color w:val="002060"/>
                <w:szCs w:val="24"/>
              </w:rPr>
            </w:pPr>
            <w:r>
              <w:rPr>
                <w:color w:val="002060"/>
                <w:szCs w:val="24"/>
              </w:rPr>
            </w:r>
          </w:p>
          <w:p>
            <w:pPr>
              <w:pStyle w:val="Normal"/>
              <w:widowControl/>
              <w:bidi w:val="0"/>
              <w:spacing w:lineRule="auto" w:line="276" w:before="0" w:after="200"/>
              <w:rPr>
                <w:szCs w:val="24"/>
              </w:rPr>
            </w:pPr>
            <w:r>
              <w:rPr>
                <w:szCs w:val="24"/>
              </w:rPr>
              <w:t>Please also see the supporting definitions of “bulk containers”, “packs” and “trade documents” in regulation 3(1).</w:t>
            </w:r>
          </w:p>
        </w:tc>
      </w:tr>
      <w:tr>
        <w:trPr>
          <w:cantSplit w:val="true"/>
        </w:trPr>
        <w:tc>
          <w:tcPr>
            <w:tcW w:w="2141" w:type="dxa"/>
            <w:tcBorders>
              <w:top w:val="single" w:sz="4" w:space="0" w:color="000000"/>
              <w:left w:val="single" w:sz="4" w:space="0" w:color="000000"/>
              <w:bottom w:val="single" w:sz="4" w:space="0" w:color="000000"/>
              <w:right w:val="single" w:sz="4" w:space="0" w:color="000000"/>
            </w:tcBorders>
          </w:tcPr>
          <w:p>
            <w:pPr>
              <w:pStyle w:val="Normal"/>
              <w:snapToGrid w:val="false"/>
              <w:rPr>
                <w:color w:val="002060"/>
                <w:szCs w:val="24"/>
              </w:rPr>
            </w:pPr>
            <w:r>
              <w:rPr>
                <w:color w:val="002060"/>
                <w:szCs w:val="24"/>
              </w:rPr>
            </w:r>
          </w:p>
          <w:p>
            <w:pPr>
              <w:pStyle w:val="Normal"/>
              <w:rPr>
                <w:szCs w:val="24"/>
              </w:rPr>
            </w:pPr>
            <w:r>
              <w:rPr>
                <w:szCs w:val="24"/>
              </w:rPr>
              <w:t>Article 4(1)</w:t>
            </w:r>
          </w:p>
          <w:p>
            <w:pPr>
              <w:pStyle w:val="Normal"/>
              <w:spacing w:before="0" w:after="200"/>
              <w:rPr>
                <w:szCs w:val="24"/>
              </w:rPr>
            </w:pPr>
            <w:r>
              <w:rPr>
                <w:szCs w:val="24"/>
              </w:rPr>
            </w:r>
          </w:p>
        </w:tc>
        <w:tc>
          <w:tcPr>
            <w:tcW w:w="6783"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spacing w:before="0" w:after="200"/>
              <w:rPr>
                <w:szCs w:val="24"/>
              </w:rPr>
            </w:pPr>
            <w:r>
              <w:rPr>
                <w:szCs w:val="24"/>
              </w:rPr>
              <w:t>Commission power to make implementing acts relating to methods of analysis to verify whether honey is compliant with the provisions of the Honey Directive</w:t>
            </w:r>
          </w:p>
        </w:tc>
        <w:tc>
          <w:tcPr>
            <w:tcW w:w="6137"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szCs w:val="24"/>
              </w:rPr>
            </w:pPr>
            <w:r>
              <w:rPr>
                <w:szCs w:val="24"/>
              </w:rPr>
              <w:t>Does not need transposition – the Commission has not made any relevant implementing acts</w:t>
            </w:r>
          </w:p>
          <w:p>
            <w:pPr>
              <w:pStyle w:val="Normal"/>
              <w:spacing w:before="0" w:after="200"/>
              <w:rPr>
                <w:szCs w:val="24"/>
              </w:rPr>
            </w:pPr>
            <w:r>
              <w:rPr>
                <w:szCs w:val="24"/>
              </w:rPr>
            </w:r>
          </w:p>
        </w:tc>
        <w:tc>
          <w:tcPr>
            <w:tcW w:w="6089"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szCs w:val="24"/>
              </w:rPr>
            </w:pPr>
            <w:r>
              <w:rPr>
                <w:szCs w:val="24"/>
              </w:rPr>
              <w:t xml:space="preserve">Member States are required to comply with method of analysis provisions in Article 4(1) until the Commission adopts implementing acts. </w:t>
            </w:r>
          </w:p>
          <w:p>
            <w:pPr>
              <w:pStyle w:val="Normal"/>
              <w:rPr>
                <w:szCs w:val="24"/>
              </w:rPr>
            </w:pPr>
            <w:r>
              <w:rPr>
                <w:szCs w:val="24"/>
              </w:rPr>
            </w:r>
          </w:p>
          <w:p>
            <w:pPr>
              <w:pStyle w:val="Normal"/>
              <w:rPr>
                <w:szCs w:val="24"/>
              </w:rPr>
            </w:pPr>
            <w:r>
              <w:rPr>
                <w:szCs w:val="24"/>
              </w:rPr>
              <w:t>Article 11  of Regulation (EC) No 882/2004 of the European Parliament and of the Council on official controls performed to ensure the verification of compliance with feed and food law etc. also contains methods of analysis provisions and is directly applicable.</w:t>
            </w:r>
          </w:p>
          <w:p>
            <w:pPr>
              <w:pStyle w:val="Normal"/>
              <w:rPr>
                <w:szCs w:val="24"/>
              </w:rPr>
            </w:pPr>
            <w:r>
              <w:rPr>
                <w:szCs w:val="24"/>
              </w:rPr>
            </w:r>
          </w:p>
          <w:p>
            <w:pPr>
              <w:pStyle w:val="Normal"/>
              <w:spacing w:before="0" w:after="200"/>
              <w:rPr>
                <w:szCs w:val="24"/>
              </w:rPr>
            </w:pPr>
            <w:r>
              <w:rPr>
                <w:szCs w:val="24"/>
              </w:rPr>
            </w:r>
          </w:p>
        </w:tc>
      </w:tr>
      <w:tr>
        <w:trPr>
          <w:trHeight w:val="447" w:hRule="atLeast"/>
        </w:trPr>
        <w:tc>
          <w:tcPr>
            <w:tcW w:w="2141" w:type="dxa"/>
            <w:tcBorders>
              <w:top w:val="single" w:sz="4" w:space="0" w:color="000000"/>
              <w:left w:val="single" w:sz="4" w:space="0" w:color="000000"/>
              <w:bottom w:val="single" w:sz="4" w:space="0" w:color="000000"/>
              <w:right w:val="single" w:sz="4" w:space="0" w:color="000000"/>
            </w:tcBorders>
          </w:tcPr>
          <w:p>
            <w:pPr>
              <w:pStyle w:val="Normal"/>
              <w:snapToGrid w:val="false"/>
              <w:rPr>
                <w:color w:val="002060"/>
                <w:szCs w:val="24"/>
              </w:rPr>
            </w:pPr>
            <w:r>
              <w:rPr>
                <w:color w:val="002060"/>
                <w:szCs w:val="24"/>
              </w:rPr>
            </w:r>
          </w:p>
          <w:p>
            <w:pPr>
              <w:pStyle w:val="Normal"/>
              <w:rPr>
                <w:szCs w:val="24"/>
              </w:rPr>
            </w:pPr>
            <w:r>
              <w:rPr>
                <w:szCs w:val="24"/>
              </w:rPr>
              <w:t>Article 4(2)</w:t>
            </w:r>
          </w:p>
          <w:p>
            <w:pPr>
              <w:pStyle w:val="Normal"/>
              <w:spacing w:before="0" w:after="200"/>
              <w:rPr>
                <w:szCs w:val="24"/>
              </w:rPr>
            </w:pPr>
            <w:r>
              <w:rPr>
                <w:szCs w:val="24"/>
              </w:rPr>
            </w:r>
          </w:p>
        </w:tc>
        <w:tc>
          <w:tcPr>
            <w:tcW w:w="6783"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szCs w:val="24"/>
              </w:rPr>
            </w:pPr>
            <w:r>
              <w:rPr>
                <w:szCs w:val="24"/>
              </w:rPr>
              <w:t>Commission power to make delegated acts</w:t>
            </w:r>
          </w:p>
          <w:p>
            <w:pPr>
              <w:pStyle w:val="Normal"/>
              <w:spacing w:before="0" w:after="200"/>
              <w:rPr>
                <w:szCs w:val="24"/>
              </w:rPr>
            </w:pPr>
            <w:r>
              <w:rPr>
                <w:szCs w:val="24"/>
              </w:rPr>
            </w:r>
          </w:p>
        </w:tc>
        <w:tc>
          <w:tcPr>
            <w:tcW w:w="6137"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szCs w:val="24"/>
              </w:rPr>
            </w:pPr>
            <w:r>
              <w:rPr>
                <w:szCs w:val="24"/>
              </w:rPr>
              <w:t>Does not need to be transposed  into domestic legislation</w:t>
            </w:r>
          </w:p>
          <w:p>
            <w:pPr>
              <w:pStyle w:val="Normal"/>
              <w:rPr>
                <w:szCs w:val="24"/>
              </w:rPr>
            </w:pPr>
            <w:r>
              <w:rPr>
                <w:szCs w:val="24"/>
              </w:rPr>
            </w:r>
          </w:p>
          <w:p>
            <w:pPr>
              <w:pStyle w:val="Normal"/>
              <w:spacing w:before="0" w:after="200"/>
              <w:rPr>
                <w:szCs w:val="24"/>
              </w:rPr>
            </w:pPr>
            <w:r>
              <w:rPr>
                <w:szCs w:val="24"/>
              </w:rPr>
            </w:r>
          </w:p>
        </w:tc>
        <w:tc>
          <w:tcPr>
            <w:tcW w:w="6089" w:type="dxa"/>
            <w:tcBorders>
              <w:top w:val="single" w:sz="4" w:space="0" w:color="000000"/>
              <w:left w:val="single" w:sz="4" w:space="0" w:color="000000"/>
              <w:bottom w:val="single" w:sz="4" w:space="0" w:color="000000"/>
              <w:right w:val="single" w:sz="4" w:space="0" w:color="000000"/>
            </w:tcBorders>
          </w:tcPr>
          <w:p>
            <w:pPr>
              <w:pStyle w:val="Normal"/>
              <w:snapToGrid w:val="false"/>
              <w:spacing w:before="0" w:after="200"/>
              <w:rPr>
                <w:color w:val="002060"/>
                <w:szCs w:val="24"/>
              </w:rPr>
            </w:pPr>
            <w:r>
              <w:rPr>
                <w:color w:val="002060"/>
                <w:szCs w:val="24"/>
              </w:rPr>
            </w:r>
          </w:p>
        </w:tc>
      </w:tr>
      <w:tr>
        <w:trPr>
          <w:cantSplit w:val="true"/>
        </w:trPr>
        <w:tc>
          <w:tcPr>
            <w:tcW w:w="2141" w:type="dxa"/>
            <w:tcBorders>
              <w:top w:val="single" w:sz="4" w:space="0" w:color="000000"/>
              <w:left w:val="single" w:sz="4" w:space="0" w:color="000000"/>
              <w:bottom w:val="single" w:sz="4" w:space="0" w:color="000000"/>
              <w:right w:val="single" w:sz="4" w:space="0" w:color="000000"/>
            </w:tcBorders>
          </w:tcPr>
          <w:p>
            <w:pPr>
              <w:pStyle w:val="Normal"/>
              <w:snapToGrid w:val="false"/>
              <w:rPr>
                <w:color w:val="002060"/>
                <w:szCs w:val="24"/>
              </w:rPr>
            </w:pPr>
            <w:r>
              <w:rPr>
                <w:color w:val="002060"/>
                <w:szCs w:val="24"/>
              </w:rPr>
            </w:r>
          </w:p>
          <w:p>
            <w:pPr>
              <w:pStyle w:val="Normal"/>
              <w:spacing w:before="0" w:after="200"/>
              <w:rPr>
                <w:szCs w:val="24"/>
              </w:rPr>
            </w:pPr>
            <w:r>
              <w:rPr>
                <w:szCs w:val="24"/>
              </w:rPr>
              <w:t>Article 5</w:t>
            </w:r>
          </w:p>
        </w:tc>
        <w:tc>
          <w:tcPr>
            <w:tcW w:w="6783"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szCs w:val="24"/>
              </w:rPr>
            </w:pPr>
            <w:r>
              <w:rPr>
                <w:szCs w:val="24"/>
              </w:rPr>
              <w:t>Prohibition on national provisions not provided for by the Honey Directive</w:t>
            </w:r>
          </w:p>
          <w:p>
            <w:pPr>
              <w:pStyle w:val="Normal"/>
              <w:spacing w:before="0" w:after="200"/>
              <w:rPr>
                <w:szCs w:val="24"/>
              </w:rPr>
            </w:pPr>
            <w:r>
              <w:rPr>
                <w:szCs w:val="24"/>
              </w:rPr>
            </w:r>
          </w:p>
        </w:tc>
        <w:tc>
          <w:tcPr>
            <w:tcW w:w="6137"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szCs w:val="24"/>
              </w:rPr>
            </w:pPr>
            <w:r>
              <w:rPr>
                <w:szCs w:val="24"/>
              </w:rPr>
              <w:t>The 2015 Regulations do not contain any substantive national provisions not provided for by the Honey Directive.</w:t>
            </w:r>
          </w:p>
          <w:p>
            <w:pPr>
              <w:pStyle w:val="Normal"/>
              <w:rPr>
                <w:szCs w:val="24"/>
              </w:rPr>
            </w:pPr>
            <w:r>
              <w:rPr>
                <w:szCs w:val="24"/>
              </w:rPr>
            </w:r>
          </w:p>
          <w:p>
            <w:pPr>
              <w:pStyle w:val="Normal"/>
              <w:spacing w:before="0" w:after="200"/>
              <w:rPr>
                <w:szCs w:val="24"/>
              </w:rPr>
            </w:pPr>
            <w:r>
              <w:rPr>
                <w:szCs w:val="24"/>
              </w:rPr>
            </w:r>
          </w:p>
        </w:tc>
        <w:tc>
          <w:tcPr>
            <w:tcW w:w="6089"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szCs w:val="24"/>
              </w:rPr>
            </w:pPr>
            <w:r>
              <w:rPr>
                <w:szCs w:val="24"/>
              </w:rPr>
              <w:t>The 2015 Regulations contain additional provisions concerning the enforcement of the provisions in the Honey Directive. Those type of national provisions are not prohibited by Article 5 of the Honey Directive and are required in order to give proper effect to the Honey Directive.</w:t>
            </w:r>
          </w:p>
          <w:p>
            <w:pPr>
              <w:pStyle w:val="Normal"/>
              <w:spacing w:before="0" w:after="200"/>
              <w:rPr>
                <w:szCs w:val="24"/>
              </w:rPr>
            </w:pPr>
            <w:r>
              <w:rPr>
                <w:szCs w:val="24"/>
              </w:rPr>
            </w:r>
          </w:p>
        </w:tc>
      </w:tr>
      <w:tr>
        <w:trPr/>
        <w:tc>
          <w:tcPr>
            <w:tcW w:w="2141" w:type="dxa"/>
            <w:tcBorders>
              <w:top w:val="single" w:sz="4" w:space="0" w:color="000000"/>
              <w:left w:val="single" w:sz="4" w:space="0" w:color="000000"/>
              <w:bottom w:val="single" w:sz="4" w:space="0" w:color="000000"/>
              <w:right w:val="single" w:sz="4" w:space="0" w:color="000000"/>
            </w:tcBorders>
          </w:tcPr>
          <w:p>
            <w:pPr>
              <w:pStyle w:val="Normal"/>
              <w:snapToGrid w:val="false"/>
              <w:rPr>
                <w:color w:val="002060"/>
                <w:szCs w:val="24"/>
              </w:rPr>
            </w:pPr>
            <w:r>
              <w:rPr>
                <w:color w:val="002060"/>
                <w:szCs w:val="24"/>
              </w:rPr>
            </w:r>
          </w:p>
          <w:p>
            <w:pPr>
              <w:pStyle w:val="Normal"/>
              <w:spacing w:before="0" w:after="200"/>
              <w:rPr>
                <w:szCs w:val="24"/>
              </w:rPr>
            </w:pPr>
            <w:r>
              <w:rPr>
                <w:szCs w:val="24"/>
              </w:rPr>
              <w:t>Article 6</w:t>
            </w:r>
          </w:p>
        </w:tc>
        <w:tc>
          <w:tcPr>
            <w:tcW w:w="6783"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szCs w:val="24"/>
              </w:rPr>
            </w:pPr>
            <w:r>
              <w:rPr>
                <w:szCs w:val="24"/>
              </w:rPr>
              <w:t xml:space="preserve">Conditions applying to the Commission power to make delegated acts </w:t>
            </w:r>
          </w:p>
          <w:p>
            <w:pPr>
              <w:pStyle w:val="Normal"/>
              <w:spacing w:before="0" w:after="200"/>
              <w:rPr>
                <w:szCs w:val="24"/>
              </w:rPr>
            </w:pPr>
            <w:r>
              <w:rPr>
                <w:szCs w:val="24"/>
              </w:rPr>
            </w:r>
          </w:p>
        </w:tc>
        <w:tc>
          <w:tcPr>
            <w:tcW w:w="6137"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szCs w:val="24"/>
              </w:rPr>
            </w:pPr>
            <w:r>
              <w:rPr>
                <w:szCs w:val="24"/>
              </w:rPr>
              <w:t>Does not need to be transposed  into domestic legislation</w:t>
            </w:r>
          </w:p>
          <w:p>
            <w:pPr>
              <w:pStyle w:val="Normal"/>
              <w:rPr>
                <w:szCs w:val="24"/>
              </w:rPr>
            </w:pPr>
            <w:r>
              <w:rPr>
                <w:szCs w:val="24"/>
              </w:rPr>
            </w:r>
          </w:p>
          <w:p>
            <w:pPr>
              <w:pStyle w:val="Normal"/>
              <w:spacing w:before="0" w:after="200"/>
              <w:rPr>
                <w:szCs w:val="24"/>
              </w:rPr>
            </w:pPr>
            <w:r>
              <w:rPr>
                <w:szCs w:val="24"/>
              </w:rPr>
            </w:r>
          </w:p>
        </w:tc>
        <w:tc>
          <w:tcPr>
            <w:tcW w:w="6089" w:type="dxa"/>
            <w:tcBorders>
              <w:top w:val="single" w:sz="4" w:space="0" w:color="000000"/>
              <w:left w:val="single" w:sz="4" w:space="0" w:color="000000"/>
              <w:bottom w:val="single" w:sz="4" w:space="0" w:color="000000"/>
              <w:right w:val="single" w:sz="4" w:space="0" w:color="000000"/>
            </w:tcBorders>
          </w:tcPr>
          <w:p>
            <w:pPr>
              <w:pStyle w:val="Normal"/>
              <w:snapToGrid w:val="false"/>
              <w:spacing w:before="0" w:after="200"/>
              <w:rPr>
                <w:color w:val="002060"/>
                <w:szCs w:val="24"/>
              </w:rPr>
            </w:pPr>
            <w:r>
              <w:rPr>
                <w:color w:val="002060"/>
                <w:szCs w:val="24"/>
              </w:rPr>
            </w:r>
          </w:p>
        </w:tc>
      </w:tr>
      <w:tr>
        <w:trPr/>
        <w:tc>
          <w:tcPr>
            <w:tcW w:w="2141" w:type="dxa"/>
            <w:tcBorders>
              <w:top w:val="single" w:sz="4" w:space="0" w:color="000000"/>
              <w:left w:val="single" w:sz="4" w:space="0" w:color="000000"/>
              <w:bottom w:val="single" w:sz="4" w:space="0" w:color="000000"/>
              <w:right w:val="single" w:sz="4" w:space="0" w:color="000000"/>
            </w:tcBorders>
          </w:tcPr>
          <w:p>
            <w:pPr>
              <w:pStyle w:val="Normal"/>
              <w:snapToGrid w:val="false"/>
              <w:rPr>
                <w:color w:val="002060"/>
                <w:szCs w:val="24"/>
              </w:rPr>
            </w:pPr>
            <w:r>
              <w:rPr>
                <w:color w:val="002060"/>
                <w:szCs w:val="24"/>
              </w:rPr>
            </w:r>
          </w:p>
          <w:p>
            <w:pPr>
              <w:pStyle w:val="Normal"/>
              <w:rPr>
                <w:szCs w:val="24"/>
              </w:rPr>
            </w:pPr>
            <w:r>
              <w:rPr>
                <w:szCs w:val="24"/>
              </w:rPr>
              <w:t>Article 7</w:t>
            </w:r>
          </w:p>
          <w:p>
            <w:pPr>
              <w:pStyle w:val="Normal"/>
              <w:spacing w:before="0" w:after="200"/>
              <w:rPr>
                <w:szCs w:val="24"/>
              </w:rPr>
            </w:pPr>
            <w:r>
              <w:rPr>
                <w:szCs w:val="24"/>
              </w:rPr>
            </w:r>
          </w:p>
        </w:tc>
        <w:tc>
          <w:tcPr>
            <w:tcW w:w="6783"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pPr>
            <w:r>
              <w:rPr>
                <w:szCs w:val="24"/>
              </w:rPr>
              <w:t>Imposition of an obligation on the Standing Committee on the Food Chain and Animal Health to assist the Commission in the process of adopting implementing acts</w:t>
            </w:r>
          </w:p>
          <w:p>
            <w:pPr>
              <w:pStyle w:val="Normal"/>
              <w:spacing w:before="0" w:after="200"/>
              <w:rPr>
                <w:szCs w:val="24"/>
              </w:rPr>
            </w:pPr>
            <w:r>
              <w:rPr>
                <w:szCs w:val="24"/>
              </w:rPr>
            </w:r>
          </w:p>
        </w:tc>
        <w:tc>
          <w:tcPr>
            <w:tcW w:w="6137"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szCs w:val="24"/>
              </w:rPr>
            </w:pPr>
            <w:r>
              <w:rPr>
                <w:szCs w:val="24"/>
              </w:rPr>
              <w:t>Does not need to be transposed  into domestic legislation</w:t>
            </w:r>
          </w:p>
          <w:p>
            <w:pPr>
              <w:pStyle w:val="Normal"/>
              <w:spacing w:before="0" w:after="200"/>
              <w:rPr>
                <w:szCs w:val="24"/>
              </w:rPr>
            </w:pPr>
            <w:r>
              <w:rPr>
                <w:szCs w:val="24"/>
              </w:rPr>
            </w:r>
          </w:p>
        </w:tc>
        <w:tc>
          <w:tcPr>
            <w:tcW w:w="6089" w:type="dxa"/>
            <w:tcBorders>
              <w:top w:val="single" w:sz="4" w:space="0" w:color="000000"/>
              <w:left w:val="single" w:sz="4" w:space="0" w:color="000000"/>
              <w:bottom w:val="single" w:sz="4" w:space="0" w:color="000000"/>
              <w:right w:val="single" w:sz="4" w:space="0" w:color="000000"/>
            </w:tcBorders>
          </w:tcPr>
          <w:p>
            <w:pPr>
              <w:pStyle w:val="Normal"/>
              <w:snapToGrid w:val="false"/>
              <w:spacing w:before="0" w:after="200"/>
              <w:rPr>
                <w:color w:val="002060"/>
                <w:szCs w:val="24"/>
              </w:rPr>
            </w:pPr>
            <w:r>
              <w:rPr>
                <w:color w:val="002060"/>
                <w:szCs w:val="24"/>
              </w:rPr>
            </w:r>
          </w:p>
        </w:tc>
      </w:tr>
      <w:tr>
        <w:trPr/>
        <w:tc>
          <w:tcPr>
            <w:tcW w:w="2141" w:type="dxa"/>
            <w:tcBorders>
              <w:top w:val="single" w:sz="4" w:space="0" w:color="000000"/>
              <w:left w:val="single" w:sz="4" w:space="0" w:color="000000"/>
              <w:bottom w:val="single" w:sz="4" w:space="0" w:color="000000"/>
              <w:right w:val="single" w:sz="4" w:space="0" w:color="000000"/>
            </w:tcBorders>
          </w:tcPr>
          <w:p>
            <w:pPr>
              <w:pStyle w:val="Normal"/>
              <w:snapToGrid w:val="false"/>
              <w:rPr>
                <w:color w:val="002060"/>
                <w:szCs w:val="24"/>
              </w:rPr>
            </w:pPr>
            <w:r>
              <w:rPr>
                <w:color w:val="002060"/>
                <w:szCs w:val="24"/>
              </w:rPr>
            </w:r>
          </w:p>
          <w:p>
            <w:pPr>
              <w:pStyle w:val="Normal"/>
              <w:rPr>
                <w:szCs w:val="24"/>
              </w:rPr>
            </w:pPr>
            <w:r>
              <w:rPr>
                <w:szCs w:val="24"/>
              </w:rPr>
              <w:t>Article 8</w:t>
            </w:r>
          </w:p>
          <w:p>
            <w:pPr>
              <w:pStyle w:val="Normal"/>
              <w:spacing w:before="0" w:after="200"/>
              <w:rPr>
                <w:szCs w:val="24"/>
              </w:rPr>
            </w:pPr>
            <w:r>
              <w:rPr>
                <w:szCs w:val="24"/>
              </w:rPr>
            </w:r>
          </w:p>
        </w:tc>
        <w:tc>
          <w:tcPr>
            <w:tcW w:w="6783"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spacing w:before="0" w:after="200"/>
              <w:rPr>
                <w:szCs w:val="24"/>
              </w:rPr>
            </w:pPr>
            <w:r>
              <w:rPr>
                <w:szCs w:val="24"/>
              </w:rPr>
              <w:t>Repeal of Directive 74/409/EEC</w:t>
            </w:r>
          </w:p>
        </w:tc>
        <w:tc>
          <w:tcPr>
            <w:tcW w:w="6137"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szCs w:val="24"/>
              </w:rPr>
            </w:pPr>
            <w:r>
              <w:rPr>
                <w:szCs w:val="24"/>
              </w:rPr>
              <w:t>Does not need to be transposed  into domestic legislation</w:t>
            </w:r>
          </w:p>
          <w:p>
            <w:pPr>
              <w:pStyle w:val="Normal"/>
              <w:spacing w:before="0" w:after="200"/>
              <w:rPr>
                <w:szCs w:val="24"/>
              </w:rPr>
            </w:pPr>
            <w:r>
              <w:rPr>
                <w:szCs w:val="24"/>
              </w:rPr>
            </w:r>
          </w:p>
        </w:tc>
        <w:tc>
          <w:tcPr>
            <w:tcW w:w="6089" w:type="dxa"/>
            <w:tcBorders>
              <w:top w:val="single" w:sz="4" w:space="0" w:color="000000"/>
              <w:left w:val="single" w:sz="4" w:space="0" w:color="000000"/>
              <w:bottom w:val="single" w:sz="4" w:space="0" w:color="000000"/>
              <w:right w:val="single" w:sz="4" w:space="0" w:color="000000"/>
            </w:tcBorders>
          </w:tcPr>
          <w:p>
            <w:pPr>
              <w:pStyle w:val="Normal"/>
              <w:snapToGrid w:val="false"/>
              <w:rPr>
                <w:color w:val="002060"/>
                <w:szCs w:val="24"/>
              </w:rPr>
            </w:pPr>
            <w:r>
              <w:rPr>
                <w:color w:val="002060"/>
                <w:szCs w:val="24"/>
              </w:rPr>
            </w:r>
          </w:p>
          <w:p>
            <w:pPr>
              <w:pStyle w:val="Normal"/>
              <w:rPr/>
            </w:pPr>
            <w:r>
              <w:rPr>
                <w:szCs w:val="24"/>
              </w:rPr>
              <w:t>The references to the Honey Directive in the 2015 Regulations are references to Directive 2001/110/EC.</w:t>
            </w:r>
          </w:p>
          <w:p>
            <w:pPr>
              <w:pStyle w:val="Normal"/>
              <w:spacing w:before="0" w:after="200"/>
              <w:rPr>
                <w:szCs w:val="24"/>
              </w:rPr>
            </w:pPr>
            <w:r>
              <w:rPr>
                <w:szCs w:val="24"/>
              </w:rPr>
            </w:r>
          </w:p>
        </w:tc>
      </w:tr>
      <w:tr>
        <w:trPr/>
        <w:tc>
          <w:tcPr>
            <w:tcW w:w="2141" w:type="dxa"/>
            <w:tcBorders>
              <w:top w:val="single" w:sz="4" w:space="0" w:color="000000"/>
              <w:left w:val="single" w:sz="4" w:space="0" w:color="000000"/>
              <w:bottom w:val="single" w:sz="4" w:space="0" w:color="000000"/>
              <w:right w:val="single" w:sz="4" w:space="0" w:color="000000"/>
            </w:tcBorders>
          </w:tcPr>
          <w:p>
            <w:pPr>
              <w:pStyle w:val="Normal"/>
              <w:snapToGrid w:val="false"/>
              <w:rPr>
                <w:color w:val="002060"/>
                <w:szCs w:val="24"/>
              </w:rPr>
            </w:pPr>
            <w:r>
              <w:rPr>
                <w:color w:val="002060"/>
                <w:szCs w:val="24"/>
              </w:rPr>
            </w:r>
          </w:p>
          <w:p>
            <w:pPr>
              <w:pStyle w:val="Normal"/>
              <w:rPr>
                <w:szCs w:val="24"/>
              </w:rPr>
            </w:pPr>
            <w:r>
              <w:rPr>
                <w:szCs w:val="24"/>
              </w:rPr>
              <w:t>Article 9, first sub-paragraph</w:t>
            </w:r>
          </w:p>
          <w:p>
            <w:pPr>
              <w:pStyle w:val="Normal"/>
              <w:spacing w:before="0" w:after="200"/>
              <w:rPr>
                <w:szCs w:val="24"/>
              </w:rPr>
            </w:pPr>
            <w:r>
              <w:rPr>
                <w:szCs w:val="24"/>
              </w:rPr>
            </w:r>
          </w:p>
        </w:tc>
        <w:tc>
          <w:tcPr>
            <w:tcW w:w="6783"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szCs w:val="24"/>
              </w:rPr>
            </w:pPr>
            <w:r>
              <w:rPr>
                <w:szCs w:val="24"/>
              </w:rPr>
              <w:t>Imposition of obligation on Member States to implement the provisions of the Directive</w:t>
            </w:r>
          </w:p>
          <w:p>
            <w:pPr>
              <w:pStyle w:val="Normal"/>
              <w:spacing w:before="0" w:after="200"/>
              <w:rPr>
                <w:szCs w:val="24"/>
              </w:rPr>
            </w:pPr>
            <w:r>
              <w:rPr>
                <w:szCs w:val="24"/>
              </w:rPr>
            </w:r>
          </w:p>
        </w:tc>
        <w:tc>
          <w:tcPr>
            <w:tcW w:w="6137"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pPr>
            <w:r>
              <w:rPr>
                <w:szCs w:val="24"/>
              </w:rPr>
              <w:t>The 2015 Regulations implement Directive 2001/110/EC, as amended by Directive 2014/63/EU.</w:t>
            </w:r>
          </w:p>
          <w:p>
            <w:pPr>
              <w:pStyle w:val="Normal"/>
              <w:rPr>
                <w:szCs w:val="24"/>
              </w:rPr>
            </w:pPr>
            <w:r>
              <w:rPr>
                <w:szCs w:val="24"/>
              </w:rPr>
            </w:r>
          </w:p>
          <w:p>
            <w:pPr>
              <w:pStyle w:val="Normal"/>
              <w:spacing w:before="0" w:after="200"/>
              <w:rPr>
                <w:szCs w:val="24"/>
              </w:rPr>
            </w:pPr>
            <w:r>
              <w:rPr>
                <w:szCs w:val="24"/>
              </w:rPr>
            </w:r>
          </w:p>
        </w:tc>
        <w:tc>
          <w:tcPr>
            <w:tcW w:w="6089" w:type="dxa"/>
            <w:tcBorders>
              <w:top w:val="single" w:sz="4" w:space="0" w:color="000000"/>
              <w:left w:val="single" w:sz="4" w:space="0" w:color="000000"/>
              <w:bottom w:val="single" w:sz="4" w:space="0" w:color="000000"/>
              <w:right w:val="single" w:sz="4" w:space="0" w:color="000000"/>
            </w:tcBorders>
          </w:tcPr>
          <w:p>
            <w:pPr>
              <w:pStyle w:val="Normal"/>
              <w:snapToGrid w:val="false"/>
              <w:rPr>
                <w:color w:val="002060"/>
                <w:szCs w:val="24"/>
              </w:rPr>
            </w:pPr>
            <w:r>
              <w:rPr>
                <w:color w:val="002060"/>
                <w:szCs w:val="24"/>
              </w:rPr>
            </w:r>
          </w:p>
          <w:p>
            <w:pPr>
              <w:pStyle w:val="Normal"/>
              <w:spacing w:before="0" w:after="200"/>
              <w:rPr>
                <w:szCs w:val="24"/>
              </w:rPr>
            </w:pPr>
            <w:r>
              <w:rPr>
                <w:szCs w:val="24"/>
              </w:rPr>
              <w:t xml:space="preserve">The Honey Directive was previously implemented by the Honey (England) Regulations 2003. </w:t>
            </w:r>
          </w:p>
        </w:tc>
      </w:tr>
      <w:tr>
        <w:trPr>
          <w:cantSplit w:val="true"/>
        </w:trPr>
        <w:tc>
          <w:tcPr>
            <w:tcW w:w="2141" w:type="dxa"/>
            <w:tcBorders>
              <w:top w:val="single" w:sz="4" w:space="0" w:color="000000"/>
              <w:left w:val="single" w:sz="4" w:space="0" w:color="000000"/>
              <w:bottom w:val="single" w:sz="4" w:space="0" w:color="000000"/>
              <w:right w:val="single" w:sz="4" w:space="0" w:color="000000"/>
            </w:tcBorders>
          </w:tcPr>
          <w:p>
            <w:pPr>
              <w:pStyle w:val="Normal"/>
              <w:snapToGrid w:val="false"/>
              <w:rPr>
                <w:color w:val="002060"/>
                <w:szCs w:val="24"/>
              </w:rPr>
            </w:pPr>
            <w:r>
              <w:rPr>
                <w:color w:val="002060"/>
                <w:szCs w:val="24"/>
              </w:rPr>
            </w:r>
          </w:p>
          <w:p>
            <w:pPr>
              <w:pStyle w:val="Normal"/>
              <w:rPr>
                <w:szCs w:val="24"/>
              </w:rPr>
            </w:pPr>
            <w:r>
              <w:rPr>
                <w:szCs w:val="24"/>
              </w:rPr>
              <w:t>Article 9, second and third sub-paragraphs</w:t>
            </w:r>
          </w:p>
          <w:p>
            <w:pPr>
              <w:pStyle w:val="Normal"/>
              <w:rPr>
                <w:szCs w:val="24"/>
              </w:rPr>
            </w:pPr>
            <w:r>
              <w:rPr>
                <w:szCs w:val="24"/>
              </w:rPr>
            </w:r>
          </w:p>
          <w:p>
            <w:pPr>
              <w:pStyle w:val="Normal"/>
              <w:spacing w:before="0" w:after="200"/>
              <w:rPr>
                <w:szCs w:val="24"/>
              </w:rPr>
            </w:pPr>
            <w:r>
              <w:rPr>
                <w:szCs w:val="24"/>
              </w:rPr>
            </w:r>
          </w:p>
        </w:tc>
        <w:tc>
          <w:tcPr>
            <w:tcW w:w="6783"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pPr>
            <w:r>
              <w:rPr>
                <w:szCs w:val="24"/>
              </w:rPr>
              <w:t>Application of transitional provisions</w:t>
            </w:r>
          </w:p>
          <w:p>
            <w:pPr>
              <w:pStyle w:val="Normal"/>
              <w:spacing w:before="0" w:after="200"/>
              <w:rPr>
                <w:szCs w:val="24"/>
              </w:rPr>
            </w:pPr>
            <w:r>
              <w:rPr>
                <w:szCs w:val="24"/>
              </w:rPr>
            </w:r>
          </w:p>
        </w:tc>
        <w:tc>
          <w:tcPr>
            <w:tcW w:w="6137"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pPr>
            <w:r>
              <w:rPr>
                <w:szCs w:val="24"/>
              </w:rPr>
              <w:t>Regulation 22 contains transitional provisions in line with Article 2 and 3 of Directive 2014/63/EC.</w:t>
            </w:r>
          </w:p>
          <w:p>
            <w:pPr>
              <w:pStyle w:val="Normal"/>
              <w:rPr>
                <w:szCs w:val="24"/>
              </w:rPr>
            </w:pPr>
            <w:r>
              <w:rPr>
                <w:szCs w:val="24"/>
              </w:rPr>
            </w:r>
          </w:p>
          <w:p>
            <w:pPr>
              <w:pStyle w:val="Normal"/>
              <w:spacing w:before="0" w:after="200"/>
              <w:rPr>
                <w:szCs w:val="24"/>
              </w:rPr>
            </w:pPr>
            <w:r>
              <w:rPr>
                <w:szCs w:val="24"/>
              </w:rPr>
            </w:r>
          </w:p>
        </w:tc>
        <w:tc>
          <w:tcPr>
            <w:tcW w:w="6089" w:type="dxa"/>
            <w:tcBorders>
              <w:top w:val="single" w:sz="4" w:space="0" w:color="000000"/>
              <w:left w:val="single" w:sz="4" w:space="0" w:color="000000"/>
              <w:bottom w:val="single" w:sz="4" w:space="0" w:color="000000"/>
              <w:right w:val="single" w:sz="4" w:space="0" w:color="000000"/>
            </w:tcBorders>
          </w:tcPr>
          <w:p>
            <w:pPr>
              <w:pStyle w:val="Normal"/>
              <w:snapToGrid w:val="false"/>
              <w:spacing w:before="0" w:after="200"/>
              <w:rPr>
                <w:color w:val="002060"/>
                <w:szCs w:val="24"/>
              </w:rPr>
            </w:pPr>
            <w:r>
              <w:rPr>
                <w:color w:val="002060"/>
                <w:szCs w:val="24"/>
              </w:rPr>
            </w:r>
          </w:p>
        </w:tc>
      </w:tr>
      <w:tr>
        <w:trPr/>
        <w:tc>
          <w:tcPr>
            <w:tcW w:w="2141" w:type="dxa"/>
            <w:tcBorders>
              <w:top w:val="single" w:sz="4" w:space="0" w:color="000000"/>
              <w:left w:val="single" w:sz="4" w:space="0" w:color="000000"/>
              <w:bottom w:val="single" w:sz="4" w:space="0" w:color="000000"/>
              <w:right w:val="single" w:sz="4" w:space="0" w:color="000000"/>
            </w:tcBorders>
          </w:tcPr>
          <w:p>
            <w:pPr>
              <w:pStyle w:val="Normal"/>
              <w:snapToGrid w:val="false"/>
              <w:rPr>
                <w:color w:val="002060"/>
                <w:szCs w:val="24"/>
              </w:rPr>
            </w:pPr>
            <w:r>
              <w:rPr>
                <w:color w:val="002060"/>
                <w:szCs w:val="24"/>
              </w:rPr>
            </w:r>
          </w:p>
          <w:p>
            <w:pPr>
              <w:pStyle w:val="Normal"/>
              <w:rPr>
                <w:szCs w:val="24"/>
              </w:rPr>
            </w:pPr>
            <w:r>
              <w:rPr>
                <w:szCs w:val="24"/>
              </w:rPr>
              <w:t>Article 9, fourth sub-paragraph</w:t>
            </w:r>
          </w:p>
          <w:p>
            <w:pPr>
              <w:pStyle w:val="Normal"/>
              <w:spacing w:before="0" w:after="200"/>
              <w:rPr>
                <w:szCs w:val="24"/>
              </w:rPr>
            </w:pPr>
            <w:r>
              <w:rPr>
                <w:szCs w:val="24"/>
              </w:rPr>
            </w:r>
          </w:p>
        </w:tc>
        <w:tc>
          <w:tcPr>
            <w:tcW w:w="6783"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szCs w:val="24"/>
              </w:rPr>
            </w:pPr>
            <w:r>
              <w:rPr>
                <w:szCs w:val="24"/>
              </w:rPr>
              <w:t>Imposition of obligation on Member States for the measure implementing the Honey Directive to contain or be accompanied by a reference to the Honey Directive</w:t>
            </w:r>
          </w:p>
          <w:p>
            <w:pPr>
              <w:pStyle w:val="Normal"/>
              <w:spacing w:before="0" w:after="200"/>
              <w:rPr>
                <w:szCs w:val="24"/>
              </w:rPr>
            </w:pPr>
            <w:r>
              <w:rPr>
                <w:szCs w:val="24"/>
              </w:rPr>
            </w:r>
          </w:p>
        </w:tc>
        <w:tc>
          <w:tcPr>
            <w:tcW w:w="6137"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szCs w:val="24"/>
              </w:rPr>
            </w:pPr>
            <w:r>
              <w:rPr>
                <w:szCs w:val="24"/>
              </w:rPr>
              <w:t>The first paragraph of  the Explanatory Note for the 2015 Regulations contains a statement that the Regulations implement the Honey Directive.</w:t>
            </w:r>
          </w:p>
          <w:p>
            <w:pPr>
              <w:pStyle w:val="Normal"/>
              <w:spacing w:before="0" w:after="200"/>
              <w:rPr>
                <w:szCs w:val="24"/>
              </w:rPr>
            </w:pPr>
            <w:r>
              <w:rPr>
                <w:szCs w:val="24"/>
              </w:rPr>
            </w:r>
          </w:p>
        </w:tc>
        <w:tc>
          <w:tcPr>
            <w:tcW w:w="6089" w:type="dxa"/>
            <w:tcBorders>
              <w:top w:val="single" w:sz="4" w:space="0" w:color="000000"/>
              <w:left w:val="single" w:sz="4" w:space="0" w:color="000000"/>
              <w:bottom w:val="single" w:sz="4" w:space="0" w:color="000000"/>
              <w:right w:val="single" w:sz="4" w:space="0" w:color="000000"/>
            </w:tcBorders>
          </w:tcPr>
          <w:p>
            <w:pPr>
              <w:pStyle w:val="Normal"/>
              <w:snapToGrid w:val="false"/>
              <w:spacing w:before="0" w:after="200"/>
              <w:rPr>
                <w:color w:val="002060"/>
                <w:szCs w:val="24"/>
              </w:rPr>
            </w:pPr>
            <w:r>
              <w:rPr>
                <w:color w:val="002060"/>
                <w:szCs w:val="24"/>
              </w:rPr>
            </w:r>
          </w:p>
        </w:tc>
      </w:tr>
      <w:tr>
        <w:trPr>
          <w:cantSplit w:val="true"/>
        </w:trPr>
        <w:tc>
          <w:tcPr>
            <w:tcW w:w="2141" w:type="dxa"/>
            <w:tcBorders>
              <w:top w:val="single" w:sz="4" w:space="0" w:color="000000"/>
              <w:left w:val="single" w:sz="4" w:space="0" w:color="000000"/>
              <w:bottom w:val="single" w:sz="4" w:space="0" w:color="000000"/>
              <w:right w:val="single" w:sz="4" w:space="0" w:color="000000"/>
            </w:tcBorders>
          </w:tcPr>
          <w:p>
            <w:pPr>
              <w:pStyle w:val="Normal"/>
              <w:snapToGrid w:val="false"/>
              <w:rPr>
                <w:color w:val="002060"/>
                <w:szCs w:val="24"/>
              </w:rPr>
            </w:pPr>
            <w:r>
              <w:rPr>
                <w:color w:val="002060"/>
                <w:szCs w:val="24"/>
              </w:rPr>
            </w:r>
          </w:p>
          <w:p>
            <w:pPr>
              <w:pStyle w:val="Normal"/>
              <w:rPr>
                <w:szCs w:val="24"/>
              </w:rPr>
            </w:pPr>
            <w:r>
              <w:rPr>
                <w:szCs w:val="24"/>
              </w:rPr>
              <w:t>Article 10</w:t>
            </w:r>
          </w:p>
          <w:p>
            <w:pPr>
              <w:pStyle w:val="Normal"/>
              <w:spacing w:before="0" w:after="200"/>
              <w:rPr>
                <w:szCs w:val="24"/>
              </w:rPr>
            </w:pPr>
            <w:r>
              <w:rPr>
                <w:szCs w:val="24"/>
              </w:rPr>
            </w:r>
          </w:p>
        </w:tc>
        <w:tc>
          <w:tcPr>
            <w:tcW w:w="6783"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szCs w:val="24"/>
              </w:rPr>
            </w:pPr>
            <w:r>
              <w:rPr>
                <w:szCs w:val="24"/>
              </w:rPr>
              <w:t>Entry into force provisions</w:t>
            </w:r>
          </w:p>
          <w:p>
            <w:pPr>
              <w:pStyle w:val="Normal"/>
              <w:spacing w:before="0" w:after="200"/>
              <w:rPr>
                <w:szCs w:val="24"/>
              </w:rPr>
            </w:pPr>
            <w:r>
              <w:rPr>
                <w:szCs w:val="24"/>
              </w:rPr>
            </w:r>
          </w:p>
        </w:tc>
        <w:tc>
          <w:tcPr>
            <w:tcW w:w="6137"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pPr>
            <w:r>
              <w:rPr>
                <w:szCs w:val="24"/>
              </w:rPr>
              <w:t xml:space="preserve">Regulation 1(1) provides that the 2015 Regulations come into force on 24th June 2015. </w:t>
            </w:r>
          </w:p>
          <w:p>
            <w:pPr>
              <w:pStyle w:val="Normal"/>
              <w:rPr>
                <w:szCs w:val="24"/>
              </w:rPr>
            </w:pPr>
            <w:r>
              <w:rPr>
                <w:szCs w:val="24"/>
              </w:rPr>
            </w:r>
          </w:p>
          <w:p>
            <w:pPr>
              <w:pStyle w:val="Normal"/>
              <w:rPr>
                <w:szCs w:val="24"/>
              </w:rPr>
            </w:pPr>
            <w:r>
              <w:rPr>
                <w:szCs w:val="24"/>
              </w:rPr>
              <w:t>The 2015 Regulations revoke the 2003 Regulations on that date.</w:t>
            </w:r>
          </w:p>
          <w:p>
            <w:pPr>
              <w:pStyle w:val="Normal"/>
              <w:rPr>
                <w:szCs w:val="24"/>
              </w:rPr>
            </w:pPr>
            <w:r>
              <w:rPr>
                <w:szCs w:val="24"/>
              </w:rPr>
            </w:r>
          </w:p>
          <w:p>
            <w:pPr>
              <w:pStyle w:val="Normal"/>
              <w:rPr>
                <w:szCs w:val="24"/>
              </w:rPr>
            </w:pPr>
            <w:r>
              <w:rPr>
                <w:szCs w:val="24"/>
              </w:rPr>
              <w:t>By virtue of Article 2 of Directive 2014/63/EU, the amendments effected by Directive 2014/63/EU must be implemented by 24th June 2015.</w:t>
            </w:r>
          </w:p>
          <w:p>
            <w:pPr>
              <w:pStyle w:val="Normal"/>
              <w:spacing w:before="0" w:after="200"/>
              <w:rPr>
                <w:szCs w:val="24"/>
              </w:rPr>
            </w:pPr>
            <w:r>
              <w:rPr>
                <w:szCs w:val="24"/>
              </w:rPr>
            </w:r>
          </w:p>
        </w:tc>
        <w:tc>
          <w:tcPr>
            <w:tcW w:w="6089" w:type="dxa"/>
            <w:tcBorders>
              <w:top w:val="single" w:sz="4" w:space="0" w:color="000000"/>
              <w:left w:val="single" w:sz="4" w:space="0" w:color="000000"/>
              <w:bottom w:val="single" w:sz="4" w:space="0" w:color="000000"/>
              <w:right w:val="single" w:sz="4" w:space="0" w:color="000000"/>
            </w:tcBorders>
          </w:tcPr>
          <w:p>
            <w:pPr>
              <w:pStyle w:val="Normal"/>
              <w:snapToGrid w:val="false"/>
              <w:spacing w:before="0" w:after="200"/>
              <w:rPr>
                <w:color w:val="002060"/>
                <w:szCs w:val="24"/>
              </w:rPr>
            </w:pPr>
            <w:r>
              <w:rPr>
                <w:color w:val="002060"/>
                <w:szCs w:val="24"/>
              </w:rPr>
            </w:r>
          </w:p>
        </w:tc>
      </w:tr>
      <w:tr>
        <w:trPr/>
        <w:tc>
          <w:tcPr>
            <w:tcW w:w="2141" w:type="dxa"/>
            <w:tcBorders>
              <w:top w:val="single" w:sz="4" w:space="0" w:color="000000"/>
              <w:left w:val="single" w:sz="4" w:space="0" w:color="000000"/>
              <w:bottom w:val="single" w:sz="4" w:space="0" w:color="000000"/>
              <w:right w:val="single" w:sz="4" w:space="0" w:color="000000"/>
            </w:tcBorders>
          </w:tcPr>
          <w:p>
            <w:pPr>
              <w:pStyle w:val="Normal"/>
              <w:snapToGrid w:val="false"/>
              <w:rPr>
                <w:color w:val="002060"/>
                <w:szCs w:val="24"/>
              </w:rPr>
            </w:pPr>
            <w:r>
              <w:rPr>
                <w:color w:val="002060"/>
                <w:szCs w:val="24"/>
              </w:rPr>
            </w:r>
          </w:p>
          <w:p>
            <w:pPr>
              <w:pStyle w:val="Normal"/>
              <w:rPr>
                <w:szCs w:val="24"/>
              </w:rPr>
            </w:pPr>
            <w:r>
              <w:rPr>
                <w:szCs w:val="24"/>
              </w:rPr>
              <w:t>Article 11</w:t>
            </w:r>
          </w:p>
          <w:p>
            <w:pPr>
              <w:pStyle w:val="Normal"/>
              <w:spacing w:before="0" w:after="200"/>
              <w:rPr>
                <w:szCs w:val="24"/>
              </w:rPr>
            </w:pPr>
            <w:r>
              <w:rPr>
                <w:szCs w:val="24"/>
              </w:rPr>
            </w:r>
          </w:p>
        </w:tc>
        <w:tc>
          <w:tcPr>
            <w:tcW w:w="6783"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spacing w:before="0" w:after="200"/>
              <w:rPr>
                <w:szCs w:val="24"/>
              </w:rPr>
            </w:pPr>
            <w:r>
              <w:rPr>
                <w:szCs w:val="24"/>
              </w:rPr>
              <w:t xml:space="preserve">Addressed to Member States </w:t>
            </w:r>
          </w:p>
        </w:tc>
        <w:tc>
          <w:tcPr>
            <w:tcW w:w="6137"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widowControl/>
              <w:bidi w:val="0"/>
              <w:spacing w:lineRule="auto" w:line="276" w:before="0" w:after="200"/>
              <w:rPr/>
            </w:pPr>
            <w:r>
              <w:rPr>
                <w:szCs w:val="24"/>
              </w:rPr>
              <w:t>Does not need to be transposed  into domestic legislation.</w:t>
            </w:r>
          </w:p>
        </w:tc>
        <w:tc>
          <w:tcPr>
            <w:tcW w:w="6089" w:type="dxa"/>
            <w:tcBorders>
              <w:top w:val="single" w:sz="4" w:space="0" w:color="000000"/>
              <w:left w:val="single" w:sz="4" w:space="0" w:color="000000"/>
              <w:bottom w:val="single" w:sz="4" w:space="0" w:color="000000"/>
              <w:right w:val="single" w:sz="4" w:space="0" w:color="000000"/>
            </w:tcBorders>
          </w:tcPr>
          <w:p>
            <w:pPr>
              <w:pStyle w:val="Normal"/>
              <w:snapToGrid w:val="false"/>
              <w:spacing w:before="0" w:after="200"/>
              <w:rPr>
                <w:color w:val="002060"/>
                <w:szCs w:val="24"/>
              </w:rPr>
            </w:pPr>
            <w:r>
              <w:rPr>
                <w:color w:val="002060"/>
                <w:szCs w:val="24"/>
              </w:rPr>
            </w:r>
          </w:p>
        </w:tc>
      </w:tr>
      <w:tr>
        <w:trPr/>
        <w:tc>
          <w:tcPr>
            <w:tcW w:w="2141" w:type="dxa"/>
            <w:tcBorders>
              <w:top w:val="single" w:sz="4" w:space="0" w:color="000000"/>
              <w:left w:val="single" w:sz="4" w:space="0" w:color="000000"/>
              <w:bottom w:val="single" w:sz="4" w:space="0" w:color="000000"/>
              <w:right w:val="single" w:sz="4" w:space="0" w:color="000000"/>
            </w:tcBorders>
            <w:shd w:fill="C2D69B" w:val="clear"/>
          </w:tcPr>
          <w:p>
            <w:pPr>
              <w:pStyle w:val="Normal"/>
              <w:snapToGrid w:val="false"/>
              <w:rPr>
                <w:color w:val="002060"/>
                <w:szCs w:val="24"/>
              </w:rPr>
            </w:pPr>
            <w:r>
              <w:rPr>
                <w:color w:val="002060"/>
                <w:szCs w:val="24"/>
              </w:rPr>
            </w:r>
          </w:p>
          <w:p>
            <w:pPr>
              <w:pStyle w:val="Normal"/>
              <w:rPr>
                <w:szCs w:val="24"/>
              </w:rPr>
            </w:pPr>
            <w:r>
              <w:rPr>
                <w:szCs w:val="24"/>
              </w:rPr>
              <w:t>Annex I</w:t>
            </w:r>
          </w:p>
          <w:p>
            <w:pPr>
              <w:pStyle w:val="Normal"/>
              <w:spacing w:before="0" w:after="200"/>
              <w:rPr>
                <w:szCs w:val="24"/>
              </w:rPr>
            </w:pPr>
            <w:r>
              <w:rPr>
                <w:szCs w:val="24"/>
              </w:rPr>
            </w:r>
          </w:p>
        </w:tc>
        <w:tc>
          <w:tcPr>
            <w:tcW w:w="19009" w:type="dxa"/>
            <w:gridSpan w:val="3"/>
            <w:tcBorders>
              <w:top w:val="single" w:sz="4" w:space="0" w:color="000000"/>
              <w:left w:val="single" w:sz="4" w:space="0" w:color="000000"/>
              <w:bottom w:val="single" w:sz="4" w:space="0" w:color="000000"/>
              <w:right w:val="single" w:sz="4" w:space="0" w:color="000000"/>
            </w:tcBorders>
            <w:shd w:fill="C2D69B" w:val="clear"/>
          </w:tcPr>
          <w:p>
            <w:pPr>
              <w:pStyle w:val="Normal"/>
              <w:snapToGrid w:val="false"/>
              <w:rPr>
                <w:szCs w:val="24"/>
              </w:rPr>
            </w:pPr>
            <w:r>
              <w:rPr>
                <w:szCs w:val="24"/>
              </w:rPr>
            </w:r>
          </w:p>
          <w:p>
            <w:pPr>
              <w:pStyle w:val="Normal"/>
              <w:rPr/>
            </w:pPr>
            <w:r>
              <w:rPr>
                <w:szCs w:val="24"/>
              </w:rPr>
              <w:t>Names, product descriptions and definitions</w:t>
            </w:r>
          </w:p>
          <w:p>
            <w:pPr>
              <w:pStyle w:val="Normal"/>
              <w:spacing w:before="0" w:after="200"/>
              <w:rPr>
                <w:szCs w:val="24"/>
              </w:rPr>
            </w:pPr>
            <w:r>
              <w:rPr>
                <w:szCs w:val="24"/>
              </w:rPr>
            </w:r>
          </w:p>
        </w:tc>
      </w:tr>
      <w:tr>
        <w:trPr/>
        <w:tc>
          <w:tcPr>
            <w:tcW w:w="2141"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rPr>
                <w:szCs w:val="24"/>
              </w:rPr>
            </w:pPr>
            <w:r>
              <w:rPr>
                <w:szCs w:val="24"/>
              </w:rPr>
            </w:r>
          </w:p>
          <w:p>
            <w:pPr>
              <w:pStyle w:val="Normal"/>
              <w:rPr>
                <w:szCs w:val="24"/>
              </w:rPr>
            </w:pPr>
            <w:r>
              <w:rPr>
                <w:szCs w:val="24"/>
              </w:rPr>
              <w:t xml:space="preserve">Annex I, point 1 </w:t>
            </w:r>
          </w:p>
          <w:p>
            <w:pPr>
              <w:pStyle w:val="Normal"/>
              <w:spacing w:before="0" w:after="200"/>
              <w:rPr>
                <w:szCs w:val="24"/>
              </w:rPr>
            </w:pPr>
            <w:r>
              <w:rPr>
                <w:szCs w:val="24"/>
              </w:rPr>
            </w:r>
          </w:p>
        </w:tc>
        <w:tc>
          <w:tcPr>
            <w:tcW w:w="6783"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rPr>
                <w:szCs w:val="24"/>
              </w:rPr>
            </w:pPr>
            <w:r>
              <w:rPr>
                <w:szCs w:val="24"/>
              </w:rPr>
            </w:r>
          </w:p>
          <w:p>
            <w:pPr>
              <w:pStyle w:val="Normal"/>
              <w:spacing w:before="0" w:after="200"/>
              <w:rPr>
                <w:szCs w:val="24"/>
              </w:rPr>
            </w:pPr>
            <w:r>
              <w:rPr>
                <w:szCs w:val="24"/>
              </w:rPr>
              <w:t>Definition of “honey”</w:t>
            </w:r>
          </w:p>
        </w:tc>
        <w:tc>
          <w:tcPr>
            <w:tcW w:w="6137"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rPr>
                <w:szCs w:val="24"/>
              </w:rPr>
            </w:pPr>
            <w:r>
              <w:rPr>
                <w:szCs w:val="24"/>
              </w:rPr>
            </w:r>
          </w:p>
          <w:p>
            <w:pPr>
              <w:pStyle w:val="Normal"/>
              <w:widowControl/>
              <w:bidi w:val="0"/>
              <w:spacing w:lineRule="auto" w:line="276" w:before="0" w:after="200"/>
              <w:rPr/>
            </w:pPr>
            <w:r>
              <w:rPr>
                <w:szCs w:val="24"/>
              </w:rPr>
              <w:t>Regulation 2(1)</w:t>
            </w:r>
          </w:p>
        </w:tc>
        <w:tc>
          <w:tcPr>
            <w:tcW w:w="6089" w:type="dxa"/>
            <w:tcBorders>
              <w:top w:val="single" w:sz="4" w:space="0" w:color="000000"/>
              <w:left w:val="single" w:sz="4" w:space="0" w:color="000000"/>
              <w:bottom w:val="single" w:sz="4" w:space="0" w:color="000000"/>
              <w:right w:val="single" w:sz="4" w:space="0" w:color="000000"/>
            </w:tcBorders>
            <w:shd w:fill="FFFFFF" w:val="clear"/>
          </w:tcPr>
          <w:p>
            <w:pPr>
              <w:pStyle w:val="Normal"/>
              <w:snapToGrid w:val="false"/>
              <w:spacing w:before="0" w:after="200"/>
              <w:rPr>
                <w:szCs w:val="24"/>
              </w:rPr>
            </w:pPr>
            <w:r>
              <w:rPr>
                <w:szCs w:val="24"/>
              </w:rPr>
            </w:r>
          </w:p>
        </w:tc>
      </w:tr>
      <w:tr>
        <w:trPr/>
        <w:tc>
          <w:tcPr>
            <w:tcW w:w="2141" w:type="dxa"/>
            <w:tcBorders>
              <w:top w:val="single" w:sz="4" w:space="0" w:color="000000"/>
              <w:left w:val="single" w:sz="4" w:space="0" w:color="000000"/>
              <w:bottom w:val="single" w:sz="4" w:space="0" w:color="000000"/>
              <w:right w:val="single" w:sz="4" w:space="0" w:color="000000"/>
            </w:tcBorders>
          </w:tcPr>
          <w:p>
            <w:pPr>
              <w:pStyle w:val="Normal"/>
              <w:snapToGrid w:val="false"/>
              <w:rPr>
                <w:color w:val="002060"/>
                <w:szCs w:val="24"/>
              </w:rPr>
            </w:pPr>
            <w:r>
              <w:rPr>
                <w:color w:val="002060"/>
                <w:szCs w:val="24"/>
              </w:rPr>
            </w:r>
          </w:p>
          <w:p>
            <w:pPr>
              <w:pStyle w:val="Normal"/>
              <w:rPr/>
            </w:pPr>
            <w:r>
              <w:rPr>
                <w:szCs w:val="24"/>
              </w:rPr>
              <w:t>Annex I, point 2(a) (i)</w:t>
            </w:r>
          </w:p>
          <w:p>
            <w:pPr>
              <w:pStyle w:val="Normal"/>
              <w:spacing w:before="0" w:after="200"/>
              <w:rPr>
                <w:szCs w:val="24"/>
              </w:rPr>
            </w:pPr>
            <w:r>
              <w:rPr>
                <w:szCs w:val="24"/>
              </w:rPr>
            </w:r>
          </w:p>
        </w:tc>
        <w:tc>
          <w:tcPr>
            <w:tcW w:w="6783"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szCs w:val="24"/>
              </w:rPr>
            </w:pPr>
            <w:r>
              <w:rPr>
                <w:szCs w:val="24"/>
              </w:rPr>
              <w:t>Definition of  “blossom honey” or “nectar honey”</w:t>
            </w:r>
          </w:p>
          <w:p>
            <w:pPr>
              <w:pStyle w:val="Normal"/>
              <w:spacing w:before="0" w:after="200"/>
              <w:rPr>
                <w:szCs w:val="24"/>
              </w:rPr>
            </w:pPr>
            <w:r>
              <w:rPr>
                <w:szCs w:val="24"/>
              </w:rPr>
            </w:r>
          </w:p>
        </w:tc>
        <w:tc>
          <w:tcPr>
            <w:tcW w:w="6137"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spacing w:before="0" w:after="200"/>
              <w:rPr>
                <w:szCs w:val="24"/>
              </w:rPr>
            </w:pPr>
            <w:r>
              <w:rPr>
                <w:szCs w:val="24"/>
              </w:rPr>
              <w:t>Regulation 2(2)</w:t>
            </w:r>
          </w:p>
        </w:tc>
        <w:tc>
          <w:tcPr>
            <w:tcW w:w="6089" w:type="dxa"/>
            <w:tcBorders>
              <w:top w:val="single" w:sz="4" w:space="0" w:color="000000"/>
              <w:left w:val="single" w:sz="4" w:space="0" w:color="000000"/>
              <w:bottom w:val="single" w:sz="4" w:space="0" w:color="000000"/>
              <w:right w:val="single" w:sz="4" w:space="0" w:color="000000"/>
            </w:tcBorders>
          </w:tcPr>
          <w:p>
            <w:pPr>
              <w:pStyle w:val="Normal"/>
              <w:snapToGrid w:val="false"/>
              <w:spacing w:before="0" w:after="200"/>
              <w:rPr>
                <w:color w:val="002060"/>
                <w:szCs w:val="24"/>
              </w:rPr>
            </w:pPr>
            <w:r>
              <w:rPr>
                <w:color w:val="002060"/>
                <w:szCs w:val="24"/>
              </w:rPr>
            </w:r>
          </w:p>
        </w:tc>
      </w:tr>
      <w:tr>
        <w:trPr/>
        <w:tc>
          <w:tcPr>
            <w:tcW w:w="2141" w:type="dxa"/>
            <w:tcBorders>
              <w:top w:val="single" w:sz="4" w:space="0" w:color="000000"/>
              <w:left w:val="single" w:sz="4" w:space="0" w:color="000000"/>
              <w:bottom w:val="single" w:sz="4" w:space="0" w:color="000000"/>
              <w:right w:val="single" w:sz="4" w:space="0" w:color="000000"/>
            </w:tcBorders>
          </w:tcPr>
          <w:p>
            <w:pPr>
              <w:pStyle w:val="Normal"/>
              <w:snapToGrid w:val="false"/>
              <w:rPr>
                <w:color w:val="002060"/>
                <w:szCs w:val="24"/>
              </w:rPr>
            </w:pPr>
            <w:r>
              <w:rPr>
                <w:color w:val="002060"/>
                <w:szCs w:val="24"/>
              </w:rPr>
            </w:r>
          </w:p>
          <w:p>
            <w:pPr>
              <w:pStyle w:val="Normal"/>
              <w:rPr/>
            </w:pPr>
            <w:r>
              <w:rPr>
                <w:szCs w:val="24"/>
              </w:rPr>
              <w:t>Annex I, point 2(a) (ii)</w:t>
            </w:r>
          </w:p>
          <w:p>
            <w:pPr>
              <w:pStyle w:val="Normal"/>
              <w:spacing w:before="0" w:after="200"/>
              <w:rPr>
                <w:szCs w:val="24"/>
              </w:rPr>
            </w:pPr>
            <w:r>
              <w:rPr>
                <w:szCs w:val="24"/>
              </w:rPr>
            </w:r>
          </w:p>
        </w:tc>
        <w:tc>
          <w:tcPr>
            <w:tcW w:w="6783"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szCs w:val="24"/>
              </w:rPr>
            </w:pPr>
            <w:r>
              <w:rPr>
                <w:szCs w:val="24"/>
              </w:rPr>
              <w:t>Definition of “honeydew honey”</w:t>
            </w:r>
          </w:p>
          <w:p>
            <w:pPr>
              <w:pStyle w:val="Normal"/>
              <w:spacing w:before="0" w:after="200"/>
              <w:rPr>
                <w:szCs w:val="24"/>
              </w:rPr>
            </w:pPr>
            <w:r>
              <w:rPr>
                <w:szCs w:val="24"/>
              </w:rPr>
            </w:r>
          </w:p>
        </w:tc>
        <w:tc>
          <w:tcPr>
            <w:tcW w:w="6137"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widowControl/>
              <w:bidi w:val="0"/>
              <w:spacing w:lineRule="auto" w:line="276" w:before="0" w:after="200"/>
              <w:rPr>
                <w:szCs w:val="24"/>
              </w:rPr>
            </w:pPr>
            <w:r>
              <w:rPr>
                <w:szCs w:val="24"/>
              </w:rPr>
              <w:t>Regulation 2(2)</w:t>
            </w:r>
          </w:p>
        </w:tc>
        <w:tc>
          <w:tcPr>
            <w:tcW w:w="6089" w:type="dxa"/>
            <w:tcBorders>
              <w:top w:val="single" w:sz="4" w:space="0" w:color="000000"/>
              <w:left w:val="single" w:sz="4" w:space="0" w:color="000000"/>
              <w:bottom w:val="single" w:sz="4" w:space="0" w:color="000000"/>
              <w:right w:val="single" w:sz="4" w:space="0" w:color="000000"/>
            </w:tcBorders>
          </w:tcPr>
          <w:p>
            <w:pPr>
              <w:pStyle w:val="Normal"/>
              <w:snapToGrid w:val="false"/>
              <w:spacing w:before="0" w:after="200"/>
              <w:rPr>
                <w:color w:val="002060"/>
                <w:szCs w:val="24"/>
              </w:rPr>
            </w:pPr>
            <w:r>
              <w:rPr>
                <w:color w:val="002060"/>
                <w:szCs w:val="24"/>
              </w:rPr>
            </w:r>
          </w:p>
        </w:tc>
      </w:tr>
      <w:tr>
        <w:trPr/>
        <w:tc>
          <w:tcPr>
            <w:tcW w:w="2141" w:type="dxa"/>
            <w:tcBorders>
              <w:top w:val="single" w:sz="4" w:space="0" w:color="000000"/>
              <w:left w:val="single" w:sz="4" w:space="0" w:color="000000"/>
              <w:bottom w:val="single" w:sz="4" w:space="0" w:color="000000"/>
              <w:right w:val="single" w:sz="4" w:space="0" w:color="000000"/>
            </w:tcBorders>
          </w:tcPr>
          <w:p>
            <w:pPr>
              <w:pStyle w:val="Normal"/>
              <w:snapToGrid w:val="false"/>
              <w:rPr>
                <w:color w:val="002060"/>
                <w:szCs w:val="24"/>
              </w:rPr>
            </w:pPr>
            <w:r>
              <w:rPr>
                <w:color w:val="002060"/>
                <w:szCs w:val="24"/>
              </w:rPr>
            </w:r>
          </w:p>
          <w:p>
            <w:pPr>
              <w:pStyle w:val="Normal"/>
              <w:rPr/>
            </w:pPr>
            <w:r>
              <w:rPr>
                <w:szCs w:val="24"/>
              </w:rPr>
              <w:t>Annex I, point 2(b)(iii)</w:t>
            </w:r>
          </w:p>
          <w:p>
            <w:pPr>
              <w:pStyle w:val="Normal"/>
              <w:spacing w:before="0" w:after="200"/>
              <w:rPr>
                <w:szCs w:val="24"/>
              </w:rPr>
            </w:pPr>
            <w:r>
              <w:rPr>
                <w:szCs w:val="24"/>
              </w:rPr>
            </w:r>
          </w:p>
        </w:tc>
        <w:tc>
          <w:tcPr>
            <w:tcW w:w="6783"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szCs w:val="24"/>
              </w:rPr>
            </w:pPr>
            <w:r>
              <w:rPr>
                <w:szCs w:val="24"/>
              </w:rPr>
              <w:t>Definition of “comb honey”</w:t>
            </w:r>
          </w:p>
          <w:p>
            <w:pPr>
              <w:pStyle w:val="Normal"/>
              <w:spacing w:before="0" w:after="200"/>
              <w:rPr>
                <w:szCs w:val="24"/>
              </w:rPr>
            </w:pPr>
            <w:r>
              <w:rPr>
                <w:szCs w:val="24"/>
              </w:rPr>
            </w:r>
          </w:p>
        </w:tc>
        <w:tc>
          <w:tcPr>
            <w:tcW w:w="6137"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widowControl/>
              <w:bidi w:val="0"/>
              <w:spacing w:lineRule="auto" w:line="276" w:before="0" w:after="200"/>
              <w:rPr>
                <w:szCs w:val="24"/>
              </w:rPr>
            </w:pPr>
            <w:r>
              <w:rPr>
                <w:szCs w:val="24"/>
              </w:rPr>
              <w:t>Regulation 2(2)</w:t>
            </w:r>
          </w:p>
        </w:tc>
        <w:tc>
          <w:tcPr>
            <w:tcW w:w="6089" w:type="dxa"/>
            <w:tcBorders>
              <w:top w:val="single" w:sz="4" w:space="0" w:color="000000"/>
              <w:left w:val="single" w:sz="4" w:space="0" w:color="000000"/>
              <w:bottom w:val="single" w:sz="4" w:space="0" w:color="000000"/>
              <w:right w:val="single" w:sz="4" w:space="0" w:color="000000"/>
            </w:tcBorders>
          </w:tcPr>
          <w:p>
            <w:pPr>
              <w:pStyle w:val="Normal"/>
              <w:snapToGrid w:val="false"/>
              <w:spacing w:before="0" w:after="200"/>
              <w:rPr>
                <w:color w:val="002060"/>
                <w:szCs w:val="24"/>
              </w:rPr>
            </w:pPr>
            <w:r>
              <w:rPr>
                <w:color w:val="002060"/>
                <w:szCs w:val="24"/>
              </w:rPr>
            </w:r>
          </w:p>
        </w:tc>
      </w:tr>
      <w:tr>
        <w:trPr>
          <w:cantSplit w:val="true"/>
        </w:trPr>
        <w:tc>
          <w:tcPr>
            <w:tcW w:w="2141" w:type="dxa"/>
            <w:tcBorders>
              <w:top w:val="single" w:sz="4" w:space="0" w:color="000000"/>
              <w:left w:val="single" w:sz="4" w:space="0" w:color="000000"/>
              <w:bottom w:val="single" w:sz="4" w:space="0" w:color="000000"/>
              <w:right w:val="single" w:sz="4" w:space="0" w:color="000000"/>
            </w:tcBorders>
          </w:tcPr>
          <w:p>
            <w:pPr>
              <w:pStyle w:val="Normal"/>
              <w:snapToGrid w:val="false"/>
              <w:rPr>
                <w:color w:val="002060"/>
                <w:szCs w:val="24"/>
              </w:rPr>
            </w:pPr>
            <w:r>
              <w:rPr>
                <w:color w:val="002060"/>
                <w:szCs w:val="24"/>
              </w:rPr>
            </w:r>
          </w:p>
          <w:p>
            <w:pPr>
              <w:pStyle w:val="Normal"/>
              <w:rPr/>
            </w:pPr>
            <w:r>
              <w:rPr>
                <w:szCs w:val="24"/>
              </w:rPr>
              <w:t>Annex I, point 2(b)(iv)</w:t>
            </w:r>
          </w:p>
          <w:p>
            <w:pPr>
              <w:pStyle w:val="Normal"/>
              <w:spacing w:before="0" w:after="200"/>
              <w:rPr>
                <w:szCs w:val="24"/>
              </w:rPr>
            </w:pPr>
            <w:r>
              <w:rPr>
                <w:szCs w:val="24"/>
              </w:rPr>
            </w:r>
          </w:p>
        </w:tc>
        <w:tc>
          <w:tcPr>
            <w:tcW w:w="6783"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szCs w:val="24"/>
              </w:rPr>
            </w:pPr>
            <w:r>
              <w:rPr>
                <w:szCs w:val="24"/>
              </w:rPr>
              <w:t>Definition of “chunk honey” or “cut comb in honey”</w:t>
            </w:r>
          </w:p>
          <w:p>
            <w:pPr>
              <w:pStyle w:val="Normal"/>
              <w:spacing w:before="0" w:after="200"/>
              <w:rPr>
                <w:szCs w:val="24"/>
              </w:rPr>
            </w:pPr>
            <w:r>
              <w:rPr>
                <w:szCs w:val="24"/>
              </w:rPr>
            </w:r>
          </w:p>
        </w:tc>
        <w:tc>
          <w:tcPr>
            <w:tcW w:w="6137"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widowControl/>
              <w:bidi w:val="0"/>
              <w:spacing w:lineRule="auto" w:line="276" w:before="0" w:after="200"/>
              <w:rPr>
                <w:szCs w:val="24"/>
              </w:rPr>
            </w:pPr>
            <w:r>
              <w:rPr>
                <w:szCs w:val="24"/>
              </w:rPr>
              <w:t>Regulation 2(2)</w:t>
            </w:r>
          </w:p>
        </w:tc>
        <w:tc>
          <w:tcPr>
            <w:tcW w:w="6089" w:type="dxa"/>
            <w:tcBorders>
              <w:top w:val="single" w:sz="4" w:space="0" w:color="000000"/>
              <w:left w:val="single" w:sz="4" w:space="0" w:color="000000"/>
              <w:bottom w:val="single" w:sz="4" w:space="0" w:color="000000"/>
              <w:right w:val="single" w:sz="4" w:space="0" w:color="000000"/>
            </w:tcBorders>
          </w:tcPr>
          <w:p>
            <w:pPr>
              <w:pStyle w:val="Normal"/>
              <w:snapToGrid w:val="false"/>
              <w:spacing w:before="0" w:after="200"/>
              <w:rPr>
                <w:color w:val="002060"/>
                <w:szCs w:val="24"/>
              </w:rPr>
            </w:pPr>
            <w:r>
              <w:rPr>
                <w:color w:val="002060"/>
                <w:szCs w:val="24"/>
              </w:rPr>
            </w:r>
          </w:p>
        </w:tc>
      </w:tr>
      <w:tr>
        <w:trPr/>
        <w:tc>
          <w:tcPr>
            <w:tcW w:w="2141" w:type="dxa"/>
            <w:tcBorders>
              <w:top w:val="single" w:sz="4" w:space="0" w:color="000000"/>
              <w:left w:val="single" w:sz="4" w:space="0" w:color="000000"/>
              <w:bottom w:val="single" w:sz="4" w:space="0" w:color="000000"/>
              <w:right w:val="single" w:sz="4" w:space="0" w:color="000000"/>
            </w:tcBorders>
          </w:tcPr>
          <w:p>
            <w:pPr>
              <w:pStyle w:val="Normal"/>
              <w:snapToGrid w:val="false"/>
              <w:rPr>
                <w:color w:val="002060"/>
                <w:szCs w:val="24"/>
              </w:rPr>
            </w:pPr>
            <w:r>
              <w:rPr>
                <w:color w:val="002060"/>
                <w:szCs w:val="24"/>
              </w:rPr>
            </w:r>
          </w:p>
          <w:p>
            <w:pPr>
              <w:pStyle w:val="Normal"/>
              <w:rPr>
                <w:szCs w:val="24"/>
              </w:rPr>
            </w:pPr>
            <w:r>
              <w:rPr>
                <w:szCs w:val="24"/>
              </w:rPr>
              <w:t>Annex I, point 2(b)(v)</w:t>
            </w:r>
          </w:p>
          <w:p>
            <w:pPr>
              <w:pStyle w:val="Normal"/>
              <w:rPr>
                <w:szCs w:val="24"/>
              </w:rPr>
            </w:pPr>
            <w:r>
              <w:rPr>
                <w:szCs w:val="24"/>
              </w:rPr>
            </w:r>
          </w:p>
          <w:p>
            <w:pPr>
              <w:pStyle w:val="Normal"/>
              <w:spacing w:before="0" w:after="200"/>
              <w:rPr>
                <w:szCs w:val="24"/>
              </w:rPr>
            </w:pPr>
            <w:r>
              <w:rPr>
                <w:szCs w:val="24"/>
              </w:rPr>
            </w:r>
          </w:p>
        </w:tc>
        <w:tc>
          <w:tcPr>
            <w:tcW w:w="6783"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szCs w:val="24"/>
              </w:rPr>
            </w:pPr>
            <w:r>
              <w:rPr>
                <w:szCs w:val="24"/>
              </w:rPr>
              <w:t>Definition of “drained honey”</w:t>
            </w:r>
          </w:p>
          <w:p>
            <w:pPr>
              <w:pStyle w:val="Normal"/>
              <w:spacing w:before="0" w:after="200"/>
              <w:rPr>
                <w:szCs w:val="24"/>
              </w:rPr>
            </w:pPr>
            <w:r>
              <w:rPr>
                <w:szCs w:val="24"/>
              </w:rPr>
            </w:r>
          </w:p>
        </w:tc>
        <w:tc>
          <w:tcPr>
            <w:tcW w:w="6137"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spacing w:before="0" w:after="200"/>
              <w:rPr>
                <w:szCs w:val="24"/>
              </w:rPr>
            </w:pPr>
            <w:r>
              <w:rPr>
                <w:szCs w:val="24"/>
              </w:rPr>
              <w:t>Regulation 2(2)</w:t>
            </w:r>
          </w:p>
        </w:tc>
        <w:tc>
          <w:tcPr>
            <w:tcW w:w="6089" w:type="dxa"/>
            <w:tcBorders>
              <w:top w:val="single" w:sz="4" w:space="0" w:color="000000"/>
              <w:left w:val="single" w:sz="4" w:space="0" w:color="000000"/>
              <w:bottom w:val="single" w:sz="4" w:space="0" w:color="000000"/>
              <w:right w:val="single" w:sz="4" w:space="0" w:color="000000"/>
            </w:tcBorders>
          </w:tcPr>
          <w:p>
            <w:pPr>
              <w:pStyle w:val="Normal"/>
              <w:snapToGrid w:val="false"/>
              <w:spacing w:before="0" w:after="200"/>
              <w:rPr>
                <w:color w:val="002060"/>
                <w:szCs w:val="24"/>
              </w:rPr>
            </w:pPr>
            <w:r>
              <w:rPr>
                <w:color w:val="002060"/>
                <w:szCs w:val="24"/>
              </w:rPr>
            </w:r>
          </w:p>
        </w:tc>
      </w:tr>
      <w:tr>
        <w:trPr/>
        <w:tc>
          <w:tcPr>
            <w:tcW w:w="2141" w:type="dxa"/>
            <w:tcBorders>
              <w:top w:val="single" w:sz="4" w:space="0" w:color="000000"/>
              <w:left w:val="single" w:sz="4" w:space="0" w:color="000000"/>
              <w:bottom w:val="single" w:sz="4" w:space="0" w:color="000000"/>
              <w:right w:val="single" w:sz="4" w:space="0" w:color="000000"/>
            </w:tcBorders>
          </w:tcPr>
          <w:p>
            <w:pPr>
              <w:pStyle w:val="Normal"/>
              <w:snapToGrid w:val="false"/>
              <w:rPr>
                <w:color w:val="002060"/>
                <w:szCs w:val="24"/>
              </w:rPr>
            </w:pPr>
            <w:r>
              <w:rPr>
                <w:color w:val="002060"/>
                <w:szCs w:val="24"/>
              </w:rPr>
            </w:r>
          </w:p>
          <w:p>
            <w:pPr>
              <w:pStyle w:val="Normal"/>
              <w:rPr/>
            </w:pPr>
            <w:r>
              <w:rPr>
                <w:szCs w:val="24"/>
              </w:rPr>
              <w:t>Annex I, point 2(b)(vi)</w:t>
            </w:r>
          </w:p>
          <w:p>
            <w:pPr>
              <w:pStyle w:val="Normal"/>
              <w:spacing w:before="0" w:after="200"/>
              <w:rPr>
                <w:szCs w:val="24"/>
              </w:rPr>
            </w:pPr>
            <w:r>
              <w:rPr>
                <w:szCs w:val="24"/>
              </w:rPr>
            </w:r>
          </w:p>
        </w:tc>
        <w:tc>
          <w:tcPr>
            <w:tcW w:w="6783"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szCs w:val="24"/>
              </w:rPr>
            </w:pPr>
            <w:r>
              <w:rPr>
                <w:szCs w:val="24"/>
              </w:rPr>
              <w:t>Definition of “extracted honey”</w:t>
            </w:r>
          </w:p>
          <w:p>
            <w:pPr>
              <w:pStyle w:val="Normal"/>
              <w:spacing w:before="0" w:after="200"/>
              <w:rPr>
                <w:szCs w:val="24"/>
              </w:rPr>
            </w:pPr>
            <w:r>
              <w:rPr>
                <w:szCs w:val="24"/>
              </w:rPr>
            </w:r>
          </w:p>
        </w:tc>
        <w:tc>
          <w:tcPr>
            <w:tcW w:w="6137"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widowControl/>
              <w:bidi w:val="0"/>
              <w:spacing w:lineRule="auto" w:line="276" w:before="0" w:after="200"/>
              <w:rPr>
                <w:szCs w:val="24"/>
              </w:rPr>
            </w:pPr>
            <w:r>
              <w:rPr>
                <w:szCs w:val="24"/>
              </w:rPr>
              <w:t>Regulation 2(2))</w:t>
            </w:r>
          </w:p>
        </w:tc>
        <w:tc>
          <w:tcPr>
            <w:tcW w:w="6089" w:type="dxa"/>
            <w:tcBorders>
              <w:top w:val="single" w:sz="4" w:space="0" w:color="000000"/>
              <w:left w:val="single" w:sz="4" w:space="0" w:color="000000"/>
              <w:bottom w:val="single" w:sz="4" w:space="0" w:color="000000"/>
              <w:right w:val="single" w:sz="4" w:space="0" w:color="000000"/>
            </w:tcBorders>
          </w:tcPr>
          <w:p>
            <w:pPr>
              <w:pStyle w:val="Normal"/>
              <w:snapToGrid w:val="false"/>
              <w:spacing w:before="0" w:after="200"/>
              <w:rPr>
                <w:color w:val="002060"/>
                <w:szCs w:val="24"/>
              </w:rPr>
            </w:pPr>
            <w:r>
              <w:rPr>
                <w:color w:val="002060"/>
                <w:szCs w:val="24"/>
              </w:rPr>
            </w:r>
          </w:p>
        </w:tc>
      </w:tr>
      <w:tr>
        <w:trPr/>
        <w:tc>
          <w:tcPr>
            <w:tcW w:w="2141" w:type="dxa"/>
            <w:tcBorders>
              <w:top w:val="single" w:sz="4" w:space="0" w:color="000000"/>
              <w:left w:val="single" w:sz="4" w:space="0" w:color="000000"/>
              <w:bottom w:val="single" w:sz="4" w:space="0" w:color="000000"/>
              <w:right w:val="single" w:sz="4" w:space="0" w:color="000000"/>
            </w:tcBorders>
          </w:tcPr>
          <w:p>
            <w:pPr>
              <w:pStyle w:val="Normal"/>
              <w:snapToGrid w:val="false"/>
              <w:rPr>
                <w:color w:val="002060"/>
                <w:szCs w:val="24"/>
              </w:rPr>
            </w:pPr>
            <w:r>
              <w:rPr>
                <w:color w:val="002060"/>
                <w:szCs w:val="24"/>
              </w:rPr>
            </w:r>
          </w:p>
          <w:p>
            <w:pPr>
              <w:pStyle w:val="Normal"/>
              <w:rPr/>
            </w:pPr>
            <w:r>
              <w:rPr>
                <w:szCs w:val="24"/>
              </w:rPr>
              <w:t>Annex I, point 2(b)(vii)</w:t>
            </w:r>
          </w:p>
          <w:p>
            <w:pPr>
              <w:pStyle w:val="Normal"/>
              <w:spacing w:before="0" w:after="200"/>
              <w:rPr>
                <w:szCs w:val="24"/>
              </w:rPr>
            </w:pPr>
            <w:r>
              <w:rPr>
                <w:szCs w:val="24"/>
              </w:rPr>
            </w:r>
          </w:p>
        </w:tc>
        <w:tc>
          <w:tcPr>
            <w:tcW w:w="6783"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szCs w:val="24"/>
              </w:rPr>
            </w:pPr>
            <w:r>
              <w:rPr>
                <w:szCs w:val="24"/>
              </w:rPr>
              <w:t>Definition of “pressed honey”</w:t>
            </w:r>
          </w:p>
          <w:p>
            <w:pPr>
              <w:pStyle w:val="Normal"/>
              <w:spacing w:before="0" w:after="200"/>
              <w:rPr>
                <w:szCs w:val="24"/>
              </w:rPr>
            </w:pPr>
            <w:r>
              <w:rPr>
                <w:szCs w:val="24"/>
              </w:rPr>
            </w:r>
          </w:p>
        </w:tc>
        <w:tc>
          <w:tcPr>
            <w:tcW w:w="6137"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spacing w:before="0" w:after="200"/>
              <w:rPr>
                <w:szCs w:val="24"/>
              </w:rPr>
            </w:pPr>
            <w:r>
              <w:rPr>
                <w:szCs w:val="24"/>
              </w:rPr>
              <w:t>Regulation 2(2)</w:t>
            </w:r>
          </w:p>
        </w:tc>
        <w:tc>
          <w:tcPr>
            <w:tcW w:w="6089" w:type="dxa"/>
            <w:tcBorders>
              <w:top w:val="single" w:sz="4" w:space="0" w:color="000000"/>
              <w:left w:val="single" w:sz="4" w:space="0" w:color="000000"/>
              <w:bottom w:val="single" w:sz="4" w:space="0" w:color="000000"/>
              <w:right w:val="single" w:sz="4" w:space="0" w:color="000000"/>
            </w:tcBorders>
          </w:tcPr>
          <w:p>
            <w:pPr>
              <w:pStyle w:val="Normal"/>
              <w:snapToGrid w:val="false"/>
              <w:spacing w:before="0" w:after="200"/>
              <w:rPr>
                <w:color w:val="002060"/>
                <w:szCs w:val="24"/>
              </w:rPr>
            </w:pPr>
            <w:r>
              <w:rPr>
                <w:color w:val="002060"/>
                <w:szCs w:val="24"/>
              </w:rPr>
            </w:r>
          </w:p>
        </w:tc>
      </w:tr>
      <w:tr>
        <w:trPr/>
        <w:tc>
          <w:tcPr>
            <w:tcW w:w="2141" w:type="dxa"/>
            <w:tcBorders>
              <w:top w:val="single" w:sz="4" w:space="0" w:color="000000"/>
              <w:left w:val="single" w:sz="4" w:space="0" w:color="000000"/>
              <w:bottom w:val="single" w:sz="4" w:space="0" w:color="000000"/>
              <w:right w:val="single" w:sz="4" w:space="0" w:color="000000"/>
            </w:tcBorders>
          </w:tcPr>
          <w:p>
            <w:pPr>
              <w:pStyle w:val="Normal"/>
              <w:snapToGrid w:val="false"/>
              <w:rPr>
                <w:color w:val="002060"/>
                <w:szCs w:val="24"/>
              </w:rPr>
            </w:pPr>
            <w:r>
              <w:rPr>
                <w:color w:val="002060"/>
                <w:szCs w:val="24"/>
              </w:rPr>
            </w:r>
          </w:p>
          <w:p>
            <w:pPr>
              <w:pStyle w:val="Normal"/>
              <w:rPr/>
            </w:pPr>
            <w:r>
              <w:rPr>
                <w:szCs w:val="24"/>
              </w:rPr>
              <w:t>Annex I, point 2(b)(viii)</w:t>
            </w:r>
          </w:p>
          <w:p>
            <w:pPr>
              <w:pStyle w:val="Normal"/>
              <w:spacing w:before="0" w:after="200"/>
              <w:rPr>
                <w:szCs w:val="24"/>
              </w:rPr>
            </w:pPr>
            <w:r>
              <w:rPr>
                <w:szCs w:val="24"/>
              </w:rPr>
            </w:r>
          </w:p>
        </w:tc>
        <w:tc>
          <w:tcPr>
            <w:tcW w:w="6783"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szCs w:val="24"/>
              </w:rPr>
            </w:pPr>
            <w:r>
              <w:rPr>
                <w:szCs w:val="24"/>
              </w:rPr>
              <w:t>Definition of “filtered honey”</w:t>
            </w:r>
          </w:p>
          <w:p>
            <w:pPr>
              <w:pStyle w:val="Normal"/>
              <w:spacing w:before="0" w:after="200"/>
              <w:rPr>
                <w:szCs w:val="24"/>
              </w:rPr>
            </w:pPr>
            <w:r>
              <w:rPr>
                <w:szCs w:val="24"/>
              </w:rPr>
            </w:r>
          </w:p>
        </w:tc>
        <w:tc>
          <w:tcPr>
            <w:tcW w:w="6137"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spacing w:before="0" w:after="200"/>
              <w:rPr>
                <w:szCs w:val="24"/>
              </w:rPr>
            </w:pPr>
            <w:r>
              <w:rPr>
                <w:szCs w:val="24"/>
              </w:rPr>
              <w:t>Regulation 2(2)</w:t>
            </w:r>
          </w:p>
        </w:tc>
        <w:tc>
          <w:tcPr>
            <w:tcW w:w="6089" w:type="dxa"/>
            <w:tcBorders>
              <w:top w:val="single" w:sz="4" w:space="0" w:color="000000"/>
              <w:left w:val="single" w:sz="4" w:space="0" w:color="000000"/>
              <w:bottom w:val="single" w:sz="4" w:space="0" w:color="000000"/>
              <w:right w:val="single" w:sz="4" w:space="0" w:color="000000"/>
            </w:tcBorders>
          </w:tcPr>
          <w:p>
            <w:pPr>
              <w:pStyle w:val="Normal"/>
              <w:snapToGrid w:val="false"/>
              <w:spacing w:before="0" w:after="200"/>
              <w:rPr>
                <w:color w:val="002060"/>
                <w:szCs w:val="24"/>
              </w:rPr>
            </w:pPr>
            <w:r>
              <w:rPr>
                <w:color w:val="002060"/>
                <w:szCs w:val="24"/>
              </w:rPr>
            </w:r>
          </w:p>
        </w:tc>
      </w:tr>
      <w:tr>
        <w:trPr/>
        <w:tc>
          <w:tcPr>
            <w:tcW w:w="2141" w:type="dxa"/>
            <w:tcBorders>
              <w:top w:val="single" w:sz="4" w:space="0" w:color="000000"/>
              <w:left w:val="single" w:sz="4" w:space="0" w:color="000000"/>
              <w:bottom w:val="single" w:sz="4" w:space="0" w:color="000000"/>
              <w:right w:val="single" w:sz="4" w:space="0" w:color="000000"/>
            </w:tcBorders>
          </w:tcPr>
          <w:p>
            <w:pPr>
              <w:pStyle w:val="Normal"/>
              <w:snapToGrid w:val="false"/>
              <w:rPr>
                <w:color w:val="002060"/>
                <w:szCs w:val="24"/>
              </w:rPr>
            </w:pPr>
            <w:r>
              <w:rPr>
                <w:color w:val="002060"/>
                <w:szCs w:val="24"/>
              </w:rPr>
            </w:r>
          </w:p>
          <w:p>
            <w:pPr>
              <w:pStyle w:val="Normal"/>
              <w:rPr/>
            </w:pPr>
            <w:r>
              <w:rPr>
                <w:szCs w:val="24"/>
              </w:rPr>
              <w:t>Annex I, point 3</w:t>
            </w:r>
          </w:p>
          <w:p>
            <w:pPr>
              <w:pStyle w:val="Normal"/>
              <w:spacing w:before="0" w:after="200"/>
              <w:rPr>
                <w:szCs w:val="24"/>
              </w:rPr>
            </w:pPr>
            <w:r>
              <w:rPr>
                <w:szCs w:val="24"/>
              </w:rPr>
            </w:r>
          </w:p>
        </w:tc>
        <w:tc>
          <w:tcPr>
            <w:tcW w:w="6783"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pPr>
            <w:r>
              <w:rPr>
                <w:szCs w:val="24"/>
              </w:rPr>
              <w:t>Definition of “baker’s honey”</w:t>
            </w:r>
          </w:p>
          <w:p>
            <w:pPr>
              <w:pStyle w:val="Normal"/>
              <w:spacing w:before="0" w:after="200"/>
              <w:rPr>
                <w:szCs w:val="24"/>
              </w:rPr>
            </w:pPr>
            <w:r>
              <w:rPr>
                <w:szCs w:val="24"/>
              </w:rPr>
            </w:r>
          </w:p>
        </w:tc>
        <w:tc>
          <w:tcPr>
            <w:tcW w:w="6137"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szCs w:val="24"/>
              </w:rPr>
            </w:pPr>
            <w:r>
              <w:rPr>
                <w:szCs w:val="24"/>
              </w:rPr>
              <w:t>Regulation 2(2)</w:t>
            </w:r>
          </w:p>
          <w:p>
            <w:pPr>
              <w:pStyle w:val="Normal"/>
              <w:spacing w:before="0" w:after="200"/>
              <w:rPr>
                <w:szCs w:val="24"/>
              </w:rPr>
            </w:pPr>
            <w:r>
              <w:rPr>
                <w:szCs w:val="24"/>
              </w:rPr>
            </w:r>
          </w:p>
        </w:tc>
        <w:tc>
          <w:tcPr>
            <w:tcW w:w="6089" w:type="dxa"/>
            <w:tcBorders>
              <w:top w:val="single" w:sz="4" w:space="0" w:color="000000"/>
              <w:left w:val="single" w:sz="4" w:space="0" w:color="000000"/>
              <w:bottom w:val="single" w:sz="4" w:space="0" w:color="000000"/>
              <w:right w:val="single" w:sz="4" w:space="0" w:color="000000"/>
            </w:tcBorders>
          </w:tcPr>
          <w:p>
            <w:pPr>
              <w:pStyle w:val="Normal"/>
              <w:snapToGrid w:val="false"/>
              <w:spacing w:before="0" w:after="200"/>
              <w:rPr>
                <w:color w:val="002060"/>
                <w:szCs w:val="24"/>
              </w:rPr>
            </w:pPr>
            <w:r>
              <w:rPr>
                <w:color w:val="002060"/>
                <w:szCs w:val="24"/>
              </w:rPr>
            </w:r>
          </w:p>
        </w:tc>
      </w:tr>
      <w:tr>
        <w:trPr/>
        <w:tc>
          <w:tcPr>
            <w:tcW w:w="2141" w:type="dxa"/>
            <w:tcBorders>
              <w:top w:val="single" w:sz="4" w:space="0" w:color="000000"/>
              <w:left w:val="single" w:sz="4" w:space="0" w:color="000000"/>
              <w:bottom w:val="single" w:sz="4" w:space="0" w:color="000000"/>
              <w:right w:val="single" w:sz="4" w:space="0" w:color="000000"/>
            </w:tcBorders>
            <w:shd w:fill="C2D69B" w:val="clear"/>
          </w:tcPr>
          <w:p>
            <w:pPr>
              <w:pStyle w:val="Normal"/>
              <w:snapToGrid w:val="false"/>
              <w:rPr>
                <w:color w:val="002060"/>
                <w:szCs w:val="24"/>
              </w:rPr>
            </w:pPr>
            <w:r>
              <w:rPr>
                <w:color w:val="002060"/>
                <w:szCs w:val="24"/>
              </w:rPr>
            </w:r>
          </w:p>
          <w:p>
            <w:pPr>
              <w:pStyle w:val="Normal"/>
              <w:rPr>
                <w:szCs w:val="24"/>
              </w:rPr>
            </w:pPr>
            <w:r>
              <w:rPr>
                <w:szCs w:val="24"/>
              </w:rPr>
              <w:t>Annex II</w:t>
            </w:r>
          </w:p>
          <w:p>
            <w:pPr>
              <w:pStyle w:val="Normal"/>
              <w:spacing w:before="0" w:after="200"/>
              <w:rPr>
                <w:szCs w:val="24"/>
              </w:rPr>
            </w:pPr>
            <w:r>
              <w:rPr>
                <w:szCs w:val="24"/>
              </w:rPr>
            </w:r>
          </w:p>
        </w:tc>
        <w:tc>
          <w:tcPr>
            <w:tcW w:w="19009" w:type="dxa"/>
            <w:gridSpan w:val="3"/>
            <w:tcBorders>
              <w:top w:val="single" w:sz="4" w:space="0" w:color="000000"/>
              <w:left w:val="single" w:sz="4" w:space="0" w:color="000000"/>
              <w:bottom w:val="single" w:sz="4" w:space="0" w:color="000000"/>
              <w:right w:val="single" w:sz="4" w:space="0" w:color="000000"/>
            </w:tcBorders>
            <w:shd w:fill="C2D69B" w:val="clear"/>
          </w:tcPr>
          <w:p>
            <w:pPr>
              <w:pStyle w:val="Normal"/>
              <w:snapToGrid w:val="false"/>
              <w:rPr>
                <w:szCs w:val="24"/>
              </w:rPr>
            </w:pPr>
            <w:r>
              <w:rPr>
                <w:szCs w:val="24"/>
              </w:rPr>
            </w:r>
          </w:p>
          <w:p>
            <w:pPr>
              <w:pStyle w:val="Normal"/>
              <w:rPr/>
            </w:pPr>
            <w:r>
              <w:rPr>
                <w:szCs w:val="24"/>
              </w:rPr>
              <w:t xml:space="preserve">Compositional criteria for honey </w:t>
            </w:r>
          </w:p>
          <w:p>
            <w:pPr>
              <w:pStyle w:val="Normal"/>
              <w:spacing w:before="0" w:after="200"/>
              <w:rPr>
                <w:szCs w:val="24"/>
              </w:rPr>
            </w:pPr>
            <w:r>
              <w:rPr>
                <w:szCs w:val="24"/>
              </w:rPr>
            </w:r>
          </w:p>
        </w:tc>
      </w:tr>
      <w:tr>
        <w:trPr>
          <w:trHeight w:val="1135" w:hRule="atLeast"/>
        </w:trPr>
        <w:tc>
          <w:tcPr>
            <w:tcW w:w="2141"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spacing w:before="0" w:after="200"/>
              <w:rPr/>
            </w:pPr>
            <w:r>
              <w:rPr>
                <w:szCs w:val="24"/>
              </w:rPr>
              <w:t>Annex II, first paragraph, first sentence</w:t>
            </w:r>
          </w:p>
        </w:tc>
        <w:tc>
          <w:tcPr>
            <w:tcW w:w="6783"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szCs w:val="24"/>
              </w:rPr>
            </w:pPr>
            <w:r>
              <w:rPr>
                <w:szCs w:val="24"/>
              </w:rPr>
              <w:t>Essential components of honey</w:t>
            </w:r>
          </w:p>
          <w:p>
            <w:pPr>
              <w:pStyle w:val="Normal"/>
              <w:spacing w:before="0" w:after="200"/>
              <w:rPr>
                <w:szCs w:val="24"/>
              </w:rPr>
            </w:pPr>
            <w:r>
              <w:rPr>
                <w:szCs w:val="24"/>
              </w:rPr>
            </w:r>
          </w:p>
        </w:tc>
        <w:tc>
          <w:tcPr>
            <w:tcW w:w="6137"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szCs w:val="24"/>
              </w:rPr>
            </w:pPr>
            <w:r>
              <w:rPr>
                <w:szCs w:val="24"/>
              </w:rPr>
              <w:t xml:space="preserve">Paragraph 1 of Schedule 1 </w:t>
            </w:r>
          </w:p>
          <w:p>
            <w:pPr>
              <w:pStyle w:val="Normal"/>
              <w:rPr>
                <w:szCs w:val="24"/>
              </w:rPr>
            </w:pPr>
            <w:r>
              <w:rPr>
                <w:szCs w:val="24"/>
              </w:rPr>
            </w:r>
          </w:p>
          <w:p>
            <w:pPr>
              <w:pStyle w:val="Normal"/>
              <w:spacing w:before="0" w:after="200"/>
              <w:rPr>
                <w:szCs w:val="24"/>
              </w:rPr>
            </w:pPr>
            <w:r>
              <w:rPr>
                <w:szCs w:val="24"/>
              </w:rPr>
            </w:r>
          </w:p>
        </w:tc>
        <w:tc>
          <w:tcPr>
            <w:tcW w:w="6089" w:type="dxa"/>
            <w:tcBorders>
              <w:top w:val="single" w:sz="4" w:space="0" w:color="000000"/>
              <w:left w:val="single" w:sz="4" w:space="0" w:color="000000"/>
              <w:bottom w:val="single" w:sz="4" w:space="0" w:color="000000"/>
              <w:right w:val="single" w:sz="4" w:space="0" w:color="000000"/>
            </w:tcBorders>
          </w:tcPr>
          <w:p>
            <w:pPr>
              <w:pStyle w:val="Normal"/>
              <w:snapToGrid w:val="false"/>
              <w:rPr>
                <w:color w:val="002060"/>
                <w:szCs w:val="24"/>
              </w:rPr>
            </w:pPr>
            <w:r>
              <w:rPr>
                <w:color w:val="002060"/>
                <w:szCs w:val="24"/>
              </w:rPr>
            </w:r>
          </w:p>
          <w:p>
            <w:pPr>
              <w:pStyle w:val="Normal"/>
              <w:spacing w:before="0" w:after="200"/>
              <w:rPr>
                <w:color w:val="002060"/>
                <w:szCs w:val="24"/>
              </w:rPr>
            </w:pPr>
            <w:r>
              <w:rPr>
                <w:color w:val="002060"/>
                <w:szCs w:val="24"/>
              </w:rPr>
            </w:r>
          </w:p>
        </w:tc>
      </w:tr>
      <w:tr>
        <w:trPr>
          <w:trHeight w:val="1123" w:hRule="atLeast"/>
        </w:trPr>
        <w:tc>
          <w:tcPr>
            <w:tcW w:w="2141" w:type="dxa"/>
            <w:tcBorders>
              <w:top w:val="single" w:sz="4" w:space="0" w:color="000000"/>
              <w:left w:val="single" w:sz="4" w:space="0" w:color="000000"/>
              <w:bottom w:val="single" w:sz="4" w:space="0" w:color="000000"/>
              <w:right w:val="single" w:sz="4" w:space="0" w:color="000000"/>
            </w:tcBorders>
          </w:tcPr>
          <w:p>
            <w:pPr>
              <w:pStyle w:val="Normal"/>
              <w:snapToGrid w:val="false"/>
              <w:rPr>
                <w:color w:val="002060"/>
                <w:szCs w:val="24"/>
              </w:rPr>
            </w:pPr>
            <w:r>
              <w:rPr>
                <w:color w:val="002060"/>
                <w:szCs w:val="24"/>
              </w:rPr>
            </w:r>
          </w:p>
          <w:p>
            <w:pPr>
              <w:pStyle w:val="Normal"/>
              <w:rPr/>
            </w:pPr>
            <w:r>
              <w:rPr>
                <w:szCs w:val="24"/>
              </w:rPr>
              <w:t>Annex II, first paragraph, second sentence</w:t>
            </w:r>
          </w:p>
          <w:p>
            <w:pPr>
              <w:pStyle w:val="Normal"/>
              <w:spacing w:before="0" w:after="200"/>
              <w:rPr>
                <w:szCs w:val="24"/>
              </w:rPr>
            </w:pPr>
            <w:r>
              <w:rPr>
                <w:szCs w:val="24"/>
              </w:rPr>
            </w:r>
          </w:p>
        </w:tc>
        <w:tc>
          <w:tcPr>
            <w:tcW w:w="6783"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szCs w:val="24"/>
              </w:rPr>
            </w:pPr>
            <w:r>
              <w:rPr>
                <w:szCs w:val="24"/>
              </w:rPr>
              <w:t>Colour of honey</w:t>
            </w:r>
          </w:p>
          <w:p>
            <w:pPr>
              <w:pStyle w:val="Normal"/>
              <w:spacing w:before="0" w:after="200"/>
              <w:rPr>
                <w:szCs w:val="24"/>
              </w:rPr>
            </w:pPr>
            <w:r>
              <w:rPr>
                <w:szCs w:val="24"/>
              </w:rPr>
            </w:r>
          </w:p>
        </w:tc>
        <w:tc>
          <w:tcPr>
            <w:tcW w:w="6137"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pPr>
            <w:r>
              <w:rPr>
                <w:szCs w:val="24"/>
              </w:rPr>
              <w:t>Paragraph 2 Schedule 1</w:t>
            </w:r>
          </w:p>
          <w:p>
            <w:pPr>
              <w:pStyle w:val="Normal"/>
              <w:spacing w:before="0" w:after="200"/>
              <w:rPr>
                <w:szCs w:val="24"/>
              </w:rPr>
            </w:pPr>
            <w:r>
              <w:rPr>
                <w:szCs w:val="24"/>
              </w:rPr>
            </w:r>
          </w:p>
        </w:tc>
        <w:tc>
          <w:tcPr>
            <w:tcW w:w="6089" w:type="dxa"/>
            <w:tcBorders>
              <w:top w:val="single" w:sz="4" w:space="0" w:color="000000"/>
              <w:left w:val="single" w:sz="4" w:space="0" w:color="000000"/>
              <w:bottom w:val="single" w:sz="4" w:space="0" w:color="000000"/>
              <w:right w:val="single" w:sz="4" w:space="0" w:color="000000"/>
            </w:tcBorders>
          </w:tcPr>
          <w:p>
            <w:pPr>
              <w:pStyle w:val="Normal"/>
              <w:snapToGrid w:val="false"/>
              <w:spacing w:before="0" w:after="200"/>
              <w:rPr>
                <w:color w:val="002060"/>
                <w:szCs w:val="24"/>
              </w:rPr>
            </w:pPr>
            <w:r>
              <w:rPr>
                <w:color w:val="002060"/>
                <w:szCs w:val="24"/>
              </w:rPr>
            </w:r>
          </w:p>
        </w:tc>
      </w:tr>
      <w:tr>
        <w:trPr/>
        <w:tc>
          <w:tcPr>
            <w:tcW w:w="2141" w:type="dxa"/>
            <w:tcBorders>
              <w:top w:val="single" w:sz="4" w:space="0" w:color="000000"/>
              <w:left w:val="single" w:sz="4" w:space="0" w:color="000000"/>
              <w:bottom w:val="single" w:sz="4" w:space="0" w:color="000000"/>
              <w:right w:val="single" w:sz="4" w:space="0" w:color="000000"/>
            </w:tcBorders>
          </w:tcPr>
          <w:p>
            <w:pPr>
              <w:pStyle w:val="Normal"/>
              <w:snapToGrid w:val="false"/>
              <w:rPr>
                <w:color w:val="002060"/>
                <w:szCs w:val="24"/>
              </w:rPr>
            </w:pPr>
            <w:r>
              <w:rPr>
                <w:color w:val="002060"/>
                <w:szCs w:val="24"/>
              </w:rPr>
            </w:r>
          </w:p>
          <w:p>
            <w:pPr>
              <w:pStyle w:val="Normal"/>
              <w:rPr>
                <w:szCs w:val="24"/>
              </w:rPr>
            </w:pPr>
            <w:r>
              <w:rPr>
                <w:szCs w:val="24"/>
              </w:rPr>
              <w:t>Annex II, first paragraph, third sentence</w:t>
            </w:r>
          </w:p>
          <w:p>
            <w:pPr>
              <w:pStyle w:val="Normal"/>
              <w:rPr>
                <w:szCs w:val="24"/>
              </w:rPr>
            </w:pPr>
            <w:r>
              <w:rPr>
                <w:szCs w:val="24"/>
              </w:rPr>
            </w:r>
          </w:p>
          <w:p>
            <w:pPr>
              <w:pStyle w:val="Normal"/>
              <w:spacing w:before="0" w:after="200"/>
              <w:rPr>
                <w:szCs w:val="24"/>
              </w:rPr>
            </w:pPr>
            <w:r>
              <w:rPr>
                <w:szCs w:val="24"/>
              </w:rPr>
            </w:r>
          </w:p>
        </w:tc>
        <w:tc>
          <w:tcPr>
            <w:tcW w:w="6783"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szCs w:val="24"/>
              </w:rPr>
            </w:pPr>
            <w:r>
              <w:rPr>
                <w:szCs w:val="24"/>
              </w:rPr>
              <w:t>Consistency of honey</w:t>
            </w:r>
          </w:p>
          <w:p>
            <w:pPr>
              <w:pStyle w:val="Normal"/>
              <w:spacing w:before="0" w:after="200"/>
              <w:rPr>
                <w:szCs w:val="24"/>
              </w:rPr>
            </w:pPr>
            <w:r>
              <w:rPr>
                <w:szCs w:val="24"/>
              </w:rPr>
            </w:r>
          </w:p>
        </w:tc>
        <w:tc>
          <w:tcPr>
            <w:tcW w:w="6137"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pPr>
            <w:r>
              <w:rPr>
                <w:szCs w:val="24"/>
              </w:rPr>
              <w:t>Paragraph 3 of Schedule 1</w:t>
            </w:r>
          </w:p>
          <w:p>
            <w:pPr>
              <w:pStyle w:val="Normal"/>
              <w:spacing w:before="0" w:after="200"/>
              <w:rPr>
                <w:szCs w:val="24"/>
              </w:rPr>
            </w:pPr>
            <w:r>
              <w:rPr>
                <w:szCs w:val="24"/>
              </w:rPr>
            </w:r>
          </w:p>
        </w:tc>
        <w:tc>
          <w:tcPr>
            <w:tcW w:w="6089" w:type="dxa"/>
            <w:tcBorders>
              <w:top w:val="single" w:sz="4" w:space="0" w:color="000000"/>
              <w:left w:val="single" w:sz="4" w:space="0" w:color="000000"/>
              <w:bottom w:val="single" w:sz="4" w:space="0" w:color="000000"/>
              <w:right w:val="single" w:sz="4" w:space="0" w:color="000000"/>
            </w:tcBorders>
          </w:tcPr>
          <w:p>
            <w:pPr>
              <w:pStyle w:val="Normal"/>
              <w:snapToGrid w:val="false"/>
              <w:spacing w:before="0" w:after="200"/>
              <w:rPr>
                <w:color w:val="002060"/>
                <w:szCs w:val="24"/>
              </w:rPr>
            </w:pPr>
            <w:r>
              <w:rPr>
                <w:color w:val="002060"/>
                <w:szCs w:val="24"/>
              </w:rPr>
            </w:r>
          </w:p>
        </w:tc>
      </w:tr>
      <w:tr>
        <w:trPr>
          <w:cantSplit w:val="true"/>
        </w:trPr>
        <w:tc>
          <w:tcPr>
            <w:tcW w:w="2141" w:type="dxa"/>
            <w:tcBorders>
              <w:top w:val="single" w:sz="4" w:space="0" w:color="000000"/>
              <w:left w:val="single" w:sz="4" w:space="0" w:color="000000"/>
              <w:bottom w:val="single" w:sz="4" w:space="0" w:color="000000"/>
              <w:right w:val="single" w:sz="4" w:space="0" w:color="000000"/>
            </w:tcBorders>
          </w:tcPr>
          <w:p>
            <w:pPr>
              <w:pStyle w:val="Normal"/>
              <w:snapToGrid w:val="false"/>
              <w:rPr>
                <w:color w:val="002060"/>
                <w:szCs w:val="24"/>
              </w:rPr>
            </w:pPr>
            <w:r>
              <w:rPr>
                <w:color w:val="002060"/>
                <w:szCs w:val="24"/>
              </w:rPr>
            </w:r>
          </w:p>
          <w:p>
            <w:pPr>
              <w:pStyle w:val="Normal"/>
              <w:rPr>
                <w:szCs w:val="24"/>
              </w:rPr>
            </w:pPr>
            <w:r>
              <w:rPr>
                <w:szCs w:val="24"/>
              </w:rPr>
              <w:t>Annex II, first paragraph, fourth sentence</w:t>
            </w:r>
          </w:p>
          <w:p>
            <w:pPr>
              <w:pStyle w:val="Normal"/>
              <w:spacing w:before="0" w:after="200"/>
              <w:rPr>
                <w:szCs w:val="24"/>
              </w:rPr>
            </w:pPr>
            <w:r>
              <w:rPr>
                <w:szCs w:val="24"/>
              </w:rPr>
            </w:r>
          </w:p>
        </w:tc>
        <w:tc>
          <w:tcPr>
            <w:tcW w:w="6783"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szCs w:val="24"/>
              </w:rPr>
            </w:pPr>
            <w:r>
              <w:rPr>
                <w:szCs w:val="24"/>
              </w:rPr>
              <w:t>Flavour and aroma of honey</w:t>
            </w:r>
          </w:p>
          <w:p>
            <w:pPr>
              <w:pStyle w:val="Normal"/>
              <w:spacing w:before="0" w:after="200"/>
              <w:rPr>
                <w:szCs w:val="24"/>
              </w:rPr>
            </w:pPr>
            <w:r>
              <w:rPr>
                <w:szCs w:val="24"/>
              </w:rPr>
            </w:r>
          </w:p>
        </w:tc>
        <w:tc>
          <w:tcPr>
            <w:tcW w:w="6137"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pPr>
            <w:r>
              <w:rPr>
                <w:szCs w:val="24"/>
              </w:rPr>
              <w:t>Paragraph 4 of Schedule 1</w:t>
            </w:r>
          </w:p>
          <w:p>
            <w:pPr>
              <w:pStyle w:val="Normal"/>
              <w:spacing w:before="0" w:after="200"/>
              <w:rPr>
                <w:szCs w:val="24"/>
              </w:rPr>
            </w:pPr>
            <w:r>
              <w:rPr>
                <w:szCs w:val="24"/>
              </w:rPr>
            </w:r>
          </w:p>
        </w:tc>
        <w:tc>
          <w:tcPr>
            <w:tcW w:w="6089" w:type="dxa"/>
            <w:tcBorders>
              <w:top w:val="single" w:sz="4" w:space="0" w:color="000000"/>
              <w:left w:val="single" w:sz="4" w:space="0" w:color="000000"/>
              <w:bottom w:val="single" w:sz="4" w:space="0" w:color="000000"/>
              <w:right w:val="single" w:sz="4" w:space="0" w:color="000000"/>
            </w:tcBorders>
          </w:tcPr>
          <w:p>
            <w:pPr>
              <w:pStyle w:val="Normal"/>
              <w:snapToGrid w:val="false"/>
              <w:spacing w:before="0" w:after="200"/>
              <w:rPr>
                <w:color w:val="002060"/>
                <w:szCs w:val="24"/>
              </w:rPr>
            </w:pPr>
            <w:r>
              <w:rPr>
                <w:color w:val="002060"/>
                <w:szCs w:val="24"/>
              </w:rPr>
            </w:r>
          </w:p>
        </w:tc>
      </w:tr>
      <w:tr>
        <w:trPr/>
        <w:tc>
          <w:tcPr>
            <w:tcW w:w="2141" w:type="dxa"/>
            <w:tcBorders>
              <w:top w:val="single" w:sz="4" w:space="0" w:color="000000"/>
              <w:left w:val="single" w:sz="4" w:space="0" w:color="000000"/>
              <w:bottom w:val="single" w:sz="4" w:space="0" w:color="000000"/>
              <w:right w:val="single" w:sz="4" w:space="0" w:color="000000"/>
            </w:tcBorders>
          </w:tcPr>
          <w:p>
            <w:pPr>
              <w:pStyle w:val="Normal"/>
              <w:snapToGrid w:val="false"/>
              <w:rPr>
                <w:color w:val="002060"/>
                <w:szCs w:val="24"/>
              </w:rPr>
            </w:pPr>
            <w:r>
              <w:rPr>
                <w:color w:val="002060"/>
                <w:szCs w:val="24"/>
              </w:rPr>
            </w:r>
          </w:p>
          <w:p>
            <w:pPr>
              <w:pStyle w:val="Normal"/>
              <w:rPr>
                <w:szCs w:val="24"/>
              </w:rPr>
            </w:pPr>
            <w:r>
              <w:rPr>
                <w:szCs w:val="24"/>
              </w:rPr>
              <w:t>Annex II, second paragraph, first sentence</w:t>
            </w:r>
          </w:p>
          <w:p>
            <w:pPr>
              <w:pStyle w:val="Normal"/>
              <w:spacing w:before="0" w:after="200"/>
              <w:rPr>
                <w:szCs w:val="24"/>
              </w:rPr>
            </w:pPr>
            <w:r>
              <w:rPr>
                <w:szCs w:val="24"/>
              </w:rPr>
            </w:r>
          </w:p>
        </w:tc>
        <w:tc>
          <w:tcPr>
            <w:tcW w:w="6783"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szCs w:val="24"/>
              </w:rPr>
            </w:pPr>
            <w:r>
              <w:rPr>
                <w:szCs w:val="24"/>
              </w:rPr>
              <w:t>Prohibition of additions other than honey</w:t>
            </w:r>
          </w:p>
          <w:p>
            <w:pPr>
              <w:pStyle w:val="Normal"/>
              <w:spacing w:before="0" w:after="200"/>
              <w:rPr>
                <w:szCs w:val="24"/>
              </w:rPr>
            </w:pPr>
            <w:r>
              <w:rPr>
                <w:szCs w:val="24"/>
              </w:rPr>
            </w:r>
          </w:p>
        </w:tc>
        <w:tc>
          <w:tcPr>
            <w:tcW w:w="6137"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pPr>
            <w:r>
              <w:rPr>
                <w:szCs w:val="24"/>
              </w:rPr>
              <w:t>Paragraphs 5 and 6 of Schedule 1</w:t>
            </w:r>
          </w:p>
          <w:p>
            <w:pPr>
              <w:pStyle w:val="Normal"/>
              <w:spacing w:before="0" w:after="200"/>
              <w:rPr>
                <w:szCs w:val="24"/>
              </w:rPr>
            </w:pPr>
            <w:r>
              <w:rPr>
                <w:szCs w:val="24"/>
              </w:rPr>
            </w:r>
          </w:p>
        </w:tc>
        <w:tc>
          <w:tcPr>
            <w:tcW w:w="6089" w:type="dxa"/>
            <w:tcBorders>
              <w:top w:val="single" w:sz="4" w:space="0" w:color="000000"/>
              <w:left w:val="single" w:sz="4" w:space="0" w:color="000000"/>
              <w:bottom w:val="single" w:sz="4" w:space="0" w:color="000000"/>
              <w:right w:val="single" w:sz="4" w:space="0" w:color="000000"/>
            </w:tcBorders>
          </w:tcPr>
          <w:p>
            <w:pPr>
              <w:pStyle w:val="Normal"/>
              <w:snapToGrid w:val="false"/>
              <w:rPr>
                <w:color w:val="002060"/>
                <w:szCs w:val="24"/>
              </w:rPr>
            </w:pPr>
            <w:r>
              <w:rPr>
                <w:color w:val="002060"/>
                <w:szCs w:val="24"/>
              </w:rPr>
            </w:r>
          </w:p>
          <w:p>
            <w:pPr>
              <w:pStyle w:val="Normal"/>
              <w:spacing w:before="0" w:after="200"/>
              <w:rPr>
                <w:color w:val="002060"/>
                <w:szCs w:val="24"/>
              </w:rPr>
            </w:pPr>
            <w:r>
              <w:rPr>
                <w:color w:val="002060"/>
                <w:szCs w:val="24"/>
              </w:rPr>
            </w:r>
          </w:p>
        </w:tc>
      </w:tr>
      <w:tr>
        <w:trPr>
          <w:cantSplit w:val="true"/>
        </w:trPr>
        <w:tc>
          <w:tcPr>
            <w:tcW w:w="2141" w:type="dxa"/>
            <w:tcBorders>
              <w:top w:val="single" w:sz="4" w:space="0" w:color="000000"/>
              <w:left w:val="single" w:sz="4" w:space="0" w:color="000000"/>
              <w:bottom w:val="single" w:sz="4" w:space="0" w:color="000000"/>
              <w:right w:val="single" w:sz="4" w:space="0" w:color="000000"/>
            </w:tcBorders>
          </w:tcPr>
          <w:p>
            <w:pPr>
              <w:pStyle w:val="Normal"/>
              <w:snapToGrid w:val="false"/>
              <w:rPr>
                <w:color w:val="002060"/>
                <w:szCs w:val="24"/>
              </w:rPr>
            </w:pPr>
            <w:r>
              <w:rPr>
                <w:color w:val="002060"/>
                <w:szCs w:val="24"/>
              </w:rPr>
            </w:r>
          </w:p>
          <w:p>
            <w:pPr>
              <w:pStyle w:val="Normal"/>
              <w:rPr>
                <w:szCs w:val="24"/>
              </w:rPr>
            </w:pPr>
            <w:r>
              <w:rPr>
                <w:szCs w:val="24"/>
              </w:rPr>
              <w:t>Annex II, second paragraph, second sentence</w:t>
            </w:r>
          </w:p>
          <w:p>
            <w:pPr>
              <w:pStyle w:val="Normal"/>
              <w:spacing w:before="0" w:after="200"/>
              <w:rPr>
                <w:szCs w:val="24"/>
              </w:rPr>
            </w:pPr>
            <w:r>
              <w:rPr>
                <w:szCs w:val="24"/>
              </w:rPr>
            </w:r>
          </w:p>
        </w:tc>
        <w:tc>
          <w:tcPr>
            <w:tcW w:w="6783"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szCs w:val="24"/>
              </w:rPr>
            </w:pPr>
            <w:r>
              <w:rPr>
                <w:szCs w:val="24"/>
              </w:rPr>
              <w:t>Prohibition of foreign matters in honey</w:t>
            </w:r>
          </w:p>
          <w:p>
            <w:pPr>
              <w:pStyle w:val="Normal"/>
              <w:spacing w:before="0" w:after="200"/>
              <w:rPr>
                <w:szCs w:val="24"/>
              </w:rPr>
            </w:pPr>
            <w:r>
              <w:rPr>
                <w:szCs w:val="24"/>
              </w:rPr>
            </w:r>
          </w:p>
        </w:tc>
        <w:tc>
          <w:tcPr>
            <w:tcW w:w="6137"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pPr>
            <w:r>
              <w:rPr>
                <w:szCs w:val="24"/>
              </w:rPr>
              <w:t>Paragraph 7 of Schedule 1</w:t>
            </w:r>
          </w:p>
          <w:p>
            <w:pPr>
              <w:pStyle w:val="Normal"/>
              <w:spacing w:before="0" w:after="200"/>
              <w:rPr>
                <w:szCs w:val="24"/>
              </w:rPr>
            </w:pPr>
            <w:r>
              <w:rPr>
                <w:szCs w:val="24"/>
              </w:rPr>
            </w:r>
          </w:p>
        </w:tc>
        <w:tc>
          <w:tcPr>
            <w:tcW w:w="6089" w:type="dxa"/>
            <w:tcBorders>
              <w:top w:val="single" w:sz="4" w:space="0" w:color="000000"/>
              <w:left w:val="single" w:sz="4" w:space="0" w:color="000000"/>
              <w:bottom w:val="single" w:sz="4" w:space="0" w:color="000000"/>
              <w:right w:val="single" w:sz="4" w:space="0" w:color="000000"/>
            </w:tcBorders>
          </w:tcPr>
          <w:p>
            <w:pPr>
              <w:pStyle w:val="Normal"/>
              <w:snapToGrid w:val="false"/>
              <w:spacing w:before="0" w:after="200"/>
              <w:rPr>
                <w:color w:val="002060"/>
                <w:szCs w:val="24"/>
              </w:rPr>
            </w:pPr>
            <w:r>
              <w:rPr>
                <w:color w:val="002060"/>
                <w:szCs w:val="24"/>
              </w:rPr>
            </w:r>
          </w:p>
        </w:tc>
      </w:tr>
      <w:tr>
        <w:trPr>
          <w:cantSplit w:val="true"/>
        </w:trPr>
        <w:tc>
          <w:tcPr>
            <w:tcW w:w="2141" w:type="dxa"/>
            <w:tcBorders>
              <w:top w:val="single" w:sz="4" w:space="0" w:color="000000"/>
              <w:left w:val="single" w:sz="4" w:space="0" w:color="000000"/>
              <w:bottom w:val="single" w:sz="4" w:space="0" w:color="000000"/>
              <w:right w:val="single" w:sz="4" w:space="0" w:color="000000"/>
            </w:tcBorders>
          </w:tcPr>
          <w:p>
            <w:pPr>
              <w:pStyle w:val="Normal"/>
              <w:snapToGrid w:val="false"/>
              <w:rPr>
                <w:color w:val="002060"/>
                <w:szCs w:val="24"/>
              </w:rPr>
            </w:pPr>
            <w:r>
              <w:rPr>
                <w:color w:val="002060"/>
                <w:szCs w:val="24"/>
              </w:rPr>
            </w:r>
          </w:p>
          <w:p>
            <w:pPr>
              <w:pStyle w:val="Normal"/>
              <w:rPr>
                <w:szCs w:val="24"/>
              </w:rPr>
            </w:pPr>
            <w:r>
              <w:rPr>
                <w:szCs w:val="24"/>
              </w:rPr>
              <w:t>Annex II, second paragraph, third sentence</w:t>
            </w:r>
          </w:p>
          <w:p>
            <w:pPr>
              <w:pStyle w:val="Normal"/>
              <w:spacing w:before="0" w:after="200"/>
              <w:rPr>
                <w:szCs w:val="24"/>
              </w:rPr>
            </w:pPr>
            <w:r>
              <w:rPr>
                <w:szCs w:val="24"/>
              </w:rPr>
            </w:r>
          </w:p>
        </w:tc>
        <w:tc>
          <w:tcPr>
            <w:tcW w:w="6783"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pPr>
            <w:r>
              <w:rPr>
                <w:szCs w:val="24"/>
              </w:rPr>
              <w:t>Provisions for the condition of honey (except for baker’s honey)</w:t>
            </w:r>
          </w:p>
          <w:p>
            <w:pPr>
              <w:pStyle w:val="Normal"/>
              <w:spacing w:before="0" w:after="200"/>
              <w:rPr>
                <w:szCs w:val="24"/>
              </w:rPr>
            </w:pPr>
            <w:r>
              <w:rPr>
                <w:szCs w:val="24"/>
              </w:rPr>
            </w:r>
          </w:p>
        </w:tc>
        <w:tc>
          <w:tcPr>
            <w:tcW w:w="6137"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pPr>
            <w:r>
              <w:rPr>
                <w:szCs w:val="24"/>
              </w:rPr>
              <w:t>Paragraphs 8 and 9 of Schedule 1</w:t>
            </w:r>
          </w:p>
          <w:p>
            <w:pPr>
              <w:pStyle w:val="Normal"/>
              <w:spacing w:before="0" w:after="200"/>
              <w:rPr>
                <w:szCs w:val="24"/>
              </w:rPr>
            </w:pPr>
            <w:r>
              <w:rPr>
                <w:szCs w:val="24"/>
              </w:rPr>
            </w:r>
          </w:p>
        </w:tc>
        <w:tc>
          <w:tcPr>
            <w:tcW w:w="6089" w:type="dxa"/>
            <w:tcBorders>
              <w:top w:val="single" w:sz="4" w:space="0" w:color="000000"/>
              <w:left w:val="single" w:sz="4" w:space="0" w:color="000000"/>
              <w:bottom w:val="single" w:sz="4" w:space="0" w:color="000000"/>
              <w:right w:val="single" w:sz="4" w:space="0" w:color="000000"/>
            </w:tcBorders>
          </w:tcPr>
          <w:p>
            <w:pPr>
              <w:pStyle w:val="Normal"/>
              <w:snapToGrid w:val="false"/>
              <w:spacing w:before="0" w:after="200"/>
              <w:rPr>
                <w:color w:val="002060"/>
                <w:szCs w:val="24"/>
              </w:rPr>
            </w:pPr>
            <w:r>
              <w:rPr>
                <w:color w:val="002060"/>
                <w:szCs w:val="24"/>
              </w:rPr>
            </w:r>
          </w:p>
        </w:tc>
      </w:tr>
      <w:tr>
        <w:trPr/>
        <w:tc>
          <w:tcPr>
            <w:tcW w:w="2141" w:type="dxa"/>
            <w:tcBorders>
              <w:top w:val="single" w:sz="4" w:space="0" w:color="000000"/>
              <w:left w:val="single" w:sz="4" w:space="0" w:color="000000"/>
              <w:bottom w:val="single" w:sz="4" w:space="0" w:color="000000"/>
              <w:right w:val="single" w:sz="4" w:space="0" w:color="000000"/>
            </w:tcBorders>
          </w:tcPr>
          <w:p>
            <w:pPr>
              <w:pStyle w:val="Normal"/>
              <w:snapToGrid w:val="false"/>
              <w:rPr>
                <w:color w:val="002060"/>
                <w:szCs w:val="24"/>
              </w:rPr>
            </w:pPr>
            <w:r>
              <w:rPr>
                <w:color w:val="002060"/>
                <w:szCs w:val="24"/>
              </w:rPr>
            </w:r>
          </w:p>
          <w:p>
            <w:pPr>
              <w:pStyle w:val="Normal"/>
              <w:rPr>
                <w:szCs w:val="24"/>
              </w:rPr>
            </w:pPr>
            <w:r>
              <w:rPr>
                <w:szCs w:val="24"/>
              </w:rPr>
              <w:t>Annex II, third paragraph</w:t>
            </w:r>
          </w:p>
          <w:p>
            <w:pPr>
              <w:pStyle w:val="Normal"/>
              <w:spacing w:before="0" w:after="200"/>
              <w:rPr>
                <w:szCs w:val="24"/>
              </w:rPr>
            </w:pPr>
            <w:r>
              <w:rPr>
                <w:szCs w:val="24"/>
              </w:rPr>
            </w:r>
          </w:p>
        </w:tc>
        <w:tc>
          <w:tcPr>
            <w:tcW w:w="6783"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szCs w:val="24"/>
              </w:rPr>
            </w:pPr>
            <w:r>
              <w:rPr>
                <w:szCs w:val="24"/>
              </w:rPr>
              <w:t>Prohibition on the removal of pollen and other constituent particulars in honey (except in filtered honey)</w:t>
            </w:r>
          </w:p>
          <w:p>
            <w:pPr>
              <w:pStyle w:val="Normal"/>
              <w:spacing w:before="0" w:after="200"/>
              <w:rPr>
                <w:szCs w:val="24"/>
              </w:rPr>
            </w:pPr>
            <w:r>
              <w:rPr>
                <w:szCs w:val="24"/>
              </w:rPr>
            </w:r>
          </w:p>
        </w:tc>
        <w:tc>
          <w:tcPr>
            <w:tcW w:w="6137"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pPr>
            <w:r>
              <w:rPr>
                <w:szCs w:val="24"/>
              </w:rPr>
              <w:t>Paragraphs 10 and 11 of Schedule 1</w:t>
            </w:r>
          </w:p>
          <w:p>
            <w:pPr>
              <w:pStyle w:val="Normal"/>
              <w:rPr>
                <w:szCs w:val="24"/>
              </w:rPr>
            </w:pPr>
            <w:r>
              <w:rPr>
                <w:szCs w:val="24"/>
              </w:rPr>
            </w:r>
          </w:p>
          <w:p>
            <w:pPr>
              <w:pStyle w:val="Normal"/>
              <w:spacing w:before="0" w:after="200"/>
              <w:rPr>
                <w:szCs w:val="24"/>
              </w:rPr>
            </w:pPr>
            <w:r>
              <w:rPr>
                <w:szCs w:val="24"/>
              </w:rPr>
            </w:r>
          </w:p>
        </w:tc>
        <w:tc>
          <w:tcPr>
            <w:tcW w:w="6089" w:type="dxa"/>
            <w:tcBorders>
              <w:top w:val="single" w:sz="4" w:space="0" w:color="000000"/>
              <w:left w:val="single" w:sz="4" w:space="0" w:color="000000"/>
              <w:bottom w:val="single" w:sz="4" w:space="0" w:color="000000"/>
              <w:right w:val="single" w:sz="4" w:space="0" w:color="000000"/>
            </w:tcBorders>
          </w:tcPr>
          <w:p>
            <w:pPr>
              <w:pStyle w:val="Normal"/>
              <w:snapToGrid w:val="false"/>
              <w:spacing w:before="0" w:after="200"/>
              <w:rPr>
                <w:color w:val="002060"/>
                <w:szCs w:val="24"/>
              </w:rPr>
            </w:pPr>
            <w:r>
              <w:rPr>
                <w:color w:val="002060"/>
                <w:szCs w:val="24"/>
              </w:rPr>
            </w:r>
          </w:p>
        </w:tc>
      </w:tr>
      <w:tr>
        <w:trPr/>
        <w:tc>
          <w:tcPr>
            <w:tcW w:w="2141" w:type="dxa"/>
            <w:tcBorders>
              <w:top w:val="single" w:sz="4" w:space="0" w:color="000000"/>
              <w:left w:val="single" w:sz="4" w:space="0" w:color="000000"/>
              <w:bottom w:val="single" w:sz="4" w:space="0" w:color="000000"/>
              <w:right w:val="single" w:sz="4" w:space="0" w:color="000000"/>
            </w:tcBorders>
          </w:tcPr>
          <w:p>
            <w:pPr>
              <w:pStyle w:val="Normal"/>
              <w:snapToGrid w:val="false"/>
              <w:rPr>
                <w:color w:val="002060"/>
                <w:szCs w:val="24"/>
              </w:rPr>
            </w:pPr>
            <w:r>
              <w:rPr>
                <w:color w:val="002060"/>
                <w:szCs w:val="24"/>
              </w:rPr>
            </w:r>
          </w:p>
          <w:p>
            <w:pPr>
              <w:pStyle w:val="Normal"/>
              <w:rPr/>
            </w:pPr>
            <w:r>
              <w:rPr>
                <w:szCs w:val="24"/>
              </w:rPr>
              <w:t xml:space="preserve">Annex II, fourth paragraph </w:t>
            </w:r>
          </w:p>
          <w:p>
            <w:pPr>
              <w:pStyle w:val="Normal"/>
              <w:spacing w:before="0" w:after="200"/>
              <w:rPr>
                <w:szCs w:val="24"/>
              </w:rPr>
            </w:pPr>
            <w:r>
              <w:rPr>
                <w:szCs w:val="24"/>
              </w:rPr>
            </w:r>
          </w:p>
        </w:tc>
        <w:tc>
          <w:tcPr>
            <w:tcW w:w="6783"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pPr>
            <w:r>
              <w:rPr>
                <w:szCs w:val="24"/>
              </w:rPr>
              <w:t>Detailed compositional  criteria for honey</w:t>
            </w:r>
          </w:p>
          <w:p>
            <w:pPr>
              <w:pStyle w:val="Normal"/>
              <w:spacing w:before="0" w:after="200"/>
              <w:rPr>
                <w:szCs w:val="24"/>
              </w:rPr>
            </w:pPr>
            <w:r>
              <w:rPr>
                <w:szCs w:val="24"/>
              </w:rPr>
            </w:r>
          </w:p>
        </w:tc>
        <w:tc>
          <w:tcPr>
            <w:tcW w:w="6137"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widowControl/>
              <w:bidi w:val="0"/>
              <w:spacing w:lineRule="auto" w:line="276" w:before="0" w:after="200"/>
              <w:rPr>
                <w:szCs w:val="24"/>
              </w:rPr>
            </w:pPr>
            <w:r>
              <w:rPr>
                <w:szCs w:val="24"/>
              </w:rPr>
              <w:t>Paragraph 12 of Schedule 1</w:t>
            </w:r>
          </w:p>
        </w:tc>
        <w:tc>
          <w:tcPr>
            <w:tcW w:w="6089" w:type="dxa"/>
            <w:tcBorders>
              <w:top w:val="single" w:sz="4" w:space="0" w:color="000000"/>
              <w:left w:val="single" w:sz="4" w:space="0" w:color="000000"/>
              <w:bottom w:val="single" w:sz="4" w:space="0" w:color="000000"/>
              <w:right w:val="single" w:sz="4" w:space="0" w:color="000000"/>
            </w:tcBorders>
          </w:tcPr>
          <w:p>
            <w:pPr>
              <w:pStyle w:val="Normal"/>
              <w:snapToGrid w:val="false"/>
              <w:rPr>
                <w:color w:val="002060"/>
                <w:szCs w:val="24"/>
              </w:rPr>
            </w:pPr>
            <w:r>
              <w:rPr>
                <w:color w:val="002060"/>
                <w:szCs w:val="24"/>
              </w:rPr>
            </w:r>
          </w:p>
          <w:p>
            <w:pPr>
              <w:pStyle w:val="Normal"/>
              <w:spacing w:before="0" w:after="200"/>
              <w:rPr>
                <w:color w:val="002060"/>
                <w:szCs w:val="24"/>
              </w:rPr>
            </w:pPr>
            <w:r>
              <w:rPr>
                <w:color w:val="002060"/>
                <w:szCs w:val="24"/>
              </w:rPr>
            </w:r>
          </w:p>
        </w:tc>
      </w:tr>
      <w:tr>
        <w:trPr/>
        <w:tc>
          <w:tcPr>
            <w:tcW w:w="2141" w:type="dxa"/>
            <w:tcBorders>
              <w:top w:val="single" w:sz="4" w:space="0" w:color="000000"/>
              <w:left w:val="single" w:sz="4" w:space="0" w:color="000000"/>
              <w:bottom w:val="single" w:sz="4" w:space="0" w:color="000000"/>
              <w:right w:val="single" w:sz="4" w:space="0" w:color="000000"/>
            </w:tcBorders>
          </w:tcPr>
          <w:p>
            <w:pPr>
              <w:pStyle w:val="Normal"/>
              <w:snapToGrid w:val="false"/>
              <w:rPr>
                <w:color w:val="002060"/>
                <w:szCs w:val="24"/>
              </w:rPr>
            </w:pPr>
            <w:r>
              <w:rPr>
                <w:color w:val="002060"/>
                <w:szCs w:val="24"/>
              </w:rPr>
            </w:r>
          </w:p>
          <w:p>
            <w:pPr>
              <w:pStyle w:val="Normal"/>
              <w:rPr>
                <w:szCs w:val="24"/>
              </w:rPr>
            </w:pPr>
            <w:r>
              <w:rPr>
                <w:szCs w:val="24"/>
              </w:rPr>
              <w:t>Annex II, fourth paragraph,</w:t>
            </w:r>
          </w:p>
          <w:p>
            <w:pPr>
              <w:pStyle w:val="Normal"/>
              <w:rPr>
                <w:szCs w:val="24"/>
              </w:rPr>
            </w:pPr>
            <w:r>
              <w:rPr>
                <w:szCs w:val="24"/>
              </w:rPr>
              <w:t>point 1</w:t>
            </w:r>
          </w:p>
          <w:p>
            <w:pPr>
              <w:pStyle w:val="Normal"/>
              <w:spacing w:before="0" w:after="200"/>
              <w:rPr>
                <w:szCs w:val="24"/>
              </w:rPr>
            </w:pPr>
            <w:r>
              <w:rPr>
                <w:szCs w:val="24"/>
              </w:rPr>
            </w:r>
          </w:p>
        </w:tc>
        <w:tc>
          <w:tcPr>
            <w:tcW w:w="6783"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spacing w:before="0" w:after="200"/>
              <w:rPr>
                <w:szCs w:val="24"/>
              </w:rPr>
            </w:pPr>
            <w:r>
              <w:rPr>
                <w:szCs w:val="24"/>
              </w:rPr>
              <w:t>Sugar content</w:t>
            </w:r>
          </w:p>
        </w:tc>
        <w:tc>
          <w:tcPr>
            <w:tcW w:w="6137"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widowControl/>
              <w:bidi w:val="0"/>
              <w:spacing w:lineRule="auto" w:line="276" w:before="0" w:after="200"/>
              <w:rPr/>
            </w:pPr>
            <w:r>
              <w:rPr>
                <w:szCs w:val="24"/>
              </w:rPr>
              <w:t>Entry 1 of the paragraph 12 table in Schedule 1</w:t>
            </w:r>
          </w:p>
        </w:tc>
        <w:tc>
          <w:tcPr>
            <w:tcW w:w="6089" w:type="dxa"/>
            <w:tcBorders>
              <w:top w:val="single" w:sz="4" w:space="0" w:color="000000"/>
              <w:left w:val="single" w:sz="4" w:space="0" w:color="000000"/>
              <w:bottom w:val="single" w:sz="4" w:space="0" w:color="000000"/>
              <w:right w:val="single" w:sz="4" w:space="0" w:color="000000"/>
            </w:tcBorders>
          </w:tcPr>
          <w:p>
            <w:pPr>
              <w:pStyle w:val="Normal"/>
              <w:snapToGrid w:val="false"/>
              <w:spacing w:before="0" w:after="200"/>
              <w:rPr>
                <w:color w:val="002060"/>
                <w:szCs w:val="24"/>
              </w:rPr>
            </w:pPr>
            <w:r>
              <w:rPr>
                <w:color w:val="002060"/>
                <w:szCs w:val="24"/>
              </w:rPr>
            </w:r>
          </w:p>
        </w:tc>
      </w:tr>
      <w:tr>
        <w:trPr>
          <w:cantSplit w:val="true"/>
        </w:trPr>
        <w:tc>
          <w:tcPr>
            <w:tcW w:w="2141" w:type="dxa"/>
            <w:tcBorders>
              <w:top w:val="single" w:sz="4" w:space="0" w:color="000000"/>
              <w:left w:val="single" w:sz="4" w:space="0" w:color="000000"/>
              <w:bottom w:val="single" w:sz="4" w:space="0" w:color="000000"/>
              <w:right w:val="single" w:sz="4" w:space="0" w:color="000000"/>
            </w:tcBorders>
          </w:tcPr>
          <w:p>
            <w:pPr>
              <w:pStyle w:val="Normal"/>
              <w:snapToGrid w:val="false"/>
              <w:rPr>
                <w:color w:val="002060"/>
                <w:szCs w:val="24"/>
              </w:rPr>
            </w:pPr>
            <w:r>
              <w:rPr>
                <w:color w:val="002060"/>
                <w:szCs w:val="24"/>
              </w:rPr>
            </w:r>
          </w:p>
          <w:p>
            <w:pPr>
              <w:pStyle w:val="Normal"/>
              <w:rPr>
                <w:szCs w:val="24"/>
              </w:rPr>
            </w:pPr>
            <w:r>
              <w:rPr>
                <w:szCs w:val="24"/>
              </w:rPr>
              <w:t>Annex II, fourth paragraph,</w:t>
            </w:r>
          </w:p>
          <w:p>
            <w:pPr>
              <w:pStyle w:val="Normal"/>
              <w:rPr>
                <w:szCs w:val="24"/>
              </w:rPr>
            </w:pPr>
            <w:r>
              <w:rPr>
                <w:szCs w:val="24"/>
              </w:rPr>
              <w:t>point 1.1</w:t>
            </w:r>
          </w:p>
          <w:p>
            <w:pPr>
              <w:pStyle w:val="Normal"/>
              <w:spacing w:before="0" w:after="200"/>
              <w:rPr>
                <w:szCs w:val="24"/>
              </w:rPr>
            </w:pPr>
            <w:r>
              <w:rPr>
                <w:szCs w:val="24"/>
              </w:rPr>
            </w:r>
          </w:p>
        </w:tc>
        <w:tc>
          <w:tcPr>
            <w:tcW w:w="6783"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szCs w:val="24"/>
              </w:rPr>
            </w:pPr>
            <w:r>
              <w:rPr>
                <w:szCs w:val="24"/>
              </w:rPr>
              <w:t>Fructose and glucose content (sum of both)</w:t>
            </w:r>
          </w:p>
          <w:p>
            <w:pPr>
              <w:pStyle w:val="Normal"/>
              <w:spacing w:before="0" w:after="200"/>
              <w:rPr>
                <w:szCs w:val="24"/>
              </w:rPr>
            </w:pPr>
            <w:r>
              <w:rPr>
                <w:szCs w:val="24"/>
              </w:rPr>
            </w:r>
          </w:p>
        </w:tc>
        <w:tc>
          <w:tcPr>
            <w:tcW w:w="6137"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pPr>
            <w:r>
              <w:rPr>
                <w:szCs w:val="24"/>
              </w:rPr>
              <w:t>Entry 1(1) of the paragraph 12 table in Schedule 1</w:t>
            </w:r>
          </w:p>
          <w:p>
            <w:pPr>
              <w:pStyle w:val="Normal"/>
              <w:spacing w:before="0" w:after="200"/>
              <w:rPr>
                <w:szCs w:val="24"/>
              </w:rPr>
            </w:pPr>
            <w:r>
              <w:rPr>
                <w:szCs w:val="24"/>
              </w:rPr>
            </w:r>
          </w:p>
        </w:tc>
        <w:tc>
          <w:tcPr>
            <w:tcW w:w="6089" w:type="dxa"/>
            <w:tcBorders>
              <w:top w:val="single" w:sz="4" w:space="0" w:color="000000"/>
              <w:left w:val="single" w:sz="4" w:space="0" w:color="000000"/>
              <w:bottom w:val="single" w:sz="4" w:space="0" w:color="000000"/>
              <w:right w:val="single" w:sz="4" w:space="0" w:color="000000"/>
            </w:tcBorders>
          </w:tcPr>
          <w:p>
            <w:pPr>
              <w:pStyle w:val="Normal"/>
              <w:snapToGrid w:val="false"/>
              <w:spacing w:before="0" w:after="200"/>
              <w:rPr>
                <w:color w:val="002060"/>
                <w:szCs w:val="24"/>
              </w:rPr>
            </w:pPr>
            <w:r>
              <w:rPr>
                <w:color w:val="002060"/>
                <w:szCs w:val="24"/>
              </w:rPr>
            </w:r>
          </w:p>
        </w:tc>
      </w:tr>
      <w:tr>
        <w:trPr/>
        <w:tc>
          <w:tcPr>
            <w:tcW w:w="2141" w:type="dxa"/>
            <w:tcBorders>
              <w:top w:val="single" w:sz="4" w:space="0" w:color="000000"/>
              <w:left w:val="single" w:sz="4" w:space="0" w:color="000000"/>
              <w:bottom w:val="single" w:sz="4" w:space="0" w:color="000000"/>
              <w:right w:val="single" w:sz="4" w:space="0" w:color="000000"/>
            </w:tcBorders>
          </w:tcPr>
          <w:p>
            <w:pPr>
              <w:pStyle w:val="Normal"/>
              <w:snapToGrid w:val="false"/>
              <w:rPr>
                <w:color w:val="002060"/>
                <w:szCs w:val="24"/>
              </w:rPr>
            </w:pPr>
            <w:r>
              <w:rPr>
                <w:color w:val="002060"/>
                <w:szCs w:val="24"/>
              </w:rPr>
            </w:r>
          </w:p>
          <w:p>
            <w:pPr>
              <w:pStyle w:val="Normal"/>
              <w:rPr>
                <w:szCs w:val="24"/>
              </w:rPr>
            </w:pPr>
            <w:r>
              <w:rPr>
                <w:szCs w:val="24"/>
              </w:rPr>
              <w:t>Annex II, fourth paragraph,</w:t>
            </w:r>
          </w:p>
          <w:p>
            <w:pPr>
              <w:pStyle w:val="Normal"/>
              <w:rPr>
                <w:szCs w:val="24"/>
              </w:rPr>
            </w:pPr>
            <w:r>
              <w:rPr>
                <w:szCs w:val="24"/>
              </w:rPr>
              <w:t>point 1.1, first indent</w:t>
            </w:r>
          </w:p>
          <w:p>
            <w:pPr>
              <w:pStyle w:val="Normal"/>
              <w:spacing w:before="0" w:after="200"/>
              <w:rPr>
                <w:szCs w:val="24"/>
              </w:rPr>
            </w:pPr>
            <w:r>
              <w:rPr>
                <w:szCs w:val="24"/>
              </w:rPr>
            </w:r>
          </w:p>
        </w:tc>
        <w:tc>
          <w:tcPr>
            <w:tcW w:w="6783"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pPr>
            <w:r>
              <w:rPr>
                <w:szCs w:val="24"/>
              </w:rPr>
              <w:t>Blossom honey</w:t>
            </w:r>
          </w:p>
          <w:p>
            <w:pPr>
              <w:pStyle w:val="Normal"/>
              <w:rPr>
                <w:szCs w:val="24"/>
              </w:rPr>
            </w:pPr>
            <w:r>
              <w:rPr>
                <w:szCs w:val="24"/>
              </w:rPr>
            </w:r>
          </w:p>
          <w:p>
            <w:pPr>
              <w:pStyle w:val="Normal"/>
              <w:spacing w:before="0" w:after="200"/>
              <w:rPr>
                <w:szCs w:val="24"/>
              </w:rPr>
            </w:pPr>
            <w:r>
              <w:rPr>
                <w:szCs w:val="24"/>
              </w:rPr>
            </w:r>
          </w:p>
        </w:tc>
        <w:tc>
          <w:tcPr>
            <w:tcW w:w="6137"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pPr>
            <w:r>
              <w:rPr>
                <w:szCs w:val="24"/>
              </w:rPr>
              <w:t>Entry 1(1)(a) of the paragraph 12 table in Schedule 1</w:t>
            </w:r>
          </w:p>
          <w:p>
            <w:pPr>
              <w:pStyle w:val="Normal"/>
              <w:rPr>
                <w:szCs w:val="24"/>
              </w:rPr>
            </w:pPr>
            <w:r>
              <w:rPr>
                <w:szCs w:val="24"/>
              </w:rPr>
            </w:r>
          </w:p>
          <w:p>
            <w:pPr>
              <w:pStyle w:val="Normal"/>
              <w:spacing w:before="0" w:after="200"/>
              <w:rPr>
                <w:szCs w:val="24"/>
              </w:rPr>
            </w:pPr>
            <w:r>
              <w:rPr>
                <w:szCs w:val="24"/>
              </w:rPr>
            </w:r>
          </w:p>
        </w:tc>
        <w:tc>
          <w:tcPr>
            <w:tcW w:w="6089" w:type="dxa"/>
            <w:tcBorders>
              <w:top w:val="single" w:sz="4" w:space="0" w:color="000000"/>
              <w:left w:val="single" w:sz="4" w:space="0" w:color="000000"/>
              <w:bottom w:val="single" w:sz="4" w:space="0" w:color="000000"/>
              <w:right w:val="single" w:sz="4" w:space="0" w:color="000000"/>
            </w:tcBorders>
          </w:tcPr>
          <w:p>
            <w:pPr>
              <w:pStyle w:val="Normal"/>
              <w:snapToGrid w:val="false"/>
              <w:spacing w:before="0" w:after="200"/>
              <w:rPr>
                <w:color w:val="002060"/>
                <w:szCs w:val="24"/>
              </w:rPr>
            </w:pPr>
            <w:r>
              <w:rPr>
                <w:color w:val="002060"/>
                <w:szCs w:val="24"/>
              </w:rPr>
            </w:r>
          </w:p>
        </w:tc>
      </w:tr>
      <w:tr>
        <w:trPr>
          <w:cantSplit w:val="true"/>
        </w:trPr>
        <w:tc>
          <w:tcPr>
            <w:tcW w:w="2141" w:type="dxa"/>
            <w:tcBorders>
              <w:top w:val="single" w:sz="4" w:space="0" w:color="000000"/>
              <w:left w:val="single" w:sz="4" w:space="0" w:color="000000"/>
              <w:bottom w:val="single" w:sz="4" w:space="0" w:color="000000"/>
              <w:right w:val="single" w:sz="4" w:space="0" w:color="000000"/>
            </w:tcBorders>
          </w:tcPr>
          <w:p>
            <w:pPr>
              <w:pStyle w:val="Normal"/>
              <w:snapToGrid w:val="false"/>
              <w:rPr>
                <w:color w:val="002060"/>
                <w:szCs w:val="24"/>
              </w:rPr>
            </w:pPr>
            <w:r>
              <w:rPr>
                <w:color w:val="002060"/>
                <w:szCs w:val="24"/>
              </w:rPr>
            </w:r>
          </w:p>
          <w:p>
            <w:pPr>
              <w:pStyle w:val="Normal"/>
              <w:rPr>
                <w:szCs w:val="24"/>
              </w:rPr>
            </w:pPr>
            <w:r>
              <w:rPr>
                <w:szCs w:val="24"/>
              </w:rPr>
              <w:t>Annex II, fourth paragraph,</w:t>
            </w:r>
          </w:p>
          <w:p>
            <w:pPr>
              <w:pStyle w:val="Normal"/>
              <w:rPr>
                <w:szCs w:val="24"/>
              </w:rPr>
            </w:pPr>
            <w:r>
              <w:rPr>
                <w:szCs w:val="24"/>
              </w:rPr>
              <w:t>point 1.1, second indent</w:t>
            </w:r>
          </w:p>
          <w:p>
            <w:pPr>
              <w:pStyle w:val="Normal"/>
              <w:spacing w:before="0" w:after="200"/>
              <w:rPr>
                <w:color w:val="002060"/>
                <w:szCs w:val="24"/>
              </w:rPr>
            </w:pPr>
            <w:r>
              <w:rPr>
                <w:color w:val="002060"/>
                <w:szCs w:val="24"/>
              </w:rPr>
            </w:r>
          </w:p>
        </w:tc>
        <w:tc>
          <w:tcPr>
            <w:tcW w:w="6783" w:type="dxa"/>
            <w:tcBorders>
              <w:top w:val="single" w:sz="4" w:space="0" w:color="000000"/>
              <w:left w:val="single" w:sz="4" w:space="0" w:color="000000"/>
              <w:bottom w:val="single" w:sz="4" w:space="0" w:color="000000"/>
              <w:right w:val="single" w:sz="4" w:space="0" w:color="000000"/>
            </w:tcBorders>
          </w:tcPr>
          <w:p>
            <w:pPr>
              <w:pStyle w:val="Normal"/>
              <w:snapToGrid w:val="false"/>
              <w:rPr>
                <w:color w:val="002060"/>
                <w:szCs w:val="24"/>
              </w:rPr>
            </w:pPr>
            <w:r>
              <w:rPr>
                <w:color w:val="002060"/>
                <w:szCs w:val="24"/>
              </w:rPr>
            </w:r>
          </w:p>
          <w:p>
            <w:pPr>
              <w:pStyle w:val="Normal"/>
              <w:rPr/>
            </w:pPr>
            <w:r>
              <w:rPr>
                <w:szCs w:val="24"/>
              </w:rPr>
              <w:t>Honeydew honey, blends of honeydew honey with blossom honey</w:t>
            </w:r>
          </w:p>
          <w:p>
            <w:pPr>
              <w:pStyle w:val="Normal"/>
              <w:spacing w:before="0" w:after="200"/>
              <w:rPr>
                <w:color w:val="002060"/>
                <w:szCs w:val="24"/>
              </w:rPr>
            </w:pPr>
            <w:r>
              <w:rPr>
                <w:color w:val="002060"/>
                <w:szCs w:val="24"/>
              </w:rPr>
            </w:r>
          </w:p>
        </w:tc>
        <w:tc>
          <w:tcPr>
            <w:tcW w:w="6137" w:type="dxa"/>
            <w:tcBorders>
              <w:top w:val="single" w:sz="4" w:space="0" w:color="000000"/>
              <w:left w:val="single" w:sz="4" w:space="0" w:color="000000"/>
              <w:bottom w:val="single" w:sz="4" w:space="0" w:color="000000"/>
              <w:right w:val="single" w:sz="4" w:space="0" w:color="000000"/>
            </w:tcBorders>
          </w:tcPr>
          <w:p>
            <w:pPr>
              <w:pStyle w:val="Normal"/>
              <w:snapToGrid w:val="false"/>
              <w:rPr>
                <w:color w:val="002060"/>
                <w:szCs w:val="24"/>
              </w:rPr>
            </w:pPr>
            <w:r>
              <w:rPr>
                <w:color w:val="002060"/>
                <w:szCs w:val="24"/>
              </w:rPr>
            </w:r>
          </w:p>
          <w:p>
            <w:pPr>
              <w:pStyle w:val="Normal"/>
              <w:rPr/>
            </w:pPr>
            <w:r>
              <w:rPr>
                <w:szCs w:val="24"/>
              </w:rPr>
              <w:t>Entry 1(1)(b) of the paragraph 12 table in Schedule 1</w:t>
            </w:r>
          </w:p>
          <w:p>
            <w:pPr>
              <w:pStyle w:val="Normal"/>
              <w:spacing w:before="0" w:after="200"/>
              <w:rPr>
                <w:color w:val="002060"/>
                <w:szCs w:val="24"/>
              </w:rPr>
            </w:pPr>
            <w:r>
              <w:rPr>
                <w:color w:val="002060"/>
                <w:szCs w:val="24"/>
              </w:rPr>
            </w:r>
          </w:p>
        </w:tc>
        <w:tc>
          <w:tcPr>
            <w:tcW w:w="6089" w:type="dxa"/>
            <w:tcBorders>
              <w:top w:val="single" w:sz="4" w:space="0" w:color="000000"/>
              <w:left w:val="single" w:sz="4" w:space="0" w:color="000000"/>
              <w:bottom w:val="single" w:sz="4" w:space="0" w:color="000000"/>
              <w:right w:val="single" w:sz="4" w:space="0" w:color="000000"/>
            </w:tcBorders>
          </w:tcPr>
          <w:p>
            <w:pPr>
              <w:pStyle w:val="Normal"/>
              <w:snapToGrid w:val="false"/>
              <w:spacing w:before="0" w:after="200"/>
              <w:rPr>
                <w:color w:val="002060"/>
                <w:szCs w:val="24"/>
              </w:rPr>
            </w:pPr>
            <w:r>
              <w:rPr>
                <w:color w:val="002060"/>
                <w:szCs w:val="24"/>
              </w:rPr>
            </w:r>
          </w:p>
        </w:tc>
      </w:tr>
      <w:tr>
        <w:trPr/>
        <w:tc>
          <w:tcPr>
            <w:tcW w:w="2141" w:type="dxa"/>
            <w:tcBorders>
              <w:top w:val="single" w:sz="4" w:space="0" w:color="000000"/>
              <w:left w:val="single" w:sz="4" w:space="0" w:color="000000"/>
              <w:bottom w:val="single" w:sz="4" w:space="0" w:color="000000"/>
              <w:right w:val="single" w:sz="4" w:space="0" w:color="000000"/>
            </w:tcBorders>
            <w:shd w:fill="FABF8F" w:val="clear"/>
          </w:tcPr>
          <w:p>
            <w:pPr>
              <w:pStyle w:val="Normal"/>
              <w:snapToGrid w:val="false"/>
              <w:rPr>
                <w:color w:val="002060"/>
                <w:szCs w:val="24"/>
              </w:rPr>
            </w:pPr>
            <w:r>
              <w:rPr>
                <w:color w:val="002060"/>
                <w:szCs w:val="24"/>
              </w:rPr>
            </w:r>
          </w:p>
          <w:p>
            <w:pPr>
              <w:pStyle w:val="Normal"/>
              <w:rPr>
                <w:szCs w:val="24"/>
              </w:rPr>
            </w:pPr>
            <w:r>
              <w:rPr>
                <w:szCs w:val="24"/>
              </w:rPr>
              <w:t>Annex II, fourth paragraph,</w:t>
            </w:r>
          </w:p>
          <w:p>
            <w:pPr>
              <w:pStyle w:val="Normal"/>
              <w:rPr>
                <w:szCs w:val="24"/>
              </w:rPr>
            </w:pPr>
            <w:r>
              <w:rPr>
                <w:szCs w:val="24"/>
              </w:rPr>
              <w:t xml:space="preserve">point 1.2 </w:t>
            </w:r>
          </w:p>
          <w:p>
            <w:pPr>
              <w:pStyle w:val="Normal"/>
              <w:spacing w:before="0" w:after="200"/>
              <w:rPr>
                <w:szCs w:val="24"/>
              </w:rPr>
            </w:pPr>
            <w:r>
              <w:rPr>
                <w:szCs w:val="24"/>
              </w:rPr>
            </w:r>
          </w:p>
        </w:tc>
        <w:tc>
          <w:tcPr>
            <w:tcW w:w="6783" w:type="dxa"/>
            <w:tcBorders>
              <w:top w:val="single" w:sz="4" w:space="0" w:color="000000"/>
              <w:left w:val="single" w:sz="4" w:space="0" w:color="000000"/>
              <w:bottom w:val="single" w:sz="4" w:space="0" w:color="000000"/>
              <w:right w:val="single" w:sz="4" w:space="0" w:color="000000"/>
            </w:tcBorders>
            <w:shd w:fill="FABF8F" w:val="clear"/>
          </w:tcPr>
          <w:p>
            <w:pPr>
              <w:pStyle w:val="Normal"/>
              <w:snapToGrid w:val="false"/>
              <w:rPr>
                <w:szCs w:val="24"/>
              </w:rPr>
            </w:pPr>
            <w:r>
              <w:rPr>
                <w:szCs w:val="24"/>
              </w:rPr>
            </w:r>
          </w:p>
          <w:p>
            <w:pPr>
              <w:pStyle w:val="Normal"/>
              <w:rPr>
                <w:szCs w:val="24"/>
              </w:rPr>
            </w:pPr>
            <w:r>
              <w:rPr>
                <w:szCs w:val="24"/>
              </w:rPr>
              <w:t>Sucrose content</w:t>
            </w:r>
          </w:p>
          <w:p>
            <w:pPr>
              <w:pStyle w:val="Normal"/>
              <w:rPr>
                <w:szCs w:val="24"/>
              </w:rPr>
            </w:pPr>
            <w:r>
              <w:rPr>
                <w:szCs w:val="24"/>
              </w:rPr>
            </w:r>
          </w:p>
          <w:p>
            <w:pPr>
              <w:pStyle w:val="Normal"/>
              <w:spacing w:before="0" w:after="200"/>
              <w:rPr>
                <w:szCs w:val="24"/>
              </w:rPr>
            </w:pPr>
            <w:r>
              <w:rPr>
                <w:szCs w:val="24"/>
              </w:rPr>
            </w:r>
          </w:p>
        </w:tc>
        <w:tc>
          <w:tcPr>
            <w:tcW w:w="6137" w:type="dxa"/>
            <w:tcBorders>
              <w:top w:val="single" w:sz="4" w:space="0" w:color="000000"/>
              <w:left w:val="single" w:sz="4" w:space="0" w:color="000000"/>
              <w:bottom w:val="single" w:sz="4" w:space="0" w:color="000000"/>
              <w:right w:val="single" w:sz="4" w:space="0" w:color="000000"/>
            </w:tcBorders>
            <w:shd w:fill="FABF8F" w:val="clear"/>
          </w:tcPr>
          <w:p>
            <w:pPr>
              <w:pStyle w:val="Normal"/>
              <w:snapToGrid w:val="false"/>
              <w:rPr>
                <w:szCs w:val="24"/>
              </w:rPr>
            </w:pPr>
            <w:r>
              <w:rPr>
                <w:szCs w:val="24"/>
              </w:rPr>
            </w:r>
          </w:p>
          <w:p>
            <w:pPr>
              <w:pStyle w:val="Normal"/>
              <w:rPr/>
            </w:pPr>
            <w:r>
              <w:rPr>
                <w:szCs w:val="24"/>
              </w:rPr>
              <w:t>Entry1(2) of the paragraph 12 table in Schedule 1</w:t>
            </w:r>
          </w:p>
          <w:p>
            <w:pPr>
              <w:pStyle w:val="Normal"/>
              <w:rPr>
                <w:szCs w:val="24"/>
              </w:rPr>
            </w:pPr>
            <w:r>
              <w:rPr>
                <w:szCs w:val="24"/>
              </w:rPr>
            </w:r>
          </w:p>
          <w:p>
            <w:pPr>
              <w:pStyle w:val="Normal"/>
              <w:spacing w:before="0" w:after="200"/>
              <w:rPr>
                <w:szCs w:val="24"/>
              </w:rPr>
            </w:pPr>
            <w:r>
              <w:rPr>
                <w:szCs w:val="24"/>
              </w:rPr>
            </w:r>
          </w:p>
        </w:tc>
        <w:tc>
          <w:tcPr>
            <w:tcW w:w="6089" w:type="dxa"/>
            <w:tcBorders>
              <w:top w:val="single" w:sz="4" w:space="0" w:color="000000"/>
              <w:left w:val="single" w:sz="4" w:space="0" w:color="000000"/>
              <w:bottom w:val="single" w:sz="4" w:space="0" w:color="000000"/>
              <w:right w:val="single" w:sz="4" w:space="0" w:color="000000"/>
            </w:tcBorders>
            <w:shd w:fill="FABF8F" w:val="clear"/>
          </w:tcPr>
          <w:p>
            <w:pPr>
              <w:pStyle w:val="Normal"/>
              <w:snapToGrid w:val="false"/>
              <w:rPr>
                <w:szCs w:val="24"/>
              </w:rPr>
            </w:pPr>
            <w:r>
              <w:rPr>
                <w:szCs w:val="24"/>
              </w:rPr>
            </w:r>
          </w:p>
          <w:p>
            <w:pPr>
              <w:pStyle w:val="Normal"/>
              <w:spacing w:before="0" w:after="200"/>
              <w:rPr>
                <w:szCs w:val="24"/>
              </w:rPr>
            </w:pPr>
            <w:r>
              <w:rPr>
                <w:szCs w:val="24"/>
              </w:rPr>
            </w:r>
          </w:p>
        </w:tc>
      </w:tr>
      <w:tr>
        <w:trPr>
          <w:cantSplit w:val="true"/>
        </w:trPr>
        <w:tc>
          <w:tcPr>
            <w:tcW w:w="2141" w:type="dxa"/>
            <w:tcBorders>
              <w:top w:val="single" w:sz="4" w:space="0" w:color="000000"/>
              <w:left w:val="single" w:sz="4" w:space="0" w:color="000000"/>
              <w:bottom w:val="single" w:sz="4" w:space="0" w:color="000000"/>
              <w:right w:val="single" w:sz="4" w:space="0" w:color="000000"/>
            </w:tcBorders>
          </w:tcPr>
          <w:p>
            <w:pPr>
              <w:pStyle w:val="Normal"/>
              <w:snapToGrid w:val="false"/>
              <w:rPr>
                <w:color w:val="002060"/>
                <w:szCs w:val="24"/>
              </w:rPr>
            </w:pPr>
            <w:r>
              <w:rPr>
                <w:color w:val="002060"/>
                <w:szCs w:val="24"/>
              </w:rPr>
            </w:r>
          </w:p>
          <w:p>
            <w:pPr>
              <w:pStyle w:val="Normal"/>
              <w:rPr>
                <w:szCs w:val="24"/>
              </w:rPr>
            </w:pPr>
            <w:r>
              <w:rPr>
                <w:szCs w:val="24"/>
              </w:rPr>
              <w:t>Annex II, fourth paragraph,</w:t>
            </w:r>
          </w:p>
          <w:p>
            <w:pPr>
              <w:pStyle w:val="Normal"/>
              <w:rPr>
                <w:szCs w:val="24"/>
              </w:rPr>
            </w:pPr>
            <w:r>
              <w:rPr>
                <w:szCs w:val="24"/>
              </w:rPr>
              <w:t>point 1.2, first indent</w:t>
            </w:r>
          </w:p>
          <w:p>
            <w:pPr>
              <w:pStyle w:val="Normal"/>
              <w:spacing w:before="0" w:after="200"/>
              <w:rPr>
                <w:szCs w:val="24"/>
              </w:rPr>
            </w:pPr>
            <w:r>
              <w:rPr>
                <w:szCs w:val="24"/>
              </w:rPr>
            </w:r>
          </w:p>
        </w:tc>
        <w:tc>
          <w:tcPr>
            <w:tcW w:w="6783"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szCs w:val="24"/>
              </w:rPr>
            </w:pPr>
            <w:r>
              <w:rPr>
                <w:szCs w:val="24"/>
              </w:rPr>
              <w:t>In general</w:t>
            </w:r>
          </w:p>
          <w:p>
            <w:pPr>
              <w:pStyle w:val="Normal"/>
              <w:spacing w:before="0" w:after="200"/>
              <w:rPr>
                <w:szCs w:val="24"/>
              </w:rPr>
            </w:pPr>
            <w:r>
              <w:rPr>
                <w:szCs w:val="24"/>
              </w:rPr>
            </w:r>
          </w:p>
        </w:tc>
        <w:tc>
          <w:tcPr>
            <w:tcW w:w="6137"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pPr>
            <w:r>
              <w:rPr>
                <w:szCs w:val="24"/>
              </w:rPr>
              <w:t>Entry 1(2)(a) of the paragraph 12 table in Schedule 1</w:t>
            </w:r>
          </w:p>
          <w:p>
            <w:pPr>
              <w:pStyle w:val="Normal"/>
              <w:spacing w:before="0" w:after="200"/>
              <w:rPr>
                <w:szCs w:val="24"/>
              </w:rPr>
            </w:pPr>
            <w:r>
              <w:rPr>
                <w:szCs w:val="24"/>
              </w:rPr>
            </w:r>
          </w:p>
        </w:tc>
        <w:tc>
          <w:tcPr>
            <w:tcW w:w="6089" w:type="dxa"/>
            <w:tcBorders>
              <w:top w:val="single" w:sz="4" w:space="0" w:color="000000"/>
              <w:left w:val="single" w:sz="4" w:space="0" w:color="000000"/>
              <w:bottom w:val="single" w:sz="4" w:space="0" w:color="000000"/>
              <w:right w:val="single" w:sz="4" w:space="0" w:color="000000"/>
            </w:tcBorders>
          </w:tcPr>
          <w:p>
            <w:pPr>
              <w:pStyle w:val="Normal"/>
              <w:snapToGrid w:val="false"/>
              <w:spacing w:before="0" w:after="200"/>
              <w:rPr>
                <w:szCs w:val="24"/>
              </w:rPr>
            </w:pPr>
            <w:r>
              <w:rPr>
                <w:szCs w:val="24"/>
              </w:rPr>
            </w:r>
          </w:p>
        </w:tc>
      </w:tr>
      <w:tr>
        <w:trPr/>
        <w:tc>
          <w:tcPr>
            <w:tcW w:w="2141" w:type="dxa"/>
            <w:tcBorders>
              <w:top w:val="single" w:sz="4" w:space="0" w:color="000000"/>
              <w:left w:val="single" w:sz="4" w:space="0" w:color="000000"/>
              <w:bottom w:val="single" w:sz="4" w:space="0" w:color="000000"/>
              <w:right w:val="single" w:sz="4" w:space="0" w:color="000000"/>
            </w:tcBorders>
          </w:tcPr>
          <w:p>
            <w:pPr>
              <w:pStyle w:val="Normal"/>
              <w:snapToGrid w:val="false"/>
              <w:rPr>
                <w:color w:val="002060"/>
                <w:szCs w:val="24"/>
              </w:rPr>
            </w:pPr>
            <w:r>
              <w:rPr>
                <w:color w:val="002060"/>
                <w:szCs w:val="24"/>
              </w:rPr>
            </w:r>
          </w:p>
          <w:p>
            <w:pPr>
              <w:pStyle w:val="Normal"/>
              <w:rPr>
                <w:szCs w:val="24"/>
              </w:rPr>
            </w:pPr>
            <w:r>
              <w:rPr>
                <w:szCs w:val="24"/>
              </w:rPr>
              <w:t>Annex II, fourth paragraph,</w:t>
            </w:r>
          </w:p>
          <w:p>
            <w:pPr>
              <w:pStyle w:val="Normal"/>
              <w:rPr>
                <w:szCs w:val="24"/>
              </w:rPr>
            </w:pPr>
            <w:r>
              <w:rPr>
                <w:szCs w:val="24"/>
              </w:rPr>
              <w:t>point 1.2, second indent</w:t>
            </w:r>
          </w:p>
          <w:p>
            <w:pPr>
              <w:pStyle w:val="Normal"/>
              <w:spacing w:before="0" w:after="200"/>
              <w:rPr>
                <w:szCs w:val="24"/>
              </w:rPr>
            </w:pPr>
            <w:r>
              <w:rPr>
                <w:szCs w:val="24"/>
              </w:rPr>
            </w:r>
          </w:p>
        </w:tc>
        <w:tc>
          <w:tcPr>
            <w:tcW w:w="6783"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pPr>
            <w:r>
              <w:rPr>
                <w:szCs w:val="24"/>
              </w:rPr>
              <w:t>False acacia (</w:t>
            </w:r>
            <w:r>
              <w:rPr>
                <w:i/>
                <w:szCs w:val="24"/>
              </w:rPr>
              <w:t>Robinia pseudoacacia</w:t>
            </w:r>
            <w:r>
              <w:rPr>
                <w:szCs w:val="24"/>
              </w:rPr>
              <w:t>), alfalfa (</w:t>
            </w:r>
            <w:r>
              <w:rPr>
                <w:i/>
                <w:szCs w:val="24"/>
              </w:rPr>
              <w:t>Medicago sativa</w:t>
            </w:r>
            <w:r>
              <w:rPr>
                <w:szCs w:val="24"/>
              </w:rPr>
              <w:t>), Menzies Banksia (</w:t>
            </w:r>
            <w:r>
              <w:rPr>
                <w:i/>
                <w:szCs w:val="24"/>
              </w:rPr>
              <w:t>Banksia menziesii</w:t>
            </w:r>
            <w:r>
              <w:rPr>
                <w:szCs w:val="24"/>
              </w:rPr>
              <w:t>), French honeysuckle (</w:t>
            </w:r>
            <w:r>
              <w:rPr>
                <w:i/>
                <w:szCs w:val="24"/>
              </w:rPr>
              <w:t>Hedysarum</w:t>
            </w:r>
            <w:r>
              <w:rPr>
                <w:szCs w:val="24"/>
              </w:rPr>
              <w:t>), red gum (</w:t>
            </w:r>
            <w:r>
              <w:rPr>
                <w:i/>
                <w:szCs w:val="24"/>
              </w:rPr>
              <w:t>Eucalyptus camadulensis</w:t>
            </w:r>
            <w:r>
              <w:rPr>
                <w:szCs w:val="24"/>
              </w:rPr>
              <w:t>), leatherwood (</w:t>
            </w:r>
            <w:r>
              <w:rPr>
                <w:i/>
                <w:szCs w:val="24"/>
              </w:rPr>
              <w:t>Eucryphia lucida</w:t>
            </w:r>
            <w:r>
              <w:rPr>
                <w:szCs w:val="24"/>
              </w:rPr>
              <w:t xml:space="preserve">, </w:t>
            </w:r>
            <w:r>
              <w:rPr>
                <w:i/>
                <w:szCs w:val="24"/>
              </w:rPr>
              <w:t>Eucryphia milliganii</w:t>
            </w:r>
            <w:r>
              <w:rPr>
                <w:szCs w:val="24"/>
              </w:rPr>
              <w:t xml:space="preserve">), </w:t>
            </w:r>
            <w:r>
              <w:rPr>
                <w:i/>
                <w:szCs w:val="24"/>
              </w:rPr>
              <w:t>Citrus</w:t>
            </w:r>
            <w:r>
              <w:rPr>
                <w:szCs w:val="24"/>
              </w:rPr>
              <w:t xml:space="preserve"> spp.</w:t>
            </w:r>
          </w:p>
          <w:p>
            <w:pPr>
              <w:pStyle w:val="Normal"/>
              <w:spacing w:before="0" w:after="200"/>
              <w:rPr>
                <w:szCs w:val="24"/>
              </w:rPr>
            </w:pPr>
            <w:r>
              <w:rPr>
                <w:szCs w:val="24"/>
              </w:rPr>
            </w:r>
          </w:p>
        </w:tc>
        <w:tc>
          <w:tcPr>
            <w:tcW w:w="6137"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pPr>
            <w:r>
              <w:rPr>
                <w:szCs w:val="24"/>
              </w:rPr>
              <w:t>Entry 1(2)(b) of the paragraph 12 table in Schedule 1</w:t>
            </w:r>
          </w:p>
          <w:p>
            <w:pPr>
              <w:pStyle w:val="Normal"/>
              <w:rPr>
                <w:szCs w:val="24"/>
              </w:rPr>
            </w:pPr>
            <w:r>
              <w:rPr>
                <w:szCs w:val="24"/>
              </w:rPr>
            </w:r>
          </w:p>
          <w:p>
            <w:pPr>
              <w:pStyle w:val="Normal"/>
              <w:spacing w:before="0" w:after="200"/>
              <w:rPr>
                <w:szCs w:val="24"/>
              </w:rPr>
            </w:pPr>
            <w:r>
              <w:rPr>
                <w:szCs w:val="24"/>
              </w:rPr>
            </w:r>
          </w:p>
        </w:tc>
        <w:tc>
          <w:tcPr>
            <w:tcW w:w="6089"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spacing w:before="0" w:after="200"/>
              <w:rPr>
                <w:szCs w:val="24"/>
              </w:rPr>
            </w:pPr>
            <w:r>
              <w:rPr>
                <w:szCs w:val="24"/>
              </w:rPr>
            </w:r>
          </w:p>
        </w:tc>
      </w:tr>
      <w:tr>
        <w:trPr/>
        <w:tc>
          <w:tcPr>
            <w:tcW w:w="2141" w:type="dxa"/>
            <w:tcBorders>
              <w:top w:val="single" w:sz="4" w:space="0" w:color="000000"/>
              <w:left w:val="single" w:sz="4" w:space="0" w:color="000000"/>
              <w:bottom w:val="single" w:sz="4" w:space="0" w:color="000000"/>
              <w:right w:val="single" w:sz="4" w:space="0" w:color="000000"/>
            </w:tcBorders>
          </w:tcPr>
          <w:p>
            <w:pPr>
              <w:pStyle w:val="Normal"/>
              <w:snapToGrid w:val="false"/>
              <w:rPr>
                <w:color w:val="002060"/>
                <w:szCs w:val="24"/>
              </w:rPr>
            </w:pPr>
            <w:r>
              <w:rPr>
                <w:color w:val="002060"/>
                <w:szCs w:val="24"/>
              </w:rPr>
            </w:r>
          </w:p>
          <w:p>
            <w:pPr>
              <w:pStyle w:val="Normal"/>
              <w:rPr>
                <w:szCs w:val="24"/>
              </w:rPr>
            </w:pPr>
            <w:r>
              <w:rPr>
                <w:szCs w:val="24"/>
              </w:rPr>
              <w:t>Annex II, fourth paragraph,</w:t>
            </w:r>
          </w:p>
          <w:p>
            <w:pPr>
              <w:pStyle w:val="Normal"/>
              <w:rPr>
                <w:szCs w:val="24"/>
              </w:rPr>
            </w:pPr>
            <w:r>
              <w:rPr>
                <w:szCs w:val="24"/>
              </w:rPr>
              <w:t>point 1.2, third indent</w:t>
            </w:r>
          </w:p>
          <w:p>
            <w:pPr>
              <w:pStyle w:val="Normal"/>
              <w:spacing w:before="0" w:after="200"/>
              <w:rPr>
                <w:szCs w:val="24"/>
              </w:rPr>
            </w:pPr>
            <w:r>
              <w:rPr>
                <w:szCs w:val="24"/>
              </w:rPr>
            </w:r>
          </w:p>
        </w:tc>
        <w:tc>
          <w:tcPr>
            <w:tcW w:w="6783"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pPr>
            <w:r>
              <w:rPr>
                <w:szCs w:val="24"/>
              </w:rPr>
              <w:t>Lavender and borage</w:t>
            </w:r>
          </w:p>
          <w:p>
            <w:pPr>
              <w:pStyle w:val="Normal"/>
              <w:spacing w:before="0" w:after="200"/>
              <w:rPr>
                <w:szCs w:val="24"/>
              </w:rPr>
            </w:pPr>
            <w:r>
              <w:rPr>
                <w:szCs w:val="24"/>
              </w:rPr>
            </w:r>
          </w:p>
        </w:tc>
        <w:tc>
          <w:tcPr>
            <w:tcW w:w="6137"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pPr>
            <w:r>
              <w:rPr>
                <w:szCs w:val="24"/>
              </w:rPr>
              <w:t>Entry 1(2)(c) of the paragraph 12 table in Schedule 1</w:t>
            </w:r>
          </w:p>
          <w:p>
            <w:pPr>
              <w:pStyle w:val="Normal"/>
              <w:spacing w:before="0" w:after="200"/>
              <w:rPr>
                <w:szCs w:val="24"/>
              </w:rPr>
            </w:pPr>
            <w:r>
              <w:rPr>
                <w:szCs w:val="24"/>
              </w:rPr>
            </w:r>
          </w:p>
        </w:tc>
        <w:tc>
          <w:tcPr>
            <w:tcW w:w="6089" w:type="dxa"/>
            <w:tcBorders>
              <w:top w:val="single" w:sz="4" w:space="0" w:color="000000"/>
              <w:left w:val="single" w:sz="4" w:space="0" w:color="000000"/>
              <w:bottom w:val="single" w:sz="4" w:space="0" w:color="000000"/>
              <w:right w:val="single" w:sz="4" w:space="0" w:color="000000"/>
            </w:tcBorders>
          </w:tcPr>
          <w:p>
            <w:pPr>
              <w:pStyle w:val="Normal"/>
              <w:snapToGrid w:val="false"/>
              <w:spacing w:before="0" w:after="200"/>
              <w:rPr>
                <w:szCs w:val="24"/>
              </w:rPr>
            </w:pPr>
            <w:r>
              <w:rPr>
                <w:szCs w:val="24"/>
              </w:rPr>
            </w:r>
          </w:p>
        </w:tc>
      </w:tr>
      <w:tr>
        <w:trPr/>
        <w:tc>
          <w:tcPr>
            <w:tcW w:w="2141" w:type="dxa"/>
            <w:tcBorders>
              <w:top w:val="single" w:sz="4" w:space="0" w:color="000000"/>
              <w:left w:val="single" w:sz="4" w:space="0" w:color="000000"/>
              <w:bottom w:val="single" w:sz="4" w:space="0" w:color="000000"/>
              <w:right w:val="single" w:sz="4" w:space="0" w:color="000000"/>
            </w:tcBorders>
            <w:shd w:fill="FBD4B4" w:val="clear"/>
          </w:tcPr>
          <w:p>
            <w:pPr>
              <w:pStyle w:val="Normal"/>
              <w:snapToGrid w:val="false"/>
              <w:rPr>
                <w:color w:val="002060"/>
                <w:szCs w:val="24"/>
              </w:rPr>
            </w:pPr>
            <w:r>
              <w:rPr>
                <w:color w:val="002060"/>
                <w:szCs w:val="24"/>
              </w:rPr>
            </w:r>
          </w:p>
          <w:p>
            <w:pPr>
              <w:pStyle w:val="Normal"/>
              <w:rPr>
                <w:szCs w:val="24"/>
              </w:rPr>
            </w:pPr>
            <w:r>
              <w:rPr>
                <w:szCs w:val="24"/>
              </w:rPr>
              <w:t>Annex II, fourth paragraph,</w:t>
            </w:r>
          </w:p>
          <w:p>
            <w:pPr>
              <w:pStyle w:val="Normal"/>
              <w:rPr>
                <w:szCs w:val="24"/>
              </w:rPr>
            </w:pPr>
            <w:r>
              <w:rPr>
                <w:szCs w:val="24"/>
              </w:rPr>
              <w:t>point 2</w:t>
            </w:r>
          </w:p>
          <w:p>
            <w:pPr>
              <w:pStyle w:val="Normal"/>
              <w:spacing w:before="0" w:after="200"/>
              <w:rPr>
                <w:szCs w:val="24"/>
              </w:rPr>
            </w:pPr>
            <w:r>
              <w:rPr>
                <w:szCs w:val="24"/>
              </w:rPr>
            </w:r>
          </w:p>
        </w:tc>
        <w:tc>
          <w:tcPr>
            <w:tcW w:w="6783" w:type="dxa"/>
            <w:tcBorders>
              <w:top w:val="single" w:sz="4" w:space="0" w:color="000000"/>
              <w:left w:val="single" w:sz="4" w:space="0" w:color="000000"/>
              <w:bottom w:val="single" w:sz="4" w:space="0" w:color="000000"/>
              <w:right w:val="single" w:sz="4" w:space="0" w:color="000000"/>
            </w:tcBorders>
            <w:shd w:fill="FBD4B4" w:val="clear"/>
          </w:tcPr>
          <w:p>
            <w:pPr>
              <w:pStyle w:val="Normal"/>
              <w:snapToGrid w:val="false"/>
              <w:rPr>
                <w:szCs w:val="24"/>
              </w:rPr>
            </w:pPr>
            <w:r>
              <w:rPr>
                <w:szCs w:val="24"/>
              </w:rPr>
            </w:r>
          </w:p>
          <w:p>
            <w:pPr>
              <w:pStyle w:val="Normal"/>
              <w:spacing w:before="0" w:after="200"/>
              <w:rPr>
                <w:szCs w:val="24"/>
              </w:rPr>
            </w:pPr>
            <w:r>
              <w:rPr>
                <w:szCs w:val="24"/>
              </w:rPr>
              <w:t>Moisture content</w:t>
            </w:r>
          </w:p>
        </w:tc>
        <w:tc>
          <w:tcPr>
            <w:tcW w:w="6137" w:type="dxa"/>
            <w:tcBorders>
              <w:top w:val="single" w:sz="4" w:space="0" w:color="000000"/>
              <w:left w:val="single" w:sz="4" w:space="0" w:color="000000"/>
              <w:bottom w:val="single" w:sz="4" w:space="0" w:color="000000"/>
              <w:right w:val="single" w:sz="4" w:space="0" w:color="000000"/>
            </w:tcBorders>
            <w:shd w:fill="FBD4B4" w:val="clear"/>
          </w:tcPr>
          <w:p>
            <w:pPr>
              <w:pStyle w:val="Normal"/>
              <w:snapToGrid w:val="false"/>
              <w:rPr>
                <w:szCs w:val="24"/>
              </w:rPr>
            </w:pPr>
            <w:r>
              <w:rPr>
                <w:szCs w:val="24"/>
              </w:rPr>
            </w:r>
          </w:p>
          <w:p>
            <w:pPr>
              <w:pStyle w:val="Normal"/>
              <w:rPr>
                <w:szCs w:val="24"/>
              </w:rPr>
            </w:pPr>
            <w:r>
              <w:rPr>
                <w:szCs w:val="24"/>
              </w:rPr>
              <w:t>Entry 2 of the paragraph 12 table in Schedule 1</w:t>
            </w:r>
          </w:p>
          <w:p>
            <w:pPr>
              <w:pStyle w:val="Normal"/>
              <w:spacing w:before="0" w:after="200"/>
              <w:rPr>
                <w:szCs w:val="24"/>
              </w:rPr>
            </w:pPr>
            <w:r>
              <w:rPr>
                <w:szCs w:val="24"/>
              </w:rPr>
            </w:r>
          </w:p>
        </w:tc>
        <w:tc>
          <w:tcPr>
            <w:tcW w:w="6089" w:type="dxa"/>
            <w:tcBorders>
              <w:top w:val="single" w:sz="4" w:space="0" w:color="000000"/>
              <w:left w:val="single" w:sz="4" w:space="0" w:color="000000"/>
              <w:bottom w:val="single" w:sz="4" w:space="0" w:color="000000"/>
              <w:right w:val="single" w:sz="4" w:space="0" w:color="000000"/>
            </w:tcBorders>
            <w:shd w:fill="FBD4B4" w:val="clear"/>
          </w:tcPr>
          <w:p>
            <w:pPr>
              <w:pStyle w:val="Normal"/>
              <w:snapToGrid w:val="false"/>
              <w:spacing w:before="0" w:after="200"/>
              <w:rPr>
                <w:szCs w:val="24"/>
              </w:rPr>
            </w:pPr>
            <w:r>
              <w:rPr>
                <w:szCs w:val="24"/>
              </w:rPr>
            </w:r>
          </w:p>
        </w:tc>
      </w:tr>
      <w:tr>
        <w:trPr/>
        <w:tc>
          <w:tcPr>
            <w:tcW w:w="2141" w:type="dxa"/>
            <w:tcBorders>
              <w:top w:val="single" w:sz="4" w:space="0" w:color="000000"/>
              <w:left w:val="single" w:sz="4" w:space="0" w:color="000000"/>
              <w:bottom w:val="single" w:sz="4" w:space="0" w:color="000000"/>
              <w:right w:val="single" w:sz="4" w:space="0" w:color="000000"/>
            </w:tcBorders>
          </w:tcPr>
          <w:p>
            <w:pPr>
              <w:pStyle w:val="Normal"/>
              <w:snapToGrid w:val="false"/>
              <w:rPr>
                <w:color w:val="002060"/>
                <w:szCs w:val="24"/>
              </w:rPr>
            </w:pPr>
            <w:r>
              <w:rPr>
                <w:color w:val="002060"/>
                <w:szCs w:val="24"/>
              </w:rPr>
            </w:r>
          </w:p>
          <w:p>
            <w:pPr>
              <w:pStyle w:val="Normal"/>
              <w:rPr>
                <w:szCs w:val="24"/>
              </w:rPr>
            </w:pPr>
            <w:r>
              <w:rPr>
                <w:szCs w:val="24"/>
              </w:rPr>
              <w:t>Annex II, fourth paragraph,</w:t>
            </w:r>
          </w:p>
          <w:p>
            <w:pPr>
              <w:pStyle w:val="Normal"/>
              <w:rPr>
                <w:szCs w:val="24"/>
              </w:rPr>
            </w:pPr>
            <w:r>
              <w:rPr>
                <w:szCs w:val="24"/>
              </w:rPr>
              <w:t>point 2, first indent</w:t>
            </w:r>
          </w:p>
          <w:p>
            <w:pPr>
              <w:pStyle w:val="Normal"/>
              <w:spacing w:before="0" w:after="200"/>
              <w:rPr>
                <w:szCs w:val="24"/>
              </w:rPr>
            </w:pPr>
            <w:r>
              <w:rPr>
                <w:szCs w:val="24"/>
              </w:rPr>
            </w:r>
          </w:p>
        </w:tc>
        <w:tc>
          <w:tcPr>
            <w:tcW w:w="6783"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spacing w:before="0" w:after="200"/>
              <w:rPr>
                <w:szCs w:val="24"/>
              </w:rPr>
            </w:pPr>
            <w:r>
              <w:rPr>
                <w:szCs w:val="24"/>
              </w:rPr>
              <w:t>In general</w:t>
            </w:r>
          </w:p>
        </w:tc>
        <w:tc>
          <w:tcPr>
            <w:tcW w:w="6137"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widowControl/>
              <w:bidi w:val="0"/>
              <w:spacing w:lineRule="auto" w:line="276" w:before="0" w:after="200"/>
              <w:rPr>
                <w:szCs w:val="24"/>
              </w:rPr>
            </w:pPr>
            <w:r>
              <w:rPr>
                <w:szCs w:val="24"/>
              </w:rPr>
              <w:t>Entry 2(a) of the paragraph 12 table in Schedule 1</w:t>
            </w:r>
          </w:p>
        </w:tc>
        <w:tc>
          <w:tcPr>
            <w:tcW w:w="6089" w:type="dxa"/>
            <w:tcBorders>
              <w:top w:val="single" w:sz="4" w:space="0" w:color="000000"/>
              <w:left w:val="single" w:sz="4" w:space="0" w:color="000000"/>
              <w:bottom w:val="single" w:sz="4" w:space="0" w:color="000000"/>
              <w:right w:val="single" w:sz="4" w:space="0" w:color="000000"/>
            </w:tcBorders>
          </w:tcPr>
          <w:p>
            <w:pPr>
              <w:pStyle w:val="Normal"/>
              <w:snapToGrid w:val="false"/>
              <w:spacing w:before="0" w:after="200"/>
              <w:rPr>
                <w:szCs w:val="24"/>
              </w:rPr>
            </w:pPr>
            <w:r>
              <w:rPr>
                <w:szCs w:val="24"/>
              </w:rPr>
            </w:r>
          </w:p>
        </w:tc>
      </w:tr>
      <w:tr>
        <w:trPr/>
        <w:tc>
          <w:tcPr>
            <w:tcW w:w="2141" w:type="dxa"/>
            <w:tcBorders>
              <w:top w:val="single" w:sz="4" w:space="0" w:color="000000"/>
              <w:left w:val="single" w:sz="4" w:space="0" w:color="000000"/>
              <w:bottom w:val="single" w:sz="4" w:space="0" w:color="000000"/>
              <w:right w:val="single" w:sz="4" w:space="0" w:color="000000"/>
            </w:tcBorders>
          </w:tcPr>
          <w:p>
            <w:pPr>
              <w:pStyle w:val="Normal"/>
              <w:snapToGrid w:val="false"/>
              <w:rPr>
                <w:color w:val="002060"/>
                <w:szCs w:val="24"/>
              </w:rPr>
            </w:pPr>
            <w:r>
              <w:rPr>
                <w:color w:val="002060"/>
                <w:szCs w:val="24"/>
              </w:rPr>
            </w:r>
          </w:p>
          <w:p>
            <w:pPr>
              <w:pStyle w:val="Normal"/>
              <w:rPr>
                <w:szCs w:val="24"/>
              </w:rPr>
            </w:pPr>
            <w:r>
              <w:rPr>
                <w:szCs w:val="24"/>
              </w:rPr>
              <w:t>Annex II, fourth paragraph,</w:t>
            </w:r>
          </w:p>
          <w:p>
            <w:pPr>
              <w:pStyle w:val="Normal"/>
              <w:rPr>
                <w:szCs w:val="24"/>
              </w:rPr>
            </w:pPr>
            <w:r>
              <w:rPr>
                <w:szCs w:val="24"/>
              </w:rPr>
              <w:t>point 2, second indent</w:t>
            </w:r>
          </w:p>
          <w:p>
            <w:pPr>
              <w:pStyle w:val="Normal"/>
              <w:spacing w:before="0" w:after="200"/>
              <w:rPr>
                <w:szCs w:val="24"/>
              </w:rPr>
            </w:pPr>
            <w:r>
              <w:rPr>
                <w:szCs w:val="24"/>
              </w:rPr>
            </w:r>
          </w:p>
        </w:tc>
        <w:tc>
          <w:tcPr>
            <w:tcW w:w="6783"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spacing w:before="0" w:after="200"/>
              <w:rPr/>
            </w:pPr>
            <w:r>
              <w:rPr>
                <w:szCs w:val="24"/>
              </w:rPr>
              <w:t>Heather (</w:t>
            </w:r>
            <w:r>
              <w:rPr>
                <w:i/>
                <w:szCs w:val="24"/>
              </w:rPr>
              <w:t>Calluna</w:t>
            </w:r>
            <w:r>
              <w:rPr>
                <w:szCs w:val="24"/>
              </w:rPr>
              <w:t>) and baker’s honey in general</w:t>
            </w:r>
          </w:p>
        </w:tc>
        <w:tc>
          <w:tcPr>
            <w:tcW w:w="6137"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widowControl/>
              <w:bidi w:val="0"/>
              <w:spacing w:lineRule="auto" w:line="276" w:before="0" w:after="200"/>
              <w:rPr>
                <w:szCs w:val="24"/>
              </w:rPr>
            </w:pPr>
            <w:r>
              <w:rPr>
                <w:szCs w:val="24"/>
              </w:rPr>
              <w:t>Entries 2(b) and (c) of the paragraph 12 table in Schedule 1</w:t>
            </w:r>
          </w:p>
        </w:tc>
        <w:tc>
          <w:tcPr>
            <w:tcW w:w="6089" w:type="dxa"/>
            <w:tcBorders>
              <w:top w:val="single" w:sz="4" w:space="0" w:color="000000"/>
              <w:left w:val="single" w:sz="4" w:space="0" w:color="000000"/>
              <w:bottom w:val="single" w:sz="4" w:space="0" w:color="000000"/>
              <w:right w:val="single" w:sz="4" w:space="0" w:color="000000"/>
            </w:tcBorders>
          </w:tcPr>
          <w:p>
            <w:pPr>
              <w:pStyle w:val="Normal"/>
              <w:snapToGrid w:val="false"/>
              <w:spacing w:before="0" w:after="200"/>
              <w:rPr>
                <w:szCs w:val="24"/>
              </w:rPr>
            </w:pPr>
            <w:r>
              <w:rPr>
                <w:szCs w:val="24"/>
              </w:rPr>
            </w:r>
          </w:p>
        </w:tc>
      </w:tr>
      <w:tr>
        <w:trPr/>
        <w:tc>
          <w:tcPr>
            <w:tcW w:w="2141" w:type="dxa"/>
            <w:tcBorders>
              <w:top w:val="single" w:sz="4" w:space="0" w:color="000000"/>
              <w:left w:val="single" w:sz="4" w:space="0" w:color="000000"/>
              <w:bottom w:val="single" w:sz="4" w:space="0" w:color="000000"/>
              <w:right w:val="single" w:sz="4" w:space="0" w:color="000000"/>
            </w:tcBorders>
          </w:tcPr>
          <w:p>
            <w:pPr>
              <w:pStyle w:val="Normal"/>
              <w:snapToGrid w:val="false"/>
              <w:rPr>
                <w:color w:val="002060"/>
                <w:szCs w:val="24"/>
              </w:rPr>
            </w:pPr>
            <w:r>
              <w:rPr>
                <w:color w:val="002060"/>
                <w:szCs w:val="24"/>
              </w:rPr>
            </w:r>
          </w:p>
          <w:p>
            <w:pPr>
              <w:pStyle w:val="Normal"/>
              <w:rPr>
                <w:szCs w:val="24"/>
              </w:rPr>
            </w:pPr>
            <w:r>
              <w:rPr>
                <w:szCs w:val="24"/>
              </w:rPr>
              <w:t>Annex II, fourth paragraph,</w:t>
            </w:r>
          </w:p>
          <w:p>
            <w:pPr>
              <w:pStyle w:val="Normal"/>
              <w:rPr>
                <w:szCs w:val="24"/>
              </w:rPr>
            </w:pPr>
            <w:r>
              <w:rPr>
                <w:szCs w:val="24"/>
              </w:rPr>
              <w:t>point 2, third indent</w:t>
            </w:r>
          </w:p>
          <w:p>
            <w:pPr>
              <w:pStyle w:val="Normal"/>
              <w:spacing w:before="0" w:after="200"/>
              <w:rPr>
                <w:szCs w:val="24"/>
              </w:rPr>
            </w:pPr>
            <w:r>
              <w:rPr>
                <w:szCs w:val="24"/>
              </w:rPr>
            </w:r>
          </w:p>
        </w:tc>
        <w:tc>
          <w:tcPr>
            <w:tcW w:w="6783"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spacing w:before="0" w:after="200"/>
              <w:rPr/>
            </w:pPr>
            <w:r>
              <w:rPr>
                <w:szCs w:val="24"/>
              </w:rPr>
              <w:t>Baker’s honey from heather (</w:t>
            </w:r>
            <w:r>
              <w:rPr>
                <w:i/>
                <w:szCs w:val="24"/>
              </w:rPr>
              <w:t>Calluna</w:t>
            </w:r>
            <w:r>
              <w:rPr>
                <w:szCs w:val="24"/>
              </w:rPr>
              <w:t>)</w:t>
            </w:r>
          </w:p>
        </w:tc>
        <w:tc>
          <w:tcPr>
            <w:tcW w:w="6137"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widowControl/>
              <w:bidi w:val="0"/>
              <w:spacing w:lineRule="auto" w:line="276" w:before="0" w:after="200"/>
              <w:rPr>
                <w:szCs w:val="24"/>
              </w:rPr>
            </w:pPr>
            <w:r>
              <w:rPr>
                <w:szCs w:val="24"/>
              </w:rPr>
              <w:t>Entry 2(d) of the paragraph 12 table in Schedule 1</w:t>
            </w:r>
          </w:p>
        </w:tc>
        <w:tc>
          <w:tcPr>
            <w:tcW w:w="6089" w:type="dxa"/>
            <w:tcBorders>
              <w:top w:val="single" w:sz="4" w:space="0" w:color="000000"/>
              <w:left w:val="single" w:sz="4" w:space="0" w:color="000000"/>
              <w:bottom w:val="single" w:sz="4" w:space="0" w:color="000000"/>
              <w:right w:val="single" w:sz="4" w:space="0" w:color="000000"/>
            </w:tcBorders>
          </w:tcPr>
          <w:p>
            <w:pPr>
              <w:pStyle w:val="Normal"/>
              <w:snapToGrid w:val="false"/>
              <w:spacing w:before="0" w:after="200"/>
              <w:rPr>
                <w:color w:val="002060"/>
                <w:szCs w:val="24"/>
              </w:rPr>
            </w:pPr>
            <w:r>
              <w:rPr>
                <w:color w:val="002060"/>
                <w:szCs w:val="24"/>
              </w:rPr>
            </w:r>
          </w:p>
        </w:tc>
      </w:tr>
      <w:tr>
        <w:trPr/>
        <w:tc>
          <w:tcPr>
            <w:tcW w:w="2141" w:type="dxa"/>
            <w:tcBorders>
              <w:top w:val="single" w:sz="4" w:space="0" w:color="000000"/>
              <w:left w:val="single" w:sz="4" w:space="0" w:color="000000"/>
              <w:bottom w:val="single" w:sz="4" w:space="0" w:color="000000"/>
              <w:right w:val="single" w:sz="4" w:space="0" w:color="000000"/>
            </w:tcBorders>
            <w:shd w:fill="FBD4B4" w:val="clear"/>
          </w:tcPr>
          <w:p>
            <w:pPr>
              <w:pStyle w:val="Normal"/>
              <w:snapToGrid w:val="false"/>
              <w:rPr>
                <w:color w:val="002060"/>
                <w:szCs w:val="24"/>
              </w:rPr>
            </w:pPr>
            <w:r>
              <w:rPr>
                <w:color w:val="002060"/>
                <w:szCs w:val="24"/>
              </w:rPr>
            </w:r>
          </w:p>
          <w:p>
            <w:pPr>
              <w:pStyle w:val="Normal"/>
              <w:rPr>
                <w:szCs w:val="24"/>
              </w:rPr>
            </w:pPr>
            <w:r>
              <w:rPr>
                <w:szCs w:val="24"/>
              </w:rPr>
              <w:t>Annex II, fourth paragraph,</w:t>
            </w:r>
          </w:p>
          <w:p>
            <w:pPr>
              <w:pStyle w:val="Normal"/>
              <w:rPr>
                <w:szCs w:val="24"/>
              </w:rPr>
            </w:pPr>
            <w:r>
              <w:rPr>
                <w:szCs w:val="24"/>
              </w:rPr>
              <w:t>point 3</w:t>
            </w:r>
          </w:p>
          <w:p>
            <w:pPr>
              <w:pStyle w:val="Normal"/>
              <w:spacing w:before="0" w:after="200"/>
              <w:rPr>
                <w:szCs w:val="24"/>
              </w:rPr>
            </w:pPr>
            <w:r>
              <w:rPr>
                <w:szCs w:val="24"/>
              </w:rPr>
            </w:r>
          </w:p>
        </w:tc>
        <w:tc>
          <w:tcPr>
            <w:tcW w:w="6783" w:type="dxa"/>
            <w:tcBorders>
              <w:top w:val="single" w:sz="4" w:space="0" w:color="000000"/>
              <w:left w:val="single" w:sz="4" w:space="0" w:color="000000"/>
              <w:bottom w:val="single" w:sz="4" w:space="0" w:color="000000"/>
              <w:right w:val="single" w:sz="4" w:space="0" w:color="000000"/>
            </w:tcBorders>
            <w:shd w:fill="FBD4B4" w:val="clear"/>
          </w:tcPr>
          <w:p>
            <w:pPr>
              <w:pStyle w:val="Normal"/>
              <w:snapToGrid w:val="false"/>
              <w:rPr>
                <w:szCs w:val="24"/>
              </w:rPr>
            </w:pPr>
            <w:r>
              <w:rPr>
                <w:szCs w:val="24"/>
              </w:rPr>
            </w:r>
          </w:p>
          <w:p>
            <w:pPr>
              <w:pStyle w:val="Normal"/>
              <w:spacing w:before="0" w:after="200"/>
              <w:rPr>
                <w:szCs w:val="24"/>
              </w:rPr>
            </w:pPr>
            <w:r>
              <w:rPr>
                <w:szCs w:val="24"/>
              </w:rPr>
              <w:t>Water-insoluble content</w:t>
            </w:r>
          </w:p>
        </w:tc>
        <w:tc>
          <w:tcPr>
            <w:tcW w:w="6137" w:type="dxa"/>
            <w:tcBorders>
              <w:top w:val="single" w:sz="4" w:space="0" w:color="000000"/>
              <w:left w:val="single" w:sz="4" w:space="0" w:color="000000"/>
              <w:bottom w:val="single" w:sz="4" w:space="0" w:color="000000"/>
              <w:right w:val="single" w:sz="4" w:space="0" w:color="000000"/>
            </w:tcBorders>
            <w:shd w:fill="FBD4B4" w:val="clear"/>
          </w:tcPr>
          <w:p>
            <w:pPr>
              <w:pStyle w:val="Normal"/>
              <w:snapToGrid w:val="false"/>
              <w:rPr>
                <w:szCs w:val="24"/>
              </w:rPr>
            </w:pPr>
            <w:r>
              <w:rPr>
                <w:szCs w:val="24"/>
              </w:rPr>
            </w:r>
          </w:p>
          <w:p>
            <w:pPr>
              <w:pStyle w:val="Normal"/>
              <w:rPr>
                <w:szCs w:val="24"/>
              </w:rPr>
            </w:pPr>
            <w:r>
              <w:rPr>
                <w:szCs w:val="24"/>
              </w:rPr>
              <w:t>Entry 3 of the paragraph 12 table in Schedule 1</w:t>
            </w:r>
          </w:p>
          <w:p>
            <w:pPr>
              <w:pStyle w:val="Normal"/>
              <w:spacing w:before="0" w:after="200"/>
              <w:rPr>
                <w:szCs w:val="24"/>
              </w:rPr>
            </w:pPr>
            <w:r>
              <w:rPr>
                <w:szCs w:val="24"/>
              </w:rPr>
            </w:r>
          </w:p>
        </w:tc>
        <w:tc>
          <w:tcPr>
            <w:tcW w:w="6089" w:type="dxa"/>
            <w:tcBorders>
              <w:top w:val="single" w:sz="4" w:space="0" w:color="000000"/>
              <w:left w:val="single" w:sz="4" w:space="0" w:color="000000"/>
              <w:bottom w:val="single" w:sz="4" w:space="0" w:color="000000"/>
              <w:right w:val="single" w:sz="4" w:space="0" w:color="000000"/>
            </w:tcBorders>
            <w:shd w:fill="FBD4B4" w:val="clear"/>
          </w:tcPr>
          <w:p>
            <w:pPr>
              <w:pStyle w:val="Normal"/>
              <w:snapToGrid w:val="false"/>
              <w:spacing w:before="0" w:after="200"/>
              <w:rPr>
                <w:color w:val="002060"/>
                <w:szCs w:val="24"/>
              </w:rPr>
            </w:pPr>
            <w:r>
              <w:rPr>
                <w:color w:val="002060"/>
                <w:szCs w:val="24"/>
              </w:rPr>
            </w:r>
          </w:p>
        </w:tc>
      </w:tr>
      <w:tr>
        <w:trPr/>
        <w:tc>
          <w:tcPr>
            <w:tcW w:w="2141" w:type="dxa"/>
            <w:tcBorders>
              <w:top w:val="single" w:sz="4" w:space="0" w:color="000000"/>
              <w:left w:val="single" w:sz="4" w:space="0" w:color="000000"/>
              <w:bottom w:val="single" w:sz="4" w:space="0" w:color="000000"/>
              <w:right w:val="single" w:sz="4" w:space="0" w:color="000000"/>
            </w:tcBorders>
          </w:tcPr>
          <w:p>
            <w:pPr>
              <w:pStyle w:val="Normal"/>
              <w:snapToGrid w:val="false"/>
              <w:rPr>
                <w:color w:val="002060"/>
                <w:szCs w:val="24"/>
              </w:rPr>
            </w:pPr>
            <w:r>
              <w:rPr>
                <w:color w:val="002060"/>
                <w:szCs w:val="24"/>
              </w:rPr>
            </w:r>
          </w:p>
          <w:p>
            <w:pPr>
              <w:pStyle w:val="Normal"/>
              <w:rPr>
                <w:szCs w:val="24"/>
              </w:rPr>
            </w:pPr>
            <w:r>
              <w:rPr>
                <w:szCs w:val="24"/>
              </w:rPr>
              <w:t>Annex II, fourth paragraph,</w:t>
            </w:r>
          </w:p>
          <w:p>
            <w:pPr>
              <w:pStyle w:val="Normal"/>
              <w:rPr>
                <w:szCs w:val="24"/>
              </w:rPr>
            </w:pPr>
            <w:r>
              <w:rPr>
                <w:szCs w:val="24"/>
              </w:rPr>
              <w:t>point 3, first indent</w:t>
            </w:r>
          </w:p>
          <w:p>
            <w:pPr>
              <w:pStyle w:val="Normal"/>
              <w:spacing w:before="0" w:after="200"/>
              <w:rPr>
                <w:szCs w:val="24"/>
              </w:rPr>
            </w:pPr>
            <w:r>
              <w:rPr>
                <w:szCs w:val="24"/>
              </w:rPr>
            </w:r>
          </w:p>
        </w:tc>
        <w:tc>
          <w:tcPr>
            <w:tcW w:w="6783"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spacing w:before="0" w:after="200"/>
              <w:rPr>
                <w:szCs w:val="24"/>
              </w:rPr>
            </w:pPr>
            <w:r>
              <w:rPr>
                <w:szCs w:val="24"/>
              </w:rPr>
              <w:t>In general</w:t>
            </w:r>
          </w:p>
        </w:tc>
        <w:tc>
          <w:tcPr>
            <w:tcW w:w="6137"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widowControl/>
              <w:bidi w:val="0"/>
              <w:spacing w:lineRule="auto" w:line="276" w:before="0" w:after="200"/>
              <w:rPr>
                <w:szCs w:val="24"/>
              </w:rPr>
            </w:pPr>
            <w:r>
              <w:rPr>
                <w:szCs w:val="24"/>
              </w:rPr>
              <w:t>Entry 3(a) of the paragraph 12 table in Schedule 1</w:t>
            </w:r>
          </w:p>
        </w:tc>
        <w:tc>
          <w:tcPr>
            <w:tcW w:w="6089" w:type="dxa"/>
            <w:tcBorders>
              <w:top w:val="single" w:sz="4" w:space="0" w:color="000000"/>
              <w:left w:val="single" w:sz="4" w:space="0" w:color="000000"/>
              <w:bottom w:val="single" w:sz="4" w:space="0" w:color="000000"/>
              <w:right w:val="single" w:sz="4" w:space="0" w:color="000000"/>
            </w:tcBorders>
          </w:tcPr>
          <w:p>
            <w:pPr>
              <w:pStyle w:val="Normal"/>
              <w:snapToGrid w:val="false"/>
              <w:spacing w:before="0" w:after="200"/>
              <w:rPr>
                <w:color w:val="002060"/>
                <w:szCs w:val="24"/>
              </w:rPr>
            </w:pPr>
            <w:r>
              <w:rPr>
                <w:color w:val="002060"/>
                <w:szCs w:val="24"/>
              </w:rPr>
            </w:r>
          </w:p>
        </w:tc>
      </w:tr>
      <w:tr>
        <w:trPr>
          <w:cantSplit w:val="true"/>
        </w:trPr>
        <w:tc>
          <w:tcPr>
            <w:tcW w:w="2141" w:type="dxa"/>
            <w:tcBorders>
              <w:top w:val="single" w:sz="4" w:space="0" w:color="000000"/>
              <w:left w:val="single" w:sz="4" w:space="0" w:color="000000"/>
              <w:bottom w:val="single" w:sz="4" w:space="0" w:color="000000"/>
              <w:right w:val="single" w:sz="4" w:space="0" w:color="000000"/>
            </w:tcBorders>
          </w:tcPr>
          <w:p>
            <w:pPr>
              <w:pStyle w:val="Normal"/>
              <w:snapToGrid w:val="false"/>
              <w:rPr>
                <w:color w:val="002060"/>
                <w:szCs w:val="24"/>
              </w:rPr>
            </w:pPr>
            <w:r>
              <w:rPr>
                <w:color w:val="002060"/>
                <w:szCs w:val="24"/>
              </w:rPr>
            </w:r>
          </w:p>
          <w:p>
            <w:pPr>
              <w:pStyle w:val="Normal"/>
              <w:rPr>
                <w:szCs w:val="24"/>
              </w:rPr>
            </w:pPr>
            <w:r>
              <w:rPr>
                <w:szCs w:val="24"/>
              </w:rPr>
              <w:t>Annex II, fourth paragraph,</w:t>
            </w:r>
          </w:p>
          <w:p>
            <w:pPr>
              <w:pStyle w:val="Normal"/>
              <w:rPr>
                <w:szCs w:val="24"/>
              </w:rPr>
            </w:pPr>
            <w:r>
              <w:rPr>
                <w:szCs w:val="24"/>
              </w:rPr>
              <w:t>point 3, second indent</w:t>
            </w:r>
          </w:p>
          <w:p>
            <w:pPr>
              <w:pStyle w:val="Normal"/>
              <w:spacing w:before="0" w:after="200"/>
              <w:rPr>
                <w:szCs w:val="24"/>
              </w:rPr>
            </w:pPr>
            <w:r>
              <w:rPr>
                <w:szCs w:val="24"/>
              </w:rPr>
            </w:r>
          </w:p>
        </w:tc>
        <w:tc>
          <w:tcPr>
            <w:tcW w:w="6783"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spacing w:before="0" w:after="200"/>
              <w:rPr>
                <w:szCs w:val="24"/>
              </w:rPr>
            </w:pPr>
            <w:r>
              <w:rPr>
                <w:szCs w:val="24"/>
              </w:rPr>
              <w:t>Pressed honey</w:t>
            </w:r>
          </w:p>
        </w:tc>
        <w:tc>
          <w:tcPr>
            <w:tcW w:w="6137"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widowControl/>
              <w:bidi w:val="0"/>
              <w:spacing w:lineRule="auto" w:line="276" w:before="0" w:after="200"/>
              <w:rPr>
                <w:szCs w:val="24"/>
              </w:rPr>
            </w:pPr>
            <w:r>
              <w:rPr>
                <w:szCs w:val="24"/>
              </w:rPr>
              <w:t>Entry 3(b) of the paragraph 12 table in Schedule 1</w:t>
            </w:r>
          </w:p>
        </w:tc>
        <w:tc>
          <w:tcPr>
            <w:tcW w:w="6089" w:type="dxa"/>
            <w:tcBorders>
              <w:top w:val="single" w:sz="4" w:space="0" w:color="000000"/>
              <w:left w:val="single" w:sz="4" w:space="0" w:color="000000"/>
              <w:bottom w:val="single" w:sz="4" w:space="0" w:color="000000"/>
              <w:right w:val="single" w:sz="4" w:space="0" w:color="000000"/>
            </w:tcBorders>
          </w:tcPr>
          <w:p>
            <w:pPr>
              <w:pStyle w:val="Normal"/>
              <w:snapToGrid w:val="false"/>
              <w:spacing w:before="0" w:after="200"/>
              <w:rPr>
                <w:color w:val="002060"/>
                <w:szCs w:val="24"/>
              </w:rPr>
            </w:pPr>
            <w:r>
              <w:rPr>
                <w:color w:val="002060"/>
                <w:szCs w:val="24"/>
              </w:rPr>
            </w:r>
          </w:p>
        </w:tc>
      </w:tr>
      <w:tr>
        <w:trPr/>
        <w:tc>
          <w:tcPr>
            <w:tcW w:w="2141" w:type="dxa"/>
            <w:tcBorders>
              <w:top w:val="single" w:sz="4" w:space="0" w:color="000000"/>
              <w:left w:val="single" w:sz="4" w:space="0" w:color="000000"/>
              <w:bottom w:val="single" w:sz="4" w:space="0" w:color="000000"/>
              <w:right w:val="single" w:sz="4" w:space="0" w:color="000000"/>
            </w:tcBorders>
            <w:shd w:fill="FBD4B4" w:val="clear"/>
          </w:tcPr>
          <w:p>
            <w:pPr>
              <w:pStyle w:val="Normal"/>
              <w:snapToGrid w:val="false"/>
              <w:rPr>
                <w:color w:val="002060"/>
                <w:szCs w:val="24"/>
              </w:rPr>
            </w:pPr>
            <w:r>
              <w:rPr>
                <w:color w:val="002060"/>
                <w:szCs w:val="24"/>
              </w:rPr>
            </w:r>
          </w:p>
          <w:p>
            <w:pPr>
              <w:pStyle w:val="Normal"/>
              <w:rPr>
                <w:szCs w:val="24"/>
              </w:rPr>
            </w:pPr>
            <w:r>
              <w:rPr>
                <w:szCs w:val="24"/>
              </w:rPr>
              <w:t>Annex II, fourth paragraph,</w:t>
            </w:r>
          </w:p>
          <w:p>
            <w:pPr>
              <w:pStyle w:val="Normal"/>
              <w:rPr>
                <w:szCs w:val="24"/>
              </w:rPr>
            </w:pPr>
            <w:r>
              <w:rPr>
                <w:szCs w:val="24"/>
              </w:rPr>
              <w:t>point 4</w:t>
            </w:r>
          </w:p>
          <w:p>
            <w:pPr>
              <w:pStyle w:val="Normal"/>
              <w:spacing w:before="0" w:after="200"/>
              <w:rPr>
                <w:szCs w:val="24"/>
              </w:rPr>
            </w:pPr>
            <w:r>
              <w:rPr>
                <w:szCs w:val="24"/>
              </w:rPr>
            </w:r>
          </w:p>
        </w:tc>
        <w:tc>
          <w:tcPr>
            <w:tcW w:w="6783" w:type="dxa"/>
            <w:tcBorders>
              <w:top w:val="single" w:sz="4" w:space="0" w:color="000000"/>
              <w:left w:val="single" w:sz="4" w:space="0" w:color="000000"/>
              <w:bottom w:val="single" w:sz="4" w:space="0" w:color="000000"/>
              <w:right w:val="single" w:sz="4" w:space="0" w:color="000000"/>
            </w:tcBorders>
            <w:shd w:fill="FBD4B4" w:val="clear"/>
          </w:tcPr>
          <w:p>
            <w:pPr>
              <w:pStyle w:val="Normal"/>
              <w:snapToGrid w:val="false"/>
              <w:rPr>
                <w:szCs w:val="24"/>
              </w:rPr>
            </w:pPr>
            <w:r>
              <w:rPr>
                <w:szCs w:val="24"/>
              </w:rPr>
            </w:r>
          </w:p>
          <w:p>
            <w:pPr>
              <w:pStyle w:val="Normal"/>
              <w:spacing w:before="0" w:after="200"/>
              <w:rPr>
                <w:szCs w:val="24"/>
              </w:rPr>
            </w:pPr>
            <w:r>
              <w:rPr>
                <w:szCs w:val="24"/>
              </w:rPr>
              <w:t>Electrical conductivity</w:t>
            </w:r>
          </w:p>
        </w:tc>
        <w:tc>
          <w:tcPr>
            <w:tcW w:w="6137" w:type="dxa"/>
            <w:tcBorders>
              <w:top w:val="single" w:sz="4" w:space="0" w:color="000000"/>
              <w:left w:val="single" w:sz="4" w:space="0" w:color="000000"/>
              <w:bottom w:val="single" w:sz="4" w:space="0" w:color="000000"/>
              <w:right w:val="single" w:sz="4" w:space="0" w:color="000000"/>
            </w:tcBorders>
            <w:shd w:fill="FBD4B4" w:val="clear"/>
          </w:tcPr>
          <w:p>
            <w:pPr>
              <w:pStyle w:val="Normal"/>
              <w:snapToGrid w:val="false"/>
              <w:rPr>
                <w:szCs w:val="24"/>
              </w:rPr>
            </w:pPr>
            <w:r>
              <w:rPr>
                <w:szCs w:val="24"/>
              </w:rPr>
            </w:r>
          </w:p>
          <w:p>
            <w:pPr>
              <w:pStyle w:val="Normal"/>
              <w:rPr>
                <w:szCs w:val="24"/>
              </w:rPr>
            </w:pPr>
            <w:r>
              <w:rPr>
                <w:szCs w:val="24"/>
              </w:rPr>
              <w:t>Entry 4 of the paragraph 12 table in Schedule 1</w:t>
            </w:r>
          </w:p>
          <w:p>
            <w:pPr>
              <w:pStyle w:val="Normal"/>
              <w:spacing w:before="0" w:after="200"/>
              <w:rPr>
                <w:szCs w:val="24"/>
              </w:rPr>
            </w:pPr>
            <w:r>
              <w:rPr>
                <w:szCs w:val="24"/>
              </w:rPr>
            </w:r>
          </w:p>
        </w:tc>
        <w:tc>
          <w:tcPr>
            <w:tcW w:w="6089" w:type="dxa"/>
            <w:tcBorders>
              <w:top w:val="single" w:sz="4" w:space="0" w:color="000000"/>
              <w:left w:val="single" w:sz="4" w:space="0" w:color="000000"/>
              <w:bottom w:val="single" w:sz="4" w:space="0" w:color="000000"/>
              <w:right w:val="single" w:sz="4" w:space="0" w:color="000000"/>
            </w:tcBorders>
            <w:shd w:fill="FBD4B4" w:val="clear"/>
          </w:tcPr>
          <w:p>
            <w:pPr>
              <w:pStyle w:val="Normal"/>
              <w:snapToGrid w:val="false"/>
              <w:spacing w:before="0" w:after="200"/>
              <w:rPr>
                <w:color w:val="002060"/>
                <w:szCs w:val="24"/>
              </w:rPr>
            </w:pPr>
            <w:r>
              <w:rPr>
                <w:color w:val="002060"/>
                <w:szCs w:val="24"/>
              </w:rPr>
            </w:r>
          </w:p>
        </w:tc>
      </w:tr>
      <w:tr>
        <w:trPr/>
        <w:tc>
          <w:tcPr>
            <w:tcW w:w="2141" w:type="dxa"/>
            <w:tcBorders>
              <w:top w:val="single" w:sz="4" w:space="0" w:color="000000"/>
              <w:left w:val="single" w:sz="4" w:space="0" w:color="000000"/>
              <w:bottom w:val="single" w:sz="4" w:space="0" w:color="000000"/>
              <w:right w:val="single" w:sz="4" w:space="0" w:color="000000"/>
            </w:tcBorders>
          </w:tcPr>
          <w:p>
            <w:pPr>
              <w:pStyle w:val="Normal"/>
              <w:snapToGrid w:val="false"/>
              <w:rPr>
                <w:color w:val="002060"/>
                <w:szCs w:val="24"/>
              </w:rPr>
            </w:pPr>
            <w:r>
              <w:rPr>
                <w:color w:val="002060"/>
                <w:szCs w:val="24"/>
              </w:rPr>
            </w:r>
          </w:p>
          <w:p>
            <w:pPr>
              <w:pStyle w:val="Normal"/>
              <w:rPr>
                <w:szCs w:val="24"/>
              </w:rPr>
            </w:pPr>
            <w:r>
              <w:rPr>
                <w:szCs w:val="24"/>
              </w:rPr>
              <w:t>Annex II, fourth paragraph,</w:t>
            </w:r>
          </w:p>
          <w:p>
            <w:pPr>
              <w:pStyle w:val="Normal"/>
              <w:rPr>
                <w:szCs w:val="24"/>
              </w:rPr>
            </w:pPr>
            <w:r>
              <w:rPr>
                <w:szCs w:val="24"/>
              </w:rPr>
              <w:t>point 4, first indent</w:t>
            </w:r>
          </w:p>
          <w:p>
            <w:pPr>
              <w:pStyle w:val="Normal"/>
              <w:spacing w:before="0" w:after="200"/>
              <w:rPr>
                <w:szCs w:val="24"/>
              </w:rPr>
            </w:pPr>
            <w:r>
              <w:rPr>
                <w:szCs w:val="24"/>
              </w:rPr>
            </w:r>
          </w:p>
        </w:tc>
        <w:tc>
          <w:tcPr>
            <w:tcW w:w="6783"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szCs w:val="24"/>
              </w:rPr>
            </w:pPr>
            <w:r>
              <w:rPr>
                <w:szCs w:val="24"/>
              </w:rPr>
              <w:t>Honey not listed below, and blends of these honeys</w:t>
            </w:r>
          </w:p>
          <w:p>
            <w:pPr>
              <w:pStyle w:val="Normal"/>
              <w:spacing w:before="0" w:after="200"/>
              <w:rPr>
                <w:szCs w:val="24"/>
              </w:rPr>
            </w:pPr>
            <w:r>
              <w:rPr>
                <w:szCs w:val="24"/>
              </w:rPr>
            </w:r>
          </w:p>
        </w:tc>
        <w:tc>
          <w:tcPr>
            <w:tcW w:w="6137"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widowControl/>
              <w:bidi w:val="0"/>
              <w:spacing w:lineRule="auto" w:line="276" w:before="0" w:after="200"/>
              <w:rPr>
                <w:szCs w:val="24"/>
              </w:rPr>
            </w:pPr>
            <w:r>
              <w:rPr>
                <w:szCs w:val="24"/>
              </w:rPr>
              <w:t>Entry 4(a) and (b) of the paragraph 12 table in Schedule 1</w:t>
            </w:r>
          </w:p>
        </w:tc>
        <w:tc>
          <w:tcPr>
            <w:tcW w:w="6089" w:type="dxa"/>
            <w:tcBorders>
              <w:top w:val="single" w:sz="4" w:space="0" w:color="000000"/>
              <w:left w:val="single" w:sz="4" w:space="0" w:color="000000"/>
              <w:bottom w:val="single" w:sz="4" w:space="0" w:color="000000"/>
              <w:right w:val="single" w:sz="4" w:space="0" w:color="000000"/>
            </w:tcBorders>
          </w:tcPr>
          <w:p>
            <w:pPr>
              <w:pStyle w:val="Normal"/>
              <w:snapToGrid w:val="false"/>
              <w:spacing w:before="0" w:after="200"/>
              <w:rPr>
                <w:color w:val="002060"/>
                <w:szCs w:val="24"/>
              </w:rPr>
            </w:pPr>
            <w:r>
              <w:rPr>
                <w:color w:val="002060"/>
                <w:szCs w:val="24"/>
              </w:rPr>
            </w:r>
          </w:p>
        </w:tc>
      </w:tr>
      <w:tr>
        <w:trPr>
          <w:cantSplit w:val="true"/>
        </w:trPr>
        <w:tc>
          <w:tcPr>
            <w:tcW w:w="2141" w:type="dxa"/>
            <w:tcBorders>
              <w:top w:val="single" w:sz="4" w:space="0" w:color="000000"/>
              <w:left w:val="single" w:sz="4" w:space="0" w:color="000000"/>
              <w:bottom w:val="single" w:sz="4" w:space="0" w:color="000000"/>
              <w:right w:val="single" w:sz="4" w:space="0" w:color="000000"/>
            </w:tcBorders>
          </w:tcPr>
          <w:p>
            <w:pPr>
              <w:pStyle w:val="Normal"/>
              <w:snapToGrid w:val="false"/>
              <w:rPr>
                <w:color w:val="002060"/>
                <w:szCs w:val="24"/>
              </w:rPr>
            </w:pPr>
            <w:r>
              <w:rPr>
                <w:color w:val="002060"/>
                <w:szCs w:val="24"/>
              </w:rPr>
            </w:r>
          </w:p>
          <w:p>
            <w:pPr>
              <w:pStyle w:val="Normal"/>
              <w:rPr>
                <w:szCs w:val="24"/>
              </w:rPr>
            </w:pPr>
            <w:r>
              <w:rPr>
                <w:szCs w:val="24"/>
              </w:rPr>
              <w:t>Annex II, fourth paragraph,</w:t>
            </w:r>
          </w:p>
          <w:p>
            <w:pPr>
              <w:pStyle w:val="Normal"/>
              <w:rPr>
                <w:szCs w:val="24"/>
              </w:rPr>
            </w:pPr>
            <w:r>
              <w:rPr>
                <w:szCs w:val="24"/>
              </w:rPr>
              <w:t>point 4, second indent</w:t>
            </w:r>
          </w:p>
          <w:p>
            <w:pPr>
              <w:pStyle w:val="Normal"/>
              <w:spacing w:before="0" w:after="200"/>
              <w:rPr>
                <w:szCs w:val="24"/>
              </w:rPr>
            </w:pPr>
            <w:r>
              <w:rPr>
                <w:szCs w:val="24"/>
              </w:rPr>
            </w:r>
          </w:p>
        </w:tc>
        <w:tc>
          <w:tcPr>
            <w:tcW w:w="6783"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szCs w:val="24"/>
              </w:rPr>
            </w:pPr>
            <w:r>
              <w:rPr>
                <w:szCs w:val="24"/>
              </w:rPr>
              <w:t>Honeydew and chestnut honey and blends of these except with those listed below</w:t>
            </w:r>
          </w:p>
          <w:p>
            <w:pPr>
              <w:pStyle w:val="Normal"/>
              <w:spacing w:before="0" w:after="200"/>
              <w:rPr>
                <w:szCs w:val="24"/>
              </w:rPr>
            </w:pPr>
            <w:r>
              <w:rPr>
                <w:szCs w:val="24"/>
              </w:rPr>
            </w:r>
          </w:p>
        </w:tc>
        <w:tc>
          <w:tcPr>
            <w:tcW w:w="6137"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widowControl/>
              <w:bidi w:val="0"/>
              <w:spacing w:lineRule="auto" w:line="276" w:before="0" w:after="200"/>
              <w:rPr>
                <w:szCs w:val="24"/>
              </w:rPr>
            </w:pPr>
            <w:r>
              <w:rPr>
                <w:szCs w:val="24"/>
              </w:rPr>
              <w:t>Entry 4(c), (d), (e) and (f) of the paragraph 12 table in Schedule 1</w:t>
            </w:r>
          </w:p>
        </w:tc>
        <w:tc>
          <w:tcPr>
            <w:tcW w:w="6089" w:type="dxa"/>
            <w:tcBorders>
              <w:top w:val="single" w:sz="4" w:space="0" w:color="000000"/>
              <w:left w:val="single" w:sz="4" w:space="0" w:color="000000"/>
              <w:bottom w:val="single" w:sz="4" w:space="0" w:color="000000"/>
              <w:right w:val="single" w:sz="4" w:space="0" w:color="000000"/>
            </w:tcBorders>
          </w:tcPr>
          <w:p>
            <w:pPr>
              <w:pStyle w:val="Normal"/>
              <w:snapToGrid w:val="false"/>
              <w:spacing w:before="0" w:after="200"/>
              <w:rPr>
                <w:szCs w:val="24"/>
              </w:rPr>
            </w:pPr>
            <w:r>
              <w:rPr>
                <w:szCs w:val="24"/>
              </w:rPr>
            </w:r>
          </w:p>
        </w:tc>
      </w:tr>
      <w:tr>
        <w:trPr/>
        <w:tc>
          <w:tcPr>
            <w:tcW w:w="2141" w:type="dxa"/>
            <w:tcBorders>
              <w:top w:val="single" w:sz="4" w:space="0" w:color="000000"/>
              <w:left w:val="single" w:sz="4" w:space="0" w:color="000000"/>
              <w:bottom w:val="single" w:sz="4" w:space="0" w:color="000000"/>
              <w:right w:val="single" w:sz="4" w:space="0" w:color="000000"/>
            </w:tcBorders>
          </w:tcPr>
          <w:p>
            <w:pPr>
              <w:pStyle w:val="Normal"/>
              <w:snapToGrid w:val="false"/>
              <w:rPr>
                <w:color w:val="002060"/>
                <w:szCs w:val="24"/>
              </w:rPr>
            </w:pPr>
            <w:r>
              <w:rPr>
                <w:color w:val="002060"/>
                <w:szCs w:val="24"/>
              </w:rPr>
            </w:r>
          </w:p>
          <w:p>
            <w:pPr>
              <w:pStyle w:val="Normal"/>
              <w:rPr>
                <w:szCs w:val="24"/>
              </w:rPr>
            </w:pPr>
            <w:r>
              <w:rPr>
                <w:szCs w:val="24"/>
              </w:rPr>
              <w:t>Annex II, fourth paragraph,</w:t>
            </w:r>
          </w:p>
          <w:p>
            <w:pPr>
              <w:pStyle w:val="Normal"/>
              <w:rPr>
                <w:szCs w:val="24"/>
              </w:rPr>
            </w:pPr>
            <w:r>
              <w:rPr>
                <w:szCs w:val="24"/>
              </w:rPr>
              <w:t>point 4, third indent</w:t>
            </w:r>
          </w:p>
          <w:p>
            <w:pPr>
              <w:pStyle w:val="Normal"/>
              <w:spacing w:before="0" w:after="200"/>
              <w:rPr>
                <w:szCs w:val="24"/>
              </w:rPr>
            </w:pPr>
            <w:r>
              <w:rPr>
                <w:szCs w:val="24"/>
              </w:rPr>
            </w:r>
          </w:p>
        </w:tc>
        <w:tc>
          <w:tcPr>
            <w:tcW w:w="6783"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spacing w:before="0" w:after="200"/>
              <w:rPr>
                <w:szCs w:val="24"/>
              </w:rPr>
            </w:pPr>
            <w:r>
              <w:rPr>
                <w:szCs w:val="24"/>
              </w:rPr>
              <w:t>Exceptions</w:t>
            </w:r>
          </w:p>
        </w:tc>
        <w:tc>
          <w:tcPr>
            <w:tcW w:w="6137"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szCs w:val="24"/>
              </w:rPr>
            </w:pPr>
            <w:r>
              <w:rPr>
                <w:szCs w:val="24"/>
              </w:rPr>
              <w:t>Entry 4(a), (d) and (f) of the paragraph 12 table in Schedule 1</w:t>
            </w:r>
          </w:p>
          <w:p>
            <w:pPr>
              <w:pStyle w:val="Normal"/>
              <w:spacing w:before="0" w:after="200"/>
              <w:rPr>
                <w:szCs w:val="24"/>
              </w:rPr>
            </w:pPr>
            <w:r>
              <w:rPr>
                <w:szCs w:val="24"/>
              </w:rPr>
            </w:r>
          </w:p>
        </w:tc>
        <w:tc>
          <w:tcPr>
            <w:tcW w:w="6089" w:type="dxa"/>
            <w:tcBorders>
              <w:top w:val="single" w:sz="4" w:space="0" w:color="000000"/>
              <w:left w:val="single" w:sz="4" w:space="0" w:color="000000"/>
              <w:bottom w:val="single" w:sz="4" w:space="0" w:color="000000"/>
              <w:right w:val="single" w:sz="4" w:space="0" w:color="000000"/>
            </w:tcBorders>
          </w:tcPr>
          <w:p>
            <w:pPr>
              <w:pStyle w:val="Normal"/>
              <w:snapToGrid w:val="false"/>
              <w:spacing w:before="0" w:after="200"/>
              <w:rPr>
                <w:szCs w:val="24"/>
              </w:rPr>
            </w:pPr>
            <w:r>
              <w:rPr>
                <w:szCs w:val="24"/>
              </w:rPr>
            </w:r>
          </w:p>
        </w:tc>
      </w:tr>
      <w:tr>
        <w:trPr/>
        <w:tc>
          <w:tcPr>
            <w:tcW w:w="2141" w:type="dxa"/>
            <w:tcBorders>
              <w:top w:val="single" w:sz="4" w:space="0" w:color="000000"/>
              <w:left w:val="single" w:sz="4" w:space="0" w:color="000000"/>
              <w:bottom w:val="single" w:sz="4" w:space="0" w:color="000000"/>
              <w:right w:val="single" w:sz="4" w:space="0" w:color="000000"/>
            </w:tcBorders>
            <w:shd w:fill="FBD4B4" w:val="clear"/>
          </w:tcPr>
          <w:p>
            <w:pPr>
              <w:pStyle w:val="Normal"/>
              <w:snapToGrid w:val="false"/>
              <w:rPr>
                <w:color w:val="002060"/>
                <w:szCs w:val="24"/>
              </w:rPr>
            </w:pPr>
            <w:r>
              <w:rPr>
                <w:color w:val="002060"/>
                <w:szCs w:val="24"/>
              </w:rPr>
            </w:r>
          </w:p>
          <w:p>
            <w:pPr>
              <w:pStyle w:val="Normal"/>
              <w:rPr>
                <w:szCs w:val="24"/>
              </w:rPr>
            </w:pPr>
            <w:r>
              <w:rPr>
                <w:szCs w:val="24"/>
              </w:rPr>
              <w:t>Annex II, fourth paragraph,</w:t>
            </w:r>
          </w:p>
          <w:p>
            <w:pPr>
              <w:pStyle w:val="Normal"/>
              <w:rPr>
                <w:szCs w:val="24"/>
              </w:rPr>
            </w:pPr>
            <w:r>
              <w:rPr>
                <w:szCs w:val="24"/>
              </w:rPr>
              <w:t>point 5</w:t>
            </w:r>
          </w:p>
          <w:p>
            <w:pPr>
              <w:pStyle w:val="Normal"/>
              <w:spacing w:before="0" w:after="200"/>
              <w:rPr>
                <w:szCs w:val="24"/>
              </w:rPr>
            </w:pPr>
            <w:r>
              <w:rPr>
                <w:szCs w:val="24"/>
              </w:rPr>
            </w:r>
          </w:p>
        </w:tc>
        <w:tc>
          <w:tcPr>
            <w:tcW w:w="6783" w:type="dxa"/>
            <w:tcBorders>
              <w:top w:val="single" w:sz="4" w:space="0" w:color="000000"/>
              <w:left w:val="single" w:sz="4" w:space="0" w:color="000000"/>
              <w:bottom w:val="single" w:sz="4" w:space="0" w:color="000000"/>
              <w:right w:val="single" w:sz="4" w:space="0" w:color="000000"/>
            </w:tcBorders>
            <w:shd w:fill="FBD4B4" w:val="clear"/>
          </w:tcPr>
          <w:p>
            <w:pPr>
              <w:pStyle w:val="Normal"/>
              <w:snapToGrid w:val="false"/>
              <w:rPr>
                <w:szCs w:val="24"/>
              </w:rPr>
            </w:pPr>
            <w:r>
              <w:rPr>
                <w:szCs w:val="24"/>
              </w:rPr>
            </w:r>
          </w:p>
          <w:p>
            <w:pPr>
              <w:pStyle w:val="Normal"/>
              <w:spacing w:before="0" w:after="200"/>
              <w:rPr>
                <w:szCs w:val="24"/>
              </w:rPr>
            </w:pPr>
            <w:r>
              <w:rPr>
                <w:szCs w:val="24"/>
              </w:rPr>
              <w:t>Free acid</w:t>
            </w:r>
          </w:p>
        </w:tc>
        <w:tc>
          <w:tcPr>
            <w:tcW w:w="6137" w:type="dxa"/>
            <w:tcBorders>
              <w:top w:val="single" w:sz="4" w:space="0" w:color="000000"/>
              <w:left w:val="single" w:sz="4" w:space="0" w:color="000000"/>
              <w:bottom w:val="single" w:sz="4" w:space="0" w:color="000000"/>
              <w:right w:val="single" w:sz="4" w:space="0" w:color="000000"/>
            </w:tcBorders>
            <w:shd w:fill="FBD4B4" w:val="clear"/>
          </w:tcPr>
          <w:p>
            <w:pPr>
              <w:pStyle w:val="Normal"/>
              <w:snapToGrid w:val="false"/>
              <w:rPr>
                <w:szCs w:val="24"/>
              </w:rPr>
            </w:pPr>
            <w:r>
              <w:rPr>
                <w:szCs w:val="24"/>
              </w:rPr>
            </w:r>
          </w:p>
          <w:p>
            <w:pPr>
              <w:pStyle w:val="Normal"/>
              <w:rPr>
                <w:szCs w:val="24"/>
              </w:rPr>
            </w:pPr>
            <w:r>
              <w:rPr>
                <w:szCs w:val="24"/>
              </w:rPr>
              <w:t>Entry 5 of the paragraph 12 table in Schedule 1</w:t>
            </w:r>
          </w:p>
          <w:p>
            <w:pPr>
              <w:pStyle w:val="Normal"/>
              <w:rPr>
                <w:szCs w:val="24"/>
              </w:rPr>
            </w:pPr>
            <w:r>
              <w:rPr>
                <w:szCs w:val="24"/>
              </w:rPr>
            </w:r>
          </w:p>
          <w:p>
            <w:pPr>
              <w:pStyle w:val="Normal"/>
              <w:spacing w:before="0" w:after="200"/>
              <w:rPr>
                <w:szCs w:val="24"/>
              </w:rPr>
            </w:pPr>
            <w:r>
              <w:rPr>
                <w:szCs w:val="24"/>
              </w:rPr>
            </w:r>
          </w:p>
        </w:tc>
        <w:tc>
          <w:tcPr>
            <w:tcW w:w="6089" w:type="dxa"/>
            <w:tcBorders>
              <w:top w:val="single" w:sz="4" w:space="0" w:color="000000"/>
              <w:left w:val="single" w:sz="4" w:space="0" w:color="000000"/>
              <w:bottom w:val="single" w:sz="4" w:space="0" w:color="000000"/>
              <w:right w:val="single" w:sz="4" w:space="0" w:color="000000"/>
            </w:tcBorders>
            <w:shd w:fill="FBD4B4" w:val="clear"/>
          </w:tcPr>
          <w:p>
            <w:pPr>
              <w:pStyle w:val="Normal"/>
              <w:snapToGrid w:val="false"/>
              <w:spacing w:before="0" w:after="200"/>
              <w:rPr>
                <w:szCs w:val="24"/>
              </w:rPr>
            </w:pPr>
            <w:r>
              <w:rPr>
                <w:szCs w:val="24"/>
              </w:rPr>
            </w:r>
          </w:p>
        </w:tc>
      </w:tr>
      <w:tr>
        <w:trPr/>
        <w:tc>
          <w:tcPr>
            <w:tcW w:w="2141" w:type="dxa"/>
            <w:tcBorders>
              <w:top w:val="single" w:sz="4" w:space="0" w:color="000000"/>
              <w:left w:val="single" w:sz="4" w:space="0" w:color="000000"/>
              <w:bottom w:val="single" w:sz="4" w:space="0" w:color="000000"/>
              <w:right w:val="single" w:sz="4" w:space="0" w:color="000000"/>
            </w:tcBorders>
          </w:tcPr>
          <w:p>
            <w:pPr>
              <w:pStyle w:val="Normal"/>
              <w:snapToGrid w:val="false"/>
              <w:rPr>
                <w:color w:val="002060"/>
                <w:szCs w:val="24"/>
              </w:rPr>
            </w:pPr>
            <w:r>
              <w:rPr>
                <w:color w:val="002060"/>
                <w:szCs w:val="24"/>
              </w:rPr>
            </w:r>
          </w:p>
          <w:p>
            <w:pPr>
              <w:pStyle w:val="Normal"/>
              <w:rPr>
                <w:szCs w:val="24"/>
              </w:rPr>
            </w:pPr>
            <w:r>
              <w:rPr>
                <w:szCs w:val="24"/>
              </w:rPr>
              <w:t>Annex II, fourth paragraph,</w:t>
            </w:r>
          </w:p>
          <w:p>
            <w:pPr>
              <w:pStyle w:val="Normal"/>
              <w:rPr>
                <w:szCs w:val="24"/>
              </w:rPr>
            </w:pPr>
            <w:r>
              <w:rPr>
                <w:szCs w:val="24"/>
              </w:rPr>
              <w:t>point 5, first indent</w:t>
            </w:r>
          </w:p>
          <w:p>
            <w:pPr>
              <w:pStyle w:val="Normal"/>
              <w:spacing w:before="0" w:after="200"/>
              <w:rPr>
                <w:szCs w:val="24"/>
              </w:rPr>
            </w:pPr>
            <w:r>
              <w:rPr>
                <w:szCs w:val="24"/>
              </w:rPr>
            </w:r>
          </w:p>
        </w:tc>
        <w:tc>
          <w:tcPr>
            <w:tcW w:w="6783"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spacing w:before="0" w:after="200"/>
              <w:rPr>
                <w:szCs w:val="24"/>
              </w:rPr>
            </w:pPr>
            <w:r>
              <w:rPr>
                <w:szCs w:val="24"/>
              </w:rPr>
              <w:t>In general</w:t>
            </w:r>
          </w:p>
        </w:tc>
        <w:tc>
          <w:tcPr>
            <w:tcW w:w="6137"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szCs w:val="24"/>
              </w:rPr>
            </w:pPr>
            <w:r>
              <w:rPr>
                <w:szCs w:val="24"/>
              </w:rPr>
              <w:t>Entry 5(a) of the paragraph 12 table in Schedule 1</w:t>
            </w:r>
          </w:p>
          <w:p>
            <w:pPr>
              <w:pStyle w:val="Normal"/>
              <w:rPr>
                <w:szCs w:val="24"/>
              </w:rPr>
            </w:pPr>
            <w:r>
              <w:rPr>
                <w:szCs w:val="24"/>
              </w:rPr>
            </w:r>
          </w:p>
          <w:p>
            <w:pPr>
              <w:pStyle w:val="Normal"/>
              <w:spacing w:before="0" w:after="200"/>
              <w:rPr>
                <w:szCs w:val="24"/>
              </w:rPr>
            </w:pPr>
            <w:r>
              <w:rPr>
                <w:szCs w:val="24"/>
              </w:rPr>
            </w:r>
          </w:p>
        </w:tc>
        <w:tc>
          <w:tcPr>
            <w:tcW w:w="6089" w:type="dxa"/>
            <w:tcBorders>
              <w:top w:val="single" w:sz="4" w:space="0" w:color="000000"/>
              <w:left w:val="single" w:sz="4" w:space="0" w:color="000000"/>
              <w:bottom w:val="single" w:sz="4" w:space="0" w:color="000000"/>
              <w:right w:val="single" w:sz="4" w:space="0" w:color="000000"/>
            </w:tcBorders>
          </w:tcPr>
          <w:p>
            <w:pPr>
              <w:pStyle w:val="Normal"/>
              <w:snapToGrid w:val="false"/>
              <w:spacing w:before="0" w:after="200"/>
              <w:rPr>
                <w:color w:val="002060"/>
                <w:szCs w:val="24"/>
              </w:rPr>
            </w:pPr>
            <w:r>
              <w:rPr>
                <w:color w:val="002060"/>
                <w:szCs w:val="24"/>
              </w:rPr>
            </w:r>
          </w:p>
        </w:tc>
      </w:tr>
      <w:tr>
        <w:trPr/>
        <w:tc>
          <w:tcPr>
            <w:tcW w:w="2141" w:type="dxa"/>
            <w:tcBorders>
              <w:top w:val="single" w:sz="4" w:space="0" w:color="000000"/>
              <w:left w:val="single" w:sz="4" w:space="0" w:color="000000"/>
              <w:bottom w:val="single" w:sz="4" w:space="0" w:color="000000"/>
              <w:right w:val="single" w:sz="4" w:space="0" w:color="000000"/>
            </w:tcBorders>
          </w:tcPr>
          <w:p>
            <w:pPr>
              <w:pStyle w:val="Normal"/>
              <w:snapToGrid w:val="false"/>
              <w:rPr>
                <w:color w:val="002060"/>
                <w:szCs w:val="24"/>
              </w:rPr>
            </w:pPr>
            <w:r>
              <w:rPr>
                <w:color w:val="002060"/>
                <w:szCs w:val="24"/>
              </w:rPr>
            </w:r>
          </w:p>
          <w:p>
            <w:pPr>
              <w:pStyle w:val="Normal"/>
              <w:rPr>
                <w:szCs w:val="24"/>
              </w:rPr>
            </w:pPr>
            <w:r>
              <w:rPr>
                <w:szCs w:val="24"/>
              </w:rPr>
              <w:t>Annex II, fourth paragraph,</w:t>
            </w:r>
          </w:p>
          <w:p>
            <w:pPr>
              <w:pStyle w:val="Normal"/>
              <w:rPr>
                <w:szCs w:val="24"/>
              </w:rPr>
            </w:pPr>
            <w:r>
              <w:rPr>
                <w:szCs w:val="24"/>
              </w:rPr>
              <w:t>point 5, second indent</w:t>
            </w:r>
          </w:p>
          <w:p>
            <w:pPr>
              <w:pStyle w:val="Normal"/>
              <w:spacing w:before="0" w:after="200"/>
              <w:rPr>
                <w:szCs w:val="24"/>
              </w:rPr>
            </w:pPr>
            <w:r>
              <w:rPr>
                <w:szCs w:val="24"/>
              </w:rPr>
            </w:r>
          </w:p>
        </w:tc>
        <w:tc>
          <w:tcPr>
            <w:tcW w:w="6783"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spacing w:before="0" w:after="200"/>
              <w:rPr>
                <w:szCs w:val="24"/>
              </w:rPr>
            </w:pPr>
            <w:r>
              <w:rPr>
                <w:szCs w:val="24"/>
              </w:rPr>
              <w:t>Baker’s honey</w:t>
            </w:r>
          </w:p>
        </w:tc>
        <w:tc>
          <w:tcPr>
            <w:tcW w:w="6137"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szCs w:val="24"/>
              </w:rPr>
            </w:pPr>
            <w:r>
              <w:rPr>
                <w:szCs w:val="24"/>
              </w:rPr>
              <w:t>Entry 5(b) of the paragraph 12 table in Schedule 1</w:t>
            </w:r>
          </w:p>
          <w:p>
            <w:pPr>
              <w:pStyle w:val="Normal"/>
              <w:rPr>
                <w:szCs w:val="24"/>
              </w:rPr>
            </w:pPr>
            <w:r>
              <w:rPr>
                <w:szCs w:val="24"/>
              </w:rPr>
            </w:r>
          </w:p>
          <w:p>
            <w:pPr>
              <w:pStyle w:val="Normal"/>
              <w:spacing w:before="0" w:after="200"/>
              <w:rPr>
                <w:szCs w:val="24"/>
              </w:rPr>
            </w:pPr>
            <w:r>
              <w:rPr>
                <w:szCs w:val="24"/>
              </w:rPr>
            </w:r>
          </w:p>
        </w:tc>
        <w:tc>
          <w:tcPr>
            <w:tcW w:w="6089" w:type="dxa"/>
            <w:tcBorders>
              <w:top w:val="single" w:sz="4" w:space="0" w:color="000000"/>
              <w:left w:val="single" w:sz="4" w:space="0" w:color="000000"/>
              <w:bottom w:val="single" w:sz="4" w:space="0" w:color="000000"/>
              <w:right w:val="single" w:sz="4" w:space="0" w:color="000000"/>
            </w:tcBorders>
          </w:tcPr>
          <w:p>
            <w:pPr>
              <w:pStyle w:val="Normal"/>
              <w:snapToGrid w:val="false"/>
              <w:spacing w:before="0" w:after="200"/>
              <w:rPr>
                <w:color w:val="002060"/>
                <w:szCs w:val="24"/>
              </w:rPr>
            </w:pPr>
            <w:r>
              <w:rPr>
                <w:color w:val="002060"/>
                <w:szCs w:val="24"/>
              </w:rPr>
            </w:r>
          </w:p>
        </w:tc>
      </w:tr>
      <w:tr>
        <w:trPr>
          <w:cantSplit w:val="true"/>
        </w:trPr>
        <w:tc>
          <w:tcPr>
            <w:tcW w:w="2141" w:type="dxa"/>
            <w:tcBorders>
              <w:top w:val="single" w:sz="4" w:space="0" w:color="000000"/>
              <w:left w:val="single" w:sz="4" w:space="0" w:color="000000"/>
              <w:bottom w:val="single" w:sz="4" w:space="0" w:color="000000"/>
              <w:right w:val="single" w:sz="4" w:space="0" w:color="000000"/>
            </w:tcBorders>
            <w:shd w:fill="FBD4B4" w:val="clear"/>
          </w:tcPr>
          <w:p>
            <w:pPr>
              <w:pStyle w:val="Normal"/>
              <w:snapToGrid w:val="false"/>
              <w:rPr>
                <w:color w:val="002060"/>
                <w:szCs w:val="24"/>
              </w:rPr>
            </w:pPr>
            <w:r>
              <w:rPr>
                <w:color w:val="002060"/>
                <w:szCs w:val="24"/>
              </w:rPr>
            </w:r>
          </w:p>
          <w:p>
            <w:pPr>
              <w:pStyle w:val="Normal"/>
              <w:rPr>
                <w:szCs w:val="24"/>
              </w:rPr>
            </w:pPr>
            <w:r>
              <w:rPr>
                <w:szCs w:val="24"/>
              </w:rPr>
              <w:t>Annex II, fourth paragraph,</w:t>
            </w:r>
          </w:p>
          <w:p>
            <w:pPr>
              <w:pStyle w:val="Normal"/>
              <w:rPr>
                <w:szCs w:val="24"/>
              </w:rPr>
            </w:pPr>
            <w:r>
              <w:rPr>
                <w:szCs w:val="24"/>
              </w:rPr>
              <w:t>point 6</w:t>
            </w:r>
          </w:p>
          <w:p>
            <w:pPr>
              <w:pStyle w:val="Normal"/>
              <w:spacing w:before="0" w:after="200"/>
              <w:rPr>
                <w:szCs w:val="24"/>
              </w:rPr>
            </w:pPr>
            <w:r>
              <w:rPr>
                <w:szCs w:val="24"/>
              </w:rPr>
            </w:r>
          </w:p>
        </w:tc>
        <w:tc>
          <w:tcPr>
            <w:tcW w:w="6783" w:type="dxa"/>
            <w:tcBorders>
              <w:top w:val="single" w:sz="4" w:space="0" w:color="000000"/>
              <w:left w:val="single" w:sz="4" w:space="0" w:color="000000"/>
              <w:bottom w:val="single" w:sz="4" w:space="0" w:color="000000"/>
              <w:right w:val="single" w:sz="4" w:space="0" w:color="000000"/>
            </w:tcBorders>
            <w:shd w:fill="FBD4B4" w:val="clear"/>
          </w:tcPr>
          <w:p>
            <w:pPr>
              <w:pStyle w:val="Normal"/>
              <w:snapToGrid w:val="false"/>
              <w:rPr>
                <w:szCs w:val="24"/>
              </w:rPr>
            </w:pPr>
            <w:r>
              <w:rPr>
                <w:szCs w:val="24"/>
              </w:rPr>
            </w:r>
          </w:p>
          <w:p>
            <w:pPr>
              <w:pStyle w:val="Normal"/>
              <w:rPr>
                <w:szCs w:val="24"/>
              </w:rPr>
            </w:pPr>
            <w:r>
              <w:rPr>
                <w:szCs w:val="24"/>
              </w:rPr>
              <w:t>Diastase activity and hydroxymethylfurfural content (HMF) determined after processing and blending</w:t>
            </w:r>
          </w:p>
          <w:p>
            <w:pPr>
              <w:pStyle w:val="Normal"/>
              <w:spacing w:before="0" w:after="200"/>
              <w:rPr>
                <w:szCs w:val="24"/>
              </w:rPr>
            </w:pPr>
            <w:r>
              <w:rPr>
                <w:szCs w:val="24"/>
              </w:rPr>
            </w:r>
          </w:p>
        </w:tc>
        <w:tc>
          <w:tcPr>
            <w:tcW w:w="6137" w:type="dxa"/>
            <w:tcBorders>
              <w:top w:val="single" w:sz="4" w:space="0" w:color="000000"/>
              <w:left w:val="single" w:sz="4" w:space="0" w:color="000000"/>
              <w:bottom w:val="single" w:sz="4" w:space="0" w:color="000000"/>
              <w:right w:val="single" w:sz="4" w:space="0" w:color="000000"/>
            </w:tcBorders>
            <w:shd w:fill="FBD4B4" w:val="clear"/>
          </w:tcPr>
          <w:p>
            <w:pPr>
              <w:pStyle w:val="Normal"/>
              <w:snapToGrid w:val="false"/>
              <w:rPr>
                <w:szCs w:val="24"/>
              </w:rPr>
            </w:pPr>
            <w:r>
              <w:rPr>
                <w:szCs w:val="24"/>
              </w:rPr>
            </w:r>
          </w:p>
          <w:p>
            <w:pPr>
              <w:pStyle w:val="Normal"/>
              <w:rPr>
                <w:szCs w:val="24"/>
              </w:rPr>
            </w:pPr>
            <w:r>
              <w:rPr>
                <w:szCs w:val="24"/>
              </w:rPr>
              <w:t>Entry 6 of the paragraph 12 table in Schedule 1</w:t>
            </w:r>
          </w:p>
          <w:p>
            <w:pPr>
              <w:pStyle w:val="Normal"/>
              <w:spacing w:before="0" w:after="200"/>
              <w:rPr>
                <w:szCs w:val="24"/>
              </w:rPr>
            </w:pPr>
            <w:r>
              <w:rPr>
                <w:szCs w:val="24"/>
              </w:rPr>
            </w:r>
          </w:p>
        </w:tc>
        <w:tc>
          <w:tcPr>
            <w:tcW w:w="6089" w:type="dxa"/>
            <w:tcBorders>
              <w:top w:val="single" w:sz="4" w:space="0" w:color="000000"/>
              <w:left w:val="single" w:sz="4" w:space="0" w:color="000000"/>
              <w:bottom w:val="single" w:sz="4" w:space="0" w:color="000000"/>
              <w:right w:val="single" w:sz="4" w:space="0" w:color="000000"/>
            </w:tcBorders>
            <w:shd w:fill="FBD4B4" w:val="clear"/>
          </w:tcPr>
          <w:p>
            <w:pPr>
              <w:pStyle w:val="Normal"/>
              <w:snapToGrid w:val="false"/>
              <w:spacing w:before="0" w:after="200"/>
              <w:rPr>
                <w:color w:val="002060"/>
                <w:szCs w:val="24"/>
              </w:rPr>
            </w:pPr>
            <w:r>
              <w:rPr>
                <w:color w:val="002060"/>
                <w:szCs w:val="24"/>
              </w:rPr>
            </w:r>
          </w:p>
        </w:tc>
      </w:tr>
      <w:tr>
        <w:trPr/>
        <w:tc>
          <w:tcPr>
            <w:tcW w:w="2141" w:type="dxa"/>
            <w:tcBorders>
              <w:top w:val="single" w:sz="4" w:space="0" w:color="000000"/>
              <w:left w:val="single" w:sz="4" w:space="0" w:color="000000"/>
              <w:bottom w:val="single" w:sz="4" w:space="0" w:color="000000"/>
              <w:right w:val="single" w:sz="4" w:space="0" w:color="000000"/>
            </w:tcBorders>
            <w:shd w:fill="FDE9D9" w:val="clear"/>
          </w:tcPr>
          <w:p>
            <w:pPr>
              <w:pStyle w:val="Normal"/>
              <w:snapToGrid w:val="false"/>
              <w:rPr>
                <w:color w:val="002060"/>
                <w:szCs w:val="24"/>
              </w:rPr>
            </w:pPr>
            <w:r>
              <w:rPr>
                <w:color w:val="002060"/>
                <w:szCs w:val="24"/>
              </w:rPr>
            </w:r>
          </w:p>
          <w:p>
            <w:pPr>
              <w:pStyle w:val="Normal"/>
              <w:rPr>
                <w:szCs w:val="24"/>
              </w:rPr>
            </w:pPr>
            <w:r>
              <w:rPr>
                <w:szCs w:val="24"/>
              </w:rPr>
              <w:t>Annex II, fourth paragraph,</w:t>
            </w:r>
          </w:p>
          <w:p>
            <w:pPr>
              <w:pStyle w:val="Normal"/>
              <w:rPr>
                <w:szCs w:val="24"/>
              </w:rPr>
            </w:pPr>
            <w:r>
              <w:rPr>
                <w:szCs w:val="24"/>
              </w:rPr>
              <w:t>point 6(a)</w:t>
            </w:r>
          </w:p>
          <w:p>
            <w:pPr>
              <w:pStyle w:val="Normal"/>
              <w:spacing w:before="0" w:after="200"/>
              <w:rPr>
                <w:szCs w:val="24"/>
              </w:rPr>
            </w:pPr>
            <w:r>
              <w:rPr>
                <w:szCs w:val="24"/>
              </w:rPr>
            </w:r>
          </w:p>
        </w:tc>
        <w:tc>
          <w:tcPr>
            <w:tcW w:w="6783" w:type="dxa"/>
            <w:tcBorders>
              <w:top w:val="single" w:sz="4" w:space="0" w:color="000000"/>
              <w:left w:val="single" w:sz="4" w:space="0" w:color="000000"/>
              <w:bottom w:val="single" w:sz="4" w:space="0" w:color="000000"/>
              <w:right w:val="single" w:sz="4" w:space="0" w:color="000000"/>
            </w:tcBorders>
            <w:shd w:fill="FDE9D9" w:val="clear"/>
          </w:tcPr>
          <w:p>
            <w:pPr>
              <w:pStyle w:val="Normal"/>
              <w:snapToGrid w:val="false"/>
              <w:rPr>
                <w:szCs w:val="24"/>
              </w:rPr>
            </w:pPr>
            <w:r>
              <w:rPr>
                <w:szCs w:val="24"/>
              </w:rPr>
            </w:r>
          </w:p>
          <w:p>
            <w:pPr>
              <w:pStyle w:val="Normal"/>
              <w:spacing w:before="0" w:after="200"/>
              <w:rPr>
                <w:szCs w:val="24"/>
              </w:rPr>
            </w:pPr>
            <w:r>
              <w:rPr>
                <w:szCs w:val="24"/>
              </w:rPr>
              <w:t>Diastase activity (Schade scale)</w:t>
            </w:r>
          </w:p>
        </w:tc>
        <w:tc>
          <w:tcPr>
            <w:tcW w:w="6137" w:type="dxa"/>
            <w:tcBorders>
              <w:top w:val="single" w:sz="4" w:space="0" w:color="000000"/>
              <w:left w:val="single" w:sz="4" w:space="0" w:color="000000"/>
              <w:bottom w:val="single" w:sz="4" w:space="0" w:color="000000"/>
              <w:right w:val="single" w:sz="4" w:space="0" w:color="000000"/>
            </w:tcBorders>
            <w:shd w:fill="FDE9D9" w:val="clear"/>
          </w:tcPr>
          <w:p>
            <w:pPr>
              <w:pStyle w:val="Normal"/>
              <w:snapToGrid w:val="false"/>
              <w:rPr>
                <w:szCs w:val="24"/>
              </w:rPr>
            </w:pPr>
            <w:r>
              <w:rPr>
                <w:szCs w:val="24"/>
              </w:rPr>
            </w:r>
          </w:p>
          <w:p>
            <w:pPr>
              <w:pStyle w:val="Normal"/>
              <w:rPr>
                <w:szCs w:val="24"/>
              </w:rPr>
            </w:pPr>
            <w:r>
              <w:rPr>
                <w:szCs w:val="24"/>
              </w:rPr>
              <w:t>Entry 6(a) of the paragraph 12 table in Schedule 1</w:t>
            </w:r>
          </w:p>
          <w:p>
            <w:pPr>
              <w:pStyle w:val="Normal"/>
              <w:spacing w:before="0" w:after="200"/>
              <w:rPr>
                <w:szCs w:val="24"/>
              </w:rPr>
            </w:pPr>
            <w:r>
              <w:rPr>
                <w:szCs w:val="24"/>
              </w:rPr>
            </w:r>
          </w:p>
        </w:tc>
        <w:tc>
          <w:tcPr>
            <w:tcW w:w="6089" w:type="dxa"/>
            <w:tcBorders>
              <w:top w:val="single" w:sz="4" w:space="0" w:color="000000"/>
              <w:left w:val="single" w:sz="4" w:space="0" w:color="000000"/>
              <w:bottom w:val="single" w:sz="4" w:space="0" w:color="000000"/>
              <w:right w:val="single" w:sz="4" w:space="0" w:color="000000"/>
            </w:tcBorders>
            <w:shd w:fill="FDE9D9" w:val="clear"/>
          </w:tcPr>
          <w:p>
            <w:pPr>
              <w:pStyle w:val="Normal"/>
              <w:snapToGrid w:val="false"/>
              <w:spacing w:before="0" w:after="200"/>
              <w:rPr>
                <w:color w:val="002060"/>
                <w:szCs w:val="24"/>
              </w:rPr>
            </w:pPr>
            <w:r>
              <w:rPr>
                <w:color w:val="002060"/>
                <w:szCs w:val="24"/>
              </w:rPr>
            </w:r>
          </w:p>
        </w:tc>
      </w:tr>
      <w:tr>
        <w:trPr/>
        <w:tc>
          <w:tcPr>
            <w:tcW w:w="2141" w:type="dxa"/>
            <w:tcBorders>
              <w:top w:val="single" w:sz="4" w:space="0" w:color="000000"/>
              <w:left w:val="single" w:sz="4" w:space="0" w:color="000000"/>
              <w:bottom w:val="single" w:sz="4" w:space="0" w:color="000000"/>
              <w:right w:val="single" w:sz="4" w:space="0" w:color="000000"/>
            </w:tcBorders>
          </w:tcPr>
          <w:p>
            <w:pPr>
              <w:pStyle w:val="Normal"/>
              <w:snapToGrid w:val="false"/>
              <w:rPr>
                <w:color w:val="002060"/>
                <w:szCs w:val="24"/>
              </w:rPr>
            </w:pPr>
            <w:r>
              <w:rPr>
                <w:color w:val="002060"/>
                <w:szCs w:val="24"/>
              </w:rPr>
            </w:r>
          </w:p>
          <w:p>
            <w:pPr>
              <w:pStyle w:val="Normal"/>
              <w:rPr>
                <w:szCs w:val="24"/>
              </w:rPr>
            </w:pPr>
            <w:r>
              <w:rPr>
                <w:szCs w:val="24"/>
              </w:rPr>
              <w:t>Annex II, fourth paragraph,</w:t>
            </w:r>
          </w:p>
          <w:p>
            <w:pPr>
              <w:pStyle w:val="Normal"/>
              <w:rPr>
                <w:szCs w:val="24"/>
              </w:rPr>
            </w:pPr>
            <w:r>
              <w:rPr>
                <w:szCs w:val="24"/>
              </w:rPr>
              <w:t>point 6(a), first indent</w:t>
            </w:r>
          </w:p>
          <w:p>
            <w:pPr>
              <w:pStyle w:val="Normal"/>
              <w:spacing w:before="0" w:after="200"/>
              <w:rPr>
                <w:szCs w:val="24"/>
              </w:rPr>
            </w:pPr>
            <w:r>
              <w:rPr>
                <w:szCs w:val="24"/>
              </w:rPr>
            </w:r>
          </w:p>
        </w:tc>
        <w:tc>
          <w:tcPr>
            <w:tcW w:w="6783"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spacing w:before="0" w:after="200"/>
              <w:rPr>
                <w:szCs w:val="24"/>
              </w:rPr>
            </w:pPr>
            <w:r>
              <w:rPr>
                <w:szCs w:val="24"/>
              </w:rPr>
              <w:t>In general, except baker’s honey</w:t>
            </w:r>
          </w:p>
        </w:tc>
        <w:tc>
          <w:tcPr>
            <w:tcW w:w="6137"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szCs w:val="24"/>
              </w:rPr>
            </w:pPr>
            <w:r>
              <w:rPr>
                <w:szCs w:val="24"/>
              </w:rPr>
              <w:t>Entry 6(a)(i) of the paragraph 12 table in Schedule 1</w:t>
            </w:r>
          </w:p>
          <w:p>
            <w:pPr>
              <w:pStyle w:val="Normal"/>
              <w:spacing w:before="0" w:after="200"/>
              <w:rPr>
                <w:szCs w:val="24"/>
              </w:rPr>
            </w:pPr>
            <w:r>
              <w:rPr>
                <w:szCs w:val="24"/>
              </w:rPr>
            </w:r>
          </w:p>
        </w:tc>
        <w:tc>
          <w:tcPr>
            <w:tcW w:w="6089" w:type="dxa"/>
            <w:tcBorders>
              <w:top w:val="single" w:sz="4" w:space="0" w:color="000000"/>
              <w:left w:val="single" w:sz="4" w:space="0" w:color="000000"/>
              <w:bottom w:val="single" w:sz="4" w:space="0" w:color="000000"/>
              <w:right w:val="single" w:sz="4" w:space="0" w:color="000000"/>
            </w:tcBorders>
          </w:tcPr>
          <w:p>
            <w:pPr>
              <w:pStyle w:val="Normal"/>
              <w:snapToGrid w:val="false"/>
              <w:spacing w:before="0" w:after="200"/>
              <w:rPr>
                <w:color w:val="002060"/>
                <w:szCs w:val="24"/>
              </w:rPr>
            </w:pPr>
            <w:r>
              <w:rPr>
                <w:color w:val="002060"/>
                <w:szCs w:val="24"/>
              </w:rPr>
            </w:r>
          </w:p>
        </w:tc>
      </w:tr>
      <w:tr>
        <w:trPr>
          <w:cantSplit w:val="true"/>
        </w:trPr>
        <w:tc>
          <w:tcPr>
            <w:tcW w:w="2141" w:type="dxa"/>
            <w:tcBorders>
              <w:top w:val="single" w:sz="4" w:space="0" w:color="000000"/>
              <w:left w:val="single" w:sz="4" w:space="0" w:color="000000"/>
              <w:bottom w:val="single" w:sz="4" w:space="0" w:color="000000"/>
              <w:right w:val="single" w:sz="4" w:space="0" w:color="000000"/>
            </w:tcBorders>
          </w:tcPr>
          <w:p>
            <w:pPr>
              <w:pStyle w:val="Normal"/>
              <w:snapToGrid w:val="false"/>
              <w:rPr>
                <w:color w:val="002060"/>
                <w:szCs w:val="24"/>
              </w:rPr>
            </w:pPr>
            <w:r>
              <w:rPr>
                <w:color w:val="002060"/>
                <w:szCs w:val="24"/>
              </w:rPr>
            </w:r>
          </w:p>
          <w:p>
            <w:pPr>
              <w:pStyle w:val="Normal"/>
              <w:rPr>
                <w:szCs w:val="24"/>
              </w:rPr>
            </w:pPr>
            <w:r>
              <w:rPr>
                <w:szCs w:val="24"/>
              </w:rPr>
              <w:t>Annex II, fourth paragraph,</w:t>
            </w:r>
          </w:p>
          <w:p>
            <w:pPr>
              <w:pStyle w:val="Normal"/>
              <w:rPr>
                <w:szCs w:val="24"/>
              </w:rPr>
            </w:pPr>
            <w:r>
              <w:rPr>
                <w:szCs w:val="24"/>
              </w:rPr>
              <w:t>point 6(a), second indent</w:t>
            </w:r>
          </w:p>
          <w:p>
            <w:pPr>
              <w:pStyle w:val="Normal"/>
              <w:spacing w:before="0" w:after="200"/>
              <w:rPr>
                <w:szCs w:val="24"/>
              </w:rPr>
            </w:pPr>
            <w:r>
              <w:rPr>
                <w:szCs w:val="24"/>
              </w:rPr>
            </w:r>
          </w:p>
        </w:tc>
        <w:tc>
          <w:tcPr>
            <w:tcW w:w="6783"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szCs w:val="24"/>
              </w:rPr>
            </w:pPr>
            <w:r>
              <w:rPr>
                <w:szCs w:val="24"/>
              </w:rPr>
              <w:t>Honeys with low natural enzyme content (e.g. citrus honeys) and an HMF content of not more than 15mg/kg</w:t>
            </w:r>
          </w:p>
          <w:p>
            <w:pPr>
              <w:pStyle w:val="Normal"/>
              <w:spacing w:before="0" w:after="200"/>
              <w:rPr>
                <w:szCs w:val="24"/>
              </w:rPr>
            </w:pPr>
            <w:r>
              <w:rPr>
                <w:szCs w:val="24"/>
              </w:rPr>
            </w:r>
          </w:p>
        </w:tc>
        <w:tc>
          <w:tcPr>
            <w:tcW w:w="6137"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szCs w:val="24"/>
              </w:rPr>
            </w:pPr>
            <w:r>
              <w:rPr>
                <w:szCs w:val="24"/>
              </w:rPr>
              <w:t>Entry 6(a)(ii) of the paragraph 12 table in Schedule 1</w:t>
            </w:r>
          </w:p>
          <w:p>
            <w:pPr>
              <w:pStyle w:val="Normal"/>
              <w:spacing w:before="0" w:after="200"/>
              <w:rPr>
                <w:szCs w:val="24"/>
              </w:rPr>
            </w:pPr>
            <w:r>
              <w:rPr>
                <w:szCs w:val="24"/>
              </w:rPr>
            </w:r>
          </w:p>
        </w:tc>
        <w:tc>
          <w:tcPr>
            <w:tcW w:w="6089" w:type="dxa"/>
            <w:tcBorders>
              <w:top w:val="single" w:sz="4" w:space="0" w:color="000000"/>
              <w:left w:val="single" w:sz="4" w:space="0" w:color="000000"/>
              <w:bottom w:val="single" w:sz="4" w:space="0" w:color="000000"/>
              <w:right w:val="single" w:sz="4" w:space="0" w:color="000000"/>
            </w:tcBorders>
          </w:tcPr>
          <w:p>
            <w:pPr>
              <w:pStyle w:val="Normal"/>
              <w:snapToGrid w:val="false"/>
              <w:spacing w:before="0" w:after="200"/>
              <w:rPr>
                <w:szCs w:val="24"/>
              </w:rPr>
            </w:pPr>
            <w:r>
              <w:rPr>
                <w:szCs w:val="24"/>
              </w:rPr>
            </w:r>
          </w:p>
        </w:tc>
      </w:tr>
      <w:tr>
        <w:trPr/>
        <w:tc>
          <w:tcPr>
            <w:tcW w:w="2141" w:type="dxa"/>
            <w:tcBorders>
              <w:top w:val="single" w:sz="4" w:space="0" w:color="000000"/>
              <w:left w:val="single" w:sz="4" w:space="0" w:color="000000"/>
              <w:bottom w:val="single" w:sz="4" w:space="0" w:color="000000"/>
              <w:right w:val="single" w:sz="4" w:space="0" w:color="000000"/>
            </w:tcBorders>
            <w:shd w:fill="FDE9D9" w:val="clear"/>
          </w:tcPr>
          <w:p>
            <w:pPr>
              <w:pStyle w:val="Normal"/>
              <w:snapToGrid w:val="false"/>
              <w:rPr>
                <w:color w:val="002060"/>
                <w:szCs w:val="24"/>
              </w:rPr>
            </w:pPr>
            <w:r>
              <w:rPr>
                <w:color w:val="002060"/>
                <w:szCs w:val="24"/>
              </w:rPr>
            </w:r>
          </w:p>
          <w:p>
            <w:pPr>
              <w:pStyle w:val="Normal"/>
              <w:rPr>
                <w:szCs w:val="24"/>
              </w:rPr>
            </w:pPr>
            <w:r>
              <w:rPr>
                <w:szCs w:val="24"/>
              </w:rPr>
              <w:t>Annex II, fourth paragraph,</w:t>
            </w:r>
          </w:p>
          <w:p>
            <w:pPr>
              <w:pStyle w:val="Normal"/>
              <w:rPr>
                <w:szCs w:val="24"/>
              </w:rPr>
            </w:pPr>
            <w:r>
              <w:rPr>
                <w:szCs w:val="24"/>
              </w:rPr>
              <w:t>point 6(b)</w:t>
            </w:r>
          </w:p>
          <w:p>
            <w:pPr>
              <w:pStyle w:val="Normal"/>
              <w:spacing w:before="0" w:after="200"/>
              <w:rPr>
                <w:szCs w:val="24"/>
              </w:rPr>
            </w:pPr>
            <w:r>
              <w:rPr>
                <w:szCs w:val="24"/>
              </w:rPr>
            </w:r>
          </w:p>
        </w:tc>
        <w:tc>
          <w:tcPr>
            <w:tcW w:w="6783" w:type="dxa"/>
            <w:tcBorders>
              <w:top w:val="single" w:sz="4" w:space="0" w:color="000000"/>
              <w:left w:val="single" w:sz="4" w:space="0" w:color="000000"/>
              <w:bottom w:val="single" w:sz="4" w:space="0" w:color="000000"/>
              <w:right w:val="single" w:sz="4" w:space="0" w:color="000000"/>
            </w:tcBorders>
            <w:shd w:fill="FDE9D9" w:val="clear"/>
          </w:tcPr>
          <w:p>
            <w:pPr>
              <w:pStyle w:val="Normal"/>
              <w:snapToGrid w:val="false"/>
              <w:rPr>
                <w:szCs w:val="24"/>
              </w:rPr>
            </w:pPr>
            <w:r>
              <w:rPr>
                <w:szCs w:val="24"/>
              </w:rPr>
            </w:r>
          </w:p>
          <w:p>
            <w:pPr>
              <w:pStyle w:val="Normal"/>
              <w:spacing w:before="0" w:after="200"/>
              <w:rPr>
                <w:szCs w:val="24"/>
              </w:rPr>
            </w:pPr>
            <w:r>
              <w:rPr>
                <w:szCs w:val="24"/>
              </w:rPr>
              <w:t>HMF</w:t>
            </w:r>
          </w:p>
        </w:tc>
        <w:tc>
          <w:tcPr>
            <w:tcW w:w="6137" w:type="dxa"/>
            <w:tcBorders>
              <w:top w:val="single" w:sz="4" w:space="0" w:color="000000"/>
              <w:left w:val="single" w:sz="4" w:space="0" w:color="000000"/>
              <w:bottom w:val="single" w:sz="4" w:space="0" w:color="000000"/>
              <w:right w:val="single" w:sz="4" w:space="0" w:color="000000"/>
            </w:tcBorders>
            <w:shd w:fill="FDE9D9" w:val="clear"/>
          </w:tcPr>
          <w:p>
            <w:pPr>
              <w:pStyle w:val="Normal"/>
              <w:snapToGrid w:val="false"/>
              <w:rPr>
                <w:szCs w:val="24"/>
              </w:rPr>
            </w:pPr>
            <w:r>
              <w:rPr>
                <w:szCs w:val="24"/>
              </w:rPr>
            </w:r>
          </w:p>
          <w:p>
            <w:pPr>
              <w:pStyle w:val="Normal"/>
              <w:rPr>
                <w:szCs w:val="24"/>
              </w:rPr>
            </w:pPr>
            <w:r>
              <w:rPr>
                <w:szCs w:val="24"/>
              </w:rPr>
              <w:t>Entry 6(b) of the paragraph 12 table in Schedule 1</w:t>
            </w:r>
          </w:p>
          <w:p>
            <w:pPr>
              <w:pStyle w:val="Normal"/>
              <w:spacing w:before="0" w:after="200"/>
              <w:rPr>
                <w:szCs w:val="24"/>
              </w:rPr>
            </w:pPr>
            <w:r>
              <w:rPr>
                <w:szCs w:val="24"/>
              </w:rPr>
            </w:r>
          </w:p>
        </w:tc>
        <w:tc>
          <w:tcPr>
            <w:tcW w:w="6089" w:type="dxa"/>
            <w:tcBorders>
              <w:top w:val="single" w:sz="4" w:space="0" w:color="000000"/>
              <w:left w:val="single" w:sz="4" w:space="0" w:color="000000"/>
              <w:bottom w:val="single" w:sz="4" w:space="0" w:color="000000"/>
              <w:right w:val="single" w:sz="4" w:space="0" w:color="000000"/>
            </w:tcBorders>
            <w:shd w:fill="FDE9D9" w:val="clear"/>
          </w:tcPr>
          <w:p>
            <w:pPr>
              <w:pStyle w:val="Normal"/>
              <w:snapToGrid w:val="false"/>
              <w:spacing w:before="0" w:after="200"/>
              <w:rPr>
                <w:szCs w:val="24"/>
              </w:rPr>
            </w:pPr>
            <w:r>
              <w:rPr>
                <w:szCs w:val="24"/>
              </w:rPr>
            </w:r>
          </w:p>
        </w:tc>
      </w:tr>
      <w:tr>
        <w:trPr/>
        <w:tc>
          <w:tcPr>
            <w:tcW w:w="2141" w:type="dxa"/>
            <w:tcBorders>
              <w:top w:val="single" w:sz="4" w:space="0" w:color="000000"/>
              <w:left w:val="single" w:sz="4" w:space="0" w:color="000000"/>
              <w:bottom w:val="single" w:sz="4" w:space="0" w:color="000000"/>
              <w:right w:val="single" w:sz="4" w:space="0" w:color="000000"/>
            </w:tcBorders>
          </w:tcPr>
          <w:p>
            <w:pPr>
              <w:pStyle w:val="Normal"/>
              <w:snapToGrid w:val="false"/>
              <w:rPr>
                <w:color w:val="002060"/>
                <w:szCs w:val="24"/>
              </w:rPr>
            </w:pPr>
            <w:r>
              <w:rPr>
                <w:color w:val="002060"/>
                <w:szCs w:val="24"/>
              </w:rPr>
            </w:r>
          </w:p>
          <w:p>
            <w:pPr>
              <w:pStyle w:val="Normal"/>
              <w:rPr>
                <w:szCs w:val="24"/>
              </w:rPr>
            </w:pPr>
            <w:r>
              <w:rPr>
                <w:szCs w:val="24"/>
              </w:rPr>
              <w:t>Annex II, fourth paragraph,</w:t>
            </w:r>
          </w:p>
          <w:p>
            <w:pPr>
              <w:pStyle w:val="Normal"/>
              <w:rPr>
                <w:szCs w:val="24"/>
              </w:rPr>
            </w:pPr>
            <w:r>
              <w:rPr>
                <w:szCs w:val="24"/>
              </w:rPr>
              <w:t>point 6(b), first indent</w:t>
            </w:r>
          </w:p>
          <w:p>
            <w:pPr>
              <w:pStyle w:val="Normal"/>
              <w:spacing w:before="0" w:after="200"/>
              <w:rPr>
                <w:szCs w:val="24"/>
              </w:rPr>
            </w:pPr>
            <w:r>
              <w:rPr>
                <w:szCs w:val="24"/>
              </w:rPr>
            </w:r>
          </w:p>
        </w:tc>
        <w:tc>
          <w:tcPr>
            <w:tcW w:w="6783"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spacing w:before="0" w:after="200"/>
              <w:rPr/>
            </w:pPr>
            <w:r>
              <w:rPr>
                <w:szCs w:val="24"/>
              </w:rPr>
              <w:t>In general, except baker's honey</w:t>
            </w:r>
          </w:p>
        </w:tc>
        <w:tc>
          <w:tcPr>
            <w:tcW w:w="6137"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szCs w:val="24"/>
              </w:rPr>
            </w:pPr>
            <w:r>
              <w:rPr>
                <w:szCs w:val="24"/>
              </w:rPr>
              <w:t>Entry 6(b)(i) of the paragraph 12 table in Schedule 1</w:t>
            </w:r>
          </w:p>
          <w:p>
            <w:pPr>
              <w:pStyle w:val="Normal"/>
              <w:rPr>
                <w:szCs w:val="24"/>
              </w:rPr>
            </w:pPr>
            <w:r>
              <w:rPr>
                <w:szCs w:val="24"/>
              </w:rPr>
            </w:r>
          </w:p>
          <w:p>
            <w:pPr>
              <w:pStyle w:val="Normal"/>
              <w:spacing w:before="0" w:after="200"/>
              <w:rPr>
                <w:szCs w:val="24"/>
              </w:rPr>
            </w:pPr>
            <w:r>
              <w:rPr>
                <w:szCs w:val="24"/>
              </w:rPr>
            </w:r>
          </w:p>
        </w:tc>
        <w:tc>
          <w:tcPr>
            <w:tcW w:w="6089"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spacing w:before="0" w:after="200"/>
              <w:rPr>
                <w:szCs w:val="24"/>
              </w:rPr>
            </w:pPr>
            <w:r>
              <w:rPr>
                <w:szCs w:val="24"/>
              </w:rPr>
              <w:t>‘</w:t>
            </w:r>
            <w:r>
              <w:rPr>
                <w:szCs w:val="24"/>
              </w:rPr>
              <w:t>Subject to’ wording not included because it has no substantive legal value and only text with a legal purpose can be included in the Regulations.</w:t>
            </w:r>
          </w:p>
        </w:tc>
      </w:tr>
      <w:tr>
        <w:trPr/>
        <w:tc>
          <w:tcPr>
            <w:tcW w:w="2141" w:type="dxa"/>
            <w:tcBorders>
              <w:top w:val="single" w:sz="4" w:space="0" w:color="000000"/>
              <w:left w:val="single" w:sz="4" w:space="0" w:color="000000"/>
              <w:bottom w:val="single" w:sz="4" w:space="0" w:color="000000"/>
              <w:right w:val="single" w:sz="4" w:space="0" w:color="000000"/>
            </w:tcBorders>
          </w:tcPr>
          <w:p>
            <w:pPr>
              <w:pStyle w:val="Normal"/>
              <w:snapToGrid w:val="false"/>
              <w:rPr>
                <w:color w:val="002060"/>
                <w:szCs w:val="24"/>
              </w:rPr>
            </w:pPr>
            <w:r>
              <w:rPr>
                <w:color w:val="002060"/>
                <w:szCs w:val="24"/>
              </w:rPr>
            </w:r>
          </w:p>
          <w:p>
            <w:pPr>
              <w:pStyle w:val="Normal"/>
              <w:rPr>
                <w:szCs w:val="24"/>
              </w:rPr>
            </w:pPr>
            <w:r>
              <w:rPr>
                <w:szCs w:val="24"/>
              </w:rPr>
              <w:t>Annex II, fourth paragraph,</w:t>
            </w:r>
          </w:p>
          <w:p>
            <w:pPr>
              <w:pStyle w:val="Normal"/>
              <w:rPr>
                <w:szCs w:val="24"/>
              </w:rPr>
            </w:pPr>
            <w:r>
              <w:rPr>
                <w:szCs w:val="24"/>
              </w:rPr>
              <w:t>point 6(b), second indent</w:t>
            </w:r>
          </w:p>
          <w:p>
            <w:pPr>
              <w:pStyle w:val="Normal"/>
              <w:spacing w:before="0" w:after="200"/>
              <w:rPr>
                <w:szCs w:val="24"/>
              </w:rPr>
            </w:pPr>
            <w:r>
              <w:rPr>
                <w:szCs w:val="24"/>
              </w:rPr>
            </w:r>
          </w:p>
        </w:tc>
        <w:tc>
          <w:tcPr>
            <w:tcW w:w="6783"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spacing w:before="0" w:after="200"/>
              <w:rPr>
                <w:szCs w:val="24"/>
              </w:rPr>
            </w:pPr>
            <w:r>
              <w:rPr>
                <w:szCs w:val="24"/>
              </w:rPr>
              <w:t>Honeys of declared origin from regions with tropical climate and blends of these honeys</w:t>
            </w:r>
          </w:p>
        </w:tc>
        <w:tc>
          <w:tcPr>
            <w:tcW w:w="6137"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szCs w:val="24"/>
              </w:rPr>
            </w:pPr>
            <w:r>
              <w:rPr>
                <w:szCs w:val="24"/>
              </w:rPr>
              <w:t>Entry 6(b)(ii) of the paragraph 12 table in Schedule 1</w:t>
            </w:r>
          </w:p>
          <w:p>
            <w:pPr>
              <w:pStyle w:val="Normal"/>
              <w:spacing w:before="0" w:after="200"/>
              <w:rPr>
                <w:szCs w:val="24"/>
              </w:rPr>
            </w:pPr>
            <w:r>
              <w:rPr>
                <w:szCs w:val="24"/>
              </w:rPr>
            </w:r>
          </w:p>
        </w:tc>
        <w:tc>
          <w:tcPr>
            <w:tcW w:w="6089" w:type="dxa"/>
            <w:tcBorders>
              <w:top w:val="single" w:sz="4" w:space="0" w:color="000000"/>
              <w:left w:val="single" w:sz="4" w:space="0" w:color="000000"/>
              <w:bottom w:val="single" w:sz="4" w:space="0" w:color="000000"/>
              <w:right w:val="single" w:sz="4" w:space="0" w:color="000000"/>
            </w:tcBorders>
          </w:tcPr>
          <w:p>
            <w:pPr>
              <w:pStyle w:val="Normal"/>
              <w:snapToGrid w:val="false"/>
              <w:spacing w:before="0" w:after="200"/>
              <w:rPr>
                <w:szCs w:val="24"/>
              </w:rPr>
            </w:pPr>
            <w:r>
              <w:rPr>
                <w:szCs w:val="24"/>
              </w:rPr>
            </w:r>
          </w:p>
        </w:tc>
      </w:tr>
    </w:tbl>
    <w:p>
      <w:pPr>
        <w:pStyle w:val="Normal"/>
        <w:rPr>
          <w:color w:val="002060"/>
          <w:szCs w:val="24"/>
        </w:rPr>
      </w:pPr>
      <w:r>
        <w:rPr>
          <w:color w:val="002060"/>
          <w:szCs w:val="24"/>
        </w:rPr>
      </w:r>
      <w:r>
        <w:br w:type="page"/>
      </w:r>
    </w:p>
    <w:p>
      <w:pPr>
        <w:pStyle w:val="Normal"/>
        <w:rPr/>
      </w:pPr>
      <w:r>
        <w:rPr>
          <w:szCs w:val="24"/>
        </w:rPr>
        <w:t>Additional requirements of Directive 2014/63/EU (amending the Honey Directive), i.e. insofar as its provisions do not relate to direct amendments made to the Honey Directive:</w:t>
      </w:r>
    </w:p>
    <w:p>
      <w:pPr>
        <w:pStyle w:val="Normal"/>
        <w:rPr>
          <w:color w:val="002060"/>
          <w:szCs w:val="24"/>
        </w:rPr>
      </w:pPr>
      <w:r>
        <w:rPr>
          <w:color w:val="002060"/>
          <w:szCs w:val="24"/>
        </w:rPr>
      </w:r>
    </w:p>
    <w:tbl>
      <w:tblPr>
        <w:tblW w:w="5000" w:type="pct"/>
        <w:jc w:val="left"/>
        <w:tblInd w:w="0" w:type="dxa"/>
        <w:tblLayout w:type="fixed"/>
        <w:tblCellMar>
          <w:top w:w="0" w:type="dxa"/>
          <w:left w:w="108" w:type="dxa"/>
          <w:bottom w:w="0" w:type="dxa"/>
          <w:right w:w="108" w:type="dxa"/>
        </w:tblCellMar>
      </w:tblPr>
      <w:tblGrid>
        <w:gridCol w:w="4267"/>
        <w:gridCol w:w="2056"/>
        <w:gridCol w:w="6536"/>
        <w:gridCol w:w="8072"/>
      </w:tblGrid>
      <w:tr>
        <w:trPr/>
        <w:tc>
          <w:tcPr>
            <w:tcW w:w="4267" w:type="dxa"/>
            <w:tcBorders>
              <w:top w:val="single" w:sz="4" w:space="0" w:color="000000"/>
              <w:left w:val="single" w:sz="4" w:space="0" w:color="000000"/>
              <w:bottom w:val="single" w:sz="4" w:space="0" w:color="000000"/>
              <w:right w:val="single" w:sz="4" w:space="0" w:color="000000"/>
            </w:tcBorders>
            <w:shd w:fill="D6E3BC" w:val="clear"/>
          </w:tcPr>
          <w:p>
            <w:pPr>
              <w:pStyle w:val="Normal"/>
              <w:snapToGrid w:val="false"/>
              <w:rPr>
                <w:szCs w:val="24"/>
              </w:rPr>
            </w:pPr>
            <w:r>
              <w:rPr>
                <w:szCs w:val="24"/>
              </w:rPr>
            </w:r>
          </w:p>
          <w:p>
            <w:pPr>
              <w:pStyle w:val="Normal"/>
              <w:rPr>
                <w:szCs w:val="24"/>
              </w:rPr>
            </w:pPr>
            <w:r>
              <w:rPr>
                <w:szCs w:val="24"/>
              </w:rPr>
              <w:t>Article in Directive 2014/63/EU</w:t>
            </w:r>
          </w:p>
          <w:p>
            <w:pPr>
              <w:pStyle w:val="Normal"/>
              <w:spacing w:before="0" w:after="200"/>
              <w:rPr>
                <w:szCs w:val="24"/>
              </w:rPr>
            </w:pPr>
            <w:r>
              <w:rPr>
                <w:szCs w:val="24"/>
              </w:rPr>
            </w:r>
          </w:p>
        </w:tc>
        <w:tc>
          <w:tcPr>
            <w:tcW w:w="2056" w:type="dxa"/>
            <w:tcBorders>
              <w:top w:val="single" w:sz="4" w:space="0" w:color="000000"/>
              <w:left w:val="single" w:sz="4" w:space="0" w:color="000000"/>
              <w:bottom w:val="single" w:sz="4" w:space="0" w:color="000000"/>
              <w:right w:val="single" w:sz="4" w:space="0" w:color="000000"/>
            </w:tcBorders>
            <w:shd w:fill="D6E3BC" w:val="clear"/>
          </w:tcPr>
          <w:p>
            <w:pPr>
              <w:pStyle w:val="Normal"/>
              <w:snapToGrid w:val="false"/>
              <w:rPr>
                <w:szCs w:val="24"/>
              </w:rPr>
            </w:pPr>
            <w:r>
              <w:rPr>
                <w:szCs w:val="24"/>
              </w:rPr>
            </w:r>
          </w:p>
          <w:p>
            <w:pPr>
              <w:pStyle w:val="Normal"/>
              <w:spacing w:before="0" w:after="200"/>
              <w:rPr>
                <w:szCs w:val="24"/>
              </w:rPr>
            </w:pPr>
            <w:r>
              <w:rPr>
                <w:szCs w:val="24"/>
              </w:rPr>
              <w:t>Objective</w:t>
            </w:r>
          </w:p>
        </w:tc>
        <w:tc>
          <w:tcPr>
            <w:tcW w:w="6536" w:type="dxa"/>
            <w:tcBorders>
              <w:top w:val="single" w:sz="4" w:space="0" w:color="000000"/>
              <w:left w:val="single" w:sz="4" w:space="0" w:color="000000"/>
              <w:bottom w:val="single" w:sz="4" w:space="0" w:color="000000"/>
              <w:right w:val="single" w:sz="4" w:space="0" w:color="000000"/>
            </w:tcBorders>
            <w:shd w:fill="D6E3BC" w:val="clear"/>
          </w:tcPr>
          <w:p>
            <w:pPr>
              <w:pStyle w:val="Normal"/>
              <w:snapToGrid w:val="false"/>
              <w:rPr>
                <w:szCs w:val="24"/>
              </w:rPr>
            </w:pPr>
            <w:r>
              <w:rPr>
                <w:szCs w:val="24"/>
              </w:rPr>
            </w:r>
          </w:p>
          <w:p>
            <w:pPr>
              <w:pStyle w:val="Normal"/>
              <w:rPr>
                <w:szCs w:val="24"/>
              </w:rPr>
            </w:pPr>
            <w:r>
              <w:rPr>
                <w:szCs w:val="24"/>
              </w:rPr>
              <w:t>Provision in the Honey (England) Regulations 2015</w:t>
            </w:r>
          </w:p>
          <w:p>
            <w:pPr>
              <w:pStyle w:val="Normal"/>
              <w:spacing w:before="0" w:after="200"/>
              <w:rPr>
                <w:szCs w:val="24"/>
              </w:rPr>
            </w:pPr>
            <w:r>
              <w:rPr>
                <w:szCs w:val="24"/>
              </w:rPr>
            </w:r>
          </w:p>
        </w:tc>
        <w:tc>
          <w:tcPr>
            <w:tcW w:w="8072" w:type="dxa"/>
            <w:tcBorders>
              <w:top w:val="single" w:sz="4" w:space="0" w:color="000000"/>
              <w:left w:val="single" w:sz="4" w:space="0" w:color="000000"/>
              <w:bottom w:val="single" w:sz="4" w:space="0" w:color="000000"/>
              <w:right w:val="single" w:sz="4" w:space="0" w:color="000000"/>
            </w:tcBorders>
            <w:shd w:fill="D6E3BC" w:val="clear"/>
          </w:tcPr>
          <w:p>
            <w:pPr>
              <w:pStyle w:val="Normal"/>
              <w:snapToGrid w:val="false"/>
              <w:rPr>
                <w:szCs w:val="24"/>
              </w:rPr>
            </w:pPr>
            <w:r>
              <w:rPr>
                <w:szCs w:val="24"/>
              </w:rPr>
            </w:r>
          </w:p>
          <w:p>
            <w:pPr>
              <w:pStyle w:val="Normal"/>
              <w:spacing w:before="0" w:after="200"/>
              <w:rPr>
                <w:szCs w:val="24"/>
              </w:rPr>
            </w:pPr>
            <w:r>
              <w:rPr>
                <w:szCs w:val="24"/>
              </w:rPr>
              <w:t>Comments</w:t>
            </w:r>
          </w:p>
        </w:tc>
      </w:tr>
      <w:tr>
        <w:trPr/>
        <w:tc>
          <w:tcPr>
            <w:tcW w:w="4267" w:type="dxa"/>
            <w:tcBorders>
              <w:top w:val="single" w:sz="4" w:space="0" w:color="000000"/>
              <w:left w:val="single" w:sz="4" w:space="0" w:color="000000"/>
              <w:bottom w:val="single" w:sz="4" w:space="0" w:color="000000"/>
              <w:right w:val="single" w:sz="4" w:space="0" w:color="000000"/>
            </w:tcBorders>
          </w:tcPr>
          <w:p>
            <w:pPr>
              <w:pStyle w:val="Normal"/>
              <w:snapToGrid w:val="false"/>
              <w:rPr>
                <w:color w:val="002060"/>
                <w:szCs w:val="24"/>
              </w:rPr>
            </w:pPr>
            <w:r>
              <w:rPr>
                <w:color w:val="002060"/>
                <w:szCs w:val="24"/>
              </w:rPr>
            </w:r>
          </w:p>
          <w:p>
            <w:pPr>
              <w:pStyle w:val="Normal"/>
              <w:spacing w:before="0" w:after="200"/>
              <w:rPr>
                <w:szCs w:val="24"/>
              </w:rPr>
            </w:pPr>
            <w:r>
              <w:rPr>
                <w:szCs w:val="24"/>
              </w:rPr>
              <w:t>Article 1</w:t>
            </w:r>
          </w:p>
        </w:tc>
        <w:tc>
          <w:tcPr>
            <w:tcW w:w="2056"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szCs w:val="24"/>
              </w:rPr>
            </w:pPr>
            <w:r>
              <w:rPr>
                <w:szCs w:val="24"/>
              </w:rPr>
              <w:t>Amends the Honey Directive</w:t>
            </w:r>
          </w:p>
          <w:p>
            <w:pPr>
              <w:pStyle w:val="Normal"/>
              <w:spacing w:before="0" w:after="200"/>
              <w:rPr>
                <w:szCs w:val="24"/>
              </w:rPr>
            </w:pPr>
            <w:r>
              <w:rPr>
                <w:szCs w:val="24"/>
              </w:rPr>
            </w:r>
          </w:p>
        </w:tc>
        <w:tc>
          <w:tcPr>
            <w:tcW w:w="6536"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widowControl/>
              <w:bidi w:val="0"/>
              <w:spacing w:lineRule="auto" w:line="276" w:before="0" w:after="200"/>
              <w:rPr>
                <w:szCs w:val="24"/>
              </w:rPr>
            </w:pPr>
            <w:r>
              <w:rPr>
                <w:szCs w:val="24"/>
              </w:rPr>
              <w:t>See the previous table</w:t>
            </w:r>
          </w:p>
        </w:tc>
        <w:tc>
          <w:tcPr>
            <w:tcW w:w="8072" w:type="dxa"/>
            <w:tcBorders>
              <w:top w:val="single" w:sz="4" w:space="0" w:color="000000"/>
              <w:left w:val="single" w:sz="4" w:space="0" w:color="000000"/>
              <w:bottom w:val="single" w:sz="4" w:space="0" w:color="000000"/>
              <w:right w:val="single" w:sz="4" w:space="0" w:color="000000"/>
            </w:tcBorders>
          </w:tcPr>
          <w:p>
            <w:pPr>
              <w:pStyle w:val="Normal"/>
              <w:snapToGrid w:val="false"/>
              <w:spacing w:before="0" w:after="200"/>
              <w:rPr>
                <w:szCs w:val="24"/>
              </w:rPr>
            </w:pPr>
            <w:r>
              <w:rPr>
                <w:szCs w:val="24"/>
              </w:rPr>
            </w:r>
          </w:p>
        </w:tc>
      </w:tr>
      <w:tr>
        <w:trPr/>
        <w:tc>
          <w:tcPr>
            <w:tcW w:w="4267" w:type="dxa"/>
            <w:tcBorders>
              <w:top w:val="single" w:sz="4" w:space="0" w:color="000000"/>
              <w:left w:val="single" w:sz="4" w:space="0" w:color="000000"/>
              <w:bottom w:val="single" w:sz="4" w:space="0" w:color="000000"/>
              <w:right w:val="single" w:sz="4" w:space="0" w:color="000000"/>
            </w:tcBorders>
          </w:tcPr>
          <w:p>
            <w:pPr>
              <w:pStyle w:val="Normal"/>
              <w:snapToGrid w:val="false"/>
              <w:rPr>
                <w:color w:val="002060"/>
                <w:szCs w:val="24"/>
              </w:rPr>
            </w:pPr>
            <w:r>
              <w:rPr>
                <w:color w:val="002060"/>
                <w:szCs w:val="24"/>
              </w:rPr>
            </w:r>
          </w:p>
          <w:p>
            <w:pPr>
              <w:pStyle w:val="Normal"/>
              <w:rPr>
                <w:szCs w:val="24"/>
              </w:rPr>
            </w:pPr>
            <w:r>
              <w:rPr>
                <w:szCs w:val="24"/>
              </w:rPr>
              <w:t>Article 2(1), first sub-paragraph, first sentence</w:t>
            </w:r>
          </w:p>
          <w:p>
            <w:pPr>
              <w:pStyle w:val="Normal"/>
              <w:spacing w:before="0" w:after="200"/>
              <w:rPr>
                <w:szCs w:val="24"/>
              </w:rPr>
            </w:pPr>
            <w:r>
              <w:rPr>
                <w:szCs w:val="24"/>
              </w:rPr>
            </w:r>
          </w:p>
        </w:tc>
        <w:tc>
          <w:tcPr>
            <w:tcW w:w="2056"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szCs w:val="24"/>
              </w:rPr>
            </w:pPr>
            <w:r>
              <w:rPr>
                <w:szCs w:val="24"/>
              </w:rPr>
              <w:t>Obligation to transpose</w:t>
            </w:r>
          </w:p>
          <w:p>
            <w:pPr>
              <w:pStyle w:val="Normal"/>
              <w:spacing w:before="0" w:after="200"/>
              <w:rPr>
                <w:szCs w:val="24"/>
              </w:rPr>
            </w:pPr>
            <w:r>
              <w:rPr>
                <w:szCs w:val="24"/>
              </w:rPr>
            </w:r>
          </w:p>
        </w:tc>
        <w:tc>
          <w:tcPr>
            <w:tcW w:w="6536"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szCs w:val="24"/>
              </w:rPr>
            </w:pPr>
            <w:r>
              <w:rPr>
                <w:szCs w:val="24"/>
              </w:rPr>
              <w:t>The provisions of the Honey (England) Regulations 2015 implement the Directive provisions.</w:t>
            </w:r>
          </w:p>
          <w:p>
            <w:pPr>
              <w:pStyle w:val="Normal"/>
              <w:spacing w:before="0" w:after="200"/>
              <w:rPr>
                <w:szCs w:val="24"/>
              </w:rPr>
            </w:pPr>
            <w:r>
              <w:rPr>
                <w:szCs w:val="24"/>
              </w:rPr>
            </w:r>
          </w:p>
        </w:tc>
        <w:tc>
          <w:tcPr>
            <w:tcW w:w="8072" w:type="dxa"/>
            <w:tcBorders>
              <w:top w:val="single" w:sz="4" w:space="0" w:color="000000"/>
              <w:left w:val="single" w:sz="4" w:space="0" w:color="000000"/>
              <w:bottom w:val="single" w:sz="4" w:space="0" w:color="000000"/>
              <w:right w:val="single" w:sz="4" w:space="0" w:color="000000"/>
            </w:tcBorders>
          </w:tcPr>
          <w:p>
            <w:pPr>
              <w:pStyle w:val="Normal"/>
              <w:snapToGrid w:val="false"/>
              <w:spacing w:before="0" w:after="200"/>
              <w:rPr>
                <w:szCs w:val="24"/>
              </w:rPr>
            </w:pPr>
            <w:r>
              <w:rPr>
                <w:szCs w:val="24"/>
              </w:rPr>
            </w:r>
          </w:p>
        </w:tc>
      </w:tr>
      <w:tr>
        <w:trPr/>
        <w:tc>
          <w:tcPr>
            <w:tcW w:w="4267" w:type="dxa"/>
            <w:tcBorders>
              <w:top w:val="single" w:sz="4" w:space="0" w:color="000000"/>
              <w:left w:val="single" w:sz="4" w:space="0" w:color="000000"/>
              <w:bottom w:val="single" w:sz="4" w:space="0" w:color="000000"/>
              <w:right w:val="single" w:sz="4" w:space="0" w:color="000000"/>
            </w:tcBorders>
          </w:tcPr>
          <w:p>
            <w:pPr>
              <w:pStyle w:val="Normal"/>
              <w:snapToGrid w:val="false"/>
              <w:rPr>
                <w:color w:val="002060"/>
                <w:szCs w:val="24"/>
              </w:rPr>
            </w:pPr>
            <w:r>
              <w:rPr>
                <w:color w:val="002060"/>
                <w:szCs w:val="24"/>
              </w:rPr>
            </w:r>
          </w:p>
          <w:p>
            <w:pPr>
              <w:pStyle w:val="Normal"/>
              <w:rPr>
                <w:szCs w:val="24"/>
              </w:rPr>
            </w:pPr>
            <w:r>
              <w:rPr>
                <w:szCs w:val="24"/>
              </w:rPr>
              <w:t>Article 2(1), first sub-paragraph, second sentence</w:t>
            </w:r>
          </w:p>
          <w:p>
            <w:pPr>
              <w:pStyle w:val="Normal"/>
              <w:spacing w:before="0" w:after="200"/>
              <w:rPr>
                <w:szCs w:val="24"/>
              </w:rPr>
            </w:pPr>
            <w:r>
              <w:rPr>
                <w:szCs w:val="24"/>
              </w:rPr>
            </w:r>
          </w:p>
        </w:tc>
        <w:tc>
          <w:tcPr>
            <w:tcW w:w="2056"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spacing w:before="0" w:after="200"/>
              <w:rPr>
                <w:szCs w:val="24"/>
              </w:rPr>
            </w:pPr>
            <w:r>
              <w:rPr>
                <w:szCs w:val="24"/>
              </w:rPr>
              <w:t>Notification of text to Commission</w:t>
            </w:r>
          </w:p>
        </w:tc>
        <w:tc>
          <w:tcPr>
            <w:tcW w:w="6536"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pPr>
            <w:r>
              <w:rPr>
                <w:szCs w:val="24"/>
              </w:rPr>
              <w:t>Not for the text of the 2015 Regulations</w:t>
            </w:r>
          </w:p>
          <w:p>
            <w:pPr>
              <w:pStyle w:val="Normal"/>
              <w:spacing w:before="0" w:after="200"/>
              <w:rPr>
                <w:szCs w:val="24"/>
              </w:rPr>
            </w:pPr>
            <w:r>
              <w:rPr>
                <w:szCs w:val="24"/>
              </w:rPr>
            </w:r>
          </w:p>
        </w:tc>
        <w:tc>
          <w:tcPr>
            <w:tcW w:w="8072"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spacing w:before="0" w:after="200"/>
              <w:rPr>
                <w:szCs w:val="24"/>
              </w:rPr>
            </w:pPr>
            <w:r>
              <w:rPr>
                <w:szCs w:val="24"/>
              </w:rPr>
              <w:t>DEFRA policy colleagues will notify the Commission of the implementation.</w:t>
            </w:r>
          </w:p>
        </w:tc>
      </w:tr>
      <w:tr>
        <w:trPr/>
        <w:tc>
          <w:tcPr>
            <w:tcW w:w="4267" w:type="dxa"/>
            <w:tcBorders>
              <w:top w:val="single" w:sz="4" w:space="0" w:color="000000"/>
              <w:left w:val="single" w:sz="4" w:space="0" w:color="000000"/>
              <w:bottom w:val="single" w:sz="4" w:space="0" w:color="000000"/>
              <w:right w:val="single" w:sz="4" w:space="0" w:color="000000"/>
            </w:tcBorders>
          </w:tcPr>
          <w:p>
            <w:pPr>
              <w:pStyle w:val="Normal"/>
              <w:snapToGrid w:val="false"/>
              <w:rPr>
                <w:color w:val="002060"/>
                <w:szCs w:val="24"/>
              </w:rPr>
            </w:pPr>
            <w:r>
              <w:rPr>
                <w:color w:val="002060"/>
                <w:szCs w:val="24"/>
              </w:rPr>
            </w:r>
          </w:p>
          <w:p>
            <w:pPr>
              <w:pStyle w:val="Normal"/>
              <w:rPr/>
            </w:pPr>
            <w:r>
              <w:rPr>
                <w:szCs w:val="24"/>
              </w:rPr>
              <w:t>Article 2(1), second sub-paragraph</w:t>
            </w:r>
          </w:p>
          <w:p>
            <w:pPr>
              <w:pStyle w:val="Normal"/>
              <w:spacing w:before="0" w:after="200"/>
              <w:rPr>
                <w:szCs w:val="24"/>
              </w:rPr>
            </w:pPr>
            <w:r>
              <w:rPr>
                <w:szCs w:val="24"/>
              </w:rPr>
            </w:r>
          </w:p>
        </w:tc>
        <w:tc>
          <w:tcPr>
            <w:tcW w:w="2056"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szCs w:val="24"/>
              </w:rPr>
            </w:pPr>
            <w:r>
              <w:rPr>
                <w:szCs w:val="24"/>
              </w:rPr>
              <w:t>Reference to Directive</w:t>
            </w:r>
          </w:p>
          <w:p>
            <w:pPr>
              <w:pStyle w:val="Normal"/>
              <w:spacing w:before="0" w:after="200"/>
              <w:rPr>
                <w:szCs w:val="24"/>
              </w:rPr>
            </w:pPr>
            <w:r>
              <w:rPr>
                <w:szCs w:val="24"/>
              </w:rPr>
            </w:r>
          </w:p>
        </w:tc>
        <w:tc>
          <w:tcPr>
            <w:tcW w:w="6536"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szCs w:val="24"/>
              </w:rPr>
            </w:pPr>
            <w:r>
              <w:rPr>
                <w:szCs w:val="24"/>
              </w:rPr>
              <w:t>The first paragraph of  the Explanatory Note for the 2015 Regulations contains a statement that the Regulations implement the Honey Directive.</w:t>
            </w:r>
          </w:p>
          <w:p>
            <w:pPr>
              <w:pStyle w:val="Normal"/>
              <w:spacing w:before="0" w:after="200"/>
              <w:rPr>
                <w:szCs w:val="24"/>
              </w:rPr>
            </w:pPr>
            <w:r>
              <w:rPr>
                <w:szCs w:val="24"/>
              </w:rPr>
            </w:r>
          </w:p>
        </w:tc>
        <w:tc>
          <w:tcPr>
            <w:tcW w:w="8072"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spacing w:before="0" w:after="200"/>
              <w:rPr>
                <w:szCs w:val="24"/>
              </w:rPr>
            </w:pPr>
            <w:r>
              <w:rPr>
                <w:szCs w:val="24"/>
              </w:rPr>
            </w:r>
          </w:p>
        </w:tc>
      </w:tr>
      <w:tr>
        <w:trPr/>
        <w:tc>
          <w:tcPr>
            <w:tcW w:w="4267" w:type="dxa"/>
            <w:tcBorders>
              <w:top w:val="single" w:sz="4" w:space="0" w:color="000000"/>
              <w:left w:val="single" w:sz="4" w:space="0" w:color="000000"/>
              <w:bottom w:val="single" w:sz="4" w:space="0" w:color="000000"/>
              <w:right w:val="single" w:sz="4" w:space="0" w:color="000000"/>
            </w:tcBorders>
          </w:tcPr>
          <w:p>
            <w:pPr>
              <w:pStyle w:val="Normal"/>
              <w:snapToGrid w:val="false"/>
              <w:rPr>
                <w:color w:val="002060"/>
                <w:szCs w:val="24"/>
              </w:rPr>
            </w:pPr>
            <w:r>
              <w:rPr>
                <w:color w:val="002060"/>
                <w:szCs w:val="24"/>
              </w:rPr>
            </w:r>
          </w:p>
          <w:p>
            <w:pPr>
              <w:pStyle w:val="Normal"/>
              <w:rPr>
                <w:szCs w:val="24"/>
              </w:rPr>
            </w:pPr>
            <w:r>
              <w:rPr>
                <w:szCs w:val="24"/>
              </w:rPr>
              <w:t>Article 2(2)</w:t>
            </w:r>
          </w:p>
          <w:p>
            <w:pPr>
              <w:pStyle w:val="Normal"/>
              <w:spacing w:before="0" w:after="200"/>
              <w:rPr>
                <w:szCs w:val="24"/>
              </w:rPr>
            </w:pPr>
            <w:r>
              <w:rPr>
                <w:szCs w:val="24"/>
              </w:rPr>
            </w:r>
          </w:p>
        </w:tc>
        <w:tc>
          <w:tcPr>
            <w:tcW w:w="2056"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szCs w:val="24"/>
              </w:rPr>
            </w:pPr>
            <w:r>
              <w:rPr>
                <w:szCs w:val="24"/>
              </w:rPr>
              <w:t>Application date</w:t>
            </w:r>
          </w:p>
          <w:p>
            <w:pPr>
              <w:pStyle w:val="Normal"/>
              <w:spacing w:before="0" w:after="200"/>
              <w:rPr>
                <w:szCs w:val="24"/>
              </w:rPr>
            </w:pPr>
            <w:r>
              <w:rPr>
                <w:szCs w:val="24"/>
              </w:rPr>
            </w:r>
          </w:p>
        </w:tc>
        <w:tc>
          <w:tcPr>
            <w:tcW w:w="6536"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widowControl/>
              <w:bidi w:val="0"/>
              <w:spacing w:lineRule="auto" w:line="276" w:before="0" w:after="200"/>
              <w:rPr>
                <w:szCs w:val="24"/>
              </w:rPr>
            </w:pPr>
            <w:r>
              <w:rPr>
                <w:szCs w:val="24"/>
              </w:rPr>
              <w:t>Regulation 1(1) (coming into force date)</w:t>
            </w:r>
          </w:p>
        </w:tc>
        <w:tc>
          <w:tcPr>
            <w:tcW w:w="8072" w:type="dxa"/>
            <w:tcBorders>
              <w:top w:val="single" w:sz="4" w:space="0" w:color="000000"/>
              <w:left w:val="single" w:sz="4" w:space="0" w:color="000000"/>
              <w:bottom w:val="single" w:sz="4" w:space="0" w:color="000000"/>
              <w:right w:val="single" w:sz="4" w:space="0" w:color="000000"/>
            </w:tcBorders>
          </w:tcPr>
          <w:p>
            <w:pPr>
              <w:pStyle w:val="Normal"/>
              <w:snapToGrid w:val="false"/>
              <w:spacing w:before="0" w:after="200"/>
              <w:rPr>
                <w:szCs w:val="24"/>
              </w:rPr>
            </w:pPr>
            <w:r>
              <w:rPr>
                <w:szCs w:val="24"/>
              </w:rPr>
            </w:r>
          </w:p>
        </w:tc>
      </w:tr>
      <w:tr>
        <w:trPr/>
        <w:tc>
          <w:tcPr>
            <w:tcW w:w="4267" w:type="dxa"/>
            <w:tcBorders>
              <w:top w:val="single" w:sz="4" w:space="0" w:color="000000"/>
              <w:left w:val="single" w:sz="4" w:space="0" w:color="000000"/>
              <w:bottom w:val="single" w:sz="4" w:space="0" w:color="000000"/>
              <w:right w:val="single" w:sz="4" w:space="0" w:color="000000"/>
            </w:tcBorders>
          </w:tcPr>
          <w:p>
            <w:pPr>
              <w:pStyle w:val="Normal"/>
              <w:snapToGrid w:val="false"/>
              <w:rPr>
                <w:color w:val="002060"/>
                <w:szCs w:val="24"/>
              </w:rPr>
            </w:pPr>
            <w:r>
              <w:rPr>
                <w:color w:val="002060"/>
                <w:szCs w:val="24"/>
              </w:rPr>
            </w:r>
          </w:p>
          <w:p>
            <w:pPr>
              <w:pStyle w:val="Normal"/>
              <w:rPr>
                <w:szCs w:val="24"/>
              </w:rPr>
            </w:pPr>
            <w:r>
              <w:rPr>
                <w:szCs w:val="24"/>
              </w:rPr>
              <w:t>Article 3</w:t>
            </w:r>
          </w:p>
          <w:p>
            <w:pPr>
              <w:pStyle w:val="Normal"/>
              <w:spacing w:before="0" w:after="200"/>
              <w:rPr>
                <w:szCs w:val="24"/>
              </w:rPr>
            </w:pPr>
            <w:r>
              <w:rPr>
                <w:szCs w:val="24"/>
              </w:rPr>
            </w:r>
          </w:p>
        </w:tc>
        <w:tc>
          <w:tcPr>
            <w:tcW w:w="2056"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szCs w:val="24"/>
              </w:rPr>
            </w:pPr>
            <w:r>
              <w:rPr>
                <w:szCs w:val="24"/>
              </w:rPr>
              <w:t>Transitional measures</w:t>
            </w:r>
          </w:p>
          <w:p>
            <w:pPr>
              <w:pStyle w:val="Normal"/>
              <w:spacing w:before="0" w:after="200"/>
              <w:rPr>
                <w:szCs w:val="24"/>
              </w:rPr>
            </w:pPr>
            <w:r>
              <w:rPr>
                <w:szCs w:val="24"/>
              </w:rPr>
            </w:r>
          </w:p>
        </w:tc>
        <w:tc>
          <w:tcPr>
            <w:tcW w:w="6536"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widowControl/>
              <w:bidi w:val="0"/>
              <w:spacing w:lineRule="auto" w:line="276" w:before="0" w:after="200"/>
              <w:rPr>
                <w:szCs w:val="24"/>
              </w:rPr>
            </w:pPr>
            <w:r>
              <w:rPr>
                <w:szCs w:val="24"/>
              </w:rPr>
              <w:t>Regulation 22</w:t>
            </w:r>
          </w:p>
        </w:tc>
        <w:tc>
          <w:tcPr>
            <w:tcW w:w="8072" w:type="dxa"/>
            <w:tcBorders>
              <w:top w:val="single" w:sz="4" w:space="0" w:color="000000"/>
              <w:left w:val="single" w:sz="4" w:space="0" w:color="000000"/>
              <w:bottom w:val="single" w:sz="4" w:space="0" w:color="000000"/>
              <w:right w:val="single" w:sz="4" w:space="0" w:color="000000"/>
            </w:tcBorders>
          </w:tcPr>
          <w:p>
            <w:pPr>
              <w:pStyle w:val="Normal"/>
              <w:snapToGrid w:val="false"/>
              <w:spacing w:before="0" w:after="200"/>
              <w:rPr>
                <w:szCs w:val="24"/>
              </w:rPr>
            </w:pPr>
            <w:r>
              <w:rPr>
                <w:szCs w:val="24"/>
              </w:rPr>
            </w:r>
          </w:p>
        </w:tc>
      </w:tr>
      <w:tr>
        <w:trPr/>
        <w:tc>
          <w:tcPr>
            <w:tcW w:w="4267" w:type="dxa"/>
            <w:tcBorders>
              <w:top w:val="single" w:sz="4" w:space="0" w:color="000000"/>
              <w:left w:val="single" w:sz="4" w:space="0" w:color="000000"/>
              <w:bottom w:val="single" w:sz="4" w:space="0" w:color="000000"/>
              <w:right w:val="single" w:sz="4" w:space="0" w:color="000000"/>
            </w:tcBorders>
          </w:tcPr>
          <w:p>
            <w:pPr>
              <w:pStyle w:val="Normal"/>
              <w:snapToGrid w:val="false"/>
              <w:rPr>
                <w:color w:val="002060"/>
                <w:szCs w:val="24"/>
              </w:rPr>
            </w:pPr>
            <w:r>
              <w:rPr>
                <w:color w:val="002060"/>
                <w:szCs w:val="24"/>
              </w:rPr>
            </w:r>
          </w:p>
          <w:p>
            <w:pPr>
              <w:pStyle w:val="Normal"/>
              <w:spacing w:before="0" w:after="200"/>
              <w:rPr>
                <w:szCs w:val="24"/>
              </w:rPr>
            </w:pPr>
            <w:r>
              <w:rPr>
                <w:szCs w:val="24"/>
              </w:rPr>
              <w:t>Article 4</w:t>
            </w:r>
          </w:p>
        </w:tc>
        <w:tc>
          <w:tcPr>
            <w:tcW w:w="2056"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szCs w:val="24"/>
              </w:rPr>
            </w:pPr>
            <w:r>
              <w:rPr>
                <w:szCs w:val="24"/>
              </w:rPr>
              <w:t>Entry in force</w:t>
            </w:r>
          </w:p>
          <w:p>
            <w:pPr>
              <w:pStyle w:val="Normal"/>
              <w:spacing w:before="0" w:after="200"/>
              <w:rPr>
                <w:szCs w:val="24"/>
              </w:rPr>
            </w:pPr>
            <w:r>
              <w:rPr>
                <w:szCs w:val="24"/>
              </w:rPr>
            </w:r>
          </w:p>
        </w:tc>
        <w:tc>
          <w:tcPr>
            <w:tcW w:w="6536"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spacing w:before="0" w:after="200"/>
              <w:rPr>
                <w:szCs w:val="24"/>
              </w:rPr>
            </w:pPr>
            <w:r>
              <w:rPr>
                <w:szCs w:val="24"/>
              </w:rPr>
              <w:t>Does not need to be transposed into domestic legislation</w:t>
            </w:r>
          </w:p>
        </w:tc>
        <w:tc>
          <w:tcPr>
            <w:tcW w:w="8072" w:type="dxa"/>
            <w:tcBorders>
              <w:top w:val="single" w:sz="4" w:space="0" w:color="000000"/>
              <w:left w:val="single" w:sz="4" w:space="0" w:color="000000"/>
              <w:bottom w:val="single" w:sz="4" w:space="0" w:color="000000"/>
              <w:right w:val="single" w:sz="4" w:space="0" w:color="000000"/>
            </w:tcBorders>
          </w:tcPr>
          <w:p>
            <w:pPr>
              <w:pStyle w:val="Normal"/>
              <w:snapToGrid w:val="false"/>
              <w:rPr>
                <w:color w:val="002060"/>
                <w:szCs w:val="24"/>
              </w:rPr>
            </w:pPr>
            <w:r>
              <w:rPr>
                <w:color w:val="002060"/>
                <w:szCs w:val="24"/>
              </w:rPr>
            </w:r>
          </w:p>
          <w:p>
            <w:pPr>
              <w:pStyle w:val="Normal"/>
              <w:rPr>
                <w:szCs w:val="24"/>
              </w:rPr>
            </w:pPr>
            <w:r>
              <w:rPr>
                <w:szCs w:val="24"/>
              </w:rPr>
              <w:t>The 2015 Regulations come into force on 24h June 2015, which is the implementation date for  Directive 2014/63/EU.</w:t>
            </w:r>
          </w:p>
          <w:p>
            <w:pPr>
              <w:pStyle w:val="Normal"/>
              <w:spacing w:before="0" w:after="200"/>
              <w:rPr>
                <w:color w:val="002060"/>
                <w:szCs w:val="24"/>
              </w:rPr>
            </w:pPr>
            <w:r>
              <w:rPr>
                <w:color w:val="002060"/>
                <w:szCs w:val="24"/>
              </w:rPr>
            </w:r>
          </w:p>
        </w:tc>
      </w:tr>
      <w:tr>
        <w:trPr/>
        <w:tc>
          <w:tcPr>
            <w:tcW w:w="4267" w:type="dxa"/>
            <w:tcBorders>
              <w:top w:val="single" w:sz="4" w:space="0" w:color="000000"/>
              <w:left w:val="single" w:sz="4" w:space="0" w:color="000000"/>
              <w:bottom w:val="single" w:sz="4" w:space="0" w:color="000000"/>
              <w:right w:val="single" w:sz="4" w:space="0" w:color="000000"/>
            </w:tcBorders>
          </w:tcPr>
          <w:p>
            <w:pPr>
              <w:pStyle w:val="Normal"/>
              <w:snapToGrid w:val="false"/>
              <w:rPr>
                <w:color w:val="002060"/>
                <w:szCs w:val="24"/>
              </w:rPr>
            </w:pPr>
            <w:r>
              <w:rPr>
                <w:color w:val="002060"/>
                <w:szCs w:val="24"/>
              </w:rPr>
            </w:r>
          </w:p>
          <w:p>
            <w:pPr>
              <w:pStyle w:val="Normal"/>
              <w:spacing w:before="0" w:after="200"/>
              <w:rPr>
                <w:szCs w:val="24"/>
              </w:rPr>
            </w:pPr>
            <w:r>
              <w:rPr>
                <w:szCs w:val="24"/>
              </w:rPr>
              <w:t>Article 5</w:t>
            </w:r>
          </w:p>
        </w:tc>
        <w:tc>
          <w:tcPr>
            <w:tcW w:w="2056"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szCs w:val="24"/>
              </w:rPr>
            </w:pPr>
            <w:r>
              <w:rPr>
                <w:szCs w:val="24"/>
              </w:rPr>
              <w:t>Addressed to Member States</w:t>
            </w:r>
          </w:p>
          <w:p>
            <w:pPr>
              <w:pStyle w:val="Normal"/>
              <w:spacing w:before="0" w:after="200"/>
              <w:rPr>
                <w:szCs w:val="24"/>
              </w:rPr>
            </w:pPr>
            <w:r>
              <w:rPr>
                <w:szCs w:val="24"/>
              </w:rPr>
            </w:r>
          </w:p>
        </w:tc>
        <w:tc>
          <w:tcPr>
            <w:tcW w:w="6536"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rPr>
            </w:pPr>
            <w:r>
              <w:rPr>
                <w:szCs w:val="24"/>
              </w:rPr>
            </w:r>
          </w:p>
          <w:p>
            <w:pPr>
              <w:pStyle w:val="Normal"/>
              <w:rPr>
                <w:szCs w:val="24"/>
              </w:rPr>
            </w:pPr>
            <w:r>
              <w:rPr>
                <w:szCs w:val="24"/>
              </w:rPr>
              <w:t>Does not need to be transposed into domestic legislation</w:t>
            </w:r>
          </w:p>
          <w:p>
            <w:pPr>
              <w:pStyle w:val="Normal"/>
              <w:spacing w:before="0" w:after="200"/>
              <w:rPr>
                <w:szCs w:val="24"/>
              </w:rPr>
            </w:pPr>
            <w:r>
              <w:rPr>
                <w:szCs w:val="24"/>
              </w:rPr>
            </w:r>
          </w:p>
        </w:tc>
        <w:tc>
          <w:tcPr>
            <w:tcW w:w="8072" w:type="dxa"/>
            <w:tcBorders>
              <w:top w:val="single" w:sz="4" w:space="0" w:color="000000"/>
              <w:left w:val="single" w:sz="4" w:space="0" w:color="000000"/>
              <w:bottom w:val="single" w:sz="4" w:space="0" w:color="000000"/>
              <w:right w:val="single" w:sz="4" w:space="0" w:color="000000"/>
            </w:tcBorders>
          </w:tcPr>
          <w:p>
            <w:pPr>
              <w:pStyle w:val="Normal"/>
              <w:snapToGrid w:val="false"/>
              <w:spacing w:before="0" w:after="200"/>
              <w:rPr>
                <w:color w:val="002060"/>
                <w:szCs w:val="24"/>
              </w:rPr>
            </w:pPr>
            <w:r>
              <w:rPr>
                <w:color w:val="002060"/>
                <w:szCs w:val="24"/>
              </w:rPr>
            </w:r>
          </w:p>
        </w:tc>
      </w:tr>
    </w:tbl>
    <w:p>
      <w:pPr>
        <w:pStyle w:val="Normal"/>
        <w:rPr/>
      </w:pPr>
      <w:r>
        <w:rPr/>
      </w:r>
    </w:p>
    <w:p>
      <w:pPr>
        <w:pStyle w:val="Normal"/>
        <w:ind w:hanging="720" w:left="720" w:right="0"/>
        <w:rPr>
          <w:szCs w:val="24"/>
        </w:rPr>
      </w:pPr>
      <w:r>
        <w:rPr>
          <w:szCs w:val="24"/>
        </w:rPr>
      </w:r>
    </w:p>
    <w:p>
      <w:pPr>
        <w:pStyle w:val="Normal"/>
        <w:spacing w:before="0" w:after="200"/>
        <w:rPr>
          <w:szCs w:val="24"/>
        </w:rPr>
      </w:pPr>
      <w:r>
        <w:rPr>
          <w:szCs w:val="24"/>
        </w:rPr>
      </w:r>
    </w:p>
    <w:sectPr>
      <w:headerReference w:type="default" r:id="rId2"/>
      <w:type w:val="nextPage"/>
      <w:pgSz w:orient="landscape" w:w="23811" w:h="16838"/>
      <w:pgMar w:left="1440" w:right="1440" w:gutter="0" w:header="720" w:top="1418" w:footer="0" w:bottom="1418"/>
      <w:pgNumType w:fmt="decimal"/>
      <w:formProt w:val="false"/>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Courier New">
    <w:charset w:val="00"/>
    <w:family w:val="modern"/>
    <w:pitch w:val="default"/>
  </w:font>
  <w:font w:name="Wingdings">
    <w:charset w:val="02"/>
    <w:family w:val="auto"/>
    <w:pitch w:val="variable"/>
  </w:font>
  <w:font w:name="Tahoma">
    <w:charset w:val="00"/>
    <w:family w:val="swiss"/>
    <w:pitch w:val="variable"/>
  </w:font>
  <w:font w:name="Liberation Sans">
    <w:altName w:val="Arial"/>
    <w:charset w:val="00"/>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Annex 1</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1"/>
      <w:numFmt w:val="decimal"/>
      <w:lvlText w:val="%1."/>
      <w:lvlJc w:val="left"/>
      <w:pPr>
        <w:tabs>
          <w:tab w:val="num" w:pos="720"/>
        </w:tabs>
        <w:ind w:left="720" w:hanging="720"/>
      </w:pPr>
      <w:rPr/>
    </w:lvl>
  </w:abstractNum>
  <w:num w:numId="1">
    <w:abstractNumId w:val="1"/>
  </w:num>
  <w:num w:numId="2">
    <w:abstractNumId w:val="2"/>
  </w:num>
</w:numbering>
</file>

<file path=word/settings.xml><?xml version="1.0" encoding="utf-8"?>
<w:settings xmlns:w="http://schemas.openxmlformats.org/wordprocessingml/2006/main">
  <w:zoom w:percent="108"/>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Arial" w:hAnsi="Arial" w:eastAsia="Calibri" w:cs="Times New Roman"/>
      <w:color w:val="auto"/>
      <w:sz w:val="24"/>
      <w:szCs w:val="22"/>
      <w:lang w:val="en-GB" w:bidi="ar-SA" w:eastAsia="zh-CN"/>
    </w:rPr>
  </w:style>
  <w:style w:type="paragraph" w:styleId="Heading1">
    <w:name w:val="heading 1"/>
    <w:basedOn w:val="Normal"/>
    <w:next w:val="Normal"/>
    <w:qFormat/>
    <w:pPr>
      <w:keepNext w:val="true"/>
      <w:numPr>
        <w:ilvl w:val="0"/>
        <w:numId w:val="1"/>
      </w:numPr>
      <w:spacing w:lineRule="auto" w:line="240" w:before="0" w:after="0"/>
      <w:jc w:val="both"/>
      <w:outlineLvl w:val="0"/>
    </w:pPr>
    <w:rPr>
      <w:rFonts w:eastAsia="Times New Roman"/>
      <w:b/>
      <w:bCs/>
      <w:szCs w:val="24"/>
    </w:rPr>
  </w:style>
  <w:style w:type="paragraph" w:styleId="Heading2">
    <w:name w:val="heading 2"/>
    <w:basedOn w:val="Normal"/>
    <w:next w:val="Normal"/>
    <w:qFormat/>
    <w:pPr>
      <w:keepNext w:val="true"/>
      <w:numPr>
        <w:ilvl w:val="1"/>
        <w:numId w:val="1"/>
      </w:numPr>
      <w:pBdr>
        <w:top w:val="single" w:sz="12" w:space="1" w:color="000000"/>
      </w:pBdr>
      <w:spacing w:lineRule="auto" w:line="240" w:before="0" w:after="0"/>
      <w:ind w:hanging="720" w:left="720" w:right="0"/>
      <w:jc w:val="both"/>
      <w:outlineLvl w:val="1"/>
    </w:pPr>
    <w:rPr>
      <w:rFonts w:eastAsia="Times New Roman" w:cs="Arial"/>
      <w:b/>
      <w:szCs w:val="24"/>
    </w:rPr>
  </w:style>
  <w:style w:type="paragraph" w:styleId="Heading3">
    <w:name w:val="heading 3"/>
    <w:basedOn w:val="Normal"/>
    <w:next w:val="Normal"/>
    <w:qFormat/>
    <w:pPr>
      <w:keepNext w:val="true"/>
      <w:numPr>
        <w:ilvl w:val="2"/>
        <w:numId w:val="1"/>
      </w:numPr>
      <w:spacing w:lineRule="auto" w:line="240" w:before="240" w:after="60"/>
      <w:outlineLvl w:val="2"/>
    </w:pPr>
    <w:rPr>
      <w:rFonts w:eastAsia="Times New Roman"/>
      <w:b/>
      <w:sz w:val="26"/>
      <w:szCs w:val="20"/>
    </w:rPr>
  </w:style>
  <w:style w:type="paragraph" w:styleId="Heading4">
    <w:name w:val="heading 4"/>
    <w:basedOn w:val="Normal"/>
    <w:next w:val="Normal"/>
    <w:qFormat/>
    <w:pPr>
      <w:keepNext w:val="true"/>
      <w:numPr>
        <w:ilvl w:val="3"/>
        <w:numId w:val="1"/>
      </w:numPr>
      <w:spacing w:lineRule="auto" w:line="240" w:before="0" w:after="0"/>
      <w:ind w:hanging="720" w:left="720" w:right="0"/>
      <w:jc w:val="both"/>
      <w:outlineLvl w:val="3"/>
    </w:pPr>
    <w:rPr>
      <w:rFonts w:eastAsia="Times New Roman" w:cs="Arial"/>
      <w:b/>
      <w:bCs/>
      <w:i/>
      <w:szCs w:val="20"/>
    </w:rPr>
  </w:style>
  <w:style w:type="paragraph" w:styleId="Heading5">
    <w:name w:val="heading 5"/>
    <w:basedOn w:val="Normal"/>
    <w:next w:val="Normal"/>
    <w:qFormat/>
    <w:pPr>
      <w:numPr>
        <w:ilvl w:val="4"/>
        <w:numId w:val="1"/>
      </w:numPr>
      <w:spacing w:lineRule="auto" w:line="240" w:before="240" w:after="60"/>
      <w:outlineLvl w:val="4"/>
    </w:pPr>
    <w:rPr>
      <w:rFonts w:ascii="Calibri" w:hAnsi="Calibri" w:eastAsia="Times New Roman" w:cs="Calibri"/>
      <w:b/>
      <w:bCs/>
      <w:i/>
      <w:iCs/>
      <w:sz w:val="26"/>
      <w:szCs w:val="26"/>
    </w:rPr>
  </w:style>
  <w:style w:type="paragraph" w:styleId="Heading6">
    <w:name w:val="heading 6"/>
    <w:basedOn w:val="Normal"/>
    <w:next w:val="Normal"/>
    <w:qFormat/>
    <w:pPr>
      <w:numPr>
        <w:ilvl w:val="5"/>
        <w:numId w:val="1"/>
      </w:numPr>
      <w:spacing w:lineRule="auto" w:line="240" w:before="240" w:after="60"/>
      <w:outlineLvl w:val="5"/>
    </w:pPr>
    <w:rPr>
      <w:rFonts w:ascii="Calibri" w:hAnsi="Calibri" w:eastAsia="Times New Roman" w:cs="Calibri"/>
      <w:b/>
      <w:bCs/>
      <w:sz w:val="22"/>
    </w:rPr>
  </w:style>
  <w:style w:type="paragraph" w:styleId="Heading7">
    <w:name w:val="heading 7"/>
    <w:basedOn w:val="Normal"/>
    <w:next w:val="Normal"/>
    <w:qFormat/>
    <w:pPr>
      <w:numPr>
        <w:ilvl w:val="6"/>
        <w:numId w:val="1"/>
      </w:numPr>
      <w:spacing w:lineRule="auto" w:line="240" w:before="240" w:after="60"/>
      <w:outlineLvl w:val="6"/>
    </w:pPr>
    <w:rPr>
      <w:rFonts w:ascii="Calibri" w:hAnsi="Calibri" w:eastAsia="Times New Roman" w:cs="Calibri"/>
      <w:szCs w:val="24"/>
    </w:rPr>
  </w:style>
  <w:style w:type="character" w:styleId="WW8Num1z0">
    <w:name w:val="WW8Num1z0"/>
    <w:qFormat/>
    <w:rPr>
      <w:rFonts w:ascii="Symbol" w:hAnsi="Symbol" w:cs="Symbol"/>
    </w:rPr>
  </w:style>
  <w:style w:type="character" w:styleId="WW8Num1z1">
    <w:name w:val="WW8Num1z1"/>
    <w:qFormat/>
    <w:rPr>
      <w:rFonts w:ascii="Courier New" w:hAnsi="Courier New" w:cs="Wingdings"/>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4z0">
    <w:name w:val="WW8Num4z0"/>
    <w:qFormat/>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3z0">
    <w:name w:val="WW8Num13z0"/>
    <w:qFormat/>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DefaultParagraphFont">
    <w:name w:val="Default Paragraph Font"/>
    <w:qFormat/>
    <w:rPr/>
  </w:style>
  <w:style w:type="character" w:styleId="Heading1Char">
    <w:name w:val="Heading 1 Char"/>
    <w:qFormat/>
    <w:rPr>
      <w:rFonts w:eastAsia="Times New Roman"/>
      <w:b/>
      <w:bCs/>
      <w:sz w:val="24"/>
      <w:szCs w:val="24"/>
    </w:rPr>
  </w:style>
  <w:style w:type="character" w:styleId="Heading2Char">
    <w:name w:val="Heading 2 Char"/>
    <w:qFormat/>
    <w:rPr>
      <w:rFonts w:eastAsia="Times New Roman" w:cs="Arial"/>
      <w:b/>
      <w:sz w:val="24"/>
      <w:szCs w:val="24"/>
    </w:rPr>
  </w:style>
  <w:style w:type="character" w:styleId="Heading3Char">
    <w:name w:val="Heading 3 Char"/>
    <w:qFormat/>
    <w:rPr>
      <w:rFonts w:eastAsia="Times New Roman"/>
      <w:b/>
      <w:sz w:val="26"/>
    </w:rPr>
  </w:style>
  <w:style w:type="character" w:styleId="Heading4Char">
    <w:name w:val="Heading 4 Char"/>
    <w:qFormat/>
    <w:rPr>
      <w:rFonts w:eastAsia="Times New Roman" w:cs="Arial"/>
      <w:b/>
      <w:bCs/>
      <w:i/>
      <w:sz w:val="24"/>
    </w:rPr>
  </w:style>
  <w:style w:type="character" w:styleId="Heading5Char">
    <w:name w:val="Heading 5 Char"/>
    <w:qFormat/>
    <w:rPr>
      <w:rFonts w:ascii="Calibri" w:hAnsi="Calibri" w:eastAsia="Times New Roman" w:cs="Calibri"/>
      <w:b/>
      <w:bCs/>
      <w:i/>
      <w:iCs/>
      <w:sz w:val="26"/>
      <w:szCs w:val="26"/>
    </w:rPr>
  </w:style>
  <w:style w:type="character" w:styleId="Heading6Char">
    <w:name w:val="Heading 6 Char"/>
    <w:qFormat/>
    <w:rPr>
      <w:rFonts w:ascii="Calibri" w:hAnsi="Calibri" w:eastAsia="Times New Roman" w:cs="Calibri"/>
      <w:b/>
      <w:bCs/>
      <w:sz w:val="22"/>
      <w:szCs w:val="22"/>
    </w:rPr>
  </w:style>
  <w:style w:type="character" w:styleId="Heading7Char">
    <w:name w:val="Heading 7 Char"/>
    <w:qFormat/>
    <w:rPr>
      <w:rFonts w:ascii="Calibri" w:hAnsi="Calibri" w:eastAsia="Times New Roman" w:cs="Calibri"/>
      <w:sz w:val="24"/>
      <w:szCs w:val="24"/>
    </w:rPr>
  </w:style>
  <w:style w:type="character" w:styleId="Hyperlink">
    <w:name w:val="Hyperlink"/>
    <w:rPr>
      <w:color w:val="0000FF"/>
      <w:u w:val="single"/>
    </w:rPr>
  </w:style>
  <w:style w:type="character" w:styleId="BodyTextChar">
    <w:name w:val="Body Text Char"/>
    <w:qFormat/>
    <w:rPr>
      <w:rFonts w:eastAsia="Times New Roman"/>
      <w:sz w:val="24"/>
    </w:rPr>
  </w:style>
  <w:style w:type="character" w:styleId="BodyTextIndentChar">
    <w:name w:val="Body Text Indent Char"/>
    <w:qFormat/>
    <w:rPr>
      <w:rFonts w:ascii="Times New Roman" w:hAnsi="Times New Roman" w:eastAsia="Times New Roman" w:cs="Times New Roman"/>
      <w:sz w:val="24"/>
    </w:rPr>
  </w:style>
  <w:style w:type="character" w:styleId="FollowedHyperlink">
    <w:name w:val="FollowedHyperlink"/>
    <w:rPr>
      <w:color w:val="800080"/>
      <w:u w:val="single"/>
    </w:rPr>
  </w:style>
  <w:style w:type="character" w:styleId="BodyTextIndent2Char">
    <w:name w:val="Body Text Indent 2 Char"/>
    <w:qFormat/>
    <w:rPr>
      <w:rFonts w:ascii="Times New Roman" w:hAnsi="Times New Roman" w:eastAsia="Times New Roman" w:cs="Times New Roman"/>
      <w:sz w:val="24"/>
    </w:rPr>
  </w:style>
  <w:style w:type="character" w:styleId="BodyText2Char">
    <w:name w:val="Body Text 2 Char"/>
    <w:qFormat/>
    <w:rPr>
      <w:rFonts w:eastAsia="Times New Roman"/>
      <w:sz w:val="24"/>
    </w:rPr>
  </w:style>
  <w:style w:type="character" w:styleId="BodyTextIndent3Char">
    <w:name w:val="Body Text Indent 3 Char"/>
    <w:qFormat/>
    <w:rPr>
      <w:rFonts w:eastAsia="Times New Roman"/>
      <w:sz w:val="24"/>
    </w:rPr>
  </w:style>
  <w:style w:type="character" w:styleId="HeaderChar">
    <w:name w:val="Header Char"/>
    <w:qFormat/>
    <w:rPr>
      <w:rFonts w:ascii="Times New Roman" w:hAnsi="Times New Roman" w:eastAsia="Times New Roman" w:cs="Times New Roman"/>
    </w:rPr>
  </w:style>
  <w:style w:type="character" w:styleId="FooterChar">
    <w:name w:val="Footer Char"/>
    <w:qFormat/>
    <w:rPr>
      <w:rFonts w:ascii="Times New Roman" w:hAnsi="Times New Roman" w:eastAsia="Times New Roman" w:cs="Times New Roman"/>
    </w:rPr>
  </w:style>
  <w:style w:type="character" w:styleId="BalloonTextChar">
    <w:name w:val="Balloon Text Char"/>
    <w:qFormat/>
    <w:rPr>
      <w:rFonts w:ascii="Tahoma" w:hAnsi="Tahoma" w:eastAsia="Times New Roman" w:cs="Tahoma"/>
      <w:sz w:val="16"/>
      <w:szCs w:val="16"/>
    </w:rPr>
  </w:style>
  <w:style w:type="character" w:styleId="BodyText3Char">
    <w:name w:val="Body Text 3 Char"/>
    <w:qFormat/>
    <w:rPr>
      <w:rFonts w:eastAsia="Times New Roman"/>
      <w:b/>
      <w:sz w:val="28"/>
      <w:szCs w:val="32"/>
    </w:rPr>
  </w:style>
  <w:style w:type="character" w:styleId="FootnoteTextChar">
    <w:name w:val="Footnote Text Char"/>
    <w:qFormat/>
    <w:rPr>
      <w:rFonts w:ascii="Times New Roman" w:hAnsi="Times New Roman" w:eastAsia="Times New Roman" w:cs="Times New Roman"/>
    </w:rPr>
  </w:style>
  <w:style w:type="character" w:styleId="FootnoteCharacters">
    <w:name w:val="Footnote Characters"/>
    <w:qFormat/>
    <w:rPr>
      <w:vertAlign w:val="superscript"/>
    </w:rPr>
  </w:style>
  <w:style w:type="character" w:styleId="CommentReference">
    <w:name w:val="Comment Reference"/>
    <w:qFormat/>
    <w:rPr>
      <w:sz w:val="16"/>
      <w:szCs w:val="16"/>
    </w:rPr>
  </w:style>
  <w:style w:type="character" w:styleId="CommentTextChar">
    <w:name w:val="Comment Text Char"/>
    <w:qFormat/>
    <w:rPr>
      <w:rFonts w:ascii="Times New Roman" w:hAnsi="Times New Roman" w:eastAsia="Times New Roman" w:cs="Times New Roman"/>
    </w:rPr>
  </w:style>
  <w:style w:type="character" w:styleId="CommentSubjectChar">
    <w:name w:val="Comment Subject Char"/>
    <w:qFormat/>
    <w:rPr>
      <w:rFonts w:ascii="Times New Roman" w:hAnsi="Times New Roman" w:eastAsia="Times New Roman" w:cs="Times New Roman"/>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40" w:before="0" w:after="0"/>
    </w:pPr>
    <w:rPr>
      <w:rFonts w:eastAsia="Times New Roman"/>
      <w:szCs w:val="20"/>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BodyTextIndent">
    <w:name w:val="Body Text Indent"/>
    <w:basedOn w:val="Normal"/>
    <w:pPr>
      <w:spacing w:lineRule="auto" w:line="240" w:before="0" w:after="0"/>
      <w:ind w:hanging="0" w:left="720" w:right="0"/>
    </w:pPr>
    <w:rPr>
      <w:rFonts w:ascii="Times New Roman" w:hAnsi="Times New Roman" w:eastAsia="Times New Roman" w:cs="Times New Roman"/>
      <w:szCs w:val="20"/>
    </w:rPr>
  </w:style>
  <w:style w:type="paragraph" w:styleId="BodyTextIndent2">
    <w:name w:val="Body Text Indent 2"/>
    <w:basedOn w:val="Normal"/>
    <w:qFormat/>
    <w:pPr>
      <w:spacing w:lineRule="auto" w:line="240" w:before="0" w:after="0"/>
      <w:ind w:hanging="0" w:left="1440" w:right="0"/>
    </w:pPr>
    <w:rPr>
      <w:rFonts w:ascii="Times New Roman" w:hAnsi="Times New Roman" w:eastAsia="Times New Roman" w:cs="Times New Roman"/>
      <w:szCs w:val="20"/>
    </w:rPr>
  </w:style>
  <w:style w:type="paragraph" w:styleId="BodyText2">
    <w:name w:val="Body Text 2"/>
    <w:basedOn w:val="Normal"/>
    <w:qFormat/>
    <w:pPr>
      <w:spacing w:lineRule="auto" w:line="240" w:before="0" w:after="0"/>
      <w:jc w:val="both"/>
    </w:pPr>
    <w:rPr>
      <w:rFonts w:eastAsia="Times New Roman"/>
      <w:szCs w:val="20"/>
    </w:rPr>
  </w:style>
  <w:style w:type="paragraph" w:styleId="BodyTextIndent3">
    <w:name w:val="Body Text Indent 3"/>
    <w:basedOn w:val="Normal"/>
    <w:qFormat/>
    <w:pPr>
      <w:spacing w:lineRule="auto" w:line="240" w:before="0" w:after="0"/>
      <w:ind w:hanging="0" w:left="1080" w:right="0"/>
    </w:pPr>
    <w:rPr>
      <w:rFonts w:eastAsia="Times New Roman"/>
      <w:szCs w:val="20"/>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spacing w:lineRule="auto" w:line="240" w:before="0" w:after="0"/>
    </w:pPr>
    <w:rPr>
      <w:rFonts w:ascii="Times New Roman" w:hAnsi="Times New Roman" w:eastAsia="Times New Roman" w:cs="Times New Roman"/>
      <w:sz w:val="20"/>
      <w:szCs w:val="20"/>
    </w:rPr>
  </w:style>
  <w:style w:type="paragraph" w:styleId="Footer">
    <w:name w:val="footer"/>
    <w:basedOn w:val="Normal"/>
    <w:pPr>
      <w:tabs>
        <w:tab w:val="clear" w:pos="720"/>
        <w:tab w:val="center" w:pos="4153" w:leader="none"/>
        <w:tab w:val="right" w:pos="8306" w:leader="none"/>
      </w:tabs>
      <w:spacing w:lineRule="auto" w:line="240" w:before="0" w:after="0"/>
    </w:pPr>
    <w:rPr>
      <w:rFonts w:ascii="Times New Roman" w:hAnsi="Times New Roman" w:eastAsia="Times New Roman" w:cs="Times New Roman"/>
      <w:sz w:val="20"/>
      <w:szCs w:val="20"/>
    </w:rPr>
  </w:style>
  <w:style w:type="paragraph" w:styleId="BalloonText">
    <w:name w:val="Balloon Text"/>
    <w:basedOn w:val="Normal"/>
    <w:qFormat/>
    <w:pPr>
      <w:spacing w:lineRule="auto" w:line="240" w:before="0" w:after="0"/>
    </w:pPr>
    <w:rPr>
      <w:rFonts w:ascii="Tahoma" w:hAnsi="Tahoma" w:eastAsia="Times New Roman" w:cs="Tahoma"/>
      <w:sz w:val="16"/>
      <w:szCs w:val="16"/>
    </w:rPr>
  </w:style>
  <w:style w:type="paragraph" w:styleId="BodyText3">
    <w:name w:val="Body Text 3"/>
    <w:basedOn w:val="Normal"/>
    <w:qFormat/>
    <w:pPr>
      <w:pBdr>
        <w:top w:val="single" w:sz="12" w:space="1" w:color="000000"/>
      </w:pBdr>
      <w:spacing w:lineRule="auto" w:line="240" w:before="0" w:after="0"/>
      <w:jc w:val="both"/>
    </w:pPr>
    <w:rPr>
      <w:rFonts w:eastAsia="Times New Roman"/>
      <w:b/>
      <w:sz w:val="28"/>
      <w:szCs w:val="32"/>
    </w:rPr>
  </w:style>
  <w:style w:type="paragraph" w:styleId="FootnoteText">
    <w:name w:val="footnote text"/>
    <w:basedOn w:val="Normal"/>
    <w:pPr>
      <w:spacing w:lineRule="auto" w:line="240" w:before="0" w:after="0"/>
    </w:pPr>
    <w:rPr>
      <w:rFonts w:ascii="Times New Roman" w:hAnsi="Times New Roman" w:eastAsia="Times New Roman" w:cs="Times New Roman"/>
      <w:sz w:val="20"/>
      <w:szCs w:val="20"/>
    </w:rPr>
  </w:style>
  <w:style w:type="paragraph" w:styleId="Affirmativebullet">
    <w:name w:val="Affirmative bullet"/>
    <w:basedOn w:val="Normal"/>
    <w:qFormat/>
    <w:pPr>
      <w:numPr>
        <w:ilvl w:val="0"/>
        <w:numId w:val="2"/>
      </w:numPr>
      <w:spacing w:lineRule="auto" w:line="240" w:before="0" w:after="0"/>
    </w:pPr>
    <w:rPr>
      <w:rFonts w:ascii="Times New Roman" w:hAnsi="Times New Roman" w:eastAsia="Times New Roman" w:cs="Times New Roman"/>
      <w:szCs w:val="20"/>
    </w:rPr>
  </w:style>
  <w:style w:type="paragraph" w:styleId="CommentText">
    <w:name w:val="Comment Text"/>
    <w:basedOn w:val="Normal"/>
    <w:qFormat/>
    <w:pPr>
      <w:spacing w:lineRule="auto" w:line="240" w:before="0" w:after="0"/>
    </w:pPr>
    <w:rPr>
      <w:rFonts w:ascii="Times New Roman" w:hAnsi="Times New Roman" w:eastAsia="Times New Roman" w:cs="Times New Roman"/>
      <w:sz w:val="20"/>
      <w:szCs w:val="20"/>
    </w:rPr>
  </w:style>
  <w:style w:type="paragraph" w:styleId="CommentSubject">
    <w:name w:val="Comment Subject"/>
    <w:basedOn w:val="CommentText"/>
    <w:next w:val="CommentText"/>
    <w:qFormat/>
    <w:pPr/>
    <w:rPr>
      <w:b/>
      <w:bCs/>
    </w:rPr>
  </w:style>
  <w:style w:type="paragraph" w:styleId="TableText">
    <w:name w:val="TableText"/>
    <w:basedOn w:val="Normal"/>
    <w:qFormat/>
    <w:pPr>
      <w:spacing w:lineRule="atLeast" w:line="220" w:before="20" w:after="0"/>
    </w:pPr>
    <w:rPr>
      <w:rFonts w:ascii="Times New Roman" w:hAnsi="Times New Roman" w:eastAsia="Times New Roman" w:cs="Times New Roman"/>
      <w:sz w:val="21"/>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LibreOffice/25.2.7.2$Windows_X86_64 LibreOffice_project/5cbfd1ab6520636bb5f7b99185aa69bd7456825d</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2015-06-02T13:02:00Z</dcterms:created>
  <dc:creator>m183974</dc:creator>
  <dc:description/>
  <dc:language>en-GB</dc:language>
  <cp:lastModifiedBy>m183974</cp:lastModifiedBy>
  <dcterms:modified xsi:type="dcterms:W3CDTF">2015-06-02T13:03:00Z</dcterms:modified>
  <cp:revision>1</cp:revision>
  <dc:subject/>
  <dc:title/>
</cp:coreProperties>
</file>