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16"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706"/>
        <w:gridCol w:w="1560"/>
        <w:gridCol w:w="2551"/>
        <w:gridCol w:w="301"/>
        <w:gridCol w:w="1258"/>
        <w:gridCol w:w="2831"/>
        <w:gridCol w:w="9"/>
      </w:tblGrid>
      <w:tr w:rsidR="0034672C" w:rsidRPr="00D22E74" w14:paraId="6315DAC2" w14:textId="77777777" w:rsidTr="0034672C">
        <w:trPr>
          <w:trHeight w:hRule="exact" w:val="2137"/>
        </w:trPr>
        <w:tc>
          <w:tcPr>
            <w:tcW w:w="6118" w:type="dxa"/>
            <w:gridSpan w:val="4"/>
            <w:tcBorders>
              <w:top w:val="single" w:sz="4" w:space="0" w:color="auto"/>
              <w:bottom w:val="single" w:sz="4" w:space="0" w:color="auto"/>
            </w:tcBorders>
          </w:tcPr>
          <w:p w14:paraId="6B5BC45E" w14:textId="7EC4002F" w:rsidR="0034672C" w:rsidRPr="00D22E74" w:rsidRDefault="0034672C" w:rsidP="0034672C">
            <w:pPr>
              <w:pStyle w:val="IATitle"/>
            </w:pPr>
            <w:bookmarkStart w:id="0" w:name="_GoBack"/>
            <w:bookmarkEnd w:id="0"/>
            <w:r w:rsidRPr="00D22E74">
              <w:rPr>
                <w:b/>
              </w:rPr>
              <w:t>Title:</w:t>
            </w:r>
            <w:r w:rsidRPr="00D22E74">
              <w:t xml:space="preserve">    </w:t>
            </w:r>
            <w:r w:rsidRPr="0034672C">
              <w:rPr>
                <w:b/>
              </w:rPr>
              <w:t>UK REACH (Registration, Evaluation, Authorisation &amp; restriction of CHemicals)</w:t>
            </w:r>
          </w:p>
          <w:p w14:paraId="3A8935F9" w14:textId="1B14C9D2" w:rsidR="0034672C" w:rsidRPr="00D22E74" w:rsidRDefault="0034672C" w:rsidP="0034672C">
            <w:pPr>
              <w:pStyle w:val="IAHeadTitle"/>
              <w:ind w:left="113"/>
              <w:rPr>
                <w:rStyle w:val="IANoChar"/>
                <w:rFonts w:eastAsia="SimSun" w:cs="Arial"/>
                <w:szCs w:val="20"/>
              </w:rPr>
            </w:pPr>
            <w:r w:rsidRPr="00D22E74">
              <w:rPr>
                <w:rFonts w:cs="Arial"/>
                <w:sz w:val="20"/>
                <w:szCs w:val="20"/>
              </w:rPr>
              <w:t xml:space="preserve">IA No:  </w:t>
            </w:r>
            <w:r w:rsidR="006933C0">
              <w:rPr>
                <w:rStyle w:val="IANoChar"/>
                <w:rFonts w:eastAsia="SimSun" w:cs="Arial"/>
                <w:szCs w:val="20"/>
              </w:rPr>
              <w:t>DEFRA/CHM/01</w:t>
            </w:r>
          </w:p>
          <w:p w14:paraId="3CE8539F" w14:textId="351FF00D" w:rsidR="0034672C" w:rsidRPr="00D22E74" w:rsidRDefault="0034672C" w:rsidP="0034672C">
            <w:pPr>
              <w:pStyle w:val="IAHeadLabel"/>
              <w:ind w:left="113"/>
              <w:rPr>
                <w:rFonts w:cs="Arial"/>
              </w:rPr>
            </w:pPr>
            <w:r w:rsidRPr="00D22E74">
              <w:rPr>
                <w:rFonts w:cs="Arial"/>
              </w:rPr>
              <w:t xml:space="preserve">RPC Reference No:   </w:t>
            </w:r>
            <w:r w:rsidR="006933C0" w:rsidRPr="006933C0">
              <w:rPr>
                <w:rFonts w:cs="Arial"/>
              </w:rPr>
              <w:t>RPC-4313(1)-DEFRA</w:t>
            </w:r>
          </w:p>
          <w:p w14:paraId="37DCBD26" w14:textId="77777777" w:rsidR="0034672C" w:rsidRPr="00D22E74" w:rsidRDefault="0034672C" w:rsidP="0034672C">
            <w:pPr>
              <w:pStyle w:val="IALeadDept"/>
              <w:ind w:right="27"/>
            </w:pPr>
            <w:r w:rsidRPr="00D22E74">
              <w:rPr>
                <w:b/>
              </w:rPr>
              <w:t>Lead department or agency:</w:t>
            </w:r>
            <w:r w:rsidRPr="00D22E74">
              <w:t xml:space="preserve"> </w:t>
            </w:r>
            <w:bookmarkStart w:id="1" w:name="IALeadDept"/>
            <w:r w:rsidRPr="00D22E74">
              <w:fldChar w:fldCharType="begin">
                <w:ffData>
                  <w:name w:val="IALeadDept"/>
                  <w:enabled/>
                  <w:calcOnExit w:val="0"/>
                  <w:textInput>
                    <w:maxLength w:val="100"/>
                  </w:textInput>
                </w:ffData>
              </w:fldChar>
            </w:r>
            <w:r w:rsidRPr="00D22E74">
              <w:instrText xml:space="preserve"> FORMTEXT </w:instrText>
            </w:r>
            <w:r w:rsidRPr="00D22E74">
              <w:fldChar w:fldCharType="separate"/>
            </w:r>
            <w:r w:rsidRPr="00D22E74">
              <w:t>Department for Environment, Food and Rural Affairs</w:t>
            </w:r>
            <w:r w:rsidRPr="00D22E74">
              <w:t> </w:t>
            </w:r>
            <w:r w:rsidRPr="00D22E74">
              <w:t xml:space="preserve">   </w:t>
            </w:r>
            <w:r w:rsidRPr="00D22E74">
              <w:t> </w:t>
            </w:r>
            <w:r w:rsidRPr="00D22E74">
              <w:t> </w:t>
            </w:r>
            <w:r w:rsidRPr="00D22E74">
              <w:t> </w:t>
            </w:r>
            <w:r w:rsidRPr="00D22E74">
              <w:fldChar w:fldCharType="end"/>
            </w:r>
            <w:bookmarkEnd w:id="1"/>
          </w:p>
          <w:p w14:paraId="2A513219" w14:textId="77777777" w:rsidR="0034672C" w:rsidRPr="00D22E74" w:rsidRDefault="0034672C" w:rsidP="0034672C">
            <w:pPr>
              <w:pStyle w:val="IATableLabel"/>
              <w:spacing w:after="0"/>
              <w:rPr>
                <w:rFonts w:cs="Arial"/>
              </w:rPr>
            </w:pPr>
            <w:r w:rsidRPr="00D22E74">
              <w:rPr>
                <w:rFonts w:cs="Arial"/>
              </w:rPr>
              <w:t xml:space="preserve">Other departments or agencies:   </w:t>
            </w:r>
            <w:bookmarkStart w:id="2" w:name="IAOtherDepts"/>
            <w:r w:rsidRPr="00D22E74">
              <w:rPr>
                <w:rFonts w:cs="Arial"/>
              </w:rPr>
              <w:fldChar w:fldCharType="begin">
                <w:ffData>
                  <w:name w:val="IAOtherDepts"/>
                  <w:enabled/>
                  <w:calcOnExit w:val="0"/>
                  <w:textInput>
                    <w:maxLength w:val="200"/>
                  </w:textInput>
                </w:ffData>
              </w:fldChar>
            </w:r>
            <w:r w:rsidRPr="00D22E74">
              <w:rPr>
                <w:rFonts w:cs="Arial"/>
              </w:rPr>
              <w:instrText xml:space="preserve"> FORMTEXT </w:instrText>
            </w:r>
            <w:r w:rsidRPr="00D22E74">
              <w:rPr>
                <w:rFonts w:cs="Arial"/>
              </w:rPr>
            </w:r>
            <w:r w:rsidRPr="00D22E74">
              <w:rPr>
                <w:rFonts w:cs="Arial"/>
              </w:rPr>
              <w:fldChar w:fldCharType="separate"/>
            </w:r>
            <w:r w:rsidRPr="00D22E74">
              <w:rPr>
                <w:rFonts w:cs="Arial"/>
                <w:noProof/>
              </w:rPr>
              <w:t> </w:t>
            </w:r>
            <w:r w:rsidRPr="00D22E74">
              <w:rPr>
                <w:rFonts w:cs="Arial"/>
                <w:noProof/>
              </w:rPr>
              <w:t> </w:t>
            </w:r>
            <w:r w:rsidRPr="00D22E74">
              <w:rPr>
                <w:rFonts w:cs="Arial"/>
                <w:noProof/>
              </w:rPr>
              <w:t> </w:t>
            </w:r>
            <w:r w:rsidRPr="00D22E74">
              <w:rPr>
                <w:rFonts w:cs="Arial"/>
                <w:noProof/>
              </w:rPr>
              <w:t> </w:t>
            </w:r>
            <w:r w:rsidRPr="00D22E74">
              <w:rPr>
                <w:rFonts w:cs="Arial"/>
                <w:noProof/>
              </w:rPr>
              <w:t> </w:t>
            </w:r>
            <w:r w:rsidRPr="00D22E74">
              <w:rPr>
                <w:rFonts w:cs="Arial"/>
              </w:rPr>
              <w:fldChar w:fldCharType="end"/>
            </w:r>
            <w:bookmarkEnd w:id="2"/>
          </w:p>
        </w:tc>
        <w:tc>
          <w:tcPr>
            <w:tcW w:w="4098" w:type="dxa"/>
            <w:gridSpan w:val="3"/>
            <w:tcBorders>
              <w:top w:val="single" w:sz="4" w:space="0" w:color="auto"/>
              <w:bottom w:val="single" w:sz="4" w:space="0" w:color="auto"/>
            </w:tcBorders>
          </w:tcPr>
          <w:tbl>
            <w:tblPr>
              <w:tblW w:w="4088" w:type="dxa"/>
              <w:tblInd w:w="5" w:type="dxa"/>
              <w:tblBorders>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4088"/>
            </w:tblGrid>
            <w:tr w:rsidR="0034672C" w:rsidRPr="00D22E74" w14:paraId="5E35A324" w14:textId="77777777" w:rsidTr="0034672C">
              <w:trPr>
                <w:trHeight w:hRule="exact" w:val="539"/>
              </w:trPr>
              <w:tc>
                <w:tcPr>
                  <w:tcW w:w="4088" w:type="dxa"/>
                  <w:tcBorders>
                    <w:bottom w:val="single" w:sz="4" w:space="0" w:color="333333"/>
                  </w:tcBorders>
                  <w:shd w:val="clear" w:color="auto" w:fill="333333"/>
                  <w:vAlign w:val="center"/>
                </w:tcPr>
                <w:p w14:paraId="07FBB404" w14:textId="77777777" w:rsidR="0034672C" w:rsidRPr="00D22E74" w:rsidRDefault="0034672C" w:rsidP="0034672C">
                  <w:pPr>
                    <w:pStyle w:val="Title"/>
                  </w:pPr>
                  <w:r w:rsidRPr="00D22E74">
                    <w:t>Impact Assessment (IA)</w:t>
                  </w:r>
                </w:p>
              </w:tc>
            </w:tr>
            <w:tr w:rsidR="0034672C" w:rsidRPr="00D22E74" w14:paraId="569211DC" w14:textId="77777777" w:rsidTr="0034672C">
              <w:tc>
                <w:tcPr>
                  <w:tcW w:w="4088" w:type="dxa"/>
                  <w:tcBorders>
                    <w:top w:val="single" w:sz="4" w:space="0" w:color="333333"/>
                    <w:bottom w:val="single" w:sz="4" w:space="0" w:color="333333"/>
                  </w:tcBorders>
                </w:tcPr>
                <w:p w14:paraId="4AC083EE" w14:textId="50695B61" w:rsidR="0034672C" w:rsidRPr="00D22E74" w:rsidRDefault="0034672C" w:rsidP="0034672C">
                  <w:pPr>
                    <w:pStyle w:val="IATableLabel"/>
                    <w:rPr>
                      <w:rFonts w:cs="Arial"/>
                    </w:rPr>
                  </w:pPr>
                  <w:r w:rsidRPr="00D22E74">
                    <w:rPr>
                      <w:rFonts w:cs="Arial"/>
                    </w:rPr>
                    <w:t>Date:</w:t>
                  </w:r>
                  <w:r w:rsidRPr="00D22E74">
                    <w:rPr>
                      <w:rFonts w:cs="Arial"/>
                      <w:b w:val="0"/>
                    </w:rPr>
                    <w:t xml:space="preserve"> </w:t>
                  </w:r>
                  <w:r>
                    <w:rPr>
                      <w:rFonts w:cs="Arial"/>
                      <w:b w:val="0"/>
                    </w:rPr>
                    <w:t>14/12/2018</w:t>
                  </w:r>
                </w:p>
              </w:tc>
            </w:tr>
            <w:tr w:rsidR="0034672C" w:rsidRPr="00D22E74" w14:paraId="457EB71B" w14:textId="77777777" w:rsidTr="0034672C">
              <w:tc>
                <w:tcPr>
                  <w:tcW w:w="4088" w:type="dxa"/>
                  <w:tcBorders>
                    <w:top w:val="single" w:sz="4" w:space="0" w:color="333333"/>
                    <w:bottom w:val="single" w:sz="4" w:space="0" w:color="333333"/>
                  </w:tcBorders>
                </w:tcPr>
                <w:p w14:paraId="3CC3FAF1" w14:textId="77777777" w:rsidR="0034672C" w:rsidRPr="00D22E74" w:rsidRDefault="0034672C" w:rsidP="0034672C">
                  <w:pPr>
                    <w:pStyle w:val="IATableLabel"/>
                    <w:rPr>
                      <w:rFonts w:cs="Arial"/>
                    </w:rPr>
                  </w:pPr>
                  <w:bookmarkStart w:id="3" w:name="Stage"/>
                  <w:r w:rsidRPr="00D22E74">
                    <w:rPr>
                      <w:rFonts w:cs="Arial"/>
                    </w:rPr>
                    <w:t>Stage:</w:t>
                  </w:r>
                  <w:bookmarkEnd w:id="3"/>
                  <w:r w:rsidRPr="00D22E74">
                    <w:rPr>
                      <w:rFonts w:cs="Arial"/>
                    </w:rPr>
                    <w:t xml:space="preserve"> </w:t>
                  </w:r>
                  <w:r w:rsidRPr="00D22E74">
                    <w:rPr>
                      <w:rFonts w:cs="Arial"/>
                      <w:b w:val="0"/>
                    </w:rPr>
                    <w:t>Final</w:t>
                  </w:r>
                </w:p>
              </w:tc>
            </w:tr>
            <w:tr w:rsidR="0034672C" w:rsidRPr="00D22E74" w14:paraId="1B8E9312" w14:textId="77777777" w:rsidTr="0034672C">
              <w:tc>
                <w:tcPr>
                  <w:tcW w:w="4088" w:type="dxa"/>
                  <w:tcBorders>
                    <w:top w:val="single" w:sz="4" w:space="0" w:color="333333"/>
                    <w:bottom w:val="single" w:sz="4" w:space="0" w:color="333333"/>
                  </w:tcBorders>
                </w:tcPr>
                <w:p w14:paraId="2943728F" w14:textId="77777777" w:rsidR="0034672C" w:rsidRPr="00D22E74" w:rsidRDefault="0034672C" w:rsidP="0034672C">
                  <w:pPr>
                    <w:pStyle w:val="IATableLabel"/>
                    <w:rPr>
                      <w:rFonts w:cs="Arial"/>
                    </w:rPr>
                  </w:pPr>
                  <w:r w:rsidRPr="00D22E74">
                    <w:rPr>
                      <w:rFonts w:cs="Arial"/>
                    </w:rPr>
                    <w:t xml:space="preserve">Source of intervention: </w:t>
                  </w:r>
                  <w:bookmarkStart w:id="4" w:name="IAInterSource"/>
                  <w:r w:rsidRPr="00D22E74">
                    <w:rPr>
                      <w:rStyle w:val="IASOIChar"/>
                      <w:rFonts w:cs="Arial"/>
                    </w:rPr>
                    <w:fldChar w:fldCharType="begin">
                      <w:ffData>
                        <w:name w:val="IAInterSource"/>
                        <w:enabled/>
                        <w:calcOnExit w:val="0"/>
                        <w:ddList>
                          <w:listEntry w:val="Domestic"/>
                          <w:listEntry w:val="EU"/>
                          <w:listEntry w:val="International"/>
                        </w:ddList>
                      </w:ffData>
                    </w:fldChar>
                  </w:r>
                  <w:r w:rsidRPr="00D22E74">
                    <w:rPr>
                      <w:rStyle w:val="IASOIChar"/>
                      <w:rFonts w:cs="Arial"/>
                    </w:rPr>
                    <w:instrText xml:space="preserve"> FORMDROPDOWN </w:instrText>
                  </w:r>
                  <w:r w:rsidR="00123AA1">
                    <w:rPr>
                      <w:rStyle w:val="IASOIChar"/>
                      <w:rFonts w:cs="Arial"/>
                    </w:rPr>
                  </w:r>
                  <w:r w:rsidR="00123AA1">
                    <w:rPr>
                      <w:rStyle w:val="IASOIChar"/>
                      <w:rFonts w:cs="Arial"/>
                    </w:rPr>
                    <w:fldChar w:fldCharType="separate"/>
                  </w:r>
                  <w:r w:rsidRPr="00D22E74">
                    <w:rPr>
                      <w:rStyle w:val="IASOIChar"/>
                      <w:rFonts w:cs="Arial"/>
                    </w:rPr>
                    <w:fldChar w:fldCharType="end"/>
                  </w:r>
                  <w:bookmarkEnd w:id="4"/>
                </w:p>
              </w:tc>
            </w:tr>
            <w:tr w:rsidR="0034672C" w:rsidRPr="00D22E74" w14:paraId="4D10AF4E" w14:textId="77777777" w:rsidTr="0034672C">
              <w:tc>
                <w:tcPr>
                  <w:tcW w:w="4088" w:type="dxa"/>
                  <w:tcBorders>
                    <w:top w:val="single" w:sz="4" w:space="0" w:color="333333"/>
                    <w:bottom w:val="single" w:sz="4" w:space="0" w:color="333333"/>
                  </w:tcBorders>
                </w:tcPr>
                <w:p w14:paraId="47ACD914" w14:textId="77777777" w:rsidR="0034672C" w:rsidRPr="00D22E74" w:rsidRDefault="0034672C" w:rsidP="0034672C">
                  <w:pPr>
                    <w:pStyle w:val="IATableLabel"/>
                    <w:rPr>
                      <w:rFonts w:cs="Arial"/>
                      <w:b w:val="0"/>
                    </w:rPr>
                  </w:pPr>
                  <w:r w:rsidRPr="00D22E74">
                    <w:rPr>
                      <w:rFonts w:cs="Arial"/>
                    </w:rPr>
                    <w:t xml:space="preserve">Type of measure: </w:t>
                  </w:r>
                  <w:r w:rsidRPr="00D22E74">
                    <w:rPr>
                      <w:rStyle w:val="IATOMChar"/>
                      <w:rFonts w:cs="Arial"/>
                    </w:rPr>
                    <w:fldChar w:fldCharType="begin">
                      <w:ffData>
                        <w:name w:val="IAMeasureType"/>
                        <w:enabled/>
                        <w:calcOnExit w:val="0"/>
                        <w:ddList>
                          <w:listEntry w:val="Secondary legislation"/>
                          <w:listEntry w:val="Primary legislation"/>
                          <w:listEntry w:val="Other"/>
                        </w:ddList>
                      </w:ffData>
                    </w:fldChar>
                  </w:r>
                  <w:bookmarkStart w:id="5" w:name="IAMeasureType"/>
                  <w:r w:rsidRPr="00D22E74">
                    <w:rPr>
                      <w:rStyle w:val="IATOMChar"/>
                      <w:rFonts w:cs="Arial"/>
                    </w:rPr>
                    <w:instrText xml:space="preserve"> FORMDROPDOWN </w:instrText>
                  </w:r>
                  <w:r w:rsidR="00123AA1">
                    <w:rPr>
                      <w:rStyle w:val="IATOMChar"/>
                      <w:rFonts w:cs="Arial"/>
                    </w:rPr>
                  </w:r>
                  <w:r w:rsidR="00123AA1">
                    <w:rPr>
                      <w:rStyle w:val="IATOMChar"/>
                      <w:rFonts w:cs="Arial"/>
                    </w:rPr>
                    <w:fldChar w:fldCharType="separate"/>
                  </w:r>
                  <w:r w:rsidRPr="00D22E74">
                    <w:rPr>
                      <w:rStyle w:val="IATOMChar"/>
                      <w:rFonts w:cs="Arial"/>
                    </w:rPr>
                    <w:fldChar w:fldCharType="end"/>
                  </w:r>
                  <w:bookmarkEnd w:id="5"/>
                </w:p>
              </w:tc>
            </w:tr>
            <w:tr w:rsidR="0034672C" w:rsidRPr="00D22E74" w14:paraId="7A02CD52" w14:textId="77777777" w:rsidTr="0034672C">
              <w:trPr>
                <w:trHeight w:val="1115"/>
              </w:trPr>
              <w:tc>
                <w:tcPr>
                  <w:tcW w:w="4088" w:type="dxa"/>
                  <w:tcBorders>
                    <w:top w:val="single" w:sz="4" w:space="0" w:color="333333"/>
                    <w:bottom w:val="single" w:sz="4" w:space="0" w:color="333333"/>
                  </w:tcBorders>
                </w:tcPr>
                <w:p w14:paraId="1422116A" w14:textId="5B35C703" w:rsidR="0034672C" w:rsidRPr="00D22E74" w:rsidRDefault="0034672C" w:rsidP="0034672C">
                  <w:pPr>
                    <w:ind w:left="113" w:right="113"/>
                    <w:rPr>
                      <w:rFonts w:cs="Arial"/>
                    </w:rPr>
                  </w:pPr>
                  <w:r w:rsidRPr="00D22E74">
                    <w:rPr>
                      <w:rStyle w:val="IATableLabelCharChar"/>
                      <w:rFonts w:cs="Arial"/>
                    </w:rPr>
                    <w:t>Contact for enquiries:</w:t>
                  </w:r>
                  <w:r w:rsidRPr="00D22E74">
                    <w:rPr>
                      <w:rFonts w:cs="Arial"/>
                    </w:rPr>
                    <w:t xml:space="preserve"> </w:t>
                  </w:r>
                  <w:r>
                    <w:rPr>
                      <w:rStyle w:val="IACOEChar"/>
                      <w:rFonts w:cs="Arial"/>
                      <w:b/>
                    </w:rPr>
                    <w:t>Keith Bailey</w:t>
                  </w:r>
                </w:p>
              </w:tc>
            </w:tr>
            <w:tr w:rsidR="0034672C" w:rsidRPr="00D22E74" w14:paraId="03ECC5A6" w14:textId="77777777" w:rsidTr="0034672C">
              <w:trPr>
                <w:trHeight w:val="1115"/>
              </w:trPr>
              <w:tc>
                <w:tcPr>
                  <w:tcW w:w="4088" w:type="dxa"/>
                  <w:tcBorders>
                    <w:top w:val="single" w:sz="4" w:space="0" w:color="333333"/>
                    <w:bottom w:val="single" w:sz="4" w:space="0" w:color="333333"/>
                  </w:tcBorders>
                </w:tcPr>
                <w:p w14:paraId="588BBD5F" w14:textId="77777777" w:rsidR="0034672C" w:rsidRPr="00D22E74" w:rsidRDefault="0034672C" w:rsidP="0034672C">
                  <w:pPr>
                    <w:pStyle w:val="IATableLines"/>
                    <w:rPr>
                      <w:rFonts w:cs="Arial"/>
                      <w:b/>
                      <w:color w:val="000000"/>
                      <w:sz w:val="20"/>
                    </w:rPr>
                  </w:pPr>
                </w:p>
              </w:tc>
            </w:tr>
            <w:tr w:rsidR="0034672C" w:rsidRPr="00D22E74" w14:paraId="693CFB5A" w14:textId="77777777" w:rsidTr="0034672C">
              <w:trPr>
                <w:trHeight w:val="1115"/>
              </w:trPr>
              <w:tc>
                <w:tcPr>
                  <w:tcW w:w="4088" w:type="dxa"/>
                  <w:tcBorders>
                    <w:top w:val="single" w:sz="4" w:space="0" w:color="333333"/>
                    <w:bottom w:val="single" w:sz="4" w:space="0" w:color="333333"/>
                  </w:tcBorders>
                </w:tcPr>
                <w:p w14:paraId="2D672681" w14:textId="77777777" w:rsidR="0034672C" w:rsidRPr="00D22E74" w:rsidRDefault="0034672C" w:rsidP="0034672C">
                  <w:pPr>
                    <w:pStyle w:val="IATableLines"/>
                    <w:rPr>
                      <w:rFonts w:cs="Arial"/>
                      <w:b/>
                      <w:color w:val="000000"/>
                      <w:sz w:val="20"/>
                    </w:rPr>
                  </w:pPr>
                </w:p>
              </w:tc>
            </w:tr>
            <w:tr w:rsidR="0034672C" w:rsidRPr="00D22E74" w14:paraId="4AA0682B" w14:textId="77777777" w:rsidTr="0034672C">
              <w:trPr>
                <w:trHeight w:val="1115"/>
              </w:trPr>
              <w:tc>
                <w:tcPr>
                  <w:tcW w:w="4088" w:type="dxa"/>
                  <w:tcBorders>
                    <w:top w:val="single" w:sz="4" w:space="0" w:color="333333"/>
                    <w:bottom w:val="single" w:sz="4" w:space="0" w:color="333333"/>
                  </w:tcBorders>
                </w:tcPr>
                <w:p w14:paraId="63839963" w14:textId="77777777" w:rsidR="0034672C" w:rsidRPr="00D22E74" w:rsidRDefault="0034672C" w:rsidP="0034672C">
                  <w:pPr>
                    <w:pStyle w:val="IATableLines"/>
                    <w:rPr>
                      <w:rFonts w:cs="Arial"/>
                      <w:b/>
                      <w:color w:val="000000"/>
                      <w:sz w:val="20"/>
                    </w:rPr>
                  </w:pPr>
                </w:p>
              </w:tc>
            </w:tr>
            <w:tr w:rsidR="0034672C" w:rsidRPr="00D22E74" w14:paraId="6DFBE502" w14:textId="77777777" w:rsidTr="0034672C">
              <w:trPr>
                <w:trHeight w:val="1115"/>
              </w:trPr>
              <w:tc>
                <w:tcPr>
                  <w:tcW w:w="4088" w:type="dxa"/>
                  <w:tcBorders>
                    <w:top w:val="single" w:sz="4" w:space="0" w:color="333333"/>
                    <w:bottom w:val="single" w:sz="4" w:space="0" w:color="333333"/>
                  </w:tcBorders>
                </w:tcPr>
                <w:p w14:paraId="06C92778" w14:textId="77777777" w:rsidR="0034672C" w:rsidRPr="00D22E74" w:rsidRDefault="0034672C" w:rsidP="0034672C">
                  <w:pPr>
                    <w:pStyle w:val="IATableLines"/>
                    <w:rPr>
                      <w:rFonts w:cs="Arial"/>
                      <w:b/>
                      <w:color w:val="000000"/>
                      <w:sz w:val="20"/>
                    </w:rPr>
                  </w:pPr>
                </w:p>
              </w:tc>
            </w:tr>
            <w:tr w:rsidR="0034672C" w:rsidRPr="00D22E74" w14:paraId="1228730C" w14:textId="77777777" w:rsidTr="0034672C">
              <w:trPr>
                <w:trHeight w:val="1115"/>
              </w:trPr>
              <w:tc>
                <w:tcPr>
                  <w:tcW w:w="4088" w:type="dxa"/>
                  <w:tcBorders>
                    <w:top w:val="single" w:sz="4" w:space="0" w:color="333333"/>
                    <w:bottom w:val="single" w:sz="4" w:space="0" w:color="333333"/>
                  </w:tcBorders>
                </w:tcPr>
                <w:p w14:paraId="738D6354" w14:textId="77777777" w:rsidR="0034672C" w:rsidRPr="00D22E74" w:rsidRDefault="0034672C" w:rsidP="0034672C">
                  <w:pPr>
                    <w:pStyle w:val="IATableLines"/>
                    <w:rPr>
                      <w:rFonts w:cs="Arial"/>
                      <w:b/>
                      <w:color w:val="000000"/>
                      <w:sz w:val="20"/>
                    </w:rPr>
                  </w:pPr>
                </w:p>
              </w:tc>
            </w:tr>
            <w:tr w:rsidR="0034672C" w:rsidRPr="00D22E74" w14:paraId="02AC4924" w14:textId="77777777" w:rsidTr="0034672C">
              <w:trPr>
                <w:trHeight w:val="1115"/>
              </w:trPr>
              <w:tc>
                <w:tcPr>
                  <w:tcW w:w="4088" w:type="dxa"/>
                  <w:tcBorders>
                    <w:top w:val="single" w:sz="4" w:space="0" w:color="333333"/>
                  </w:tcBorders>
                </w:tcPr>
                <w:p w14:paraId="34D24BA2" w14:textId="77777777" w:rsidR="0034672C" w:rsidRPr="00D22E74" w:rsidRDefault="0034672C" w:rsidP="0034672C">
                  <w:pPr>
                    <w:pStyle w:val="IATableLines"/>
                    <w:rPr>
                      <w:rFonts w:cs="Arial"/>
                      <w:b/>
                      <w:color w:val="000000"/>
                      <w:sz w:val="20"/>
                    </w:rPr>
                  </w:pPr>
                </w:p>
              </w:tc>
            </w:tr>
          </w:tbl>
          <w:p w14:paraId="267EA1E7" w14:textId="77777777" w:rsidR="0034672C" w:rsidRPr="00D22E74" w:rsidRDefault="0034672C" w:rsidP="0034672C">
            <w:pPr>
              <w:rPr>
                <w:rFonts w:eastAsia="SimSun" w:cs="Arial"/>
              </w:rPr>
            </w:pPr>
          </w:p>
        </w:tc>
      </w:tr>
      <w:tr w:rsidR="0034672C" w:rsidRPr="00D22E74" w14:paraId="7C7B7049" w14:textId="77777777" w:rsidTr="0034672C">
        <w:trPr>
          <w:trHeight w:hRule="exact" w:val="410"/>
        </w:trPr>
        <w:tc>
          <w:tcPr>
            <w:tcW w:w="6118" w:type="dxa"/>
            <w:gridSpan w:val="4"/>
            <w:tcBorders>
              <w:top w:val="single" w:sz="4" w:space="0" w:color="auto"/>
              <w:left w:val="nil"/>
              <w:bottom w:val="single" w:sz="4" w:space="0" w:color="auto"/>
            </w:tcBorders>
          </w:tcPr>
          <w:p w14:paraId="58762C07" w14:textId="77777777" w:rsidR="0034672C" w:rsidRPr="00D22E74" w:rsidRDefault="0034672C" w:rsidP="0034672C">
            <w:pPr>
              <w:pStyle w:val="Heading1"/>
              <w:spacing w:before="60"/>
              <w:rPr>
                <w:rFonts w:ascii="Arial" w:eastAsia="SimSun" w:hAnsi="Arial"/>
                <w:sz w:val="28"/>
                <w:szCs w:val="28"/>
              </w:rPr>
            </w:pPr>
            <w:r w:rsidRPr="00D22E74">
              <w:rPr>
                <w:rFonts w:ascii="Arial" w:eastAsia="SimSun" w:hAnsi="Arial"/>
                <w:sz w:val="28"/>
                <w:szCs w:val="28"/>
              </w:rPr>
              <w:t xml:space="preserve">Summary: Intervention and Options </w:t>
            </w:r>
          </w:p>
          <w:p w14:paraId="4883E36E" w14:textId="77777777" w:rsidR="0034672C" w:rsidRPr="00D22E74" w:rsidRDefault="0034672C" w:rsidP="0034672C">
            <w:pPr>
              <w:pStyle w:val="IAHeadLabel0"/>
              <w:spacing w:before="50"/>
              <w:ind w:left="113"/>
              <w:rPr>
                <w:rFonts w:cs="Arial"/>
                <w:sz w:val="28"/>
                <w:szCs w:val="28"/>
              </w:rPr>
            </w:pPr>
          </w:p>
        </w:tc>
        <w:tc>
          <w:tcPr>
            <w:tcW w:w="4098" w:type="dxa"/>
            <w:gridSpan w:val="3"/>
            <w:tcBorders>
              <w:top w:val="single" w:sz="4" w:space="0" w:color="auto"/>
              <w:bottom w:val="single" w:sz="4" w:space="0" w:color="auto"/>
            </w:tcBorders>
            <w:shd w:val="clear" w:color="auto" w:fill="E0E0E0"/>
            <w:vAlign w:val="center"/>
          </w:tcPr>
          <w:p w14:paraId="06B8D977" w14:textId="0CB149E1" w:rsidR="0034672C" w:rsidRPr="00D22E74" w:rsidRDefault="0034672C" w:rsidP="00FA47CD">
            <w:pPr>
              <w:pStyle w:val="Title"/>
              <w:rPr>
                <w:rFonts w:eastAsia="SimSun"/>
                <w:b/>
                <w:color w:val="auto"/>
                <w:sz w:val="24"/>
                <w:szCs w:val="24"/>
              </w:rPr>
            </w:pPr>
            <w:r w:rsidRPr="00D22E74">
              <w:rPr>
                <w:rFonts w:eastAsia="SimSun"/>
                <w:b/>
                <w:color w:val="auto"/>
                <w:sz w:val="24"/>
                <w:szCs w:val="24"/>
              </w:rPr>
              <w:t xml:space="preserve">RPC Opinion: </w:t>
            </w:r>
            <w:r w:rsidR="00FA47CD">
              <w:rPr>
                <w:rStyle w:val="IARPCChar"/>
                <w:bCs w:val="0"/>
              </w:rPr>
              <w:t>GREEN</w:t>
            </w:r>
          </w:p>
        </w:tc>
      </w:tr>
      <w:tr w:rsidR="0034672C" w:rsidRPr="00D22E74" w14:paraId="6E215605" w14:textId="77777777" w:rsidTr="0034672C">
        <w:trPr>
          <w:trHeight w:hRule="exact" w:val="90"/>
        </w:trPr>
        <w:tc>
          <w:tcPr>
            <w:tcW w:w="10216" w:type="dxa"/>
            <w:gridSpan w:val="7"/>
            <w:tcBorders>
              <w:top w:val="single" w:sz="4" w:space="0" w:color="auto"/>
              <w:left w:val="nil"/>
              <w:bottom w:val="nil"/>
            </w:tcBorders>
          </w:tcPr>
          <w:p w14:paraId="268F9A5B" w14:textId="77777777" w:rsidR="0034672C" w:rsidRPr="00D22E74" w:rsidRDefault="0034672C" w:rsidP="0034672C">
            <w:pPr>
              <w:rPr>
                <w:rFonts w:eastAsia="SimSun" w:cs="Arial"/>
              </w:rPr>
            </w:pPr>
          </w:p>
        </w:tc>
      </w:tr>
      <w:tr w:rsidR="0034672C" w:rsidRPr="00D22E74" w14:paraId="353D19E9" w14:textId="77777777" w:rsidTr="0034672C">
        <w:tblPrEx>
          <w:tblBorders>
            <w:insideV w:val="none" w:sz="0" w:space="0" w:color="auto"/>
          </w:tblBorders>
        </w:tblPrEx>
        <w:trPr>
          <w:gridAfter w:val="1"/>
          <w:wAfter w:w="9" w:type="dxa"/>
          <w:trHeight w:hRule="exact" w:val="312"/>
        </w:trPr>
        <w:tc>
          <w:tcPr>
            <w:tcW w:w="10207" w:type="dxa"/>
            <w:gridSpan w:val="6"/>
            <w:tcBorders>
              <w:top w:val="single" w:sz="4" w:space="0" w:color="auto"/>
              <w:bottom w:val="nil"/>
            </w:tcBorders>
            <w:shd w:val="clear" w:color="auto" w:fill="E0E0E0"/>
          </w:tcPr>
          <w:p w14:paraId="0FEDEA2A" w14:textId="77777777" w:rsidR="0034672C" w:rsidRPr="00D22E74" w:rsidRDefault="0034672C" w:rsidP="0034672C">
            <w:pPr>
              <w:pStyle w:val="IATableLabel"/>
              <w:ind w:left="0"/>
              <w:jc w:val="center"/>
              <w:rPr>
                <w:rFonts w:cs="Arial"/>
              </w:rPr>
            </w:pPr>
            <w:bookmarkStart w:id="6" w:name="CostText"/>
            <w:r w:rsidRPr="00D22E74">
              <w:rPr>
                <w:rFonts w:cs="Arial"/>
              </w:rPr>
              <w:t>Cost of Preferred (or more likely) Option</w:t>
            </w:r>
            <w:bookmarkEnd w:id="6"/>
          </w:p>
        </w:tc>
      </w:tr>
      <w:tr w:rsidR="0034672C" w:rsidRPr="00D22E74" w14:paraId="3DDD4A83" w14:textId="77777777" w:rsidTr="0034672C">
        <w:tblPrEx>
          <w:tblBorders>
            <w:insideV w:val="none" w:sz="0" w:space="0" w:color="auto"/>
          </w:tblBorders>
        </w:tblPrEx>
        <w:trPr>
          <w:gridAfter w:val="1"/>
          <w:wAfter w:w="9" w:type="dxa"/>
          <w:trHeight w:hRule="exact" w:val="600"/>
        </w:trPr>
        <w:tc>
          <w:tcPr>
            <w:tcW w:w="1706" w:type="dxa"/>
            <w:tcBorders>
              <w:top w:val="single" w:sz="4" w:space="0" w:color="auto"/>
              <w:bottom w:val="nil"/>
              <w:right w:val="single" w:sz="4" w:space="0" w:color="auto"/>
            </w:tcBorders>
            <w:shd w:val="clear" w:color="auto" w:fill="E0E0E0"/>
            <w:vAlign w:val="center"/>
          </w:tcPr>
          <w:p w14:paraId="0417D285" w14:textId="77777777" w:rsidR="0034672C" w:rsidRPr="00D22E74" w:rsidRDefault="0034672C" w:rsidP="0034672C">
            <w:pPr>
              <w:pStyle w:val="IATableLabel"/>
              <w:spacing w:before="0" w:after="0"/>
              <w:rPr>
                <w:rFonts w:cs="Arial"/>
              </w:rPr>
            </w:pPr>
            <w:r w:rsidRPr="00D22E74">
              <w:rPr>
                <w:rFonts w:cs="Arial"/>
              </w:rPr>
              <w:t>Total Net Present Value</w:t>
            </w:r>
          </w:p>
        </w:tc>
        <w:tc>
          <w:tcPr>
            <w:tcW w:w="1560" w:type="dxa"/>
            <w:tcBorders>
              <w:top w:val="single" w:sz="4" w:space="0" w:color="auto"/>
              <w:bottom w:val="nil"/>
              <w:right w:val="single" w:sz="4" w:space="0" w:color="auto"/>
            </w:tcBorders>
            <w:shd w:val="clear" w:color="auto" w:fill="E0E0E0"/>
            <w:vAlign w:val="center"/>
          </w:tcPr>
          <w:p w14:paraId="20F3E7C0" w14:textId="77777777" w:rsidR="0034672C" w:rsidRPr="00D22E74" w:rsidRDefault="0034672C" w:rsidP="0034672C">
            <w:pPr>
              <w:pStyle w:val="IATableLabel"/>
              <w:spacing w:before="0" w:after="0"/>
              <w:rPr>
                <w:rFonts w:cs="Arial"/>
              </w:rPr>
            </w:pPr>
            <w:r w:rsidRPr="00D22E74">
              <w:rPr>
                <w:rFonts w:cs="Arial"/>
              </w:rPr>
              <w:t>Business Net Present Value</w:t>
            </w:r>
          </w:p>
        </w:tc>
        <w:tc>
          <w:tcPr>
            <w:tcW w:w="2551" w:type="dxa"/>
            <w:tcBorders>
              <w:top w:val="single" w:sz="4" w:space="0" w:color="auto"/>
              <w:bottom w:val="nil"/>
              <w:right w:val="single" w:sz="4" w:space="0" w:color="auto"/>
            </w:tcBorders>
            <w:shd w:val="clear" w:color="auto" w:fill="E0E0E0"/>
            <w:vAlign w:val="center"/>
          </w:tcPr>
          <w:p w14:paraId="480E6367" w14:textId="77777777" w:rsidR="0034672C" w:rsidRPr="00D22E74" w:rsidRDefault="0034672C" w:rsidP="0034672C">
            <w:pPr>
              <w:pStyle w:val="IATableLabel"/>
              <w:spacing w:before="0" w:after="0"/>
              <w:rPr>
                <w:rFonts w:cs="Arial"/>
              </w:rPr>
            </w:pPr>
            <w:r w:rsidRPr="00D22E74">
              <w:rPr>
                <w:rFonts w:cs="Arial"/>
              </w:rPr>
              <w:t xml:space="preserve">Net cost to business per year </w:t>
            </w:r>
            <w:r w:rsidRPr="00D22E74">
              <w:rPr>
                <w:rFonts w:cs="Arial"/>
                <w:b w:val="0"/>
              </w:rPr>
              <w:t>(</w:t>
            </w:r>
            <w:r w:rsidRPr="00D22E74">
              <w:rPr>
                <w:rFonts w:cs="Arial"/>
                <w:b w:val="0"/>
                <w:sz w:val="16"/>
                <w:szCs w:val="16"/>
              </w:rPr>
              <w:t>EANDCB in 2014 prices)</w:t>
            </w:r>
          </w:p>
        </w:tc>
        <w:tc>
          <w:tcPr>
            <w:tcW w:w="1559" w:type="dxa"/>
            <w:gridSpan w:val="2"/>
            <w:tcBorders>
              <w:top w:val="single" w:sz="4" w:space="0" w:color="auto"/>
              <w:left w:val="single" w:sz="4" w:space="0" w:color="auto"/>
              <w:bottom w:val="nil"/>
              <w:right w:val="single" w:sz="4" w:space="0" w:color="auto"/>
            </w:tcBorders>
            <w:shd w:val="clear" w:color="auto" w:fill="E0E0E0"/>
            <w:vAlign w:val="center"/>
          </w:tcPr>
          <w:p w14:paraId="6B08382A" w14:textId="77777777" w:rsidR="0034672C" w:rsidRPr="00D22E74" w:rsidRDefault="0034672C" w:rsidP="0034672C">
            <w:pPr>
              <w:pStyle w:val="IATableLabel"/>
              <w:spacing w:before="0" w:after="0"/>
              <w:rPr>
                <w:rFonts w:cs="Arial"/>
              </w:rPr>
            </w:pPr>
            <w:r w:rsidRPr="00D22E74">
              <w:rPr>
                <w:rFonts w:cs="Arial"/>
              </w:rPr>
              <w:t xml:space="preserve">One-In, </w:t>
            </w:r>
          </w:p>
          <w:p w14:paraId="355F839E" w14:textId="77777777" w:rsidR="0034672C" w:rsidRPr="00D22E74" w:rsidRDefault="0034672C" w:rsidP="0034672C">
            <w:pPr>
              <w:pStyle w:val="IATableLabel"/>
              <w:spacing w:before="0" w:after="0"/>
              <w:rPr>
                <w:rFonts w:cs="Arial"/>
              </w:rPr>
            </w:pPr>
            <w:r w:rsidRPr="00D22E74">
              <w:rPr>
                <w:rFonts w:cs="Arial"/>
              </w:rPr>
              <w:t>Three-Out</w:t>
            </w:r>
          </w:p>
        </w:tc>
        <w:tc>
          <w:tcPr>
            <w:tcW w:w="2831" w:type="dxa"/>
            <w:tcBorders>
              <w:top w:val="single" w:sz="4" w:space="0" w:color="auto"/>
              <w:left w:val="single" w:sz="4" w:space="0" w:color="auto"/>
              <w:bottom w:val="nil"/>
            </w:tcBorders>
            <w:shd w:val="clear" w:color="auto" w:fill="E0E0E0"/>
            <w:vAlign w:val="center"/>
          </w:tcPr>
          <w:p w14:paraId="2C490EA7" w14:textId="77777777" w:rsidR="0034672C" w:rsidRPr="00D22E74" w:rsidRDefault="0034672C" w:rsidP="0034672C">
            <w:pPr>
              <w:pStyle w:val="IATableLabel"/>
              <w:spacing w:before="0" w:after="0"/>
              <w:rPr>
                <w:rFonts w:cs="Arial"/>
              </w:rPr>
            </w:pPr>
            <w:r w:rsidRPr="00D22E74">
              <w:rPr>
                <w:rFonts w:cs="Arial"/>
              </w:rPr>
              <w:t>Business Impact Target       Status</w:t>
            </w:r>
          </w:p>
          <w:p w14:paraId="09C3F6BC" w14:textId="77777777" w:rsidR="0034672C" w:rsidRPr="00D22E74" w:rsidRDefault="0034672C" w:rsidP="0034672C">
            <w:pPr>
              <w:pStyle w:val="IATableLabel"/>
              <w:spacing w:before="0" w:after="0"/>
              <w:rPr>
                <w:rFonts w:cs="Arial"/>
              </w:rPr>
            </w:pPr>
          </w:p>
        </w:tc>
      </w:tr>
      <w:bookmarkStart w:id="7" w:name="IATNPV"/>
      <w:tr w:rsidR="0034672C" w:rsidRPr="00D22E74" w14:paraId="05D744F0" w14:textId="77777777" w:rsidTr="0034672C">
        <w:tblPrEx>
          <w:tblBorders>
            <w:insideV w:val="none" w:sz="0" w:space="0" w:color="auto"/>
          </w:tblBorders>
        </w:tblPrEx>
        <w:trPr>
          <w:gridAfter w:val="1"/>
          <w:wAfter w:w="9" w:type="dxa"/>
          <w:trHeight w:hRule="exact" w:val="340"/>
        </w:trPr>
        <w:tc>
          <w:tcPr>
            <w:tcW w:w="1706" w:type="dxa"/>
            <w:tcBorders>
              <w:top w:val="nil"/>
              <w:bottom w:val="single" w:sz="4" w:space="0" w:color="auto"/>
              <w:right w:val="single" w:sz="4" w:space="0" w:color="auto"/>
            </w:tcBorders>
            <w:shd w:val="clear" w:color="auto" w:fill="E0E0E0"/>
            <w:vAlign w:val="center"/>
          </w:tcPr>
          <w:p w14:paraId="6D80509D" w14:textId="77777777" w:rsidR="0034672C" w:rsidRPr="00D22E74" w:rsidRDefault="0034672C" w:rsidP="0034672C">
            <w:pPr>
              <w:pStyle w:val="IAIIOTNPV"/>
              <w:rPr>
                <w:rFonts w:cs="Arial"/>
              </w:rPr>
            </w:pPr>
            <w:r w:rsidRPr="00D22E74">
              <w:rPr>
                <w:rFonts w:cs="Arial"/>
              </w:rPr>
              <w:fldChar w:fldCharType="begin">
                <w:ffData>
                  <w:name w:val="IATNPV"/>
                  <w:enabled/>
                  <w:calcOnExit w:val="0"/>
                  <w:textInput>
                    <w:default w:val="£m"/>
                    <w:maxLength w:val="9"/>
                  </w:textInput>
                </w:ffData>
              </w:fldChar>
            </w:r>
            <w:r w:rsidRPr="00D22E74">
              <w:rPr>
                <w:rFonts w:cs="Arial"/>
              </w:rPr>
              <w:instrText xml:space="preserve"> FORMTEXT </w:instrText>
            </w:r>
            <w:r w:rsidRPr="00D22E74">
              <w:rPr>
                <w:rFonts w:cs="Arial"/>
              </w:rPr>
            </w:r>
            <w:r w:rsidRPr="00D22E74">
              <w:rPr>
                <w:rFonts w:cs="Arial"/>
              </w:rPr>
              <w:fldChar w:fldCharType="separate"/>
            </w:r>
            <w:r w:rsidRPr="00D22E74">
              <w:rPr>
                <w:rFonts w:cs="Arial"/>
              </w:rPr>
              <w:t>n/a</w:t>
            </w:r>
            <w:r w:rsidRPr="00D22E74">
              <w:rPr>
                <w:rFonts w:cs="Arial"/>
              </w:rPr>
              <w:fldChar w:fldCharType="end"/>
            </w:r>
            <w:bookmarkEnd w:id="7"/>
          </w:p>
        </w:tc>
        <w:bookmarkStart w:id="8" w:name="IABNPV"/>
        <w:tc>
          <w:tcPr>
            <w:tcW w:w="1560" w:type="dxa"/>
            <w:tcBorders>
              <w:top w:val="nil"/>
              <w:bottom w:val="single" w:sz="4" w:space="0" w:color="auto"/>
              <w:right w:val="single" w:sz="4" w:space="0" w:color="auto"/>
            </w:tcBorders>
            <w:shd w:val="clear" w:color="auto" w:fill="E0E0E0"/>
            <w:vAlign w:val="center"/>
          </w:tcPr>
          <w:p w14:paraId="6EA18CBF" w14:textId="77777777" w:rsidR="0034672C" w:rsidRPr="00D22E74" w:rsidRDefault="0034672C" w:rsidP="0034672C">
            <w:pPr>
              <w:pStyle w:val="IAIOBNPV"/>
              <w:rPr>
                <w:rFonts w:cs="Arial"/>
              </w:rPr>
            </w:pPr>
            <w:r w:rsidRPr="00D22E74">
              <w:rPr>
                <w:rFonts w:cs="Arial"/>
              </w:rPr>
              <w:fldChar w:fldCharType="begin">
                <w:ffData>
                  <w:name w:val="IABNPV"/>
                  <w:enabled/>
                  <w:calcOnExit w:val="0"/>
                  <w:textInput>
                    <w:default w:val="£m"/>
                    <w:maxLength w:val="9"/>
                  </w:textInput>
                </w:ffData>
              </w:fldChar>
            </w:r>
            <w:r w:rsidRPr="00D22E74">
              <w:rPr>
                <w:rFonts w:cs="Arial"/>
              </w:rPr>
              <w:instrText xml:space="preserve"> FORMTEXT </w:instrText>
            </w:r>
            <w:r w:rsidRPr="00D22E74">
              <w:rPr>
                <w:rFonts w:cs="Arial"/>
              </w:rPr>
            </w:r>
            <w:r w:rsidRPr="00D22E74">
              <w:rPr>
                <w:rFonts w:cs="Arial"/>
              </w:rPr>
              <w:fldChar w:fldCharType="separate"/>
            </w:r>
            <w:r w:rsidRPr="00D22E74">
              <w:rPr>
                <w:rFonts w:cs="Arial"/>
                <w:noProof/>
              </w:rPr>
              <w:t>n/a</w:t>
            </w:r>
            <w:r w:rsidRPr="00D22E74">
              <w:rPr>
                <w:rFonts w:cs="Arial"/>
              </w:rPr>
              <w:fldChar w:fldCharType="end"/>
            </w:r>
            <w:bookmarkEnd w:id="8"/>
          </w:p>
        </w:tc>
        <w:bookmarkStart w:id="9" w:name="IANCTBPY"/>
        <w:tc>
          <w:tcPr>
            <w:tcW w:w="2551" w:type="dxa"/>
            <w:tcBorders>
              <w:top w:val="nil"/>
              <w:bottom w:val="single" w:sz="4" w:space="0" w:color="auto"/>
              <w:right w:val="single" w:sz="4" w:space="0" w:color="auto"/>
            </w:tcBorders>
            <w:shd w:val="clear" w:color="auto" w:fill="E0E0E0"/>
            <w:vAlign w:val="center"/>
          </w:tcPr>
          <w:p w14:paraId="46A16303" w14:textId="77777777" w:rsidR="0034672C" w:rsidRPr="00D22E74" w:rsidRDefault="0034672C" w:rsidP="0034672C">
            <w:pPr>
              <w:pStyle w:val="IAIONCTBPY"/>
              <w:rPr>
                <w:rFonts w:cs="Arial"/>
              </w:rPr>
            </w:pPr>
            <w:r w:rsidRPr="00D22E74">
              <w:rPr>
                <w:rFonts w:cs="Arial"/>
              </w:rPr>
              <w:fldChar w:fldCharType="begin">
                <w:ffData>
                  <w:name w:val="IANCTBPY"/>
                  <w:enabled/>
                  <w:calcOnExit w:val="0"/>
                  <w:textInput>
                    <w:default w:val="£m"/>
                    <w:maxLength w:val="9"/>
                  </w:textInput>
                </w:ffData>
              </w:fldChar>
            </w:r>
            <w:r w:rsidRPr="00D22E74">
              <w:rPr>
                <w:rFonts w:cs="Arial"/>
              </w:rPr>
              <w:instrText xml:space="preserve"> FORMTEXT </w:instrText>
            </w:r>
            <w:r w:rsidRPr="00D22E74">
              <w:rPr>
                <w:rFonts w:cs="Arial"/>
              </w:rPr>
            </w:r>
            <w:r w:rsidRPr="00D22E74">
              <w:rPr>
                <w:rFonts w:cs="Arial"/>
              </w:rPr>
              <w:fldChar w:fldCharType="separate"/>
            </w:r>
            <w:r w:rsidRPr="00D22E74">
              <w:rPr>
                <w:rFonts w:cs="Arial"/>
                <w:noProof/>
              </w:rPr>
              <w:t>n/a</w:t>
            </w:r>
            <w:r w:rsidRPr="00D22E74">
              <w:rPr>
                <w:rFonts w:cs="Arial"/>
              </w:rPr>
              <w:fldChar w:fldCharType="end"/>
            </w:r>
            <w:bookmarkEnd w:id="9"/>
          </w:p>
        </w:tc>
        <w:tc>
          <w:tcPr>
            <w:tcW w:w="1559" w:type="dxa"/>
            <w:gridSpan w:val="2"/>
            <w:tcBorders>
              <w:top w:val="nil"/>
              <w:left w:val="single" w:sz="4" w:space="0" w:color="auto"/>
              <w:bottom w:val="single" w:sz="4" w:space="0" w:color="auto"/>
              <w:right w:val="single" w:sz="4" w:space="0" w:color="auto"/>
            </w:tcBorders>
            <w:shd w:val="clear" w:color="auto" w:fill="E0E0E0"/>
            <w:vAlign w:val="center"/>
          </w:tcPr>
          <w:p w14:paraId="38604C06" w14:textId="77777777" w:rsidR="0034672C" w:rsidRPr="00D22E74" w:rsidRDefault="0034672C" w:rsidP="0034672C">
            <w:pPr>
              <w:pStyle w:val="IAIOInScopeInOut"/>
              <w:ind w:left="0"/>
              <w:rPr>
                <w:rFonts w:cs="Arial"/>
              </w:rPr>
            </w:pPr>
            <w:r w:rsidRPr="00D22E74">
              <w:rPr>
                <w:rFonts w:cs="Arial"/>
              </w:rPr>
              <w:t xml:space="preserve"> N/A</w:t>
            </w:r>
          </w:p>
        </w:tc>
        <w:tc>
          <w:tcPr>
            <w:tcW w:w="2831" w:type="dxa"/>
            <w:tcBorders>
              <w:top w:val="nil"/>
              <w:left w:val="single" w:sz="4" w:space="0" w:color="auto"/>
              <w:bottom w:val="single" w:sz="4" w:space="0" w:color="auto"/>
            </w:tcBorders>
            <w:shd w:val="clear" w:color="auto" w:fill="E0E0E0"/>
            <w:vAlign w:val="center"/>
          </w:tcPr>
          <w:p w14:paraId="6151452A" w14:textId="77777777" w:rsidR="0034672C" w:rsidRPr="00D22E74" w:rsidRDefault="0034672C" w:rsidP="0034672C">
            <w:pPr>
              <w:pStyle w:val="IAIOPrefMQ"/>
              <w:rPr>
                <w:rFonts w:cs="Arial"/>
              </w:rPr>
            </w:pPr>
            <w:r w:rsidRPr="00D22E74">
              <w:rPr>
                <w:rFonts w:cs="Arial"/>
              </w:rPr>
              <w:t>Out of scope</w:t>
            </w:r>
          </w:p>
        </w:tc>
      </w:tr>
      <w:tr w:rsidR="0034672C" w:rsidRPr="00D22E74" w14:paraId="43D21B52" w14:textId="77777777" w:rsidTr="0034672C">
        <w:trPr>
          <w:gridAfter w:val="1"/>
          <w:wAfter w:w="9" w:type="dxa"/>
          <w:trHeight w:hRule="exact" w:val="2919"/>
        </w:trPr>
        <w:tc>
          <w:tcPr>
            <w:tcW w:w="10207" w:type="dxa"/>
            <w:gridSpan w:val="6"/>
            <w:tcBorders>
              <w:top w:val="single" w:sz="4" w:space="0" w:color="auto"/>
              <w:bottom w:val="single" w:sz="4" w:space="0" w:color="auto"/>
            </w:tcBorders>
          </w:tcPr>
          <w:p w14:paraId="2E7C5526" w14:textId="77777777" w:rsidR="0034672C" w:rsidRPr="00D22E74" w:rsidRDefault="0034672C" w:rsidP="0034672C">
            <w:pPr>
              <w:pStyle w:val="IAIOQ1"/>
              <w:rPr>
                <w:rFonts w:cs="Arial"/>
              </w:rPr>
            </w:pPr>
            <w:bookmarkStart w:id="10" w:name="Summary1"/>
            <w:r w:rsidRPr="00D22E74">
              <w:rPr>
                <w:rFonts w:cs="Arial"/>
              </w:rPr>
              <w:t>What is the problem under consideration? Why is government intervention necessary?</w:t>
            </w:r>
            <w:bookmarkEnd w:id="10"/>
          </w:p>
          <w:p w14:paraId="31BBE924" w14:textId="596B9D3B" w:rsidR="0034672C" w:rsidRDefault="003D61D5" w:rsidP="0034672C">
            <w:pPr>
              <w:pStyle w:val="IAIOQ1"/>
              <w:spacing w:before="0" w:after="0"/>
              <w:rPr>
                <w:rFonts w:cs="Arial"/>
                <w:b w:val="0"/>
              </w:rPr>
            </w:pPr>
            <w:r w:rsidRPr="003D61D5">
              <w:rPr>
                <w:rFonts w:cs="Arial"/>
                <w:b w:val="0"/>
              </w:rPr>
              <w:t>As part of necessary contingency planning</w:t>
            </w:r>
            <w:r w:rsidR="00962725">
              <w:rPr>
                <w:rFonts w:cs="Arial"/>
                <w:b w:val="0"/>
              </w:rPr>
              <w:t xml:space="preserve"> of leaving the EU</w:t>
            </w:r>
            <w:r w:rsidRPr="003D61D5">
              <w:rPr>
                <w:rFonts w:cs="Arial"/>
                <w:b w:val="0"/>
              </w:rPr>
              <w:t>, the UK will need to use the powers provided by the Withdrawal Act to</w:t>
            </w:r>
            <w:r w:rsidR="002F117E">
              <w:rPr>
                <w:rFonts w:cs="Arial"/>
                <w:b w:val="0"/>
              </w:rPr>
              <w:t xml:space="preserve"> implement</w:t>
            </w:r>
            <w:r w:rsidRPr="003D61D5">
              <w:rPr>
                <w:rFonts w:cs="Arial"/>
                <w:b w:val="0"/>
              </w:rPr>
              <w:t xml:space="preserve"> a workable chemicals </w:t>
            </w:r>
            <w:r w:rsidR="002F117E">
              <w:rPr>
                <w:rFonts w:cs="Arial"/>
                <w:b w:val="0"/>
              </w:rPr>
              <w:t xml:space="preserve">regulatory </w:t>
            </w:r>
            <w:r w:rsidRPr="003D61D5">
              <w:rPr>
                <w:rFonts w:cs="Arial"/>
                <w:b w:val="0"/>
              </w:rPr>
              <w:t xml:space="preserve">system.  </w:t>
            </w:r>
            <w:r w:rsidR="00962725" w:rsidRPr="00962725">
              <w:rPr>
                <w:rFonts w:cs="Arial"/>
                <w:b w:val="0"/>
              </w:rPr>
              <w:t xml:space="preserve">The SI would be necessary to </w:t>
            </w:r>
            <w:r w:rsidR="00B259B8">
              <w:rPr>
                <w:rFonts w:cs="Arial"/>
                <w:b w:val="0"/>
              </w:rPr>
              <w:t xml:space="preserve">provide </w:t>
            </w:r>
            <w:r w:rsidR="00962725" w:rsidRPr="00962725">
              <w:rPr>
                <w:rFonts w:cs="Arial"/>
                <w:b w:val="0"/>
              </w:rPr>
              <w:t>continue</w:t>
            </w:r>
            <w:r w:rsidR="00B259B8">
              <w:rPr>
                <w:rFonts w:cs="Arial"/>
                <w:b w:val="0"/>
              </w:rPr>
              <w:t>d</w:t>
            </w:r>
            <w:r w:rsidR="00962725" w:rsidRPr="00962725">
              <w:rPr>
                <w:rFonts w:cs="Arial"/>
                <w:b w:val="0"/>
              </w:rPr>
              <w:t xml:space="preserve"> legal certainty in regard to the requirements for placing chemicals on the UK market, </w:t>
            </w:r>
            <w:r w:rsidR="00896232">
              <w:rPr>
                <w:rFonts w:cs="Arial"/>
                <w:b w:val="0"/>
              </w:rPr>
              <w:t xml:space="preserve">ensure companies remain under a legal duty to ensure safe management of chemicals, and </w:t>
            </w:r>
            <w:r w:rsidR="00962725" w:rsidRPr="00962725">
              <w:rPr>
                <w:rFonts w:cs="Arial"/>
                <w:b w:val="0"/>
              </w:rPr>
              <w:t>to enable regulatory authorities to continue to respond to new and emerging risks, and to make sure that the most dangerous chemicals are still safely controlled</w:t>
            </w:r>
            <w:r w:rsidR="00962725">
              <w:rPr>
                <w:rFonts w:cs="Arial"/>
                <w:b w:val="0"/>
              </w:rPr>
              <w:t>.</w:t>
            </w:r>
          </w:p>
          <w:p w14:paraId="39E7DE42" w14:textId="3279979B" w:rsidR="00962725" w:rsidRDefault="00962725" w:rsidP="0034672C">
            <w:pPr>
              <w:pStyle w:val="IAIOQ1"/>
              <w:spacing w:before="0" w:after="0"/>
              <w:rPr>
                <w:rFonts w:eastAsia="Arial" w:cs="Arial"/>
              </w:rPr>
            </w:pPr>
          </w:p>
          <w:p w14:paraId="6545DA3C" w14:textId="385F9568" w:rsidR="00962725" w:rsidRPr="00D22E74" w:rsidRDefault="00962725" w:rsidP="0034672C">
            <w:pPr>
              <w:pStyle w:val="IAIOQ1"/>
              <w:spacing w:before="0" w:after="0"/>
              <w:rPr>
                <w:rFonts w:cs="Arial"/>
                <w:b w:val="0"/>
              </w:rPr>
            </w:pPr>
          </w:p>
        </w:tc>
      </w:tr>
    </w:tbl>
    <w:p w14:paraId="6E6EE55D" w14:textId="77777777" w:rsidR="0034672C" w:rsidRPr="00D22E74" w:rsidRDefault="0034672C" w:rsidP="0034672C">
      <w:pPr>
        <w:pStyle w:val="IASpacer"/>
        <w:rPr>
          <w:rFonts w:cs="Arial"/>
        </w:rPr>
      </w:pP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195"/>
      </w:tblGrid>
      <w:tr w:rsidR="0034672C" w:rsidRPr="00D22E74" w14:paraId="0238ACB9" w14:textId="77777777" w:rsidTr="003D61D5">
        <w:trPr>
          <w:trHeight w:hRule="exact" w:val="2466"/>
        </w:trPr>
        <w:tc>
          <w:tcPr>
            <w:tcW w:w="10214" w:type="dxa"/>
            <w:tcBorders>
              <w:top w:val="single" w:sz="4" w:space="0" w:color="auto"/>
              <w:bottom w:val="single" w:sz="4" w:space="0" w:color="auto"/>
            </w:tcBorders>
          </w:tcPr>
          <w:p w14:paraId="2F62130D" w14:textId="77777777" w:rsidR="0034672C" w:rsidRPr="00D22E74" w:rsidRDefault="0034672C" w:rsidP="0034672C">
            <w:pPr>
              <w:pStyle w:val="IAIOQ2"/>
              <w:spacing w:before="0" w:after="0"/>
              <w:rPr>
                <w:rFonts w:cs="Arial"/>
              </w:rPr>
            </w:pPr>
            <w:bookmarkStart w:id="11" w:name="Summary2"/>
            <w:r w:rsidRPr="00D22E74">
              <w:rPr>
                <w:rFonts w:cs="Arial"/>
              </w:rPr>
              <w:t>What are the policy objectives and the intended effects?</w:t>
            </w:r>
            <w:bookmarkEnd w:id="11"/>
          </w:p>
          <w:p w14:paraId="3EB3929F" w14:textId="376D1E5B" w:rsidR="003D61D5" w:rsidRPr="003D61D5" w:rsidRDefault="003D61D5" w:rsidP="003D61D5">
            <w:pPr>
              <w:pStyle w:val="IATableLines"/>
              <w:ind w:left="0"/>
              <w:rPr>
                <w:rFonts w:eastAsia="Times New Roman" w:cs="Arial"/>
                <w:spacing w:val="0"/>
                <w:sz w:val="20"/>
                <w:lang w:eastAsia="en-US"/>
              </w:rPr>
            </w:pPr>
            <w:r w:rsidRPr="003D61D5">
              <w:rPr>
                <w:rFonts w:eastAsia="Times New Roman" w:cs="Arial"/>
                <w:spacing w:val="0"/>
                <w:sz w:val="20"/>
                <w:lang w:eastAsia="en-US"/>
              </w:rPr>
              <w:t>To convert the existing EU REACH regulation into national law</w:t>
            </w:r>
            <w:r>
              <w:rPr>
                <w:rFonts w:eastAsia="Times New Roman" w:cs="Arial"/>
                <w:spacing w:val="0"/>
                <w:sz w:val="20"/>
                <w:lang w:eastAsia="en-US"/>
              </w:rPr>
              <w:t xml:space="preserve">. </w:t>
            </w:r>
            <w:r w:rsidRPr="003D61D5">
              <w:rPr>
                <w:rFonts w:eastAsia="Times New Roman" w:cs="Arial"/>
                <w:spacing w:val="0"/>
                <w:sz w:val="20"/>
                <w:lang w:eastAsia="en-US"/>
              </w:rPr>
              <w:t>This national regulatory regime would continue to support the Government’s objectives for chemicals policy:</w:t>
            </w:r>
          </w:p>
          <w:p w14:paraId="0A0CBEB9" w14:textId="77777777" w:rsidR="003D61D5" w:rsidRPr="003D61D5" w:rsidRDefault="003D61D5" w:rsidP="003D61D5">
            <w:pPr>
              <w:pStyle w:val="IATableLines"/>
              <w:numPr>
                <w:ilvl w:val="0"/>
                <w:numId w:val="9"/>
              </w:numPr>
              <w:rPr>
                <w:rFonts w:eastAsia="Times New Roman" w:cs="Arial"/>
                <w:spacing w:val="0"/>
                <w:sz w:val="20"/>
                <w:lang w:eastAsia="en-US"/>
              </w:rPr>
            </w:pPr>
            <w:r w:rsidRPr="003D61D5">
              <w:rPr>
                <w:rFonts w:eastAsia="Times New Roman" w:cs="Arial"/>
                <w:spacing w:val="0"/>
                <w:sz w:val="20"/>
                <w:lang w:eastAsia="en-US"/>
              </w:rPr>
              <w:t>To ensure a high level of protection of human health and the environment;</w:t>
            </w:r>
          </w:p>
          <w:p w14:paraId="25FD7455" w14:textId="77777777" w:rsidR="003D61D5" w:rsidRPr="003D61D5" w:rsidRDefault="003D61D5" w:rsidP="003D61D5">
            <w:pPr>
              <w:pStyle w:val="IATableLines"/>
              <w:numPr>
                <w:ilvl w:val="0"/>
                <w:numId w:val="9"/>
              </w:numPr>
              <w:rPr>
                <w:rFonts w:eastAsia="Times New Roman" w:cs="Arial"/>
                <w:spacing w:val="0"/>
                <w:sz w:val="20"/>
                <w:lang w:eastAsia="en-US"/>
              </w:rPr>
            </w:pPr>
            <w:r w:rsidRPr="003D61D5">
              <w:rPr>
                <w:rFonts w:eastAsia="Times New Roman" w:cs="Arial"/>
                <w:spacing w:val="0"/>
                <w:sz w:val="20"/>
                <w:lang w:eastAsia="en-US"/>
              </w:rPr>
              <w:t>To enhance the competitiveness and innovation of UK business;</w:t>
            </w:r>
          </w:p>
          <w:p w14:paraId="0764B268" w14:textId="77777777" w:rsidR="003D61D5" w:rsidRPr="003D61D5" w:rsidRDefault="003D61D5" w:rsidP="003D61D5">
            <w:pPr>
              <w:pStyle w:val="IATableLines"/>
              <w:numPr>
                <w:ilvl w:val="0"/>
                <w:numId w:val="9"/>
              </w:numPr>
              <w:rPr>
                <w:rFonts w:eastAsia="Times New Roman" w:cs="Arial"/>
                <w:spacing w:val="0"/>
                <w:sz w:val="20"/>
                <w:lang w:eastAsia="en-US"/>
              </w:rPr>
            </w:pPr>
            <w:r w:rsidRPr="003D61D5">
              <w:rPr>
                <w:rFonts w:eastAsia="Times New Roman" w:cs="Arial"/>
                <w:spacing w:val="0"/>
                <w:sz w:val="20"/>
                <w:lang w:eastAsia="en-US"/>
              </w:rPr>
              <w:t>To give businesses the duty to understand the hazards and potential risks of the chemicals they produce, place on the market and use, and to identify and apply appropriate risk management measures;</w:t>
            </w:r>
          </w:p>
          <w:p w14:paraId="3D1CE4DF" w14:textId="77777777" w:rsidR="003D61D5" w:rsidRPr="003D61D5" w:rsidRDefault="003D61D5" w:rsidP="003D61D5">
            <w:pPr>
              <w:pStyle w:val="IATableLines"/>
              <w:numPr>
                <w:ilvl w:val="0"/>
                <w:numId w:val="9"/>
              </w:numPr>
              <w:rPr>
                <w:rFonts w:eastAsia="Times New Roman" w:cs="Arial"/>
                <w:spacing w:val="0"/>
                <w:sz w:val="20"/>
                <w:lang w:eastAsia="en-US"/>
              </w:rPr>
            </w:pPr>
            <w:r w:rsidRPr="003D61D5">
              <w:rPr>
                <w:rFonts w:eastAsia="Times New Roman" w:cs="Arial"/>
                <w:spacing w:val="0"/>
                <w:sz w:val="20"/>
                <w:lang w:eastAsia="en-US"/>
              </w:rPr>
              <w:t>To ensure that UK Government can respond to new and emerging risks from chemicals and that regulatory decisions are proportionate and based on scientific assessment of hazard and risk.</w:t>
            </w:r>
          </w:p>
          <w:p w14:paraId="6AD82CB9" w14:textId="77777777" w:rsidR="0034672C" w:rsidRPr="00D22E74" w:rsidRDefault="0034672C" w:rsidP="0034672C">
            <w:pPr>
              <w:pStyle w:val="IATableLines"/>
              <w:ind w:left="0"/>
              <w:rPr>
                <w:rFonts w:cs="Arial"/>
                <w:b/>
              </w:rPr>
            </w:pPr>
          </w:p>
        </w:tc>
      </w:tr>
    </w:tbl>
    <w:p w14:paraId="5346DDE4" w14:textId="77777777" w:rsidR="0034672C" w:rsidRPr="00D22E74" w:rsidRDefault="0034672C" w:rsidP="0034672C">
      <w:pPr>
        <w:pStyle w:val="IASpacer"/>
        <w:rPr>
          <w:rFonts w:cs="Arial"/>
        </w:rPr>
      </w:pP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195"/>
      </w:tblGrid>
      <w:tr w:rsidR="0034672C" w:rsidRPr="00D22E74" w14:paraId="59D26EBD" w14:textId="77777777" w:rsidTr="003D61D5">
        <w:trPr>
          <w:trHeight w:hRule="exact" w:val="2339"/>
        </w:trPr>
        <w:tc>
          <w:tcPr>
            <w:tcW w:w="9648" w:type="dxa"/>
            <w:tcBorders>
              <w:top w:val="single" w:sz="4" w:space="0" w:color="auto"/>
              <w:bottom w:val="single" w:sz="4" w:space="0" w:color="auto"/>
            </w:tcBorders>
          </w:tcPr>
          <w:p w14:paraId="60BB65DF" w14:textId="77777777" w:rsidR="0034672C" w:rsidRPr="00D22E74" w:rsidRDefault="0034672C" w:rsidP="0034672C">
            <w:pPr>
              <w:pStyle w:val="IAIOQ3"/>
              <w:rPr>
                <w:rFonts w:cs="Arial"/>
              </w:rPr>
            </w:pPr>
            <w:bookmarkStart w:id="12" w:name="IAIOQ3"/>
            <w:bookmarkStart w:id="13" w:name="Summary3"/>
            <w:r w:rsidRPr="00D22E74">
              <w:rPr>
                <w:rFonts w:cs="Arial"/>
              </w:rPr>
              <w:t>What policy options have been considered, including any alternatives to regulation? Please justify preferred option (further details in Evidence Base)</w:t>
            </w:r>
            <w:bookmarkEnd w:id="12"/>
          </w:p>
          <w:p w14:paraId="103FF807" w14:textId="77777777" w:rsidR="0034672C" w:rsidRPr="00D22E74" w:rsidRDefault="0034672C" w:rsidP="0034672C">
            <w:pPr>
              <w:pStyle w:val="IAIOQ3"/>
              <w:spacing w:before="0" w:after="0"/>
              <w:ind w:left="0"/>
              <w:rPr>
                <w:rFonts w:cs="Arial"/>
                <w:b w:val="0"/>
              </w:rPr>
            </w:pPr>
          </w:p>
          <w:p w14:paraId="537CB168" w14:textId="37846AD0" w:rsidR="0034672C" w:rsidRPr="00D22E74" w:rsidRDefault="0034672C" w:rsidP="0034672C">
            <w:pPr>
              <w:pStyle w:val="IAIOQ3"/>
              <w:rPr>
                <w:rFonts w:cs="Arial"/>
                <w:b w:val="0"/>
              </w:rPr>
            </w:pPr>
            <w:r w:rsidRPr="00D22E74">
              <w:rPr>
                <w:rFonts w:cs="Arial"/>
                <w:b w:val="0"/>
              </w:rPr>
              <w:t xml:space="preserve">This policy has been developed by </w:t>
            </w:r>
            <w:r w:rsidR="006849B4">
              <w:rPr>
                <w:rFonts w:cs="Arial"/>
                <w:b w:val="0"/>
              </w:rPr>
              <w:t xml:space="preserve">following the provisions in </w:t>
            </w:r>
            <w:r w:rsidRPr="00D22E74">
              <w:rPr>
                <w:rFonts w:cs="Arial"/>
                <w:b w:val="0"/>
              </w:rPr>
              <w:t xml:space="preserve">the European Union (Withdrawal) </w:t>
            </w:r>
            <w:r>
              <w:rPr>
                <w:rFonts w:cs="Arial"/>
                <w:b w:val="0"/>
              </w:rPr>
              <w:t>Act</w:t>
            </w:r>
            <w:r w:rsidRPr="00D22E74">
              <w:rPr>
                <w:rFonts w:cs="Arial"/>
                <w:b w:val="0"/>
              </w:rPr>
              <w:t xml:space="preserve"> to bring existing EU laws into UK law </w:t>
            </w:r>
            <w:r w:rsidR="006849B4">
              <w:rPr>
                <w:rFonts w:cs="Arial"/>
                <w:b w:val="0"/>
              </w:rPr>
              <w:t xml:space="preserve">without changing the underlying policy </w:t>
            </w:r>
            <w:r w:rsidRPr="00D22E74">
              <w:rPr>
                <w:rFonts w:cs="Arial"/>
                <w:b w:val="0"/>
              </w:rPr>
              <w:t>to ensure a smooth transition</w:t>
            </w:r>
            <w:r w:rsidR="006849B4">
              <w:rPr>
                <w:rFonts w:cs="Arial"/>
                <w:b w:val="0"/>
              </w:rPr>
              <w:t>,</w:t>
            </w:r>
            <w:r w:rsidRPr="00D22E74">
              <w:rPr>
                <w:rFonts w:cs="Arial"/>
                <w:b w:val="0"/>
              </w:rPr>
              <w:t xml:space="preserve"> while addressing </w:t>
            </w:r>
            <w:r>
              <w:rPr>
                <w:rFonts w:cs="Arial"/>
                <w:b w:val="0"/>
              </w:rPr>
              <w:t>legislative inoperabilities</w:t>
            </w:r>
            <w:r w:rsidRPr="00D22E74">
              <w:rPr>
                <w:rFonts w:cs="Arial"/>
                <w:b w:val="0"/>
              </w:rPr>
              <w:t xml:space="preserve"> arising from the </w:t>
            </w:r>
            <w:r>
              <w:rPr>
                <w:rFonts w:cs="Arial"/>
                <w:b w:val="0"/>
              </w:rPr>
              <w:t xml:space="preserve">need to </w:t>
            </w:r>
            <w:r w:rsidR="006849B4">
              <w:rPr>
                <w:rFonts w:cs="Arial"/>
                <w:b w:val="0"/>
              </w:rPr>
              <w:t xml:space="preserve">apply </w:t>
            </w:r>
            <w:r w:rsidRPr="00D22E74">
              <w:rPr>
                <w:rFonts w:cs="Arial"/>
                <w:b w:val="0"/>
              </w:rPr>
              <w:t xml:space="preserve">pan-EU </w:t>
            </w:r>
            <w:r>
              <w:rPr>
                <w:rFonts w:cs="Arial"/>
                <w:b w:val="0"/>
              </w:rPr>
              <w:t>processes in a UK-only</w:t>
            </w:r>
            <w:r w:rsidRPr="00D22E74">
              <w:rPr>
                <w:rFonts w:cs="Arial"/>
                <w:b w:val="0"/>
              </w:rPr>
              <w:t xml:space="preserve"> context.</w:t>
            </w:r>
          </w:p>
          <w:p w14:paraId="7E2E85DD" w14:textId="77777777" w:rsidR="0034672C" w:rsidRPr="00D22E74" w:rsidRDefault="0034672C" w:rsidP="0034672C">
            <w:pPr>
              <w:pStyle w:val="IAIOQ3"/>
              <w:spacing w:before="0" w:after="0"/>
              <w:ind w:left="0"/>
              <w:rPr>
                <w:rFonts w:cs="Arial"/>
                <w:b w:val="0"/>
              </w:rPr>
            </w:pPr>
          </w:p>
        </w:tc>
      </w:tr>
    </w:tbl>
    <w:p w14:paraId="78EF2CFC" w14:textId="77777777" w:rsidR="0034672C" w:rsidRPr="00D22E74" w:rsidRDefault="0034672C" w:rsidP="0034672C">
      <w:pPr>
        <w:pStyle w:val="IASpacer2"/>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0195"/>
      </w:tblGrid>
      <w:tr w:rsidR="0034672C" w:rsidRPr="00D22E74" w14:paraId="62110C37" w14:textId="77777777" w:rsidTr="0034672C">
        <w:tc>
          <w:tcPr>
            <w:tcW w:w="5000" w:type="pct"/>
          </w:tcPr>
          <w:p w14:paraId="0A9DC812" w14:textId="5CFA9697" w:rsidR="0034672C" w:rsidRPr="00D22E74" w:rsidRDefault="0034672C" w:rsidP="0034672C">
            <w:pPr>
              <w:pStyle w:val="IATableLabel"/>
              <w:rPr>
                <w:rFonts w:cs="Arial"/>
                <w:b w:val="0"/>
                <w:sz w:val="22"/>
                <w:szCs w:val="22"/>
              </w:rPr>
            </w:pPr>
            <w:r w:rsidRPr="00D22E74">
              <w:rPr>
                <w:rFonts w:cs="Arial"/>
              </w:rPr>
              <w:t xml:space="preserve">Will the policy be reviewed?  </w:t>
            </w:r>
            <w:r w:rsidRPr="00D22E74">
              <w:rPr>
                <w:rFonts w:cs="Arial"/>
                <w:b w:val="0"/>
              </w:rPr>
              <w:t xml:space="preserve">It </w:t>
            </w:r>
            <w:r w:rsidR="0058630F" w:rsidRPr="0058630F">
              <w:rPr>
                <w:rStyle w:val="IAIOPolicyReviewChar"/>
                <w:rFonts w:cs="Arial"/>
                <w:b w:val="0"/>
              </w:rPr>
              <w:t>will</w:t>
            </w:r>
            <w:r w:rsidRPr="00D22E74">
              <w:rPr>
                <w:rFonts w:cs="Arial"/>
                <w:b w:val="0"/>
              </w:rPr>
              <w:t xml:space="preserve"> not be reviewed.</w:t>
            </w:r>
            <w:r w:rsidRPr="00D22E74">
              <w:rPr>
                <w:rFonts w:cs="Arial"/>
              </w:rPr>
              <w:t xml:space="preserve"> </w:t>
            </w:r>
            <w:r w:rsidRPr="00D22E74">
              <w:rPr>
                <w:rFonts w:cs="Arial"/>
                <w:b w:val="0"/>
              </w:rPr>
              <w:t xml:space="preserve">The European Union (Withdrawal) </w:t>
            </w:r>
            <w:r>
              <w:rPr>
                <w:rFonts w:cs="Arial"/>
                <w:b w:val="0"/>
              </w:rPr>
              <w:t>Act</w:t>
            </w:r>
            <w:r w:rsidRPr="00D22E74">
              <w:rPr>
                <w:rFonts w:cs="Arial"/>
                <w:b w:val="0"/>
              </w:rPr>
              <w:t xml:space="preserve"> has </w:t>
            </w:r>
            <w:r>
              <w:rPr>
                <w:rFonts w:cs="Arial"/>
                <w:b w:val="0"/>
              </w:rPr>
              <w:t>relieved</w:t>
            </w:r>
            <w:r w:rsidRPr="00D22E74">
              <w:rPr>
                <w:rFonts w:cs="Arial"/>
                <w:b w:val="0"/>
              </w:rPr>
              <w:t xml:space="preserve"> the requirement for PIRs of the statutory instruments that are brought forward under the </w:t>
            </w:r>
            <w:r>
              <w:rPr>
                <w:rFonts w:cs="Arial"/>
                <w:b w:val="0"/>
              </w:rPr>
              <w:t>Act</w:t>
            </w:r>
          </w:p>
        </w:tc>
      </w:tr>
    </w:tbl>
    <w:p w14:paraId="430E843B" w14:textId="77777777" w:rsidR="0034672C" w:rsidRPr="00D22E74" w:rsidRDefault="0034672C" w:rsidP="0034672C">
      <w:pPr>
        <w:rPr>
          <w:rFonts w:cs="Arial"/>
          <w:vanish/>
        </w:rPr>
      </w:pPr>
      <w:bookmarkStart w:id="14" w:name="Summary4"/>
      <w:bookmarkEnd w:id="13"/>
    </w:p>
    <w:tbl>
      <w:tblPr>
        <w:tblW w:w="499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257"/>
        <w:gridCol w:w="981"/>
        <w:gridCol w:w="981"/>
        <w:gridCol w:w="347"/>
        <w:gridCol w:w="634"/>
        <w:gridCol w:w="981"/>
      </w:tblGrid>
      <w:tr w:rsidR="0034672C" w:rsidRPr="00D22E74" w14:paraId="10502B1C" w14:textId="77777777" w:rsidTr="0034672C">
        <w:trPr>
          <w:trHeight w:hRule="exact" w:val="340"/>
        </w:trPr>
        <w:tc>
          <w:tcPr>
            <w:tcW w:w="7252" w:type="dxa"/>
            <w:gridSpan w:val="2"/>
            <w:shd w:val="clear" w:color="auto" w:fill="E0E0E0"/>
            <w:vAlign w:val="center"/>
          </w:tcPr>
          <w:p w14:paraId="1EF394A4" w14:textId="77777777" w:rsidR="0034672C" w:rsidRPr="00D22E74" w:rsidRDefault="0034672C" w:rsidP="0034672C">
            <w:pPr>
              <w:pStyle w:val="IATableText"/>
              <w:spacing w:before="0" w:after="0"/>
              <w:rPr>
                <w:rFonts w:cs="Arial"/>
                <w:sz w:val="20"/>
              </w:rPr>
            </w:pPr>
            <w:r w:rsidRPr="00D22E74">
              <w:rPr>
                <w:rFonts w:cs="Arial"/>
                <w:iCs/>
                <w:sz w:val="20"/>
              </w:rPr>
              <w:t>Does implementation go beyond minimum EU requirements?</w:t>
            </w:r>
          </w:p>
        </w:tc>
        <w:tc>
          <w:tcPr>
            <w:tcW w:w="2949" w:type="dxa"/>
            <w:gridSpan w:val="4"/>
            <w:shd w:val="clear" w:color="auto" w:fill="E0E0E0"/>
            <w:vAlign w:val="center"/>
          </w:tcPr>
          <w:p w14:paraId="019A1CD1" w14:textId="77777777" w:rsidR="0034672C" w:rsidRPr="00D22E74" w:rsidRDefault="0034672C" w:rsidP="0034672C">
            <w:pPr>
              <w:pStyle w:val="IAIOCheckEU"/>
              <w:rPr>
                <w:rFonts w:cs="Arial"/>
              </w:rPr>
            </w:pPr>
            <w:r w:rsidRPr="00D22E74">
              <w:rPr>
                <w:rFonts w:cs="Arial"/>
              </w:rPr>
              <w:t xml:space="preserve">   N/a</w:t>
            </w:r>
          </w:p>
        </w:tc>
      </w:tr>
      <w:tr w:rsidR="0034672C" w:rsidRPr="00D22E74" w14:paraId="12066BEC" w14:textId="77777777" w:rsidTr="0034672C">
        <w:trPr>
          <w:trHeight w:val="460"/>
        </w:trPr>
        <w:tc>
          <w:tcPr>
            <w:tcW w:w="6269" w:type="dxa"/>
            <w:shd w:val="clear" w:color="auto" w:fill="E0E0E0"/>
            <w:vAlign w:val="center"/>
          </w:tcPr>
          <w:p w14:paraId="6E9298F4" w14:textId="77777777" w:rsidR="0034672C" w:rsidRPr="00D22E74" w:rsidRDefault="0034672C" w:rsidP="0034672C">
            <w:pPr>
              <w:pStyle w:val="IATableLines"/>
              <w:rPr>
                <w:rFonts w:cs="Arial"/>
                <w:b/>
                <w:color w:val="000000"/>
                <w:sz w:val="20"/>
              </w:rPr>
            </w:pPr>
            <w:r w:rsidRPr="00D22E74">
              <w:rPr>
                <w:rFonts w:cs="Arial"/>
                <w:sz w:val="20"/>
              </w:rPr>
              <w:t>Are any of these organisations in scope?</w:t>
            </w:r>
          </w:p>
        </w:tc>
        <w:tc>
          <w:tcPr>
            <w:tcW w:w="983" w:type="dxa"/>
            <w:shd w:val="clear" w:color="auto" w:fill="E0E0E0"/>
            <w:vAlign w:val="center"/>
          </w:tcPr>
          <w:p w14:paraId="0902AE6F" w14:textId="77777777" w:rsidR="0034672C" w:rsidRPr="00D22E74" w:rsidRDefault="0034672C" w:rsidP="0034672C">
            <w:pPr>
              <w:pStyle w:val="IATableLines"/>
              <w:rPr>
                <w:rFonts w:cs="Arial"/>
                <w:b/>
                <w:color w:val="000000"/>
                <w:sz w:val="20"/>
              </w:rPr>
            </w:pPr>
            <w:r w:rsidRPr="00D22E74">
              <w:rPr>
                <w:rFonts w:cs="Arial"/>
                <w:b/>
                <w:color w:val="000000"/>
                <w:sz w:val="20"/>
              </w:rPr>
              <w:t>Micro</w:t>
            </w:r>
          </w:p>
          <w:p w14:paraId="46EA95D7" w14:textId="77777777" w:rsidR="0034672C" w:rsidRPr="00D22E74" w:rsidRDefault="0034672C" w:rsidP="0034672C">
            <w:pPr>
              <w:pStyle w:val="IATableLines"/>
              <w:rPr>
                <w:rFonts w:cs="Arial"/>
                <w:b/>
                <w:color w:val="000000"/>
                <w:sz w:val="20"/>
              </w:rPr>
            </w:pPr>
            <w:r w:rsidRPr="00D22E74">
              <w:rPr>
                <w:rStyle w:val="IAIOCheckMicroChar"/>
                <w:rFonts w:cs="Arial"/>
              </w:rPr>
              <w:t>Yes</w:t>
            </w:r>
          </w:p>
        </w:tc>
        <w:tc>
          <w:tcPr>
            <w:tcW w:w="983" w:type="dxa"/>
            <w:shd w:val="clear" w:color="auto" w:fill="E0E0E0"/>
            <w:vAlign w:val="center"/>
          </w:tcPr>
          <w:p w14:paraId="308337D1" w14:textId="77777777" w:rsidR="0034672C" w:rsidRPr="00D22E74" w:rsidRDefault="0034672C" w:rsidP="0034672C">
            <w:pPr>
              <w:pStyle w:val="IATableLines"/>
              <w:rPr>
                <w:rFonts w:cs="Arial"/>
                <w:b/>
                <w:color w:val="000000"/>
                <w:sz w:val="20"/>
              </w:rPr>
            </w:pPr>
            <w:r w:rsidRPr="00D22E74">
              <w:rPr>
                <w:rFonts w:cs="Arial"/>
                <w:b/>
                <w:color w:val="000000"/>
                <w:sz w:val="20"/>
              </w:rPr>
              <w:t>Small</w:t>
            </w:r>
          </w:p>
          <w:p w14:paraId="3501172E" w14:textId="77777777" w:rsidR="0034672C" w:rsidRPr="00D22E74" w:rsidRDefault="0034672C" w:rsidP="0034672C">
            <w:pPr>
              <w:pStyle w:val="IATableLines"/>
              <w:rPr>
                <w:rFonts w:cs="Arial"/>
                <w:b/>
                <w:color w:val="000000"/>
                <w:sz w:val="20"/>
              </w:rPr>
            </w:pPr>
            <w:r w:rsidRPr="00D22E74">
              <w:rPr>
                <w:rStyle w:val="IAIOCheckSmallChar"/>
                <w:rFonts w:cs="Arial"/>
              </w:rPr>
              <w:t>Yes</w:t>
            </w:r>
          </w:p>
        </w:tc>
        <w:tc>
          <w:tcPr>
            <w:tcW w:w="983" w:type="dxa"/>
            <w:gridSpan w:val="2"/>
            <w:shd w:val="clear" w:color="auto" w:fill="E0E0E0"/>
            <w:vAlign w:val="center"/>
          </w:tcPr>
          <w:p w14:paraId="05E319C7" w14:textId="77777777" w:rsidR="0034672C" w:rsidRPr="00D22E74" w:rsidRDefault="0034672C" w:rsidP="0034672C">
            <w:pPr>
              <w:pStyle w:val="IATableLines"/>
              <w:rPr>
                <w:rFonts w:cs="Arial"/>
                <w:b/>
                <w:color w:val="000000"/>
                <w:sz w:val="20"/>
              </w:rPr>
            </w:pPr>
            <w:r w:rsidRPr="00D22E74">
              <w:rPr>
                <w:rFonts w:cs="Arial"/>
                <w:b/>
                <w:color w:val="000000"/>
                <w:sz w:val="20"/>
              </w:rPr>
              <w:t>Medium</w:t>
            </w:r>
          </w:p>
          <w:p w14:paraId="7460A781" w14:textId="77777777" w:rsidR="0034672C" w:rsidRPr="00D22E74" w:rsidRDefault="0034672C" w:rsidP="0034672C">
            <w:pPr>
              <w:pStyle w:val="IATableLines"/>
              <w:rPr>
                <w:rFonts w:cs="Arial"/>
                <w:b/>
                <w:color w:val="000000"/>
                <w:sz w:val="20"/>
              </w:rPr>
            </w:pPr>
            <w:r w:rsidRPr="00D22E74">
              <w:rPr>
                <w:rStyle w:val="IAIOCheckMediumChar"/>
                <w:rFonts w:cs="Arial"/>
              </w:rPr>
              <w:t>Yes</w:t>
            </w:r>
          </w:p>
        </w:tc>
        <w:tc>
          <w:tcPr>
            <w:tcW w:w="983" w:type="dxa"/>
            <w:shd w:val="clear" w:color="auto" w:fill="E0E0E0"/>
            <w:vAlign w:val="center"/>
          </w:tcPr>
          <w:p w14:paraId="3B06F341" w14:textId="77777777" w:rsidR="0034672C" w:rsidRPr="00D22E74" w:rsidRDefault="0034672C" w:rsidP="0034672C">
            <w:pPr>
              <w:pStyle w:val="IATableLines"/>
              <w:rPr>
                <w:rFonts w:cs="Arial"/>
                <w:b/>
                <w:color w:val="000000"/>
                <w:sz w:val="20"/>
              </w:rPr>
            </w:pPr>
            <w:r w:rsidRPr="00D22E74">
              <w:rPr>
                <w:rFonts w:cs="Arial"/>
                <w:b/>
                <w:color w:val="000000"/>
                <w:sz w:val="20"/>
              </w:rPr>
              <w:t>Large</w:t>
            </w:r>
          </w:p>
          <w:p w14:paraId="14AED3F7" w14:textId="77777777" w:rsidR="0034672C" w:rsidRPr="00D22E74" w:rsidRDefault="0034672C" w:rsidP="0034672C">
            <w:pPr>
              <w:pStyle w:val="IATableLines"/>
              <w:rPr>
                <w:rFonts w:cs="Arial"/>
                <w:b/>
                <w:color w:val="000000"/>
                <w:sz w:val="20"/>
              </w:rPr>
            </w:pPr>
            <w:r w:rsidRPr="00D22E74">
              <w:rPr>
                <w:rStyle w:val="IAIOCheckLargeChar"/>
                <w:rFonts w:cs="Arial"/>
              </w:rPr>
              <w:t>Yes</w:t>
            </w:r>
          </w:p>
        </w:tc>
      </w:tr>
      <w:tr w:rsidR="0034672C" w:rsidRPr="00D22E74" w14:paraId="7D887F7D" w14:textId="77777777" w:rsidTr="0034672C">
        <w:trPr>
          <w:trHeight w:hRule="exact" w:val="567"/>
        </w:trPr>
        <w:tc>
          <w:tcPr>
            <w:tcW w:w="7252" w:type="dxa"/>
            <w:gridSpan w:val="2"/>
            <w:shd w:val="clear" w:color="auto" w:fill="E0E0E0"/>
            <w:vAlign w:val="center"/>
          </w:tcPr>
          <w:p w14:paraId="1B66F143" w14:textId="77777777" w:rsidR="0034672C" w:rsidRPr="00D22E74" w:rsidRDefault="0034672C" w:rsidP="0034672C">
            <w:pPr>
              <w:pStyle w:val="IATableText"/>
              <w:spacing w:before="0" w:after="0"/>
              <w:rPr>
                <w:rFonts w:eastAsia="Times New Roman" w:cs="Arial"/>
                <w:sz w:val="16"/>
                <w:szCs w:val="16"/>
              </w:rPr>
            </w:pPr>
            <w:r w:rsidRPr="00D22E74">
              <w:rPr>
                <w:rFonts w:cs="Arial"/>
                <w:sz w:val="20"/>
              </w:rPr>
              <w:t>What is the CO</w:t>
            </w:r>
            <w:r w:rsidRPr="00D22E74">
              <w:rPr>
                <w:rFonts w:cs="Arial"/>
                <w:sz w:val="20"/>
                <w:vertAlign w:val="subscript"/>
              </w:rPr>
              <w:t>2</w:t>
            </w:r>
            <w:r w:rsidRPr="00D22E74">
              <w:rPr>
                <w:rFonts w:cs="Arial"/>
                <w:sz w:val="20"/>
              </w:rPr>
              <w:t xml:space="preserve"> equivalent change in greenhouse gas emissions? </w:t>
            </w:r>
            <w:r w:rsidRPr="00D22E74">
              <w:rPr>
                <w:rFonts w:cs="Arial"/>
                <w:sz w:val="20"/>
              </w:rPr>
              <w:br/>
              <w:t>(Million tonnes CO</w:t>
            </w:r>
            <w:r w:rsidRPr="00D22E74">
              <w:rPr>
                <w:rFonts w:cs="Arial"/>
                <w:sz w:val="20"/>
                <w:vertAlign w:val="subscript"/>
              </w:rPr>
              <w:t>2</w:t>
            </w:r>
            <w:r w:rsidRPr="00D22E74">
              <w:rPr>
                <w:rFonts w:cs="Arial"/>
                <w:sz w:val="20"/>
              </w:rPr>
              <w:t xml:space="preserve"> equivalent)</w:t>
            </w:r>
            <w:r w:rsidRPr="00D22E74">
              <w:rPr>
                <w:rFonts w:cs="Arial"/>
                <w:spacing w:val="0"/>
                <w:sz w:val="18"/>
              </w:rPr>
              <w:t xml:space="preserve">  </w:t>
            </w:r>
          </w:p>
        </w:tc>
        <w:tc>
          <w:tcPr>
            <w:tcW w:w="1331" w:type="dxa"/>
            <w:gridSpan w:val="2"/>
            <w:shd w:val="clear" w:color="auto" w:fill="E0E0E0"/>
          </w:tcPr>
          <w:p w14:paraId="5742577A" w14:textId="10789049" w:rsidR="0034672C" w:rsidRPr="00D22E74" w:rsidRDefault="0034672C" w:rsidP="00424D02">
            <w:pPr>
              <w:pStyle w:val="IATableLabel"/>
              <w:rPr>
                <w:rFonts w:cs="Arial"/>
              </w:rPr>
            </w:pPr>
            <w:r w:rsidRPr="00D22E74">
              <w:rPr>
                <w:rFonts w:cs="Arial"/>
              </w:rPr>
              <w:t xml:space="preserve">Traded:   </w:t>
            </w:r>
            <w:r w:rsidRPr="00D22E74">
              <w:rPr>
                <w:rFonts w:cs="Arial"/>
              </w:rPr>
              <w:br/>
            </w:r>
            <w:r w:rsidRPr="00D22E74">
              <w:rPr>
                <w:rStyle w:val="IAIOCO2TradedChar"/>
                <w:rFonts w:cs="Arial"/>
              </w:rPr>
              <w:t>NA</w:t>
            </w:r>
          </w:p>
        </w:tc>
        <w:tc>
          <w:tcPr>
            <w:tcW w:w="1618" w:type="dxa"/>
            <w:gridSpan w:val="2"/>
            <w:shd w:val="clear" w:color="auto" w:fill="E0E0E0"/>
          </w:tcPr>
          <w:p w14:paraId="2722CFBE" w14:textId="268E62D4" w:rsidR="0034672C" w:rsidRPr="00D22E74" w:rsidRDefault="0034672C" w:rsidP="00424D02">
            <w:pPr>
              <w:pStyle w:val="IATableLabel"/>
              <w:rPr>
                <w:rFonts w:cs="Arial"/>
              </w:rPr>
            </w:pPr>
            <w:r w:rsidRPr="00D22E74">
              <w:rPr>
                <w:rFonts w:cs="Arial"/>
              </w:rPr>
              <w:t xml:space="preserve">Non-traded:   </w:t>
            </w:r>
            <w:r w:rsidRPr="00D22E74">
              <w:rPr>
                <w:rFonts w:cs="Arial"/>
              </w:rPr>
              <w:br/>
            </w:r>
            <w:r w:rsidRPr="00D22E74">
              <w:rPr>
                <w:rStyle w:val="IAIOCO2TradedChar"/>
                <w:rFonts w:cs="Arial"/>
              </w:rPr>
              <w:t>NA</w:t>
            </w:r>
          </w:p>
        </w:tc>
      </w:tr>
    </w:tbl>
    <w:p w14:paraId="788FEBF2" w14:textId="77777777" w:rsidR="0034672C" w:rsidRPr="00D22E74" w:rsidRDefault="0034672C" w:rsidP="0034672C">
      <w:pPr>
        <w:pStyle w:val="IASign-off"/>
        <w:rPr>
          <w:rFonts w:cs="Arial"/>
          <w:sz w:val="20"/>
        </w:rPr>
      </w:pPr>
      <w:bookmarkStart w:id="15" w:name="SignOfftext"/>
      <w:bookmarkEnd w:id="14"/>
      <w:r w:rsidRPr="00D22E74">
        <w:rPr>
          <w:rFonts w:cs="Arial"/>
          <w:sz w:val="20"/>
        </w:rPr>
        <w:t>I have read the Impact Assessment and I am satisfied that, given the available evidence, it represents a reasonable view of the likely costs, benefits and impact of the leading options.</w:t>
      </w:r>
    </w:p>
    <w:tbl>
      <w:tblPr>
        <w:tblW w:w="5000" w:type="pct"/>
        <w:tblLayout w:type="fixed"/>
        <w:tblCellMar>
          <w:left w:w="0" w:type="dxa"/>
          <w:right w:w="0" w:type="dxa"/>
        </w:tblCellMar>
        <w:tblLook w:val="0000" w:firstRow="0" w:lastRow="0" w:firstColumn="0" w:lastColumn="0" w:noHBand="0" w:noVBand="0"/>
      </w:tblPr>
      <w:tblGrid>
        <w:gridCol w:w="4797"/>
        <w:gridCol w:w="2291"/>
        <w:gridCol w:w="1276"/>
        <w:gridCol w:w="1841"/>
      </w:tblGrid>
      <w:tr w:rsidR="0034672C" w:rsidRPr="00D22E74" w14:paraId="2EC60546" w14:textId="77777777" w:rsidTr="0034672C">
        <w:trPr>
          <w:trHeight w:hRule="exact" w:val="298"/>
        </w:trPr>
        <w:tc>
          <w:tcPr>
            <w:tcW w:w="2350" w:type="pct"/>
            <w:vAlign w:val="bottom"/>
          </w:tcPr>
          <w:p w14:paraId="445BA7C3" w14:textId="1E07523F" w:rsidR="0034672C" w:rsidRPr="00D22E74" w:rsidRDefault="006933C0" w:rsidP="006933C0">
            <w:pPr>
              <w:pStyle w:val="IASignature"/>
              <w:tabs>
                <w:tab w:val="clear" w:pos="6804"/>
                <w:tab w:val="left" w:leader="dot" w:pos="7380"/>
              </w:tabs>
              <w:rPr>
                <w:rFonts w:cs="Arial"/>
                <w:sz w:val="20"/>
              </w:rPr>
            </w:pPr>
            <w:bookmarkStart w:id="16" w:name="IASignedBy"/>
            <w:r>
              <w:rPr>
                <w:rFonts w:cs="Arial"/>
                <w:sz w:val="20"/>
              </w:rPr>
              <w:t>Signed by the responsible</w:t>
            </w:r>
            <w:bookmarkEnd w:id="16"/>
            <w:r>
              <w:rPr>
                <w:rFonts w:cs="Arial"/>
                <w:sz w:val="20"/>
              </w:rPr>
              <w:t>: Director of Analysis</w:t>
            </w:r>
          </w:p>
        </w:tc>
        <w:tc>
          <w:tcPr>
            <w:tcW w:w="1122" w:type="pct"/>
            <w:tcBorders>
              <w:bottom w:val="dashSmallGap" w:sz="4" w:space="0" w:color="auto"/>
            </w:tcBorders>
            <w:vAlign w:val="bottom"/>
          </w:tcPr>
          <w:p w14:paraId="0B3FBFA1" w14:textId="4D0650CE" w:rsidR="0034672C" w:rsidRPr="00D22E74" w:rsidRDefault="006933C0" w:rsidP="0034672C">
            <w:pPr>
              <w:pStyle w:val="IAIOtextSign"/>
              <w:rPr>
                <w:rFonts w:cs="Arial"/>
                <w:sz w:val="20"/>
                <w:szCs w:val="20"/>
              </w:rPr>
            </w:pPr>
            <w:r>
              <w:rPr>
                <w:rFonts w:cs="Arial"/>
                <w:sz w:val="20"/>
                <w:szCs w:val="20"/>
              </w:rPr>
              <w:t>John Curnow</w:t>
            </w:r>
          </w:p>
        </w:tc>
        <w:tc>
          <w:tcPr>
            <w:tcW w:w="625" w:type="pct"/>
            <w:vAlign w:val="bottom"/>
          </w:tcPr>
          <w:p w14:paraId="27A74A86" w14:textId="77777777" w:rsidR="0034672C" w:rsidRPr="00D22E74" w:rsidRDefault="0034672C" w:rsidP="0034672C">
            <w:pPr>
              <w:pStyle w:val="IASignature"/>
              <w:tabs>
                <w:tab w:val="clear" w:pos="6804"/>
                <w:tab w:val="left" w:leader="dot" w:pos="7380"/>
              </w:tabs>
              <w:rPr>
                <w:rFonts w:cs="Arial"/>
                <w:sz w:val="20"/>
              </w:rPr>
            </w:pPr>
            <w:r w:rsidRPr="00D22E74">
              <w:rPr>
                <w:rFonts w:cs="Arial"/>
                <w:sz w:val="20"/>
              </w:rPr>
              <w:t> Date:</w:t>
            </w:r>
          </w:p>
        </w:tc>
        <w:tc>
          <w:tcPr>
            <w:tcW w:w="902" w:type="pct"/>
            <w:tcBorders>
              <w:bottom w:val="dashSmallGap" w:sz="4" w:space="0" w:color="auto"/>
            </w:tcBorders>
            <w:vAlign w:val="bottom"/>
          </w:tcPr>
          <w:p w14:paraId="57E2B1A6" w14:textId="69FCCB2B" w:rsidR="0034672C" w:rsidRPr="00D22E74" w:rsidRDefault="006933C0" w:rsidP="0034672C">
            <w:pPr>
              <w:pStyle w:val="IAIOSigDate"/>
              <w:rPr>
                <w:rFonts w:cs="Arial"/>
                <w:sz w:val="20"/>
                <w:szCs w:val="20"/>
              </w:rPr>
            </w:pPr>
            <w:bookmarkStart w:id="17" w:name="SigDate"/>
            <w:r>
              <w:rPr>
                <w:rFonts w:cs="Arial"/>
                <w:sz w:val="20"/>
                <w:szCs w:val="20"/>
              </w:rPr>
              <w:t>8 November 2018</w:t>
            </w:r>
            <w:r w:rsidR="0034672C" w:rsidRPr="00D22E74">
              <w:rPr>
                <w:rFonts w:cs="Arial"/>
                <w:sz w:val="20"/>
                <w:szCs w:val="20"/>
              </w:rPr>
              <w:fldChar w:fldCharType="begin">
                <w:ffData>
                  <w:name w:val="SigDate"/>
                  <w:enabled/>
                  <w:calcOnExit w:val="0"/>
                  <w:textInput/>
                </w:ffData>
              </w:fldChar>
            </w:r>
            <w:r w:rsidR="0034672C" w:rsidRPr="00D22E74">
              <w:rPr>
                <w:rFonts w:cs="Arial"/>
                <w:sz w:val="20"/>
                <w:szCs w:val="20"/>
              </w:rPr>
              <w:instrText xml:space="preserve"> FORMTEXT </w:instrText>
            </w:r>
            <w:r w:rsidR="0034672C" w:rsidRPr="00D22E74">
              <w:rPr>
                <w:rFonts w:cs="Arial"/>
                <w:sz w:val="20"/>
                <w:szCs w:val="20"/>
              </w:rPr>
            </w:r>
            <w:r w:rsidR="0034672C" w:rsidRPr="00D22E74">
              <w:rPr>
                <w:rFonts w:cs="Arial"/>
                <w:sz w:val="20"/>
                <w:szCs w:val="20"/>
              </w:rPr>
              <w:fldChar w:fldCharType="separate"/>
            </w:r>
            <w:r w:rsidR="0034672C" w:rsidRPr="00D22E74">
              <w:rPr>
                <w:rFonts w:cs="Arial"/>
                <w:sz w:val="20"/>
                <w:szCs w:val="20"/>
              </w:rPr>
              <w:t xml:space="preserve"> </w:t>
            </w:r>
            <w:r w:rsidR="0034672C" w:rsidRPr="00D22E74">
              <w:rPr>
                <w:rFonts w:cs="Arial"/>
                <w:sz w:val="20"/>
                <w:szCs w:val="20"/>
              </w:rPr>
              <w:fldChar w:fldCharType="end"/>
            </w:r>
            <w:bookmarkEnd w:id="17"/>
          </w:p>
        </w:tc>
      </w:tr>
      <w:bookmarkEnd w:id="15"/>
    </w:tbl>
    <w:p w14:paraId="7DC50B58" w14:textId="77777777" w:rsidR="0034672C" w:rsidRPr="00D22E74" w:rsidRDefault="0034672C" w:rsidP="0034672C">
      <w:pPr>
        <w:pStyle w:val="Heading1"/>
        <w:spacing w:before="0"/>
        <w:rPr>
          <w:rFonts w:ascii="Arial" w:hAnsi="Arial"/>
        </w:rPr>
        <w:sectPr w:rsidR="0034672C" w:rsidRPr="00D22E74" w:rsidSect="0034672C">
          <w:footnotePr>
            <w:numRestart w:val="eachSect"/>
          </w:footnotePr>
          <w:pgSz w:w="11907" w:h="16840" w:code="9"/>
          <w:pgMar w:top="680" w:right="851" w:bottom="680" w:left="851" w:header="284" w:footer="284" w:gutter="0"/>
          <w:cols w:space="708"/>
          <w:docGrid w:linePitch="360"/>
        </w:sectPr>
      </w:pPr>
    </w:p>
    <w:p w14:paraId="0B5122A9" w14:textId="77777777" w:rsidR="0034672C" w:rsidRPr="00D22E74" w:rsidRDefault="0034672C" w:rsidP="0034672C">
      <w:pPr>
        <w:pStyle w:val="Heading1"/>
        <w:spacing w:before="0"/>
        <w:rPr>
          <w:rFonts w:ascii="Arial" w:hAnsi="Arial"/>
        </w:rPr>
      </w:pPr>
      <w:r w:rsidRPr="00D22E74">
        <w:rPr>
          <w:rFonts w:ascii="Arial" w:hAnsi="Arial"/>
        </w:rPr>
        <w:lastRenderedPageBreak/>
        <w:t>Summary: Analysis &amp; Evidence</w:t>
      </w:r>
      <w:r w:rsidRPr="00D22E74">
        <w:rPr>
          <w:rFonts w:ascii="Arial" w:hAnsi="Arial"/>
        </w:rPr>
        <w:tab/>
      </w:r>
      <w:r w:rsidRPr="00D22E74">
        <w:rPr>
          <w:rFonts w:ascii="Arial" w:hAnsi="Arial"/>
          <w:b w:val="0"/>
        </w:rPr>
        <w:t xml:space="preserve">Policy Option </w:t>
      </w:r>
      <w:r w:rsidRPr="00D22E74">
        <w:rPr>
          <w:rFonts w:ascii="Arial" w:hAnsi="Arial"/>
          <w:b w:val="0"/>
          <w:bCs/>
        </w:rPr>
        <w:fldChar w:fldCharType="begin"/>
      </w:r>
      <w:r w:rsidRPr="00D22E74">
        <w:rPr>
          <w:rFonts w:ascii="Arial" w:hAnsi="Arial"/>
          <w:b w:val="0"/>
        </w:rPr>
        <w:instrText xml:space="preserve"> SEQ Policy </w:instrText>
      </w:r>
      <w:r w:rsidRPr="00D22E74">
        <w:rPr>
          <w:rFonts w:ascii="Arial" w:hAnsi="Arial"/>
          <w:b w:val="0"/>
          <w:bCs/>
        </w:rPr>
        <w:fldChar w:fldCharType="separate"/>
      </w:r>
      <w:r w:rsidR="00124A5B">
        <w:rPr>
          <w:rFonts w:ascii="Arial" w:hAnsi="Arial"/>
          <w:b w:val="0"/>
          <w:noProof/>
        </w:rPr>
        <w:t>1</w:t>
      </w:r>
      <w:r w:rsidRPr="00D22E74">
        <w:rPr>
          <w:rFonts w:ascii="Arial" w:hAnsi="Arial"/>
          <w:b w:val="0"/>
          <w:bCs/>
        </w:rPr>
        <w:fldChar w:fldCharType="end"/>
      </w:r>
    </w:p>
    <w:p w14:paraId="42AB7241" w14:textId="4189DE6F" w:rsidR="0034672C" w:rsidRPr="00D22E74" w:rsidRDefault="0034672C" w:rsidP="0034672C">
      <w:pPr>
        <w:pStyle w:val="IAHeadLabel"/>
        <w:spacing w:before="50"/>
        <w:rPr>
          <w:rFonts w:cs="Arial"/>
        </w:rPr>
      </w:pPr>
      <w:r w:rsidRPr="00D22E74">
        <w:rPr>
          <w:rFonts w:cs="Arial"/>
        </w:rPr>
        <w:t xml:space="preserve">Description:  </w:t>
      </w:r>
      <w:r w:rsidR="00D52B91">
        <w:rPr>
          <w:rFonts w:eastAsia="Arial" w:cs="Arial"/>
          <w:b w:val="0"/>
        </w:rPr>
        <w:t>Option 1: Introduce legislation - Building UK regulatory capability.</w:t>
      </w:r>
    </w:p>
    <w:p w14:paraId="464AFEAE" w14:textId="77777777" w:rsidR="0034672C" w:rsidRPr="00D22E74" w:rsidRDefault="0034672C" w:rsidP="0034672C">
      <w:pPr>
        <w:pStyle w:val="IAHeadLabel"/>
        <w:spacing w:before="50"/>
        <w:rPr>
          <w:rFonts w:cs="Arial"/>
        </w:rPr>
      </w:pPr>
      <w:r w:rsidRPr="00D22E74">
        <w:rPr>
          <w:rFonts w:cs="Arial"/>
        </w:rPr>
        <w:t>FULL ECONOMIC ASSESSMENT</w:t>
      </w:r>
    </w:p>
    <w:tbl>
      <w:tblPr>
        <w:tblW w:w="5642" w:type="pct"/>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11"/>
        <w:gridCol w:w="1129"/>
        <w:gridCol w:w="1515"/>
        <w:gridCol w:w="1585"/>
        <w:gridCol w:w="1609"/>
        <w:gridCol w:w="2913"/>
      </w:tblGrid>
      <w:tr w:rsidR="0034672C" w:rsidRPr="00D22E74" w14:paraId="7FEDD201" w14:textId="77777777" w:rsidTr="00757177">
        <w:trPr>
          <w:trHeight w:hRule="exact" w:val="312"/>
        </w:trPr>
        <w:tc>
          <w:tcPr>
            <w:tcW w:w="1418" w:type="dxa"/>
            <w:vMerge w:val="restart"/>
          </w:tcPr>
          <w:p w14:paraId="46193599" w14:textId="77777777" w:rsidR="0034672C" w:rsidRPr="00D22E74" w:rsidRDefault="0034672C" w:rsidP="0034672C">
            <w:pPr>
              <w:pStyle w:val="POPBY"/>
              <w:rPr>
                <w:rFonts w:cs="Arial"/>
              </w:rPr>
            </w:pPr>
            <w:r w:rsidRPr="00D22E74">
              <w:rPr>
                <w:rFonts w:cs="Arial"/>
              </w:rPr>
              <w:t>Price Base Year  n/a</w:t>
            </w:r>
          </w:p>
        </w:tc>
        <w:tc>
          <w:tcPr>
            <w:tcW w:w="1134" w:type="dxa"/>
            <w:vMerge w:val="restart"/>
          </w:tcPr>
          <w:p w14:paraId="502A06FF" w14:textId="77777777" w:rsidR="0034672C" w:rsidRPr="00D22E74" w:rsidRDefault="0034672C" w:rsidP="0034672C">
            <w:pPr>
              <w:pStyle w:val="POPVBY"/>
              <w:rPr>
                <w:rFonts w:cs="Arial"/>
              </w:rPr>
            </w:pPr>
            <w:r w:rsidRPr="00D22E74">
              <w:rPr>
                <w:rFonts w:cs="Arial"/>
              </w:rPr>
              <w:t>PV Base Year  n/a</w:t>
            </w:r>
          </w:p>
        </w:tc>
        <w:tc>
          <w:tcPr>
            <w:tcW w:w="1522" w:type="dxa"/>
            <w:vMerge w:val="restart"/>
            <w:tcBorders>
              <w:right w:val="single" w:sz="12" w:space="0" w:color="auto"/>
            </w:tcBorders>
          </w:tcPr>
          <w:p w14:paraId="775B4B5C" w14:textId="77777777" w:rsidR="0034672C" w:rsidRPr="00D22E74" w:rsidRDefault="0034672C" w:rsidP="0034672C">
            <w:pPr>
              <w:pStyle w:val="POTPY"/>
              <w:rPr>
                <w:rFonts w:cs="Arial"/>
              </w:rPr>
            </w:pPr>
            <w:r w:rsidRPr="00D22E74">
              <w:rPr>
                <w:rFonts w:cs="Arial"/>
              </w:rPr>
              <w:t>Time Period Years  n/a</w:t>
            </w:r>
          </w:p>
        </w:tc>
        <w:tc>
          <w:tcPr>
            <w:tcW w:w="6134" w:type="dxa"/>
            <w:gridSpan w:val="3"/>
            <w:tcBorders>
              <w:top w:val="single" w:sz="12" w:space="0" w:color="auto"/>
              <w:left w:val="single" w:sz="12" w:space="0" w:color="auto"/>
              <w:right w:val="single" w:sz="12" w:space="0" w:color="auto"/>
            </w:tcBorders>
            <w:shd w:val="clear" w:color="auto" w:fill="FFFFFF"/>
          </w:tcPr>
          <w:p w14:paraId="046709C1" w14:textId="77777777" w:rsidR="0034672C" w:rsidRPr="00D22E74" w:rsidRDefault="0034672C" w:rsidP="0034672C">
            <w:pPr>
              <w:pStyle w:val="IATableLabel"/>
              <w:jc w:val="center"/>
              <w:rPr>
                <w:rFonts w:cs="Arial"/>
              </w:rPr>
            </w:pPr>
            <w:r w:rsidRPr="00D22E74">
              <w:rPr>
                <w:rFonts w:cs="Arial"/>
              </w:rPr>
              <w:t>Net Benefit (Present Value (PV)) (£m)</w:t>
            </w:r>
          </w:p>
        </w:tc>
      </w:tr>
      <w:tr w:rsidR="0034672C" w:rsidRPr="00D22E74" w14:paraId="0461F192" w14:textId="77777777" w:rsidTr="00757177">
        <w:trPr>
          <w:trHeight w:hRule="exact" w:val="340"/>
        </w:trPr>
        <w:tc>
          <w:tcPr>
            <w:tcW w:w="1418" w:type="dxa"/>
            <w:vMerge/>
          </w:tcPr>
          <w:p w14:paraId="619E6699" w14:textId="77777777" w:rsidR="0034672C" w:rsidRPr="00D22E74" w:rsidRDefault="0034672C" w:rsidP="0034672C">
            <w:pPr>
              <w:pStyle w:val="IATableNotes"/>
              <w:ind w:left="0"/>
              <w:rPr>
                <w:rFonts w:cs="Arial"/>
                <w:b/>
                <w:sz w:val="20"/>
              </w:rPr>
            </w:pPr>
          </w:p>
        </w:tc>
        <w:tc>
          <w:tcPr>
            <w:tcW w:w="1134" w:type="dxa"/>
            <w:vMerge/>
          </w:tcPr>
          <w:p w14:paraId="14D2EDB3" w14:textId="77777777" w:rsidR="0034672C" w:rsidRPr="00D22E74" w:rsidRDefault="0034672C" w:rsidP="0034672C">
            <w:pPr>
              <w:pStyle w:val="IATableNotes"/>
              <w:ind w:left="0"/>
              <w:rPr>
                <w:rFonts w:cs="Arial"/>
                <w:b/>
                <w:sz w:val="20"/>
              </w:rPr>
            </w:pPr>
          </w:p>
        </w:tc>
        <w:tc>
          <w:tcPr>
            <w:tcW w:w="1522" w:type="dxa"/>
            <w:vMerge/>
            <w:tcBorders>
              <w:right w:val="single" w:sz="12" w:space="0" w:color="auto"/>
            </w:tcBorders>
          </w:tcPr>
          <w:p w14:paraId="7AF5B800" w14:textId="77777777" w:rsidR="0034672C" w:rsidRPr="00D22E74" w:rsidRDefault="0034672C" w:rsidP="0034672C">
            <w:pPr>
              <w:pStyle w:val="IATableNotes"/>
              <w:ind w:left="0"/>
              <w:rPr>
                <w:rFonts w:cs="Arial"/>
                <w:b/>
                <w:sz w:val="20"/>
              </w:rPr>
            </w:pPr>
          </w:p>
        </w:tc>
        <w:tc>
          <w:tcPr>
            <w:tcW w:w="1592" w:type="dxa"/>
            <w:tcBorders>
              <w:left w:val="single" w:sz="12" w:space="0" w:color="auto"/>
              <w:bottom w:val="single" w:sz="12" w:space="0" w:color="auto"/>
            </w:tcBorders>
          </w:tcPr>
          <w:p w14:paraId="3FA0DF3F" w14:textId="77777777" w:rsidR="0034672C" w:rsidRPr="00D22E74" w:rsidRDefault="0034672C" w:rsidP="0034672C">
            <w:pPr>
              <w:pStyle w:val="IATableLabel"/>
              <w:rPr>
                <w:rFonts w:cs="Arial"/>
                <w:bCs/>
              </w:rPr>
            </w:pPr>
            <w:r w:rsidRPr="00D22E74">
              <w:rPr>
                <w:rFonts w:cs="Arial"/>
              </w:rPr>
              <w:t>Low: n/a</w:t>
            </w:r>
          </w:p>
        </w:tc>
        <w:tc>
          <w:tcPr>
            <w:tcW w:w="1616" w:type="dxa"/>
            <w:tcBorders>
              <w:bottom w:val="single" w:sz="12" w:space="0" w:color="auto"/>
              <w:right w:val="single" w:sz="12" w:space="0" w:color="auto"/>
            </w:tcBorders>
          </w:tcPr>
          <w:p w14:paraId="19A1487C" w14:textId="77777777" w:rsidR="0034672C" w:rsidRPr="00D22E74" w:rsidRDefault="0034672C" w:rsidP="0034672C">
            <w:pPr>
              <w:pStyle w:val="IATableLabel"/>
              <w:rPr>
                <w:rFonts w:cs="Arial"/>
                <w:bCs/>
                <w:szCs w:val="18"/>
              </w:rPr>
            </w:pPr>
            <w:r w:rsidRPr="00D22E74">
              <w:rPr>
                <w:rFonts w:cs="Arial"/>
              </w:rPr>
              <w:t>High: n/a</w:t>
            </w:r>
          </w:p>
        </w:tc>
        <w:tc>
          <w:tcPr>
            <w:tcW w:w="2926" w:type="dxa"/>
            <w:tcBorders>
              <w:top w:val="single" w:sz="12" w:space="0" w:color="auto"/>
              <w:left w:val="single" w:sz="12" w:space="0" w:color="auto"/>
              <w:bottom w:val="single" w:sz="12" w:space="0" w:color="auto"/>
              <w:right w:val="single" w:sz="12" w:space="0" w:color="auto"/>
            </w:tcBorders>
            <w:shd w:val="clear" w:color="auto" w:fill="FFFFFF"/>
          </w:tcPr>
          <w:p w14:paraId="5B66734B" w14:textId="77777777" w:rsidR="0034672C" w:rsidRPr="00D22E74" w:rsidRDefault="0034672C" w:rsidP="0034672C">
            <w:pPr>
              <w:pStyle w:val="IATableLabel"/>
              <w:rPr>
                <w:rFonts w:cs="Arial"/>
                <w:szCs w:val="18"/>
              </w:rPr>
            </w:pPr>
            <w:r w:rsidRPr="00D22E74">
              <w:rPr>
                <w:rFonts w:cs="Arial"/>
              </w:rPr>
              <w:t>Best Estimate: n/a</w:t>
            </w:r>
          </w:p>
        </w:tc>
      </w:tr>
    </w:tbl>
    <w:p w14:paraId="3C7D220A" w14:textId="77777777" w:rsidR="0034672C" w:rsidRPr="00D22E74" w:rsidRDefault="0034672C" w:rsidP="0034672C">
      <w:pPr>
        <w:pStyle w:val="IASpacer"/>
        <w:rPr>
          <w:rFonts w:cs="Arial"/>
        </w:rPr>
      </w:pPr>
    </w:p>
    <w:tbl>
      <w:tblPr>
        <w:tblW w:w="5635" w:type="pct"/>
        <w:tblInd w:w="-5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2303"/>
        <w:gridCol w:w="1714"/>
        <w:gridCol w:w="696"/>
        <w:gridCol w:w="2516"/>
        <w:gridCol w:w="1556"/>
        <w:gridCol w:w="1353"/>
      </w:tblGrid>
      <w:tr w:rsidR="0034672C" w:rsidRPr="00D22E74" w14:paraId="366BCF38" w14:textId="77777777" w:rsidTr="00757177">
        <w:trPr>
          <w:trHeight w:hRule="exact" w:val="567"/>
        </w:trPr>
        <w:tc>
          <w:tcPr>
            <w:tcW w:w="2318" w:type="dxa"/>
            <w:tcBorders>
              <w:top w:val="single" w:sz="12" w:space="0" w:color="auto"/>
            </w:tcBorders>
            <w:shd w:val="clear" w:color="auto" w:fill="FFFFFF"/>
          </w:tcPr>
          <w:p w14:paraId="278FB5B9" w14:textId="77777777" w:rsidR="0034672C" w:rsidRPr="00D22E74" w:rsidRDefault="0034672C" w:rsidP="0034672C">
            <w:pPr>
              <w:pStyle w:val="IATableLabel"/>
              <w:rPr>
                <w:rFonts w:cs="Arial"/>
                <w:sz w:val="24"/>
                <w:szCs w:val="24"/>
              </w:rPr>
            </w:pPr>
            <w:r w:rsidRPr="00D22E74">
              <w:rPr>
                <w:rFonts w:cs="Arial"/>
                <w:sz w:val="24"/>
                <w:szCs w:val="24"/>
              </w:rPr>
              <w:t>COSTS (£m)</w:t>
            </w:r>
          </w:p>
        </w:tc>
        <w:tc>
          <w:tcPr>
            <w:tcW w:w="2426" w:type="dxa"/>
            <w:gridSpan w:val="2"/>
            <w:tcBorders>
              <w:top w:val="single" w:sz="12" w:space="0" w:color="auto"/>
            </w:tcBorders>
          </w:tcPr>
          <w:p w14:paraId="4F3B36C0" w14:textId="77777777" w:rsidR="0034672C" w:rsidRPr="00D22E74" w:rsidRDefault="0034672C" w:rsidP="0034672C">
            <w:pPr>
              <w:pStyle w:val="IATableLabel"/>
              <w:tabs>
                <w:tab w:val="right" w:pos="1800"/>
                <w:tab w:val="center" w:pos="2340"/>
              </w:tabs>
              <w:jc w:val="right"/>
              <w:rPr>
                <w:rFonts w:cs="Arial"/>
              </w:rPr>
            </w:pPr>
            <w:r w:rsidRPr="00D22E74">
              <w:rPr>
                <w:rFonts w:cs="Arial"/>
              </w:rPr>
              <w:t xml:space="preserve">Total Transition </w:t>
            </w:r>
            <w:r w:rsidRPr="00D22E74">
              <w:rPr>
                <w:rFonts w:cs="Arial"/>
              </w:rPr>
              <w:br/>
            </w:r>
            <w:r w:rsidRPr="00D22E74">
              <w:rPr>
                <w:rFonts w:cs="Arial"/>
              </w:rPr>
              <w:tab/>
            </w:r>
            <w:r w:rsidRPr="00D22E74">
              <w:rPr>
                <w:rFonts w:cs="Arial"/>
                <w:b w:val="0"/>
                <w:sz w:val="18"/>
                <w:szCs w:val="18"/>
              </w:rPr>
              <w:t>(Constant Price)</w:t>
            </w:r>
            <w:r w:rsidRPr="00D22E74">
              <w:rPr>
                <w:rFonts w:cs="Arial"/>
              </w:rPr>
              <w:tab/>
            </w:r>
            <w:r w:rsidRPr="00D22E74">
              <w:rPr>
                <w:rFonts w:cs="Arial"/>
                <w:b w:val="0"/>
                <w:sz w:val="18"/>
                <w:szCs w:val="18"/>
              </w:rPr>
              <w:t>Yea</w:t>
            </w:r>
            <w:r w:rsidRPr="00D22E74">
              <w:rPr>
                <w:rFonts w:cs="Arial"/>
                <w:b w:val="0"/>
                <w:bCs/>
                <w:sz w:val="18"/>
                <w:szCs w:val="18"/>
              </w:rPr>
              <w:t>r</w:t>
            </w:r>
            <w:r w:rsidRPr="00D22E74">
              <w:rPr>
                <w:rFonts w:cs="Arial"/>
                <w:b w:val="0"/>
                <w:sz w:val="18"/>
                <w:szCs w:val="18"/>
              </w:rPr>
              <w:t>s</w:t>
            </w:r>
          </w:p>
          <w:p w14:paraId="2DB03499" w14:textId="77777777" w:rsidR="0034672C" w:rsidRPr="00D22E74" w:rsidRDefault="0034672C" w:rsidP="0034672C">
            <w:pPr>
              <w:pStyle w:val="IATableLabel"/>
              <w:jc w:val="right"/>
              <w:rPr>
                <w:rFonts w:cs="Arial"/>
              </w:rPr>
            </w:pPr>
            <w:r w:rsidRPr="00D22E74">
              <w:rPr>
                <w:rFonts w:cs="Arial"/>
              </w:rPr>
              <w:br/>
            </w:r>
          </w:p>
        </w:tc>
        <w:tc>
          <w:tcPr>
            <w:tcW w:w="2533" w:type="dxa"/>
            <w:tcBorders>
              <w:top w:val="single" w:sz="12" w:space="0" w:color="auto"/>
              <w:right w:val="single" w:sz="12" w:space="0" w:color="auto"/>
            </w:tcBorders>
          </w:tcPr>
          <w:p w14:paraId="5BDEAB0C" w14:textId="77777777" w:rsidR="0034672C" w:rsidRPr="00D22E74" w:rsidRDefault="0034672C" w:rsidP="0034672C">
            <w:pPr>
              <w:pStyle w:val="IATableLabel"/>
              <w:jc w:val="right"/>
              <w:rPr>
                <w:rFonts w:cs="Arial"/>
                <w:bCs/>
              </w:rPr>
            </w:pPr>
            <w:r w:rsidRPr="00D22E74">
              <w:rPr>
                <w:rFonts w:cs="Arial"/>
              </w:rPr>
              <w:t xml:space="preserve">Average Annual </w:t>
            </w:r>
            <w:r w:rsidRPr="00D22E74">
              <w:rPr>
                <w:rFonts w:cs="Arial"/>
              </w:rPr>
              <w:br/>
            </w:r>
            <w:r w:rsidRPr="00D22E74">
              <w:rPr>
                <w:rFonts w:cs="Arial"/>
                <w:b w:val="0"/>
                <w:sz w:val="18"/>
                <w:szCs w:val="18"/>
              </w:rPr>
              <w:t xml:space="preserve">(excl. Transition) </w:t>
            </w:r>
            <w:r w:rsidRPr="00D22E74">
              <w:rPr>
                <w:rFonts w:cs="Arial"/>
                <w:b w:val="0"/>
                <w:bCs/>
                <w:sz w:val="18"/>
                <w:szCs w:val="18"/>
              </w:rPr>
              <w:t>(Constant Price)</w:t>
            </w:r>
          </w:p>
        </w:tc>
        <w:tc>
          <w:tcPr>
            <w:tcW w:w="2929" w:type="dxa"/>
            <w:gridSpan w:val="2"/>
            <w:tcBorders>
              <w:top w:val="single" w:sz="12" w:space="0" w:color="auto"/>
              <w:left w:val="single" w:sz="12" w:space="0" w:color="auto"/>
            </w:tcBorders>
          </w:tcPr>
          <w:p w14:paraId="0854C08E" w14:textId="77777777" w:rsidR="0034672C" w:rsidRPr="00D22E74" w:rsidRDefault="0034672C" w:rsidP="0034672C">
            <w:pPr>
              <w:pStyle w:val="IATableLabel"/>
              <w:jc w:val="right"/>
              <w:rPr>
                <w:rFonts w:cs="Arial"/>
              </w:rPr>
            </w:pPr>
            <w:r w:rsidRPr="00D22E74">
              <w:rPr>
                <w:rFonts w:cs="Arial"/>
              </w:rPr>
              <w:t>Total Cost</w:t>
            </w:r>
            <w:r w:rsidRPr="00D22E74">
              <w:rPr>
                <w:rFonts w:cs="Arial"/>
                <w:b w:val="0"/>
                <w:sz w:val="18"/>
                <w:szCs w:val="18"/>
              </w:rPr>
              <w:t xml:space="preserve"> </w:t>
            </w:r>
            <w:r w:rsidRPr="00D22E74">
              <w:rPr>
                <w:rFonts w:cs="Arial"/>
                <w:b w:val="0"/>
                <w:sz w:val="18"/>
                <w:szCs w:val="18"/>
              </w:rPr>
              <w:br/>
              <w:t>(Present Value)</w:t>
            </w:r>
          </w:p>
        </w:tc>
      </w:tr>
      <w:tr w:rsidR="0034672C" w:rsidRPr="00D22E74" w14:paraId="4873365B" w14:textId="77777777" w:rsidTr="00757177">
        <w:trPr>
          <w:trHeight w:hRule="exact" w:val="348"/>
        </w:trPr>
        <w:tc>
          <w:tcPr>
            <w:tcW w:w="2318" w:type="dxa"/>
            <w:vAlign w:val="center"/>
          </w:tcPr>
          <w:p w14:paraId="60F963B2" w14:textId="77777777" w:rsidR="0034672C" w:rsidRPr="00D22E74" w:rsidRDefault="0034672C" w:rsidP="0034672C">
            <w:pPr>
              <w:pStyle w:val="IATableLabel"/>
              <w:rPr>
                <w:rFonts w:cs="Arial"/>
              </w:rPr>
            </w:pPr>
            <w:r w:rsidRPr="00D22E74">
              <w:rPr>
                <w:rFonts w:cs="Arial"/>
              </w:rPr>
              <w:t xml:space="preserve">Low </w:t>
            </w:r>
          </w:p>
        </w:tc>
        <w:tc>
          <w:tcPr>
            <w:tcW w:w="1725" w:type="dxa"/>
            <w:vAlign w:val="center"/>
          </w:tcPr>
          <w:p w14:paraId="5A728106" w14:textId="77777777" w:rsidR="0034672C" w:rsidRPr="00D22E74" w:rsidRDefault="0034672C" w:rsidP="0034672C">
            <w:pPr>
              <w:pStyle w:val="POTTCostsLow"/>
              <w:rPr>
                <w:rFonts w:cs="Arial"/>
                <w:sz w:val="20"/>
              </w:rPr>
            </w:pPr>
            <w:r w:rsidRPr="00D22E74">
              <w:rPr>
                <w:rFonts w:cs="Arial"/>
                <w:sz w:val="20"/>
              </w:rPr>
              <w:t>n/a</w:t>
            </w:r>
          </w:p>
        </w:tc>
        <w:tc>
          <w:tcPr>
            <w:tcW w:w="701" w:type="dxa"/>
            <w:vMerge w:val="restart"/>
            <w:vAlign w:val="center"/>
          </w:tcPr>
          <w:p w14:paraId="75CCA974" w14:textId="77777777" w:rsidR="0034672C" w:rsidRPr="00D22E74" w:rsidRDefault="0034672C" w:rsidP="0034672C">
            <w:pPr>
              <w:pStyle w:val="POTTCostsYear"/>
              <w:rPr>
                <w:rFonts w:cs="Arial"/>
                <w:sz w:val="20"/>
                <w:szCs w:val="20"/>
              </w:rPr>
            </w:pPr>
            <w:r w:rsidRPr="00D22E74">
              <w:rPr>
                <w:rFonts w:cs="Arial"/>
                <w:sz w:val="20"/>
                <w:szCs w:val="20"/>
              </w:rPr>
              <w:fldChar w:fldCharType="begin">
                <w:ffData>
                  <w:name w:val="Text48"/>
                  <w:enabled/>
                  <w:calcOnExit w:val="0"/>
                  <w:textInput>
                    <w:maxLength w:val="3"/>
                  </w:textInput>
                </w:ffData>
              </w:fldChar>
            </w:r>
            <w:r w:rsidRPr="00D22E74">
              <w:rPr>
                <w:rFonts w:cs="Arial"/>
                <w:sz w:val="20"/>
                <w:szCs w:val="20"/>
              </w:rPr>
              <w:instrText xml:space="preserve"> FORMTEXT </w:instrText>
            </w:r>
            <w:r w:rsidRPr="00D22E74">
              <w:rPr>
                <w:rFonts w:cs="Arial"/>
                <w:sz w:val="20"/>
                <w:szCs w:val="20"/>
              </w:rPr>
            </w:r>
            <w:r w:rsidRPr="00D22E74">
              <w:rPr>
                <w:rFonts w:cs="Arial"/>
                <w:sz w:val="20"/>
                <w:szCs w:val="20"/>
              </w:rPr>
              <w:fldChar w:fldCharType="separate"/>
            </w:r>
            <w:r w:rsidRPr="00D22E74">
              <w:rPr>
                <w:rFonts w:cs="Arial"/>
                <w:noProof/>
                <w:sz w:val="20"/>
                <w:szCs w:val="20"/>
              </w:rPr>
              <w:t> </w:t>
            </w:r>
            <w:r w:rsidRPr="00D22E74">
              <w:rPr>
                <w:rFonts w:cs="Arial"/>
                <w:noProof/>
                <w:sz w:val="20"/>
                <w:szCs w:val="20"/>
              </w:rPr>
              <w:t> </w:t>
            </w:r>
            <w:r w:rsidRPr="00D22E74">
              <w:rPr>
                <w:rFonts w:cs="Arial"/>
                <w:noProof/>
                <w:sz w:val="20"/>
                <w:szCs w:val="20"/>
              </w:rPr>
              <w:t> </w:t>
            </w:r>
            <w:r w:rsidRPr="00D22E74">
              <w:rPr>
                <w:rFonts w:cs="Arial"/>
                <w:sz w:val="20"/>
                <w:szCs w:val="20"/>
              </w:rPr>
              <w:fldChar w:fldCharType="end"/>
            </w:r>
          </w:p>
        </w:tc>
        <w:tc>
          <w:tcPr>
            <w:tcW w:w="2533" w:type="dxa"/>
            <w:tcBorders>
              <w:right w:val="single" w:sz="12" w:space="0" w:color="auto"/>
            </w:tcBorders>
            <w:vAlign w:val="center"/>
          </w:tcPr>
          <w:p w14:paraId="478DC505" w14:textId="77777777" w:rsidR="0034672C" w:rsidRPr="00D22E74" w:rsidRDefault="0034672C" w:rsidP="0034672C">
            <w:pPr>
              <w:pStyle w:val="POAACostsLow"/>
              <w:rPr>
                <w:rFonts w:cs="Arial"/>
                <w:sz w:val="20"/>
              </w:rPr>
            </w:pPr>
            <w:r w:rsidRPr="00D22E74">
              <w:rPr>
                <w:rFonts w:cs="Arial"/>
                <w:sz w:val="20"/>
              </w:rPr>
              <w:t>n/a</w:t>
            </w:r>
          </w:p>
        </w:tc>
        <w:tc>
          <w:tcPr>
            <w:tcW w:w="2929" w:type="dxa"/>
            <w:gridSpan w:val="2"/>
            <w:tcBorders>
              <w:left w:val="single" w:sz="12" w:space="0" w:color="auto"/>
            </w:tcBorders>
            <w:vAlign w:val="center"/>
          </w:tcPr>
          <w:p w14:paraId="24CC30A7" w14:textId="77777777" w:rsidR="0034672C" w:rsidRPr="00D22E74" w:rsidRDefault="0034672C" w:rsidP="0034672C">
            <w:pPr>
              <w:pStyle w:val="POTCCostsLow"/>
              <w:rPr>
                <w:rFonts w:cs="Arial"/>
                <w:sz w:val="20"/>
              </w:rPr>
            </w:pPr>
            <w:r w:rsidRPr="00D22E74">
              <w:rPr>
                <w:rFonts w:cs="Arial"/>
                <w:sz w:val="20"/>
              </w:rPr>
              <w:t>n/a</w:t>
            </w:r>
          </w:p>
        </w:tc>
      </w:tr>
      <w:tr w:rsidR="0034672C" w:rsidRPr="00D22E74" w14:paraId="10BF8F0A" w14:textId="77777777" w:rsidTr="00757177">
        <w:trPr>
          <w:trHeight w:hRule="exact" w:val="348"/>
        </w:trPr>
        <w:tc>
          <w:tcPr>
            <w:tcW w:w="2318" w:type="dxa"/>
            <w:tcBorders>
              <w:bottom w:val="single" w:sz="12" w:space="0" w:color="auto"/>
            </w:tcBorders>
            <w:vAlign w:val="center"/>
          </w:tcPr>
          <w:p w14:paraId="06F92A09" w14:textId="77777777" w:rsidR="0034672C" w:rsidRPr="00D22E74" w:rsidRDefault="0034672C" w:rsidP="0034672C">
            <w:pPr>
              <w:pStyle w:val="IATableLabel"/>
              <w:rPr>
                <w:rFonts w:cs="Arial"/>
              </w:rPr>
            </w:pPr>
            <w:r w:rsidRPr="00D22E74">
              <w:rPr>
                <w:rFonts w:cs="Arial"/>
              </w:rPr>
              <w:t xml:space="preserve">High </w:t>
            </w:r>
          </w:p>
        </w:tc>
        <w:tc>
          <w:tcPr>
            <w:tcW w:w="1725" w:type="dxa"/>
            <w:tcBorders>
              <w:bottom w:val="single" w:sz="12" w:space="0" w:color="auto"/>
            </w:tcBorders>
            <w:vAlign w:val="center"/>
          </w:tcPr>
          <w:p w14:paraId="1FCE611B" w14:textId="77777777" w:rsidR="0034672C" w:rsidRPr="00D22E74" w:rsidRDefault="0034672C" w:rsidP="0034672C">
            <w:pPr>
              <w:pStyle w:val="POTTCostsHigh"/>
              <w:rPr>
                <w:rFonts w:cs="Arial"/>
                <w:sz w:val="20"/>
              </w:rPr>
            </w:pPr>
            <w:r w:rsidRPr="00D22E74">
              <w:rPr>
                <w:rFonts w:cs="Arial"/>
                <w:sz w:val="20"/>
              </w:rPr>
              <w:t>n/a</w:t>
            </w:r>
          </w:p>
        </w:tc>
        <w:tc>
          <w:tcPr>
            <w:tcW w:w="701" w:type="dxa"/>
            <w:vMerge/>
            <w:shd w:val="clear" w:color="auto" w:fill="FFFFFF"/>
            <w:vAlign w:val="center"/>
          </w:tcPr>
          <w:p w14:paraId="4B700760" w14:textId="77777777" w:rsidR="0034672C" w:rsidRPr="00D22E74" w:rsidRDefault="0034672C" w:rsidP="0034672C">
            <w:pPr>
              <w:pStyle w:val="IATableText"/>
              <w:jc w:val="right"/>
              <w:rPr>
                <w:rFonts w:cs="Arial"/>
                <w:sz w:val="20"/>
              </w:rPr>
            </w:pPr>
          </w:p>
        </w:tc>
        <w:tc>
          <w:tcPr>
            <w:tcW w:w="2533" w:type="dxa"/>
            <w:tcBorders>
              <w:bottom w:val="single" w:sz="12" w:space="0" w:color="auto"/>
              <w:right w:val="single" w:sz="12" w:space="0" w:color="auto"/>
            </w:tcBorders>
            <w:vAlign w:val="center"/>
          </w:tcPr>
          <w:p w14:paraId="23D7BB0E" w14:textId="77777777" w:rsidR="0034672C" w:rsidRPr="00D22E74" w:rsidRDefault="0034672C" w:rsidP="0034672C">
            <w:pPr>
              <w:pStyle w:val="POAACostsHigh"/>
              <w:rPr>
                <w:rFonts w:cs="Arial"/>
                <w:sz w:val="20"/>
              </w:rPr>
            </w:pPr>
            <w:r w:rsidRPr="00D22E74">
              <w:rPr>
                <w:rFonts w:cs="Arial"/>
                <w:sz w:val="20"/>
              </w:rPr>
              <w:t>n/a</w:t>
            </w:r>
          </w:p>
        </w:tc>
        <w:tc>
          <w:tcPr>
            <w:tcW w:w="2929" w:type="dxa"/>
            <w:gridSpan w:val="2"/>
            <w:tcBorders>
              <w:left w:val="single" w:sz="12" w:space="0" w:color="auto"/>
              <w:bottom w:val="single" w:sz="12" w:space="0" w:color="auto"/>
            </w:tcBorders>
            <w:vAlign w:val="center"/>
          </w:tcPr>
          <w:p w14:paraId="262FBF03" w14:textId="77777777" w:rsidR="0034672C" w:rsidRPr="00D22E74" w:rsidRDefault="0034672C" w:rsidP="0034672C">
            <w:pPr>
              <w:pStyle w:val="POTCCostsHigh"/>
              <w:rPr>
                <w:rFonts w:cs="Arial"/>
                <w:sz w:val="20"/>
              </w:rPr>
            </w:pPr>
            <w:r w:rsidRPr="00D22E74">
              <w:rPr>
                <w:rFonts w:cs="Arial"/>
                <w:sz w:val="20"/>
              </w:rPr>
              <w:t>n/a</w:t>
            </w:r>
          </w:p>
        </w:tc>
      </w:tr>
      <w:tr w:rsidR="0034672C" w:rsidRPr="00D22E74" w14:paraId="3E1284D6" w14:textId="77777777" w:rsidTr="00757177">
        <w:trPr>
          <w:trHeight w:hRule="exact" w:val="348"/>
        </w:trPr>
        <w:tc>
          <w:tcPr>
            <w:tcW w:w="2318" w:type="dxa"/>
            <w:tcBorders>
              <w:top w:val="single" w:sz="12" w:space="0" w:color="auto"/>
              <w:bottom w:val="single" w:sz="12" w:space="0" w:color="auto"/>
              <w:right w:val="single" w:sz="12" w:space="0" w:color="auto"/>
            </w:tcBorders>
            <w:shd w:val="clear" w:color="auto" w:fill="FFFFFF"/>
            <w:vAlign w:val="center"/>
          </w:tcPr>
          <w:p w14:paraId="1FDF27E9" w14:textId="77777777" w:rsidR="0034672C" w:rsidRPr="00D22E74" w:rsidRDefault="0034672C" w:rsidP="0034672C">
            <w:pPr>
              <w:pStyle w:val="IATableLabel"/>
              <w:rPr>
                <w:rFonts w:cs="Arial"/>
              </w:rPr>
            </w:pPr>
            <w:r w:rsidRPr="00D22E74">
              <w:rPr>
                <w:rFonts w:cs="Arial"/>
              </w:rPr>
              <w:t>Best Estimate</w:t>
            </w:r>
          </w:p>
          <w:p w14:paraId="4F0ACEBD" w14:textId="77777777" w:rsidR="0034672C" w:rsidRPr="00D22E74" w:rsidRDefault="0034672C" w:rsidP="0034672C">
            <w:pPr>
              <w:pStyle w:val="IATableNotes"/>
              <w:spacing w:beforeLines="40" w:before="96"/>
              <w:ind w:left="0" w:right="-22"/>
              <w:jc w:val="center"/>
              <w:rPr>
                <w:rFonts w:cs="Arial"/>
                <w:b/>
                <w:sz w:val="20"/>
              </w:rPr>
            </w:pPr>
          </w:p>
        </w:tc>
        <w:tc>
          <w:tcPr>
            <w:tcW w:w="1725" w:type="dxa"/>
            <w:tcBorders>
              <w:top w:val="single" w:sz="12" w:space="0" w:color="auto"/>
              <w:left w:val="single" w:sz="12" w:space="0" w:color="auto"/>
              <w:bottom w:val="single" w:sz="12" w:space="0" w:color="auto"/>
              <w:right w:val="single" w:sz="12" w:space="0" w:color="auto"/>
            </w:tcBorders>
            <w:shd w:val="clear" w:color="auto" w:fill="FFFFFF"/>
            <w:vAlign w:val="center"/>
          </w:tcPr>
          <w:p w14:paraId="6CAA123B" w14:textId="77777777" w:rsidR="0034672C" w:rsidRPr="00D22E74" w:rsidRDefault="0034672C" w:rsidP="0034672C">
            <w:pPr>
              <w:pStyle w:val="POTTCostsBest"/>
              <w:rPr>
                <w:rFonts w:cs="Arial"/>
                <w:sz w:val="20"/>
              </w:rPr>
            </w:pPr>
            <w:r w:rsidRPr="00D22E74">
              <w:rPr>
                <w:rFonts w:cs="Arial"/>
                <w:sz w:val="20"/>
              </w:rPr>
              <w:t>n/a</w:t>
            </w:r>
          </w:p>
        </w:tc>
        <w:tc>
          <w:tcPr>
            <w:tcW w:w="701" w:type="dxa"/>
            <w:vMerge/>
            <w:tcBorders>
              <w:left w:val="single" w:sz="12" w:space="0" w:color="auto"/>
              <w:right w:val="single" w:sz="12" w:space="0" w:color="auto"/>
            </w:tcBorders>
            <w:shd w:val="clear" w:color="auto" w:fill="FFFFFF"/>
            <w:vAlign w:val="center"/>
          </w:tcPr>
          <w:p w14:paraId="538A5F03" w14:textId="77777777" w:rsidR="0034672C" w:rsidRPr="00D22E74" w:rsidRDefault="0034672C" w:rsidP="0034672C">
            <w:pPr>
              <w:pStyle w:val="IATableText"/>
              <w:jc w:val="right"/>
              <w:rPr>
                <w:rFonts w:cs="Arial"/>
                <w:sz w:val="20"/>
              </w:rPr>
            </w:pPr>
          </w:p>
        </w:tc>
        <w:tc>
          <w:tcPr>
            <w:tcW w:w="2533" w:type="dxa"/>
            <w:tcBorders>
              <w:top w:val="single" w:sz="12" w:space="0" w:color="auto"/>
              <w:left w:val="single" w:sz="12" w:space="0" w:color="auto"/>
              <w:bottom w:val="single" w:sz="12" w:space="0" w:color="auto"/>
              <w:right w:val="single" w:sz="12" w:space="0" w:color="auto"/>
            </w:tcBorders>
            <w:shd w:val="clear" w:color="auto" w:fill="FFFFFF"/>
            <w:vAlign w:val="center"/>
          </w:tcPr>
          <w:p w14:paraId="7E6BE069" w14:textId="77777777" w:rsidR="0034672C" w:rsidRPr="00D22E74" w:rsidRDefault="0034672C" w:rsidP="0034672C">
            <w:pPr>
              <w:pStyle w:val="POAACostsBest"/>
              <w:ind w:left="807" w:right="-368" w:hanging="694"/>
              <w:rPr>
                <w:rFonts w:cs="Arial"/>
                <w:sz w:val="20"/>
              </w:rPr>
            </w:pPr>
            <w:r w:rsidRPr="00D22E74">
              <w:rPr>
                <w:rFonts w:cs="Arial"/>
                <w:sz w:val="20"/>
              </w:rPr>
              <w:t xml:space="preserve">         n/a</w:t>
            </w:r>
            <w:r w:rsidRPr="00D22E74">
              <w:rPr>
                <w:rFonts w:cs="Arial"/>
                <w:sz w:val="20"/>
              </w:rPr>
              <w:fldChar w:fldCharType="begin">
                <w:ffData>
                  <w:name w:val="Text51"/>
                  <w:enabled/>
                  <w:calcOnExit w:val="0"/>
                  <w:textInput>
                    <w:maxLength w:val="14"/>
                  </w:textInput>
                </w:ffData>
              </w:fldChar>
            </w:r>
            <w:r w:rsidRPr="00D22E74">
              <w:rPr>
                <w:rFonts w:cs="Arial"/>
                <w:sz w:val="20"/>
              </w:rPr>
              <w:instrText xml:space="preserve"> FORMTEXT </w:instrText>
            </w:r>
            <w:r w:rsidRPr="00D22E74">
              <w:rPr>
                <w:rFonts w:cs="Arial"/>
                <w:sz w:val="20"/>
              </w:rPr>
            </w:r>
            <w:r w:rsidRPr="00D22E74">
              <w:rPr>
                <w:rFonts w:cs="Arial"/>
                <w:sz w:val="20"/>
              </w:rPr>
              <w:fldChar w:fldCharType="separate"/>
            </w:r>
            <w:r w:rsidRPr="00D22E74">
              <w:rPr>
                <w:rFonts w:cs="Arial"/>
                <w:noProof/>
                <w:sz w:val="20"/>
              </w:rPr>
              <w:t> </w:t>
            </w:r>
            <w:r w:rsidRPr="00D22E74">
              <w:rPr>
                <w:rFonts w:cs="Arial"/>
                <w:noProof/>
                <w:sz w:val="20"/>
              </w:rPr>
              <w:t> </w:t>
            </w:r>
            <w:r w:rsidRPr="00D22E74">
              <w:rPr>
                <w:rFonts w:cs="Arial"/>
                <w:noProof/>
                <w:sz w:val="20"/>
              </w:rPr>
              <w:t> </w:t>
            </w:r>
            <w:r w:rsidRPr="00D22E74">
              <w:rPr>
                <w:rFonts w:cs="Arial"/>
                <w:noProof/>
                <w:sz w:val="20"/>
              </w:rPr>
              <w:t> </w:t>
            </w:r>
            <w:r w:rsidRPr="00D22E74">
              <w:rPr>
                <w:rFonts w:cs="Arial"/>
                <w:noProof/>
                <w:sz w:val="20"/>
              </w:rPr>
              <w:t> </w:t>
            </w:r>
            <w:r w:rsidRPr="00D22E74">
              <w:rPr>
                <w:rFonts w:cs="Arial"/>
                <w:sz w:val="20"/>
              </w:rPr>
              <w:fldChar w:fldCharType="end"/>
            </w:r>
          </w:p>
        </w:tc>
        <w:tc>
          <w:tcPr>
            <w:tcW w:w="2929" w:type="dxa"/>
            <w:gridSpan w:val="2"/>
            <w:tcBorders>
              <w:top w:val="single" w:sz="12" w:space="0" w:color="auto"/>
              <w:left w:val="single" w:sz="12" w:space="0" w:color="auto"/>
              <w:bottom w:val="single" w:sz="12" w:space="0" w:color="auto"/>
            </w:tcBorders>
            <w:shd w:val="clear" w:color="auto" w:fill="FFFFFF"/>
            <w:vAlign w:val="center"/>
          </w:tcPr>
          <w:p w14:paraId="0B8D12AF" w14:textId="77777777" w:rsidR="0034672C" w:rsidRPr="00D22E74" w:rsidRDefault="0034672C" w:rsidP="0034672C">
            <w:pPr>
              <w:pStyle w:val="POTCCostsBest"/>
              <w:ind w:left="510" w:right="-442"/>
              <w:rPr>
                <w:rFonts w:cs="Arial"/>
                <w:sz w:val="20"/>
              </w:rPr>
            </w:pPr>
            <w:r w:rsidRPr="00D22E74">
              <w:rPr>
                <w:rFonts w:cs="Arial"/>
                <w:sz w:val="20"/>
              </w:rPr>
              <w:t>n/a</w:t>
            </w:r>
            <w:r w:rsidRPr="00D22E74">
              <w:rPr>
                <w:rFonts w:cs="Arial"/>
                <w:sz w:val="20"/>
              </w:rPr>
              <w:fldChar w:fldCharType="begin">
                <w:ffData>
                  <w:name w:val="Text54"/>
                  <w:enabled/>
                  <w:calcOnExit w:val="0"/>
                  <w:textInput>
                    <w:maxLength w:val="14"/>
                  </w:textInput>
                </w:ffData>
              </w:fldChar>
            </w:r>
            <w:r w:rsidRPr="00D22E74">
              <w:rPr>
                <w:rFonts w:cs="Arial"/>
                <w:sz w:val="20"/>
              </w:rPr>
              <w:instrText xml:space="preserve"> FORMTEXT </w:instrText>
            </w:r>
            <w:r w:rsidRPr="00D22E74">
              <w:rPr>
                <w:rFonts w:cs="Arial"/>
                <w:sz w:val="20"/>
              </w:rPr>
            </w:r>
            <w:r w:rsidRPr="00D22E74">
              <w:rPr>
                <w:rFonts w:cs="Arial"/>
                <w:sz w:val="20"/>
              </w:rPr>
              <w:fldChar w:fldCharType="separate"/>
            </w:r>
            <w:r w:rsidRPr="00D22E74">
              <w:rPr>
                <w:rFonts w:cs="Arial"/>
                <w:noProof/>
                <w:sz w:val="20"/>
              </w:rPr>
              <w:t> </w:t>
            </w:r>
            <w:r w:rsidRPr="00D22E74">
              <w:rPr>
                <w:rFonts w:cs="Arial"/>
                <w:noProof/>
                <w:sz w:val="20"/>
              </w:rPr>
              <w:t> </w:t>
            </w:r>
            <w:r w:rsidRPr="00D22E74">
              <w:rPr>
                <w:rFonts w:cs="Arial"/>
                <w:noProof/>
                <w:sz w:val="20"/>
              </w:rPr>
              <w:t> </w:t>
            </w:r>
            <w:r w:rsidRPr="00D22E74">
              <w:rPr>
                <w:rFonts w:cs="Arial"/>
                <w:noProof/>
                <w:sz w:val="20"/>
              </w:rPr>
              <w:t> </w:t>
            </w:r>
            <w:r w:rsidRPr="00D22E74">
              <w:rPr>
                <w:rFonts w:cs="Arial"/>
                <w:noProof/>
                <w:sz w:val="20"/>
              </w:rPr>
              <w:t> </w:t>
            </w:r>
            <w:r w:rsidRPr="00D22E74">
              <w:rPr>
                <w:rFonts w:cs="Arial"/>
                <w:sz w:val="20"/>
              </w:rPr>
              <w:fldChar w:fldCharType="end"/>
            </w:r>
          </w:p>
        </w:tc>
      </w:tr>
      <w:tr w:rsidR="0034672C" w:rsidRPr="00D22E74" w14:paraId="141C5C2B" w14:textId="77777777" w:rsidTr="00757177">
        <w:trPr>
          <w:trHeight w:hRule="exact" w:val="928"/>
        </w:trPr>
        <w:tc>
          <w:tcPr>
            <w:tcW w:w="10206" w:type="dxa"/>
            <w:gridSpan w:val="6"/>
          </w:tcPr>
          <w:p w14:paraId="677EE799" w14:textId="77777777" w:rsidR="0034672C" w:rsidRPr="00D22E74" w:rsidRDefault="0034672C" w:rsidP="0034672C">
            <w:pPr>
              <w:pStyle w:val="IAPOQ1"/>
              <w:rPr>
                <w:rFonts w:cs="Arial"/>
                <w:szCs w:val="22"/>
              </w:rPr>
            </w:pPr>
            <w:r w:rsidRPr="00D22E74">
              <w:rPr>
                <w:rFonts w:cs="Arial"/>
              </w:rPr>
              <w:t xml:space="preserve">Description and scale of key monetised costs by ‘main affected groups’ </w:t>
            </w:r>
          </w:p>
          <w:p w14:paraId="0A87BAF7" w14:textId="27127FCE" w:rsidR="0034672C" w:rsidRPr="00D22E74" w:rsidRDefault="0058630F" w:rsidP="0034672C">
            <w:pPr>
              <w:pStyle w:val="IAPOA1"/>
              <w:ind w:left="0"/>
              <w:rPr>
                <w:rFonts w:cs="Arial"/>
              </w:rPr>
            </w:pPr>
            <w:r>
              <w:rPr>
                <w:rFonts w:cs="Arial"/>
                <w:noProof/>
                <w:szCs w:val="22"/>
              </w:rPr>
              <w:t>N/A</w:t>
            </w:r>
          </w:p>
        </w:tc>
      </w:tr>
      <w:tr w:rsidR="0034672C" w:rsidRPr="00D22E74" w14:paraId="690654EF" w14:textId="77777777" w:rsidTr="00757177">
        <w:trPr>
          <w:trHeight w:hRule="exact" w:val="2529"/>
        </w:trPr>
        <w:tc>
          <w:tcPr>
            <w:tcW w:w="10206" w:type="dxa"/>
            <w:gridSpan w:val="6"/>
            <w:tcBorders>
              <w:bottom w:val="single" w:sz="12" w:space="0" w:color="auto"/>
            </w:tcBorders>
          </w:tcPr>
          <w:p w14:paraId="1F088735" w14:textId="160EEBE9" w:rsidR="0034672C" w:rsidRPr="00D22E74" w:rsidRDefault="0034672C" w:rsidP="0034672C">
            <w:pPr>
              <w:pStyle w:val="IAPOQ2"/>
              <w:rPr>
                <w:rFonts w:cs="Arial"/>
                <w:szCs w:val="22"/>
              </w:rPr>
            </w:pPr>
            <w:r w:rsidRPr="00D22E74">
              <w:rPr>
                <w:rFonts w:cs="Arial"/>
              </w:rPr>
              <w:t xml:space="preserve">Other key non-monetised costs by ‘main affected groups’ </w:t>
            </w:r>
          </w:p>
          <w:p w14:paraId="3BD7ED03" w14:textId="3E80DA4E" w:rsidR="00226372" w:rsidRPr="002F117E" w:rsidRDefault="00226372" w:rsidP="00226372">
            <w:pPr>
              <w:rPr>
                <w:rFonts w:ascii="Arial" w:eastAsia="SimSun" w:hAnsi="Arial" w:cs="Arial"/>
                <w:color w:val="000000"/>
                <w:spacing w:val="-5"/>
                <w:sz w:val="20"/>
                <w:szCs w:val="20"/>
                <w:lang w:eastAsia="zh-CN"/>
              </w:rPr>
            </w:pPr>
            <w:r w:rsidRPr="002F117E">
              <w:rPr>
                <w:rFonts w:ascii="Arial" w:eastAsia="SimSun" w:hAnsi="Arial" w:cs="Arial"/>
                <w:color w:val="000000"/>
                <w:spacing w:val="-5"/>
                <w:sz w:val="20"/>
                <w:szCs w:val="20"/>
                <w:lang w:eastAsia="zh-CN"/>
              </w:rPr>
              <w:t xml:space="preserve">Additional costs for </w:t>
            </w:r>
            <w:r w:rsidR="0058630F" w:rsidRPr="002F117E">
              <w:rPr>
                <w:rFonts w:ascii="Arial" w:eastAsia="SimSun" w:hAnsi="Arial" w:cs="Arial"/>
                <w:color w:val="000000"/>
                <w:spacing w:val="-5"/>
                <w:sz w:val="20"/>
                <w:szCs w:val="20"/>
                <w:lang w:eastAsia="zh-CN"/>
              </w:rPr>
              <w:t>businesses</w:t>
            </w:r>
            <w:r w:rsidRPr="002F117E">
              <w:rPr>
                <w:rFonts w:ascii="Arial" w:eastAsia="SimSun" w:hAnsi="Arial" w:cs="Arial"/>
                <w:color w:val="000000"/>
                <w:spacing w:val="-5"/>
                <w:sz w:val="20"/>
                <w:szCs w:val="20"/>
                <w:lang w:eastAsia="zh-CN"/>
              </w:rPr>
              <w:t xml:space="preserve"> to transmit the supporting data for existing registrations and authorisations to the UK agency. </w:t>
            </w:r>
            <w:r w:rsidR="00235E59" w:rsidRPr="002F117E">
              <w:rPr>
                <w:rFonts w:ascii="Arial" w:eastAsia="SimSun" w:hAnsi="Arial" w:cs="Arial"/>
                <w:color w:val="000000"/>
                <w:spacing w:val="-5"/>
                <w:sz w:val="20"/>
                <w:szCs w:val="20"/>
                <w:lang w:eastAsia="zh-CN"/>
              </w:rPr>
              <w:t>F</w:t>
            </w:r>
            <w:r w:rsidRPr="002F117E">
              <w:rPr>
                <w:rFonts w:ascii="Arial" w:eastAsia="SimSun" w:hAnsi="Arial" w:cs="Arial"/>
                <w:color w:val="000000"/>
                <w:spacing w:val="-5"/>
                <w:sz w:val="20"/>
                <w:szCs w:val="20"/>
                <w:lang w:eastAsia="zh-CN"/>
              </w:rPr>
              <w:t xml:space="preserve">amiliarisation costs </w:t>
            </w:r>
            <w:r w:rsidR="00235E59" w:rsidRPr="002F117E">
              <w:rPr>
                <w:rFonts w:ascii="Arial" w:eastAsia="SimSun" w:hAnsi="Arial" w:cs="Arial"/>
                <w:color w:val="000000"/>
                <w:spacing w:val="-5"/>
                <w:sz w:val="20"/>
                <w:szCs w:val="20"/>
                <w:lang w:eastAsia="zh-CN"/>
              </w:rPr>
              <w:t xml:space="preserve">would be </w:t>
            </w:r>
            <w:r w:rsidRPr="002F117E">
              <w:rPr>
                <w:rFonts w:ascii="Arial" w:eastAsia="SimSun" w:hAnsi="Arial" w:cs="Arial"/>
                <w:color w:val="000000"/>
                <w:spacing w:val="-5"/>
                <w:sz w:val="20"/>
                <w:szCs w:val="20"/>
                <w:lang w:eastAsia="zh-CN"/>
              </w:rPr>
              <w:t>expected to be relatively small. If access to data sharing</w:t>
            </w:r>
            <w:r w:rsidR="00235E59" w:rsidRPr="002F117E">
              <w:rPr>
                <w:rFonts w:ascii="Arial" w:eastAsia="SimSun" w:hAnsi="Arial" w:cs="Arial"/>
                <w:color w:val="000000"/>
                <w:spacing w:val="-5"/>
                <w:sz w:val="20"/>
                <w:szCs w:val="20"/>
                <w:lang w:eastAsia="zh-CN"/>
              </w:rPr>
              <w:t xml:space="preserve"> is limited</w:t>
            </w:r>
            <w:r w:rsidRPr="002F117E">
              <w:rPr>
                <w:rFonts w:ascii="Arial" w:eastAsia="SimSun" w:hAnsi="Arial" w:cs="Arial"/>
                <w:color w:val="000000"/>
                <w:spacing w:val="-5"/>
                <w:sz w:val="20"/>
                <w:szCs w:val="20"/>
                <w:lang w:eastAsia="zh-CN"/>
              </w:rPr>
              <w:t xml:space="preserve">, businesses </w:t>
            </w:r>
            <w:r w:rsidR="00235E59" w:rsidRPr="002F117E">
              <w:rPr>
                <w:rFonts w:ascii="Arial" w:eastAsia="SimSun" w:hAnsi="Arial" w:cs="Arial"/>
                <w:color w:val="000000"/>
                <w:spacing w:val="-5"/>
                <w:sz w:val="20"/>
                <w:szCs w:val="20"/>
                <w:lang w:eastAsia="zh-CN"/>
              </w:rPr>
              <w:t xml:space="preserve">could </w:t>
            </w:r>
            <w:r w:rsidRPr="002F117E">
              <w:rPr>
                <w:rFonts w:ascii="Arial" w:eastAsia="SimSun" w:hAnsi="Arial" w:cs="Arial"/>
                <w:color w:val="000000"/>
                <w:spacing w:val="-5"/>
                <w:sz w:val="20"/>
                <w:szCs w:val="20"/>
                <w:lang w:eastAsia="zh-CN"/>
              </w:rPr>
              <w:t xml:space="preserve">face higher future costs to access or to conduct new data tests. </w:t>
            </w:r>
          </w:p>
          <w:p w14:paraId="36C71299" w14:textId="1CFBC76F" w:rsidR="0058630F" w:rsidRPr="002F117E" w:rsidRDefault="00226372" w:rsidP="00226372">
            <w:pPr>
              <w:pStyle w:val="IAPOA2"/>
              <w:ind w:left="0"/>
              <w:rPr>
                <w:rFonts w:cs="Arial"/>
                <w:color w:val="000000"/>
                <w:sz w:val="20"/>
              </w:rPr>
            </w:pPr>
            <w:r w:rsidRPr="002F117E">
              <w:rPr>
                <w:rFonts w:cs="Arial"/>
                <w:color w:val="000000"/>
                <w:sz w:val="20"/>
              </w:rPr>
              <w:t>Further Government cost of building regulatory capacity.</w:t>
            </w:r>
          </w:p>
          <w:p w14:paraId="2537CED4" w14:textId="0E214B94" w:rsidR="00226372" w:rsidRPr="00D22E74" w:rsidRDefault="00226372" w:rsidP="002F117E">
            <w:pPr>
              <w:rPr>
                <w:rFonts w:cs="Arial"/>
              </w:rPr>
            </w:pPr>
          </w:p>
        </w:tc>
      </w:tr>
      <w:tr w:rsidR="0034672C" w:rsidRPr="00D22E74" w14:paraId="15A59FD6" w14:textId="77777777" w:rsidTr="00757177">
        <w:trPr>
          <w:trHeight w:hRule="exact" w:val="567"/>
        </w:trPr>
        <w:tc>
          <w:tcPr>
            <w:tcW w:w="2318" w:type="dxa"/>
            <w:shd w:val="clear" w:color="auto" w:fill="FFFFFF"/>
          </w:tcPr>
          <w:p w14:paraId="32F53E53" w14:textId="77777777" w:rsidR="0034672C" w:rsidRPr="00D22E74" w:rsidRDefault="0034672C" w:rsidP="0034672C">
            <w:pPr>
              <w:pStyle w:val="IATableLabel"/>
              <w:rPr>
                <w:rFonts w:cs="Arial"/>
                <w:sz w:val="24"/>
                <w:szCs w:val="24"/>
              </w:rPr>
            </w:pPr>
            <w:r w:rsidRPr="00D22E74">
              <w:rPr>
                <w:rFonts w:cs="Arial"/>
                <w:sz w:val="24"/>
                <w:szCs w:val="24"/>
              </w:rPr>
              <w:t>BENEFITS (£m)</w:t>
            </w:r>
          </w:p>
        </w:tc>
        <w:tc>
          <w:tcPr>
            <w:tcW w:w="2426" w:type="dxa"/>
            <w:gridSpan w:val="2"/>
            <w:tcBorders>
              <w:top w:val="single" w:sz="12" w:space="0" w:color="auto"/>
            </w:tcBorders>
          </w:tcPr>
          <w:p w14:paraId="0564C668" w14:textId="77777777" w:rsidR="0034672C" w:rsidRPr="00D22E74" w:rsidRDefault="0034672C" w:rsidP="0034672C">
            <w:pPr>
              <w:pStyle w:val="IATableLabel"/>
              <w:tabs>
                <w:tab w:val="right" w:pos="1797"/>
                <w:tab w:val="center" w:pos="2340"/>
              </w:tabs>
              <w:jc w:val="right"/>
              <w:rPr>
                <w:rFonts w:cs="Arial"/>
              </w:rPr>
            </w:pPr>
            <w:r w:rsidRPr="00D22E74">
              <w:rPr>
                <w:rFonts w:cs="Arial"/>
              </w:rPr>
              <w:t xml:space="preserve">Total Transition </w:t>
            </w:r>
            <w:r w:rsidRPr="00D22E74">
              <w:rPr>
                <w:rFonts w:cs="Arial"/>
              </w:rPr>
              <w:br/>
            </w:r>
            <w:r w:rsidRPr="00D22E74">
              <w:rPr>
                <w:rFonts w:cs="Arial"/>
              </w:rPr>
              <w:tab/>
            </w:r>
            <w:r w:rsidRPr="00D22E74">
              <w:rPr>
                <w:rFonts w:cs="Arial"/>
                <w:b w:val="0"/>
                <w:sz w:val="18"/>
                <w:szCs w:val="18"/>
              </w:rPr>
              <w:t>(Constant Price)</w:t>
            </w:r>
            <w:r w:rsidRPr="00D22E74">
              <w:rPr>
                <w:rFonts w:cs="Arial"/>
              </w:rPr>
              <w:tab/>
            </w:r>
            <w:r w:rsidRPr="00D22E74">
              <w:rPr>
                <w:rFonts w:cs="Arial"/>
                <w:b w:val="0"/>
                <w:sz w:val="18"/>
                <w:szCs w:val="18"/>
              </w:rPr>
              <w:t>Yea</w:t>
            </w:r>
            <w:r w:rsidRPr="00D22E74">
              <w:rPr>
                <w:rFonts w:cs="Arial"/>
                <w:b w:val="0"/>
                <w:bCs/>
                <w:sz w:val="18"/>
                <w:szCs w:val="18"/>
              </w:rPr>
              <w:t>r</w:t>
            </w:r>
            <w:r w:rsidRPr="00D22E74">
              <w:rPr>
                <w:rFonts w:cs="Arial"/>
                <w:b w:val="0"/>
                <w:sz w:val="18"/>
                <w:szCs w:val="18"/>
              </w:rPr>
              <w:t>s</w:t>
            </w:r>
          </w:p>
          <w:p w14:paraId="061C2581" w14:textId="77777777" w:rsidR="0034672C" w:rsidRPr="00D22E74" w:rsidRDefault="0034672C" w:rsidP="0034672C">
            <w:pPr>
              <w:pStyle w:val="IATableLabel"/>
              <w:jc w:val="right"/>
              <w:rPr>
                <w:rFonts w:cs="Arial"/>
              </w:rPr>
            </w:pPr>
            <w:r w:rsidRPr="00D22E74">
              <w:rPr>
                <w:rFonts w:cs="Arial"/>
              </w:rPr>
              <w:br/>
            </w:r>
          </w:p>
        </w:tc>
        <w:tc>
          <w:tcPr>
            <w:tcW w:w="2533" w:type="dxa"/>
            <w:tcBorders>
              <w:right w:val="single" w:sz="12" w:space="0" w:color="auto"/>
            </w:tcBorders>
          </w:tcPr>
          <w:p w14:paraId="00D76F4E" w14:textId="77777777" w:rsidR="0034672C" w:rsidRPr="00D22E74" w:rsidRDefault="0034672C" w:rsidP="0034672C">
            <w:pPr>
              <w:pStyle w:val="IATableLabel"/>
              <w:jc w:val="right"/>
              <w:rPr>
                <w:rFonts w:cs="Arial"/>
                <w:bCs/>
              </w:rPr>
            </w:pPr>
            <w:r w:rsidRPr="00D22E74">
              <w:rPr>
                <w:rFonts w:cs="Arial"/>
              </w:rPr>
              <w:t xml:space="preserve">Average Annual </w:t>
            </w:r>
            <w:r w:rsidRPr="00D22E74">
              <w:rPr>
                <w:rFonts w:cs="Arial"/>
              </w:rPr>
              <w:br/>
            </w:r>
            <w:r w:rsidRPr="00D22E74">
              <w:rPr>
                <w:rFonts w:cs="Arial"/>
                <w:b w:val="0"/>
                <w:sz w:val="18"/>
                <w:szCs w:val="18"/>
              </w:rPr>
              <w:t xml:space="preserve">(excl. Transition) </w:t>
            </w:r>
            <w:r w:rsidRPr="00D22E74">
              <w:rPr>
                <w:rFonts w:cs="Arial"/>
                <w:b w:val="0"/>
                <w:bCs/>
                <w:sz w:val="18"/>
                <w:szCs w:val="18"/>
              </w:rPr>
              <w:t>(Constant Price)</w:t>
            </w:r>
          </w:p>
        </w:tc>
        <w:tc>
          <w:tcPr>
            <w:tcW w:w="2929" w:type="dxa"/>
            <w:gridSpan w:val="2"/>
            <w:tcBorders>
              <w:top w:val="single" w:sz="12" w:space="0" w:color="auto"/>
              <w:left w:val="single" w:sz="12" w:space="0" w:color="auto"/>
            </w:tcBorders>
          </w:tcPr>
          <w:p w14:paraId="63D5A19B" w14:textId="77777777" w:rsidR="0034672C" w:rsidRPr="00D22E74" w:rsidRDefault="0034672C" w:rsidP="0034672C">
            <w:pPr>
              <w:pStyle w:val="IATableLabel"/>
              <w:jc w:val="right"/>
              <w:rPr>
                <w:rFonts w:cs="Arial"/>
              </w:rPr>
            </w:pPr>
            <w:r w:rsidRPr="00D22E74">
              <w:rPr>
                <w:rFonts w:cs="Arial"/>
              </w:rPr>
              <w:t>Total Benefit</w:t>
            </w:r>
            <w:r w:rsidRPr="00D22E74">
              <w:rPr>
                <w:rFonts w:cs="Arial"/>
                <w:b w:val="0"/>
                <w:sz w:val="18"/>
                <w:szCs w:val="18"/>
              </w:rPr>
              <w:t xml:space="preserve"> </w:t>
            </w:r>
            <w:r w:rsidRPr="00D22E74">
              <w:rPr>
                <w:rFonts w:cs="Arial"/>
                <w:b w:val="0"/>
                <w:sz w:val="18"/>
                <w:szCs w:val="18"/>
              </w:rPr>
              <w:br/>
              <w:t>(Present Value)</w:t>
            </w:r>
          </w:p>
        </w:tc>
      </w:tr>
      <w:tr w:rsidR="0034672C" w:rsidRPr="00D22E74" w14:paraId="00AC2FEB" w14:textId="77777777" w:rsidTr="00757177">
        <w:trPr>
          <w:trHeight w:hRule="exact" w:val="348"/>
        </w:trPr>
        <w:tc>
          <w:tcPr>
            <w:tcW w:w="2318" w:type="dxa"/>
            <w:vAlign w:val="center"/>
          </w:tcPr>
          <w:p w14:paraId="0DF1A299" w14:textId="77777777" w:rsidR="0034672C" w:rsidRPr="00D22E74" w:rsidRDefault="0034672C" w:rsidP="0034672C">
            <w:pPr>
              <w:pStyle w:val="IATableLabel"/>
              <w:rPr>
                <w:rFonts w:cs="Arial"/>
              </w:rPr>
            </w:pPr>
            <w:r w:rsidRPr="00D22E74">
              <w:rPr>
                <w:rFonts w:cs="Arial"/>
              </w:rPr>
              <w:t xml:space="preserve">Low </w:t>
            </w:r>
          </w:p>
        </w:tc>
        <w:tc>
          <w:tcPr>
            <w:tcW w:w="1725" w:type="dxa"/>
            <w:vAlign w:val="center"/>
          </w:tcPr>
          <w:p w14:paraId="09F7707F" w14:textId="77777777" w:rsidR="0034672C" w:rsidRPr="00D22E74" w:rsidRDefault="0034672C" w:rsidP="0034672C">
            <w:pPr>
              <w:pStyle w:val="POTTBenLow"/>
              <w:rPr>
                <w:rFonts w:cs="Arial"/>
                <w:sz w:val="20"/>
              </w:rPr>
            </w:pPr>
            <w:r w:rsidRPr="00D22E74">
              <w:rPr>
                <w:rFonts w:cs="Arial"/>
                <w:sz w:val="20"/>
              </w:rPr>
              <w:t>n/a</w:t>
            </w:r>
          </w:p>
        </w:tc>
        <w:tc>
          <w:tcPr>
            <w:tcW w:w="701" w:type="dxa"/>
            <w:vMerge w:val="restart"/>
            <w:vAlign w:val="center"/>
          </w:tcPr>
          <w:p w14:paraId="74A3725A" w14:textId="77777777" w:rsidR="0034672C" w:rsidRPr="00D22E74" w:rsidRDefault="0034672C" w:rsidP="0034672C">
            <w:pPr>
              <w:pStyle w:val="IATableText"/>
              <w:jc w:val="center"/>
              <w:rPr>
                <w:rFonts w:cs="Arial"/>
                <w:sz w:val="20"/>
              </w:rPr>
            </w:pPr>
            <w:r w:rsidRPr="00D22E74">
              <w:rPr>
                <w:rFonts w:cs="Arial"/>
                <w:sz w:val="20"/>
              </w:rPr>
              <w:fldChar w:fldCharType="begin">
                <w:ffData>
                  <w:name w:val="Text48"/>
                  <w:enabled/>
                  <w:calcOnExit w:val="0"/>
                  <w:textInput>
                    <w:maxLength w:val="3"/>
                  </w:textInput>
                </w:ffData>
              </w:fldChar>
            </w:r>
            <w:r w:rsidRPr="00D22E74">
              <w:rPr>
                <w:rFonts w:cs="Arial"/>
                <w:sz w:val="20"/>
              </w:rPr>
              <w:instrText xml:space="preserve"> FORMTEXT </w:instrText>
            </w:r>
            <w:r w:rsidRPr="00D22E74">
              <w:rPr>
                <w:rFonts w:cs="Arial"/>
                <w:sz w:val="20"/>
              </w:rPr>
            </w:r>
            <w:r w:rsidRPr="00D22E74">
              <w:rPr>
                <w:rFonts w:cs="Arial"/>
                <w:sz w:val="20"/>
              </w:rPr>
              <w:fldChar w:fldCharType="separate"/>
            </w:r>
            <w:r w:rsidRPr="00D22E74">
              <w:rPr>
                <w:rFonts w:cs="Arial"/>
                <w:noProof/>
                <w:sz w:val="20"/>
              </w:rPr>
              <w:t> </w:t>
            </w:r>
            <w:r w:rsidRPr="00D22E74">
              <w:rPr>
                <w:rFonts w:cs="Arial"/>
                <w:noProof/>
                <w:sz w:val="20"/>
              </w:rPr>
              <w:t> </w:t>
            </w:r>
            <w:r w:rsidRPr="00D22E74">
              <w:rPr>
                <w:rFonts w:cs="Arial"/>
                <w:noProof/>
                <w:sz w:val="20"/>
              </w:rPr>
              <w:t> </w:t>
            </w:r>
            <w:r w:rsidRPr="00D22E74">
              <w:rPr>
                <w:rFonts w:cs="Arial"/>
                <w:sz w:val="20"/>
              </w:rPr>
              <w:fldChar w:fldCharType="end"/>
            </w:r>
          </w:p>
        </w:tc>
        <w:tc>
          <w:tcPr>
            <w:tcW w:w="2533" w:type="dxa"/>
            <w:tcBorders>
              <w:right w:val="single" w:sz="12" w:space="0" w:color="auto"/>
            </w:tcBorders>
            <w:vAlign w:val="center"/>
          </w:tcPr>
          <w:p w14:paraId="3D66EC11" w14:textId="77777777" w:rsidR="0034672C" w:rsidRPr="00D22E74" w:rsidRDefault="0034672C" w:rsidP="0034672C">
            <w:pPr>
              <w:pStyle w:val="POAABenLow"/>
              <w:rPr>
                <w:rFonts w:cs="Arial"/>
                <w:sz w:val="20"/>
              </w:rPr>
            </w:pPr>
            <w:r w:rsidRPr="00D22E74">
              <w:rPr>
                <w:rFonts w:cs="Arial"/>
                <w:sz w:val="20"/>
              </w:rPr>
              <w:t>n/a</w:t>
            </w:r>
          </w:p>
        </w:tc>
        <w:tc>
          <w:tcPr>
            <w:tcW w:w="2929" w:type="dxa"/>
            <w:gridSpan w:val="2"/>
            <w:tcBorders>
              <w:left w:val="single" w:sz="12" w:space="0" w:color="auto"/>
            </w:tcBorders>
            <w:vAlign w:val="center"/>
          </w:tcPr>
          <w:p w14:paraId="307B2E4E" w14:textId="77777777" w:rsidR="0034672C" w:rsidRPr="00D22E74" w:rsidRDefault="0034672C" w:rsidP="0034672C">
            <w:pPr>
              <w:pStyle w:val="POTBBenLow"/>
              <w:rPr>
                <w:rFonts w:cs="Arial"/>
                <w:sz w:val="20"/>
              </w:rPr>
            </w:pPr>
            <w:r w:rsidRPr="00D22E74">
              <w:rPr>
                <w:rFonts w:cs="Arial"/>
                <w:sz w:val="20"/>
              </w:rPr>
              <w:t>n/a</w:t>
            </w:r>
          </w:p>
        </w:tc>
      </w:tr>
      <w:tr w:rsidR="0034672C" w:rsidRPr="00D22E74" w14:paraId="082FEA26" w14:textId="77777777" w:rsidTr="00757177">
        <w:trPr>
          <w:trHeight w:hRule="exact" w:val="348"/>
        </w:trPr>
        <w:tc>
          <w:tcPr>
            <w:tcW w:w="2318" w:type="dxa"/>
            <w:tcBorders>
              <w:bottom w:val="single" w:sz="12" w:space="0" w:color="auto"/>
            </w:tcBorders>
            <w:vAlign w:val="center"/>
          </w:tcPr>
          <w:p w14:paraId="68B70C15" w14:textId="77777777" w:rsidR="0034672C" w:rsidRPr="00D22E74" w:rsidRDefault="0034672C" w:rsidP="0034672C">
            <w:pPr>
              <w:pStyle w:val="IATableLabel"/>
              <w:rPr>
                <w:rFonts w:cs="Arial"/>
              </w:rPr>
            </w:pPr>
            <w:r w:rsidRPr="00D22E74">
              <w:rPr>
                <w:rFonts w:cs="Arial"/>
              </w:rPr>
              <w:t xml:space="preserve">High </w:t>
            </w:r>
          </w:p>
        </w:tc>
        <w:tc>
          <w:tcPr>
            <w:tcW w:w="1725" w:type="dxa"/>
            <w:tcBorders>
              <w:bottom w:val="single" w:sz="12" w:space="0" w:color="auto"/>
            </w:tcBorders>
            <w:vAlign w:val="center"/>
          </w:tcPr>
          <w:p w14:paraId="515766EF" w14:textId="77777777" w:rsidR="0034672C" w:rsidRPr="00D22E74" w:rsidRDefault="0034672C" w:rsidP="0034672C">
            <w:pPr>
              <w:pStyle w:val="POTTBenHigh"/>
              <w:rPr>
                <w:rFonts w:cs="Arial"/>
                <w:sz w:val="20"/>
              </w:rPr>
            </w:pPr>
            <w:r w:rsidRPr="00D22E74">
              <w:rPr>
                <w:rFonts w:cs="Arial"/>
                <w:sz w:val="20"/>
              </w:rPr>
              <w:t>n/a</w:t>
            </w:r>
          </w:p>
        </w:tc>
        <w:tc>
          <w:tcPr>
            <w:tcW w:w="701" w:type="dxa"/>
            <w:vMerge/>
            <w:shd w:val="clear" w:color="auto" w:fill="FFFFFF"/>
            <w:vAlign w:val="center"/>
          </w:tcPr>
          <w:p w14:paraId="2114B3F2" w14:textId="77777777" w:rsidR="0034672C" w:rsidRPr="00D22E74" w:rsidRDefault="0034672C" w:rsidP="0034672C">
            <w:pPr>
              <w:pStyle w:val="IATableText"/>
              <w:jc w:val="right"/>
              <w:rPr>
                <w:rFonts w:cs="Arial"/>
                <w:sz w:val="20"/>
              </w:rPr>
            </w:pPr>
          </w:p>
        </w:tc>
        <w:tc>
          <w:tcPr>
            <w:tcW w:w="2533" w:type="dxa"/>
            <w:tcBorders>
              <w:bottom w:val="single" w:sz="12" w:space="0" w:color="auto"/>
              <w:right w:val="single" w:sz="12" w:space="0" w:color="auto"/>
            </w:tcBorders>
            <w:vAlign w:val="center"/>
          </w:tcPr>
          <w:p w14:paraId="32480B94" w14:textId="77777777" w:rsidR="0034672C" w:rsidRPr="00D22E74" w:rsidRDefault="0034672C" w:rsidP="0034672C">
            <w:pPr>
              <w:pStyle w:val="POAABenHigh"/>
              <w:rPr>
                <w:rFonts w:cs="Arial"/>
                <w:sz w:val="20"/>
              </w:rPr>
            </w:pPr>
            <w:r w:rsidRPr="00D22E74">
              <w:rPr>
                <w:rFonts w:cs="Arial"/>
                <w:sz w:val="20"/>
              </w:rPr>
              <w:t>n/a</w:t>
            </w:r>
          </w:p>
        </w:tc>
        <w:tc>
          <w:tcPr>
            <w:tcW w:w="2929" w:type="dxa"/>
            <w:gridSpan w:val="2"/>
            <w:tcBorders>
              <w:left w:val="single" w:sz="12" w:space="0" w:color="auto"/>
              <w:bottom w:val="single" w:sz="12" w:space="0" w:color="auto"/>
            </w:tcBorders>
            <w:vAlign w:val="center"/>
          </w:tcPr>
          <w:p w14:paraId="10F0FD3E" w14:textId="77777777" w:rsidR="0034672C" w:rsidRPr="00D22E74" w:rsidRDefault="0034672C" w:rsidP="0034672C">
            <w:pPr>
              <w:pStyle w:val="POTBBenHigh"/>
              <w:rPr>
                <w:rFonts w:cs="Arial"/>
                <w:sz w:val="20"/>
              </w:rPr>
            </w:pPr>
            <w:r w:rsidRPr="00D22E74">
              <w:rPr>
                <w:rFonts w:cs="Arial"/>
                <w:sz w:val="20"/>
              </w:rPr>
              <w:t>n/a</w:t>
            </w:r>
          </w:p>
        </w:tc>
      </w:tr>
      <w:tr w:rsidR="0034672C" w:rsidRPr="00D22E74" w14:paraId="1EB97F2E" w14:textId="77777777" w:rsidTr="00757177">
        <w:trPr>
          <w:trHeight w:hRule="exact" w:val="348"/>
        </w:trPr>
        <w:tc>
          <w:tcPr>
            <w:tcW w:w="2318" w:type="dxa"/>
            <w:tcBorders>
              <w:top w:val="single" w:sz="12" w:space="0" w:color="auto"/>
              <w:bottom w:val="single" w:sz="12" w:space="0" w:color="auto"/>
              <w:right w:val="single" w:sz="12" w:space="0" w:color="auto"/>
            </w:tcBorders>
            <w:shd w:val="clear" w:color="auto" w:fill="FFFFFF"/>
            <w:vAlign w:val="center"/>
          </w:tcPr>
          <w:p w14:paraId="3136773E" w14:textId="77777777" w:rsidR="0034672C" w:rsidRPr="00D22E74" w:rsidRDefault="0034672C" w:rsidP="0034672C">
            <w:pPr>
              <w:pStyle w:val="IATableLabel"/>
              <w:rPr>
                <w:rFonts w:cs="Arial"/>
              </w:rPr>
            </w:pPr>
            <w:r w:rsidRPr="00D22E74">
              <w:rPr>
                <w:rFonts w:cs="Arial"/>
              </w:rPr>
              <w:t>Best Estimate</w:t>
            </w:r>
          </w:p>
          <w:p w14:paraId="11894B49" w14:textId="77777777" w:rsidR="0034672C" w:rsidRPr="00D22E74" w:rsidRDefault="0034672C" w:rsidP="0034672C">
            <w:pPr>
              <w:pStyle w:val="IATableNotes"/>
              <w:spacing w:beforeLines="40" w:before="96"/>
              <w:ind w:left="0" w:right="-22"/>
              <w:jc w:val="center"/>
              <w:rPr>
                <w:rFonts w:cs="Arial"/>
                <w:b/>
                <w:sz w:val="20"/>
              </w:rPr>
            </w:pPr>
          </w:p>
        </w:tc>
        <w:tc>
          <w:tcPr>
            <w:tcW w:w="1725" w:type="dxa"/>
            <w:tcBorders>
              <w:top w:val="single" w:sz="12" w:space="0" w:color="auto"/>
              <w:left w:val="single" w:sz="12" w:space="0" w:color="auto"/>
              <w:bottom w:val="single" w:sz="12" w:space="0" w:color="auto"/>
              <w:right w:val="single" w:sz="12" w:space="0" w:color="auto"/>
            </w:tcBorders>
            <w:shd w:val="clear" w:color="auto" w:fill="FFFFFF"/>
            <w:vAlign w:val="center"/>
          </w:tcPr>
          <w:p w14:paraId="5B19E71D" w14:textId="77777777" w:rsidR="0034672C" w:rsidRPr="00D22E74" w:rsidRDefault="0034672C" w:rsidP="0034672C">
            <w:pPr>
              <w:pStyle w:val="POTTBenBest"/>
              <w:rPr>
                <w:rFonts w:cs="Arial"/>
                <w:sz w:val="20"/>
              </w:rPr>
            </w:pPr>
            <w:r w:rsidRPr="00D22E74">
              <w:rPr>
                <w:rFonts w:cs="Arial"/>
                <w:sz w:val="20"/>
              </w:rPr>
              <w:t>n/a</w:t>
            </w:r>
          </w:p>
        </w:tc>
        <w:tc>
          <w:tcPr>
            <w:tcW w:w="701" w:type="dxa"/>
            <w:vMerge/>
            <w:tcBorders>
              <w:left w:val="single" w:sz="12" w:space="0" w:color="auto"/>
              <w:right w:val="single" w:sz="12" w:space="0" w:color="auto"/>
            </w:tcBorders>
            <w:shd w:val="clear" w:color="auto" w:fill="FFFFFF"/>
            <w:vAlign w:val="center"/>
          </w:tcPr>
          <w:p w14:paraId="0BC43B33" w14:textId="77777777" w:rsidR="0034672C" w:rsidRPr="00D22E74" w:rsidRDefault="0034672C" w:rsidP="0034672C">
            <w:pPr>
              <w:pStyle w:val="IATableText"/>
              <w:jc w:val="right"/>
              <w:rPr>
                <w:rFonts w:cs="Arial"/>
                <w:sz w:val="20"/>
              </w:rPr>
            </w:pPr>
          </w:p>
        </w:tc>
        <w:tc>
          <w:tcPr>
            <w:tcW w:w="2533" w:type="dxa"/>
            <w:tcBorders>
              <w:top w:val="single" w:sz="12" w:space="0" w:color="auto"/>
              <w:left w:val="single" w:sz="12" w:space="0" w:color="auto"/>
              <w:bottom w:val="single" w:sz="12" w:space="0" w:color="auto"/>
              <w:right w:val="single" w:sz="12" w:space="0" w:color="auto"/>
            </w:tcBorders>
            <w:shd w:val="clear" w:color="auto" w:fill="FFFFFF"/>
            <w:vAlign w:val="center"/>
          </w:tcPr>
          <w:p w14:paraId="021FCA14" w14:textId="77777777" w:rsidR="0034672C" w:rsidRPr="00D22E74" w:rsidRDefault="0034672C" w:rsidP="0034672C">
            <w:pPr>
              <w:pStyle w:val="POAABenBest"/>
              <w:rPr>
                <w:rFonts w:cs="Arial"/>
                <w:sz w:val="20"/>
              </w:rPr>
            </w:pPr>
            <w:r w:rsidRPr="00D22E74">
              <w:rPr>
                <w:rFonts w:cs="Arial"/>
                <w:sz w:val="20"/>
              </w:rPr>
              <w:t>n/a</w:t>
            </w:r>
          </w:p>
        </w:tc>
        <w:tc>
          <w:tcPr>
            <w:tcW w:w="2929" w:type="dxa"/>
            <w:gridSpan w:val="2"/>
            <w:tcBorders>
              <w:top w:val="single" w:sz="12" w:space="0" w:color="auto"/>
              <w:left w:val="single" w:sz="12" w:space="0" w:color="auto"/>
              <w:bottom w:val="single" w:sz="12" w:space="0" w:color="auto"/>
            </w:tcBorders>
            <w:shd w:val="clear" w:color="auto" w:fill="FFFFFF"/>
            <w:vAlign w:val="center"/>
          </w:tcPr>
          <w:p w14:paraId="18981DBC" w14:textId="77777777" w:rsidR="0034672C" w:rsidRPr="00D22E74" w:rsidRDefault="0034672C" w:rsidP="0034672C">
            <w:pPr>
              <w:pStyle w:val="POTBBenBest"/>
              <w:rPr>
                <w:rFonts w:cs="Arial"/>
                <w:sz w:val="20"/>
              </w:rPr>
            </w:pPr>
            <w:r w:rsidRPr="00D22E74">
              <w:rPr>
                <w:rFonts w:cs="Arial"/>
                <w:sz w:val="20"/>
              </w:rPr>
              <w:t>n/a</w:t>
            </w:r>
          </w:p>
        </w:tc>
      </w:tr>
      <w:tr w:rsidR="0034672C" w:rsidRPr="00D22E74" w14:paraId="056BA088" w14:textId="77777777" w:rsidTr="00757177">
        <w:trPr>
          <w:trHeight w:hRule="exact" w:val="674"/>
        </w:trPr>
        <w:tc>
          <w:tcPr>
            <w:tcW w:w="10206" w:type="dxa"/>
            <w:gridSpan w:val="6"/>
          </w:tcPr>
          <w:p w14:paraId="4D50D5F0" w14:textId="77777777" w:rsidR="0034672C" w:rsidRPr="00D22E74" w:rsidRDefault="0034672C" w:rsidP="0034672C">
            <w:pPr>
              <w:pStyle w:val="IPPOQ3"/>
              <w:rPr>
                <w:rFonts w:cs="Arial"/>
                <w:szCs w:val="22"/>
              </w:rPr>
            </w:pPr>
            <w:r w:rsidRPr="00D22E74">
              <w:rPr>
                <w:rFonts w:cs="Arial"/>
              </w:rPr>
              <w:t xml:space="preserve">Description and scale of key monetised benefits by ‘main affected groups’ </w:t>
            </w:r>
          </w:p>
          <w:p w14:paraId="312C23F1" w14:textId="74A85185" w:rsidR="00226372" w:rsidRPr="003D61D5" w:rsidRDefault="0058630F" w:rsidP="003D61D5">
            <w:pPr>
              <w:pStyle w:val="IAPOA3"/>
              <w:rPr>
                <w:rFonts w:cs="Arial"/>
                <w:noProof/>
                <w:szCs w:val="22"/>
              </w:rPr>
            </w:pPr>
            <w:r>
              <w:rPr>
                <w:rFonts w:cs="Arial"/>
                <w:noProof/>
                <w:szCs w:val="22"/>
              </w:rPr>
              <w:t>N/A</w:t>
            </w:r>
          </w:p>
        </w:tc>
      </w:tr>
      <w:tr w:rsidR="0034672C" w:rsidRPr="00D22E74" w14:paraId="1BCBCE0B" w14:textId="77777777" w:rsidTr="00757177">
        <w:trPr>
          <w:trHeight w:hRule="exact" w:val="1973"/>
        </w:trPr>
        <w:tc>
          <w:tcPr>
            <w:tcW w:w="10206" w:type="dxa"/>
            <w:gridSpan w:val="6"/>
          </w:tcPr>
          <w:p w14:paraId="0CFA3BEE" w14:textId="77777777" w:rsidR="0034672C" w:rsidRPr="00D22E74" w:rsidRDefault="0034672C" w:rsidP="0034672C">
            <w:pPr>
              <w:pStyle w:val="IAPOQ4"/>
              <w:rPr>
                <w:rFonts w:cs="Arial"/>
                <w:szCs w:val="22"/>
              </w:rPr>
            </w:pPr>
            <w:r w:rsidRPr="00D22E74">
              <w:rPr>
                <w:rFonts w:cs="Arial"/>
              </w:rPr>
              <w:t xml:space="preserve">Other key non-monetised benefits by ‘main affected groups’ </w:t>
            </w:r>
          </w:p>
          <w:p w14:paraId="76D9C79D" w14:textId="7043B86D" w:rsidR="000515B6" w:rsidRPr="00D22E74" w:rsidRDefault="000515B6" w:rsidP="000515B6">
            <w:pPr>
              <w:pStyle w:val="IAPOA4"/>
              <w:rPr>
                <w:rFonts w:cs="Arial"/>
              </w:rPr>
            </w:pPr>
            <w:r w:rsidRPr="00235E59">
              <w:rPr>
                <w:rFonts w:cs="Arial"/>
                <w:color w:val="000000"/>
                <w:sz w:val="20"/>
              </w:rPr>
              <w:t>This</w:t>
            </w:r>
            <w:r>
              <w:rPr>
                <w:rFonts w:eastAsia="Arial" w:cs="Arial"/>
                <w:color w:val="000000"/>
              </w:rPr>
              <w:t xml:space="preserve"> </w:t>
            </w:r>
            <w:r w:rsidRPr="00235E59">
              <w:rPr>
                <w:rFonts w:cs="Arial"/>
                <w:color w:val="000000"/>
                <w:sz w:val="20"/>
              </w:rPr>
              <w:t>statutory instrument would ena</w:t>
            </w:r>
            <w:r w:rsidR="006849B4" w:rsidRPr="00235E59">
              <w:rPr>
                <w:rFonts w:cs="Arial"/>
                <w:color w:val="000000"/>
                <w:sz w:val="20"/>
              </w:rPr>
              <w:t>ct</w:t>
            </w:r>
            <w:r w:rsidRPr="00235E59">
              <w:rPr>
                <w:rFonts w:cs="Arial"/>
                <w:color w:val="000000"/>
                <w:sz w:val="20"/>
              </w:rPr>
              <w:t xml:space="preserve"> the necessary legislative amendments to make the regulatory system operable in the UK after Day 1 and thereby provide continuity, stability and legal certainty for businesses and UK regulatory authorities. This would maintain the drivers of the health and environmental benefits</w:t>
            </w:r>
            <w:r w:rsidR="003D61D5" w:rsidRPr="00235E59">
              <w:rPr>
                <w:rFonts w:cs="Arial"/>
                <w:color w:val="000000"/>
                <w:sz w:val="20"/>
              </w:rPr>
              <w:t xml:space="preserve"> in the static acquis baseline</w:t>
            </w:r>
            <w:r w:rsidRPr="00235E59">
              <w:rPr>
                <w:rFonts w:cs="Arial"/>
                <w:color w:val="000000"/>
                <w:sz w:val="20"/>
              </w:rPr>
              <w:t>.</w:t>
            </w:r>
            <w:r>
              <w:rPr>
                <w:rFonts w:eastAsia="Arial" w:cs="Arial"/>
                <w:color w:val="000000"/>
              </w:rPr>
              <w:t xml:space="preserve"> </w:t>
            </w:r>
          </w:p>
        </w:tc>
      </w:tr>
      <w:tr w:rsidR="0034672C" w:rsidRPr="00D22E74" w14:paraId="019470C8" w14:textId="77777777" w:rsidTr="00757177">
        <w:trPr>
          <w:trHeight w:hRule="exact" w:val="555"/>
        </w:trPr>
        <w:tc>
          <w:tcPr>
            <w:tcW w:w="8844" w:type="dxa"/>
            <w:gridSpan w:val="5"/>
            <w:tcBorders>
              <w:bottom w:val="nil"/>
            </w:tcBorders>
          </w:tcPr>
          <w:p w14:paraId="74AC4725" w14:textId="77777777" w:rsidR="0034672C" w:rsidRPr="00D22E74" w:rsidRDefault="0034672C" w:rsidP="0034672C">
            <w:pPr>
              <w:pStyle w:val="IATableLabel"/>
              <w:tabs>
                <w:tab w:val="left" w:pos="7655"/>
              </w:tabs>
              <w:rPr>
                <w:rFonts w:cs="Arial"/>
              </w:rPr>
            </w:pPr>
            <w:r w:rsidRPr="00D22E74">
              <w:rPr>
                <w:rStyle w:val="IAPOQ5Char"/>
                <w:rFonts w:cs="Arial"/>
              </w:rPr>
              <w:t>Key assumptions/sensitivities/risks</w:t>
            </w:r>
            <w:r w:rsidRPr="00D22E74">
              <w:rPr>
                <w:rFonts w:cs="Arial"/>
              </w:rPr>
              <w:tab/>
              <w:t>Discount rate (%)</w:t>
            </w:r>
          </w:p>
          <w:p w14:paraId="10325DC4" w14:textId="77777777" w:rsidR="0034672C" w:rsidRPr="00D22E74" w:rsidRDefault="0034672C" w:rsidP="0034672C">
            <w:pPr>
              <w:pStyle w:val="IATableLabel"/>
              <w:rPr>
                <w:rFonts w:cs="Arial"/>
              </w:rPr>
            </w:pPr>
          </w:p>
        </w:tc>
        <w:tc>
          <w:tcPr>
            <w:tcW w:w="1362" w:type="dxa"/>
            <w:tcBorders>
              <w:bottom w:val="single" w:sz="4" w:space="0" w:color="auto"/>
            </w:tcBorders>
          </w:tcPr>
          <w:p w14:paraId="7743DD79" w14:textId="77777777" w:rsidR="0034672C" w:rsidRPr="00D22E74" w:rsidRDefault="0034672C" w:rsidP="0034672C">
            <w:pPr>
              <w:pStyle w:val="IAPODisRate"/>
              <w:jc w:val="left"/>
              <w:rPr>
                <w:rFonts w:cs="Arial"/>
              </w:rPr>
            </w:pPr>
            <w:r w:rsidRPr="00D22E74">
              <w:rPr>
                <w:rFonts w:cs="Arial"/>
              </w:rPr>
              <w:t>n/a</w:t>
            </w:r>
          </w:p>
        </w:tc>
      </w:tr>
      <w:tr w:rsidR="0034672C" w:rsidRPr="00D22E74" w14:paraId="35B7BA9C" w14:textId="77777777" w:rsidTr="00757177">
        <w:trPr>
          <w:trHeight w:hRule="exact" w:val="709"/>
        </w:trPr>
        <w:tc>
          <w:tcPr>
            <w:tcW w:w="10206" w:type="dxa"/>
            <w:gridSpan w:val="6"/>
            <w:tcBorders>
              <w:top w:val="nil"/>
              <w:bottom w:val="single" w:sz="12" w:space="0" w:color="auto"/>
            </w:tcBorders>
          </w:tcPr>
          <w:p w14:paraId="36B76C05" w14:textId="5ED113FF" w:rsidR="0034672C" w:rsidRPr="00D22E74" w:rsidRDefault="003D61D5" w:rsidP="0034672C">
            <w:pPr>
              <w:pStyle w:val="IAPOA5"/>
              <w:rPr>
                <w:rFonts w:cs="Arial"/>
              </w:rPr>
            </w:pPr>
            <w:r>
              <w:rPr>
                <w:rFonts w:cs="Arial"/>
                <w:noProof/>
                <w:szCs w:val="22"/>
              </w:rPr>
              <w:t>n/a</w:t>
            </w:r>
          </w:p>
        </w:tc>
      </w:tr>
    </w:tbl>
    <w:p w14:paraId="647EB9DA" w14:textId="77777777" w:rsidR="0034672C" w:rsidRPr="00D22E74" w:rsidRDefault="0034672C" w:rsidP="0034672C">
      <w:pPr>
        <w:pStyle w:val="IASpacer"/>
        <w:rPr>
          <w:rFonts w:cs="Arial"/>
        </w:rPr>
      </w:pPr>
    </w:p>
    <w:p w14:paraId="6CACCF76" w14:textId="77777777" w:rsidR="0034672C" w:rsidRPr="00D22E74" w:rsidRDefault="0034672C" w:rsidP="0034672C">
      <w:pPr>
        <w:pStyle w:val="IAHeadLabel"/>
        <w:spacing w:before="50"/>
        <w:rPr>
          <w:rFonts w:cs="Arial"/>
        </w:rPr>
      </w:pPr>
      <w:r w:rsidRPr="00D22E74">
        <w:rPr>
          <w:rFonts w:cs="Arial"/>
        </w:rPr>
        <w:t xml:space="preserve">BUSINESS ASSESSMENT (Option </w:t>
      </w:r>
      <w:r w:rsidRPr="00D22E74">
        <w:rPr>
          <w:rFonts w:cs="Arial"/>
        </w:rPr>
        <w:fldChar w:fldCharType="begin"/>
      </w:r>
      <w:r w:rsidRPr="00D22E74">
        <w:rPr>
          <w:rFonts w:cs="Arial"/>
        </w:rPr>
        <w:instrText xml:space="preserve"> SEQ BA </w:instrText>
      </w:r>
      <w:r w:rsidRPr="00D22E74">
        <w:rPr>
          <w:rFonts w:cs="Arial"/>
        </w:rPr>
        <w:fldChar w:fldCharType="separate"/>
      </w:r>
      <w:r w:rsidR="00124A5B">
        <w:rPr>
          <w:rFonts w:cs="Arial"/>
          <w:noProof/>
        </w:rPr>
        <w:t>1</w:t>
      </w:r>
      <w:r w:rsidRPr="00D22E74">
        <w:rPr>
          <w:rFonts w:cs="Arial"/>
          <w:noProof/>
        </w:rPr>
        <w:fldChar w:fldCharType="end"/>
      </w:r>
      <w:r w:rsidRPr="00D22E74">
        <w:rPr>
          <w:rFonts w:cs="Arial"/>
        </w:rPr>
        <w:t>)</w:t>
      </w:r>
    </w:p>
    <w:tbl>
      <w:tblPr>
        <w:tblW w:w="5647" w:type="pct"/>
        <w:tblInd w:w="-562"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2193"/>
        <w:gridCol w:w="1628"/>
        <w:gridCol w:w="1503"/>
        <w:gridCol w:w="4859"/>
      </w:tblGrid>
      <w:tr w:rsidR="0034672C" w:rsidRPr="00D22E74" w14:paraId="57907FC4" w14:textId="77777777" w:rsidTr="00757177">
        <w:trPr>
          <w:trHeight w:hRule="exact" w:val="384"/>
        </w:trPr>
        <w:tc>
          <w:tcPr>
            <w:tcW w:w="5335" w:type="dxa"/>
            <w:gridSpan w:val="3"/>
            <w:tcBorders>
              <w:top w:val="single" w:sz="4" w:space="0" w:color="auto"/>
              <w:bottom w:val="nil"/>
              <w:right w:val="single" w:sz="4" w:space="0" w:color="auto"/>
            </w:tcBorders>
          </w:tcPr>
          <w:p w14:paraId="3C9FD7F4" w14:textId="77777777" w:rsidR="0034672C" w:rsidRPr="00D22E74" w:rsidRDefault="0034672C" w:rsidP="0034672C">
            <w:pPr>
              <w:pStyle w:val="IATableLabel"/>
              <w:rPr>
                <w:rFonts w:cs="Arial"/>
              </w:rPr>
            </w:pPr>
            <w:r w:rsidRPr="00D22E74">
              <w:rPr>
                <w:rFonts w:cs="Arial"/>
              </w:rPr>
              <w:t xml:space="preserve">Direct impact on business (Equivalent Annual) £m: </w:t>
            </w:r>
          </w:p>
        </w:tc>
        <w:tc>
          <w:tcPr>
            <w:tcW w:w="4870" w:type="dxa"/>
            <w:vMerge w:val="restart"/>
            <w:tcBorders>
              <w:top w:val="single" w:sz="4" w:space="0" w:color="auto"/>
              <w:left w:val="single" w:sz="4" w:space="0" w:color="auto"/>
            </w:tcBorders>
          </w:tcPr>
          <w:p w14:paraId="5B2C8FAB" w14:textId="77777777" w:rsidR="0034672C" w:rsidRPr="00D22E74" w:rsidRDefault="0034672C" w:rsidP="0034672C">
            <w:pPr>
              <w:pStyle w:val="IATableLabel"/>
              <w:rPr>
                <w:rFonts w:cs="Arial"/>
              </w:rPr>
            </w:pPr>
            <w:r w:rsidRPr="00D22E74">
              <w:rPr>
                <w:rFonts w:cs="Arial"/>
              </w:rPr>
              <w:t>Score for Business Impact Target (qualifying provisions only) £m:</w:t>
            </w:r>
          </w:p>
        </w:tc>
      </w:tr>
      <w:tr w:rsidR="0034672C" w:rsidRPr="00D22E74" w14:paraId="7F8FF635" w14:textId="77777777" w:rsidTr="00757177">
        <w:trPr>
          <w:trHeight w:hRule="exact" w:val="340"/>
        </w:trPr>
        <w:tc>
          <w:tcPr>
            <w:tcW w:w="2198" w:type="dxa"/>
            <w:vMerge w:val="restart"/>
            <w:tcBorders>
              <w:top w:val="nil"/>
              <w:right w:val="single" w:sz="4" w:space="0" w:color="auto"/>
            </w:tcBorders>
            <w:shd w:val="clear" w:color="auto" w:fill="FFFFFF"/>
          </w:tcPr>
          <w:p w14:paraId="5D826A94" w14:textId="77777777" w:rsidR="0034672C" w:rsidRPr="00D22E74" w:rsidRDefault="0034672C" w:rsidP="0034672C">
            <w:pPr>
              <w:pStyle w:val="IATableLabel"/>
              <w:rPr>
                <w:rFonts w:cs="Arial"/>
              </w:rPr>
            </w:pPr>
            <w:r w:rsidRPr="00D22E74">
              <w:rPr>
                <w:rFonts w:cs="Arial"/>
              </w:rPr>
              <w:t xml:space="preserve">Costs: </w:t>
            </w:r>
            <w:r w:rsidRPr="00D22E74">
              <w:rPr>
                <w:rFonts w:cs="Arial"/>
                <w:b w:val="0"/>
              </w:rPr>
              <w:t>n/a</w:t>
            </w:r>
          </w:p>
        </w:tc>
        <w:tc>
          <w:tcPr>
            <w:tcW w:w="1631" w:type="dxa"/>
            <w:vMerge w:val="restart"/>
            <w:tcBorders>
              <w:top w:val="nil"/>
              <w:right w:val="single" w:sz="4" w:space="0" w:color="auto"/>
            </w:tcBorders>
            <w:shd w:val="clear" w:color="auto" w:fill="FFFFFF"/>
          </w:tcPr>
          <w:p w14:paraId="6F3F8A93" w14:textId="77777777" w:rsidR="0034672C" w:rsidRPr="00D22E74" w:rsidRDefault="0034672C" w:rsidP="0034672C">
            <w:pPr>
              <w:pStyle w:val="IATableLabel"/>
              <w:rPr>
                <w:rFonts w:cs="Arial"/>
              </w:rPr>
            </w:pPr>
            <w:r w:rsidRPr="00D22E74">
              <w:rPr>
                <w:rFonts w:cs="Arial"/>
              </w:rPr>
              <w:t xml:space="preserve">Benefits: </w:t>
            </w:r>
            <w:r w:rsidRPr="00D22E74">
              <w:rPr>
                <w:rFonts w:cs="Arial"/>
                <w:b w:val="0"/>
              </w:rPr>
              <w:t>n/a</w:t>
            </w:r>
          </w:p>
        </w:tc>
        <w:tc>
          <w:tcPr>
            <w:tcW w:w="1506" w:type="dxa"/>
            <w:vMerge w:val="restart"/>
            <w:tcBorders>
              <w:top w:val="nil"/>
              <w:right w:val="single" w:sz="4" w:space="0" w:color="auto"/>
            </w:tcBorders>
            <w:shd w:val="clear" w:color="auto" w:fill="FFFFFF"/>
          </w:tcPr>
          <w:p w14:paraId="73B42F4C" w14:textId="79AE0366" w:rsidR="0034672C" w:rsidRPr="00D22E74" w:rsidRDefault="0034672C" w:rsidP="0034672C">
            <w:pPr>
              <w:pStyle w:val="IATableLabel"/>
              <w:rPr>
                <w:rFonts w:cs="Arial"/>
              </w:rPr>
            </w:pPr>
            <w:r w:rsidRPr="00D22E74">
              <w:rPr>
                <w:rFonts w:cs="Arial"/>
              </w:rPr>
              <w:t xml:space="preserve">Net: </w:t>
            </w:r>
            <w:r w:rsidRPr="00D22E74">
              <w:rPr>
                <w:rFonts w:cs="Arial"/>
                <w:b w:val="0"/>
              </w:rPr>
              <w:t>n/a</w:t>
            </w:r>
          </w:p>
        </w:tc>
        <w:tc>
          <w:tcPr>
            <w:tcW w:w="4870" w:type="dxa"/>
            <w:vMerge/>
            <w:tcBorders>
              <w:left w:val="single" w:sz="4" w:space="0" w:color="auto"/>
              <w:bottom w:val="single" w:sz="4" w:space="0" w:color="auto"/>
            </w:tcBorders>
            <w:shd w:val="clear" w:color="auto" w:fill="FFFFFF"/>
          </w:tcPr>
          <w:p w14:paraId="6287673A" w14:textId="77777777" w:rsidR="0034672C" w:rsidRPr="00D22E74" w:rsidRDefault="0034672C" w:rsidP="0034672C">
            <w:pPr>
              <w:pStyle w:val="IAPODIMQ"/>
              <w:rPr>
                <w:rFonts w:cs="Arial"/>
              </w:rPr>
            </w:pPr>
          </w:p>
        </w:tc>
      </w:tr>
      <w:tr w:rsidR="0034672C" w:rsidRPr="00D22E74" w14:paraId="23C965D2" w14:textId="77777777" w:rsidTr="00757177">
        <w:trPr>
          <w:trHeight w:hRule="exact" w:val="340"/>
        </w:trPr>
        <w:tc>
          <w:tcPr>
            <w:tcW w:w="2198" w:type="dxa"/>
            <w:vMerge/>
            <w:tcBorders>
              <w:bottom w:val="single" w:sz="4" w:space="0" w:color="auto"/>
              <w:right w:val="single" w:sz="4" w:space="0" w:color="auto"/>
            </w:tcBorders>
            <w:shd w:val="clear" w:color="auto" w:fill="FFFFFF"/>
          </w:tcPr>
          <w:p w14:paraId="50E53CCC" w14:textId="77777777" w:rsidR="0034672C" w:rsidRPr="00D22E74" w:rsidRDefault="0034672C" w:rsidP="0034672C">
            <w:pPr>
              <w:pStyle w:val="IATableLabel"/>
              <w:rPr>
                <w:rFonts w:cs="Arial"/>
              </w:rPr>
            </w:pPr>
          </w:p>
        </w:tc>
        <w:tc>
          <w:tcPr>
            <w:tcW w:w="1631" w:type="dxa"/>
            <w:vMerge/>
            <w:tcBorders>
              <w:bottom w:val="single" w:sz="4" w:space="0" w:color="auto"/>
              <w:right w:val="single" w:sz="4" w:space="0" w:color="auto"/>
            </w:tcBorders>
            <w:shd w:val="clear" w:color="auto" w:fill="FFFFFF"/>
          </w:tcPr>
          <w:p w14:paraId="055A4D88" w14:textId="77777777" w:rsidR="0034672C" w:rsidRPr="00D22E74" w:rsidRDefault="0034672C" w:rsidP="0034672C">
            <w:pPr>
              <w:pStyle w:val="IATableLabel"/>
              <w:rPr>
                <w:rFonts w:cs="Arial"/>
              </w:rPr>
            </w:pPr>
          </w:p>
        </w:tc>
        <w:tc>
          <w:tcPr>
            <w:tcW w:w="1506" w:type="dxa"/>
            <w:vMerge/>
            <w:tcBorders>
              <w:bottom w:val="single" w:sz="4" w:space="0" w:color="auto"/>
              <w:right w:val="single" w:sz="4" w:space="0" w:color="auto"/>
            </w:tcBorders>
            <w:shd w:val="clear" w:color="auto" w:fill="FFFFFF"/>
          </w:tcPr>
          <w:p w14:paraId="745D11B3" w14:textId="77777777" w:rsidR="0034672C" w:rsidRPr="00D22E74" w:rsidRDefault="0034672C" w:rsidP="0034672C">
            <w:pPr>
              <w:pStyle w:val="IATableLabel"/>
              <w:rPr>
                <w:rFonts w:cs="Arial"/>
              </w:rPr>
            </w:pPr>
          </w:p>
        </w:tc>
        <w:tc>
          <w:tcPr>
            <w:tcW w:w="4870" w:type="dxa"/>
            <w:tcBorders>
              <w:top w:val="nil"/>
              <w:left w:val="single" w:sz="4" w:space="0" w:color="auto"/>
              <w:bottom w:val="single" w:sz="4" w:space="0" w:color="auto"/>
            </w:tcBorders>
            <w:shd w:val="clear" w:color="auto" w:fill="FFFFFF"/>
          </w:tcPr>
          <w:p w14:paraId="04AEB1FF" w14:textId="77777777" w:rsidR="00424D02" w:rsidRDefault="0034672C" w:rsidP="00424D02">
            <w:pPr>
              <w:pStyle w:val="IAPODIMQ"/>
              <w:ind w:left="0"/>
              <w:rPr>
                <w:rFonts w:cs="Arial"/>
              </w:rPr>
            </w:pPr>
            <w:r w:rsidRPr="00D22E74">
              <w:rPr>
                <w:rFonts w:cs="Arial"/>
              </w:rPr>
              <w:t>n/a</w:t>
            </w:r>
          </w:p>
          <w:p w14:paraId="41E850C6" w14:textId="77777777" w:rsidR="00424D02" w:rsidRDefault="00424D02" w:rsidP="00424D02">
            <w:pPr>
              <w:pStyle w:val="IAPODIMQ"/>
              <w:ind w:left="0"/>
              <w:rPr>
                <w:rFonts w:cs="Arial"/>
              </w:rPr>
            </w:pPr>
          </w:p>
          <w:p w14:paraId="317D022E" w14:textId="3CEF42F4" w:rsidR="0034672C" w:rsidRPr="00D22E74" w:rsidRDefault="0034672C" w:rsidP="00424D02">
            <w:pPr>
              <w:pStyle w:val="IAPODIMQ"/>
              <w:ind w:left="0"/>
              <w:rPr>
                <w:rFonts w:cs="Arial"/>
              </w:rPr>
            </w:pPr>
          </w:p>
        </w:tc>
      </w:tr>
    </w:tbl>
    <w:p w14:paraId="6CFCC695" w14:textId="48B0AE64" w:rsidR="00203859" w:rsidRDefault="0034672C">
      <w:pPr>
        <w:keepNext/>
        <w:pBdr>
          <w:top w:val="nil"/>
          <w:left w:val="nil"/>
          <w:bottom w:val="nil"/>
          <w:right w:val="nil"/>
          <w:between w:val="nil"/>
        </w:pBdr>
        <w:tabs>
          <w:tab w:val="right" w:pos="10206"/>
        </w:tabs>
        <w:spacing w:after="60"/>
        <w:rPr>
          <w:rFonts w:ascii="Arial" w:eastAsia="Arial" w:hAnsi="Arial" w:cs="Arial"/>
          <w:b/>
          <w:color w:val="000000"/>
          <w:sz w:val="32"/>
          <w:szCs w:val="32"/>
        </w:rPr>
      </w:pPr>
      <w:r>
        <w:rPr>
          <w:rFonts w:ascii="Arial" w:eastAsia="Arial" w:hAnsi="Arial" w:cs="Arial"/>
          <w:b/>
          <w:color w:val="000000"/>
          <w:sz w:val="32"/>
          <w:szCs w:val="32"/>
        </w:rPr>
        <w:lastRenderedPageBreak/>
        <w:t>Evidence base</w:t>
      </w:r>
    </w:p>
    <w:p w14:paraId="33D07B74" w14:textId="77777777" w:rsidR="0034672C" w:rsidRDefault="0034672C">
      <w:pPr>
        <w:keepNext/>
        <w:pBdr>
          <w:top w:val="nil"/>
          <w:left w:val="nil"/>
          <w:bottom w:val="nil"/>
          <w:right w:val="nil"/>
          <w:between w:val="nil"/>
        </w:pBdr>
        <w:tabs>
          <w:tab w:val="right" w:pos="10206"/>
        </w:tabs>
        <w:spacing w:after="60"/>
        <w:rPr>
          <w:rFonts w:ascii="Arial" w:eastAsia="Arial" w:hAnsi="Arial" w:cs="Arial"/>
          <w:b/>
          <w:color w:val="000000"/>
          <w:sz w:val="32"/>
          <w:szCs w:val="32"/>
        </w:rPr>
      </w:pPr>
    </w:p>
    <w:p w14:paraId="385B367E" w14:textId="22B9D97B" w:rsidR="00203859" w:rsidRDefault="004A6F9F">
      <w:pPr>
        <w:numPr>
          <w:ilvl w:val="0"/>
          <w:numId w:val="5"/>
        </w:numPr>
        <w:pBdr>
          <w:top w:val="nil"/>
          <w:left w:val="nil"/>
          <w:bottom w:val="nil"/>
          <w:right w:val="nil"/>
          <w:between w:val="nil"/>
        </w:pBdr>
        <w:spacing w:after="0" w:line="240" w:lineRule="auto"/>
        <w:ind w:left="426" w:hanging="426"/>
      </w:pPr>
      <w:bookmarkStart w:id="18" w:name="_gjdgxs" w:colFirst="0" w:colLast="0"/>
      <w:bookmarkEnd w:id="18"/>
      <w:r>
        <w:rPr>
          <w:rFonts w:ascii="Arial" w:eastAsia="Arial" w:hAnsi="Arial" w:cs="Arial"/>
          <w:color w:val="000000"/>
        </w:rPr>
        <w:t>The Government has set out its objectives for leaving the EU in the</w:t>
      </w:r>
      <w:r w:rsidR="000E5441">
        <w:rPr>
          <w:rFonts w:ascii="Arial" w:eastAsia="Arial" w:hAnsi="Arial" w:cs="Arial"/>
          <w:color w:val="000000"/>
        </w:rPr>
        <w:t xml:space="preserve"> Withdrawal Agreement and Political Declaration on our future relationship w</w:t>
      </w:r>
      <w:r w:rsidR="0024740E">
        <w:rPr>
          <w:rFonts w:ascii="Arial" w:eastAsia="Arial" w:hAnsi="Arial" w:cs="Arial"/>
          <w:color w:val="000000"/>
        </w:rPr>
        <w:t>ith the EU.</w:t>
      </w:r>
      <w:r>
        <w:rPr>
          <w:rFonts w:ascii="Arial" w:eastAsia="Arial" w:hAnsi="Arial" w:cs="Arial"/>
          <w:color w:val="000000"/>
        </w:rPr>
        <w:t xml:space="preserve"> While it is in both the UK’s and the EU’s interests to secure a good deal, the Government has a duty to plan for all possible outcomes. </w:t>
      </w:r>
    </w:p>
    <w:p w14:paraId="1E465D10" w14:textId="77777777" w:rsidR="00203859" w:rsidRDefault="00203859">
      <w:pPr>
        <w:pBdr>
          <w:top w:val="nil"/>
          <w:left w:val="nil"/>
          <w:bottom w:val="nil"/>
          <w:right w:val="nil"/>
          <w:between w:val="nil"/>
        </w:pBdr>
        <w:spacing w:after="0" w:line="240" w:lineRule="auto"/>
        <w:ind w:left="426"/>
        <w:rPr>
          <w:rFonts w:ascii="Arial" w:eastAsia="Arial" w:hAnsi="Arial" w:cs="Arial"/>
          <w:color w:val="000000"/>
        </w:rPr>
      </w:pPr>
    </w:p>
    <w:p w14:paraId="0C6CE7C3" w14:textId="69688C58" w:rsidR="00203859" w:rsidRDefault="004A6F9F">
      <w:pPr>
        <w:numPr>
          <w:ilvl w:val="0"/>
          <w:numId w:val="5"/>
        </w:numPr>
        <w:pBdr>
          <w:top w:val="nil"/>
          <w:left w:val="nil"/>
          <w:bottom w:val="nil"/>
          <w:right w:val="nil"/>
          <w:between w:val="nil"/>
        </w:pBdr>
        <w:spacing w:after="0" w:line="240" w:lineRule="auto"/>
        <w:ind w:left="426" w:hanging="426"/>
      </w:pPr>
      <w:r>
        <w:rPr>
          <w:rFonts w:ascii="Arial" w:eastAsia="Arial" w:hAnsi="Arial" w:cs="Arial"/>
          <w:color w:val="000000"/>
        </w:rPr>
        <w:t xml:space="preserve">The </w:t>
      </w:r>
      <w:r w:rsidR="0024740E">
        <w:rPr>
          <w:rFonts w:ascii="Arial" w:eastAsia="Arial" w:hAnsi="Arial" w:cs="Arial"/>
          <w:color w:val="000000"/>
        </w:rPr>
        <w:t xml:space="preserve">Political </w:t>
      </w:r>
      <w:r w:rsidR="0024740E" w:rsidRPr="002A390E">
        <w:rPr>
          <w:rFonts w:ascii="Arial" w:eastAsia="Arial" w:hAnsi="Arial" w:cs="Arial"/>
        </w:rPr>
        <w:t>Declaration</w:t>
      </w:r>
      <w:r w:rsidRPr="002A390E">
        <w:rPr>
          <w:rFonts w:ascii="Arial" w:eastAsia="Arial" w:hAnsi="Arial" w:cs="Arial"/>
        </w:rPr>
        <w:t xml:space="preserve"> on the future relationship between the </w:t>
      </w:r>
      <w:r w:rsidR="002D03B6" w:rsidRPr="002A390E">
        <w:rPr>
          <w:rFonts w:ascii="Arial" w:eastAsia="Arial" w:hAnsi="Arial" w:cs="Arial"/>
        </w:rPr>
        <w:t>UK</w:t>
      </w:r>
      <w:r w:rsidRPr="002A390E">
        <w:rPr>
          <w:rFonts w:ascii="Arial" w:eastAsia="Arial" w:hAnsi="Arial" w:cs="Arial"/>
        </w:rPr>
        <w:t xml:space="preserve"> and the </w:t>
      </w:r>
      <w:r w:rsidR="002D03B6" w:rsidRPr="002A390E">
        <w:rPr>
          <w:rFonts w:ascii="Arial" w:eastAsia="Arial" w:hAnsi="Arial" w:cs="Arial"/>
        </w:rPr>
        <w:t>EU</w:t>
      </w:r>
      <w:r w:rsidRPr="002A390E">
        <w:rPr>
          <w:rFonts w:ascii="Arial" w:eastAsia="Arial" w:hAnsi="Arial" w:cs="Arial"/>
        </w:rPr>
        <w:t xml:space="preserve"> makes proposals for a UK-EU free trade area</w:t>
      </w:r>
      <w:r w:rsidR="0024740E" w:rsidRPr="002A390E">
        <w:rPr>
          <w:rFonts w:ascii="Arial" w:eastAsia="Arial" w:hAnsi="Arial" w:cs="Arial"/>
        </w:rPr>
        <w:t xml:space="preserve"> for goods</w:t>
      </w:r>
      <w:r w:rsidRPr="002A390E">
        <w:rPr>
          <w:rFonts w:ascii="Arial" w:eastAsia="Arial" w:hAnsi="Arial" w:cs="Arial"/>
        </w:rPr>
        <w:t>,</w:t>
      </w:r>
      <w:r w:rsidR="0024740E" w:rsidRPr="002A390E">
        <w:rPr>
          <w:rFonts w:ascii="Arial" w:eastAsia="Arial" w:hAnsi="Arial" w:cs="Arial"/>
        </w:rPr>
        <w:t xml:space="preserve"> which </w:t>
      </w:r>
      <w:r w:rsidR="00C00BE8" w:rsidRPr="002A390E">
        <w:rPr>
          <w:rFonts w:ascii="Arial" w:eastAsia="Arial" w:hAnsi="Arial" w:cs="Arial"/>
        </w:rPr>
        <w:t xml:space="preserve">ensures a trading relationship that is as close as possible, </w:t>
      </w:r>
      <w:r w:rsidR="0024740E" w:rsidRPr="002A390E">
        <w:rPr>
          <w:rFonts w:ascii="Arial" w:eastAsia="Arial" w:hAnsi="Arial" w:cs="Arial"/>
        </w:rPr>
        <w:t>combin</w:t>
      </w:r>
      <w:r w:rsidR="00C00BE8" w:rsidRPr="002A390E">
        <w:rPr>
          <w:rFonts w:ascii="Arial" w:eastAsia="Arial" w:hAnsi="Arial" w:cs="Arial"/>
        </w:rPr>
        <w:t>ing</w:t>
      </w:r>
      <w:r w:rsidR="0024740E" w:rsidRPr="002A390E">
        <w:rPr>
          <w:rFonts w:ascii="Arial" w:eastAsia="Arial" w:hAnsi="Arial" w:cs="Arial"/>
        </w:rPr>
        <w:t xml:space="preserve"> deep regulatory and customs cooperation.</w:t>
      </w:r>
      <w:r w:rsidRPr="002A390E">
        <w:rPr>
          <w:rFonts w:ascii="Arial" w:eastAsia="Arial" w:hAnsi="Arial" w:cs="Arial"/>
        </w:rPr>
        <w:t xml:space="preserve"> </w:t>
      </w:r>
      <w:r w:rsidR="0024740E" w:rsidRPr="002A390E">
        <w:rPr>
          <w:rFonts w:ascii="Arial" w:eastAsia="Arial" w:hAnsi="Arial" w:cs="Arial"/>
          <w:highlight w:val="white"/>
        </w:rPr>
        <w:t>T</w:t>
      </w:r>
      <w:r w:rsidRPr="002A390E">
        <w:rPr>
          <w:rFonts w:ascii="Arial" w:eastAsia="Arial" w:hAnsi="Arial" w:cs="Arial"/>
          <w:highlight w:val="white"/>
        </w:rPr>
        <w:t xml:space="preserve">he UK </w:t>
      </w:r>
      <w:r w:rsidR="0024740E" w:rsidRPr="002A390E">
        <w:rPr>
          <w:rFonts w:ascii="Arial" w:eastAsia="Arial" w:hAnsi="Arial" w:cs="Arial"/>
          <w:highlight w:val="white"/>
        </w:rPr>
        <w:t xml:space="preserve">and the EU will explore the possibility of cooperation between UK authorities and EU agencies, such as </w:t>
      </w:r>
      <w:r w:rsidRPr="002A390E">
        <w:rPr>
          <w:rFonts w:ascii="Arial" w:eastAsia="Arial" w:hAnsi="Arial" w:cs="Arial"/>
          <w:highlight w:val="white"/>
        </w:rPr>
        <w:t>the European Chemicals Agency. (ECHA)</w:t>
      </w:r>
      <w:r w:rsidRPr="002A390E">
        <w:rPr>
          <w:rFonts w:ascii="Arial" w:eastAsia="Arial" w:hAnsi="Arial" w:cs="Arial"/>
        </w:rPr>
        <w:t xml:space="preserve">  Alongside this preferred option, the Government must prepare for all scenarios and contingencies across a range of potential negotiated agreements, as well as preparing for leaving without a deal.</w:t>
      </w:r>
    </w:p>
    <w:p w14:paraId="4903D91D" w14:textId="77777777" w:rsidR="00203859" w:rsidRDefault="00203859">
      <w:pPr>
        <w:pBdr>
          <w:top w:val="nil"/>
          <w:left w:val="nil"/>
          <w:bottom w:val="nil"/>
          <w:right w:val="nil"/>
          <w:between w:val="nil"/>
        </w:pBdr>
        <w:spacing w:after="0" w:line="240" w:lineRule="auto"/>
        <w:rPr>
          <w:rFonts w:ascii="Arial" w:eastAsia="Arial" w:hAnsi="Arial" w:cs="Arial"/>
          <w:color w:val="000000"/>
        </w:rPr>
      </w:pPr>
    </w:p>
    <w:p w14:paraId="7E88ACF4" w14:textId="77777777" w:rsidR="00FC2A8A" w:rsidRPr="00FC2A8A" w:rsidRDefault="004A6F9F">
      <w:pPr>
        <w:numPr>
          <w:ilvl w:val="0"/>
          <w:numId w:val="5"/>
        </w:numPr>
        <w:pBdr>
          <w:top w:val="nil"/>
          <w:left w:val="nil"/>
          <w:bottom w:val="nil"/>
          <w:right w:val="nil"/>
          <w:between w:val="nil"/>
        </w:pBdr>
        <w:spacing w:after="0" w:line="240" w:lineRule="auto"/>
        <w:ind w:left="426" w:hanging="426"/>
      </w:pPr>
      <w:r>
        <w:rPr>
          <w:rFonts w:ascii="Arial" w:eastAsia="Arial" w:hAnsi="Arial" w:cs="Arial"/>
          <w:color w:val="000000"/>
        </w:rPr>
        <w:t>Plans are well developed and have been designed to provide the flexibility to respond to a range of potential outcomes.  The Government is working with businesses across the economy to provide the certainty they need as part of preparations for EU exit.</w:t>
      </w:r>
    </w:p>
    <w:p w14:paraId="7673DFC2" w14:textId="77777777" w:rsidR="00FC2A8A" w:rsidRPr="00FC2A8A" w:rsidRDefault="00FC2A8A" w:rsidP="00FC2A8A">
      <w:pPr>
        <w:pBdr>
          <w:top w:val="nil"/>
          <w:left w:val="nil"/>
          <w:bottom w:val="nil"/>
          <w:right w:val="nil"/>
          <w:between w:val="nil"/>
        </w:pBdr>
        <w:spacing w:after="0" w:line="240" w:lineRule="auto"/>
        <w:ind w:left="426"/>
      </w:pPr>
    </w:p>
    <w:p w14:paraId="33AD0CFF" w14:textId="70B655A1" w:rsidR="00203859" w:rsidRDefault="00FC2A8A">
      <w:pPr>
        <w:numPr>
          <w:ilvl w:val="0"/>
          <w:numId w:val="5"/>
        </w:numPr>
        <w:pBdr>
          <w:top w:val="nil"/>
          <w:left w:val="nil"/>
          <w:bottom w:val="nil"/>
          <w:right w:val="nil"/>
          <w:between w:val="nil"/>
        </w:pBdr>
        <w:spacing w:after="0" w:line="240" w:lineRule="auto"/>
        <w:ind w:left="426" w:hanging="426"/>
      </w:pPr>
      <w:r>
        <w:rPr>
          <w:rFonts w:ascii="Arial" w:eastAsia="Arial" w:hAnsi="Arial" w:cs="Arial"/>
          <w:color w:val="000000"/>
        </w:rPr>
        <w:t xml:space="preserve">An implementation period </w:t>
      </w:r>
      <w:r w:rsidR="005D14B3">
        <w:rPr>
          <w:rFonts w:ascii="Arial" w:eastAsia="Arial" w:hAnsi="Arial" w:cs="Arial"/>
          <w:color w:val="000000"/>
        </w:rPr>
        <w:t xml:space="preserve">as part of a Withdrawal Period </w:t>
      </w:r>
      <w:r>
        <w:rPr>
          <w:rFonts w:ascii="Arial" w:eastAsia="Arial" w:hAnsi="Arial" w:cs="Arial"/>
          <w:color w:val="000000"/>
        </w:rPr>
        <w:t>may prolong the UK</w:t>
      </w:r>
      <w:r w:rsidR="005D14B3">
        <w:rPr>
          <w:rFonts w:ascii="Arial" w:eastAsia="Arial" w:hAnsi="Arial" w:cs="Arial"/>
          <w:color w:val="000000"/>
        </w:rPr>
        <w:t xml:space="preserve"> participation in </w:t>
      </w:r>
      <w:r>
        <w:rPr>
          <w:rFonts w:ascii="Arial" w:eastAsia="Arial" w:hAnsi="Arial" w:cs="Arial"/>
          <w:color w:val="000000"/>
        </w:rPr>
        <w:t xml:space="preserve">the EU regulatory regimes including REACH. </w:t>
      </w:r>
      <w:r w:rsidR="0097672D">
        <w:rPr>
          <w:rFonts w:ascii="Arial" w:eastAsia="Arial" w:hAnsi="Arial" w:cs="Arial"/>
          <w:color w:val="000000"/>
        </w:rPr>
        <w:t>Depending on the exact nature of this, we anticipate no changes from the static acquis for businesses. Without a negotiated agreement</w:t>
      </w:r>
      <w:r w:rsidR="008C3D4D">
        <w:rPr>
          <w:rFonts w:ascii="Arial" w:eastAsia="Arial" w:hAnsi="Arial" w:cs="Arial"/>
          <w:color w:val="000000"/>
        </w:rPr>
        <w:t xml:space="preserve">, </w:t>
      </w:r>
      <w:r>
        <w:rPr>
          <w:rFonts w:ascii="Arial" w:eastAsia="Arial" w:hAnsi="Arial" w:cs="Arial"/>
          <w:color w:val="000000"/>
        </w:rPr>
        <w:t xml:space="preserve">the </w:t>
      </w:r>
      <w:r w:rsidR="005D14B3">
        <w:rPr>
          <w:rFonts w:ascii="Arial" w:eastAsia="Arial" w:hAnsi="Arial" w:cs="Arial"/>
          <w:color w:val="000000"/>
        </w:rPr>
        <w:t xml:space="preserve">measures broadly equivalent to this </w:t>
      </w:r>
      <w:r w:rsidR="0097672D">
        <w:rPr>
          <w:rFonts w:ascii="Arial" w:eastAsia="Arial" w:hAnsi="Arial" w:cs="Arial"/>
          <w:color w:val="000000"/>
        </w:rPr>
        <w:t>SI would come into place at the end of this period.</w:t>
      </w:r>
      <w:r w:rsidR="004A6F9F">
        <w:rPr>
          <w:rFonts w:ascii="Arial" w:eastAsia="Arial" w:hAnsi="Arial" w:cs="Arial"/>
          <w:color w:val="000000"/>
        </w:rPr>
        <w:br/>
      </w:r>
    </w:p>
    <w:p w14:paraId="10D855DA" w14:textId="0EF89D37" w:rsidR="00203859" w:rsidRDefault="004A6F9F">
      <w:pPr>
        <w:numPr>
          <w:ilvl w:val="0"/>
          <w:numId w:val="5"/>
        </w:numPr>
        <w:pBdr>
          <w:top w:val="nil"/>
          <w:left w:val="nil"/>
          <w:bottom w:val="nil"/>
          <w:right w:val="nil"/>
          <w:between w:val="nil"/>
        </w:pBdr>
        <w:spacing w:after="0" w:line="240" w:lineRule="auto"/>
        <w:ind w:left="426" w:hanging="426"/>
      </w:pPr>
      <w:r>
        <w:rPr>
          <w:rFonts w:ascii="Arial" w:eastAsia="Arial" w:hAnsi="Arial" w:cs="Arial"/>
          <w:color w:val="000000"/>
        </w:rPr>
        <w:t xml:space="preserve">The options, risks and assumptions, and analysis in this impact assessment, and the statutory instrument on which it is based, have been prepared in the context of preparing for contingency scenarios and should be read against that background.   The impact assessment addresses the statutory instrument (SI) necessary to ensure we have an operable chemicals system in the event </w:t>
      </w:r>
      <w:r w:rsidRPr="004A6F9F">
        <w:rPr>
          <w:rFonts w:ascii="Arial" w:eastAsia="Arial" w:hAnsi="Arial" w:cs="Arial"/>
        </w:rPr>
        <w:t xml:space="preserve">of leaving the EU without a deal. </w:t>
      </w:r>
      <w:r>
        <w:rPr>
          <w:rFonts w:ascii="Arial" w:eastAsia="Arial" w:hAnsi="Arial" w:cs="Arial"/>
          <w:color w:val="000000"/>
        </w:rPr>
        <w:t>The SI will</w:t>
      </w:r>
      <w:r w:rsidRPr="004A6F9F">
        <w:rPr>
          <w:rFonts w:ascii="Arial" w:eastAsia="Arial" w:hAnsi="Arial" w:cs="Arial"/>
        </w:rPr>
        <w:t xml:space="preserve"> amend powers </w:t>
      </w:r>
      <w:r>
        <w:rPr>
          <w:rFonts w:ascii="Arial" w:eastAsia="Arial" w:hAnsi="Arial" w:cs="Arial"/>
          <w:color w:val="000000"/>
        </w:rPr>
        <w:t>c</w:t>
      </w:r>
      <w:r w:rsidRPr="004A6F9F">
        <w:rPr>
          <w:rFonts w:ascii="Arial" w:eastAsia="Arial" w:hAnsi="Arial" w:cs="Arial"/>
        </w:rPr>
        <w:t xml:space="preserve">urrently carried out by ECHA </w:t>
      </w:r>
      <w:r w:rsidR="0058211A">
        <w:rPr>
          <w:rFonts w:ascii="Arial" w:eastAsia="Arial" w:hAnsi="Arial" w:cs="Arial"/>
        </w:rPr>
        <w:t xml:space="preserve">and transfer them </w:t>
      </w:r>
      <w:r>
        <w:rPr>
          <w:rFonts w:ascii="Arial" w:eastAsia="Arial" w:hAnsi="Arial" w:cs="Arial"/>
          <w:color w:val="000000"/>
        </w:rPr>
        <w:t xml:space="preserve">to the </w:t>
      </w:r>
      <w:r w:rsidR="002D03B6">
        <w:rPr>
          <w:rFonts w:ascii="Arial" w:eastAsia="Arial" w:hAnsi="Arial" w:cs="Arial"/>
          <w:color w:val="000000"/>
        </w:rPr>
        <w:t>Government</w:t>
      </w:r>
      <w:r>
        <w:rPr>
          <w:rFonts w:ascii="Arial" w:eastAsia="Arial" w:hAnsi="Arial" w:cs="Arial"/>
          <w:color w:val="000000"/>
        </w:rPr>
        <w:t xml:space="preserve"> and regulatory authorities</w:t>
      </w:r>
      <w:r w:rsidR="00E2724D">
        <w:rPr>
          <w:rFonts w:ascii="Arial" w:eastAsia="Arial" w:hAnsi="Arial" w:cs="Arial"/>
        </w:rPr>
        <w:t>.</w:t>
      </w:r>
    </w:p>
    <w:p w14:paraId="56623D0C" w14:textId="77777777" w:rsidR="00203859" w:rsidRDefault="00203859">
      <w:pPr>
        <w:pBdr>
          <w:top w:val="nil"/>
          <w:left w:val="nil"/>
          <w:bottom w:val="nil"/>
          <w:right w:val="nil"/>
          <w:between w:val="nil"/>
        </w:pBdr>
        <w:spacing w:after="0" w:line="240" w:lineRule="auto"/>
        <w:ind w:left="426"/>
        <w:rPr>
          <w:rFonts w:ascii="Arial" w:eastAsia="Arial" w:hAnsi="Arial" w:cs="Arial"/>
          <w:color w:val="000000"/>
        </w:rPr>
      </w:pPr>
    </w:p>
    <w:p w14:paraId="11CCDFB0" w14:textId="77777777" w:rsidR="00203859" w:rsidRDefault="00203859">
      <w:pPr>
        <w:pBdr>
          <w:top w:val="nil"/>
          <w:left w:val="nil"/>
          <w:bottom w:val="nil"/>
          <w:right w:val="nil"/>
          <w:between w:val="nil"/>
        </w:pBdr>
        <w:spacing w:after="0" w:line="240" w:lineRule="auto"/>
        <w:ind w:left="426"/>
        <w:rPr>
          <w:rFonts w:ascii="Arial" w:eastAsia="Arial" w:hAnsi="Arial" w:cs="Arial"/>
          <w:color w:val="000000"/>
        </w:rPr>
      </w:pPr>
    </w:p>
    <w:p w14:paraId="7BAE0CBF" w14:textId="77777777" w:rsidR="00203859" w:rsidRDefault="004A6F9F">
      <w:pPr>
        <w:numPr>
          <w:ilvl w:val="0"/>
          <w:numId w:val="3"/>
        </w:numPr>
        <w:pBdr>
          <w:top w:val="nil"/>
          <w:left w:val="nil"/>
          <w:bottom w:val="nil"/>
          <w:right w:val="nil"/>
          <w:between w:val="nil"/>
        </w:pBdr>
        <w:spacing w:after="0" w:line="240" w:lineRule="auto"/>
        <w:ind w:left="426" w:hanging="426"/>
        <w:rPr>
          <w:b/>
          <w:color w:val="000000"/>
        </w:rPr>
      </w:pPr>
      <w:r>
        <w:rPr>
          <w:rFonts w:ascii="Arial" w:eastAsia="Arial" w:hAnsi="Arial" w:cs="Arial"/>
          <w:b/>
          <w:i/>
          <w:color w:val="000000"/>
        </w:rPr>
        <w:t>INTRODUCTION &amp; BACKGROUND</w:t>
      </w:r>
    </w:p>
    <w:p w14:paraId="5F2BE2DC" w14:textId="77777777" w:rsidR="00203859" w:rsidRDefault="00203859">
      <w:pPr>
        <w:pBdr>
          <w:top w:val="nil"/>
          <w:left w:val="nil"/>
          <w:bottom w:val="nil"/>
          <w:right w:val="nil"/>
          <w:between w:val="nil"/>
        </w:pBdr>
        <w:spacing w:after="0" w:line="240" w:lineRule="auto"/>
        <w:rPr>
          <w:rFonts w:ascii="Arial" w:eastAsia="Arial" w:hAnsi="Arial" w:cs="Arial"/>
          <w:color w:val="000000"/>
        </w:rPr>
      </w:pPr>
      <w:bookmarkStart w:id="19" w:name="_30j0zll" w:colFirst="0" w:colLast="0"/>
      <w:bookmarkEnd w:id="19"/>
    </w:p>
    <w:p w14:paraId="31AB0C48" w14:textId="2CE2801B" w:rsidR="00203859" w:rsidRDefault="004A6F9F">
      <w:pPr>
        <w:numPr>
          <w:ilvl w:val="0"/>
          <w:numId w:val="5"/>
        </w:numPr>
        <w:pBdr>
          <w:top w:val="nil"/>
          <w:left w:val="nil"/>
          <w:bottom w:val="nil"/>
          <w:right w:val="nil"/>
          <w:between w:val="nil"/>
        </w:pBdr>
        <w:spacing w:after="0" w:line="240" w:lineRule="auto"/>
      </w:pPr>
      <w:bookmarkStart w:id="20" w:name="_1fob9te" w:colFirst="0" w:colLast="0"/>
      <w:bookmarkEnd w:id="20"/>
      <w:r>
        <w:rPr>
          <w:rFonts w:ascii="Arial" w:eastAsia="Arial" w:hAnsi="Arial" w:cs="Arial"/>
          <w:color w:val="000000"/>
        </w:rPr>
        <w:t>Chemicals</w:t>
      </w:r>
      <w:r>
        <w:rPr>
          <w:rFonts w:ascii="Arial" w:eastAsia="Arial" w:hAnsi="Arial" w:cs="Arial"/>
          <w:color w:val="000000"/>
          <w:vertAlign w:val="superscript"/>
        </w:rPr>
        <w:footnoteReference w:id="2"/>
      </w:r>
      <w:r>
        <w:rPr>
          <w:rFonts w:ascii="Arial" w:eastAsia="Arial" w:hAnsi="Arial" w:cs="Arial"/>
          <w:color w:val="000000"/>
        </w:rPr>
        <w:t xml:space="preserve"> underpin other manufacturing processes and provide substantial benefits to society as ingredients in industrial and household goods; however, their widespread use in industry, agriculture, food systems and homes has led in some cases to pollution of land, water, air and food. It is important therefore that risks associated with chemicals are controlled through a robust chemical risk management regime to ensure a high level of protection of human health and the environment. It has been estimated that there are 100,000 individual chemicals on the EU market.</w:t>
      </w:r>
      <w:r>
        <w:rPr>
          <w:rFonts w:ascii="Arial" w:eastAsia="Arial" w:hAnsi="Arial" w:cs="Arial"/>
          <w:color w:val="000000"/>
          <w:vertAlign w:val="superscript"/>
        </w:rPr>
        <w:footnoteReference w:id="3"/>
      </w:r>
      <w:r>
        <w:rPr>
          <w:rFonts w:ascii="Arial" w:eastAsia="Arial" w:hAnsi="Arial" w:cs="Arial"/>
          <w:color w:val="000000"/>
        </w:rPr>
        <w:t xml:space="preserve"> The regulatory focus is on those substances manufactured and imported in quantities of 1 tonne or more (estimated at 30,000) rather than those traded in smaller quantities</w:t>
      </w:r>
      <w:r w:rsidR="0091293C">
        <w:rPr>
          <w:rFonts w:ascii="Arial" w:eastAsia="Arial" w:hAnsi="Arial" w:cs="Arial"/>
          <w:color w:val="000000"/>
        </w:rPr>
        <w:t>. This is because</w:t>
      </w:r>
      <w:r>
        <w:rPr>
          <w:rFonts w:ascii="Arial" w:eastAsia="Arial" w:hAnsi="Arial" w:cs="Arial"/>
          <w:color w:val="000000"/>
        </w:rPr>
        <w:t xml:space="preserve"> this covers the bulk of the substances on the EU market</w:t>
      </w:r>
      <w:r w:rsidR="0091293C">
        <w:rPr>
          <w:rFonts w:ascii="Arial" w:eastAsia="Arial" w:hAnsi="Arial" w:cs="Arial"/>
          <w:color w:val="000000"/>
        </w:rPr>
        <w:t>,</w:t>
      </w:r>
      <w:r>
        <w:rPr>
          <w:rFonts w:ascii="Arial" w:eastAsia="Arial" w:hAnsi="Arial" w:cs="Arial"/>
          <w:color w:val="000000"/>
        </w:rPr>
        <w:t xml:space="preserve"> representing a greater exposure to humans and the environment due to their widespread occurrence.   </w:t>
      </w:r>
    </w:p>
    <w:p w14:paraId="0A02F163" w14:textId="77777777" w:rsidR="00203859" w:rsidRDefault="00203859">
      <w:pPr>
        <w:pBdr>
          <w:top w:val="nil"/>
          <w:left w:val="nil"/>
          <w:bottom w:val="nil"/>
          <w:right w:val="nil"/>
          <w:between w:val="nil"/>
        </w:pBdr>
        <w:spacing w:after="0" w:line="240" w:lineRule="auto"/>
        <w:ind w:left="426"/>
        <w:rPr>
          <w:rFonts w:ascii="Arial" w:eastAsia="Arial" w:hAnsi="Arial" w:cs="Arial"/>
          <w:color w:val="000000"/>
        </w:rPr>
      </w:pPr>
    </w:p>
    <w:p w14:paraId="2DF32487" w14:textId="68B5862A" w:rsidR="00203859" w:rsidRDefault="004A6F9F">
      <w:pPr>
        <w:numPr>
          <w:ilvl w:val="0"/>
          <w:numId w:val="5"/>
        </w:numPr>
        <w:pBdr>
          <w:top w:val="nil"/>
          <w:left w:val="nil"/>
          <w:bottom w:val="nil"/>
          <w:right w:val="nil"/>
          <w:between w:val="nil"/>
        </w:pBdr>
        <w:spacing w:after="0" w:line="240" w:lineRule="auto"/>
        <w:ind w:left="426" w:hanging="426"/>
      </w:pPr>
      <w:r>
        <w:rPr>
          <w:rFonts w:ascii="Arial" w:eastAsia="Arial" w:hAnsi="Arial" w:cs="Arial"/>
          <w:color w:val="000000"/>
        </w:rPr>
        <w:t xml:space="preserve">Existing regulation of chemicals is largely carried out through EU legislation.  </w:t>
      </w:r>
      <w:r w:rsidR="004F48F2">
        <w:rPr>
          <w:rFonts w:ascii="Arial" w:eastAsia="Arial" w:hAnsi="Arial" w:cs="Arial"/>
          <w:color w:val="000000"/>
        </w:rPr>
        <w:t xml:space="preserve">Previously individual </w:t>
      </w:r>
      <w:r>
        <w:rPr>
          <w:rFonts w:ascii="Arial" w:eastAsia="Arial" w:hAnsi="Arial" w:cs="Arial"/>
          <w:color w:val="000000"/>
        </w:rPr>
        <w:t xml:space="preserve">Member States had taken </w:t>
      </w:r>
      <w:r w:rsidR="004F48F2">
        <w:rPr>
          <w:rFonts w:ascii="Arial" w:eastAsia="Arial" w:hAnsi="Arial" w:cs="Arial"/>
          <w:color w:val="000000"/>
        </w:rPr>
        <w:t xml:space="preserve">adhoc </w:t>
      </w:r>
      <w:r>
        <w:rPr>
          <w:rFonts w:ascii="Arial" w:eastAsia="Arial" w:hAnsi="Arial" w:cs="Arial"/>
          <w:color w:val="000000"/>
        </w:rPr>
        <w:t>regulatory steps in response to risks from individual chemicals</w:t>
      </w:r>
      <w:r w:rsidR="004F48F2">
        <w:rPr>
          <w:rFonts w:ascii="Arial" w:eastAsia="Arial" w:hAnsi="Arial" w:cs="Arial"/>
          <w:color w:val="000000"/>
        </w:rPr>
        <w:t>, but it was EU legislation that introduced general regulation of all chemical substances.</w:t>
      </w:r>
      <w:r>
        <w:rPr>
          <w:rFonts w:ascii="Arial" w:eastAsia="Arial" w:hAnsi="Arial" w:cs="Arial"/>
          <w:color w:val="000000"/>
        </w:rPr>
        <w:t xml:space="preserve"> In addition EU </w:t>
      </w:r>
      <w:r w:rsidR="000E5441">
        <w:rPr>
          <w:rFonts w:ascii="Arial" w:eastAsia="Arial" w:hAnsi="Arial" w:cs="Arial"/>
          <w:color w:val="000000"/>
        </w:rPr>
        <w:t xml:space="preserve">chemicals </w:t>
      </w:r>
      <w:r>
        <w:rPr>
          <w:rFonts w:ascii="Arial" w:eastAsia="Arial" w:hAnsi="Arial" w:cs="Arial"/>
          <w:color w:val="000000"/>
        </w:rPr>
        <w:t xml:space="preserve">legislation </w:t>
      </w:r>
      <w:r w:rsidR="000E5441">
        <w:rPr>
          <w:rFonts w:ascii="Arial" w:eastAsia="Arial" w:hAnsi="Arial" w:cs="Arial"/>
          <w:color w:val="000000"/>
        </w:rPr>
        <w:t xml:space="preserve">is tied to the operation of the single market as it </w:t>
      </w:r>
      <w:r w:rsidRPr="00665D5F">
        <w:rPr>
          <w:rFonts w:ascii="Arial" w:eastAsia="Arial" w:hAnsi="Arial" w:cs="Arial"/>
        </w:rPr>
        <w:t>focuses</w:t>
      </w:r>
      <w:r>
        <w:rPr>
          <w:rFonts w:ascii="Arial" w:eastAsia="Arial" w:hAnsi="Arial" w:cs="Arial"/>
          <w:color w:val="000000"/>
        </w:rPr>
        <w:t xml:space="preserve"> on the sale and use of chemicals</w:t>
      </w:r>
      <w:r w:rsidR="000E5441">
        <w:rPr>
          <w:rFonts w:ascii="Arial" w:eastAsia="Arial" w:hAnsi="Arial" w:cs="Arial"/>
          <w:color w:val="000000"/>
        </w:rPr>
        <w:t xml:space="preserve"> in the EU.</w:t>
      </w:r>
    </w:p>
    <w:p w14:paraId="63CD2668" w14:textId="77777777" w:rsidR="00203859" w:rsidRDefault="00203859">
      <w:pPr>
        <w:pBdr>
          <w:top w:val="nil"/>
          <w:left w:val="nil"/>
          <w:bottom w:val="nil"/>
          <w:right w:val="nil"/>
          <w:between w:val="nil"/>
        </w:pBdr>
        <w:spacing w:after="0"/>
        <w:ind w:left="426" w:hanging="426"/>
        <w:rPr>
          <w:rFonts w:ascii="Arial" w:eastAsia="Arial" w:hAnsi="Arial" w:cs="Arial"/>
          <w:color w:val="000000"/>
        </w:rPr>
      </w:pPr>
    </w:p>
    <w:p w14:paraId="50475C0A" w14:textId="77777777" w:rsidR="00203859" w:rsidRDefault="004A6F9F">
      <w:pPr>
        <w:numPr>
          <w:ilvl w:val="0"/>
          <w:numId w:val="5"/>
        </w:numPr>
        <w:pBdr>
          <w:top w:val="nil"/>
          <w:left w:val="nil"/>
          <w:bottom w:val="nil"/>
          <w:right w:val="nil"/>
          <w:between w:val="nil"/>
        </w:pBdr>
        <w:spacing w:after="0" w:line="240" w:lineRule="auto"/>
        <w:ind w:left="426" w:hanging="426"/>
      </w:pPr>
      <w:r>
        <w:rPr>
          <w:rFonts w:ascii="Arial" w:eastAsia="Arial" w:hAnsi="Arial" w:cs="Arial"/>
          <w:color w:val="000000"/>
        </w:rPr>
        <w:t>EU policy for regulating chemicals has developed over time and has gone through four main phases:</w:t>
      </w:r>
    </w:p>
    <w:p w14:paraId="5CA2D9ED" w14:textId="7211DA6C" w:rsidR="00203859" w:rsidRDefault="004A6F9F" w:rsidP="004A6F9F">
      <w:pPr>
        <w:numPr>
          <w:ilvl w:val="0"/>
          <w:numId w:val="1"/>
        </w:numPr>
        <w:pBdr>
          <w:top w:val="nil"/>
          <w:left w:val="nil"/>
          <w:bottom w:val="nil"/>
          <w:right w:val="nil"/>
          <w:between w:val="nil"/>
        </w:pBdr>
        <w:spacing w:after="0" w:line="240" w:lineRule="auto"/>
        <w:ind w:left="1146" w:hanging="425"/>
        <w:rPr>
          <w:rFonts w:ascii="Arial" w:eastAsia="Arial" w:hAnsi="Arial" w:cs="Arial"/>
          <w:color w:val="000000"/>
        </w:rPr>
      </w:pPr>
      <w:r>
        <w:rPr>
          <w:rFonts w:ascii="Arial" w:eastAsia="Arial" w:hAnsi="Arial" w:cs="Arial"/>
          <w:color w:val="000000"/>
        </w:rPr>
        <w:t>1970s: ad hoc restrictions on the marketing and use of chemicals that were known to be harmful;</w:t>
      </w:r>
    </w:p>
    <w:p w14:paraId="6E8F4152" w14:textId="77777777" w:rsidR="00203859" w:rsidRDefault="004A6F9F" w:rsidP="004A6F9F">
      <w:pPr>
        <w:numPr>
          <w:ilvl w:val="0"/>
          <w:numId w:val="1"/>
        </w:numPr>
        <w:pBdr>
          <w:top w:val="nil"/>
          <w:left w:val="nil"/>
          <w:bottom w:val="nil"/>
          <w:right w:val="nil"/>
          <w:between w:val="nil"/>
        </w:pBdr>
        <w:spacing w:after="0" w:line="240" w:lineRule="auto"/>
        <w:ind w:left="1146" w:hanging="425"/>
        <w:rPr>
          <w:rFonts w:ascii="Arial" w:eastAsia="Arial" w:hAnsi="Arial" w:cs="Arial"/>
          <w:color w:val="000000"/>
        </w:rPr>
      </w:pPr>
      <w:r>
        <w:rPr>
          <w:rFonts w:ascii="Arial" w:eastAsia="Arial" w:hAnsi="Arial" w:cs="Arial"/>
          <w:color w:val="000000"/>
        </w:rPr>
        <w:t>1980s: a systematic and proactive approach to new chemicals, which were not allowed onto the market before being tested (known as notification of new substances – NONS);</w:t>
      </w:r>
    </w:p>
    <w:p w14:paraId="08C9DA08" w14:textId="77777777" w:rsidR="00203859" w:rsidRDefault="004A6F9F" w:rsidP="004A6F9F">
      <w:pPr>
        <w:numPr>
          <w:ilvl w:val="0"/>
          <w:numId w:val="1"/>
        </w:numPr>
        <w:pBdr>
          <w:top w:val="nil"/>
          <w:left w:val="nil"/>
          <w:bottom w:val="nil"/>
          <w:right w:val="nil"/>
          <w:between w:val="nil"/>
        </w:pBdr>
        <w:spacing w:after="0" w:line="240" w:lineRule="auto"/>
        <w:ind w:left="1146" w:hanging="425"/>
        <w:rPr>
          <w:rFonts w:ascii="Arial" w:eastAsia="Arial" w:hAnsi="Arial" w:cs="Arial"/>
          <w:color w:val="000000"/>
        </w:rPr>
      </w:pPr>
      <w:r>
        <w:rPr>
          <w:rFonts w:ascii="Arial" w:eastAsia="Arial" w:hAnsi="Arial" w:cs="Arial"/>
          <w:color w:val="000000"/>
        </w:rPr>
        <w:t>1990s: a programme to evaluate existing chemicals through the Existing Substances Regulation, along with the management of those identified as risks;</w:t>
      </w:r>
    </w:p>
    <w:p w14:paraId="42BE2678" w14:textId="77777777" w:rsidR="00203859" w:rsidRDefault="004A6F9F" w:rsidP="004A6F9F">
      <w:pPr>
        <w:numPr>
          <w:ilvl w:val="0"/>
          <w:numId w:val="1"/>
        </w:numPr>
        <w:pBdr>
          <w:top w:val="nil"/>
          <w:left w:val="nil"/>
          <w:bottom w:val="nil"/>
          <w:right w:val="nil"/>
          <w:between w:val="nil"/>
        </w:pBdr>
        <w:spacing w:after="0" w:line="240" w:lineRule="auto"/>
        <w:ind w:left="1146" w:hanging="425"/>
        <w:rPr>
          <w:rFonts w:ascii="Arial" w:eastAsia="Arial" w:hAnsi="Arial" w:cs="Arial"/>
          <w:color w:val="000000"/>
        </w:rPr>
      </w:pPr>
      <w:r>
        <w:rPr>
          <w:rFonts w:ascii="Arial" w:eastAsia="Arial" w:hAnsi="Arial" w:cs="Arial"/>
          <w:color w:val="000000"/>
        </w:rPr>
        <w:t>2000s: the current REACH regulation is a consolidation and extension of the earlier phases so that new and existing substances are addressed in a consistent manner through the registration procedure combined with a streamlined restriction process for chemicals with unacceptable risks, as well as a new authorisation procedure for control of substances of very high concern.</w:t>
      </w:r>
    </w:p>
    <w:p w14:paraId="13D6A0F7" w14:textId="77777777" w:rsidR="00203859" w:rsidRDefault="00203859">
      <w:pPr>
        <w:pBdr>
          <w:top w:val="nil"/>
          <w:left w:val="nil"/>
          <w:bottom w:val="nil"/>
          <w:right w:val="nil"/>
          <w:between w:val="nil"/>
        </w:pBdr>
        <w:spacing w:after="0" w:line="240" w:lineRule="auto"/>
        <w:ind w:left="426"/>
        <w:rPr>
          <w:rFonts w:ascii="Arial" w:eastAsia="Arial" w:hAnsi="Arial" w:cs="Arial"/>
          <w:color w:val="000000"/>
        </w:rPr>
      </w:pPr>
    </w:p>
    <w:p w14:paraId="2BE9CF44" w14:textId="77777777" w:rsidR="00203859" w:rsidRDefault="00203859">
      <w:pPr>
        <w:pBdr>
          <w:top w:val="nil"/>
          <w:left w:val="nil"/>
          <w:bottom w:val="nil"/>
          <w:right w:val="nil"/>
          <w:between w:val="nil"/>
        </w:pBdr>
        <w:spacing w:after="0"/>
        <w:ind w:left="426" w:hanging="426"/>
        <w:rPr>
          <w:rFonts w:ascii="Arial" w:eastAsia="Arial" w:hAnsi="Arial" w:cs="Arial"/>
          <w:b/>
          <w:color w:val="000000"/>
        </w:rPr>
      </w:pPr>
    </w:p>
    <w:p w14:paraId="43C12BA2" w14:textId="77777777" w:rsidR="00203859" w:rsidRDefault="004A6F9F">
      <w:pPr>
        <w:numPr>
          <w:ilvl w:val="0"/>
          <w:numId w:val="3"/>
        </w:numPr>
        <w:pBdr>
          <w:top w:val="nil"/>
          <w:left w:val="nil"/>
          <w:bottom w:val="nil"/>
          <w:right w:val="nil"/>
          <w:between w:val="nil"/>
        </w:pBdr>
        <w:spacing w:after="240" w:line="240" w:lineRule="auto"/>
        <w:ind w:left="426" w:hanging="426"/>
        <w:rPr>
          <w:b/>
          <w:color w:val="000000"/>
        </w:rPr>
      </w:pPr>
      <w:r>
        <w:rPr>
          <w:rFonts w:ascii="Arial" w:eastAsia="Arial" w:hAnsi="Arial" w:cs="Arial"/>
          <w:b/>
          <w:color w:val="000000"/>
        </w:rPr>
        <w:t>PROBLEM UNDER CONSIDERATION</w:t>
      </w:r>
    </w:p>
    <w:p w14:paraId="64B3CE13" w14:textId="3FDC0F8D" w:rsidR="00203859" w:rsidRDefault="004A6F9F">
      <w:pPr>
        <w:numPr>
          <w:ilvl w:val="0"/>
          <w:numId w:val="5"/>
        </w:numPr>
        <w:pBdr>
          <w:top w:val="nil"/>
          <w:left w:val="nil"/>
          <w:bottom w:val="nil"/>
          <w:right w:val="nil"/>
          <w:between w:val="nil"/>
        </w:pBdr>
        <w:spacing w:after="240" w:line="240" w:lineRule="auto"/>
        <w:ind w:left="426" w:hanging="426"/>
      </w:pPr>
      <w:r>
        <w:rPr>
          <w:rFonts w:ascii="Arial" w:eastAsia="Arial" w:hAnsi="Arial" w:cs="Arial"/>
          <w:color w:val="000000"/>
        </w:rPr>
        <w:t xml:space="preserve">The UK chemicals sector is highly diverse, including the manufacture of commodity/bulk chemicals, speciality chemicals, polymers (plastics) and consumer chemicals (e.g. personal care and cleaning products). The chemicals they manufacture and use are an essential building block for manufacturing and other industry and business sectors, even though many </w:t>
      </w:r>
      <w:r w:rsidR="00665D5F">
        <w:rPr>
          <w:rFonts w:ascii="Arial" w:eastAsia="Arial" w:hAnsi="Arial" w:cs="Arial"/>
          <w:color w:val="000000"/>
        </w:rPr>
        <w:t>downstream users</w:t>
      </w:r>
      <w:r>
        <w:rPr>
          <w:rFonts w:ascii="Arial" w:eastAsia="Arial" w:hAnsi="Arial" w:cs="Arial"/>
          <w:color w:val="000000"/>
        </w:rPr>
        <w:t xml:space="preserve"> may not be aware of their dependence on chemicals. The UK chemicals manufacturing sector directly accounted for £12.7 billion of the UK economy’s Gross Value Added (GVA)</w:t>
      </w:r>
      <w:r>
        <w:rPr>
          <w:rFonts w:ascii="Arial" w:eastAsia="Arial" w:hAnsi="Arial" w:cs="Arial"/>
          <w:color w:val="000000"/>
          <w:vertAlign w:val="superscript"/>
        </w:rPr>
        <w:footnoteReference w:id="4"/>
      </w:r>
      <w:r>
        <w:rPr>
          <w:rFonts w:ascii="Arial" w:eastAsia="Arial" w:hAnsi="Arial" w:cs="Arial"/>
          <w:color w:val="000000"/>
        </w:rPr>
        <w:t xml:space="preserve"> and 95,000 direct jobs in 2017.</w:t>
      </w:r>
      <w:r>
        <w:rPr>
          <w:rFonts w:ascii="Arial" w:eastAsia="Arial" w:hAnsi="Arial" w:cs="Arial"/>
          <w:color w:val="000000"/>
          <w:vertAlign w:val="superscript"/>
        </w:rPr>
        <w:footnoteReference w:id="5"/>
      </w:r>
      <w:r>
        <w:rPr>
          <w:rFonts w:ascii="Arial" w:eastAsia="Arial" w:hAnsi="Arial" w:cs="Arial"/>
          <w:color w:val="000000"/>
        </w:rPr>
        <w:t xml:space="preserve"> </w:t>
      </w:r>
      <w:r w:rsidR="0091293C">
        <w:rPr>
          <w:rFonts w:ascii="Arial" w:eastAsia="Arial" w:hAnsi="Arial" w:cs="Arial"/>
        </w:rPr>
        <w:t xml:space="preserve">There are </w:t>
      </w:r>
      <w:r>
        <w:rPr>
          <w:rFonts w:ascii="Arial" w:eastAsia="Arial" w:hAnsi="Arial" w:cs="Arial"/>
          <w:color w:val="000000"/>
        </w:rPr>
        <w:t xml:space="preserve">approximately 2,800 </w:t>
      </w:r>
      <w:r w:rsidR="0091293C">
        <w:rPr>
          <w:rFonts w:ascii="Arial" w:eastAsia="Arial" w:hAnsi="Arial" w:cs="Arial"/>
          <w:color w:val="000000"/>
        </w:rPr>
        <w:t xml:space="preserve">chemical businesses, of which 97.5% are </w:t>
      </w:r>
      <w:r>
        <w:rPr>
          <w:rFonts w:ascii="Arial" w:eastAsia="Arial" w:hAnsi="Arial" w:cs="Arial"/>
          <w:color w:val="000000"/>
        </w:rPr>
        <w:t>Small and Medium Enterprises (SMEs) and microbusinesses</w:t>
      </w:r>
      <w:r w:rsidR="0091293C">
        <w:rPr>
          <w:rFonts w:ascii="Arial" w:eastAsia="Arial" w:hAnsi="Arial" w:cs="Arial"/>
          <w:color w:val="000000"/>
        </w:rPr>
        <w:t>.</w:t>
      </w:r>
      <w:r>
        <w:rPr>
          <w:rFonts w:ascii="Arial" w:eastAsia="Arial" w:hAnsi="Arial" w:cs="Arial"/>
          <w:color w:val="000000"/>
          <w:vertAlign w:val="superscript"/>
        </w:rPr>
        <w:footnoteReference w:id="6"/>
      </w:r>
      <w:r>
        <w:rPr>
          <w:rFonts w:ascii="Arial" w:eastAsia="Arial" w:hAnsi="Arial" w:cs="Arial"/>
          <w:color w:val="000000"/>
        </w:rPr>
        <w:t xml:space="preserve"> </w:t>
      </w:r>
    </w:p>
    <w:p w14:paraId="60F5A224" w14:textId="1E9730C6" w:rsidR="00203859" w:rsidRDefault="004A6F9F">
      <w:pPr>
        <w:numPr>
          <w:ilvl w:val="0"/>
          <w:numId w:val="5"/>
        </w:numPr>
        <w:pBdr>
          <w:top w:val="nil"/>
          <w:left w:val="nil"/>
          <w:bottom w:val="nil"/>
          <w:right w:val="nil"/>
          <w:between w:val="nil"/>
        </w:pBdr>
        <w:spacing w:after="240" w:line="240" w:lineRule="auto"/>
        <w:ind w:left="426" w:hanging="426"/>
      </w:pPr>
      <w:r w:rsidRPr="004A6F9F">
        <w:rPr>
          <w:rFonts w:ascii="Arial" w:eastAsia="Arial" w:hAnsi="Arial" w:cs="Arial"/>
        </w:rPr>
        <w:t>C</w:t>
      </w:r>
      <w:r>
        <w:rPr>
          <w:rFonts w:ascii="Arial" w:eastAsia="Arial" w:hAnsi="Arial" w:cs="Arial"/>
          <w:color w:val="000000"/>
        </w:rPr>
        <w:t xml:space="preserve">hemicals also present a range of hazards and potential risks.  Some of these may be physical hazards, e.g. they can be flammable or explosive.  Others can present risks to human health as a result of their toxicity, e.g. they might cause cancer, or they might be persistent, bioaccumulate and/or be toxic </w:t>
      </w:r>
      <w:r w:rsidRPr="004A6F9F">
        <w:rPr>
          <w:rFonts w:ascii="Arial" w:eastAsia="Arial" w:hAnsi="Arial" w:cs="Arial"/>
        </w:rPr>
        <w:t xml:space="preserve">to </w:t>
      </w:r>
      <w:r>
        <w:rPr>
          <w:rFonts w:ascii="Arial" w:eastAsia="Arial" w:hAnsi="Arial" w:cs="Arial"/>
          <w:color w:val="000000"/>
        </w:rPr>
        <w:t>the environment.</w:t>
      </w:r>
    </w:p>
    <w:p w14:paraId="4A5A26DA" w14:textId="62510D1F" w:rsidR="00203859" w:rsidRDefault="004A6F9F">
      <w:pPr>
        <w:numPr>
          <w:ilvl w:val="0"/>
          <w:numId w:val="5"/>
        </w:numPr>
        <w:pBdr>
          <w:top w:val="nil"/>
          <w:left w:val="nil"/>
          <w:bottom w:val="nil"/>
          <w:right w:val="nil"/>
          <w:between w:val="nil"/>
        </w:pBdr>
        <w:spacing w:after="240" w:line="240" w:lineRule="auto"/>
        <w:ind w:left="426" w:hanging="426"/>
      </w:pPr>
      <w:r>
        <w:rPr>
          <w:rFonts w:ascii="Arial" w:eastAsia="Arial" w:hAnsi="Arial" w:cs="Arial"/>
          <w:color w:val="000000"/>
        </w:rPr>
        <w:t xml:space="preserve">As a result all users of chemicals need to understand the potential risks </w:t>
      </w:r>
      <w:r w:rsidRPr="004A6F9F">
        <w:rPr>
          <w:rFonts w:ascii="Arial" w:eastAsia="Arial" w:hAnsi="Arial" w:cs="Arial"/>
        </w:rPr>
        <w:t xml:space="preserve">of </w:t>
      </w:r>
      <w:r>
        <w:rPr>
          <w:rFonts w:ascii="Arial" w:eastAsia="Arial" w:hAnsi="Arial" w:cs="Arial"/>
          <w:color w:val="000000"/>
        </w:rPr>
        <w:t>the chemicals they use, and</w:t>
      </w:r>
      <w:r w:rsidRPr="004A6F9F">
        <w:rPr>
          <w:rFonts w:ascii="Arial" w:eastAsia="Arial" w:hAnsi="Arial" w:cs="Arial"/>
        </w:rPr>
        <w:t xml:space="preserve"> should </w:t>
      </w:r>
      <w:r>
        <w:rPr>
          <w:rFonts w:ascii="Arial" w:eastAsia="Arial" w:hAnsi="Arial" w:cs="Arial"/>
          <w:color w:val="000000"/>
        </w:rPr>
        <w:t>take the appropriate measures to control them.  Equally regulatory authorities need to be able to investigate outstanding concerns, introduce appropriate controls to protect human health and the environment and respond to new and emerging risks, and then to take enforcement action where necessary.</w:t>
      </w:r>
    </w:p>
    <w:p w14:paraId="7F9168FC" w14:textId="523EC5CB" w:rsidR="00203859" w:rsidRDefault="004A6F9F">
      <w:pPr>
        <w:numPr>
          <w:ilvl w:val="0"/>
          <w:numId w:val="5"/>
        </w:numPr>
        <w:pBdr>
          <w:top w:val="nil"/>
          <w:left w:val="nil"/>
          <w:bottom w:val="nil"/>
          <w:right w:val="nil"/>
          <w:between w:val="nil"/>
        </w:pBdr>
        <w:spacing w:after="240" w:line="240" w:lineRule="auto"/>
        <w:ind w:left="426" w:hanging="426"/>
      </w:pPr>
      <w:r>
        <w:rPr>
          <w:rFonts w:ascii="Arial" w:eastAsia="Arial" w:hAnsi="Arial" w:cs="Arial"/>
          <w:color w:val="000000"/>
        </w:rPr>
        <w:t>These e</w:t>
      </w:r>
      <w:r w:rsidRPr="004A6F9F">
        <w:rPr>
          <w:rFonts w:ascii="Arial" w:eastAsia="Arial" w:hAnsi="Arial" w:cs="Arial"/>
        </w:rPr>
        <w:t>lements</w:t>
      </w:r>
      <w:r>
        <w:rPr>
          <w:rFonts w:ascii="Arial" w:eastAsia="Arial" w:hAnsi="Arial" w:cs="Arial"/>
          <w:color w:val="000000"/>
        </w:rPr>
        <w:t xml:space="preserve"> have been the main focus of chemicals regulation as it has developed over time and are currently brought together in the EU REACH (Registration, Evaluation, Authorisation and Restriction of Chemicals) regulation (see Figure 1: REACH Explained on the next page). This is a directly acting EU regulation given effect </w:t>
      </w:r>
      <w:r>
        <w:rPr>
          <w:rFonts w:ascii="Arial" w:eastAsia="Arial" w:hAnsi="Arial" w:cs="Arial"/>
          <w:color w:val="000000"/>
        </w:rPr>
        <w:lastRenderedPageBreak/>
        <w:t xml:space="preserve">in the UK by the European Communities Act 1972. The Government’s intention when the </w:t>
      </w:r>
      <w:r w:rsidR="002D03B6">
        <w:rPr>
          <w:rFonts w:ascii="Arial" w:eastAsia="Arial" w:hAnsi="Arial" w:cs="Arial"/>
          <w:color w:val="000000"/>
        </w:rPr>
        <w:t>UK</w:t>
      </w:r>
      <w:r>
        <w:rPr>
          <w:rFonts w:ascii="Arial" w:eastAsia="Arial" w:hAnsi="Arial" w:cs="Arial"/>
          <w:color w:val="000000"/>
        </w:rPr>
        <w:t xml:space="preserve"> leaves the </w:t>
      </w:r>
      <w:r w:rsidR="002D03B6">
        <w:rPr>
          <w:rFonts w:ascii="Arial" w:eastAsia="Arial" w:hAnsi="Arial" w:cs="Arial"/>
          <w:color w:val="000000"/>
        </w:rPr>
        <w:t>EU</w:t>
      </w:r>
      <w:r>
        <w:rPr>
          <w:rFonts w:ascii="Arial" w:eastAsia="Arial" w:hAnsi="Arial" w:cs="Arial"/>
          <w:color w:val="000000"/>
        </w:rPr>
        <w:t xml:space="preserve"> is that existing EU law should be carried over into UK law under the terms of the European Union (Withdrawal) Act.  A further policy objective, expressed by the Prime Minister when launching the Government’s 25 Year Environment Plan on 11 January 2018, is that the </w:t>
      </w:r>
      <w:r w:rsidR="002D03B6">
        <w:rPr>
          <w:rFonts w:ascii="Arial" w:eastAsia="Arial" w:hAnsi="Arial" w:cs="Arial"/>
          <w:color w:val="000000"/>
        </w:rPr>
        <w:t>Government</w:t>
      </w:r>
      <w:r>
        <w:rPr>
          <w:rFonts w:ascii="Arial" w:eastAsia="Arial" w:hAnsi="Arial" w:cs="Arial"/>
          <w:color w:val="000000"/>
        </w:rPr>
        <w:t xml:space="preserve"> has no intention of weakening the UK’s current environmental protections as we leave the EU, and that the UK  will maintain its high regulatory standards for the environment. </w:t>
      </w:r>
    </w:p>
    <w:p w14:paraId="08758C0D" w14:textId="0010C897" w:rsidR="00203859" w:rsidRDefault="004A6F9F" w:rsidP="007042E8">
      <w:pPr>
        <w:numPr>
          <w:ilvl w:val="0"/>
          <w:numId w:val="5"/>
        </w:numPr>
        <w:pBdr>
          <w:top w:val="nil"/>
          <w:left w:val="nil"/>
          <w:bottom w:val="nil"/>
          <w:right w:val="nil"/>
          <w:between w:val="nil"/>
        </w:pBdr>
        <w:spacing w:after="240" w:line="240" w:lineRule="auto"/>
      </w:pPr>
      <w:r>
        <w:rPr>
          <w:rFonts w:ascii="Arial" w:eastAsia="Arial" w:hAnsi="Arial" w:cs="Arial"/>
          <w:color w:val="000000"/>
        </w:rPr>
        <w:t xml:space="preserve">REACH </w:t>
      </w:r>
      <w:r w:rsidRPr="004A6F9F">
        <w:rPr>
          <w:rFonts w:ascii="Arial" w:eastAsia="Arial" w:hAnsi="Arial" w:cs="Arial"/>
        </w:rPr>
        <w:t xml:space="preserve">established </w:t>
      </w:r>
      <w:r>
        <w:rPr>
          <w:rFonts w:ascii="Arial" w:eastAsia="Arial" w:hAnsi="Arial" w:cs="Arial"/>
          <w:color w:val="000000"/>
        </w:rPr>
        <w:t xml:space="preserve">a highly integrated regulatory system across the EU with a central focus on the </w:t>
      </w:r>
      <w:r w:rsidRPr="004A6F9F">
        <w:rPr>
          <w:rFonts w:ascii="Arial" w:eastAsia="Arial" w:hAnsi="Arial" w:cs="Arial"/>
        </w:rPr>
        <w:t>implementation</w:t>
      </w:r>
      <w:r>
        <w:rPr>
          <w:rFonts w:ascii="Arial" w:eastAsia="Arial" w:hAnsi="Arial" w:cs="Arial"/>
          <w:color w:val="000000"/>
        </w:rPr>
        <w:t xml:space="preserve"> role of the European Chemicals Agency (ECHA) as an agency of the </w:t>
      </w:r>
      <w:r w:rsidR="002D03B6">
        <w:rPr>
          <w:rFonts w:ascii="Arial" w:eastAsia="Arial" w:hAnsi="Arial" w:cs="Arial"/>
          <w:color w:val="000000"/>
        </w:rPr>
        <w:t>EU</w:t>
      </w:r>
      <w:r>
        <w:rPr>
          <w:rFonts w:ascii="Arial" w:eastAsia="Arial" w:hAnsi="Arial" w:cs="Arial"/>
          <w:color w:val="000000"/>
        </w:rPr>
        <w:t xml:space="preserve">. </w:t>
      </w:r>
      <w:r w:rsidR="007042E8">
        <w:rPr>
          <w:rFonts w:ascii="Arial" w:eastAsia="Arial" w:hAnsi="Arial" w:cs="Arial"/>
          <w:color w:val="000000"/>
        </w:rPr>
        <w:t xml:space="preserve">This means that </w:t>
      </w:r>
      <w:r w:rsidR="007042E8" w:rsidRPr="007042E8">
        <w:rPr>
          <w:rFonts w:ascii="Arial" w:eastAsia="Arial" w:hAnsi="Arial" w:cs="Arial"/>
          <w:color w:val="000000"/>
        </w:rPr>
        <w:t>a major part of the REACH legislation would become inoperable if it were simply carried into UK law under the Withdrawal Act without remedial amendment</w:t>
      </w:r>
      <w:r w:rsidR="007042E8">
        <w:rPr>
          <w:rFonts w:ascii="Arial" w:eastAsia="Arial" w:hAnsi="Arial" w:cs="Arial"/>
          <w:color w:val="000000"/>
        </w:rPr>
        <w:t>.</w:t>
      </w:r>
      <w:r w:rsidR="002A390E">
        <w:rPr>
          <w:rFonts w:ascii="Arial" w:eastAsia="Arial" w:hAnsi="Arial" w:cs="Arial"/>
          <w:color w:val="000000"/>
        </w:rPr>
        <w:t xml:space="preserve"> </w:t>
      </w:r>
      <w:r w:rsidR="00726ED8">
        <w:rPr>
          <w:rFonts w:ascii="Arial" w:eastAsia="Arial" w:hAnsi="Arial" w:cs="Arial"/>
          <w:color w:val="000000"/>
        </w:rPr>
        <w:t>For example t</w:t>
      </w:r>
      <w:r w:rsidR="007042E8">
        <w:rPr>
          <w:rFonts w:ascii="Arial" w:eastAsia="Arial" w:hAnsi="Arial" w:cs="Arial"/>
          <w:color w:val="000000"/>
        </w:rPr>
        <w:t xml:space="preserve">he industry dutyholders are defined as being “established in the Community”, which means that </w:t>
      </w:r>
      <w:r w:rsidR="00C247C7">
        <w:rPr>
          <w:rFonts w:ascii="Arial" w:eastAsia="Arial" w:hAnsi="Arial" w:cs="Arial"/>
          <w:color w:val="000000"/>
        </w:rPr>
        <w:t>they would no longer be subject to duties on safe use without amendments to REACH.</w:t>
      </w:r>
      <w:r>
        <w:rPr>
          <w:rFonts w:ascii="Arial" w:eastAsia="Arial" w:hAnsi="Arial" w:cs="Arial"/>
          <w:color w:val="000000"/>
        </w:rPr>
        <w:t xml:space="preserve">  </w:t>
      </w:r>
    </w:p>
    <w:p w14:paraId="7FA88E0E" w14:textId="77777777" w:rsidR="00203859" w:rsidRDefault="004A6F9F">
      <w:pPr>
        <w:pBdr>
          <w:top w:val="nil"/>
          <w:left w:val="nil"/>
          <w:bottom w:val="nil"/>
          <w:right w:val="nil"/>
          <w:between w:val="nil"/>
        </w:pBdr>
        <w:rPr>
          <w:rFonts w:ascii="Arial" w:eastAsia="Arial" w:hAnsi="Arial" w:cs="Arial"/>
          <w:color w:val="000000"/>
        </w:rPr>
      </w:pPr>
      <w:r>
        <w:br w:type="page"/>
      </w:r>
    </w:p>
    <w:p w14:paraId="005EA10E" w14:textId="77777777" w:rsidR="00203859" w:rsidRDefault="004A6F9F">
      <w:pPr>
        <w:pBdr>
          <w:top w:val="nil"/>
          <w:left w:val="nil"/>
          <w:bottom w:val="nil"/>
          <w:right w:val="nil"/>
          <w:between w:val="nil"/>
        </w:pBdr>
        <w:spacing w:after="240" w:line="240" w:lineRule="auto"/>
        <w:ind w:left="426" w:hanging="360"/>
        <w:rPr>
          <w:rFonts w:ascii="Arial" w:eastAsia="Arial" w:hAnsi="Arial" w:cs="Arial"/>
          <w:color w:val="000000"/>
        </w:rPr>
      </w:pPr>
      <w:r>
        <w:rPr>
          <w:noProof/>
        </w:rPr>
        <w:lastRenderedPageBreak/>
        <mc:AlternateContent>
          <mc:Choice Requires="wps">
            <w:drawing>
              <wp:anchor distT="0" distB="0" distL="114300" distR="114300" simplePos="0" relativeHeight="251658240" behindDoc="0" locked="0" layoutInCell="1" hidden="0" allowOverlap="1" wp14:anchorId="2A8E45FB" wp14:editId="2F1F80D5">
                <wp:simplePos x="0" y="0"/>
                <wp:positionH relativeFrom="column">
                  <wp:posOffset>-165099</wp:posOffset>
                </wp:positionH>
                <wp:positionV relativeFrom="paragraph">
                  <wp:posOffset>266700</wp:posOffset>
                </wp:positionV>
                <wp:extent cx="6181725" cy="8771164"/>
                <wp:effectExtent l="0" t="0" r="0" b="0"/>
                <wp:wrapNone/>
                <wp:docPr id="2" name="Rectangle 2"/>
                <wp:cNvGraphicFramePr/>
                <a:graphic xmlns:a="http://schemas.openxmlformats.org/drawingml/2006/main">
                  <a:graphicData uri="http://schemas.microsoft.com/office/word/2010/wordprocessingShape">
                    <wps:wsp>
                      <wps:cNvSpPr/>
                      <wps:spPr>
                        <a:xfrm>
                          <a:off x="2264663" y="0"/>
                          <a:ext cx="6162675" cy="7560000"/>
                        </a:xfrm>
                        <a:prstGeom prst="rect">
                          <a:avLst/>
                        </a:prstGeom>
                        <a:solidFill>
                          <a:schemeClr val="lt1"/>
                        </a:solidFill>
                        <a:ln w="9525" cap="flat" cmpd="sng">
                          <a:solidFill>
                            <a:srgbClr val="000000"/>
                          </a:solidFill>
                          <a:prstDash val="solid"/>
                          <a:round/>
                          <a:headEnd type="none" w="sm" len="sm"/>
                          <a:tailEnd type="none" w="sm" len="sm"/>
                        </a:ln>
                      </wps:spPr>
                      <wps:txbx>
                        <w:txbxContent>
                          <w:p w14:paraId="375B318E" w14:textId="77777777" w:rsidR="0024740E" w:rsidRPr="002D03B6" w:rsidRDefault="0024740E">
                            <w:pPr>
                              <w:spacing w:after="240" w:line="240" w:lineRule="auto"/>
                              <w:ind w:left="360" w:firstLine="785"/>
                              <w:textDirection w:val="btLr"/>
                              <w:rPr>
                                <w:sz w:val="20"/>
                              </w:rPr>
                            </w:pPr>
                            <w:r w:rsidRPr="002D03B6">
                              <w:rPr>
                                <w:rFonts w:ascii="Arial" w:eastAsia="Arial" w:hAnsi="Arial" w:cs="Arial"/>
                                <w:b/>
                                <w:color w:val="000000"/>
                              </w:rPr>
                              <w:t>REACH</w:t>
                            </w:r>
                            <w:r w:rsidRPr="002D03B6">
                              <w:rPr>
                                <w:rFonts w:ascii="Arial" w:eastAsia="Arial" w:hAnsi="Arial" w:cs="Arial"/>
                                <w:color w:val="000000"/>
                              </w:rPr>
                              <w:t xml:space="preserve"> (</w:t>
                            </w:r>
                            <w:r w:rsidRPr="002D03B6">
                              <w:rPr>
                                <w:rFonts w:ascii="Arial" w:eastAsia="Arial" w:hAnsi="Arial" w:cs="Arial"/>
                                <w:b/>
                                <w:color w:val="000000"/>
                              </w:rPr>
                              <w:t>R</w:t>
                            </w:r>
                            <w:r w:rsidRPr="002D03B6">
                              <w:rPr>
                                <w:rFonts w:ascii="Arial" w:eastAsia="Arial" w:hAnsi="Arial" w:cs="Arial"/>
                                <w:color w:val="000000"/>
                              </w:rPr>
                              <w:t xml:space="preserve">egistration, </w:t>
                            </w:r>
                            <w:r w:rsidRPr="002D03B6">
                              <w:rPr>
                                <w:rFonts w:ascii="Arial" w:eastAsia="Arial" w:hAnsi="Arial" w:cs="Arial"/>
                                <w:b/>
                                <w:color w:val="000000"/>
                              </w:rPr>
                              <w:t>E</w:t>
                            </w:r>
                            <w:r w:rsidRPr="002D03B6">
                              <w:rPr>
                                <w:rFonts w:ascii="Arial" w:eastAsia="Arial" w:hAnsi="Arial" w:cs="Arial"/>
                                <w:color w:val="000000"/>
                              </w:rPr>
                              <w:t xml:space="preserve">valuation, </w:t>
                            </w:r>
                            <w:r w:rsidRPr="002D03B6">
                              <w:rPr>
                                <w:rFonts w:ascii="Arial" w:eastAsia="Arial" w:hAnsi="Arial" w:cs="Arial"/>
                                <w:b/>
                                <w:color w:val="000000"/>
                              </w:rPr>
                              <w:t>A</w:t>
                            </w:r>
                            <w:r w:rsidRPr="002D03B6">
                              <w:rPr>
                                <w:rFonts w:ascii="Arial" w:eastAsia="Arial" w:hAnsi="Arial" w:cs="Arial"/>
                                <w:color w:val="000000"/>
                              </w:rPr>
                              <w:t xml:space="preserve">uthorisation &amp; restriction of </w:t>
                            </w:r>
                            <w:r w:rsidRPr="002D03B6">
                              <w:rPr>
                                <w:rFonts w:ascii="Arial" w:eastAsia="Arial" w:hAnsi="Arial" w:cs="Arial"/>
                                <w:b/>
                                <w:color w:val="000000"/>
                              </w:rPr>
                              <w:t>CH</w:t>
                            </w:r>
                            <w:r w:rsidRPr="002D03B6">
                              <w:rPr>
                                <w:rFonts w:ascii="Arial" w:eastAsia="Arial" w:hAnsi="Arial" w:cs="Arial"/>
                                <w:color w:val="000000"/>
                              </w:rPr>
                              <w:t>emicals)</w:t>
                            </w:r>
                          </w:p>
                          <w:p w14:paraId="4088E968" w14:textId="77777777" w:rsidR="0024740E" w:rsidRPr="002D03B6" w:rsidRDefault="0024740E">
                            <w:pPr>
                              <w:spacing w:after="240" w:line="240" w:lineRule="auto"/>
                              <w:ind w:left="425" w:firstLine="490"/>
                              <w:textDirection w:val="btLr"/>
                              <w:rPr>
                                <w:sz w:val="20"/>
                              </w:rPr>
                            </w:pPr>
                            <w:r w:rsidRPr="002D03B6">
                              <w:rPr>
                                <w:rFonts w:ascii="Arial" w:eastAsia="Arial" w:hAnsi="Arial" w:cs="Arial"/>
                                <w:color w:val="000000"/>
                                <w:sz w:val="24"/>
                              </w:rPr>
                              <w:t>The scope of the REACH legislation is the manufacture, placing on the market, and use of chemicals to the extent that they are not otherwise regulated through other, sector-specific legislation, e.g. on plant protection products, biocidal products or cosmetics.</w:t>
                            </w:r>
                          </w:p>
                          <w:p w14:paraId="5F6F05EF" w14:textId="77777777" w:rsidR="0024740E" w:rsidRPr="002D03B6" w:rsidRDefault="0024740E">
                            <w:pPr>
                              <w:spacing w:after="240" w:line="240" w:lineRule="auto"/>
                              <w:ind w:left="425" w:firstLine="490"/>
                              <w:textDirection w:val="btLr"/>
                              <w:rPr>
                                <w:sz w:val="20"/>
                              </w:rPr>
                            </w:pPr>
                            <w:r w:rsidRPr="002D03B6">
                              <w:rPr>
                                <w:rFonts w:ascii="Arial" w:eastAsia="Arial" w:hAnsi="Arial" w:cs="Arial"/>
                                <w:i/>
                                <w:color w:val="000000"/>
                                <w:sz w:val="24"/>
                                <w:u w:val="single"/>
                              </w:rPr>
                              <w:t>Registration</w:t>
                            </w:r>
                          </w:p>
                          <w:p w14:paraId="414382C8" w14:textId="77777777" w:rsidR="0024740E" w:rsidRPr="002D03B6" w:rsidRDefault="0024740E">
                            <w:pPr>
                              <w:spacing w:after="240" w:line="240" w:lineRule="auto"/>
                              <w:ind w:left="425" w:firstLine="490"/>
                              <w:textDirection w:val="btLr"/>
                              <w:rPr>
                                <w:sz w:val="20"/>
                              </w:rPr>
                            </w:pPr>
                            <w:r w:rsidRPr="002D03B6">
                              <w:rPr>
                                <w:rFonts w:ascii="Arial" w:eastAsia="Arial" w:hAnsi="Arial" w:cs="Arial"/>
                                <w:color w:val="000000"/>
                                <w:sz w:val="24"/>
                              </w:rPr>
                              <w:t>Under REACH, manufacturers and importers must demonstrate, in a registration dossier, that they manage their chemicals safely or that they can be used safely. They are required to register this information, in a central database under the management of the European Chemicals Agency (ECHA). Under the "no data, no market" principle, the EU market for a substance is denied to manufacturers and other actors unless that substance has been assessed and registered.</w:t>
                            </w:r>
                          </w:p>
                          <w:p w14:paraId="55FD0E25" w14:textId="77777777" w:rsidR="0024740E" w:rsidRPr="002D03B6" w:rsidRDefault="0024740E">
                            <w:pPr>
                              <w:spacing w:after="240" w:line="240" w:lineRule="auto"/>
                              <w:ind w:left="425" w:firstLine="490"/>
                              <w:textDirection w:val="btLr"/>
                              <w:rPr>
                                <w:sz w:val="20"/>
                              </w:rPr>
                            </w:pPr>
                            <w:r w:rsidRPr="002D03B6">
                              <w:rPr>
                                <w:rFonts w:ascii="Arial" w:eastAsia="Arial" w:hAnsi="Arial" w:cs="Arial"/>
                                <w:i/>
                                <w:color w:val="000000"/>
                                <w:sz w:val="24"/>
                                <w:u w:val="single"/>
                              </w:rPr>
                              <w:t>Evaluation</w:t>
                            </w:r>
                          </w:p>
                          <w:p w14:paraId="681472F6" w14:textId="77777777" w:rsidR="0024740E" w:rsidRPr="002D03B6" w:rsidRDefault="0024740E">
                            <w:pPr>
                              <w:spacing w:before="100" w:after="100" w:line="240" w:lineRule="auto"/>
                              <w:ind w:left="425"/>
                              <w:textDirection w:val="btLr"/>
                              <w:rPr>
                                <w:sz w:val="20"/>
                              </w:rPr>
                            </w:pPr>
                            <w:r w:rsidRPr="002D03B6">
                              <w:rPr>
                                <w:rFonts w:ascii="Arial" w:eastAsia="Arial" w:hAnsi="Arial" w:cs="Arial"/>
                                <w:color w:val="000000"/>
                                <w:sz w:val="24"/>
                              </w:rPr>
                              <w:t>ECHA and the Member States evaluate the information submitted by companies to examine the quality of the registration dossiers and the testing proposals and to clarify if a given substance constitutes a risk to human health or the environment. Evaluation under REACH focuses on three different areas:</w:t>
                            </w:r>
                          </w:p>
                          <w:p w14:paraId="738B392E" w14:textId="77777777" w:rsidR="0024740E" w:rsidRPr="002D03B6" w:rsidRDefault="0024740E">
                            <w:pPr>
                              <w:spacing w:before="100" w:after="100" w:line="240" w:lineRule="auto"/>
                              <w:ind w:left="765" w:firstLine="1333"/>
                              <w:textDirection w:val="btLr"/>
                              <w:rPr>
                                <w:sz w:val="20"/>
                              </w:rPr>
                            </w:pPr>
                            <w:r w:rsidRPr="002D03B6">
                              <w:rPr>
                                <w:rFonts w:ascii="Arial" w:eastAsia="Arial" w:hAnsi="Arial" w:cs="Arial"/>
                                <w:color w:val="000000"/>
                                <w:sz w:val="24"/>
                              </w:rPr>
                              <w:t>Examination of testing proposals submitted by registrants</w:t>
                            </w:r>
                          </w:p>
                          <w:p w14:paraId="3F1D968B" w14:textId="77777777" w:rsidR="0024740E" w:rsidRPr="002D03B6" w:rsidRDefault="0024740E">
                            <w:pPr>
                              <w:spacing w:before="100" w:after="100" w:line="240" w:lineRule="auto"/>
                              <w:ind w:left="765" w:firstLine="1333"/>
                              <w:textDirection w:val="btLr"/>
                              <w:rPr>
                                <w:sz w:val="20"/>
                              </w:rPr>
                            </w:pPr>
                            <w:r w:rsidRPr="002D03B6">
                              <w:rPr>
                                <w:rFonts w:ascii="Arial" w:eastAsia="Arial" w:hAnsi="Arial" w:cs="Arial"/>
                                <w:color w:val="000000"/>
                                <w:sz w:val="24"/>
                              </w:rPr>
                              <w:t>Compliance check of the dossiers submitted by registrants</w:t>
                            </w:r>
                          </w:p>
                          <w:p w14:paraId="6D251DA6" w14:textId="77777777" w:rsidR="0024740E" w:rsidRPr="002D03B6" w:rsidRDefault="0024740E">
                            <w:pPr>
                              <w:spacing w:before="100" w:after="100" w:line="240" w:lineRule="auto"/>
                              <w:ind w:left="765" w:firstLine="1333"/>
                              <w:textDirection w:val="btLr"/>
                              <w:rPr>
                                <w:sz w:val="20"/>
                              </w:rPr>
                            </w:pPr>
                            <w:r w:rsidRPr="002D03B6">
                              <w:rPr>
                                <w:rFonts w:ascii="Arial" w:eastAsia="Arial" w:hAnsi="Arial" w:cs="Arial"/>
                                <w:color w:val="000000"/>
                                <w:sz w:val="24"/>
                              </w:rPr>
                              <w:t>Substance evaluation</w:t>
                            </w:r>
                          </w:p>
                          <w:p w14:paraId="43EF4A43" w14:textId="77777777" w:rsidR="0024740E" w:rsidRPr="002D03B6" w:rsidRDefault="0024740E">
                            <w:pPr>
                              <w:spacing w:after="240" w:line="240" w:lineRule="auto"/>
                              <w:ind w:left="425" w:firstLine="490"/>
                              <w:textDirection w:val="btLr"/>
                              <w:rPr>
                                <w:sz w:val="20"/>
                              </w:rPr>
                            </w:pPr>
                            <w:r w:rsidRPr="002D03B6">
                              <w:rPr>
                                <w:rFonts w:ascii="Arial" w:eastAsia="Arial" w:hAnsi="Arial" w:cs="Arial"/>
                                <w:i/>
                                <w:color w:val="000000"/>
                                <w:sz w:val="24"/>
                                <w:u w:val="single"/>
                              </w:rPr>
                              <w:t>Authorisation and Restriction</w:t>
                            </w:r>
                          </w:p>
                          <w:p w14:paraId="4E00C7FA" w14:textId="77777777" w:rsidR="0024740E" w:rsidRPr="002D03B6" w:rsidRDefault="0024740E">
                            <w:pPr>
                              <w:spacing w:after="0" w:line="258" w:lineRule="auto"/>
                              <w:ind w:left="425"/>
                              <w:textDirection w:val="btLr"/>
                              <w:rPr>
                                <w:sz w:val="20"/>
                              </w:rPr>
                            </w:pPr>
                            <w:r w:rsidRPr="002D03B6">
                              <w:rPr>
                                <w:rFonts w:ascii="Arial" w:eastAsia="Arial" w:hAnsi="Arial" w:cs="Arial"/>
                                <w:color w:val="000000"/>
                                <w:sz w:val="24"/>
                              </w:rPr>
                              <w:t xml:space="preserve">Authorisation and Restriction are the main risk management tools of REACH. Authorisation refers to a business  seeking ‘authorisation’ or permission to use a substance which has been identified as </w:t>
                            </w:r>
                            <w:r w:rsidRPr="002D03B6">
                              <w:rPr>
                                <w:rFonts w:ascii="Arial" w:eastAsia="Arial" w:hAnsi="Arial" w:cs="Arial"/>
                                <w:i/>
                                <w:color w:val="000000"/>
                                <w:sz w:val="24"/>
                              </w:rPr>
                              <w:t>a substance of very high concern</w:t>
                            </w:r>
                            <w:r w:rsidRPr="002D03B6">
                              <w:rPr>
                                <w:rFonts w:ascii="Arial" w:eastAsia="Arial" w:hAnsi="Arial" w:cs="Arial"/>
                                <w:color w:val="000000"/>
                                <w:sz w:val="24"/>
                              </w:rPr>
                              <w:t xml:space="preserve"> (SVHC) and has been moved onto a list known as the Annex XIV list (or the authorisation list).  Substances on the authorisation list cannot be placed on the market or used after a given date ("sunset date"), unless an authorisation is granted by the Commission for their specific use, or the use is exempted from authorisation. Authorisation is usually granted for a time limited period of between 5-12 years. There are currently 181 SVHC and 43 substances on the authorisation list. As of 20 July 2017, 35 authorisations have been issued by the Commission, and 60 are pending adoption.</w:t>
                            </w:r>
                          </w:p>
                          <w:p w14:paraId="0F04A148" w14:textId="77777777" w:rsidR="0024740E" w:rsidRPr="002D03B6" w:rsidRDefault="0024740E">
                            <w:pPr>
                              <w:spacing w:after="240" w:line="240" w:lineRule="auto"/>
                              <w:ind w:left="425" w:firstLine="490"/>
                              <w:textDirection w:val="btLr"/>
                              <w:rPr>
                                <w:sz w:val="20"/>
                              </w:rPr>
                            </w:pPr>
                            <w:r w:rsidRPr="002D03B6">
                              <w:rPr>
                                <w:rFonts w:ascii="Arial" w:eastAsia="Arial" w:hAnsi="Arial" w:cs="Arial"/>
                                <w:color w:val="000000"/>
                                <w:sz w:val="24"/>
                              </w:rPr>
                              <w:t>The REACH restriction tool is designed to manage risks that are not adequately addressed by the other provisions of the REACH Regulation, including those on authorisation. Under the restrictions regime, the manufacture and use of chemical substances, as well as their presence in products, can be subjected to generally binding limitations and conditions, including complete prohibitions. There are presently 66 substances listed on Annex XVII of REACH.</w:t>
                            </w:r>
                          </w:p>
                          <w:p w14:paraId="3FAC0A5E" w14:textId="77777777" w:rsidR="0024740E" w:rsidRPr="002D03B6" w:rsidRDefault="0024740E">
                            <w:pPr>
                              <w:spacing w:after="240" w:line="240" w:lineRule="auto"/>
                              <w:ind w:left="425" w:firstLine="490"/>
                              <w:textDirection w:val="btLr"/>
                              <w:rPr>
                                <w:sz w:val="20"/>
                              </w:rPr>
                            </w:pPr>
                            <w:r w:rsidRPr="002D03B6">
                              <w:rPr>
                                <w:rFonts w:ascii="Arial" w:eastAsia="Arial" w:hAnsi="Arial" w:cs="Arial"/>
                                <w:color w:val="000000"/>
                                <w:sz w:val="24"/>
                              </w:rPr>
                              <w:t xml:space="preserve">Sources: </w:t>
                            </w:r>
                            <w:r w:rsidRPr="002D03B6">
                              <w:rPr>
                                <w:rFonts w:ascii="Arial" w:eastAsia="Arial" w:hAnsi="Arial" w:cs="Arial"/>
                                <w:color w:val="000000"/>
                                <w:sz w:val="24"/>
                              </w:rPr>
                              <w:br/>
                            </w:r>
                            <w:r w:rsidRPr="002D03B6">
                              <w:rPr>
                                <w:rFonts w:ascii="Arial" w:eastAsia="Arial" w:hAnsi="Arial" w:cs="Arial"/>
                                <w:color w:val="0563C1"/>
                                <w:sz w:val="24"/>
                                <w:u w:val="single"/>
                              </w:rPr>
                              <w:t>List of substances of very high concern</w:t>
                            </w:r>
                            <w:r w:rsidRPr="002D03B6">
                              <w:rPr>
                                <w:rFonts w:ascii="Arial" w:eastAsia="Arial" w:hAnsi="Arial" w:cs="Arial"/>
                                <w:color w:val="0563C1"/>
                                <w:sz w:val="24"/>
                                <w:u w:val="single"/>
                              </w:rPr>
                              <w:br/>
                              <w:t>Authorisation list</w:t>
                            </w:r>
                            <w:r w:rsidRPr="002D03B6">
                              <w:rPr>
                                <w:rFonts w:ascii="Arial" w:eastAsia="Arial" w:hAnsi="Arial" w:cs="Arial"/>
                                <w:color w:val="000000"/>
                                <w:sz w:val="24"/>
                              </w:rPr>
                              <w:t xml:space="preserve"> (Annex XIV)</w:t>
                            </w:r>
                            <w:r w:rsidRPr="002D03B6">
                              <w:rPr>
                                <w:rFonts w:ascii="Arial" w:eastAsia="Arial" w:hAnsi="Arial" w:cs="Arial"/>
                                <w:color w:val="000000"/>
                                <w:sz w:val="24"/>
                              </w:rPr>
                              <w:br/>
                            </w:r>
                          </w:p>
                        </w:txbxContent>
                      </wps:txbx>
                      <wps:bodyPr spcFirstLastPara="1" wrap="square" lIns="91425" tIns="45700" rIns="91425" bIns="45700" anchor="t" anchorCtr="0"/>
                    </wps:wsp>
                  </a:graphicData>
                </a:graphic>
              </wp:anchor>
            </w:drawing>
          </mc:Choice>
          <mc:Fallback>
            <w:pict>
              <v:rect w14:anchorId="2A8E45FB" id="Rectangle 2" o:spid="_x0000_s1026" style="position:absolute;left:0;text-align:left;margin-left:-13pt;margin-top:21pt;width:486.75pt;height:690.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" fillcolor="white [3201]">
                <v:stroke startarrowwidth="narrow" startarrowlength="short" endarrowwidth="narrow" endarrowlength="short" joinstyle="round"/>
                <v:textbox inset="2.53958mm,1.2694mm,2.53958mm,1.2694mm">
                  <w:txbxContent>
                    <w:p w14:paraId="375B318E" w14:textId="77777777" w:rsidR="0024740E" w:rsidRPr="002D03B6" w:rsidRDefault="0024740E">
                      <w:pPr>
                        <w:spacing w:after="240" w:line="240" w:lineRule="auto"/>
                        <w:ind w:left="360" w:firstLine="785"/>
                        <w:textDirection w:val="btLr"/>
                        <w:rPr>
                          <w:sz w:val="20"/>
                        </w:rPr>
                      </w:pPr>
                      <w:r w:rsidRPr="002D03B6">
                        <w:rPr>
                          <w:rFonts w:ascii="Arial" w:eastAsia="Arial" w:hAnsi="Arial" w:cs="Arial"/>
                          <w:b/>
                          <w:color w:val="000000"/>
                        </w:rPr>
                        <w:t>REACH</w:t>
                      </w:r>
                      <w:r w:rsidRPr="002D03B6">
                        <w:rPr>
                          <w:rFonts w:ascii="Arial" w:eastAsia="Arial" w:hAnsi="Arial" w:cs="Arial"/>
                          <w:color w:val="000000"/>
                        </w:rPr>
                        <w:t xml:space="preserve"> (</w:t>
                      </w:r>
                      <w:r w:rsidRPr="002D03B6">
                        <w:rPr>
                          <w:rFonts w:ascii="Arial" w:eastAsia="Arial" w:hAnsi="Arial" w:cs="Arial"/>
                          <w:b/>
                          <w:color w:val="000000"/>
                        </w:rPr>
                        <w:t>R</w:t>
                      </w:r>
                      <w:r w:rsidRPr="002D03B6">
                        <w:rPr>
                          <w:rFonts w:ascii="Arial" w:eastAsia="Arial" w:hAnsi="Arial" w:cs="Arial"/>
                          <w:color w:val="000000"/>
                        </w:rPr>
                        <w:t xml:space="preserve">egistration, </w:t>
                      </w:r>
                      <w:r w:rsidRPr="002D03B6">
                        <w:rPr>
                          <w:rFonts w:ascii="Arial" w:eastAsia="Arial" w:hAnsi="Arial" w:cs="Arial"/>
                          <w:b/>
                          <w:color w:val="000000"/>
                        </w:rPr>
                        <w:t>E</w:t>
                      </w:r>
                      <w:r w:rsidRPr="002D03B6">
                        <w:rPr>
                          <w:rFonts w:ascii="Arial" w:eastAsia="Arial" w:hAnsi="Arial" w:cs="Arial"/>
                          <w:color w:val="000000"/>
                        </w:rPr>
                        <w:t xml:space="preserve">valuation, </w:t>
                      </w:r>
                      <w:r w:rsidRPr="002D03B6">
                        <w:rPr>
                          <w:rFonts w:ascii="Arial" w:eastAsia="Arial" w:hAnsi="Arial" w:cs="Arial"/>
                          <w:b/>
                          <w:color w:val="000000"/>
                        </w:rPr>
                        <w:t>A</w:t>
                      </w:r>
                      <w:r w:rsidRPr="002D03B6">
                        <w:rPr>
                          <w:rFonts w:ascii="Arial" w:eastAsia="Arial" w:hAnsi="Arial" w:cs="Arial"/>
                          <w:color w:val="000000"/>
                        </w:rPr>
                        <w:t xml:space="preserve">uthorisation &amp; restriction of </w:t>
                      </w:r>
                      <w:proofErr w:type="spellStart"/>
                      <w:r w:rsidRPr="002D03B6">
                        <w:rPr>
                          <w:rFonts w:ascii="Arial" w:eastAsia="Arial" w:hAnsi="Arial" w:cs="Arial"/>
                          <w:b/>
                          <w:color w:val="000000"/>
                        </w:rPr>
                        <w:t>CH</w:t>
                      </w:r>
                      <w:r w:rsidRPr="002D03B6">
                        <w:rPr>
                          <w:rFonts w:ascii="Arial" w:eastAsia="Arial" w:hAnsi="Arial" w:cs="Arial"/>
                          <w:color w:val="000000"/>
                        </w:rPr>
                        <w:t>emicals</w:t>
                      </w:r>
                      <w:proofErr w:type="spellEnd"/>
                      <w:r w:rsidRPr="002D03B6">
                        <w:rPr>
                          <w:rFonts w:ascii="Arial" w:eastAsia="Arial" w:hAnsi="Arial" w:cs="Arial"/>
                          <w:color w:val="000000"/>
                        </w:rPr>
                        <w:t>)</w:t>
                      </w:r>
                    </w:p>
                    <w:p w14:paraId="4088E968" w14:textId="77777777" w:rsidR="0024740E" w:rsidRPr="002D03B6" w:rsidRDefault="0024740E">
                      <w:pPr>
                        <w:spacing w:after="240" w:line="240" w:lineRule="auto"/>
                        <w:ind w:left="425" w:firstLine="490"/>
                        <w:textDirection w:val="btLr"/>
                        <w:rPr>
                          <w:sz w:val="20"/>
                        </w:rPr>
                      </w:pPr>
                      <w:r w:rsidRPr="002D03B6">
                        <w:rPr>
                          <w:rFonts w:ascii="Arial" w:eastAsia="Arial" w:hAnsi="Arial" w:cs="Arial"/>
                          <w:color w:val="000000"/>
                          <w:sz w:val="24"/>
                        </w:rPr>
                        <w:t>The scope of the REACH legislation is the manufacture, placing on the market, and use of chemicals to the extent that they are not otherwise regulated through other, sector-specific legislation, e.g. on plant protection products, biocidal products or cosmetics.</w:t>
                      </w:r>
                    </w:p>
                    <w:p w14:paraId="5F6F05EF" w14:textId="77777777" w:rsidR="0024740E" w:rsidRPr="002D03B6" w:rsidRDefault="0024740E">
                      <w:pPr>
                        <w:spacing w:after="240" w:line="240" w:lineRule="auto"/>
                        <w:ind w:left="425" w:firstLine="490"/>
                        <w:textDirection w:val="btLr"/>
                        <w:rPr>
                          <w:sz w:val="20"/>
                        </w:rPr>
                      </w:pPr>
                      <w:r w:rsidRPr="002D03B6">
                        <w:rPr>
                          <w:rFonts w:ascii="Arial" w:eastAsia="Arial" w:hAnsi="Arial" w:cs="Arial"/>
                          <w:i/>
                          <w:color w:val="000000"/>
                          <w:sz w:val="24"/>
                          <w:u w:val="single"/>
                        </w:rPr>
                        <w:t>Registration</w:t>
                      </w:r>
                    </w:p>
                    <w:p w14:paraId="414382C8" w14:textId="77777777" w:rsidR="0024740E" w:rsidRPr="002D03B6" w:rsidRDefault="0024740E">
                      <w:pPr>
                        <w:spacing w:after="240" w:line="240" w:lineRule="auto"/>
                        <w:ind w:left="425" w:firstLine="490"/>
                        <w:textDirection w:val="btLr"/>
                        <w:rPr>
                          <w:sz w:val="20"/>
                        </w:rPr>
                      </w:pPr>
                      <w:r w:rsidRPr="002D03B6">
                        <w:rPr>
                          <w:rFonts w:ascii="Arial" w:eastAsia="Arial" w:hAnsi="Arial" w:cs="Arial"/>
                          <w:color w:val="000000"/>
                          <w:sz w:val="24"/>
                        </w:rPr>
                        <w:t>Under REACH, manufacturers and importers must demonstrate, in a registration dossier, that they manage their chemicals safely or that they can be used safely. They are required to register this information, in a central database under the management of the European Chemicals Agency (ECHA). Under the "no data, no market" principle, the EU market for a substance is denied to manufacturers and other actors unless that substance has been assessed and registered.</w:t>
                      </w:r>
                    </w:p>
                    <w:p w14:paraId="55FD0E25" w14:textId="77777777" w:rsidR="0024740E" w:rsidRPr="002D03B6" w:rsidRDefault="0024740E">
                      <w:pPr>
                        <w:spacing w:after="240" w:line="240" w:lineRule="auto"/>
                        <w:ind w:left="425" w:firstLine="490"/>
                        <w:textDirection w:val="btLr"/>
                        <w:rPr>
                          <w:sz w:val="20"/>
                        </w:rPr>
                      </w:pPr>
                      <w:r w:rsidRPr="002D03B6">
                        <w:rPr>
                          <w:rFonts w:ascii="Arial" w:eastAsia="Arial" w:hAnsi="Arial" w:cs="Arial"/>
                          <w:i/>
                          <w:color w:val="000000"/>
                          <w:sz w:val="24"/>
                          <w:u w:val="single"/>
                        </w:rPr>
                        <w:t>Evaluation</w:t>
                      </w:r>
                    </w:p>
                    <w:p w14:paraId="681472F6" w14:textId="77777777" w:rsidR="0024740E" w:rsidRPr="002D03B6" w:rsidRDefault="0024740E">
                      <w:pPr>
                        <w:spacing w:before="100" w:after="100" w:line="240" w:lineRule="auto"/>
                        <w:ind w:left="425"/>
                        <w:textDirection w:val="btLr"/>
                        <w:rPr>
                          <w:sz w:val="20"/>
                        </w:rPr>
                      </w:pPr>
                      <w:r w:rsidRPr="002D03B6">
                        <w:rPr>
                          <w:rFonts w:ascii="Arial" w:eastAsia="Arial" w:hAnsi="Arial" w:cs="Arial"/>
                          <w:color w:val="000000"/>
                          <w:sz w:val="24"/>
                        </w:rPr>
                        <w:t>ECHA and the Member States evaluate the information submitted by companies to examine the quality of the registration dossiers and the testing proposals and to clarify if a given substance constitutes a risk to human health or the environment. Evaluation under REACH focuses on three different areas:</w:t>
                      </w:r>
                    </w:p>
                    <w:p w14:paraId="738B392E" w14:textId="77777777" w:rsidR="0024740E" w:rsidRPr="002D03B6" w:rsidRDefault="0024740E">
                      <w:pPr>
                        <w:spacing w:before="100" w:after="100" w:line="240" w:lineRule="auto"/>
                        <w:ind w:left="765" w:firstLine="1333"/>
                        <w:textDirection w:val="btLr"/>
                        <w:rPr>
                          <w:sz w:val="20"/>
                        </w:rPr>
                      </w:pPr>
                      <w:r w:rsidRPr="002D03B6">
                        <w:rPr>
                          <w:rFonts w:ascii="Arial" w:eastAsia="Arial" w:hAnsi="Arial" w:cs="Arial"/>
                          <w:color w:val="000000"/>
                          <w:sz w:val="24"/>
                        </w:rPr>
                        <w:t>Examination of testing proposals submitted by registrants</w:t>
                      </w:r>
                    </w:p>
                    <w:p w14:paraId="3F1D968B" w14:textId="77777777" w:rsidR="0024740E" w:rsidRPr="002D03B6" w:rsidRDefault="0024740E">
                      <w:pPr>
                        <w:spacing w:before="100" w:after="100" w:line="240" w:lineRule="auto"/>
                        <w:ind w:left="765" w:firstLine="1333"/>
                        <w:textDirection w:val="btLr"/>
                        <w:rPr>
                          <w:sz w:val="20"/>
                        </w:rPr>
                      </w:pPr>
                      <w:r w:rsidRPr="002D03B6">
                        <w:rPr>
                          <w:rFonts w:ascii="Arial" w:eastAsia="Arial" w:hAnsi="Arial" w:cs="Arial"/>
                          <w:color w:val="000000"/>
                          <w:sz w:val="24"/>
                        </w:rPr>
                        <w:t>Compliance check of the dossiers submitted by registrants</w:t>
                      </w:r>
                    </w:p>
                    <w:p w14:paraId="6D251DA6" w14:textId="77777777" w:rsidR="0024740E" w:rsidRPr="002D03B6" w:rsidRDefault="0024740E">
                      <w:pPr>
                        <w:spacing w:before="100" w:after="100" w:line="240" w:lineRule="auto"/>
                        <w:ind w:left="765" w:firstLine="1333"/>
                        <w:textDirection w:val="btLr"/>
                        <w:rPr>
                          <w:sz w:val="20"/>
                        </w:rPr>
                      </w:pPr>
                      <w:r w:rsidRPr="002D03B6">
                        <w:rPr>
                          <w:rFonts w:ascii="Arial" w:eastAsia="Arial" w:hAnsi="Arial" w:cs="Arial"/>
                          <w:color w:val="000000"/>
                          <w:sz w:val="24"/>
                        </w:rPr>
                        <w:t>Substance evaluation</w:t>
                      </w:r>
                    </w:p>
                    <w:p w14:paraId="43EF4A43" w14:textId="77777777" w:rsidR="0024740E" w:rsidRPr="002D03B6" w:rsidRDefault="0024740E">
                      <w:pPr>
                        <w:spacing w:after="240" w:line="240" w:lineRule="auto"/>
                        <w:ind w:left="425" w:firstLine="490"/>
                        <w:textDirection w:val="btLr"/>
                        <w:rPr>
                          <w:sz w:val="20"/>
                        </w:rPr>
                      </w:pPr>
                      <w:r w:rsidRPr="002D03B6">
                        <w:rPr>
                          <w:rFonts w:ascii="Arial" w:eastAsia="Arial" w:hAnsi="Arial" w:cs="Arial"/>
                          <w:i/>
                          <w:color w:val="000000"/>
                          <w:sz w:val="24"/>
                          <w:u w:val="single"/>
                        </w:rPr>
                        <w:t>Authorisation and Restriction</w:t>
                      </w:r>
                    </w:p>
                    <w:p w14:paraId="4E00C7FA" w14:textId="77777777" w:rsidR="0024740E" w:rsidRPr="002D03B6" w:rsidRDefault="0024740E">
                      <w:pPr>
                        <w:spacing w:after="0" w:line="258" w:lineRule="auto"/>
                        <w:ind w:left="425"/>
                        <w:textDirection w:val="btLr"/>
                        <w:rPr>
                          <w:sz w:val="20"/>
                        </w:rPr>
                      </w:pPr>
                      <w:r w:rsidRPr="002D03B6">
                        <w:rPr>
                          <w:rFonts w:ascii="Arial" w:eastAsia="Arial" w:hAnsi="Arial" w:cs="Arial"/>
                          <w:color w:val="000000"/>
                          <w:sz w:val="24"/>
                        </w:rPr>
                        <w:t xml:space="preserve">Authorisation and Restriction are the main risk management tools of REACH. Authorisation refers to a business  seeking ‘authorisation’ or permission to use a substance which has been identified as </w:t>
                      </w:r>
                      <w:r w:rsidRPr="002D03B6">
                        <w:rPr>
                          <w:rFonts w:ascii="Arial" w:eastAsia="Arial" w:hAnsi="Arial" w:cs="Arial"/>
                          <w:i/>
                          <w:color w:val="000000"/>
                          <w:sz w:val="24"/>
                        </w:rPr>
                        <w:t>a substance of very high concern</w:t>
                      </w:r>
                      <w:r w:rsidRPr="002D03B6">
                        <w:rPr>
                          <w:rFonts w:ascii="Arial" w:eastAsia="Arial" w:hAnsi="Arial" w:cs="Arial"/>
                          <w:color w:val="000000"/>
                          <w:sz w:val="24"/>
                        </w:rPr>
                        <w:t xml:space="preserve"> (SVHC) and has been moved onto a list known as the Annex XIV list (or the authorisation list).  Substances on the authorisation list cannot be placed on the market or used after a given date ("sunset date"), unless an authorisation is granted by the Commission for their specific use, or the use is exempted from authorisation. Authorisation is usually granted for a time limited period of between 5-12 years. There are currently 181 SVHC and 43 substances on the authorisation list. As of 20 July 2017, 35 authorisations have been issued by the Commission, and 60 are pending adoption.</w:t>
                      </w:r>
                    </w:p>
                    <w:p w14:paraId="0F04A148" w14:textId="77777777" w:rsidR="0024740E" w:rsidRPr="002D03B6" w:rsidRDefault="0024740E">
                      <w:pPr>
                        <w:spacing w:after="240" w:line="240" w:lineRule="auto"/>
                        <w:ind w:left="425" w:firstLine="490"/>
                        <w:textDirection w:val="btLr"/>
                        <w:rPr>
                          <w:sz w:val="20"/>
                        </w:rPr>
                      </w:pPr>
                      <w:r w:rsidRPr="002D03B6">
                        <w:rPr>
                          <w:rFonts w:ascii="Arial" w:eastAsia="Arial" w:hAnsi="Arial" w:cs="Arial"/>
                          <w:color w:val="000000"/>
                          <w:sz w:val="24"/>
                        </w:rPr>
                        <w:t>The REACH restriction tool is designed to manage risks that are not adequately addressed by the other provisions of the REACH Regulation, including those on authorisation. Under the restrictions regime, the manufacture and use of chemical substances, as well as their presence in products, can be subjected to generally binding limitations and conditions, including complete prohibitions. There are presently 66 substances listed on Annex XVII of REACH.</w:t>
                      </w:r>
                    </w:p>
                    <w:p w14:paraId="3FAC0A5E" w14:textId="77777777" w:rsidR="0024740E" w:rsidRPr="002D03B6" w:rsidRDefault="0024740E">
                      <w:pPr>
                        <w:spacing w:after="240" w:line="240" w:lineRule="auto"/>
                        <w:ind w:left="425" w:firstLine="490"/>
                        <w:textDirection w:val="btLr"/>
                        <w:rPr>
                          <w:sz w:val="20"/>
                        </w:rPr>
                      </w:pPr>
                      <w:r w:rsidRPr="002D03B6">
                        <w:rPr>
                          <w:rFonts w:ascii="Arial" w:eastAsia="Arial" w:hAnsi="Arial" w:cs="Arial"/>
                          <w:color w:val="000000"/>
                          <w:sz w:val="24"/>
                        </w:rPr>
                        <w:t xml:space="preserve">Sources: </w:t>
                      </w:r>
                      <w:r w:rsidRPr="002D03B6">
                        <w:rPr>
                          <w:rFonts w:ascii="Arial" w:eastAsia="Arial" w:hAnsi="Arial" w:cs="Arial"/>
                          <w:color w:val="000000"/>
                          <w:sz w:val="24"/>
                        </w:rPr>
                        <w:br/>
                      </w:r>
                      <w:r w:rsidRPr="002D03B6">
                        <w:rPr>
                          <w:rFonts w:ascii="Arial" w:eastAsia="Arial" w:hAnsi="Arial" w:cs="Arial"/>
                          <w:color w:val="0563C1"/>
                          <w:sz w:val="24"/>
                          <w:u w:val="single"/>
                        </w:rPr>
                        <w:t>List of substances of very high concern</w:t>
                      </w:r>
                      <w:r w:rsidRPr="002D03B6">
                        <w:rPr>
                          <w:rFonts w:ascii="Arial" w:eastAsia="Arial" w:hAnsi="Arial" w:cs="Arial"/>
                          <w:color w:val="0563C1"/>
                          <w:sz w:val="24"/>
                          <w:u w:val="single"/>
                        </w:rPr>
                        <w:br/>
                        <w:t>Authorisation list</w:t>
                      </w:r>
                      <w:r w:rsidRPr="002D03B6">
                        <w:rPr>
                          <w:rFonts w:ascii="Arial" w:eastAsia="Arial" w:hAnsi="Arial" w:cs="Arial"/>
                          <w:color w:val="000000"/>
                          <w:sz w:val="24"/>
                        </w:rPr>
                        <w:t xml:space="preserve"> (Annex XIV)</w:t>
                      </w:r>
                      <w:r w:rsidRPr="002D03B6">
                        <w:rPr>
                          <w:rFonts w:ascii="Arial" w:eastAsia="Arial" w:hAnsi="Arial" w:cs="Arial"/>
                          <w:color w:val="000000"/>
                          <w:sz w:val="24"/>
                        </w:rPr>
                        <w:br/>
                      </w:r>
                    </w:p>
                  </w:txbxContent>
                </v:textbox>
              </v:rect>
            </w:pict>
          </mc:Fallback>
        </mc:AlternateContent>
      </w:r>
      <w:r>
        <w:rPr>
          <w:noProof/>
        </w:rPr>
        <mc:AlternateContent>
          <mc:Choice Requires="wps">
            <w:drawing>
              <wp:anchor distT="0" distB="0" distL="114300" distR="114300" simplePos="0" relativeHeight="251658241" behindDoc="0" locked="0" layoutInCell="1" hidden="0" allowOverlap="1" wp14:anchorId="669E2C44" wp14:editId="5D151214">
                <wp:simplePos x="0" y="0"/>
                <wp:positionH relativeFrom="column">
                  <wp:posOffset>-165099</wp:posOffset>
                </wp:positionH>
                <wp:positionV relativeFrom="paragraph">
                  <wp:posOffset>76200</wp:posOffset>
                </wp:positionV>
                <wp:extent cx="6181725" cy="185305"/>
                <wp:effectExtent l="0" t="0" r="0" b="0"/>
                <wp:wrapNone/>
                <wp:docPr id="1" name="Rectangle 1"/>
                <wp:cNvGraphicFramePr/>
                <a:graphic xmlns:a="http://schemas.openxmlformats.org/drawingml/2006/main">
                  <a:graphicData uri="http://schemas.microsoft.com/office/word/2010/wordprocessingShape">
                    <wps:wsp>
                      <wps:cNvSpPr/>
                      <wps:spPr>
                        <a:xfrm>
                          <a:off x="2264663" y="3696873"/>
                          <a:ext cx="6162675" cy="166255"/>
                        </a:xfrm>
                        <a:prstGeom prst="rect">
                          <a:avLst/>
                        </a:prstGeom>
                        <a:solidFill>
                          <a:srgbClr val="FFFFFF"/>
                        </a:solidFill>
                        <a:ln>
                          <a:noFill/>
                        </a:ln>
                      </wps:spPr>
                      <wps:txbx>
                        <w:txbxContent>
                          <w:p w14:paraId="6A86CD1B" w14:textId="77777777" w:rsidR="0024740E" w:rsidRDefault="0024740E">
                            <w:pPr>
                              <w:spacing w:after="200" w:line="240" w:lineRule="auto"/>
                              <w:textDirection w:val="btLr"/>
                            </w:pPr>
                            <w:r>
                              <w:rPr>
                                <w:rFonts w:ascii="Arial" w:eastAsia="Arial" w:hAnsi="Arial" w:cs="Arial"/>
                                <w:i/>
                                <w:color w:val="44546A"/>
                                <w:sz w:val="18"/>
                              </w:rPr>
                              <w:t>Figure 1: REACH Explained</w:t>
                            </w:r>
                          </w:p>
                        </w:txbxContent>
                      </wps:txbx>
                      <wps:bodyPr spcFirstLastPara="1" wrap="square" lIns="0" tIns="0" rIns="0" bIns="0" anchor="t" anchorCtr="0"/>
                    </wps:wsp>
                  </a:graphicData>
                </a:graphic>
              </wp:anchor>
            </w:drawing>
          </mc:Choice>
          <mc:Fallback>
            <w:pict>
              <v:rect w14:anchorId="669E2C44" id="Rectangle 1" o:spid="_x0000_s1027" style="position:absolute;left:0;text-align:left;margin-left:-13pt;margin-top:6pt;width:486.75pt;height:14.6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" stroked="f">
                <v:textbox inset="0,0,0,0">
                  <w:txbxContent>
                    <w:p w14:paraId="6A86CD1B" w14:textId="77777777" w:rsidR="0024740E" w:rsidRDefault="0024740E">
                      <w:pPr>
                        <w:spacing w:after="200" w:line="240" w:lineRule="auto"/>
                        <w:textDirection w:val="btLr"/>
                      </w:pPr>
                      <w:r>
                        <w:rPr>
                          <w:rFonts w:ascii="Arial" w:eastAsia="Arial" w:hAnsi="Arial" w:cs="Arial"/>
                          <w:i/>
                          <w:color w:val="44546A"/>
                          <w:sz w:val="18"/>
                        </w:rPr>
                        <w:t>Figure 1: REACH Explained</w:t>
                      </w:r>
                    </w:p>
                  </w:txbxContent>
                </v:textbox>
              </v:rect>
            </w:pict>
          </mc:Fallback>
        </mc:AlternateContent>
      </w:r>
    </w:p>
    <w:p w14:paraId="49555434" w14:textId="77777777" w:rsidR="00203859" w:rsidRDefault="00203859">
      <w:pPr>
        <w:pBdr>
          <w:top w:val="nil"/>
          <w:left w:val="nil"/>
          <w:bottom w:val="nil"/>
          <w:right w:val="nil"/>
          <w:between w:val="nil"/>
        </w:pBdr>
        <w:ind w:left="426" w:hanging="426"/>
        <w:rPr>
          <w:rFonts w:ascii="Arial" w:eastAsia="Arial" w:hAnsi="Arial" w:cs="Arial"/>
          <w:color w:val="000000"/>
        </w:rPr>
      </w:pPr>
    </w:p>
    <w:p w14:paraId="698C189F" w14:textId="77777777" w:rsidR="00203859" w:rsidRDefault="00203859">
      <w:pPr>
        <w:pBdr>
          <w:top w:val="nil"/>
          <w:left w:val="nil"/>
          <w:bottom w:val="nil"/>
          <w:right w:val="nil"/>
          <w:between w:val="nil"/>
        </w:pBdr>
        <w:spacing w:after="240"/>
        <w:ind w:left="426" w:hanging="426"/>
        <w:rPr>
          <w:rFonts w:ascii="Arial" w:eastAsia="Arial" w:hAnsi="Arial" w:cs="Arial"/>
          <w:b/>
          <w:color w:val="000000"/>
        </w:rPr>
      </w:pPr>
    </w:p>
    <w:p w14:paraId="3E9969CC" w14:textId="77777777" w:rsidR="00203859" w:rsidRDefault="004A6F9F">
      <w:pPr>
        <w:pBdr>
          <w:top w:val="nil"/>
          <w:left w:val="nil"/>
          <w:bottom w:val="nil"/>
          <w:right w:val="nil"/>
          <w:between w:val="nil"/>
        </w:pBdr>
        <w:rPr>
          <w:rFonts w:ascii="Arial" w:eastAsia="Arial" w:hAnsi="Arial" w:cs="Arial"/>
          <w:b/>
          <w:color w:val="000000"/>
        </w:rPr>
      </w:pPr>
      <w:r>
        <w:br w:type="page"/>
      </w:r>
    </w:p>
    <w:p w14:paraId="1E7C8F61" w14:textId="77777777" w:rsidR="00203859" w:rsidRDefault="004A6F9F">
      <w:pPr>
        <w:numPr>
          <w:ilvl w:val="0"/>
          <w:numId w:val="3"/>
        </w:numPr>
        <w:pBdr>
          <w:top w:val="nil"/>
          <w:left w:val="nil"/>
          <w:bottom w:val="nil"/>
          <w:right w:val="nil"/>
          <w:between w:val="nil"/>
        </w:pBdr>
        <w:spacing w:after="240" w:line="240" w:lineRule="auto"/>
        <w:ind w:left="426" w:hanging="426"/>
        <w:rPr>
          <w:b/>
          <w:color w:val="000000"/>
        </w:rPr>
      </w:pPr>
      <w:r>
        <w:rPr>
          <w:rFonts w:ascii="Arial" w:eastAsia="Arial" w:hAnsi="Arial" w:cs="Arial"/>
          <w:b/>
          <w:color w:val="000000"/>
        </w:rPr>
        <w:lastRenderedPageBreak/>
        <w:t>POLICY OBJECTIVE</w:t>
      </w:r>
    </w:p>
    <w:p w14:paraId="2B952EAB" w14:textId="77777777" w:rsidR="00203859" w:rsidRDefault="00203859">
      <w:pPr>
        <w:pBdr>
          <w:top w:val="nil"/>
          <w:left w:val="nil"/>
          <w:bottom w:val="nil"/>
          <w:right w:val="nil"/>
          <w:between w:val="nil"/>
        </w:pBdr>
        <w:spacing w:after="0" w:line="240" w:lineRule="auto"/>
        <w:rPr>
          <w:rFonts w:ascii="Arial" w:eastAsia="Arial" w:hAnsi="Arial" w:cs="Arial"/>
          <w:color w:val="000000"/>
        </w:rPr>
      </w:pPr>
    </w:p>
    <w:p w14:paraId="152C12F7" w14:textId="43E5CD69" w:rsidR="00203859" w:rsidRPr="002A390E" w:rsidRDefault="004A6F9F">
      <w:pPr>
        <w:numPr>
          <w:ilvl w:val="0"/>
          <w:numId w:val="5"/>
        </w:numPr>
        <w:pBdr>
          <w:top w:val="nil"/>
          <w:left w:val="nil"/>
          <w:bottom w:val="nil"/>
          <w:right w:val="nil"/>
          <w:between w:val="nil"/>
        </w:pBdr>
        <w:spacing w:after="240" w:line="240" w:lineRule="auto"/>
        <w:ind w:left="426" w:hanging="426"/>
      </w:pPr>
      <w:r>
        <w:rPr>
          <w:rFonts w:ascii="Arial" w:eastAsia="Arial" w:hAnsi="Arial" w:cs="Arial"/>
          <w:color w:val="000000"/>
        </w:rPr>
        <w:t xml:space="preserve">The </w:t>
      </w:r>
      <w:r w:rsidR="0024740E">
        <w:rPr>
          <w:rFonts w:ascii="Arial" w:eastAsia="Arial" w:hAnsi="Arial" w:cs="Arial"/>
          <w:color w:val="000000"/>
        </w:rPr>
        <w:t>Political Declaration</w:t>
      </w:r>
      <w:r>
        <w:rPr>
          <w:rFonts w:ascii="Arial" w:eastAsia="Arial" w:hAnsi="Arial" w:cs="Arial"/>
          <w:color w:val="000000"/>
        </w:rPr>
        <w:t xml:space="preserve"> on the future </w:t>
      </w:r>
      <w:r w:rsidRPr="002A390E">
        <w:rPr>
          <w:rFonts w:ascii="Arial" w:eastAsia="Arial" w:hAnsi="Arial" w:cs="Arial"/>
        </w:rPr>
        <w:t xml:space="preserve">relationship between the </w:t>
      </w:r>
      <w:r w:rsidR="002D03B6" w:rsidRPr="002A390E">
        <w:rPr>
          <w:rFonts w:ascii="Arial" w:eastAsia="Arial" w:hAnsi="Arial" w:cs="Arial"/>
        </w:rPr>
        <w:t>UK</w:t>
      </w:r>
      <w:r w:rsidRPr="002A390E">
        <w:rPr>
          <w:rFonts w:ascii="Arial" w:eastAsia="Arial" w:hAnsi="Arial" w:cs="Arial"/>
        </w:rPr>
        <w:t xml:space="preserve"> and the </w:t>
      </w:r>
      <w:r w:rsidR="002D03B6" w:rsidRPr="002A390E">
        <w:rPr>
          <w:rFonts w:ascii="Arial" w:eastAsia="Arial" w:hAnsi="Arial" w:cs="Arial"/>
        </w:rPr>
        <w:t>EU</w:t>
      </w:r>
      <w:r w:rsidRPr="002A390E">
        <w:rPr>
          <w:rFonts w:ascii="Arial" w:eastAsia="Arial" w:hAnsi="Arial" w:cs="Arial"/>
        </w:rPr>
        <w:t xml:space="preserve"> makes proposals for a UK-EU free trade area </w:t>
      </w:r>
      <w:r w:rsidR="00613036" w:rsidRPr="002A390E">
        <w:rPr>
          <w:rFonts w:ascii="Arial" w:eastAsia="Arial" w:hAnsi="Arial" w:cs="Arial"/>
        </w:rPr>
        <w:t xml:space="preserve">for goods, which </w:t>
      </w:r>
      <w:r w:rsidR="00C00BE8" w:rsidRPr="002A390E">
        <w:rPr>
          <w:rFonts w:ascii="Arial" w:eastAsia="Arial" w:hAnsi="Arial" w:cs="Arial"/>
        </w:rPr>
        <w:t xml:space="preserve">ensures a trading relationship that is as close as possible, </w:t>
      </w:r>
      <w:r w:rsidR="00613036" w:rsidRPr="002A390E">
        <w:rPr>
          <w:rFonts w:ascii="Arial" w:eastAsia="Arial" w:hAnsi="Arial" w:cs="Arial"/>
        </w:rPr>
        <w:t>combin</w:t>
      </w:r>
      <w:r w:rsidR="00C00BE8" w:rsidRPr="002A390E">
        <w:rPr>
          <w:rFonts w:ascii="Arial" w:eastAsia="Arial" w:hAnsi="Arial" w:cs="Arial"/>
        </w:rPr>
        <w:t>ing</w:t>
      </w:r>
      <w:r w:rsidR="00613036" w:rsidRPr="002A390E">
        <w:rPr>
          <w:rFonts w:ascii="Arial" w:eastAsia="Arial" w:hAnsi="Arial" w:cs="Arial"/>
        </w:rPr>
        <w:t xml:space="preserve"> deep regulatory and customs cooperation. </w:t>
      </w:r>
      <w:r w:rsidR="00613036" w:rsidRPr="002A390E">
        <w:rPr>
          <w:rFonts w:ascii="Arial" w:eastAsia="Arial" w:hAnsi="Arial" w:cs="Arial"/>
          <w:highlight w:val="white"/>
        </w:rPr>
        <w:t>The UK and the EU will explore the possibility of cooperation between UK authorities and EU agencies, such as the European Chemicals Agency. (ECHA)</w:t>
      </w:r>
      <w:r w:rsidR="00613036" w:rsidRPr="002A390E">
        <w:rPr>
          <w:rFonts w:ascii="Arial" w:eastAsia="Arial" w:hAnsi="Arial" w:cs="Arial"/>
        </w:rPr>
        <w:t xml:space="preserve">  </w:t>
      </w:r>
      <w:r w:rsidRPr="002A390E">
        <w:rPr>
          <w:rFonts w:ascii="Arial" w:eastAsia="Arial" w:hAnsi="Arial" w:cs="Arial"/>
        </w:rPr>
        <w:t xml:space="preserve">In addition to this preferred option, the Government must prepare for all scenarios, which includes  developing domestic arrangements to regulate chemicals after the UK leaves the </w:t>
      </w:r>
      <w:r w:rsidR="002D03B6" w:rsidRPr="002A390E">
        <w:rPr>
          <w:rFonts w:ascii="Arial" w:eastAsia="Arial" w:hAnsi="Arial" w:cs="Arial"/>
        </w:rPr>
        <w:t>EU</w:t>
      </w:r>
      <w:r w:rsidRPr="002A390E">
        <w:rPr>
          <w:rFonts w:ascii="Arial" w:eastAsia="Arial" w:hAnsi="Arial" w:cs="Arial"/>
        </w:rPr>
        <w:t>, specifically:</w:t>
      </w:r>
    </w:p>
    <w:p w14:paraId="56E05416" w14:textId="77777777" w:rsidR="00203859" w:rsidRDefault="004A6F9F" w:rsidP="004A6F9F">
      <w:pPr>
        <w:numPr>
          <w:ilvl w:val="0"/>
          <w:numId w:val="1"/>
        </w:numPr>
        <w:pBdr>
          <w:top w:val="nil"/>
          <w:left w:val="nil"/>
          <w:bottom w:val="nil"/>
          <w:right w:val="nil"/>
          <w:between w:val="nil"/>
        </w:pBdr>
        <w:spacing w:after="0" w:line="240" w:lineRule="auto"/>
        <w:ind w:left="1146" w:hanging="425"/>
        <w:rPr>
          <w:rFonts w:ascii="Arial" w:eastAsia="Arial" w:hAnsi="Arial" w:cs="Arial"/>
          <w:color w:val="000000"/>
        </w:rPr>
      </w:pPr>
      <w:r w:rsidRPr="002A390E">
        <w:rPr>
          <w:rFonts w:ascii="Arial" w:eastAsia="Arial" w:hAnsi="Arial" w:cs="Arial"/>
        </w:rPr>
        <w:t xml:space="preserve">To convert the existing EU REACH regulation into national law, through the powers provided by the EU (Withdrawal) Act.  REACH is a single EU-wide regulatory system centred on the European Chemicals </w:t>
      </w:r>
      <w:r>
        <w:rPr>
          <w:rFonts w:ascii="Arial" w:eastAsia="Arial" w:hAnsi="Arial" w:cs="Arial"/>
          <w:color w:val="000000"/>
        </w:rPr>
        <w:t>Agency, so significant areas of REACH will become inoperable at a national level and will require amendment, so this statutory instrument makes the legislative amendments necessary to make it operable in the UK national context; and thereby</w:t>
      </w:r>
    </w:p>
    <w:p w14:paraId="7706BF55" w14:textId="76563E51" w:rsidR="00203859" w:rsidRDefault="004A6F9F" w:rsidP="004A6F9F">
      <w:pPr>
        <w:numPr>
          <w:ilvl w:val="0"/>
          <w:numId w:val="1"/>
        </w:numPr>
        <w:pBdr>
          <w:top w:val="nil"/>
          <w:left w:val="nil"/>
          <w:bottom w:val="nil"/>
          <w:right w:val="nil"/>
          <w:between w:val="nil"/>
        </w:pBdr>
        <w:spacing w:after="0" w:line="240" w:lineRule="auto"/>
        <w:ind w:left="1146" w:hanging="425"/>
        <w:rPr>
          <w:rFonts w:ascii="Arial" w:eastAsia="Arial" w:hAnsi="Arial" w:cs="Arial"/>
          <w:color w:val="000000"/>
        </w:rPr>
      </w:pPr>
      <w:r>
        <w:rPr>
          <w:rFonts w:ascii="Arial" w:eastAsia="Arial" w:hAnsi="Arial" w:cs="Arial"/>
          <w:color w:val="000000"/>
        </w:rPr>
        <w:t>To provide continuity and stability for businesses by converting</w:t>
      </w:r>
      <w:r w:rsidRPr="004A6F9F">
        <w:rPr>
          <w:rFonts w:ascii="Arial" w:eastAsia="Arial" w:hAnsi="Arial" w:cs="Arial"/>
        </w:rPr>
        <w:t xml:space="preserve">, where possible, established </w:t>
      </w:r>
      <w:r w:rsidR="002D03B6">
        <w:rPr>
          <w:rFonts w:ascii="Arial" w:eastAsia="Arial" w:hAnsi="Arial" w:cs="Arial"/>
          <w:color w:val="000000"/>
        </w:rPr>
        <w:t>EU</w:t>
      </w:r>
      <w:r>
        <w:rPr>
          <w:rFonts w:ascii="Arial" w:eastAsia="Arial" w:hAnsi="Arial" w:cs="Arial"/>
          <w:color w:val="000000"/>
        </w:rPr>
        <w:t xml:space="preserve"> law into UK law.</w:t>
      </w:r>
    </w:p>
    <w:p w14:paraId="58E71CEF" w14:textId="77777777" w:rsidR="00203859" w:rsidRDefault="00203859">
      <w:pPr>
        <w:pBdr>
          <w:top w:val="nil"/>
          <w:left w:val="nil"/>
          <w:bottom w:val="nil"/>
          <w:right w:val="nil"/>
          <w:between w:val="nil"/>
        </w:pBdr>
        <w:spacing w:after="0"/>
        <w:ind w:left="426" w:hanging="426"/>
        <w:rPr>
          <w:rFonts w:ascii="Arial" w:eastAsia="Arial" w:hAnsi="Arial" w:cs="Arial"/>
          <w:color w:val="000000"/>
        </w:rPr>
      </w:pPr>
    </w:p>
    <w:p w14:paraId="354DDCCF" w14:textId="65A1AD39" w:rsidR="00203859" w:rsidRDefault="004A6F9F">
      <w:pPr>
        <w:numPr>
          <w:ilvl w:val="0"/>
          <w:numId w:val="5"/>
        </w:numPr>
        <w:pBdr>
          <w:top w:val="nil"/>
          <w:left w:val="nil"/>
          <w:bottom w:val="nil"/>
          <w:right w:val="nil"/>
          <w:between w:val="nil"/>
        </w:pBdr>
        <w:spacing w:after="0" w:line="240" w:lineRule="auto"/>
        <w:ind w:left="426" w:hanging="426"/>
      </w:pPr>
      <w:r>
        <w:rPr>
          <w:rFonts w:ascii="Arial" w:eastAsia="Arial" w:hAnsi="Arial" w:cs="Arial"/>
          <w:color w:val="000000"/>
        </w:rPr>
        <w:t xml:space="preserve">This national regulatory regime would continue to support the </w:t>
      </w:r>
      <w:r w:rsidR="002D03B6">
        <w:rPr>
          <w:rFonts w:ascii="Arial" w:eastAsia="Arial" w:hAnsi="Arial" w:cs="Arial"/>
          <w:color w:val="000000"/>
        </w:rPr>
        <w:t>Government</w:t>
      </w:r>
      <w:r>
        <w:rPr>
          <w:rFonts w:ascii="Arial" w:eastAsia="Arial" w:hAnsi="Arial" w:cs="Arial"/>
          <w:color w:val="000000"/>
        </w:rPr>
        <w:t>’s objectives for chemicals policy:</w:t>
      </w:r>
    </w:p>
    <w:p w14:paraId="071CBED4" w14:textId="77777777" w:rsidR="00203859" w:rsidRDefault="004A6F9F" w:rsidP="004A6F9F">
      <w:pPr>
        <w:numPr>
          <w:ilvl w:val="0"/>
          <w:numId w:val="1"/>
        </w:numPr>
        <w:pBdr>
          <w:top w:val="nil"/>
          <w:left w:val="nil"/>
          <w:bottom w:val="nil"/>
          <w:right w:val="nil"/>
          <w:between w:val="nil"/>
        </w:pBdr>
        <w:spacing w:after="0" w:line="240" w:lineRule="auto"/>
        <w:ind w:left="1146" w:hanging="425"/>
        <w:rPr>
          <w:rFonts w:ascii="Arial" w:eastAsia="Arial" w:hAnsi="Arial" w:cs="Arial"/>
          <w:color w:val="000000"/>
        </w:rPr>
      </w:pPr>
      <w:r>
        <w:rPr>
          <w:rFonts w:ascii="Arial" w:eastAsia="Arial" w:hAnsi="Arial" w:cs="Arial"/>
          <w:color w:val="000000"/>
        </w:rPr>
        <w:t>To ensure a high level of protection of human health and the environment;</w:t>
      </w:r>
    </w:p>
    <w:p w14:paraId="74D18562" w14:textId="77777777" w:rsidR="00203859" w:rsidRDefault="004A6F9F" w:rsidP="004A6F9F">
      <w:pPr>
        <w:numPr>
          <w:ilvl w:val="0"/>
          <w:numId w:val="1"/>
        </w:numPr>
        <w:pBdr>
          <w:top w:val="nil"/>
          <w:left w:val="nil"/>
          <w:bottom w:val="nil"/>
          <w:right w:val="nil"/>
          <w:between w:val="nil"/>
        </w:pBdr>
        <w:spacing w:after="0" w:line="240" w:lineRule="auto"/>
        <w:ind w:left="1146" w:hanging="425"/>
        <w:rPr>
          <w:rFonts w:ascii="Arial" w:eastAsia="Arial" w:hAnsi="Arial" w:cs="Arial"/>
          <w:color w:val="000000"/>
        </w:rPr>
      </w:pPr>
      <w:r>
        <w:rPr>
          <w:rFonts w:ascii="Arial" w:eastAsia="Arial" w:hAnsi="Arial" w:cs="Arial"/>
          <w:color w:val="000000"/>
        </w:rPr>
        <w:t>To enhance the competitiveness and innovation of UK business;</w:t>
      </w:r>
    </w:p>
    <w:p w14:paraId="24F6ED8D" w14:textId="77777777" w:rsidR="00203859" w:rsidRDefault="004A6F9F" w:rsidP="004A6F9F">
      <w:pPr>
        <w:numPr>
          <w:ilvl w:val="0"/>
          <w:numId w:val="1"/>
        </w:numPr>
        <w:pBdr>
          <w:top w:val="nil"/>
          <w:left w:val="nil"/>
          <w:bottom w:val="nil"/>
          <w:right w:val="nil"/>
          <w:between w:val="nil"/>
        </w:pBdr>
        <w:spacing w:after="0" w:line="240" w:lineRule="auto"/>
        <w:ind w:left="1146" w:hanging="425"/>
        <w:rPr>
          <w:rFonts w:ascii="Arial" w:eastAsia="Arial" w:hAnsi="Arial" w:cs="Arial"/>
          <w:color w:val="000000"/>
        </w:rPr>
      </w:pPr>
      <w:r>
        <w:rPr>
          <w:rFonts w:ascii="Arial" w:eastAsia="Arial" w:hAnsi="Arial" w:cs="Arial"/>
          <w:color w:val="000000"/>
        </w:rPr>
        <w:t>To give businesses the duty to understand the hazards and potential risks of the chemicals they produce, place on the market and use, and to identify and apply appropriate risk management measures;</w:t>
      </w:r>
    </w:p>
    <w:p w14:paraId="3003F1E5" w14:textId="067F5108" w:rsidR="00203859" w:rsidRDefault="004A6F9F" w:rsidP="004A6F9F">
      <w:pPr>
        <w:numPr>
          <w:ilvl w:val="0"/>
          <w:numId w:val="1"/>
        </w:numPr>
        <w:pBdr>
          <w:top w:val="nil"/>
          <w:left w:val="nil"/>
          <w:bottom w:val="nil"/>
          <w:right w:val="nil"/>
          <w:between w:val="nil"/>
        </w:pBdr>
        <w:spacing w:after="0" w:line="240" w:lineRule="auto"/>
        <w:ind w:left="1146" w:hanging="425"/>
        <w:rPr>
          <w:rFonts w:ascii="Arial" w:eastAsia="Arial" w:hAnsi="Arial" w:cs="Arial"/>
          <w:color w:val="000000"/>
        </w:rPr>
      </w:pPr>
      <w:r>
        <w:rPr>
          <w:rFonts w:ascii="Arial" w:eastAsia="Arial" w:hAnsi="Arial" w:cs="Arial"/>
          <w:color w:val="000000"/>
        </w:rPr>
        <w:t xml:space="preserve">To ensure that UK </w:t>
      </w:r>
      <w:r w:rsidR="002D03B6">
        <w:rPr>
          <w:rFonts w:ascii="Arial" w:eastAsia="Arial" w:hAnsi="Arial" w:cs="Arial"/>
          <w:color w:val="000000"/>
        </w:rPr>
        <w:t>Government</w:t>
      </w:r>
      <w:r>
        <w:rPr>
          <w:rFonts w:ascii="Arial" w:eastAsia="Arial" w:hAnsi="Arial" w:cs="Arial"/>
          <w:color w:val="000000"/>
        </w:rPr>
        <w:t xml:space="preserve"> can respond to new and emerging risks from chemicals and that regulatory decisions are proportionate and based on scientific assessment of hazard and risk.</w:t>
      </w:r>
    </w:p>
    <w:p w14:paraId="2263B676" w14:textId="77777777" w:rsidR="00203859" w:rsidRDefault="00203859">
      <w:pPr>
        <w:pBdr>
          <w:top w:val="nil"/>
          <w:left w:val="nil"/>
          <w:bottom w:val="nil"/>
          <w:right w:val="nil"/>
          <w:between w:val="nil"/>
        </w:pBdr>
        <w:spacing w:after="0"/>
        <w:ind w:left="426" w:hanging="426"/>
        <w:rPr>
          <w:rFonts w:ascii="Arial" w:eastAsia="Arial" w:hAnsi="Arial" w:cs="Arial"/>
          <w:color w:val="000000"/>
        </w:rPr>
      </w:pPr>
    </w:p>
    <w:p w14:paraId="665B7F4B" w14:textId="77777777" w:rsidR="00203859" w:rsidRDefault="004A6F9F">
      <w:pPr>
        <w:numPr>
          <w:ilvl w:val="0"/>
          <w:numId w:val="3"/>
        </w:numPr>
        <w:pBdr>
          <w:top w:val="nil"/>
          <w:left w:val="nil"/>
          <w:bottom w:val="nil"/>
          <w:right w:val="nil"/>
          <w:between w:val="nil"/>
        </w:pBdr>
        <w:spacing w:before="240" w:after="240" w:line="240" w:lineRule="auto"/>
        <w:ind w:left="426" w:hanging="426"/>
        <w:rPr>
          <w:b/>
          <w:color w:val="000000"/>
        </w:rPr>
      </w:pPr>
      <w:r>
        <w:rPr>
          <w:rFonts w:ascii="Arial" w:eastAsia="Arial" w:hAnsi="Arial" w:cs="Arial"/>
          <w:b/>
          <w:i/>
          <w:color w:val="000000"/>
        </w:rPr>
        <w:t>ECONOMIC RATIONALE FOR GOVERNMENT INTERVENTION</w:t>
      </w:r>
    </w:p>
    <w:p w14:paraId="5F2F4373" w14:textId="5D5453E8" w:rsidR="00203859" w:rsidRDefault="004A6F9F">
      <w:pPr>
        <w:numPr>
          <w:ilvl w:val="0"/>
          <w:numId w:val="5"/>
        </w:numPr>
        <w:pBdr>
          <w:top w:val="nil"/>
          <w:left w:val="nil"/>
          <w:bottom w:val="nil"/>
          <w:right w:val="nil"/>
          <w:between w:val="nil"/>
        </w:pBdr>
        <w:spacing w:after="240" w:line="240" w:lineRule="auto"/>
        <w:ind w:left="426" w:hanging="426"/>
      </w:pPr>
      <w:r>
        <w:rPr>
          <w:rFonts w:ascii="Arial" w:eastAsia="Arial" w:hAnsi="Arial" w:cs="Arial"/>
          <w:color w:val="000000"/>
        </w:rPr>
        <w:t>Chemicals and manufactured chemical goods exist everywhere in our daily lives and are essential to modern day living, from the manufacture of industrial goods to everyday household products. However, chemical substances also present a range of hazards and potential risks to human health and the environment.</w:t>
      </w:r>
      <w:r>
        <w:rPr>
          <w:rFonts w:ascii="Arial" w:eastAsia="Arial" w:hAnsi="Arial" w:cs="Arial"/>
          <w:color w:val="FF0000"/>
        </w:rPr>
        <w:t xml:space="preserve"> </w:t>
      </w:r>
      <w:r>
        <w:rPr>
          <w:rFonts w:ascii="Arial" w:eastAsia="Arial" w:hAnsi="Arial" w:cs="Arial"/>
          <w:color w:val="000000"/>
        </w:rPr>
        <w:t xml:space="preserve">They can affect human health directly or enter our water, soil, and air through production, use or disposal and can cause long lasting damage in the natural environment. These are negative externalities (external costs) which provide the rationale for </w:t>
      </w:r>
      <w:r w:rsidR="002D03B6">
        <w:rPr>
          <w:rFonts w:ascii="Arial" w:eastAsia="Arial" w:hAnsi="Arial" w:cs="Arial"/>
          <w:color w:val="000000"/>
        </w:rPr>
        <w:t>Government</w:t>
      </w:r>
      <w:r>
        <w:rPr>
          <w:rFonts w:ascii="Arial" w:eastAsia="Arial" w:hAnsi="Arial" w:cs="Arial"/>
          <w:color w:val="000000"/>
        </w:rPr>
        <w:t xml:space="preserve"> intervention.</w:t>
      </w:r>
    </w:p>
    <w:p w14:paraId="333B7F80" w14:textId="77777777" w:rsidR="00203859" w:rsidRDefault="004A6F9F">
      <w:pPr>
        <w:numPr>
          <w:ilvl w:val="0"/>
          <w:numId w:val="5"/>
        </w:numPr>
        <w:pBdr>
          <w:top w:val="nil"/>
          <w:left w:val="nil"/>
          <w:bottom w:val="nil"/>
          <w:right w:val="nil"/>
          <w:between w:val="nil"/>
        </w:pBdr>
        <w:spacing w:after="240" w:line="240" w:lineRule="auto"/>
        <w:ind w:left="426" w:hanging="426"/>
      </w:pPr>
      <w:r>
        <w:rPr>
          <w:rFonts w:ascii="Arial" w:eastAsia="Arial" w:hAnsi="Arial" w:cs="Arial"/>
          <w:color w:val="000000"/>
        </w:rPr>
        <w:t>Currently these market failures for chemical substances are primarily addressed through the EU REACH Regulation. This sets rules and practices for placing chemicals on the EU market to ensure their safe use and the protection of health and the environment.  It operates on the principle of “no data, no market” requiring businesses to supply data on their chemical substances.</w:t>
      </w:r>
    </w:p>
    <w:p w14:paraId="0C971A7C" w14:textId="0723C75F" w:rsidR="00203859" w:rsidRDefault="004A6F9F">
      <w:pPr>
        <w:numPr>
          <w:ilvl w:val="0"/>
          <w:numId w:val="5"/>
        </w:numPr>
        <w:pBdr>
          <w:top w:val="nil"/>
          <w:left w:val="nil"/>
          <w:bottom w:val="nil"/>
          <w:right w:val="nil"/>
          <w:between w:val="nil"/>
        </w:pBdr>
        <w:spacing w:after="240" w:line="240" w:lineRule="auto"/>
        <w:ind w:left="426" w:hanging="426"/>
      </w:pPr>
      <w:r>
        <w:rPr>
          <w:rFonts w:ascii="Arial" w:eastAsia="Arial" w:hAnsi="Arial" w:cs="Arial"/>
          <w:color w:val="000000"/>
        </w:rPr>
        <w:t xml:space="preserve">In the context of this SI, the specific rationale for intervention is to ensure there is an operable chemicals regime in any UK only context, avoiding institutional failure. The terms of the European Union (Withdrawal) Act alone are not sufficient to adopt the EU regime to make it work in a national context.  It is necessary to use the SI-making powers contained in the </w:t>
      </w:r>
      <w:r w:rsidR="0054453B">
        <w:rPr>
          <w:rFonts w:ascii="Arial" w:eastAsia="Arial" w:hAnsi="Arial" w:cs="Arial"/>
          <w:color w:val="000000"/>
        </w:rPr>
        <w:t>Act</w:t>
      </w:r>
      <w:r>
        <w:rPr>
          <w:rFonts w:ascii="Arial" w:eastAsia="Arial" w:hAnsi="Arial" w:cs="Arial"/>
          <w:color w:val="000000"/>
        </w:rPr>
        <w:t xml:space="preserve">, for example to provide for safe access to the UK market </w:t>
      </w:r>
      <w:r>
        <w:rPr>
          <w:rFonts w:ascii="Arial" w:eastAsia="Arial" w:hAnsi="Arial" w:cs="Arial"/>
          <w:color w:val="000000"/>
        </w:rPr>
        <w:lastRenderedPageBreak/>
        <w:t>and to replace the roles of EU Member State committees in authorising or restricting chemicals.</w:t>
      </w:r>
    </w:p>
    <w:p w14:paraId="1BDFB761" w14:textId="77777777" w:rsidR="00203859" w:rsidRDefault="00203859">
      <w:pPr>
        <w:pBdr>
          <w:top w:val="nil"/>
          <w:left w:val="nil"/>
          <w:bottom w:val="nil"/>
          <w:right w:val="nil"/>
          <w:between w:val="nil"/>
        </w:pBdr>
        <w:spacing w:after="240" w:line="240" w:lineRule="auto"/>
        <w:ind w:left="426"/>
        <w:rPr>
          <w:rFonts w:ascii="Arial" w:eastAsia="Arial" w:hAnsi="Arial" w:cs="Arial"/>
          <w:color w:val="000000"/>
        </w:rPr>
      </w:pPr>
    </w:p>
    <w:p w14:paraId="708ABDC8" w14:textId="77777777" w:rsidR="00203859" w:rsidRDefault="004A6F9F">
      <w:pPr>
        <w:numPr>
          <w:ilvl w:val="0"/>
          <w:numId w:val="3"/>
        </w:numPr>
        <w:pBdr>
          <w:top w:val="nil"/>
          <w:left w:val="nil"/>
          <w:bottom w:val="nil"/>
          <w:right w:val="nil"/>
          <w:between w:val="nil"/>
        </w:pBdr>
        <w:spacing w:before="240" w:after="240" w:line="240" w:lineRule="auto"/>
        <w:ind w:left="426" w:hanging="426"/>
        <w:rPr>
          <w:b/>
          <w:color w:val="000000"/>
        </w:rPr>
      </w:pPr>
      <w:r>
        <w:rPr>
          <w:rFonts w:ascii="Arial" w:eastAsia="Arial" w:hAnsi="Arial" w:cs="Arial"/>
          <w:b/>
          <w:color w:val="000000"/>
        </w:rPr>
        <w:t>DESCRIPTION OF OPTIONS CONSIDERED</w:t>
      </w:r>
    </w:p>
    <w:p w14:paraId="159F8EAE" w14:textId="72D39DEE" w:rsidR="00203859" w:rsidRDefault="004A6F9F">
      <w:pPr>
        <w:pBdr>
          <w:top w:val="nil"/>
          <w:left w:val="nil"/>
          <w:bottom w:val="nil"/>
          <w:right w:val="nil"/>
          <w:between w:val="nil"/>
        </w:pBdr>
        <w:spacing w:before="240" w:after="240" w:line="240" w:lineRule="auto"/>
        <w:ind w:left="426" w:hanging="426"/>
        <w:rPr>
          <w:rFonts w:ascii="Arial" w:eastAsia="Arial" w:hAnsi="Arial" w:cs="Arial"/>
          <w:b/>
          <w:color w:val="000000"/>
        </w:rPr>
      </w:pPr>
      <w:r>
        <w:rPr>
          <w:rFonts w:ascii="Arial" w:eastAsia="Arial" w:hAnsi="Arial" w:cs="Arial"/>
          <w:b/>
          <w:color w:val="000000"/>
        </w:rPr>
        <w:t xml:space="preserve">Option 0: </w:t>
      </w:r>
      <w:r w:rsidR="00424D02">
        <w:rPr>
          <w:rFonts w:ascii="Arial" w:eastAsia="Arial" w:hAnsi="Arial" w:cs="Arial"/>
          <w:b/>
          <w:color w:val="000000"/>
        </w:rPr>
        <w:t>Static acquis b</w:t>
      </w:r>
      <w:r>
        <w:rPr>
          <w:rFonts w:ascii="Arial" w:eastAsia="Arial" w:hAnsi="Arial" w:cs="Arial"/>
          <w:b/>
          <w:color w:val="000000"/>
        </w:rPr>
        <w:t xml:space="preserve">aseline </w:t>
      </w:r>
    </w:p>
    <w:p w14:paraId="253167C7" w14:textId="188CB9C0" w:rsidR="00203859" w:rsidRDefault="004A6F9F">
      <w:pPr>
        <w:numPr>
          <w:ilvl w:val="0"/>
          <w:numId w:val="5"/>
        </w:numPr>
        <w:pBdr>
          <w:top w:val="nil"/>
          <w:left w:val="nil"/>
          <w:bottom w:val="nil"/>
          <w:right w:val="nil"/>
          <w:between w:val="nil"/>
        </w:pBdr>
        <w:spacing w:after="0" w:line="240" w:lineRule="auto"/>
        <w:ind w:left="426" w:hanging="426"/>
      </w:pPr>
      <w:r>
        <w:rPr>
          <w:rFonts w:ascii="Arial" w:eastAsia="Arial" w:hAnsi="Arial" w:cs="Arial"/>
          <w:color w:val="000000"/>
        </w:rPr>
        <w:t>The primary baseline against which measures are assessed is ‘</w:t>
      </w:r>
      <w:r w:rsidR="00665D5F">
        <w:rPr>
          <w:rFonts w:ascii="Arial" w:eastAsia="Arial" w:hAnsi="Arial" w:cs="Arial"/>
          <w:color w:val="000000"/>
        </w:rPr>
        <w:t>static acquis</w:t>
      </w:r>
      <w:r>
        <w:rPr>
          <w:rFonts w:ascii="Arial" w:eastAsia="Arial" w:hAnsi="Arial" w:cs="Arial"/>
          <w:color w:val="000000"/>
        </w:rPr>
        <w:t>’ baseline, whereby the current body of European law is taken to be static at the point of departure. For chemicals, this includes the EU REACH legislation as detailed in figure 1.</w:t>
      </w:r>
    </w:p>
    <w:p w14:paraId="73670A77" w14:textId="77777777" w:rsidR="00203859" w:rsidRDefault="00203859">
      <w:pPr>
        <w:pBdr>
          <w:top w:val="nil"/>
          <w:left w:val="nil"/>
          <w:bottom w:val="nil"/>
          <w:right w:val="nil"/>
          <w:between w:val="nil"/>
        </w:pBdr>
        <w:spacing w:before="240" w:after="240"/>
        <w:ind w:left="426" w:hanging="426"/>
        <w:rPr>
          <w:rFonts w:ascii="Arial" w:eastAsia="Arial" w:hAnsi="Arial" w:cs="Arial"/>
          <w:b/>
          <w:color w:val="000000"/>
        </w:rPr>
      </w:pPr>
    </w:p>
    <w:p w14:paraId="53097AE1" w14:textId="1591B08C" w:rsidR="00203859" w:rsidRDefault="004A6F9F">
      <w:pPr>
        <w:pBdr>
          <w:top w:val="nil"/>
          <w:left w:val="nil"/>
          <w:bottom w:val="nil"/>
          <w:right w:val="nil"/>
          <w:between w:val="nil"/>
        </w:pBdr>
        <w:spacing w:before="240" w:after="240"/>
        <w:ind w:left="426" w:hanging="426"/>
        <w:rPr>
          <w:rFonts w:ascii="Arial" w:eastAsia="Arial" w:hAnsi="Arial" w:cs="Arial"/>
          <w:b/>
          <w:color w:val="000000"/>
        </w:rPr>
      </w:pPr>
      <w:r w:rsidRPr="004A6F9F">
        <w:rPr>
          <w:rFonts w:ascii="Arial" w:eastAsia="Arial" w:hAnsi="Arial" w:cs="Arial"/>
          <w:b/>
        </w:rPr>
        <w:t xml:space="preserve">Option 0.1: </w:t>
      </w:r>
      <w:r w:rsidR="0091293C">
        <w:rPr>
          <w:rFonts w:ascii="Arial" w:eastAsia="Arial" w:hAnsi="Arial" w:cs="Arial"/>
          <w:b/>
          <w:color w:val="000000"/>
        </w:rPr>
        <w:t>Alternative baseline: Do n</w:t>
      </w:r>
      <w:r>
        <w:rPr>
          <w:rFonts w:ascii="Arial" w:eastAsia="Arial" w:hAnsi="Arial" w:cs="Arial"/>
          <w:b/>
          <w:color w:val="000000"/>
        </w:rPr>
        <w:t>othing</w:t>
      </w:r>
      <w:r w:rsidR="007A0F6C">
        <w:rPr>
          <w:rFonts w:ascii="Arial" w:eastAsia="Arial" w:hAnsi="Arial" w:cs="Arial"/>
          <w:b/>
          <w:color w:val="000000"/>
        </w:rPr>
        <w:t xml:space="preserve"> (no legislation)</w:t>
      </w:r>
    </w:p>
    <w:p w14:paraId="2DBBE920" w14:textId="17BF6611" w:rsidR="00203859" w:rsidRDefault="00C247C7">
      <w:pPr>
        <w:numPr>
          <w:ilvl w:val="0"/>
          <w:numId w:val="5"/>
        </w:numPr>
        <w:pBdr>
          <w:top w:val="nil"/>
          <w:left w:val="nil"/>
          <w:bottom w:val="nil"/>
          <w:right w:val="nil"/>
          <w:between w:val="nil"/>
        </w:pBdr>
        <w:spacing w:after="240" w:line="240" w:lineRule="auto"/>
        <w:ind w:left="426" w:hanging="426"/>
      </w:pPr>
      <w:r>
        <w:rPr>
          <w:rFonts w:ascii="Arial" w:eastAsia="Arial" w:hAnsi="Arial" w:cs="Arial"/>
          <w:color w:val="000000"/>
        </w:rPr>
        <w:t xml:space="preserve">The problem under consideration would be left unaddressed under this option.  </w:t>
      </w:r>
      <w:r w:rsidR="004A6F9F">
        <w:rPr>
          <w:rFonts w:ascii="Arial" w:eastAsia="Arial" w:hAnsi="Arial" w:cs="Arial"/>
          <w:color w:val="000000"/>
        </w:rPr>
        <w:t>The European Union (Withdrawal) Act, would transfer directly applicable EU legislation into UK law at exit</w:t>
      </w:r>
      <w:r>
        <w:rPr>
          <w:rFonts w:ascii="Arial" w:eastAsia="Arial" w:hAnsi="Arial" w:cs="Arial"/>
          <w:color w:val="000000"/>
        </w:rPr>
        <w:t xml:space="preserve"> but leaves it unchanged</w:t>
      </w:r>
      <w:r w:rsidR="004A6F9F">
        <w:rPr>
          <w:rFonts w:ascii="Arial" w:eastAsia="Arial" w:hAnsi="Arial" w:cs="Arial"/>
          <w:color w:val="000000"/>
        </w:rPr>
        <w:t xml:space="preserve">.  In order to ensure this body of law functions properly on exit day, the </w:t>
      </w:r>
      <w:r w:rsidR="0054453B">
        <w:rPr>
          <w:rFonts w:ascii="Arial" w:eastAsia="Arial" w:hAnsi="Arial" w:cs="Arial"/>
          <w:color w:val="000000"/>
        </w:rPr>
        <w:t xml:space="preserve">Act </w:t>
      </w:r>
      <w:r w:rsidR="004A6F9F">
        <w:rPr>
          <w:rFonts w:ascii="Arial" w:eastAsia="Arial" w:hAnsi="Arial" w:cs="Arial"/>
          <w:color w:val="000000"/>
        </w:rPr>
        <w:t>provides a statutory instrument-making power to correct deficiencies that arise from applying in a single country legislation that was designed to work in an EU-wide context.</w:t>
      </w:r>
    </w:p>
    <w:p w14:paraId="1CEB2CDF" w14:textId="24BB633C" w:rsidR="00203859" w:rsidRDefault="004A6F9F">
      <w:pPr>
        <w:numPr>
          <w:ilvl w:val="0"/>
          <w:numId w:val="5"/>
        </w:numPr>
        <w:pBdr>
          <w:top w:val="nil"/>
          <w:left w:val="nil"/>
          <w:bottom w:val="nil"/>
          <w:right w:val="nil"/>
          <w:between w:val="nil"/>
        </w:pBdr>
        <w:spacing w:after="240" w:line="240" w:lineRule="auto"/>
        <w:ind w:left="426" w:hanging="426"/>
      </w:pPr>
      <w:r>
        <w:rPr>
          <w:rFonts w:ascii="Arial" w:eastAsia="Arial" w:hAnsi="Arial" w:cs="Arial"/>
          <w:color w:val="000000"/>
        </w:rPr>
        <w:t xml:space="preserve">REACH sets up a highly integrated chemicals management system, which includes conditions for companies wanting to place their chemicals on the EU single market, as well as </w:t>
      </w:r>
      <w:r w:rsidR="00C247C7">
        <w:rPr>
          <w:rFonts w:ascii="Arial" w:eastAsia="Arial" w:hAnsi="Arial" w:cs="Arial"/>
          <w:color w:val="000000"/>
        </w:rPr>
        <w:t xml:space="preserve">the </w:t>
      </w:r>
      <w:r>
        <w:rPr>
          <w:rFonts w:ascii="Arial" w:eastAsia="Arial" w:hAnsi="Arial" w:cs="Arial"/>
          <w:color w:val="000000"/>
        </w:rPr>
        <w:t>centralised European Chemicals Agency responsible for most of the regulatory implementation of REACH.  The powers and duties of Member State authorities exist as an adjunct to these centralised processes.  All of these processes and activities would become inoperable if the SI-making power in the Act was not used to correct them.</w:t>
      </w:r>
    </w:p>
    <w:p w14:paraId="05251BFD" w14:textId="43DAAC18" w:rsidR="00203859" w:rsidRDefault="004A6F9F">
      <w:pPr>
        <w:numPr>
          <w:ilvl w:val="0"/>
          <w:numId w:val="5"/>
        </w:numPr>
        <w:pBdr>
          <w:top w:val="nil"/>
          <w:left w:val="nil"/>
          <w:bottom w:val="nil"/>
          <w:right w:val="nil"/>
          <w:between w:val="nil"/>
        </w:pBdr>
        <w:spacing w:after="240" w:line="240" w:lineRule="auto"/>
        <w:ind w:left="426" w:hanging="426"/>
      </w:pPr>
      <w:r>
        <w:rPr>
          <w:rFonts w:ascii="Arial" w:eastAsia="Arial" w:hAnsi="Arial" w:cs="Arial"/>
          <w:color w:val="000000"/>
        </w:rPr>
        <w:t xml:space="preserve">The </w:t>
      </w:r>
      <w:r>
        <w:rPr>
          <w:rFonts w:ascii="Arial" w:eastAsia="Arial" w:hAnsi="Arial" w:cs="Arial"/>
          <w:b/>
          <w:color w:val="000000"/>
        </w:rPr>
        <w:t xml:space="preserve">do </w:t>
      </w:r>
      <w:r w:rsidRPr="004A6F9F">
        <w:rPr>
          <w:rFonts w:ascii="Arial" w:eastAsia="Arial" w:hAnsi="Arial" w:cs="Arial"/>
          <w:b/>
        </w:rPr>
        <w:t>n</w:t>
      </w:r>
      <w:r>
        <w:rPr>
          <w:rFonts w:ascii="Arial" w:eastAsia="Arial" w:hAnsi="Arial" w:cs="Arial"/>
          <w:b/>
          <w:color w:val="000000"/>
        </w:rPr>
        <w:t xml:space="preserve">othing (no legislation) </w:t>
      </w:r>
      <w:r>
        <w:rPr>
          <w:rFonts w:ascii="Arial" w:eastAsia="Arial" w:hAnsi="Arial" w:cs="Arial"/>
          <w:color w:val="000000"/>
        </w:rPr>
        <w:t xml:space="preserve">option, i.e. not using  the SI-making power to correct deficiencies, would leave the UK with a largely unworkable chemicals management regulatory system, because REACH is designed to work in such an integrated and centralised way.  There would be no provision or conditions to allow regulated access to the UK market.  UK economic operators would be under no duty to identify the hazards and potential risks of the chemicals they produce or to apply appropriate risk management measures.  The UK authorities would have no powers to respond to new and emerging risks from chemicals to human health or the environment, and there would be legal uncertainty as to whether existing regulatory controls on dangerous chemicals would still apply. </w:t>
      </w:r>
    </w:p>
    <w:p w14:paraId="7BAF7C7E" w14:textId="6CFF7242" w:rsidR="00203859" w:rsidRDefault="004A6F9F">
      <w:pPr>
        <w:pBdr>
          <w:top w:val="nil"/>
          <w:left w:val="nil"/>
          <w:bottom w:val="nil"/>
          <w:right w:val="nil"/>
          <w:between w:val="nil"/>
        </w:pBdr>
        <w:spacing w:before="240" w:after="240"/>
        <w:ind w:left="426" w:hanging="426"/>
        <w:rPr>
          <w:rFonts w:ascii="Arial" w:eastAsia="Arial" w:hAnsi="Arial" w:cs="Arial"/>
          <w:b/>
          <w:color w:val="000000"/>
        </w:rPr>
      </w:pPr>
      <w:r>
        <w:rPr>
          <w:rFonts w:ascii="Arial" w:eastAsia="Arial" w:hAnsi="Arial" w:cs="Arial"/>
          <w:b/>
          <w:color w:val="000000"/>
        </w:rPr>
        <w:t xml:space="preserve">Option 1: Introduce legislation - Building UK regulatory capability. This </w:t>
      </w:r>
      <w:r w:rsidR="002D03B6">
        <w:rPr>
          <w:rFonts w:ascii="Arial" w:eastAsia="Arial" w:hAnsi="Arial" w:cs="Arial"/>
          <w:b/>
          <w:color w:val="000000"/>
        </w:rPr>
        <w:t xml:space="preserve">would </w:t>
      </w:r>
      <w:r>
        <w:rPr>
          <w:rFonts w:ascii="Arial" w:eastAsia="Arial" w:hAnsi="Arial" w:cs="Arial"/>
          <w:b/>
          <w:color w:val="000000"/>
        </w:rPr>
        <w:t xml:space="preserve">ensure that the system </w:t>
      </w:r>
      <w:r w:rsidR="002D03B6">
        <w:rPr>
          <w:rFonts w:ascii="Arial" w:eastAsia="Arial" w:hAnsi="Arial" w:cs="Arial"/>
          <w:b/>
          <w:color w:val="000000"/>
        </w:rPr>
        <w:t xml:space="preserve">would </w:t>
      </w:r>
      <w:r>
        <w:rPr>
          <w:rFonts w:ascii="Arial" w:eastAsia="Arial" w:hAnsi="Arial" w:cs="Arial"/>
          <w:b/>
          <w:color w:val="000000"/>
        </w:rPr>
        <w:t>remain operable in all scenarios.</w:t>
      </w:r>
    </w:p>
    <w:p w14:paraId="1647E7D6" w14:textId="77777777" w:rsidR="00203859" w:rsidRDefault="004A6F9F">
      <w:pPr>
        <w:numPr>
          <w:ilvl w:val="0"/>
          <w:numId w:val="5"/>
        </w:numPr>
        <w:pBdr>
          <w:top w:val="nil"/>
          <w:left w:val="nil"/>
          <w:bottom w:val="nil"/>
          <w:right w:val="nil"/>
          <w:between w:val="nil"/>
        </w:pBdr>
        <w:spacing w:after="240" w:line="240" w:lineRule="auto"/>
        <w:ind w:left="426" w:hanging="426"/>
      </w:pPr>
      <w:r>
        <w:rPr>
          <w:rFonts w:ascii="Arial" w:eastAsia="Arial" w:hAnsi="Arial" w:cs="Arial"/>
          <w:color w:val="000000"/>
        </w:rPr>
        <w:t xml:space="preserve">In the context of the necessary contingency planning, our leading option is to use the powers provided in the Act to put in place the necessary legal amendments to ensure an effective chemicals regulatory system is operable within the UK. This would be based on the existing REACH system which is familiar to regulators, business and other stakeholders.  The UK system would continue with the following features, which need the SI powers in order to work: </w:t>
      </w:r>
    </w:p>
    <w:p w14:paraId="5F95AC2C" w14:textId="77777777" w:rsidR="00203859" w:rsidRDefault="004A6F9F">
      <w:pPr>
        <w:numPr>
          <w:ilvl w:val="0"/>
          <w:numId w:val="4"/>
        </w:numPr>
        <w:pBdr>
          <w:top w:val="nil"/>
          <w:left w:val="nil"/>
          <w:bottom w:val="nil"/>
          <w:right w:val="nil"/>
          <w:between w:val="nil"/>
        </w:pBdr>
        <w:spacing w:after="0" w:line="240" w:lineRule="auto"/>
        <w:ind w:left="993" w:hanging="426"/>
        <w:rPr>
          <w:rFonts w:ascii="Arial" w:eastAsia="Arial" w:hAnsi="Arial" w:cs="Arial"/>
          <w:color w:val="000000"/>
        </w:rPr>
      </w:pPr>
      <w:r>
        <w:rPr>
          <w:rFonts w:ascii="Arial" w:eastAsia="Arial" w:hAnsi="Arial" w:cs="Arial"/>
          <w:color w:val="000000"/>
        </w:rPr>
        <w:t xml:space="preserve">Proper understanding and management of risks that chemicals can pose to human health and the environment </w:t>
      </w:r>
    </w:p>
    <w:p w14:paraId="0BFAED01" w14:textId="77777777" w:rsidR="00203859" w:rsidRDefault="004A6F9F">
      <w:pPr>
        <w:numPr>
          <w:ilvl w:val="0"/>
          <w:numId w:val="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lastRenderedPageBreak/>
        <w:t>chemical producers have the primary duty for understanding potential risks and what is needed to manage them</w:t>
      </w:r>
    </w:p>
    <w:p w14:paraId="3462EABF" w14:textId="77777777" w:rsidR="00203859" w:rsidRDefault="004A6F9F">
      <w:pPr>
        <w:numPr>
          <w:ilvl w:val="0"/>
          <w:numId w:val="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understanding and management of risk is the condition of market access </w:t>
      </w:r>
    </w:p>
    <w:p w14:paraId="51D481BE" w14:textId="77777777" w:rsidR="00203859" w:rsidRDefault="004A6F9F">
      <w:pPr>
        <w:numPr>
          <w:ilvl w:val="0"/>
          <w:numId w:val="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all chemical users have a duty to ensure safe management </w:t>
      </w:r>
    </w:p>
    <w:p w14:paraId="6082467D" w14:textId="77777777" w:rsidR="00203859" w:rsidRDefault="004A6F9F">
      <w:pPr>
        <w:numPr>
          <w:ilvl w:val="0"/>
          <w:numId w:val="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effective means of checking and enforcing compliance </w:t>
      </w:r>
    </w:p>
    <w:p w14:paraId="00D71BE8" w14:textId="77777777" w:rsidR="00203859" w:rsidRDefault="004A6F9F">
      <w:pPr>
        <w:numPr>
          <w:ilvl w:val="0"/>
          <w:numId w:val="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powers and duties for authorities and industry to investigate and correct remaining uncertainties about hazard and risk </w:t>
      </w:r>
    </w:p>
    <w:p w14:paraId="5756355F" w14:textId="77777777" w:rsidR="00203859" w:rsidRDefault="004A6F9F">
      <w:pPr>
        <w:numPr>
          <w:ilvl w:val="0"/>
          <w:numId w:val="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regulatory powers to take effective action to address unacceptable or emerging risks on the basis of scientific and socio-economic analysis. </w:t>
      </w:r>
    </w:p>
    <w:p w14:paraId="214A7028" w14:textId="77777777" w:rsidR="00203859" w:rsidRDefault="00203859">
      <w:pPr>
        <w:pBdr>
          <w:top w:val="nil"/>
          <w:left w:val="nil"/>
          <w:bottom w:val="nil"/>
          <w:right w:val="nil"/>
          <w:between w:val="nil"/>
        </w:pBdr>
        <w:spacing w:after="0" w:line="240" w:lineRule="auto"/>
        <w:ind w:left="993" w:hanging="426"/>
        <w:rPr>
          <w:rFonts w:ascii="Arial" w:eastAsia="Arial" w:hAnsi="Arial" w:cs="Arial"/>
          <w:color w:val="000000"/>
        </w:rPr>
      </w:pPr>
    </w:p>
    <w:p w14:paraId="3FBD6A06" w14:textId="77777777" w:rsidR="00203859" w:rsidRDefault="004A6F9F">
      <w:pPr>
        <w:numPr>
          <w:ilvl w:val="0"/>
          <w:numId w:val="4"/>
        </w:numPr>
        <w:pBdr>
          <w:top w:val="nil"/>
          <w:left w:val="nil"/>
          <w:bottom w:val="nil"/>
          <w:right w:val="nil"/>
          <w:between w:val="nil"/>
        </w:pBdr>
        <w:spacing w:after="0" w:line="240" w:lineRule="auto"/>
        <w:ind w:left="993" w:hanging="426"/>
        <w:rPr>
          <w:rFonts w:ascii="Arial" w:eastAsia="Arial" w:hAnsi="Arial" w:cs="Arial"/>
          <w:color w:val="000000"/>
        </w:rPr>
      </w:pPr>
      <w:r>
        <w:rPr>
          <w:rFonts w:ascii="Arial" w:eastAsia="Arial" w:hAnsi="Arial" w:cs="Arial"/>
          <w:color w:val="000000"/>
        </w:rPr>
        <w:t>Continued effective working of markets and supply chains</w:t>
      </w:r>
    </w:p>
    <w:p w14:paraId="60994A8F" w14:textId="77777777" w:rsidR="00203859" w:rsidRDefault="004A6F9F">
      <w:pPr>
        <w:numPr>
          <w:ilvl w:val="0"/>
          <w:numId w:val="2"/>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continued validity of existing UK company registrations within the UK market at Day 1  </w:t>
      </w:r>
    </w:p>
    <w:p w14:paraId="73CE3CBE" w14:textId="77777777" w:rsidR="00203859" w:rsidRDefault="004A6F9F">
      <w:pPr>
        <w:numPr>
          <w:ilvl w:val="0"/>
          <w:numId w:val="2"/>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clear rules for UK market entry for new chemicals and new entrant companies after Day 1</w:t>
      </w:r>
    </w:p>
    <w:p w14:paraId="49FD3B56" w14:textId="77777777" w:rsidR="00203859" w:rsidRDefault="004A6F9F">
      <w:pPr>
        <w:numPr>
          <w:ilvl w:val="0"/>
          <w:numId w:val="2"/>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continued smooth working of supply chains for the chemicals sector and other manufacturing sectors that depend on chemicals, to the extent this can be provided by UK law independently of negotiated agreements with the EU.</w:t>
      </w:r>
    </w:p>
    <w:p w14:paraId="12DA24E4" w14:textId="77777777" w:rsidR="00203859" w:rsidRDefault="00203859">
      <w:pPr>
        <w:pBdr>
          <w:top w:val="nil"/>
          <w:left w:val="nil"/>
          <w:bottom w:val="nil"/>
          <w:right w:val="nil"/>
          <w:between w:val="nil"/>
        </w:pBdr>
        <w:spacing w:after="0" w:line="240" w:lineRule="auto"/>
        <w:ind w:left="1440"/>
        <w:rPr>
          <w:rFonts w:ascii="Arial" w:eastAsia="Arial" w:hAnsi="Arial" w:cs="Arial"/>
          <w:color w:val="000000"/>
        </w:rPr>
      </w:pPr>
    </w:p>
    <w:p w14:paraId="55C5FFB7" w14:textId="1ECF2F50" w:rsidR="00203859" w:rsidRDefault="004A6F9F">
      <w:pPr>
        <w:numPr>
          <w:ilvl w:val="0"/>
          <w:numId w:val="5"/>
        </w:numPr>
        <w:pBdr>
          <w:top w:val="nil"/>
          <w:left w:val="nil"/>
          <w:bottom w:val="nil"/>
          <w:right w:val="nil"/>
          <w:between w:val="nil"/>
        </w:pBdr>
        <w:spacing w:after="240" w:line="240" w:lineRule="auto"/>
        <w:ind w:left="426" w:hanging="426"/>
      </w:pPr>
      <w:r>
        <w:rPr>
          <w:rFonts w:ascii="Arial" w:eastAsia="Arial" w:hAnsi="Arial" w:cs="Arial"/>
          <w:color w:val="000000"/>
        </w:rPr>
        <w:t>The UK system would include a regulatory authority combining functions currently carried out by ECHA and the UK Competent Authority</w:t>
      </w:r>
      <w:r>
        <w:rPr>
          <w:rFonts w:ascii="Arial" w:eastAsia="Arial" w:hAnsi="Arial" w:cs="Arial"/>
        </w:rPr>
        <w:t>. This would include</w:t>
      </w:r>
      <w:r>
        <w:rPr>
          <w:rFonts w:ascii="Arial" w:eastAsia="Arial" w:hAnsi="Arial" w:cs="Arial"/>
          <w:color w:val="000000"/>
        </w:rPr>
        <w:t xml:space="preserve"> operating a stakeholder helpdesk, receiving registration dossiers and making information on chemicals publicly available, measuring compliance, evaluating levels of hazard and risk, and making recommendations in cases where additional regulatory risk management may be necessary.</w:t>
      </w:r>
    </w:p>
    <w:p w14:paraId="27EFF4DC" w14:textId="0D56C1BE" w:rsidR="00203859" w:rsidRPr="00344464" w:rsidRDefault="004A6F9F">
      <w:pPr>
        <w:numPr>
          <w:ilvl w:val="0"/>
          <w:numId w:val="5"/>
        </w:numPr>
        <w:pBdr>
          <w:top w:val="nil"/>
          <w:left w:val="nil"/>
          <w:bottom w:val="nil"/>
          <w:right w:val="nil"/>
          <w:between w:val="nil"/>
        </w:pBdr>
        <w:spacing w:after="240" w:line="240" w:lineRule="auto"/>
        <w:ind w:left="426" w:hanging="426"/>
      </w:pPr>
      <w:r>
        <w:rPr>
          <w:rFonts w:ascii="Arial" w:eastAsia="Arial" w:hAnsi="Arial" w:cs="Arial"/>
          <w:color w:val="000000"/>
        </w:rPr>
        <w:t xml:space="preserve">Other powers </w:t>
      </w:r>
      <w:r>
        <w:rPr>
          <w:rFonts w:ascii="Arial" w:eastAsia="Arial" w:hAnsi="Arial" w:cs="Arial"/>
        </w:rPr>
        <w:t>that</w:t>
      </w:r>
      <w:r>
        <w:rPr>
          <w:rFonts w:ascii="Arial" w:eastAsia="Arial" w:hAnsi="Arial" w:cs="Arial"/>
          <w:color w:val="000000"/>
        </w:rPr>
        <w:t xml:space="preserve"> are currently exercised by the European Commission would be transferred to the Secretary of State for Environment, Food and Rural Affairs.  These include the powers to introdu</w:t>
      </w:r>
      <w:r w:rsidRPr="004A6F9F">
        <w:rPr>
          <w:rFonts w:ascii="Arial" w:eastAsia="Arial" w:hAnsi="Arial" w:cs="Arial"/>
        </w:rPr>
        <w:t>ce</w:t>
      </w:r>
      <w:r>
        <w:rPr>
          <w:rFonts w:ascii="Arial" w:eastAsia="Arial" w:hAnsi="Arial" w:cs="Arial"/>
          <w:color w:val="000000"/>
        </w:rPr>
        <w:t xml:space="preserve"> new or amended restrictions, adding to the list of chemicals </w:t>
      </w:r>
      <w:r>
        <w:rPr>
          <w:rFonts w:ascii="Arial" w:eastAsia="Arial" w:hAnsi="Arial" w:cs="Arial"/>
        </w:rPr>
        <w:t>that</w:t>
      </w:r>
      <w:r>
        <w:rPr>
          <w:rFonts w:ascii="Arial" w:eastAsia="Arial" w:hAnsi="Arial" w:cs="Arial"/>
          <w:color w:val="000000"/>
        </w:rPr>
        <w:t xml:space="preserve"> are subject to the authorisation procedure, and granting authorisations to applicant companies</w:t>
      </w:r>
      <w:r>
        <w:rPr>
          <w:rFonts w:ascii="Arial" w:eastAsia="Arial" w:hAnsi="Arial" w:cs="Arial"/>
          <w:b/>
          <w:color w:val="000000"/>
        </w:rPr>
        <w:t>.</w:t>
      </w:r>
    </w:p>
    <w:p w14:paraId="3B916C8C" w14:textId="77777777" w:rsidR="00203859" w:rsidRDefault="00203859">
      <w:pPr>
        <w:pBdr>
          <w:top w:val="nil"/>
          <w:left w:val="nil"/>
          <w:bottom w:val="nil"/>
          <w:right w:val="nil"/>
          <w:between w:val="nil"/>
        </w:pBdr>
        <w:spacing w:before="50" w:after="50" w:line="240" w:lineRule="auto"/>
        <w:ind w:left="426" w:right="113" w:hanging="426"/>
        <w:rPr>
          <w:rFonts w:ascii="Arial" w:eastAsia="Arial" w:hAnsi="Arial" w:cs="Arial"/>
          <w:color w:val="000000"/>
        </w:rPr>
      </w:pPr>
    </w:p>
    <w:p w14:paraId="54FDFB6B" w14:textId="77777777" w:rsidR="00203859" w:rsidRDefault="004A6F9F">
      <w:pPr>
        <w:pBdr>
          <w:top w:val="nil"/>
          <w:left w:val="nil"/>
          <w:bottom w:val="nil"/>
          <w:right w:val="nil"/>
          <w:between w:val="nil"/>
        </w:pBdr>
        <w:spacing w:after="240"/>
        <w:ind w:left="426" w:hanging="426"/>
        <w:rPr>
          <w:rFonts w:ascii="Arial" w:eastAsia="Arial" w:hAnsi="Arial" w:cs="Arial"/>
          <w:b/>
          <w:color w:val="000000"/>
        </w:rPr>
      </w:pPr>
      <w:r>
        <w:rPr>
          <w:rFonts w:ascii="Arial" w:eastAsia="Arial" w:hAnsi="Arial" w:cs="Arial"/>
          <w:b/>
          <w:color w:val="000000"/>
        </w:rPr>
        <w:t>Alternative to regulation</w:t>
      </w:r>
    </w:p>
    <w:p w14:paraId="2EA3196E" w14:textId="077F377F" w:rsidR="00203859" w:rsidRDefault="00525D4F">
      <w:pPr>
        <w:numPr>
          <w:ilvl w:val="0"/>
          <w:numId w:val="5"/>
        </w:numPr>
        <w:pBdr>
          <w:top w:val="nil"/>
          <w:left w:val="nil"/>
          <w:bottom w:val="nil"/>
          <w:right w:val="nil"/>
          <w:between w:val="nil"/>
        </w:pBdr>
        <w:spacing w:after="240" w:line="240" w:lineRule="auto"/>
        <w:ind w:left="426" w:hanging="426"/>
      </w:pPr>
      <w:r>
        <w:rPr>
          <w:rFonts w:ascii="Arial" w:eastAsia="Arial" w:hAnsi="Arial" w:cs="Arial"/>
        </w:rPr>
        <w:t xml:space="preserve">The European Union (Withdrawal) Act does not permit policy changes so a non-regulatory alternative would not be a legal option.  </w:t>
      </w:r>
      <w:r w:rsidR="004A6F9F" w:rsidRPr="004A6F9F">
        <w:rPr>
          <w:rFonts w:ascii="Arial" w:eastAsia="Arial" w:hAnsi="Arial" w:cs="Arial"/>
        </w:rPr>
        <w:t xml:space="preserve">It is </w:t>
      </w:r>
      <w:r>
        <w:rPr>
          <w:rFonts w:ascii="Arial" w:eastAsia="Arial" w:hAnsi="Arial" w:cs="Arial"/>
        </w:rPr>
        <w:t>also</w:t>
      </w:r>
      <w:r w:rsidR="004A6F9F" w:rsidRPr="004A6F9F">
        <w:rPr>
          <w:rFonts w:ascii="Arial" w:eastAsia="Arial" w:hAnsi="Arial" w:cs="Arial"/>
        </w:rPr>
        <w:t xml:space="preserve"> unlikely that n</w:t>
      </w:r>
      <w:r w:rsidR="004A6F9F">
        <w:rPr>
          <w:rFonts w:ascii="Arial" w:eastAsia="Arial" w:hAnsi="Arial" w:cs="Arial"/>
          <w:color w:val="000000"/>
        </w:rPr>
        <w:t>on-regulatory management</w:t>
      </w:r>
      <w:r w:rsidR="004A6F9F" w:rsidRPr="004A6F9F">
        <w:rPr>
          <w:rFonts w:ascii="Arial" w:eastAsia="Arial" w:hAnsi="Arial" w:cs="Arial"/>
        </w:rPr>
        <w:t xml:space="preserve"> would be effective, given the </w:t>
      </w:r>
      <w:r w:rsidR="00543934">
        <w:rPr>
          <w:rFonts w:ascii="Arial" w:eastAsia="Arial" w:hAnsi="Arial" w:cs="Arial"/>
        </w:rPr>
        <w:t>market failures discussed above</w:t>
      </w:r>
      <w:r w:rsidR="004A6F9F">
        <w:rPr>
          <w:rFonts w:ascii="Arial" w:eastAsia="Arial" w:hAnsi="Arial" w:cs="Arial"/>
          <w:color w:val="000000"/>
        </w:rPr>
        <w:t>. Before REACH regulation was introduced there were considerable gaps in the understanding of both industry and regulatory authorities of the hazards and potential risks attached to the majority of chemicals on the market.  Regulatory efforts were a response to cases where clear harm had already occurred to human health or the environment.  Examples of this reactive stance include</w:t>
      </w:r>
      <w:r w:rsidR="004A6F9F">
        <w:rPr>
          <w:rFonts w:ascii="Arial" w:eastAsia="Arial" w:hAnsi="Arial" w:cs="Arial"/>
        </w:rPr>
        <w:t>:</w:t>
      </w:r>
      <w:r w:rsidR="004A6F9F">
        <w:rPr>
          <w:rFonts w:ascii="Arial" w:eastAsia="Arial" w:hAnsi="Arial" w:cs="Arial"/>
          <w:color w:val="000000"/>
        </w:rPr>
        <w:t xml:space="preserve"> asbestos</w:t>
      </w:r>
      <w:r w:rsidR="004A6F9F">
        <w:rPr>
          <w:rFonts w:ascii="Arial" w:eastAsia="Arial" w:hAnsi="Arial" w:cs="Arial"/>
        </w:rPr>
        <w:t>;</w:t>
      </w:r>
      <w:r w:rsidR="004A6F9F">
        <w:rPr>
          <w:rFonts w:ascii="Arial" w:eastAsia="Arial" w:hAnsi="Arial" w:cs="Arial"/>
          <w:color w:val="000000"/>
        </w:rPr>
        <w:t xml:space="preserve"> mercury poisoning through environmental exposure</w:t>
      </w:r>
      <w:r w:rsidR="004A6F9F">
        <w:rPr>
          <w:rFonts w:ascii="Arial" w:eastAsia="Arial" w:hAnsi="Arial" w:cs="Arial"/>
        </w:rPr>
        <w:t>;</w:t>
      </w:r>
      <w:r w:rsidR="00543934">
        <w:rPr>
          <w:rFonts w:ascii="Arial" w:eastAsia="Arial" w:hAnsi="Arial" w:cs="Arial"/>
          <w:color w:val="000000"/>
        </w:rPr>
        <w:t xml:space="preserve"> and the pesticide DDT. </w:t>
      </w:r>
      <w:r w:rsidR="004A6F9F" w:rsidRPr="004A6F9F">
        <w:rPr>
          <w:rFonts w:ascii="Arial" w:eastAsia="Arial" w:hAnsi="Arial" w:cs="Arial"/>
        </w:rPr>
        <w:t xml:space="preserve">These </w:t>
      </w:r>
      <w:r w:rsidR="004A6F9F">
        <w:rPr>
          <w:rFonts w:ascii="Arial" w:eastAsia="Arial" w:hAnsi="Arial" w:cs="Arial"/>
          <w:color w:val="000000"/>
        </w:rPr>
        <w:t xml:space="preserve">gaps in understanding can </w:t>
      </w:r>
      <w:r w:rsidR="004A6F9F" w:rsidRPr="004A6F9F">
        <w:rPr>
          <w:rFonts w:ascii="Arial" w:eastAsia="Arial" w:hAnsi="Arial" w:cs="Arial"/>
        </w:rPr>
        <w:t>result in the industry not knowing which management measures are needed to control the risks.</w:t>
      </w:r>
      <w:r w:rsidR="004A6F9F">
        <w:rPr>
          <w:rFonts w:ascii="Arial" w:eastAsia="Arial" w:hAnsi="Arial" w:cs="Arial"/>
          <w:color w:val="000000"/>
        </w:rPr>
        <w:t xml:space="preserve"> </w:t>
      </w:r>
      <w:r w:rsidR="004A6F9F" w:rsidRPr="004A6F9F">
        <w:rPr>
          <w:rFonts w:ascii="Arial" w:eastAsia="Arial" w:hAnsi="Arial" w:cs="Arial"/>
        </w:rPr>
        <w:t>Moreover,</w:t>
      </w:r>
      <w:r w:rsidR="00543934">
        <w:rPr>
          <w:rFonts w:ascii="Arial" w:eastAsia="Arial" w:hAnsi="Arial" w:cs="Arial"/>
        </w:rPr>
        <w:t xml:space="preserve"> </w:t>
      </w:r>
      <w:r w:rsidR="004A6F9F">
        <w:rPr>
          <w:rFonts w:ascii="Arial" w:eastAsia="Arial" w:hAnsi="Arial" w:cs="Arial"/>
          <w:color w:val="000000"/>
        </w:rPr>
        <w:t>regulators cannot take appropriate steps to prevent rather than react to human</w:t>
      </w:r>
      <w:r w:rsidR="00543934">
        <w:rPr>
          <w:rFonts w:ascii="Arial" w:eastAsia="Arial" w:hAnsi="Arial" w:cs="Arial"/>
          <w:color w:val="000000"/>
        </w:rPr>
        <w:t xml:space="preserve"> health or environmental risks.</w:t>
      </w:r>
      <w:r w:rsidR="004A6F9F">
        <w:rPr>
          <w:rFonts w:ascii="Arial" w:eastAsia="Arial" w:hAnsi="Arial" w:cs="Arial"/>
          <w:color w:val="000000"/>
        </w:rPr>
        <w:t xml:space="preserve"> The effect of regulation in closing these gaps and improving risk management by industry can be seen in the results of the earlier rounds of REACH registrations in 2010 and 2013; an analysis</w:t>
      </w:r>
      <w:r w:rsidR="004A6F9F">
        <w:rPr>
          <w:rFonts w:ascii="Arial" w:eastAsia="Arial" w:hAnsi="Arial" w:cs="Arial"/>
          <w:color w:val="000000"/>
          <w:vertAlign w:val="superscript"/>
        </w:rPr>
        <w:footnoteReference w:id="7"/>
      </w:r>
      <w:r w:rsidR="004A6F9F">
        <w:rPr>
          <w:rFonts w:ascii="Arial" w:eastAsia="Arial" w:hAnsi="Arial" w:cs="Arial"/>
          <w:color w:val="000000"/>
        </w:rPr>
        <w:t xml:space="preserve"> of a cross section of chemicals found that the number of che</w:t>
      </w:r>
      <w:r w:rsidR="004A6F9F" w:rsidRPr="004A6F9F">
        <w:rPr>
          <w:rFonts w:ascii="Arial" w:eastAsia="Arial" w:hAnsi="Arial" w:cs="Arial"/>
        </w:rPr>
        <w:t>micals</w:t>
      </w:r>
      <w:r w:rsidR="004A6F9F">
        <w:rPr>
          <w:rFonts w:ascii="Arial" w:eastAsia="Arial" w:hAnsi="Arial" w:cs="Arial"/>
          <w:color w:val="000000"/>
        </w:rPr>
        <w:t xml:space="preserve"> identified by industry as hazards to the aquatic </w:t>
      </w:r>
      <w:r w:rsidR="004A6F9F">
        <w:rPr>
          <w:rFonts w:ascii="Arial" w:eastAsia="Arial" w:hAnsi="Arial" w:cs="Arial"/>
          <w:color w:val="000000"/>
        </w:rPr>
        <w:lastRenderedPageBreak/>
        <w:t>environment increased by 99% compared to the pre-REACH baseline and the number identified as toxic to reproduction went up by 229%.</w:t>
      </w:r>
    </w:p>
    <w:p w14:paraId="42135778" w14:textId="45E33AE6" w:rsidR="00203859" w:rsidRDefault="001545C8">
      <w:pPr>
        <w:numPr>
          <w:ilvl w:val="0"/>
          <w:numId w:val="5"/>
        </w:numPr>
        <w:pBdr>
          <w:top w:val="nil"/>
          <w:left w:val="nil"/>
          <w:bottom w:val="nil"/>
          <w:right w:val="nil"/>
          <w:between w:val="nil"/>
        </w:pBdr>
        <w:spacing w:after="240" w:line="240" w:lineRule="auto"/>
        <w:ind w:left="426" w:hanging="426"/>
      </w:pPr>
      <w:r>
        <w:rPr>
          <w:rFonts w:ascii="Arial" w:eastAsia="Arial" w:hAnsi="Arial" w:cs="Arial"/>
          <w:color w:val="000000"/>
        </w:rPr>
        <w:t>T</w:t>
      </w:r>
      <w:r w:rsidR="004A6F9F">
        <w:rPr>
          <w:rFonts w:ascii="Arial" w:eastAsia="Arial" w:hAnsi="Arial" w:cs="Arial"/>
          <w:color w:val="000000"/>
        </w:rPr>
        <w:t xml:space="preserve">here are no legal or other alternatives to </w:t>
      </w:r>
      <w:r w:rsidR="002D03B6">
        <w:rPr>
          <w:rFonts w:ascii="Arial" w:eastAsia="Arial" w:hAnsi="Arial" w:cs="Arial"/>
          <w:color w:val="000000"/>
        </w:rPr>
        <w:t>Government</w:t>
      </w:r>
      <w:r w:rsidR="004A6F9F">
        <w:rPr>
          <w:rFonts w:ascii="Arial" w:eastAsia="Arial" w:hAnsi="Arial" w:cs="Arial"/>
          <w:color w:val="000000"/>
        </w:rPr>
        <w:t xml:space="preserve"> intervention to correct for deficiencies in the legal and institutional arrangements that arise under the provisions of the European Union (Withdrawal) Act.</w:t>
      </w:r>
    </w:p>
    <w:p w14:paraId="7B0F6D82" w14:textId="77777777" w:rsidR="00203859" w:rsidRDefault="00203859">
      <w:pPr>
        <w:pBdr>
          <w:top w:val="nil"/>
          <w:left w:val="nil"/>
          <w:bottom w:val="nil"/>
          <w:right w:val="nil"/>
          <w:between w:val="nil"/>
        </w:pBdr>
        <w:spacing w:before="50" w:after="50" w:line="240" w:lineRule="auto"/>
        <w:ind w:left="426" w:right="113" w:hanging="426"/>
        <w:rPr>
          <w:rFonts w:ascii="Arial" w:eastAsia="Arial" w:hAnsi="Arial" w:cs="Arial"/>
          <w:color w:val="000000"/>
        </w:rPr>
      </w:pPr>
    </w:p>
    <w:p w14:paraId="19E9090B" w14:textId="77777777" w:rsidR="00203859" w:rsidRDefault="004A6F9F">
      <w:pPr>
        <w:numPr>
          <w:ilvl w:val="0"/>
          <w:numId w:val="3"/>
        </w:numPr>
        <w:pBdr>
          <w:top w:val="nil"/>
          <w:left w:val="nil"/>
          <w:bottom w:val="nil"/>
          <w:right w:val="nil"/>
          <w:between w:val="nil"/>
        </w:pBdr>
        <w:spacing w:before="240" w:after="240" w:line="240" w:lineRule="auto"/>
        <w:ind w:left="426" w:hanging="426"/>
        <w:rPr>
          <w:b/>
          <w:color w:val="000000"/>
        </w:rPr>
      </w:pPr>
      <w:r>
        <w:rPr>
          <w:rFonts w:ascii="Arial" w:eastAsia="Arial" w:hAnsi="Arial" w:cs="Arial"/>
          <w:b/>
          <w:color w:val="000000"/>
        </w:rPr>
        <w:t>BENEFITS TO BUSINESSES, GOVERNMENT AND SOCIETY FROM OPTION 1</w:t>
      </w:r>
    </w:p>
    <w:p w14:paraId="1C0CA55E" w14:textId="39577261" w:rsidR="00203859" w:rsidRDefault="008C3D4D">
      <w:pPr>
        <w:numPr>
          <w:ilvl w:val="0"/>
          <w:numId w:val="5"/>
        </w:numPr>
        <w:pBdr>
          <w:top w:val="nil"/>
          <w:left w:val="nil"/>
          <w:bottom w:val="nil"/>
          <w:right w:val="nil"/>
          <w:between w:val="nil"/>
        </w:pBdr>
        <w:spacing w:after="240" w:line="240" w:lineRule="auto"/>
        <w:ind w:left="426" w:hanging="426"/>
      </w:pPr>
      <w:r w:rsidRPr="00006C0D">
        <w:rPr>
          <w:rFonts w:ascii="Arial" w:eastAsia="Arial" w:hAnsi="Arial" w:cs="Arial"/>
          <w:b/>
          <w:color w:val="000000"/>
        </w:rPr>
        <w:t>Benefits compared to Option 0 static acquis:</w:t>
      </w:r>
      <w:r>
        <w:rPr>
          <w:rFonts w:ascii="Arial" w:eastAsia="Arial" w:hAnsi="Arial" w:cs="Arial"/>
          <w:color w:val="000000"/>
        </w:rPr>
        <w:t xml:space="preserve"> </w:t>
      </w:r>
      <w:r w:rsidR="004A6F9F">
        <w:rPr>
          <w:rFonts w:ascii="Arial" w:eastAsia="Arial" w:hAnsi="Arial" w:cs="Arial"/>
          <w:color w:val="000000"/>
        </w:rPr>
        <w:t xml:space="preserve">This statutory instrument would enable the necessary legislative amendments to make the regulatory system operable in the UK after </w:t>
      </w:r>
      <w:r w:rsidR="00344464">
        <w:rPr>
          <w:rFonts w:ascii="Arial" w:eastAsia="Arial" w:hAnsi="Arial" w:cs="Arial"/>
          <w:color w:val="000000"/>
        </w:rPr>
        <w:t>D</w:t>
      </w:r>
      <w:r w:rsidR="00FC2A8A">
        <w:rPr>
          <w:rFonts w:ascii="Arial" w:eastAsia="Arial" w:hAnsi="Arial" w:cs="Arial"/>
          <w:color w:val="000000"/>
        </w:rPr>
        <w:t>ay 1</w:t>
      </w:r>
      <w:r w:rsidR="004A6F9F">
        <w:rPr>
          <w:rFonts w:ascii="Arial" w:eastAsia="Arial" w:hAnsi="Arial" w:cs="Arial"/>
          <w:color w:val="000000"/>
        </w:rPr>
        <w:t xml:space="preserve"> and thereby provide continuity, stability and legal certainty for businesses and UK regulatory authorities.</w:t>
      </w:r>
    </w:p>
    <w:p w14:paraId="3762AE9E" w14:textId="254C5838" w:rsidR="00203859" w:rsidRPr="008C3D4D" w:rsidRDefault="004A6F9F" w:rsidP="00006C0D">
      <w:pPr>
        <w:numPr>
          <w:ilvl w:val="0"/>
          <w:numId w:val="5"/>
        </w:numPr>
        <w:pBdr>
          <w:top w:val="nil"/>
          <w:left w:val="nil"/>
          <w:bottom w:val="nil"/>
          <w:right w:val="nil"/>
          <w:between w:val="nil"/>
        </w:pBdr>
        <w:spacing w:after="240" w:line="240" w:lineRule="auto"/>
        <w:ind w:left="426" w:hanging="426"/>
      </w:pPr>
      <w:r w:rsidRPr="00006C0D">
        <w:rPr>
          <w:rFonts w:ascii="Arial" w:eastAsia="Arial" w:hAnsi="Arial" w:cs="Arial"/>
          <w:color w:val="000000"/>
        </w:rPr>
        <w:t xml:space="preserve">This would maintain the drivers of the health and environmental benefits in the </w:t>
      </w:r>
      <w:r w:rsidR="00665D5F" w:rsidRPr="00006C0D">
        <w:rPr>
          <w:rFonts w:ascii="Arial" w:eastAsia="Arial" w:hAnsi="Arial" w:cs="Arial"/>
          <w:color w:val="000000"/>
        </w:rPr>
        <w:t>static acquis</w:t>
      </w:r>
      <w:r w:rsidRPr="00006C0D">
        <w:rPr>
          <w:rFonts w:ascii="Arial" w:eastAsia="Arial" w:hAnsi="Arial" w:cs="Arial"/>
          <w:color w:val="000000"/>
        </w:rPr>
        <w:t xml:space="preserve"> baseline, as businesses would continue to be under the duty to identify the hazards and potential risks of the chemicals they produce or to apply appropr</w:t>
      </w:r>
      <w:r w:rsidR="00006C0D">
        <w:rPr>
          <w:rFonts w:ascii="Arial" w:eastAsia="Arial" w:hAnsi="Arial" w:cs="Arial"/>
          <w:color w:val="000000"/>
        </w:rPr>
        <w:t xml:space="preserve">iate risk management measures. </w:t>
      </w:r>
      <w:r w:rsidRPr="00006C0D">
        <w:rPr>
          <w:rFonts w:ascii="Arial" w:eastAsia="Arial" w:hAnsi="Arial" w:cs="Arial"/>
          <w:color w:val="000000"/>
        </w:rPr>
        <w:t>The UK authorities would have the necessary powers, currently held by the EU, to respond to new and emerging risks from chemicals to human health or the environment, and would have legal certainty that existing regulatory controls on dangerous chemicals still apply following exit.</w:t>
      </w:r>
    </w:p>
    <w:p w14:paraId="68EB6548" w14:textId="4E01391C" w:rsidR="00006C0D" w:rsidRDefault="00006C0D" w:rsidP="00006C0D">
      <w:pPr>
        <w:numPr>
          <w:ilvl w:val="0"/>
          <w:numId w:val="5"/>
        </w:numPr>
        <w:pBdr>
          <w:top w:val="nil"/>
          <w:left w:val="nil"/>
          <w:bottom w:val="nil"/>
          <w:right w:val="nil"/>
          <w:between w:val="nil"/>
        </w:pBdr>
        <w:spacing w:after="240" w:line="240" w:lineRule="auto"/>
        <w:ind w:left="426" w:hanging="426"/>
      </w:pPr>
      <w:r w:rsidRPr="00006C0D">
        <w:rPr>
          <w:rFonts w:ascii="Arial" w:eastAsia="Arial" w:hAnsi="Arial" w:cs="Arial"/>
          <w:b/>
          <w:color w:val="000000"/>
        </w:rPr>
        <w:t>Benefits compared to Option 0.1 do nothing</w:t>
      </w:r>
      <w:r w:rsidR="007A0F6C">
        <w:rPr>
          <w:rFonts w:ascii="Arial" w:eastAsia="Arial" w:hAnsi="Arial" w:cs="Arial"/>
          <w:b/>
          <w:color w:val="000000"/>
        </w:rPr>
        <w:t xml:space="preserve"> (no legislation)</w:t>
      </w:r>
      <w:r>
        <w:rPr>
          <w:rFonts w:ascii="Arial" w:eastAsia="Arial" w:hAnsi="Arial" w:cs="Arial"/>
          <w:b/>
          <w:color w:val="000000"/>
        </w:rPr>
        <w:t>:</w:t>
      </w:r>
      <w:r>
        <w:t xml:space="preserve"> </w:t>
      </w:r>
      <w:r>
        <w:rPr>
          <w:rFonts w:ascii="Arial" w:eastAsia="Arial" w:hAnsi="Arial" w:cs="Arial"/>
          <w:color w:val="000000"/>
        </w:rPr>
        <w:t xml:space="preserve">There would be large benefits associated with introducing the legislation compared with the alternative, as the legislation would offset the significant risks outlined in the ‘do nothing’ in the options section and enable a functioning chemicals regime to deliver the Government’s objectives for chemicals policy. </w:t>
      </w:r>
    </w:p>
    <w:p w14:paraId="5FD1C46E" w14:textId="77777777" w:rsidR="00203859" w:rsidRDefault="00203859">
      <w:pPr>
        <w:pBdr>
          <w:top w:val="nil"/>
          <w:left w:val="nil"/>
          <w:bottom w:val="nil"/>
          <w:right w:val="nil"/>
          <w:between w:val="nil"/>
        </w:pBdr>
        <w:spacing w:after="240" w:line="240" w:lineRule="auto"/>
        <w:ind w:left="426"/>
        <w:rPr>
          <w:rFonts w:ascii="Arial" w:eastAsia="Arial" w:hAnsi="Arial" w:cs="Arial"/>
          <w:color w:val="000000"/>
        </w:rPr>
      </w:pPr>
    </w:p>
    <w:p w14:paraId="0D69926C" w14:textId="77777777" w:rsidR="00203859" w:rsidRDefault="004A6F9F">
      <w:pPr>
        <w:numPr>
          <w:ilvl w:val="0"/>
          <w:numId w:val="3"/>
        </w:numPr>
        <w:pBdr>
          <w:top w:val="nil"/>
          <w:left w:val="nil"/>
          <w:bottom w:val="nil"/>
          <w:right w:val="nil"/>
          <w:between w:val="nil"/>
        </w:pBdr>
        <w:spacing w:before="240" w:after="240" w:line="240" w:lineRule="auto"/>
        <w:ind w:left="426" w:hanging="426"/>
        <w:rPr>
          <w:b/>
          <w:color w:val="000000"/>
        </w:rPr>
      </w:pPr>
      <w:r>
        <w:rPr>
          <w:rFonts w:ascii="Arial" w:eastAsia="Arial" w:hAnsi="Arial" w:cs="Arial"/>
          <w:b/>
          <w:color w:val="000000"/>
        </w:rPr>
        <w:t xml:space="preserve">DIRECT COSTS TO GOVERNMENT </w:t>
      </w:r>
    </w:p>
    <w:p w14:paraId="2622E046" w14:textId="7CE116B6" w:rsidR="00203859" w:rsidRDefault="004A6F9F">
      <w:pPr>
        <w:numPr>
          <w:ilvl w:val="0"/>
          <w:numId w:val="5"/>
        </w:numPr>
        <w:pBdr>
          <w:top w:val="nil"/>
          <w:left w:val="nil"/>
          <w:bottom w:val="nil"/>
          <w:right w:val="nil"/>
          <w:between w:val="nil"/>
        </w:pBdr>
        <w:spacing w:before="240" w:after="240" w:line="240" w:lineRule="auto"/>
        <w:ind w:left="426" w:hanging="426"/>
      </w:pPr>
      <w:r>
        <w:rPr>
          <w:rFonts w:ascii="Arial" w:eastAsia="Arial" w:hAnsi="Arial" w:cs="Arial"/>
          <w:color w:val="000000"/>
        </w:rPr>
        <w:t xml:space="preserve">This section aims to understand what the overall impact to </w:t>
      </w:r>
      <w:r w:rsidR="002D03B6">
        <w:rPr>
          <w:rFonts w:ascii="Arial" w:eastAsia="Arial" w:hAnsi="Arial" w:cs="Arial"/>
          <w:color w:val="000000"/>
        </w:rPr>
        <w:t>Government</w:t>
      </w:r>
      <w:r>
        <w:rPr>
          <w:rFonts w:ascii="Arial" w:eastAsia="Arial" w:hAnsi="Arial" w:cs="Arial"/>
          <w:color w:val="000000"/>
        </w:rPr>
        <w:t xml:space="preserve"> might be from implementing option 1 compared to the counterfactuals of option 0. Given the nature of this provision it is not considered proportionate to monetise all impacts at this stage. </w:t>
      </w:r>
    </w:p>
    <w:p w14:paraId="2302A942" w14:textId="77777777" w:rsidR="00203859" w:rsidRDefault="004A6F9F">
      <w:pPr>
        <w:pBdr>
          <w:top w:val="nil"/>
          <w:left w:val="nil"/>
          <w:bottom w:val="nil"/>
          <w:right w:val="nil"/>
          <w:between w:val="nil"/>
        </w:pBdr>
        <w:spacing w:before="240" w:after="240" w:line="240" w:lineRule="auto"/>
        <w:ind w:left="426" w:hanging="426"/>
        <w:rPr>
          <w:rFonts w:ascii="Arial" w:eastAsia="Arial" w:hAnsi="Arial" w:cs="Arial"/>
          <w:b/>
          <w:color w:val="000000"/>
        </w:rPr>
      </w:pPr>
      <w:r>
        <w:rPr>
          <w:rFonts w:ascii="Arial" w:eastAsia="Arial" w:hAnsi="Arial" w:cs="Arial"/>
          <w:b/>
          <w:color w:val="000000"/>
        </w:rPr>
        <w:t>Option 0: Baseline - Static Acquis (Current Arrangements)</w:t>
      </w:r>
    </w:p>
    <w:p w14:paraId="38241BEC" w14:textId="62313110" w:rsidR="00203859" w:rsidRDefault="004A6F9F">
      <w:pPr>
        <w:numPr>
          <w:ilvl w:val="0"/>
          <w:numId w:val="5"/>
        </w:numPr>
        <w:pBdr>
          <w:top w:val="nil"/>
          <w:left w:val="nil"/>
          <w:bottom w:val="nil"/>
          <w:right w:val="nil"/>
          <w:between w:val="nil"/>
        </w:pBdr>
        <w:spacing w:before="240" w:after="240" w:line="240" w:lineRule="auto"/>
        <w:ind w:left="426" w:hanging="426"/>
      </w:pPr>
      <w:r>
        <w:rPr>
          <w:rFonts w:ascii="Arial" w:eastAsia="Arial" w:hAnsi="Arial" w:cs="Arial"/>
          <w:color w:val="000000"/>
        </w:rPr>
        <w:t>Currently Defra pays the Health &amp; Safety Executive (HSE) for its activities acting as a UK competent authority for chemicals regulation. ECHA is partly funded through the EU general budget, to which the UK contributes approximately 12% (after rebate)</w:t>
      </w:r>
      <w:r>
        <w:rPr>
          <w:rFonts w:ascii="Arial" w:eastAsia="Arial" w:hAnsi="Arial" w:cs="Arial"/>
          <w:color w:val="000000"/>
          <w:vertAlign w:val="superscript"/>
        </w:rPr>
        <w:footnoteReference w:id="8"/>
      </w:r>
      <w:r>
        <w:rPr>
          <w:rFonts w:ascii="Arial" w:eastAsia="Arial" w:hAnsi="Arial" w:cs="Arial"/>
          <w:color w:val="000000"/>
        </w:rPr>
        <w:t xml:space="preserve">.  The actual amount of Union subsidy paid to ECHA varies considerably from year to year depending on the level of the Agency’s fee income. </w:t>
      </w:r>
    </w:p>
    <w:p w14:paraId="5C50097F" w14:textId="143410DA" w:rsidR="00203859" w:rsidRDefault="004A6F9F">
      <w:pPr>
        <w:pBdr>
          <w:top w:val="nil"/>
          <w:left w:val="nil"/>
          <w:bottom w:val="nil"/>
          <w:right w:val="nil"/>
          <w:between w:val="nil"/>
        </w:pBdr>
        <w:spacing w:before="240" w:after="240" w:line="240" w:lineRule="auto"/>
        <w:rPr>
          <w:rFonts w:ascii="Arial" w:eastAsia="Arial" w:hAnsi="Arial" w:cs="Arial"/>
          <w:b/>
          <w:color w:val="000000"/>
        </w:rPr>
      </w:pPr>
      <w:r>
        <w:rPr>
          <w:rFonts w:ascii="Arial" w:eastAsia="Arial" w:hAnsi="Arial" w:cs="Arial"/>
          <w:b/>
          <w:color w:val="000000"/>
        </w:rPr>
        <w:t xml:space="preserve">Option 0.1: Baseline - </w:t>
      </w:r>
      <w:r w:rsidR="007A0F6C">
        <w:rPr>
          <w:rFonts w:ascii="Arial" w:eastAsia="Arial" w:hAnsi="Arial" w:cs="Arial"/>
          <w:b/>
          <w:color w:val="000000"/>
        </w:rPr>
        <w:t>do nothing (n</w:t>
      </w:r>
      <w:r>
        <w:rPr>
          <w:rFonts w:ascii="Arial" w:eastAsia="Arial" w:hAnsi="Arial" w:cs="Arial"/>
          <w:b/>
          <w:color w:val="000000"/>
        </w:rPr>
        <w:t>o legislation</w:t>
      </w:r>
      <w:r w:rsidR="007A0F6C">
        <w:rPr>
          <w:rFonts w:ascii="Arial" w:eastAsia="Arial" w:hAnsi="Arial" w:cs="Arial"/>
          <w:b/>
          <w:color w:val="000000"/>
        </w:rPr>
        <w:t>)</w:t>
      </w:r>
    </w:p>
    <w:p w14:paraId="05892209" w14:textId="7309F0DF" w:rsidR="00203859" w:rsidRDefault="004A6F9F">
      <w:pPr>
        <w:numPr>
          <w:ilvl w:val="0"/>
          <w:numId w:val="5"/>
        </w:numPr>
        <w:pBdr>
          <w:top w:val="nil"/>
          <w:left w:val="nil"/>
          <w:bottom w:val="nil"/>
          <w:right w:val="nil"/>
          <w:between w:val="nil"/>
        </w:pBdr>
        <w:spacing w:before="240" w:after="240" w:line="240" w:lineRule="auto"/>
        <w:ind w:left="426" w:hanging="426"/>
      </w:pPr>
      <w:r w:rsidRPr="001545C8">
        <w:rPr>
          <w:rFonts w:ascii="Arial" w:eastAsia="Arial" w:hAnsi="Arial" w:cs="Arial"/>
        </w:rPr>
        <w:t xml:space="preserve">In the event of leaving the EU without a deal, the UK would no longer contribute funding to ECHA through its contributions to the EU Budget. Defra, however, would still be required to fund the HSE for its chemicals work in a ‘do nothing’ scenario’. </w:t>
      </w:r>
      <w:r>
        <w:rPr>
          <w:rFonts w:ascii="Arial" w:eastAsia="Arial" w:hAnsi="Arial" w:cs="Arial"/>
          <w:color w:val="000000"/>
        </w:rPr>
        <w:t xml:space="preserve">As detailed in the options section, UK producers and users of chemicals would no longer be under any duty to identify and apply risk management measures and there would be legal </w:t>
      </w:r>
      <w:r>
        <w:rPr>
          <w:rFonts w:ascii="Arial" w:eastAsia="Arial" w:hAnsi="Arial" w:cs="Arial"/>
          <w:color w:val="000000"/>
        </w:rPr>
        <w:lastRenderedPageBreak/>
        <w:t xml:space="preserve">uncertainty as to whether existing regulatory controls on dangerous chemicals would still apply.  </w:t>
      </w:r>
    </w:p>
    <w:p w14:paraId="78EB5F06" w14:textId="77777777" w:rsidR="00203859" w:rsidRDefault="004A6F9F">
      <w:pPr>
        <w:pBdr>
          <w:top w:val="nil"/>
          <w:left w:val="nil"/>
          <w:bottom w:val="nil"/>
          <w:right w:val="nil"/>
          <w:between w:val="nil"/>
        </w:pBdr>
        <w:spacing w:before="240" w:after="240" w:line="240" w:lineRule="auto"/>
        <w:ind w:left="426" w:hanging="426"/>
        <w:rPr>
          <w:rFonts w:ascii="Arial" w:eastAsia="Arial" w:hAnsi="Arial" w:cs="Arial"/>
          <w:b/>
          <w:color w:val="000000"/>
        </w:rPr>
      </w:pPr>
      <w:r>
        <w:rPr>
          <w:rFonts w:ascii="Arial" w:eastAsia="Arial" w:hAnsi="Arial" w:cs="Arial"/>
          <w:b/>
          <w:color w:val="000000"/>
        </w:rPr>
        <w:t xml:space="preserve">Option 1: Building UK regulatory capability </w:t>
      </w:r>
    </w:p>
    <w:p w14:paraId="371BB73F" w14:textId="5941C17A" w:rsidR="0063394A" w:rsidRPr="00E2637E" w:rsidRDefault="007A0F6C" w:rsidP="0063394A">
      <w:pPr>
        <w:numPr>
          <w:ilvl w:val="0"/>
          <w:numId w:val="5"/>
        </w:numPr>
        <w:pBdr>
          <w:top w:val="nil"/>
          <w:left w:val="nil"/>
          <w:bottom w:val="nil"/>
          <w:right w:val="nil"/>
          <w:between w:val="nil"/>
        </w:pBdr>
        <w:spacing w:before="240" w:after="240" w:line="240" w:lineRule="auto"/>
        <w:ind w:left="426" w:hanging="426"/>
      </w:pPr>
      <w:r w:rsidRPr="000E1D2C">
        <w:rPr>
          <w:rFonts w:ascii="Arial" w:eastAsia="Arial" w:hAnsi="Arial" w:cs="Arial"/>
          <w:b/>
        </w:rPr>
        <w:t xml:space="preserve">Costs </w:t>
      </w:r>
      <w:r w:rsidRPr="000E1D2C">
        <w:rPr>
          <w:rFonts w:ascii="Arial" w:eastAsia="Arial" w:hAnsi="Arial" w:cs="Arial"/>
          <w:b/>
          <w:color w:val="000000"/>
        </w:rPr>
        <w:t>compared to Option 0 static acquis:</w:t>
      </w:r>
      <w:r w:rsidRPr="000E1D2C">
        <w:rPr>
          <w:rFonts w:ascii="Arial" w:eastAsia="Arial" w:hAnsi="Arial" w:cs="Arial"/>
        </w:rPr>
        <w:t xml:space="preserve"> </w:t>
      </w:r>
      <w:r w:rsidR="002C4463" w:rsidRPr="000E1D2C">
        <w:rPr>
          <w:rFonts w:ascii="Arial" w:eastAsia="Arial" w:hAnsi="Arial" w:cs="Arial"/>
        </w:rPr>
        <w:t xml:space="preserve"> </w:t>
      </w:r>
      <w:r w:rsidR="000E1D2C" w:rsidRPr="000E1D2C">
        <w:rPr>
          <w:rFonts w:ascii="Arial" w:eastAsia="Arial" w:hAnsi="Arial" w:cs="Arial"/>
        </w:rPr>
        <w:t xml:space="preserve">The Withdrawal Act and SI </w:t>
      </w:r>
      <w:r w:rsidR="000E1D2C">
        <w:rPr>
          <w:rFonts w:ascii="Arial" w:eastAsia="Arial" w:hAnsi="Arial" w:cs="Arial"/>
        </w:rPr>
        <w:t xml:space="preserve">would </w:t>
      </w:r>
      <w:r w:rsidR="000E1D2C" w:rsidRPr="000E1D2C">
        <w:rPr>
          <w:rFonts w:ascii="Arial" w:eastAsia="Arial" w:hAnsi="Arial" w:cs="Arial"/>
        </w:rPr>
        <w:t xml:space="preserve">transfer functions to the UK which are currently exercised by ECHA and the European Commission. </w:t>
      </w:r>
      <w:r w:rsidR="0063394A">
        <w:rPr>
          <w:rFonts w:ascii="Arial" w:eastAsia="Arial" w:hAnsi="Arial" w:cs="Arial"/>
        </w:rPr>
        <w:t>T</w:t>
      </w:r>
      <w:r w:rsidR="000E1D2C" w:rsidRPr="000E1D2C">
        <w:rPr>
          <w:rFonts w:ascii="Arial" w:eastAsia="Arial" w:hAnsi="Arial" w:cs="Arial"/>
        </w:rPr>
        <w:t xml:space="preserve">hese activities </w:t>
      </w:r>
      <w:r w:rsidR="0063394A">
        <w:rPr>
          <w:rFonts w:ascii="Arial" w:eastAsia="Arial" w:hAnsi="Arial" w:cs="Arial"/>
        </w:rPr>
        <w:t xml:space="preserve">which </w:t>
      </w:r>
      <w:r w:rsidR="000E1D2C" w:rsidRPr="000E1D2C">
        <w:rPr>
          <w:rFonts w:ascii="Arial" w:eastAsia="Arial" w:hAnsi="Arial" w:cs="Arial"/>
        </w:rPr>
        <w:t xml:space="preserve">are </w:t>
      </w:r>
      <w:r w:rsidR="0063394A">
        <w:rPr>
          <w:rFonts w:ascii="Arial" w:eastAsia="Arial" w:hAnsi="Arial" w:cs="Arial"/>
        </w:rPr>
        <w:t xml:space="preserve">currently </w:t>
      </w:r>
      <w:r w:rsidR="000E1D2C" w:rsidRPr="000E1D2C">
        <w:rPr>
          <w:rFonts w:ascii="Arial" w:eastAsia="Arial" w:hAnsi="Arial" w:cs="Arial"/>
        </w:rPr>
        <w:t xml:space="preserve">(partially) funded by the UK’s contributions to the EU budget, </w:t>
      </w:r>
      <w:r w:rsidR="0063394A">
        <w:rPr>
          <w:rFonts w:ascii="Arial" w:eastAsia="Arial" w:hAnsi="Arial" w:cs="Arial"/>
        </w:rPr>
        <w:t xml:space="preserve">would </w:t>
      </w:r>
      <w:r w:rsidR="000E1D2C" w:rsidRPr="000E1D2C">
        <w:rPr>
          <w:rFonts w:ascii="Arial" w:eastAsia="Arial" w:hAnsi="Arial" w:cs="Arial"/>
        </w:rPr>
        <w:t xml:space="preserve">under this option </w:t>
      </w:r>
      <w:r w:rsidR="0063394A">
        <w:rPr>
          <w:rFonts w:ascii="Arial" w:eastAsia="Arial" w:hAnsi="Arial" w:cs="Arial"/>
        </w:rPr>
        <w:t>be undertaken domestically by</w:t>
      </w:r>
      <w:r w:rsidR="000E1D2C" w:rsidRPr="000E1D2C">
        <w:rPr>
          <w:rFonts w:ascii="Arial" w:eastAsia="Arial" w:hAnsi="Arial" w:cs="Arial"/>
        </w:rPr>
        <w:t>:</w:t>
      </w:r>
      <w:r w:rsidR="000E1D2C" w:rsidRPr="000E1D2C">
        <w:rPr>
          <w:rFonts w:ascii="Arial" w:eastAsia="Arial" w:hAnsi="Arial" w:cs="Arial"/>
          <w:color w:val="000000"/>
        </w:rPr>
        <w:t xml:space="preserve"> </w:t>
      </w:r>
      <w:r w:rsidR="00E2637E" w:rsidRPr="000E1D2C">
        <w:rPr>
          <w:rFonts w:ascii="Arial" w:eastAsia="Arial" w:hAnsi="Arial" w:cs="Arial"/>
          <w:color w:val="000000"/>
        </w:rPr>
        <w:t>(i) increas</w:t>
      </w:r>
      <w:r w:rsidR="0063394A">
        <w:rPr>
          <w:rFonts w:ascii="Arial" w:eastAsia="Arial" w:hAnsi="Arial" w:cs="Arial"/>
          <w:color w:val="000000"/>
        </w:rPr>
        <w:t>ing</w:t>
      </w:r>
      <w:r w:rsidR="00E2637E" w:rsidRPr="000E1D2C">
        <w:rPr>
          <w:rFonts w:ascii="Arial" w:eastAsia="Arial" w:hAnsi="Arial" w:cs="Arial"/>
          <w:color w:val="000000"/>
        </w:rPr>
        <w:t xml:space="preserve"> headcounts in HSE, Defra and EA; (ii) building and maintaining a new UK REACH-IT system; and (iii) additional costs of funding evidence budgets, scientific advice and providing helpdesk services.</w:t>
      </w:r>
    </w:p>
    <w:p w14:paraId="74B38FBA" w14:textId="4AA85989" w:rsidR="00E2637E" w:rsidRDefault="00E2637E" w:rsidP="00E2637E">
      <w:pPr>
        <w:numPr>
          <w:ilvl w:val="0"/>
          <w:numId w:val="5"/>
        </w:numPr>
        <w:pBdr>
          <w:top w:val="nil"/>
          <w:left w:val="nil"/>
          <w:bottom w:val="nil"/>
          <w:right w:val="nil"/>
          <w:between w:val="nil"/>
        </w:pBdr>
        <w:spacing w:before="240" w:after="240" w:line="240" w:lineRule="auto"/>
        <w:ind w:left="426" w:hanging="426"/>
      </w:pPr>
      <w:r>
        <w:rPr>
          <w:rFonts w:ascii="Arial" w:eastAsia="Arial" w:hAnsi="Arial" w:cs="Arial"/>
          <w:color w:val="000000"/>
        </w:rPr>
        <w:t>In line with existing EU REACH, some costs may be recovered through fees and charges to business. However, ECHA’s main source of fees to date is from registrations, which will largely not be available to the UK authorities following the final deadline for phase-in registrations in May 2018.</w:t>
      </w:r>
    </w:p>
    <w:p w14:paraId="78A96C60" w14:textId="6CFA8907" w:rsidR="00203859" w:rsidRDefault="00457573" w:rsidP="007A0F6C">
      <w:pPr>
        <w:numPr>
          <w:ilvl w:val="0"/>
          <w:numId w:val="5"/>
        </w:numPr>
        <w:pBdr>
          <w:top w:val="nil"/>
          <w:left w:val="nil"/>
          <w:bottom w:val="nil"/>
          <w:right w:val="nil"/>
          <w:between w:val="nil"/>
        </w:pBdr>
        <w:spacing w:before="240" w:after="240" w:line="240" w:lineRule="auto"/>
        <w:ind w:left="426" w:hanging="426"/>
      </w:pPr>
      <w:r w:rsidRPr="00457573">
        <w:rPr>
          <w:rFonts w:ascii="Arial" w:eastAsia="Arial" w:hAnsi="Arial" w:cs="Arial"/>
          <w:b/>
          <w:color w:val="000000"/>
        </w:rPr>
        <w:t>Costs compared to Option 0.1 do nothing (no legislation</w:t>
      </w:r>
      <w:r w:rsidR="009F58DB">
        <w:rPr>
          <w:rFonts w:ascii="Arial" w:eastAsia="Arial" w:hAnsi="Arial" w:cs="Arial"/>
          <w:b/>
          <w:color w:val="000000"/>
        </w:rPr>
        <w:t>)</w:t>
      </w:r>
      <w:r w:rsidRPr="00457573">
        <w:rPr>
          <w:rFonts w:ascii="Arial" w:eastAsia="Arial" w:hAnsi="Arial" w:cs="Arial"/>
          <w:b/>
          <w:color w:val="000000"/>
        </w:rPr>
        <w:t>:</w:t>
      </w:r>
      <w:r>
        <w:rPr>
          <w:rFonts w:ascii="Arial" w:eastAsia="Arial" w:hAnsi="Arial" w:cs="Arial"/>
          <w:b/>
          <w:color w:val="000000"/>
        </w:rPr>
        <w:t xml:space="preserve"> </w:t>
      </w:r>
      <w:r>
        <w:rPr>
          <w:rFonts w:ascii="Arial" w:eastAsia="Arial" w:hAnsi="Arial" w:cs="Arial"/>
          <w:color w:val="000000"/>
        </w:rPr>
        <w:t xml:space="preserve">The three further costs to fully operate a standalone UK regime mentioned above would also be additional compared to this baseline. </w:t>
      </w:r>
    </w:p>
    <w:p w14:paraId="6AC71064" w14:textId="77777777" w:rsidR="00203859" w:rsidRDefault="00203859">
      <w:pPr>
        <w:pBdr>
          <w:top w:val="nil"/>
          <w:left w:val="nil"/>
          <w:bottom w:val="nil"/>
          <w:right w:val="nil"/>
          <w:between w:val="nil"/>
        </w:pBdr>
        <w:spacing w:before="240" w:after="240" w:line="240" w:lineRule="auto"/>
        <w:ind w:left="426"/>
        <w:rPr>
          <w:rFonts w:ascii="Arial" w:eastAsia="Arial" w:hAnsi="Arial" w:cs="Arial"/>
          <w:color w:val="000000"/>
        </w:rPr>
      </w:pPr>
    </w:p>
    <w:p w14:paraId="71CCAC62" w14:textId="6267B99E" w:rsidR="00203859" w:rsidRDefault="004A6F9F">
      <w:pPr>
        <w:numPr>
          <w:ilvl w:val="0"/>
          <w:numId w:val="3"/>
        </w:numPr>
        <w:pBdr>
          <w:top w:val="nil"/>
          <w:left w:val="nil"/>
          <w:bottom w:val="nil"/>
          <w:right w:val="nil"/>
          <w:between w:val="nil"/>
        </w:pBdr>
        <w:spacing w:before="240" w:after="240" w:line="240" w:lineRule="auto"/>
        <w:ind w:left="426" w:hanging="426"/>
        <w:rPr>
          <w:b/>
          <w:color w:val="000000"/>
        </w:rPr>
      </w:pPr>
      <w:r>
        <w:rPr>
          <w:rFonts w:ascii="Arial" w:eastAsia="Arial" w:hAnsi="Arial" w:cs="Arial"/>
          <w:b/>
          <w:color w:val="000000"/>
        </w:rPr>
        <w:t>DIRECT IMPACTS TO UK BUSINESSES</w:t>
      </w:r>
    </w:p>
    <w:p w14:paraId="53FE26B5" w14:textId="77777777" w:rsidR="00203859" w:rsidRDefault="004A6F9F">
      <w:pPr>
        <w:pBdr>
          <w:top w:val="nil"/>
          <w:left w:val="nil"/>
          <w:bottom w:val="nil"/>
          <w:right w:val="nil"/>
          <w:between w:val="nil"/>
        </w:pBdr>
        <w:spacing w:before="240" w:after="240" w:line="240" w:lineRule="auto"/>
        <w:ind w:left="426" w:hanging="426"/>
        <w:rPr>
          <w:rFonts w:ascii="Arial" w:eastAsia="Arial" w:hAnsi="Arial" w:cs="Arial"/>
          <w:b/>
          <w:color w:val="000000"/>
        </w:rPr>
      </w:pPr>
      <w:r>
        <w:rPr>
          <w:rFonts w:ascii="Arial" w:eastAsia="Arial" w:hAnsi="Arial" w:cs="Arial"/>
          <w:b/>
          <w:color w:val="000000"/>
        </w:rPr>
        <w:t>Option 0: Baseline - Current Arrangements</w:t>
      </w:r>
    </w:p>
    <w:p w14:paraId="581FD860" w14:textId="7AC814ED" w:rsidR="00203859" w:rsidRDefault="004A6F9F">
      <w:pPr>
        <w:numPr>
          <w:ilvl w:val="0"/>
          <w:numId w:val="5"/>
        </w:numPr>
        <w:pBdr>
          <w:top w:val="nil"/>
          <w:left w:val="nil"/>
          <w:bottom w:val="nil"/>
          <w:right w:val="nil"/>
          <w:between w:val="nil"/>
        </w:pBdr>
        <w:spacing w:before="240" w:after="240" w:line="240" w:lineRule="auto"/>
        <w:ind w:left="426" w:hanging="426"/>
      </w:pPr>
      <w:r>
        <w:rPr>
          <w:rFonts w:ascii="Arial" w:eastAsia="Arial" w:hAnsi="Arial" w:cs="Arial"/>
          <w:color w:val="000000"/>
        </w:rPr>
        <w:t xml:space="preserve">Under the </w:t>
      </w:r>
      <w:r w:rsidR="00665D5F">
        <w:rPr>
          <w:rFonts w:ascii="Arial" w:eastAsia="Arial" w:hAnsi="Arial" w:cs="Arial"/>
          <w:color w:val="000000"/>
        </w:rPr>
        <w:t>static acquis</w:t>
      </w:r>
      <w:r>
        <w:rPr>
          <w:rFonts w:ascii="Arial" w:eastAsia="Arial" w:hAnsi="Arial" w:cs="Arial"/>
          <w:color w:val="000000"/>
        </w:rPr>
        <w:t xml:space="preserve"> baseline, UK businesses currently register substances with ECHA and apply for authorisations for some substances, giving them access to both the UK and wider EEA market. They incur costs from ECHA fees</w:t>
      </w:r>
      <w:r>
        <w:rPr>
          <w:rFonts w:ascii="Arial" w:eastAsia="Arial" w:hAnsi="Arial" w:cs="Arial"/>
          <w:color w:val="000000"/>
          <w:vertAlign w:val="superscript"/>
        </w:rPr>
        <w:footnoteReference w:id="9"/>
      </w:r>
      <w:r>
        <w:rPr>
          <w:rFonts w:ascii="Arial" w:eastAsia="Arial" w:hAnsi="Arial" w:cs="Arial"/>
          <w:color w:val="000000"/>
        </w:rPr>
        <w:t xml:space="preserve">, conducting </w:t>
      </w:r>
      <w:r w:rsidR="0058211A">
        <w:rPr>
          <w:rFonts w:ascii="Arial" w:eastAsia="Arial" w:hAnsi="Arial" w:cs="Arial"/>
          <w:color w:val="000000"/>
        </w:rPr>
        <w:t xml:space="preserve">studies </w:t>
      </w:r>
      <w:r>
        <w:rPr>
          <w:rFonts w:ascii="Arial" w:eastAsia="Arial" w:hAnsi="Arial" w:cs="Arial"/>
          <w:color w:val="000000"/>
        </w:rPr>
        <w:t xml:space="preserve">or </w:t>
      </w:r>
      <w:r w:rsidR="0058211A">
        <w:rPr>
          <w:rFonts w:ascii="Arial" w:eastAsia="Arial" w:hAnsi="Arial" w:cs="Arial"/>
          <w:color w:val="000000"/>
        </w:rPr>
        <w:t xml:space="preserve">otherwise </w:t>
      </w:r>
      <w:r>
        <w:rPr>
          <w:rFonts w:ascii="Arial" w:eastAsia="Arial" w:hAnsi="Arial" w:cs="Arial"/>
          <w:color w:val="000000"/>
        </w:rPr>
        <w:t>accessing data from other firms</w:t>
      </w:r>
      <w:r w:rsidR="0058211A">
        <w:rPr>
          <w:rFonts w:ascii="Arial" w:eastAsia="Arial" w:hAnsi="Arial" w:cs="Arial"/>
          <w:color w:val="000000"/>
        </w:rPr>
        <w:t xml:space="preserve"> to complete their understanding of the hazards and risks of the chemicals they produce</w:t>
      </w:r>
      <w:r>
        <w:rPr>
          <w:rFonts w:ascii="Arial" w:eastAsia="Arial" w:hAnsi="Arial" w:cs="Arial"/>
          <w:color w:val="000000"/>
        </w:rPr>
        <w:t>, and administrative costs in compiling a registration dossier</w:t>
      </w:r>
      <w:r w:rsidR="0058211A">
        <w:rPr>
          <w:rFonts w:ascii="Arial" w:eastAsia="Arial" w:hAnsi="Arial" w:cs="Arial"/>
          <w:color w:val="000000"/>
        </w:rPr>
        <w:t xml:space="preserve"> or application for authorisation</w:t>
      </w:r>
      <w:r>
        <w:rPr>
          <w:rFonts w:ascii="Arial" w:eastAsia="Arial" w:hAnsi="Arial" w:cs="Arial"/>
          <w:color w:val="000000"/>
        </w:rPr>
        <w:t xml:space="preserve">. </w:t>
      </w:r>
    </w:p>
    <w:p w14:paraId="58BCC6EC" w14:textId="77777777" w:rsidR="00203859" w:rsidRDefault="004A6F9F">
      <w:pPr>
        <w:numPr>
          <w:ilvl w:val="0"/>
          <w:numId w:val="5"/>
        </w:numPr>
        <w:pBdr>
          <w:top w:val="nil"/>
          <w:left w:val="nil"/>
          <w:bottom w:val="nil"/>
          <w:right w:val="nil"/>
          <w:between w:val="nil"/>
        </w:pBdr>
        <w:spacing w:before="240" w:after="240" w:line="240" w:lineRule="auto"/>
        <w:ind w:left="426" w:hanging="426"/>
      </w:pPr>
      <w:r>
        <w:rPr>
          <w:rFonts w:ascii="Arial" w:eastAsia="Arial" w:hAnsi="Arial" w:cs="Arial"/>
          <w:color w:val="000000"/>
        </w:rPr>
        <w:t>UK based Only Representatives</w:t>
      </w:r>
      <w:r>
        <w:rPr>
          <w:rFonts w:ascii="Arial" w:eastAsia="Arial" w:hAnsi="Arial" w:cs="Arial"/>
          <w:color w:val="000000"/>
          <w:vertAlign w:val="superscript"/>
        </w:rPr>
        <w:footnoteReference w:id="10"/>
      </w:r>
      <w:r>
        <w:rPr>
          <w:rFonts w:ascii="Arial" w:eastAsia="Arial" w:hAnsi="Arial" w:cs="Arial"/>
          <w:color w:val="000000"/>
        </w:rPr>
        <w:t xml:space="preserve"> (ORs) can register with ECHA on behalf of third country companies to give them access to both the UK and wider EEA market. UK firms acquiring chemical goods from the EU or EEA are not categorised as importers. </w:t>
      </w:r>
    </w:p>
    <w:p w14:paraId="12C89BF3" w14:textId="77777777" w:rsidR="00253EA8" w:rsidRDefault="00253EA8">
      <w:pPr>
        <w:pBdr>
          <w:top w:val="nil"/>
          <w:left w:val="nil"/>
          <w:bottom w:val="nil"/>
          <w:right w:val="nil"/>
          <w:between w:val="nil"/>
        </w:pBdr>
        <w:spacing w:before="240" w:after="240" w:line="240" w:lineRule="auto"/>
        <w:rPr>
          <w:rFonts w:ascii="Arial" w:eastAsia="Arial" w:hAnsi="Arial" w:cs="Arial"/>
          <w:b/>
          <w:color w:val="000000"/>
        </w:rPr>
      </w:pPr>
    </w:p>
    <w:p w14:paraId="5D2822BA" w14:textId="68D7D004" w:rsidR="00203859" w:rsidRDefault="004A6F9F">
      <w:pPr>
        <w:pBdr>
          <w:top w:val="nil"/>
          <w:left w:val="nil"/>
          <w:bottom w:val="nil"/>
          <w:right w:val="nil"/>
          <w:between w:val="nil"/>
        </w:pBdr>
        <w:spacing w:before="240" w:after="240" w:line="240" w:lineRule="auto"/>
        <w:rPr>
          <w:rFonts w:ascii="Arial" w:eastAsia="Arial" w:hAnsi="Arial" w:cs="Arial"/>
          <w:color w:val="000000"/>
        </w:rPr>
      </w:pPr>
      <w:r>
        <w:rPr>
          <w:rFonts w:ascii="Arial" w:eastAsia="Arial" w:hAnsi="Arial" w:cs="Arial"/>
          <w:b/>
          <w:color w:val="000000"/>
        </w:rPr>
        <w:t xml:space="preserve">Option 0.1: Baseline - </w:t>
      </w:r>
      <w:r w:rsidR="007A0F6C">
        <w:rPr>
          <w:rFonts w:ascii="Arial" w:eastAsia="Arial" w:hAnsi="Arial" w:cs="Arial"/>
          <w:b/>
          <w:color w:val="000000"/>
        </w:rPr>
        <w:t>do nothing (n</w:t>
      </w:r>
      <w:r>
        <w:rPr>
          <w:rFonts w:ascii="Arial" w:eastAsia="Arial" w:hAnsi="Arial" w:cs="Arial"/>
          <w:b/>
          <w:color w:val="000000"/>
        </w:rPr>
        <w:t>o legislation</w:t>
      </w:r>
      <w:r w:rsidR="007A0F6C">
        <w:rPr>
          <w:rFonts w:ascii="Arial" w:eastAsia="Arial" w:hAnsi="Arial" w:cs="Arial"/>
          <w:b/>
          <w:color w:val="000000"/>
        </w:rPr>
        <w:t>)</w:t>
      </w:r>
    </w:p>
    <w:p w14:paraId="67C90EFD" w14:textId="4F4E52C5" w:rsidR="00203859" w:rsidRDefault="004A6F9F">
      <w:pPr>
        <w:numPr>
          <w:ilvl w:val="0"/>
          <w:numId w:val="5"/>
        </w:numPr>
        <w:pBdr>
          <w:top w:val="nil"/>
          <w:left w:val="nil"/>
          <w:bottom w:val="nil"/>
          <w:right w:val="nil"/>
          <w:between w:val="nil"/>
        </w:pBdr>
        <w:spacing w:before="240" w:after="240" w:line="240" w:lineRule="auto"/>
        <w:ind w:left="426" w:hanging="426"/>
      </w:pPr>
      <w:r>
        <w:rPr>
          <w:rFonts w:ascii="Arial" w:eastAsia="Arial" w:hAnsi="Arial" w:cs="Arial"/>
          <w:color w:val="000000"/>
        </w:rPr>
        <w:t>As detailed in the options section, doing nothing</w:t>
      </w:r>
      <w:r w:rsidRPr="00B4047B">
        <w:rPr>
          <w:rFonts w:ascii="Arial" w:eastAsia="Arial" w:hAnsi="Arial" w:cs="Arial"/>
        </w:rPr>
        <w:t xml:space="preserve"> would </w:t>
      </w:r>
      <w:r>
        <w:rPr>
          <w:rFonts w:ascii="Arial" w:eastAsia="Arial" w:hAnsi="Arial" w:cs="Arial"/>
          <w:color w:val="000000"/>
        </w:rPr>
        <w:t xml:space="preserve">leave the UK </w:t>
      </w:r>
      <w:r w:rsidRPr="002C1985">
        <w:rPr>
          <w:rFonts w:ascii="Arial" w:eastAsia="Arial" w:hAnsi="Arial" w:cs="Arial"/>
          <w:color w:val="000000"/>
        </w:rPr>
        <w:t>with a largely unworkable chemicals management regulatory system and legal uncertainty. Industry</w:t>
      </w:r>
      <w:r>
        <w:rPr>
          <w:rFonts w:ascii="Arial" w:eastAsia="Arial" w:hAnsi="Arial" w:cs="Arial"/>
          <w:color w:val="000000"/>
        </w:rPr>
        <w:t xml:space="preserve"> would avoid future regulatory costs</w:t>
      </w:r>
      <w:r w:rsidR="002D03B6">
        <w:rPr>
          <w:rFonts w:ascii="Arial" w:eastAsia="Arial" w:hAnsi="Arial" w:cs="Arial"/>
          <w:color w:val="000000"/>
        </w:rPr>
        <w:t xml:space="preserve"> for UK market access</w:t>
      </w:r>
      <w:r w:rsidR="00105F8C">
        <w:rPr>
          <w:rFonts w:ascii="Arial" w:eastAsia="Arial" w:hAnsi="Arial" w:cs="Arial"/>
          <w:color w:val="000000"/>
        </w:rPr>
        <w:t>.</w:t>
      </w:r>
      <w:r>
        <w:rPr>
          <w:rFonts w:ascii="Arial" w:eastAsia="Arial" w:hAnsi="Arial" w:cs="Arial"/>
          <w:color w:val="000000"/>
        </w:rPr>
        <w:t xml:space="preserve"> </w:t>
      </w:r>
      <w:r w:rsidR="00105F8C">
        <w:rPr>
          <w:rFonts w:ascii="Arial" w:eastAsia="Arial" w:hAnsi="Arial" w:cs="Arial"/>
          <w:color w:val="000000"/>
        </w:rPr>
        <w:t xml:space="preserve">However the investment in supplying information for most chemicals on the market has already been made </w:t>
      </w:r>
      <w:r>
        <w:rPr>
          <w:rFonts w:ascii="Arial" w:eastAsia="Arial" w:hAnsi="Arial" w:cs="Arial"/>
          <w:color w:val="000000"/>
        </w:rPr>
        <w:t>as</w:t>
      </w:r>
      <w:r w:rsidR="002C1985">
        <w:rPr>
          <w:rFonts w:ascii="Arial" w:eastAsia="Arial" w:hAnsi="Arial" w:cs="Arial"/>
          <w:color w:val="000000"/>
        </w:rPr>
        <w:t xml:space="preserve"> </w:t>
      </w:r>
      <w:r>
        <w:rPr>
          <w:rFonts w:ascii="Arial" w:eastAsia="Arial" w:hAnsi="Arial" w:cs="Arial"/>
          <w:color w:val="000000"/>
        </w:rPr>
        <w:t xml:space="preserve">the final registration deadline for REACH of May 2018 </w:t>
      </w:r>
      <w:r w:rsidR="002D03B6">
        <w:rPr>
          <w:rFonts w:ascii="Arial" w:eastAsia="Arial" w:hAnsi="Arial" w:cs="Arial"/>
          <w:color w:val="000000"/>
        </w:rPr>
        <w:t>has</w:t>
      </w:r>
      <w:r>
        <w:rPr>
          <w:rFonts w:ascii="Arial" w:eastAsia="Arial" w:hAnsi="Arial" w:cs="Arial"/>
          <w:color w:val="000000"/>
        </w:rPr>
        <w:t xml:space="preserve"> passed</w:t>
      </w:r>
      <w:r w:rsidR="00543934">
        <w:rPr>
          <w:rFonts w:ascii="Arial" w:eastAsia="Arial" w:hAnsi="Arial" w:cs="Arial"/>
          <w:color w:val="000000"/>
        </w:rPr>
        <w:t>.</w:t>
      </w:r>
      <w:r w:rsidR="00105F8C">
        <w:rPr>
          <w:rFonts w:ascii="Arial" w:eastAsia="Arial" w:hAnsi="Arial" w:cs="Arial"/>
          <w:color w:val="000000"/>
        </w:rPr>
        <w:t xml:space="preserve"> </w:t>
      </w:r>
      <w:r>
        <w:rPr>
          <w:rFonts w:ascii="Arial" w:eastAsia="Arial" w:hAnsi="Arial" w:cs="Arial"/>
          <w:color w:val="000000"/>
        </w:rPr>
        <w:t xml:space="preserve">. </w:t>
      </w:r>
    </w:p>
    <w:p w14:paraId="62869286" w14:textId="77777777" w:rsidR="00253EA8" w:rsidRDefault="00253EA8">
      <w:pPr>
        <w:pBdr>
          <w:top w:val="nil"/>
          <w:left w:val="nil"/>
          <w:bottom w:val="nil"/>
          <w:right w:val="nil"/>
          <w:between w:val="nil"/>
        </w:pBdr>
        <w:spacing w:before="240" w:after="240" w:line="240" w:lineRule="auto"/>
        <w:ind w:left="426" w:hanging="426"/>
        <w:rPr>
          <w:rFonts w:ascii="Arial" w:eastAsia="Arial" w:hAnsi="Arial" w:cs="Arial"/>
          <w:b/>
          <w:color w:val="000000"/>
        </w:rPr>
      </w:pPr>
    </w:p>
    <w:p w14:paraId="2750DC73" w14:textId="77777777" w:rsidR="00203859" w:rsidRDefault="004A6F9F">
      <w:pPr>
        <w:pBdr>
          <w:top w:val="nil"/>
          <w:left w:val="nil"/>
          <w:bottom w:val="nil"/>
          <w:right w:val="nil"/>
          <w:between w:val="nil"/>
        </w:pBdr>
        <w:spacing w:before="240" w:after="240" w:line="240" w:lineRule="auto"/>
        <w:ind w:left="426" w:hanging="426"/>
        <w:rPr>
          <w:rFonts w:ascii="Arial" w:eastAsia="Arial" w:hAnsi="Arial" w:cs="Arial"/>
          <w:b/>
          <w:color w:val="000000"/>
        </w:rPr>
      </w:pPr>
      <w:r>
        <w:rPr>
          <w:rFonts w:ascii="Arial" w:eastAsia="Arial" w:hAnsi="Arial" w:cs="Arial"/>
          <w:b/>
          <w:color w:val="000000"/>
        </w:rPr>
        <w:t>Option 1: Building UK regulatory capability</w:t>
      </w:r>
    </w:p>
    <w:p w14:paraId="4A9A7237" w14:textId="43F58A64" w:rsidR="00253EA8" w:rsidRDefault="00253EA8" w:rsidP="00253EA8">
      <w:pPr>
        <w:pBdr>
          <w:top w:val="nil"/>
          <w:left w:val="nil"/>
          <w:bottom w:val="nil"/>
          <w:right w:val="nil"/>
          <w:between w:val="nil"/>
        </w:pBdr>
        <w:spacing w:before="240" w:after="240" w:line="240" w:lineRule="auto"/>
        <w:ind w:left="426" w:hanging="426"/>
        <w:rPr>
          <w:rFonts w:ascii="Arial" w:eastAsia="Arial" w:hAnsi="Arial" w:cs="Arial"/>
          <w:b/>
          <w:i/>
          <w:color w:val="000000"/>
        </w:rPr>
      </w:pPr>
      <w:r>
        <w:rPr>
          <w:rFonts w:ascii="Arial" w:eastAsia="Arial" w:hAnsi="Arial" w:cs="Arial"/>
          <w:b/>
          <w:i/>
          <w:color w:val="000000"/>
        </w:rPr>
        <w:t xml:space="preserve">(a) </w:t>
      </w:r>
      <w:r w:rsidR="00F02D59">
        <w:rPr>
          <w:rFonts w:ascii="Arial" w:eastAsia="Arial" w:hAnsi="Arial" w:cs="Arial"/>
          <w:b/>
          <w:i/>
          <w:color w:val="000000"/>
        </w:rPr>
        <w:t>Costs c</w:t>
      </w:r>
      <w:r>
        <w:rPr>
          <w:rFonts w:ascii="Arial" w:eastAsia="Arial" w:hAnsi="Arial" w:cs="Arial"/>
          <w:b/>
          <w:i/>
          <w:color w:val="000000"/>
        </w:rPr>
        <w:t xml:space="preserve">ompared to the </w:t>
      </w:r>
      <w:r w:rsidR="009F58DB">
        <w:rPr>
          <w:rFonts w:ascii="Arial" w:eastAsia="Arial" w:hAnsi="Arial" w:cs="Arial"/>
          <w:b/>
          <w:i/>
          <w:color w:val="000000"/>
        </w:rPr>
        <w:t xml:space="preserve">Option 0 </w:t>
      </w:r>
      <w:r>
        <w:rPr>
          <w:rFonts w:ascii="Arial" w:eastAsia="Arial" w:hAnsi="Arial" w:cs="Arial"/>
          <w:b/>
          <w:i/>
          <w:color w:val="000000"/>
        </w:rPr>
        <w:t>static acquis baseline:</w:t>
      </w:r>
    </w:p>
    <w:p w14:paraId="221C7CA7" w14:textId="77643205" w:rsidR="00253EA8" w:rsidRPr="002A390E" w:rsidRDefault="00253EA8" w:rsidP="00253EA8">
      <w:pPr>
        <w:numPr>
          <w:ilvl w:val="0"/>
          <w:numId w:val="5"/>
        </w:numPr>
        <w:pBdr>
          <w:top w:val="nil"/>
          <w:left w:val="nil"/>
          <w:bottom w:val="nil"/>
          <w:right w:val="nil"/>
          <w:between w:val="nil"/>
        </w:pBdr>
        <w:spacing w:before="240" w:after="240" w:line="240" w:lineRule="auto"/>
        <w:ind w:left="426" w:hanging="426"/>
      </w:pPr>
      <w:r>
        <w:rPr>
          <w:rFonts w:ascii="Arial" w:eastAsia="Arial" w:hAnsi="Arial" w:cs="Arial"/>
          <w:color w:val="000000"/>
        </w:rPr>
        <w:t xml:space="preserve">The additional costs referred to in this section are part of the contingency options. </w:t>
      </w:r>
      <w:r w:rsidR="00613036">
        <w:rPr>
          <w:rFonts w:ascii="Arial" w:eastAsia="Arial" w:hAnsi="Arial" w:cs="Arial"/>
          <w:color w:val="000000"/>
        </w:rPr>
        <w:t xml:space="preserve">The Political Declaration on the future </w:t>
      </w:r>
      <w:r w:rsidR="00613036" w:rsidRPr="002A390E">
        <w:rPr>
          <w:rFonts w:ascii="Arial" w:eastAsia="Arial" w:hAnsi="Arial" w:cs="Arial"/>
        </w:rPr>
        <w:t xml:space="preserve">relationship between the UK and the EU makes proposals for a UK-EU free trade area for goods, which </w:t>
      </w:r>
      <w:r w:rsidR="00C00BE8" w:rsidRPr="002A390E">
        <w:rPr>
          <w:rFonts w:ascii="Arial" w:eastAsia="Arial" w:hAnsi="Arial" w:cs="Arial"/>
        </w:rPr>
        <w:t xml:space="preserve">ensures a trading relationship that is as close as possible, </w:t>
      </w:r>
      <w:r w:rsidR="00613036" w:rsidRPr="002A390E">
        <w:rPr>
          <w:rFonts w:ascii="Arial" w:eastAsia="Arial" w:hAnsi="Arial" w:cs="Arial"/>
        </w:rPr>
        <w:t>combin</w:t>
      </w:r>
      <w:r w:rsidR="00C00BE8" w:rsidRPr="002A390E">
        <w:rPr>
          <w:rFonts w:ascii="Arial" w:eastAsia="Arial" w:hAnsi="Arial" w:cs="Arial"/>
        </w:rPr>
        <w:t>ing</w:t>
      </w:r>
      <w:r w:rsidR="00613036" w:rsidRPr="002A390E">
        <w:rPr>
          <w:rFonts w:ascii="Arial" w:eastAsia="Arial" w:hAnsi="Arial" w:cs="Arial"/>
        </w:rPr>
        <w:t xml:space="preserve"> deep regulatory and customs cooperation. </w:t>
      </w:r>
      <w:r w:rsidR="00613036" w:rsidRPr="002A390E">
        <w:rPr>
          <w:rFonts w:ascii="Arial" w:eastAsia="Arial" w:hAnsi="Arial" w:cs="Arial"/>
          <w:highlight w:val="white"/>
        </w:rPr>
        <w:t>The UK and the EU will explore the possibility of cooperation between UK authorities and EU agencies, such as the European Chemicals Agency. (ECHA)</w:t>
      </w:r>
      <w:r w:rsidR="00613036" w:rsidRPr="002A390E">
        <w:rPr>
          <w:rFonts w:ascii="Arial" w:eastAsia="Arial" w:hAnsi="Arial" w:cs="Arial"/>
        </w:rPr>
        <w:t xml:space="preserve">  </w:t>
      </w:r>
      <w:r w:rsidRPr="002A390E">
        <w:rPr>
          <w:rFonts w:ascii="Arial" w:eastAsia="Arial" w:hAnsi="Arial" w:cs="Arial"/>
          <w:highlight w:val="white"/>
        </w:rPr>
        <w:t>).</w:t>
      </w:r>
      <w:r w:rsidRPr="002A390E">
        <w:rPr>
          <w:rFonts w:ascii="Arial" w:eastAsia="Arial" w:hAnsi="Arial" w:cs="Arial"/>
        </w:rPr>
        <w:t xml:space="preserve"> </w:t>
      </w:r>
      <w:r w:rsidR="00613036" w:rsidRPr="002A390E">
        <w:rPr>
          <w:rFonts w:ascii="Arial" w:eastAsia="Arial" w:hAnsi="Arial" w:cs="Arial"/>
        </w:rPr>
        <w:t>Future cooperation may</w:t>
      </w:r>
      <w:r w:rsidRPr="002A390E">
        <w:rPr>
          <w:rFonts w:ascii="Arial" w:eastAsia="Arial" w:hAnsi="Arial" w:cs="Arial"/>
        </w:rPr>
        <w:t xml:space="preserve"> minimise costs for businesses. </w:t>
      </w:r>
    </w:p>
    <w:p w14:paraId="39E6CFE3" w14:textId="16C09149" w:rsidR="00253EA8" w:rsidRDefault="00253EA8" w:rsidP="00253EA8">
      <w:pPr>
        <w:numPr>
          <w:ilvl w:val="0"/>
          <w:numId w:val="5"/>
        </w:numPr>
        <w:pBdr>
          <w:top w:val="nil"/>
          <w:left w:val="nil"/>
          <w:bottom w:val="nil"/>
          <w:right w:val="nil"/>
          <w:between w:val="nil"/>
        </w:pBdr>
        <w:spacing w:before="240" w:after="240" w:line="240" w:lineRule="auto"/>
        <w:ind w:left="426" w:hanging="426"/>
      </w:pPr>
      <w:r w:rsidRPr="002A390E">
        <w:rPr>
          <w:rFonts w:ascii="Arial" w:eastAsia="Arial" w:hAnsi="Arial" w:cs="Arial"/>
        </w:rPr>
        <w:t xml:space="preserve">As part of a contingency measure, under this SI </w:t>
      </w:r>
      <w:r>
        <w:rPr>
          <w:rFonts w:ascii="Arial" w:eastAsia="Arial" w:hAnsi="Arial" w:cs="Arial"/>
          <w:color w:val="000000"/>
        </w:rPr>
        <w:t>existing registrations</w:t>
      </w:r>
      <w:r>
        <w:rPr>
          <w:rFonts w:ascii="Arial" w:eastAsia="Arial" w:hAnsi="Arial" w:cs="Arial"/>
          <w:color w:val="000000"/>
          <w:vertAlign w:val="superscript"/>
        </w:rPr>
        <w:footnoteReference w:id="11"/>
      </w:r>
      <w:r>
        <w:rPr>
          <w:rFonts w:ascii="Arial" w:eastAsia="Arial" w:hAnsi="Arial" w:cs="Arial"/>
          <w:color w:val="000000"/>
        </w:rPr>
        <w:t xml:space="preserve"> held by UK companies (there are over 12,000 as of October 2018) </w:t>
      </w:r>
      <w:r w:rsidR="00E2724D">
        <w:rPr>
          <w:rFonts w:ascii="Arial" w:eastAsia="Arial" w:hAnsi="Arial" w:cs="Arial"/>
        </w:rPr>
        <w:t>would</w:t>
      </w:r>
      <w:r>
        <w:rPr>
          <w:rFonts w:ascii="Arial" w:eastAsia="Arial" w:hAnsi="Arial" w:cs="Arial"/>
          <w:color w:val="000000"/>
        </w:rPr>
        <w:t xml:space="preserve"> continue to be valid within the UK.  These existing registrations held by UK companies would be ‘grandfathered’ into the UK system, there would be no direct costs from a need to re-register and pay fees within the UK. No additional steps are needed to transfer authorisation decisions held by UK companies as they would have the status of ‘retained EU law’ under the EU (Withdrawal) Act. There are currently three UK held authorisations decisions.</w:t>
      </w:r>
    </w:p>
    <w:p w14:paraId="66C1FA4D" w14:textId="654CE32D" w:rsidR="00253EA8" w:rsidRDefault="00253EA8" w:rsidP="00253EA8">
      <w:pPr>
        <w:numPr>
          <w:ilvl w:val="0"/>
          <w:numId w:val="5"/>
        </w:numPr>
        <w:pBdr>
          <w:top w:val="nil"/>
          <w:left w:val="nil"/>
          <w:bottom w:val="nil"/>
          <w:right w:val="nil"/>
          <w:between w:val="nil"/>
        </w:pBdr>
        <w:spacing w:before="240" w:after="240" w:line="240" w:lineRule="auto"/>
        <w:ind w:left="426" w:hanging="426"/>
      </w:pPr>
      <w:r>
        <w:rPr>
          <w:rFonts w:ascii="Arial" w:eastAsia="Arial" w:hAnsi="Arial" w:cs="Arial"/>
          <w:color w:val="000000"/>
        </w:rPr>
        <w:t>However, there would be requirements on existing UK registration and authorisation holders to re-su</w:t>
      </w:r>
      <w:r w:rsidRPr="004A6F9F">
        <w:rPr>
          <w:rFonts w:ascii="Arial" w:eastAsia="Arial" w:hAnsi="Arial" w:cs="Arial"/>
        </w:rPr>
        <w:t xml:space="preserve">bmit </w:t>
      </w:r>
      <w:r>
        <w:rPr>
          <w:rFonts w:ascii="Arial" w:eastAsia="Arial" w:hAnsi="Arial" w:cs="Arial"/>
          <w:color w:val="000000"/>
        </w:rPr>
        <w:t>the supporting data in their dossiers to the UK agency. The REACH procedures of industry joint registrations and data sharing mean UK companies may not be in a position to re-send all of the data to the UK regulator immediately</w:t>
      </w:r>
      <w:r w:rsidR="00F02D59">
        <w:rPr>
          <w:rFonts w:ascii="Arial" w:eastAsia="Arial" w:hAnsi="Arial" w:cs="Arial"/>
          <w:color w:val="000000"/>
        </w:rPr>
        <w:t>. T</w:t>
      </w:r>
      <w:r>
        <w:rPr>
          <w:rFonts w:ascii="Arial" w:eastAsia="Arial" w:hAnsi="Arial" w:cs="Arial"/>
          <w:color w:val="000000"/>
        </w:rPr>
        <w:t>his SI provides for a partial transition where data items within the company’s sole ownership</w:t>
      </w:r>
      <w:r w:rsidR="00F02D59">
        <w:rPr>
          <w:rFonts w:ascii="Arial" w:eastAsia="Arial" w:hAnsi="Arial" w:cs="Arial"/>
          <w:color w:val="000000"/>
        </w:rPr>
        <w:t xml:space="preserve"> (</w:t>
      </w:r>
      <w:r>
        <w:rPr>
          <w:rFonts w:ascii="Arial" w:eastAsia="Arial" w:hAnsi="Arial" w:cs="Arial"/>
          <w:color w:val="000000"/>
        </w:rPr>
        <w:t>including evidence of the EU registration</w:t>
      </w:r>
      <w:r w:rsidR="00F02D59">
        <w:rPr>
          <w:rFonts w:ascii="Arial" w:eastAsia="Arial" w:hAnsi="Arial" w:cs="Arial"/>
          <w:color w:val="000000"/>
        </w:rPr>
        <w:t>)</w:t>
      </w:r>
      <w:r>
        <w:rPr>
          <w:rFonts w:ascii="Arial" w:eastAsia="Arial" w:hAnsi="Arial" w:cs="Arial"/>
          <w:color w:val="000000"/>
        </w:rPr>
        <w:t xml:space="preserve"> are needed within 60 days, and those that may be part of a joint submission are needed within two years. The Secretary of State would have the power to alter the second submission date if the evidence justifies such a change.  </w:t>
      </w:r>
      <w:r w:rsidR="00F02D59">
        <w:rPr>
          <w:rFonts w:ascii="Arial" w:eastAsia="Arial" w:hAnsi="Arial" w:cs="Arial"/>
          <w:color w:val="000000"/>
        </w:rPr>
        <w:t xml:space="preserve">UK businesses </w:t>
      </w:r>
      <w:r>
        <w:rPr>
          <w:rFonts w:ascii="Arial" w:eastAsia="Arial" w:hAnsi="Arial" w:cs="Arial"/>
          <w:color w:val="000000"/>
        </w:rPr>
        <w:t>may incur additional costs through this, depending on their particular circumstance of their data ownership/data sharing agreements.</w:t>
      </w:r>
    </w:p>
    <w:p w14:paraId="3AAC36B6" w14:textId="2769B493" w:rsidR="00253EA8" w:rsidRDefault="00253EA8" w:rsidP="00253EA8">
      <w:pPr>
        <w:numPr>
          <w:ilvl w:val="0"/>
          <w:numId w:val="5"/>
        </w:numPr>
        <w:pBdr>
          <w:top w:val="nil"/>
          <w:left w:val="nil"/>
          <w:bottom w:val="nil"/>
          <w:right w:val="nil"/>
          <w:between w:val="nil"/>
        </w:pBdr>
        <w:spacing w:before="240" w:after="240" w:line="240" w:lineRule="auto"/>
        <w:ind w:left="426" w:hanging="426"/>
      </w:pPr>
      <w:r>
        <w:rPr>
          <w:rFonts w:ascii="Arial" w:eastAsia="Arial" w:hAnsi="Arial" w:cs="Arial"/>
          <w:color w:val="000000"/>
        </w:rPr>
        <w:t>UK firms wishing to access the UK market for the first time after exit would face costs from new registrations and authorisations to a UK authority, including fees and administration costs. The UK authority would take the same approach to fees and charges as ECHA, so we assume these costs would be the same as they would have incurred under the baseline. There would be familiarisation costs for businesses using the new system, but these are expected to be small as the UK REACH IT system is being designed to replicate the EU REACH IT system as closely as possible, and detailed user testing is being undertaken.  They would face additional costs to access the EEA market, but these are out of scope of this SI.</w:t>
      </w:r>
    </w:p>
    <w:p w14:paraId="7BBBBCAE" w14:textId="1D413163" w:rsidR="00253EA8" w:rsidRDefault="00253EA8" w:rsidP="00253EA8">
      <w:pPr>
        <w:numPr>
          <w:ilvl w:val="0"/>
          <w:numId w:val="5"/>
        </w:numPr>
        <w:pBdr>
          <w:top w:val="nil"/>
          <w:left w:val="nil"/>
          <w:bottom w:val="nil"/>
          <w:right w:val="nil"/>
          <w:between w:val="nil"/>
        </w:pBdr>
        <w:spacing w:before="240" w:after="240" w:line="240" w:lineRule="auto"/>
        <w:ind w:left="426" w:hanging="426"/>
      </w:pPr>
      <w:r>
        <w:rPr>
          <w:rFonts w:ascii="Arial" w:eastAsia="Arial" w:hAnsi="Arial" w:cs="Arial"/>
          <w:color w:val="000000"/>
        </w:rPr>
        <w:t xml:space="preserve">Firms would face the same data requirements as under the static acquis baseline, but would now submit their dossiers to the UK regulatory authority. There may be some additional costs to UK firms to access data previously submitted to ECHA, including labour and time costs, if existing data is not shared with the UK and firms are outside ECHA’s dispute mechanism which gives ECHA legal powers to force data sharing. If data cannot be accessed firms would need to submit new testing proposals and conduct new data tests, and may incur substantial costs for doing so. Section K discusses this risk. </w:t>
      </w:r>
    </w:p>
    <w:p w14:paraId="6C4253DF" w14:textId="69106F77" w:rsidR="00253EA8" w:rsidRDefault="00253EA8" w:rsidP="00253EA8">
      <w:pPr>
        <w:numPr>
          <w:ilvl w:val="0"/>
          <w:numId w:val="5"/>
        </w:numPr>
        <w:pBdr>
          <w:top w:val="nil"/>
          <w:left w:val="nil"/>
          <w:bottom w:val="nil"/>
          <w:right w:val="nil"/>
          <w:between w:val="nil"/>
        </w:pBdr>
        <w:spacing w:after="0" w:line="240" w:lineRule="auto"/>
        <w:ind w:left="426" w:hanging="426"/>
      </w:pPr>
      <w:r>
        <w:rPr>
          <w:rFonts w:ascii="Arial" w:eastAsia="Arial" w:hAnsi="Arial" w:cs="Arial"/>
          <w:color w:val="000000"/>
        </w:rPr>
        <w:lastRenderedPageBreak/>
        <w:t>If EU REACH rules were to be mirrored exactly in the UK, the status of companies currently buying chemicals from the EEA under their REACH registrations would change from that of a downstream user to that of an importer as they would be receiving chemicals from outside of the UK</w:t>
      </w:r>
      <w:r w:rsidR="00F02D59">
        <w:rPr>
          <w:rStyle w:val="FootnoteReference"/>
          <w:rFonts w:ascii="Arial" w:eastAsia="Arial" w:hAnsi="Arial" w:cs="Arial"/>
          <w:color w:val="000000"/>
        </w:rPr>
        <w:footnoteReference w:id="12"/>
      </w:r>
      <w:r>
        <w:rPr>
          <w:rFonts w:ascii="Arial" w:eastAsia="Arial" w:hAnsi="Arial" w:cs="Arial"/>
          <w:color w:val="000000"/>
        </w:rPr>
        <w:t>. They would need to register their imported chemicals with the UK authority, they would face additional fees and administrative burden compared to the baseline unless the EEA supplier chooses to register the supplied chemicals through a UK based Only Representative. The SI provides for an interim simplified notification and recognition system for existing UK companies receiving chemicals from the EEA as long as they meet certain conditions, to ensure continuity for businesses.  The conditions are intended to ensure that these companies and their customers know how to use chemicals safely to avoid harm to human health or the environment.  These conditions would impose a small administrative cost compared to the baseline but it would be considerably less than the costs that would result from full registration obligations. These costs are considered a cost of EU exit itself (in changing the scope of export/import) and so are out of scope of the SI.</w:t>
      </w:r>
    </w:p>
    <w:p w14:paraId="47988B2C" w14:textId="77777777" w:rsidR="00253EA8" w:rsidRDefault="00253EA8" w:rsidP="00253EA8">
      <w:pPr>
        <w:pBdr>
          <w:top w:val="nil"/>
          <w:left w:val="nil"/>
          <w:bottom w:val="nil"/>
          <w:right w:val="nil"/>
          <w:between w:val="nil"/>
        </w:pBdr>
        <w:spacing w:after="0" w:line="240" w:lineRule="auto"/>
        <w:ind w:left="426"/>
        <w:rPr>
          <w:rFonts w:ascii="Arial" w:eastAsia="Arial" w:hAnsi="Arial" w:cs="Arial"/>
          <w:color w:val="000000"/>
        </w:rPr>
      </w:pPr>
    </w:p>
    <w:p w14:paraId="421FE5E2" w14:textId="77777777" w:rsidR="00253EA8" w:rsidRPr="00975534" w:rsidRDefault="00253EA8" w:rsidP="00253EA8">
      <w:pPr>
        <w:numPr>
          <w:ilvl w:val="0"/>
          <w:numId w:val="5"/>
        </w:numPr>
        <w:pBdr>
          <w:top w:val="nil"/>
          <w:left w:val="nil"/>
          <w:bottom w:val="nil"/>
          <w:right w:val="nil"/>
          <w:between w:val="nil"/>
        </w:pBdr>
        <w:spacing w:before="240" w:after="240" w:line="240" w:lineRule="auto"/>
        <w:ind w:left="426" w:hanging="426"/>
      </w:pPr>
      <w:r>
        <w:rPr>
          <w:rFonts w:ascii="Arial" w:eastAsia="Arial" w:hAnsi="Arial" w:cs="Arial"/>
          <w:color w:val="000000"/>
        </w:rPr>
        <w:t>UK-based ORs would be affected as they would lose the ability to serve third country exporters accessing the EEA market, but this impact is considered out of scope of this SI. However, these firms may adapt their business services and instead offer OR services for non-UK firms wanting to access the UK market, including EEA-based companies for the first time, which would be a benefit in scope of this SI. It is unknown whether the net impact would be a cost or benefit to these UK businesses.</w:t>
      </w:r>
    </w:p>
    <w:p w14:paraId="27319DF4" w14:textId="059A3D69" w:rsidR="00975534" w:rsidRDefault="00975534" w:rsidP="00975534">
      <w:pPr>
        <w:pBdr>
          <w:top w:val="nil"/>
          <w:left w:val="nil"/>
          <w:bottom w:val="nil"/>
          <w:right w:val="nil"/>
          <w:between w:val="nil"/>
        </w:pBdr>
        <w:spacing w:before="240" w:after="240" w:line="240" w:lineRule="auto"/>
      </w:pPr>
    </w:p>
    <w:p w14:paraId="5AD056AE" w14:textId="160AC526" w:rsidR="00975534" w:rsidRPr="00975534" w:rsidRDefault="00975534" w:rsidP="00975534">
      <w:pPr>
        <w:pBdr>
          <w:top w:val="nil"/>
          <w:left w:val="nil"/>
          <w:bottom w:val="nil"/>
          <w:right w:val="nil"/>
          <w:between w:val="nil"/>
        </w:pBdr>
        <w:spacing w:before="240" w:after="240" w:line="240" w:lineRule="auto"/>
      </w:pPr>
      <w:r w:rsidRPr="00975534">
        <w:rPr>
          <w:rFonts w:ascii="Arial" w:eastAsia="Arial" w:hAnsi="Arial" w:cs="Arial"/>
          <w:b/>
          <w:i/>
          <w:color w:val="000000"/>
        </w:rPr>
        <w:t>(b) Benefits compared to</w:t>
      </w:r>
      <w:r>
        <w:t xml:space="preserve"> </w:t>
      </w:r>
      <w:r>
        <w:rPr>
          <w:rFonts w:ascii="Arial" w:eastAsia="Arial" w:hAnsi="Arial" w:cs="Arial"/>
          <w:b/>
          <w:i/>
          <w:color w:val="000000"/>
        </w:rPr>
        <w:t>the Option 0 static acquis baseline:</w:t>
      </w:r>
    </w:p>
    <w:p w14:paraId="05B25249" w14:textId="1EAF1BA9" w:rsidR="00975534" w:rsidRPr="00975534" w:rsidRDefault="00975534" w:rsidP="00253EA8">
      <w:pPr>
        <w:numPr>
          <w:ilvl w:val="0"/>
          <w:numId w:val="5"/>
        </w:numPr>
        <w:pBdr>
          <w:top w:val="nil"/>
          <w:left w:val="nil"/>
          <w:bottom w:val="nil"/>
          <w:right w:val="nil"/>
          <w:between w:val="nil"/>
        </w:pBdr>
        <w:spacing w:before="240" w:after="240" w:line="240" w:lineRule="auto"/>
        <w:ind w:left="426" w:hanging="426"/>
        <w:rPr>
          <w:rFonts w:ascii="Arial" w:eastAsia="Arial" w:hAnsi="Arial" w:cs="Arial"/>
          <w:color w:val="000000"/>
        </w:rPr>
      </w:pPr>
      <w:r w:rsidRPr="00975534">
        <w:rPr>
          <w:rFonts w:ascii="Arial" w:eastAsia="Arial" w:hAnsi="Arial" w:cs="Arial"/>
          <w:color w:val="000000"/>
        </w:rPr>
        <w:t>No change compared to the static acquis. This option would maintain legal certainty for businesses, with continuity that this would be based on the existing EU REACH system with continued validity of existing UK company registrations through grandfathering.</w:t>
      </w:r>
    </w:p>
    <w:p w14:paraId="733D7EC8" w14:textId="77777777" w:rsidR="00253EA8" w:rsidRDefault="00253EA8">
      <w:pPr>
        <w:pBdr>
          <w:top w:val="nil"/>
          <w:left w:val="nil"/>
          <w:bottom w:val="nil"/>
          <w:right w:val="nil"/>
          <w:between w:val="nil"/>
        </w:pBdr>
        <w:spacing w:before="240" w:after="240" w:line="240" w:lineRule="auto"/>
        <w:ind w:left="426" w:hanging="426"/>
        <w:rPr>
          <w:rFonts w:ascii="Arial" w:eastAsia="Arial" w:hAnsi="Arial" w:cs="Arial"/>
          <w:b/>
          <w:i/>
          <w:color w:val="000000"/>
        </w:rPr>
      </w:pPr>
    </w:p>
    <w:p w14:paraId="3C7CAB90" w14:textId="36911387" w:rsidR="009F58DB" w:rsidRDefault="009F58DB" w:rsidP="009F58DB">
      <w:pPr>
        <w:pBdr>
          <w:top w:val="nil"/>
          <w:left w:val="nil"/>
          <w:bottom w:val="nil"/>
          <w:right w:val="nil"/>
          <w:between w:val="nil"/>
        </w:pBdr>
        <w:tabs>
          <w:tab w:val="left" w:pos="7935"/>
        </w:tabs>
        <w:spacing w:before="240" w:after="240" w:line="240" w:lineRule="auto"/>
        <w:ind w:left="426" w:hanging="426"/>
        <w:rPr>
          <w:rFonts w:ascii="Arial" w:eastAsia="Arial" w:hAnsi="Arial" w:cs="Arial"/>
          <w:b/>
          <w:i/>
          <w:color w:val="000000"/>
        </w:rPr>
      </w:pPr>
      <w:r w:rsidRPr="009F58DB">
        <w:rPr>
          <w:rFonts w:ascii="Arial" w:eastAsia="Arial" w:hAnsi="Arial" w:cs="Arial"/>
          <w:b/>
          <w:i/>
          <w:color w:val="000000"/>
        </w:rPr>
        <w:t>(c)</w:t>
      </w:r>
      <w:r>
        <w:rPr>
          <w:rFonts w:ascii="Arial" w:eastAsia="Arial" w:hAnsi="Arial" w:cs="Arial"/>
          <w:b/>
          <w:i/>
          <w:color w:val="000000"/>
        </w:rPr>
        <w:t xml:space="preserve"> Costs </w:t>
      </w:r>
      <w:r w:rsidRPr="009F58DB">
        <w:rPr>
          <w:rFonts w:ascii="Arial" w:eastAsia="Arial" w:hAnsi="Arial" w:cs="Arial"/>
          <w:b/>
          <w:i/>
          <w:color w:val="000000"/>
        </w:rPr>
        <w:t xml:space="preserve">compared to Option 0.1 do nothing (no legislation) </w:t>
      </w:r>
      <w:r>
        <w:rPr>
          <w:rFonts w:ascii="Arial" w:eastAsia="Arial" w:hAnsi="Arial" w:cs="Arial"/>
          <w:b/>
          <w:i/>
          <w:color w:val="000000"/>
        </w:rPr>
        <w:t>baseline</w:t>
      </w:r>
      <w:r>
        <w:rPr>
          <w:rFonts w:ascii="Arial" w:eastAsia="Arial" w:hAnsi="Arial" w:cs="Arial"/>
          <w:b/>
          <w:i/>
          <w:color w:val="000000"/>
        </w:rPr>
        <w:tab/>
      </w:r>
    </w:p>
    <w:p w14:paraId="2DD5C6F2" w14:textId="2502C221" w:rsidR="009F58DB" w:rsidRDefault="009F58DB" w:rsidP="009F58DB">
      <w:pPr>
        <w:numPr>
          <w:ilvl w:val="0"/>
          <w:numId w:val="5"/>
        </w:numPr>
        <w:pBdr>
          <w:top w:val="nil"/>
          <w:left w:val="nil"/>
          <w:bottom w:val="nil"/>
          <w:right w:val="nil"/>
          <w:between w:val="nil"/>
        </w:pBdr>
        <w:spacing w:before="240" w:after="240" w:line="240" w:lineRule="auto"/>
        <w:ind w:left="426" w:hanging="426"/>
        <w:rPr>
          <w:rFonts w:ascii="Arial" w:eastAsia="Arial" w:hAnsi="Arial" w:cs="Arial"/>
          <w:color w:val="000000"/>
        </w:rPr>
      </w:pPr>
      <w:r w:rsidRPr="009F58DB">
        <w:rPr>
          <w:rFonts w:ascii="Arial" w:eastAsia="Arial" w:hAnsi="Arial" w:cs="Arial"/>
          <w:color w:val="000000"/>
        </w:rPr>
        <w:t>Increased costs</w:t>
      </w:r>
      <w:r>
        <w:rPr>
          <w:rFonts w:ascii="Arial" w:eastAsia="Arial" w:hAnsi="Arial" w:cs="Arial"/>
          <w:color w:val="000000"/>
        </w:rPr>
        <w:t xml:space="preserve"> from complying with the regulation,</w:t>
      </w:r>
      <w:r w:rsidRPr="009F58DB">
        <w:rPr>
          <w:rFonts w:ascii="Arial" w:eastAsia="Arial" w:hAnsi="Arial" w:cs="Arial"/>
          <w:color w:val="000000"/>
        </w:rPr>
        <w:t xml:space="preserve"> compared to the ‘do nothing’ option where businesses are under no obligations to understand the hazards and potential risks of the chemicals they produce, place on the market and use, and to identify and apply appropriate risk management measures</w:t>
      </w:r>
      <w:r>
        <w:rPr>
          <w:rFonts w:ascii="Arial" w:eastAsia="Arial" w:hAnsi="Arial" w:cs="Arial"/>
          <w:color w:val="000000"/>
        </w:rPr>
        <w:t>.</w:t>
      </w:r>
    </w:p>
    <w:p w14:paraId="101F1424" w14:textId="77777777" w:rsidR="009F58DB" w:rsidRDefault="009F58DB" w:rsidP="009F58DB">
      <w:pPr>
        <w:pBdr>
          <w:top w:val="nil"/>
          <w:left w:val="nil"/>
          <w:bottom w:val="nil"/>
          <w:right w:val="nil"/>
          <w:between w:val="nil"/>
        </w:pBdr>
        <w:spacing w:before="240" w:after="240" w:line="240" w:lineRule="auto"/>
        <w:rPr>
          <w:rFonts w:ascii="Arial" w:eastAsia="Arial" w:hAnsi="Arial" w:cs="Arial"/>
          <w:b/>
          <w:i/>
          <w:color w:val="000000"/>
        </w:rPr>
      </w:pPr>
    </w:p>
    <w:p w14:paraId="51190346" w14:textId="76A70013" w:rsidR="009F58DB" w:rsidRPr="009F58DB" w:rsidRDefault="009F58DB" w:rsidP="009F58DB">
      <w:pPr>
        <w:pBdr>
          <w:top w:val="nil"/>
          <w:left w:val="nil"/>
          <w:bottom w:val="nil"/>
          <w:right w:val="nil"/>
          <w:between w:val="nil"/>
        </w:pBdr>
        <w:spacing w:before="240" w:after="240" w:line="240" w:lineRule="auto"/>
        <w:rPr>
          <w:rFonts w:ascii="Arial" w:eastAsia="Arial" w:hAnsi="Arial" w:cs="Arial"/>
          <w:b/>
          <w:i/>
          <w:color w:val="000000"/>
        </w:rPr>
      </w:pPr>
      <w:r>
        <w:rPr>
          <w:rFonts w:ascii="Arial" w:eastAsia="Arial" w:hAnsi="Arial" w:cs="Arial"/>
          <w:b/>
          <w:i/>
          <w:color w:val="000000"/>
        </w:rPr>
        <w:t xml:space="preserve">(d) </w:t>
      </w:r>
      <w:r w:rsidRPr="009F58DB">
        <w:rPr>
          <w:rFonts w:ascii="Arial" w:eastAsia="Arial" w:hAnsi="Arial" w:cs="Arial"/>
          <w:b/>
          <w:i/>
          <w:color w:val="000000"/>
        </w:rPr>
        <w:t>Benefits compared to Option 0.1 do nothing (no legislation) baseline:</w:t>
      </w:r>
    </w:p>
    <w:p w14:paraId="1D3928B1" w14:textId="7FBAD787" w:rsidR="00203859" w:rsidRDefault="004A6F9F">
      <w:pPr>
        <w:numPr>
          <w:ilvl w:val="0"/>
          <w:numId w:val="5"/>
        </w:numPr>
        <w:pBdr>
          <w:top w:val="nil"/>
          <w:left w:val="nil"/>
          <w:bottom w:val="nil"/>
          <w:right w:val="nil"/>
          <w:between w:val="nil"/>
        </w:pBdr>
        <w:spacing w:before="240" w:after="240" w:line="240" w:lineRule="auto"/>
        <w:ind w:left="426" w:hanging="426"/>
      </w:pPr>
      <w:r>
        <w:rPr>
          <w:rFonts w:ascii="Arial" w:eastAsia="Arial" w:hAnsi="Arial" w:cs="Arial"/>
          <w:color w:val="000000"/>
        </w:rPr>
        <w:lastRenderedPageBreak/>
        <w:t>Businesses would benefit from having legal certainty of regulatory controls on chemicals</w:t>
      </w:r>
      <w:r w:rsidR="002D03B6">
        <w:rPr>
          <w:rFonts w:ascii="Arial" w:eastAsia="Arial" w:hAnsi="Arial" w:cs="Arial"/>
          <w:color w:val="000000"/>
        </w:rPr>
        <w:t xml:space="preserve">, and from the continuity </w:t>
      </w:r>
      <w:r w:rsidR="00C25E2F">
        <w:rPr>
          <w:rFonts w:ascii="Arial" w:eastAsia="Arial" w:hAnsi="Arial" w:cs="Arial"/>
          <w:color w:val="000000"/>
        </w:rPr>
        <w:t xml:space="preserve">of regulatory approach </w:t>
      </w:r>
      <w:r w:rsidR="002D03B6">
        <w:rPr>
          <w:rFonts w:ascii="Arial" w:eastAsia="Arial" w:hAnsi="Arial" w:cs="Arial"/>
          <w:color w:val="000000"/>
        </w:rPr>
        <w:t xml:space="preserve">that this would be based on the existing EU REACH system </w:t>
      </w:r>
      <w:r w:rsidR="00C25E2F">
        <w:rPr>
          <w:rFonts w:ascii="Arial" w:eastAsia="Arial" w:hAnsi="Arial" w:cs="Arial"/>
          <w:color w:val="000000"/>
        </w:rPr>
        <w:t xml:space="preserve">where industry is familiar with how to comply as well as </w:t>
      </w:r>
      <w:r w:rsidR="002D03B6">
        <w:rPr>
          <w:rFonts w:ascii="Arial" w:eastAsia="Arial" w:hAnsi="Arial" w:cs="Arial"/>
          <w:color w:val="000000"/>
        </w:rPr>
        <w:t>with continued validity of existing UK company registrations through grandfathering</w:t>
      </w:r>
      <w:r>
        <w:rPr>
          <w:rFonts w:ascii="Arial" w:eastAsia="Arial" w:hAnsi="Arial" w:cs="Arial"/>
          <w:color w:val="000000"/>
        </w:rPr>
        <w:t>. In addition</w:t>
      </w:r>
      <w:r w:rsidR="002D03B6">
        <w:rPr>
          <w:rFonts w:ascii="Arial" w:eastAsia="Arial" w:hAnsi="Arial" w:cs="Arial"/>
          <w:color w:val="000000"/>
        </w:rPr>
        <w:t>, implementing this option would avoid</w:t>
      </w:r>
      <w:r>
        <w:rPr>
          <w:rFonts w:ascii="Arial" w:eastAsia="Arial" w:hAnsi="Arial" w:cs="Arial"/>
          <w:color w:val="000000"/>
        </w:rPr>
        <w:t xml:space="preserve"> a largely unworkable chemicals management system </w:t>
      </w:r>
      <w:r w:rsidR="002D03B6">
        <w:rPr>
          <w:rFonts w:ascii="Arial" w:eastAsia="Arial" w:hAnsi="Arial" w:cs="Arial"/>
          <w:color w:val="000000"/>
        </w:rPr>
        <w:t xml:space="preserve">which </w:t>
      </w:r>
      <w:r>
        <w:rPr>
          <w:rFonts w:ascii="Arial" w:eastAsia="Arial" w:hAnsi="Arial" w:cs="Arial"/>
          <w:color w:val="000000"/>
        </w:rPr>
        <w:t>would leave industry facing greater risks to human health and the environment and increased costs, e.g. from legal liability.</w:t>
      </w:r>
    </w:p>
    <w:p w14:paraId="584112BA" w14:textId="77777777" w:rsidR="00203859" w:rsidRDefault="00203859">
      <w:pPr>
        <w:pBdr>
          <w:top w:val="nil"/>
          <w:left w:val="nil"/>
          <w:bottom w:val="nil"/>
          <w:right w:val="nil"/>
          <w:between w:val="nil"/>
        </w:pBdr>
        <w:spacing w:before="240" w:after="240" w:line="240" w:lineRule="auto"/>
        <w:rPr>
          <w:rFonts w:ascii="Arial" w:eastAsia="Arial" w:hAnsi="Arial" w:cs="Arial"/>
          <w:b/>
          <w:color w:val="000000"/>
        </w:rPr>
      </w:pPr>
    </w:p>
    <w:p w14:paraId="53785B9C" w14:textId="77777777" w:rsidR="00203859" w:rsidRDefault="004A6F9F">
      <w:pPr>
        <w:numPr>
          <w:ilvl w:val="0"/>
          <w:numId w:val="3"/>
        </w:numPr>
        <w:pBdr>
          <w:top w:val="nil"/>
          <w:left w:val="nil"/>
          <w:bottom w:val="nil"/>
          <w:right w:val="nil"/>
          <w:between w:val="nil"/>
        </w:pBdr>
        <w:spacing w:before="240" w:after="240" w:line="240" w:lineRule="auto"/>
        <w:ind w:left="426" w:hanging="426"/>
        <w:rPr>
          <w:b/>
          <w:color w:val="000000"/>
        </w:rPr>
      </w:pPr>
      <w:r>
        <w:rPr>
          <w:rFonts w:ascii="Arial" w:eastAsia="Arial" w:hAnsi="Arial" w:cs="Arial"/>
          <w:b/>
          <w:color w:val="000000"/>
        </w:rPr>
        <w:t>Summary of impacts</w:t>
      </w:r>
    </w:p>
    <w:p w14:paraId="4B5F5B0B" w14:textId="3DEB5559" w:rsidR="00203859" w:rsidRDefault="004A6F9F">
      <w:pPr>
        <w:numPr>
          <w:ilvl w:val="0"/>
          <w:numId w:val="5"/>
        </w:numPr>
        <w:pBdr>
          <w:top w:val="nil"/>
          <w:left w:val="nil"/>
          <w:bottom w:val="nil"/>
          <w:right w:val="nil"/>
          <w:between w:val="nil"/>
        </w:pBdr>
        <w:spacing w:after="0" w:line="240" w:lineRule="auto"/>
        <w:ind w:left="426" w:hanging="426"/>
      </w:pPr>
      <w:r>
        <w:rPr>
          <w:rFonts w:ascii="Arial" w:eastAsia="Arial" w:hAnsi="Arial" w:cs="Arial"/>
          <w:color w:val="000000"/>
        </w:rPr>
        <w:t xml:space="preserve">The table below provides a summary of the costs and benefits of the preferred contingency Option 1 compared to </w:t>
      </w:r>
      <w:r w:rsidR="00665D5F">
        <w:rPr>
          <w:rFonts w:ascii="Arial" w:eastAsia="Arial" w:hAnsi="Arial" w:cs="Arial"/>
          <w:color w:val="000000"/>
        </w:rPr>
        <w:t>static acquis</w:t>
      </w:r>
      <w:r>
        <w:rPr>
          <w:rFonts w:ascii="Arial" w:eastAsia="Arial" w:hAnsi="Arial" w:cs="Arial"/>
          <w:color w:val="000000"/>
        </w:rPr>
        <w:t xml:space="preserve"> and do nothing baselines, to illustrate the differences of using different baselines in this assessment.</w:t>
      </w:r>
    </w:p>
    <w:p w14:paraId="24349A00" w14:textId="77777777" w:rsidR="00203859" w:rsidRDefault="00203859">
      <w:pPr>
        <w:pBdr>
          <w:top w:val="nil"/>
          <w:left w:val="nil"/>
          <w:bottom w:val="nil"/>
          <w:right w:val="nil"/>
          <w:between w:val="nil"/>
        </w:pBdr>
        <w:spacing w:after="240" w:line="240" w:lineRule="auto"/>
        <w:rPr>
          <w:rFonts w:ascii="Arial" w:eastAsia="Arial" w:hAnsi="Arial" w:cs="Arial"/>
          <w:b/>
          <w:color w:val="000000"/>
        </w:rPr>
      </w:pPr>
    </w:p>
    <w:tbl>
      <w:tblPr>
        <w:tblW w:w="97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454"/>
        <w:gridCol w:w="3632"/>
        <w:gridCol w:w="3650"/>
      </w:tblGrid>
      <w:tr w:rsidR="00203859" w14:paraId="06125F78" w14:textId="77777777">
        <w:trPr>
          <w:trHeight w:val="600"/>
        </w:trPr>
        <w:tc>
          <w:tcPr>
            <w:tcW w:w="2454" w:type="dxa"/>
          </w:tcPr>
          <w:p w14:paraId="1104C626" w14:textId="77777777" w:rsidR="00203859" w:rsidRDefault="00203859">
            <w:pPr>
              <w:rPr>
                <w:rFonts w:ascii="Arial" w:eastAsia="Arial" w:hAnsi="Arial" w:cs="Arial"/>
              </w:rPr>
            </w:pPr>
          </w:p>
        </w:tc>
        <w:tc>
          <w:tcPr>
            <w:tcW w:w="3632" w:type="dxa"/>
          </w:tcPr>
          <w:p w14:paraId="7F32529A" w14:textId="08360230" w:rsidR="00203859" w:rsidRDefault="004A6F9F">
            <w:pPr>
              <w:rPr>
                <w:rFonts w:ascii="Arial" w:eastAsia="Arial" w:hAnsi="Arial" w:cs="Arial"/>
              </w:rPr>
            </w:pPr>
            <w:r>
              <w:rPr>
                <w:rFonts w:ascii="Arial" w:eastAsia="Arial" w:hAnsi="Arial" w:cs="Arial"/>
              </w:rPr>
              <w:t xml:space="preserve">Option 1 relative to </w:t>
            </w:r>
            <w:r w:rsidR="007A0F6C">
              <w:rPr>
                <w:rFonts w:ascii="Arial" w:eastAsia="Arial" w:hAnsi="Arial" w:cs="Arial"/>
              </w:rPr>
              <w:t xml:space="preserve">Option 0 - </w:t>
            </w:r>
            <w:r>
              <w:rPr>
                <w:rFonts w:ascii="Arial" w:eastAsia="Arial" w:hAnsi="Arial" w:cs="Arial"/>
              </w:rPr>
              <w:t>static acquis baseline</w:t>
            </w:r>
          </w:p>
        </w:tc>
        <w:tc>
          <w:tcPr>
            <w:tcW w:w="3650" w:type="dxa"/>
          </w:tcPr>
          <w:p w14:paraId="4897E3FE" w14:textId="37C6CA4A" w:rsidR="00203859" w:rsidRDefault="004A6F9F" w:rsidP="007A0F6C">
            <w:pPr>
              <w:rPr>
                <w:rFonts w:ascii="Arial" w:eastAsia="Arial" w:hAnsi="Arial" w:cs="Arial"/>
              </w:rPr>
            </w:pPr>
            <w:r>
              <w:rPr>
                <w:rFonts w:ascii="Arial" w:eastAsia="Arial" w:hAnsi="Arial" w:cs="Arial"/>
              </w:rPr>
              <w:t xml:space="preserve">Option 1 relative to </w:t>
            </w:r>
            <w:r w:rsidR="007A0F6C">
              <w:rPr>
                <w:rFonts w:ascii="Arial" w:eastAsia="Arial" w:hAnsi="Arial" w:cs="Arial"/>
              </w:rPr>
              <w:t xml:space="preserve">Option 0.1 </w:t>
            </w:r>
            <w:r>
              <w:rPr>
                <w:rFonts w:ascii="Arial" w:eastAsia="Arial" w:hAnsi="Arial" w:cs="Arial"/>
              </w:rPr>
              <w:t>do nothing</w:t>
            </w:r>
            <w:r w:rsidR="007A0F6C">
              <w:rPr>
                <w:rFonts w:ascii="Arial" w:eastAsia="Arial" w:hAnsi="Arial" w:cs="Arial"/>
              </w:rPr>
              <w:t xml:space="preserve"> (no legislation)</w:t>
            </w:r>
            <w:r>
              <w:rPr>
                <w:rFonts w:ascii="Arial" w:eastAsia="Arial" w:hAnsi="Arial" w:cs="Arial"/>
              </w:rPr>
              <w:t xml:space="preserve"> baseline</w:t>
            </w:r>
          </w:p>
        </w:tc>
      </w:tr>
      <w:tr w:rsidR="00203859" w14:paraId="219D68FD" w14:textId="77777777">
        <w:trPr>
          <w:trHeight w:val="1940"/>
        </w:trPr>
        <w:tc>
          <w:tcPr>
            <w:tcW w:w="2454" w:type="dxa"/>
          </w:tcPr>
          <w:p w14:paraId="09E52A0E" w14:textId="77777777" w:rsidR="00203859" w:rsidRDefault="004A6F9F">
            <w:pPr>
              <w:rPr>
                <w:rFonts w:ascii="Arial" w:eastAsia="Arial" w:hAnsi="Arial" w:cs="Arial"/>
              </w:rPr>
            </w:pPr>
            <w:r>
              <w:rPr>
                <w:rFonts w:ascii="Arial" w:eastAsia="Arial" w:hAnsi="Arial" w:cs="Arial"/>
              </w:rPr>
              <w:t>Benefits to Government and society (</w:t>
            </w:r>
            <w:r>
              <w:rPr>
                <w:rFonts w:ascii="Arial" w:eastAsia="Arial" w:hAnsi="Arial" w:cs="Arial"/>
                <w:i/>
              </w:rPr>
              <w:t>Section F</w:t>
            </w:r>
            <w:r>
              <w:rPr>
                <w:rFonts w:ascii="Arial" w:eastAsia="Arial" w:hAnsi="Arial" w:cs="Arial"/>
              </w:rPr>
              <w:t>)</w:t>
            </w:r>
          </w:p>
        </w:tc>
        <w:tc>
          <w:tcPr>
            <w:tcW w:w="3632" w:type="dxa"/>
          </w:tcPr>
          <w:p w14:paraId="378B1C0D" w14:textId="77777777" w:rsidR="00203859" w:rsidRDefault="004A6F9F">
            <w:pPr>
              <w:rPr>
                <w:rFonts w:ascii="Arial" w:eastAsia="Arial" w:hAnsi="Arial" w:cs="Arial"/>
              </w:rPr>
            </w:pPr>
            <w:r>
              <w:rPr>
                <w:rFonts w:ascii="Arial" w:eastAsia="Arial" w:hAnsi="Arial" w:cs="Arial"/>
                <w:b/>
              </w:rPr>
              <w:t>No change</w:t>
            </w:r>
            <w:r>
              <w:rPr>
                <w:rFonts w:ascii="Arial" w:eastAsia="Arial" w:hAnsi="Arial" w:cs="Arial"/>
              </w:rPr>
              <w:t xml:space="preserve"> – Introducing legislation would maintain the drivers of human health and environmental benefits of the current arrangements</w:t>
            </w:r>
          </w:p>
        </w:tc>
        <w:tc>
          <w:tcPr>
            <w:tcW w:w="3650" w:type="dxa"/>
          </w:tcPr>
          <w:p w14:paraId="6EBFE4B4" w14:textId="604B48E8" w:rsidR="00203859" w:rsidRDefault="004A6F9F">
            <w:pPr>
              <w:rPr>
                <w:rFonts w:ascii="Arial" w:eastAsia="Arial" w:hAnsi="Arial" w:cs="Arial"/>
              </w:rPr>
            </w:pPr>
            <w:r>
              <w:rPr>
                <w:rFonts w:ascii="Arial" w:eastAsia="Arial" w:hAnsi="Arial" w:cs="Arial"/>
                <w:b/>
              </w:rPr>
              <w:t>Large benefits</w:t>
            </w:r>
            <w:r>
              <w:rPr>
                <w:rFonts w:ascii="Arial" w:eastAsia="Arial" w:hAnsi="Arial" w:cs="Arial"/>
              </w:rPr>
              <w:t xml:space="preserve"> – Introducing legislation would enable a functioning chemicals regime to deliver the </w:t>
            </w:r>
            <w:r w:rsidR="002D03B6">
              <w:rPr>
                <w:rFonts w:ascii="Arial" w:eastAsia="Arial" w:hAnsi="Arial" w:cs="Arial"/>
              </w:rPr>
              <w:t>Government</w:t>
            </w:r>
            <w:r>
              <w:rPr>
                <w:rFonts w:ascii="Arial" w:eastAsia="Arial" w:hAnsi="Arial" w:cs="Arial"/>
              </w:rPr>
              <w:t xml:space="preserve">’s objectives for chemicals policy. </w:t>
            </w:r>
          </w:p>
          <w:p w14:paraId="52B5C041" w14:textId="77777777" w:rsidR="00203859" w:rsidRDefault="004A6F9F">
            <w:pPr>
              <w:rPr>
                <w:rFonts w:ascii="Arial" w:eastAsia="Arial" w:hAnsi="Arial" w:cs="Arial"/>
              </w:rPr>
            </w:pPr>
            <w:r>
              <w:rPr>
                <w:rFonts w:ascii="Arial" w:eastAsia="Arial" w:hAnsi="Arial" w:cs="Arial"/>
              </w:rPr>
              <w:t>This avoids the significant risks to human health and the environment without it.</w:t>
            </w:r>
          </w:p>
        </w:tc>
      </w:tr>
      <w:tr w:rsidR="00203859" w14:paraId="777D3CBE" w14:textId="77777777">
        <w:trPr>
          <w:trHeight w:val="840"/>
        </w:trPr>
        <w:tc>
          <w:tcPr>
            <w:tcW w:w="2454" w:type="dxa"/>
          </w:tcPr>
          <w:p w14:paraId="2ED1708D" w14:textId="77777777" w:rsidR="00203859" w:rsidRDefault="004A6F9F">
            <w:pPr>
              <w:rPr>
                <w:rFonts w:ascii="Arial" w:eastAsia="Arial" w:hAnsi="Arial" w:cs="Arial"/>
              </w:rPr>
            </w:pPr>
            <w:r>
              <w:rPr>
                <w:rFonts w:ascii="Arial" w:eastAsia="Arial" w:hAnsi="Arial" w:cs="Arial"/>
              </w:rPr>
              <w:t>Costs to Government (</w:t>
            </w:r>
            <w:r>
              <w:rPr>
                <w:rFonts w:ascii="Arial" w:eastAsia="Arial" w:hAnsi="Arial" w:cs="Arial"/>
                <w:i/>
              </w:rPr>
              <w:t>Section G</w:t>
            </w:r>
            <w:r>
              <w:rPr>
                <w:rFonts w:ascii="Arial" w:eastAsia="Arial" w:hAnsi="Arial" w:cs="Arial"/>
              </w:rPr>
              <w:t>)</w:t>
            </w:r>
          </w:p>
        </w:tc>
        <w:tc>
          <w:tcPr>
            <w:tcW w:w="3632" w:type="dxa"/>
          </w:tcPr>
          <w:p w14:paraId="33D7A55E" w14:textId="77777777" w:rsidR="00203859" w:rsidRDefault="004A6F9F">
            <w:pPr>
              <w:rPr>
                <w:rFonts w:ascii="Arial" w:eastAsia="Arial" w:hAnsi="Arial" w:cs="Arial"/>
              </w:rPr>
            </w:pPr>
            <w:r>
              <w:rPr>
                <w:rFonts w:ascii="Arial" w:eastAsia="Arial" w:hAnsi="Arial" w:cs="Arial"/>
                <w:b/>
              </w:rPr>
              <w:t>Increased cost</w:t>
            </w:r>
            <w:r>
              <w:rPr>
                <w:rFonts w:ascii="Arial" w:eastAsia="Arial" w:hAnsi="Arial" w:cs="Arial"/>
              </w:rPr>
              <w:t xml:space="preserve"> for building UK regulatory capability</w:t>
            </w:r>
          </w:p>
        </w:tc>
        <w:tc>
          <w:tcPr>
            <w:tcW w:w="3650" w:type="dxa"/>
          </w:tcPr>
          <w:p w14:paraId="72EFE04F" w14:textId="77777777" w:rsidR="00203859" w:rsidRDefault="004A6F9F">
            <w:pPr>
              <w:rPr>
                <w:rFonts w:ascii="Arial" w:eastAsia="Arial" w:hAnsi="Arial" w:cs="Arial"/>
              </w:rPr>
            </w:pPr>
            <w:r>
              <w:rPr>
                <w:rFonts w:ascii="Arial" w:eastAsia="Arial" w:hAnsi="Arial" w:cs="Arial"/>
                <w:b/>
              </w:rPr>
              <w:t>Increased cost</w:t>
            </w:r>
            <w:r>
              <w:rPr>
                <w:rFonts w:ascii="Arial" w:eastAsia="Arial" w:hAnsi="Arial" w:cs="Arial"/>
              </w:rPr>
              <w:t xml:space="preserve"> for building UK regulatory capability</w:t>
            </w:r>
          </w:p>
        </w:tc>
      </w:tr>
      <w:tr w:rsidR="00203859" w14:paraId="635E0296" w14:textId="77777777">
        <w:trPr>
          <w:trHeight w:val="840"/>
        </w:trPr>
        <w:tc>
          <w:tcPr>
            <w:tcW w:w="2454" w:type="dxa"/>
          </w:tcPr>
          <w:p w14:paraId="1A904394" w14:textId="77777777" w:rsidR="00203859" w:rsidRDefault="004A6F9F">
            <w:pPr>
              <w:rPr>
                <w:rFonts w:ascii="Arial" w:eastAsia="Arial" w:hAnsi="Arial" w:cs="Arial"/>
                <w:i/>
              </w:rPr>
            </w:pPr>
            <w:r>
              <w:rPr>
                <w:rFonts w:ascii="Arial" w:eastAsia="Arial" w:hAnsi="Arial" w:cs="Arial"/>
              </w:rPr>
              <w:t>Benefits to business (</w:t>
            </w:r>
            <w:r>
              <w:rPr>
                <w:rFonts w:ascii="Arial" w:eastAsia="Arial" w:hAnsi="Arial" w:cs="Arial"/>
                <w:i/>
              </w:rPr>
              <w:t>Section F)</w:t>
            </w:r>
          </w:p>
        </w:tc>
        <w:tc>
          <w:tcPr>
            <w:tcW w:w="3632" w:type="dxa"/>
          </w:tcPr>
          <w:p w14:paraId="19327A70" w14:textId="260C6A61" w:rsidR="000515B6" w:rsidRDefault="004A6F9F" w:rsidP="000515B6">
            <w:pPr>
              <w:rPr>
                <w:rFonts w:ascii="Arial" w:eastAsia="Arial" w:hAnsi="Arial" w:cs="Arial"/>
              </w:rPr>
            </w:pPr>
            <w:r>
              <w:rPr>
                <w:rFonts w:ascii="Arial" w:eastAsia="Arial" w:hAnsi="Arial" w:cs="Arial"/>
                <w:b/>
              </w:rPr>
              <w:t>No change</w:t>
            </w:r>
            <w:r>
              <w:rPr>
                <w:rFonts w:ascii="Arial" w:eastAsia="Arial" w:hAnsi="Arial" w:cs="Arial"/>
              </w:rPr>
              <w:t xml:space="preserve"> – Introducing legislation would maintain legal certainty for businesses</w:t>
            </w:r>
            <w:r w:rsidR="003D61D5">
              <w:rPr>
                <w:rFonts w:ascii="Arial" w:eastAsia="Arial" w:hAnsi="Arial" w:cs="Arial"/>
              </w:rPr>
              <w:t>, with continuity that t</w:t>
            </w:r>
            <w:r w:rsidR="000515B6">
              <w:rPr>
                <w:rFonts w:ascii="Arial" w:eastAsia="Arial" w:hAnsi="Arial" w:cs="Arial"/>
              </w:rPr>
              <w:t xml:space="preserve">his would be based on the existing EU REACH system </w:t>
            </w:r>
            <w:r w:rsidR="00C25E2F">
              <w:rPr>
                <w:rFonts w:ascii="Arial" w:eastAsia="Arial" w:hAnsi="Arial" w:cs="Arial"/>
              </w:rPr>
              <w:t xml:space="preserve">where industry is familiar with how to comply as well as </w:t>
            </w:r>
            <w:r w:rsidR="000515B6">
              <w:rPr>
                <w:rFonts w:ascii="Arial" w:eastAsia="Arial" w:hAnsi="Arial" w:cs="Arial"/>
              </w:rPr>
              <w:t>with continued validity of existing UK company registrations through grandfathering.</w:t>
            </w:r>
          </w:p>
          <w:p w14:paraId="02727FB1" w14:textId="77777777" w:rsidR="00203859" w:rsidRDefault="00203859">
            <w:pPr>
              <w:rPr>
                <w:rFonts w:ascii="Arial" w:eastAsia="Arial" w:hAnsi="Arial" w:cs="Arial"/>
              </w:rPr>
            </w:pPr>
          </w:p>
        </w:tc>
        <w:tc>
          <w:tcPr>
            <w:tcW w:w="3650" w:type="dxa"/>
          </w:tcPr>
          <w:p w14:paraId="7D996B29" w14:textId="77777777" w:rsidR="00203859" w:rsidRDefault="004A6F9F">
            <w:pPr>
              <w:rPr>
                <w:rFonts w:ascii="Arial" w:eastAsia="Arial" w:hAnsi="Arial" w:cs="Arial"/>
              </w:rPr>
            </w:pPr>
            <w:r>
              <w:rPr>
                <w:rFonts w:ascii="Arial" w:eastAsia="Arial" w:hAnsi="Arial" w:cs="Arial"/>
                <w:b/>
              </w:rPr>
              <w:t xml:space="preserve">Large benefits </w:t>
            </w:r>
            <w:r>
              <w:rPr>
                <w:rFonts w:ascii="Arial" w:eastAsia="Arial" w:hAnsi="Arial" w:cs="Arial"/>
              </w:rPr>
              <w:t xml:space="preserve">– Introducing the legislation would: </w:t>
            </w:r>
          </w:p>
          <w:p w14:paraId="01B0F724" w14:textId="131C7DED" w:rsidR="00203859" w:rsidRDefault="004A6F9F">
            <w:pPr>
              <w:rPr>
                <w:rFonts w:ascii="Arial" w:eastAsia="Arial" w:hAnsi="Arial" w:cs="Arial"/>
              </w:rPr>
            </w:pPr>
            <w:r>
              <w:rPr>
                <w:rFonts w:ascii="Arial" w:eastAsia="Arial" w:hAnsi="Arial" w:cs="Arial"/>
              </w:rPr>
              <w:t>(i) Provide continuity, stability and legal certainty for businesses</w:t>
            </w:r>
            <w:r w:rsidR="000515B6">
              <w:rPr>
                <w:rFonts w:ascii="Arial" w:eastAsia="Arial" w:hAnsi="Arial" w:cs="Arial"/>
              </w:rPr>
              <w:t xml:space="preserve"> (including continuity this would be based on the existing EU REACH system with continued validity of existing UK company registrations through grandfathering)</w:t>
            </w:r>
          </w:p>
          <w:p w14:paraId="7D05D234" w14:textId="77777777" w:rsidR="00203859" w:rsidRDefault="004A6F9F">
            <w:pPr>
              <w:rPr>
                <w:rFonts w:ascii="Arial" w:eastAsia="Arial" w:hAnsi="Arial" w:cs="Arial"/>
              </w:rPr>
            </w:pPr>
            <w:r>
              <w:rPr>
                <w:rFonts w:ascii="Arial" w:eastAsia="Arial" w:hAnsi="Arial" w:cs="Arial"/>
              </w:rPr>
              <w:t>(ii) Avoids industry facing greater risks to human health and the environment and increased costs e.g. from legal liability.</w:t>
            </w:r>
          </w:p>
        </w:tc>
      </w:tr>
      <w:tr w:rsidR="00203859" w14:paraId="60EC4FA2" w14:textId="77777777">
        <w:trPr>
          <w:trHeight w:val="840"/>
        </w:trPr>
        <w:tc>
          <w:tcPr>
            <w:tcW w:w="2454" w:type="dxa"/>
          </w:tcPr>
          <w:p w14:paraId="2896226A" w14:textId="77777777" w:rsidR="00203859" w:rsidRDefault="004A6F9F">
            <w:pPr>
              <w:rPr>
                <w:rFonts w:ascii="Arial" w:eastAsia="Arial" w:hAnsi="Arial" w:cs="Arial"/>
              </w:rPr>
            </w:pPr>
            <w:r>
              <w:rPr>
                <w:rFonts w:ascii="Arial" w:eastAsia="Arial" w:hAnsi="Arial" w:cs="Arial"/>
              </w:rPr>
              <w:t>Costs to business (</w:t>
            </w:r>
            <w:r>
              <w:rPr>
                <w:rFonts w:ascii="Arial" w:eastAsia="Arial" w:hAnsi="Arial" w:cs="Arial"/>
                <w:i/>
              </w:rPr>
              <w:t>Section H</w:t>
            </w:r>
            <w:r>
              <w:rPr>
                <w:rFonts w:ascii="Arial" w:eastAsia="Arial" w:hAnsi="Arial" w:cs="Arial"/>
              </w:rPr>
              <w:t xml:space="preserve">) </w:t>
            </w:r>
          </w:p>
        </w:tc>
        <w:tc>
          <w:tcPr>
            <w:tcW w:w="3632" w:type="dxa"/>
          </w:tcPr>
          <w:p w14:paraId="22B301E5" w14:textId="4338C5D2" w:rsidR="00203859" w:rsidRDefault="004A6F9F">
            <w:pPr>
              <w:rPr>
                <w:rFonts w:ascii="Arial" w:eastAsia="Arial" w:hAnsi="Arial" w:cs="Arial"/>
              </w:rPr>
            </w:pPr>
            <w:r>
              <w:rPr>
                <w:rFonts w:ascii="Arial" w:eastAsia="Arial" w:hAnsi="Arial" w:cs="Arial"/>
              </w:rPr>
              <w:t xml:space="preserve">No change for fees and administration cost for businesses to access UK market as the UK authority </w:t>
            </w:r>
            <w:r w:rsidR="002D03B6">
              <w:rPr>
                <w:rFonts w:ascii="Arial" w:eastAsia="Arial" w:hAnsi="Arial" w:cs="Arial"/>
              </w:rPr>
              <w:t xml:space="preserve">would </w:t>
            </w:r>
            <w:r>
              <w:rPr>
                <w:rFonts w:ascii="Arial" w:eastAsia="Arial" w:hAnsi="Arial" w:cs="Arial"/>
              </w:rPr>
              <w:t xml:space="preserve">take same approach as current ECHA </w:t>
            </w:r>
            <w:r>
              <w:rPr>
                <w:rFonts w:ascii="Arial" w:eastAsia="Arial" w:hAnsi="Arial" w:cs="Arial"/>
              </w:rPr>
              <w:lastRenderedPageBreak/>
              <w:t xml:space="preserve">arrangements. Some familiarisation costs which are expected to be relatively small. </w:t>
            </w:r>
          </w:p>
          <w:p w14:paraId="485C694F" w14:textId="77777777" w:rsidR="00203859" w:rsidRDefault="004A6F9F">
            <w:pPr>
              <w:rPr>
                <w:rFonts w:ascii="Arial" w:eastAsia="Arial" w:hAnsi="Arial" w:cs="Arial"/>
              </w:rPr>
            </w:pPr>
            <w:r>
              <w:rPr>
                <w:rFonts w:ascii="Arial" w:eastAsia="Arial" w:hAnsi="Arial" w:cs="Arial"/>
              </w:rPr>
              <w:t xml:space="preserve"> </w:t>
            </w:r>
          </w:p>
          <w:p w14:paraId="1C40E19B" w14:textId="77777777" w:rsidR="00203859" w:rsidRDefault="004A6F9F">
            <w:pPr>
              <w:rPr>
                <w:rFonts w:ascii="Arial" w:eastAsia="Arial" w:hAnsi="Arial" w:cs="Arial"/>
              </w:rPr>
            </w:pPr>
            <w:r>
              <w:rPr>
                <w:rFonts w:ascii="Arial" w:eastAsia="Arial" w:hAnsi="Arial" w:cs="Arial"/>
                <w:b/>
              </w:rPr>
              <w:t>Additional costs which the SI seeks to minimise</w:t>
            </w:r>
            <w:r>
              <w:rPr>
                <w:rFonts w:ascii="Arial" w:eastAsia="Arial" w:hAnsi="Arial" w:cs="Arial"/>
              </w:rPr>
              <w:t>:</w:t>
            </w:r>
          </w:p>
          <w:p w14:paraId="001BABFD" w14:textId="77777777" w:rsidR="00203859" w:rsidRDefault="004A6F9F">
            <w:pPr>
              <w:rPr>
                <w:rFonts w:ascii="Arial" w:eastAsia="Arial" w:hAnsi="Arial" w:cs="Arial"/>
              </w:rPr>
            </w:pPr>
            <w:r>
              <w:rPr>
                <w:rFonts w:ascii="Arial" w:eastAsia="Arial" w:hAnsi="Arial" w:cs="Arial"/>
              </w:rPr>
              <w:t>(i) Businesses would need to transmit the supporting data for existing registrations and authorisations to the UK agency. May incur significant costs depending on particular circumstance of data ownership/data sharing agreements. (Transition cost</w:t>
            </w:r>
            <w:r w:rsidR="002D03B6">
              <w:rPr>
                <w:rFonts w:ascii="Arial" w:eastAsia="Arial" w:hAnsi="Arial" w:cs="Arial"/>
              </w:rPr>
              <w:t xml:space="preserve"> in first 2 years of EU Exit</w:t>
            </w:r>
            <w:r>
              <w:rPr>
                <w:rFonts w:ascii="Arial" w:eastAsia="Arial" w:hAnsi="Arial" w:cs="Arial"/>
              </w:rPr>
              <w:t>)</w:t>
            </w:r>
          </w:p>
          <w:p w14:paraId="40A1B09F" w14:textId="77777777" w:rsidR="00203859" w:rsidRDefault="004A6F9F">
            <w:pPr>
              <w:rPr>
                <w:rFonts w:ascii="Arial" w:eastAsia="Arial" w:hAnsi="Arial" w:cs="Arial"/>
              </w:rPr>
            </w:pPr>
            <w:r>
              <w:rPr>
                <w:rFonts w:ascii="Arial" w:eastAsia="Arial" w:hAnsi="Arial" w:cs="Arial"/>
              </w:rPr>
              <w:t>(ii) If less access to data sharing, businesses face higher future costs to access or to conduct new data tests. (Transition and Ongoing costs)</w:t>
            </w:r>
          </w:p>
          <w:p w14:paraId="1601A7F2" w14:textId="77777777" w:rsidR="00203859" w:rsidRDefault="00203859">
            <w:pPr>
              <w:rPr>
                <w:rFonts w:ascii="Arial" w:eastAsia="Arial" w:hAnsi="Arial" w:cs="Arial"/>
              </w:rPr>
            </w:pPr>
          </w:p>
          <w:p w14:paraId="5894AB28" w14:textId="77777777" w:rsidR="00203859" w:rsidRDefault="004A6F9F">
            <w:pPr>
              <w:rPr>
                <w:rFonts w:ascii="Arial" w:eastAsia="Arial" w:hAnsi="Arial" w:cs="Arial"/>
              </w:rPr>
            </w:pPr>
            <w:r>
              <w:rPr>
                <w:rFonts w:ascii="Arial" w:eastAsia="Arial" w:hAnsi="Arial" w:cs="Arial"/>
                <w:b/>
              </w:rPr>
              <w:t>Additional costs considered out of scope of the SI:</w:t>
            </w:r>
          </w:p>
          <w:p w14:paraId="5A76F8DE" w14:textId="77777777" w:rsidR="00203859" w:rsidRDefault="004A6F9F">
            <w:pPr>
              <w:rPr>
                <w:rFonts w:ascii="Arial" w:eastAsia="Arial" w:hAnsi="Arial" w:cs="Arial"/>
              </w:rPr>
            </w:pPr>
            <w:r>
              <w:rPr>
                <w:rFonts w:ascii="Arial" w:eastAsia="Arial" w:hAnsi="Arial" w:cs="Arial"/>
              </w:rPr>
              <w:t xml:space="preserve">(iii) UK businesses who buy chemicals from EEA become importers rather than downstream users, with a notification duty. They would face small administrative costs, rising over time as they are brought into the registration system. (Transition and Ongoing costs)  </w:t>
            </w:r>
          </w:p>
          <w:p w14:paraId="21364699" w14:textId="7409E573" w:rsidR="00203859" w:rsidRDefault="004A6F9F">
            <w:pPr>
              <w:rPr>
                <w:rFonts w:ascii="Arial" w:eastAsia="Arial" w:hAnsi="Arial" w:cs="Arial"/>
              </w:rPr>
            </w:pPr>
            <w:r>
              <w:rPr>
                <w:rFonts w:ascii="Arial" w:eastAsia="Arial" w:hAnsi="Arial" w:cs="Arial"/>
              </w:rPr>
              <w:t xml:space="preserve">(iv) UK businesses would face additional costs to access the EU market compared to the </w:t>
            </w:r>
            <w:r w:rsidR="00665D5F">
              <w:rPr>
                <w:rFonts w:ascii="Arial" w:eastAsia="Arial" w:hAnsi="Arial" w:cs="Arial"/>
              </w:rPr>
              <w:t>static acquis</w:t>
            </w:r>
            <w:r>
              <w:rPr>
                <w:rFonts w:ascii="Arial" w:eastAsia="Arial" w:hAnsi="Arial" w:cs="Arial"/>
              </w:rPr>
              <w:t xml:space="preserve"> (Transition and Ongoing costs) </w:t>
            </w:r>
          </w:p>
        </w:tc>
        <w:tc>
          <w:tcPr>
            <w:tcW w:w="3650" w:type="dxa"/>
          </w:tcPr>
          <w:p w14:paraId="3A3F2F47" w14:textId="77777777" w:rsidR="00203859" w:rsidRDefault="004A6F9F">
            <w:pPr>
              <w:rPr>
                <w:rFonts w:ascii="Arial" w:eastAsia="Arial" w:hAnsi="Arial" w:cs="Arial"/>
              </w:rPr>
            </w:pPr>
            <w:r>
              <w:rPr>
                <w:rFonts w:ascii="Arial" w:eastAsia="Arial" w:hAnsi="Arial" w:cs="Arial"/>
                <w:b/>
              </w:rPr>
              <w:lastRenderedPageBreak/>
              <w:t>Increased costs</w:t>
            </w:r>
            <w:r>
              <w:rPr>
                <w:rFonts w:ascii="Arial" w:eastAsia="Arial" w:hAnsi="Arial" w:cs="Arial"/>
              </w:rPr>
              <w:t xml:space="preserve"> – compared to the ‘do nothing’ option where businesses are under no obligations to understand the hazards and potential risks of the </w:t>
            </w:r>
            <w:r>
              <w:rPr>
                <w:rFonts w:ascii="Arial" w:eastAsia="Arial" w:hAnsi="Arial" w:cs="Arial"/>
              </w:rPr>
              <w:lastRenderedPageBreak/>
              <w:t>chemicals they produce, place on the market and use, and to identify and apply appropriate risk management measures</w:t>
            </w:r>
          </w:p>
          <w:p w14:paraId="25058C83" w14:textId="77777777" w:rsidR="00203859" w:rsidRDefault="00203859">
            <w:pPr>
              <w:rPr>
                <w:rFonts w:ascii="Arial" w:eastAsia="Arial" w:hAnsi="Arial" w:cs="Arial"/>
              </w:rPr>
            </w:pPr>
          </w:p>
        </w:tc>
      </w:tr>
    </w:tbl>
    <w:p w14:paraId="64B7F615" w14:textId="77777777" w:rsidR="00203859" w:rsidRDefault="00203859">
      <w:pPr>
        <w:pBdr>
          <w:top w:val="nil"/>
          <w:left w:val="nil"/>
          <w:bottom w:val="nil"/>
          <w:right w:val="nil"/>
          <w:between w:val="nil"/>
        </w:pBdr>
        <w:spacing w:after="0" w:line="240" w:lineRule="auto"/>
        <w:rPr>
          <w:rFonts w:ascii="Arial" w:eastAsia="Arial" w:hAnsi="Arial" w:cs="Arial"/>
          <w:b/>
          <w:color w:val="000000"/>
        </w:rPr>
      </w:pPr>
    </w:p>
    <w:p w14:paraId="0068639E" w14:textId="77777777" w:rsidR="00203859" w:rsidRDefault="00203859">
      <w:pPr>
        <w:pBdr>
          <w:top w:val="nil"/>
          <w:left w:val="nil"/>
          <w:bottom w:val="nil"/>
          <w:right w:val="nil"/>
          <w:between w:val="nil"/>
        </w:pBdr>
        <w:spacing w:before="240" w:after="240" w:line="240" w:lineRule="auto"/>
        <w:ind w:left="426"/>
        <w:rPr>
          <w:rFonts w:ascii="Arial" w:eastAsia="Arial" w:hAnsi="Arial" w:cs="Arial"/>
          <w:b/>
          <w:color w:val="000000"/>
        </w:rPr>
      </w:pPr>
    </w:p>
    <w:p w14:paraId="3FC24BA9" w14:textId="77777777" w:rsidR="00203859" w:rsidRDefault="004A6F9F">
      <w:pPr>
        <w:numPr>
          <w:ilvl w:val="0"/>
          <w:numId w:val="3"/>
        </w:numPr>
        <w:pBdr>
          <w:top w:val="nil"/>
          <w:left w:val="nil"/>
          <w:bottom w:val="nil"/>
          <w:right w:val="nil"/>
          <w:between w:val="nil"/>
        </w:pBdr>
        <w:spacing w:before="240" w:after="240" w:line="240" w:lineRule="auto"/>
        <w:ind w:left="426" w:hanging="426"/>
        <w:rPr>
          <w:b/>
          <w:color w:val="000000"/>
        </w:rPr>
      </w:pPr>
      <w:r>
        <w:rPr>
          <w:rFonts w:ascii="Arial" w:eastAsia="Arial" w:hAnsi="Arial" w:cs="Arial"/>
          <w:b/>
          <w:color w:val="000000"/>
        </w:rPr>
        <w:t>RATIONALE AND EVIDENCE THAT JUSTIFY THE LEVEL OF ANALYSIS</w:t>
      </w:r>
    </w:p>
    <w:p w14:paraId="1BDD7322" w14:textId="336D1178" w:rsidR="00203859" w:rsidRDefault="004A6F9F">
      <w:pPr>
        <w:numPr>
          <w:ilvl w:val="0"/>
          <w:numId w:val="5"/>
        </w:numPr>
        <w:pBdr>
          <w:top w:val="nil"/>
          <w:left w:val="nil"/>
          <w:bottom w:val="nil"/>
          <w:right w:val="nil"/>
          <w:between w:val="nil"/>
        </w:pBdr>
        <w:spacing w:before="240" w:after="240" w:line="240" w:lineRule="auto"/>
        <w:ind w:left="426" w:hanging="426"/>
      </w:pPr>
      <w:r>
        <w:rPr>
          <w:rFonts w:ascii="Arial" w:eastAsia="Arial" w:hAnsi="Arial" w:cs="Arial"/>
          <w:color w:val="000000"/>
        </w:rPr>
        <w:t xml:space="preserve">This SI is primarily to transfer to the </w:t>
      </w:r>
      <w:r w:rsidR="002D03B6">
        <w:rPr>
          <w:rFonts w:ascii="Arial" w:eastAsia="Arial" w:hAnsi="Arial" w:cs="Arial"/>
          <w:color w:val="000000"/>
        </w:rPr>
        <w:t>Government</w:t>
      </w:r>
      <w:r>
        <w:rPr>
          <w:rFonts w:ascii="Arial" w:eastAsia="Arial" w:hAnsi="Arial" w:cs="Arial"/>
          <w:color w:val="000000"/>
        </w:rPr>
        <w:t xml:space="preserve"> and its regulatory authorities the power to establish a</w:t>
      </w:r>
      <w:r w:rsidR="00156B8A">
        <w:rPr>
          <w:rFonts w:ascii="Arial" w:eastAsia="Arial" w:hAnsi="Arial" w:cs="Arial"/>
          <w:color w:val="000000"/>
        </w:rPr>
        <w:t>n operable UK-only</w:t>
      </w:r>
      <w:r>
        <w:rPr>
          <w:rFonts w:ascii="Arial" w:eastAsia="Arial" w:hAnsi="Arial" w:cs="Arial"/>
          <w:color w:val="000000"/>
        </w:rPr>
        <w:t xml:space="preserve"> regulatory framework and then to make regulatory </w:t>
      </w:r>
      <w:r>
        <w:rPr>
          <w:rFonts w:ascii="Arial" w:eastAsia="Arial" w:hAnsi="Arial" w:cs="Arial"/>
          <w:color w:val="000000"/>
        </w:rPr>
        <w:lastRenderedPageBreak/>
        <w:t xml:space="preserve">decisions on chemicals management including registrations, authorisations and restrictions. For this reason this IA is high level and does not cover potential benefits and costs that </w:t>
      </w:r>
      <w:r w:rsidR="002D03B6">
        <w:rPr>
          <w:rFonts w:ascii="Arial" w:eastAsia="Arial" w:hAnsi="Arial" w:cs="Arial"/>
          <w:color w:val="000000"/>
        </w:rPr>
        <w:t xml:space="preserve">would </w:t>
      </w:r>
      <w:r>
        <w:rPr>
          <w:rFonts w:ascii="Arial" w:eastAsia="Arial" w:hAnsi="Arial" w:cs="Arial"/>
          <w:color w:val="000000"/>
        </w:rPr>
        <w:t>arise from future regulation decisions on specific substances.</w:t>
      </w:r>
      <w:r>
        <w:rPr>
          <w:rFonts w:ascii="Arial" w:eastAsia="Arial" w:hAnsi="Arial" w:cs="Arial"/>
          <w:color w:val="FF0000"/>
        </w:rPr>
        <w:t xml:space="preserve"> </w:t>
      </w:r>
    </w:p>
    <w:p w14:paraId="19968DF6" w14:textId="77777777" w:rsidR="00203859" w:rsidRDefault="004A6F9F">
      <w:pPr>
        <w:keepNext/>
        <w:numPr>
          <w:ilvl w:val="0"/>
          <w:numId w:val="3"/>
        </w:numPr>
        <w:pBdr>
          <w:top w:val="nil"/>
          <w:left w:val="nil"/>
          <w:bottom w:val="nil"/>
          <w:right w:val="nil"/>
          <w:between w:val="nil"/>
        </w:pBdr>
        <w:spacing w:before="240" w:after="240" w:line="240" w:lineRule="auto"/>
        <w:ind w:left="425" w:hanging="425"/>
        <w:rPr>
          <w:b/>
          <w:color w:val="000000"/>
        </w:rPr>
      </w:pPr>
      <w:r>
        <w:rPr>
          <w:rFonts w:ascii="Arial" w:eastAsia="Arial" w:hAnsi="Arial" w:cs="Arial"/>
          <w:b/>
          <w:color w:val="000000"/>
        </w:rPr>
        <w:t>RISKS AND ASSUMPTIONS</w:t>
      </w:r>
    </w:p>
    <w:p w14:paraId="3FD0C918" w14:textId="77777777" w:rsidR="00203859" w:rsidRDefault="004A6F9F">
      <w:pPr>
        <w:numPr>
          <w:ilvl w:val="0"/>
          <w:numId w:val="5"/>
        </w:numPr>
        <w:pBdr>
          <w:top w:val="nil"/>
          <w:left w:val="nil"/>
          <w:bottom w:val="nil"/>
          <w:right w:val="nil"/>
          <w:between w:val="nil"/>
        </w:pBdr>
        <w:spacing w:after="0" w:line="240" w:lineRule="auto"/>
        <w:ind w:left="426" w:hanging="426"/>
      </w:pPr>
      <w:bookmarkStart w:id="21" w:name="_3znysh7" w:colFirst="0" w:colLast="0"/>
      <w:bookmarkEnd w:id="21"/>
      <w:r>
        <w:rPr>
          <w:rFonts w:ascii="Arial" w:eastAsia="Arial" w:hAnsi="Arial" w:cs="Arial"/>
          <w:color w:val="000000"/>
        </w:rPr>
        <w:t xml:space="preserve">Data costs have not been quantified due to the uncertainty surrounding the extent of the effects. The scale of the data costs is dependent on whether data already inputted into the REACH system would continue to be shared with the UK regulator and UK businesses, businesses’ existing data arrangements, and the number of future registrations and authorisations by UK firms. These are the types of costs businesses face: </w:t>
      </w:r>
    </w:p>
    <w:p w14:paraId="47BF766F" w14:textId="77777777" w:rsidR="00203859" w:rsidRDefault="00203859">
      <w:pPr>
        <w:pBdr>
          <w:top w:val="nil"/>
          <w:left w:val="nil"/>
          <w:bottom w:val="nil"/>
          <w:right w:val="nil"/>
          <w:between w:val="nil"/>
        </w:pBdr>
        <w:spacing w:after="0"/>
        <w:ind w:left="426" w:hanging="426"/>
        <w:rPr>
          <w:rFonts w:ascii="Arial" w:eastAsia="Arial" w:hAnsi="Arial" w:cs="Arial"/>
          <w:b/>
          <w:color w:val="000000"/>
        </w:rPr>
      </w:pPr>
    </w:p>
    <w:p w14:paraId="172F5C90" w14:textId="3421A88D" w:rsidR="00203859" w:rsidRDefault="004A6F9F">
      <w:pPr>
        <w:numPr>
          <w:ilvl w:val="1"/>
          <w:numId w:val="5"/>
        </w:numPr>
        <w:pBdr>
          <w:top w:val="nil"/>
          <w:left w:val="nil"/>
          <w:bottom w:val="nil"/>
          <w:right w:val="nil"/>
          <w:between w:val="nil"/>
        </w:pBdr>
        <w:spacing w:after="0" w:line="240" w:lineRule="auto"/>
        <w:rPr>
          <w:rFonts w:ascii="Arial" w:eastAsia="Arial" w:hAnsi="Arial" w:cs="Arial"/>
          <w:b/>
          <w:color w:val="000000"/>
        </w:rPr>
      </w:pPr>
      <w:r>
        <w:rPr>
          <w:rFonts w:ascii="Arial" w:eastAsia="Arial" w:hAnsi="Arial" w:cs="Arial"/>
          <w:b/>
          <w:color w:val="000000"/>
        </w:rPr>
        <w:t xml:space="preserve">Data costs for existing registrations and authorisations: </w:t>
      </w:r>
      <w:r>
        <w:rPr>
          <w:rFonts w:ascii="Arial" w:eastAsia="Arial" w:hAnsi="Arial" w:cs="Arial"/>
          <w:color w:val="000000"/>
        </w:rPr>
        <w:t xml:space="preserve">UK registration and authorisation holders need to </w:t>
      </w:r>
      <w:r w:rsidR="00543934" w:rsidRPr="004A6F9F">
        <w:rPr>
          <w:rFonts w:ascii="Arial" w:eastAsia="Arial" w:hAnsi="Arial" w:cs="Arial"/>
        </w:rPr>
        <w:t xml:space="preserve">submit </w:t>
      </w:r>
      <w:r w:rsidR="00543934">
        <w:rPr>
          <w:rFonts w:ascii="Arial" w:eastAsia="Arial" w:hAnsi="Arial" w:cs="Arial"/>
          <w:color w:val="000000"/>
        </w:rPr>
        <w:t>the</w:t>
      </w:r>
      <w:r>
        <w:rPr>
          <w:rFonts w:ascii="Arial" w:eastAsia="Arial" w:hAnsi="Arial" w:cs="Arial"/>
          <w:color w:val="000000"/>
        </w:rPr>
        <w:t xml:space="preserve"> supporting </w:t>
      </w:r>
      <w:r w:rsidR="00156B8A">
        <w:rPr>
          <w:rFonts w:ascii="Arial" w:eastAsia="Arial" w:hAnsi="Arial" w:cs="Arial"/>
          <w:color w:val="000000"/>
        </w:rPr>
        <w:t xml:space="preserve">information </w:t>
      </w:r>
      <w:r>
        <w:rPr>
          <w:rFonts w:ascii="Arial" w:eastAsia="Arial" w:hAnsi="Arial" w:cs="Arial"/>
          <w:color w:val="000000"/>
        </w:rPr>
        <w:t xml:space="preserve">in their dossiers to the UK agency. For some this would involve renegotiating access to data testing information as standard existing arrangements (Letters of Access) stipulate data may only be used for the purposes of EU REACH. </w:t>
      </w:r>
    </w:p>
    <w:p w14:paraId="0EFECACB" w14:textId="77777777" w:rsidR="00203859" w:rsidRDefault="00203859">
      <w:pPr>
        <w:pBdr>
          <w:top w:val="nil"/>
          <w:left w:val="nil"/>
          <w:bottom w:val="nil"/>
          <w:right w:val="nil"/>
          <w:between w:val="nil"/>
        </w:pBdr>
        <w:spacing w:after="0" w:line="240" w:lineRule="auto"/>
        <w:ind w:left="360"/>
        <w:rPr>
          <w:rFonts w:ascii="Arial" w:eastAsia="Arial" w:hAnsi="Arial" w:cs="Arial"/>
          <w:b/>
          <w:color w:val="000000"/>
        </w:rPr>
      </w:pPr>
    </w:p>
    <w:p w14:paraId="5FB6965A" w14:textId="5BB3853C" w:rsidR="00203859" w:rsidRDefault="004A6F9F">
      <w:pPr>
        <w:numPr>
          <w:ilvl w:val="1"/>
          <w:numId w:val="5"/>
        </w:numPr>
        <w:pBdr>
          <w:top w:val="nil"/>
          <w:left w:val="nil"/>
          <w:bottom w:val="nil"/>
          <w:right w:val="nil"/>
          <w:between w:val="nil"/>
        </w:pBdr>
        <w:spacing w:after="0" w:line="240" w:lineRule="auto"/>
        <w:rPr>
          <w:rFonts w:ascii="Arial" w:eastAsia="Arial" w:hAnsi="Arial" w:cs="Arial"/>
          <w:b/>
          <w:color w:val="000000"/>
        </w:rPr>
      </w:pPr>
      <w:r>
        <w:rPr>
          <w:rFonts w:ascii="Arial" w:eastAsia="Arial" w:hAnsi="Arial" w:cs="Arial"/>
          <w:b/>
          <w:color w:val="000000"/>
        </w:rPr>
        <w:t xml:space="preserve">Access costs to EEA data: </w:t>
      </w:r>
      <w:r>
        <w:rPr>
          <w:rFonts w:ascii="Arial" w:eastAsia="Arial" w:hAnsi="Arial" w:cs="Arial"/>
          <w:color w:val="000000"/>
        </w:rPr>
        <w:t xml:space="preserve">Registration data held by ECHA </w:t>
      </w:r>
      <w:r w:rsidRPr="004A6F9F">
        <w:rPr>
          <w:rFonts w:ascii="Arial" w:eastAsia="Arial" w:hAnsi="Arial" w:cs="Arial"/>
        </w:rPr>
        <w:t>are</w:t>
      </w:r>
      <w:r>
        <w:rPr>
          <w:rFonts w:ascii="Arial" w:eastAsia="Arial" w:hAnsi="Arial" w:cs="Arial"/>
          <w:color w:val="000000"/>
        </w:rPr>
        <w:t xml:space="preserve"> owned by the registering companies (either outright or bought through a Letter of Access for the purposes of EU REACH). In the absence of a negotiated </w:t>
      </w:r>
      <w:r w:rsidRPr="004A6F9F">
        <w:rPr>
          <w:rFonts w:ascii="Arial" w:eastAsia="Arial" w:hAnsi="Arial" w:cs="Arial"/>
        </w:rPr>
        <w:t xml:space="preserve">settlement </w:t>
      </w:r>
      <w:r>
        <w:rPr>
          <w:rFonts w:ascii="Arial" w:eastAsia="Arial" w:hAnsi="Arial" w:cs="Arial"/>
          <w:color w:val="000000"/>
        </w:rPr>
        <w:t>with the EU or bilaterally with ECHA for continued access to data</w:t>
      </w:r>
      <w:r>
        <w:rPr>
          <w:rFonts w:ascii="Arial" w:eastAsia="Arial" w:hAnsi="Arial" w:cs="Arial"/>
          <w:b/>
          <w:color w:val="000000"/>
        </w:rPr>
        <w:t xml:space="preserve">, </w:t>
      </w:r>
      <w:r>
        <w:rPr>
          <w:rFonts w:ascii="Arial" w:eastAsia="Arial" w:hAnsi="Arial" w:cs="Arial"/>
          <w:color w:val="000000"/>
        </w:rPr>
        <w:t xml:space="preserve">it is unknown whether existing REACH data would continue to be shared with the </w:t>
      </w:r>
      <w:r w:rsidR="00156B8A">
        <w:rPr>
          <w:rFonts w:ascii="Arial" w:eastAsia="Arial" w:hAnsi="Arial" w:cs="Arial"/>
          <w:color w:val="000000"/>
        </w:rPr>
        <w:t xml:space="preserve">dutyholders </w:t>
      </w:r>
      <w:r w:rsidR="002A390E">
        <w:rPr>
          <w:rFonts w:ascii="Arial" w:eastAsia="Arial" w:hAnsi="Arial" w:cs="Arial"/>
          <w:color w:val="000000"/>
        </w:rPr>
        <w:t>in a</w:t>
      </w:r>
      <w:r>
        <w:rPr>
          <w:rFonts w:ascii="Arial" w:eastAsia="Arial" w:hAnsi="Arial" w:cs="Arial"/>
          <w:color w:val="000000"/>
        </w:rPr>
        <w:t xml:space="preserve"> </w:t>
      </w:r>
      <w:r w:rsidRPr="004A6F9F">
        <w:rPr>
          <w:rFonts w:ascii="Arial" w:eastAsia="Arial" w:hAnsi="Arial" w:cs="Arial"/>
        </w:rPr>
        <w:t xml:space="preserve">standalone </w:t>
      </w:r>
      <w:r>
        <w:rPr>
          <w:rFonts w:ascii="Arial" w:eastAsia="Arial" w:hAnsi="Arial" w:cs="Arial"/>
          <w:color w:val="000000"/>
        </w:rPr>
        <w:t xml:space="preserve">UK system. In the absence of robust data sharing procedures to encourage cooperation (like the existing disputes mechanism which gives ECHA legal powers to force data sharing), businesses </w:t>
      </w:r>
      <w:r w:rsidR="002D03B6">
        <w:rPr>
          <w:rFonts w:ascii="Arial" w:eastAsia="Arial" w:hAnsi="Arial" w:cs="Arial"/>
          <w:color w:val="000000"/>
        </w:rPr>
        <w:t xml:space="preserve">would </w:t>
      </w:r>
      <w:r>
        <w:rPr>
          <w:rFonts w:ascii="Arial" w:eastAsia="Arial" w:hAnsi="Arial" w:cs="Arial"/>
          <w:color w:val="000000"/>
        </w:rPr>
        <w:t>incur costs to find and contact owners of required data. In this instance, the cost of negotiating access for UK regulatory purposes in future may be substantial. This could include labour costs, costs from time delays, and may result in UK businesses paying higher costs for the data.</w:t>
      </w:r>
    </w:p>
    <w:p w14:paraId="7AB2D4E8" w14:textId="77777777" w:rsidR="00203859" w:rsidRDefault="00203859">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rPr>
          <w:rFonts w:ascii="Arial" w:eastAsia="Arial" w:hAnsi="Arial" w:cs="Arial"/>
          <w:b/>
          <w:color w:val="000000"/>
        </w:rPr>
      </w:pPr>
    </w:p>
    <w:p w14:paraId="399EBCCC" w14:textId="22126130" w:rsidR="00203859" w:rsidRDefault="004A6F9F">
      <w:pPr>
        <w:numPr>
          <w:ilvl w:val="1"/>
          <w:numId w:val="5"/>
        </w:numPr>
        <w:pBdr>
          <w:top w:val="nil"/>
          <w:left w:val="nil"/>
          <w:bottom w:val="nil"/>
          <w:right w:val="nil"/>
          <w:between w:val="nil"/>
        </w:pBdr>
        <w:spacing w:after="0" w:line="240" w:lineRule="auto"/>
        <w:ind w:left="426" w:hanging="426"/>
        <w:rPr>
          <w:rFonts w:ascii="Arial" w:eastAsia="Arial" w:hAnsi="Arial" w:cs="Arial"/>
          <w:b/>
          <w:color w:val="000000"/>
        </w:rPr>
      </w:pPr>
      <w:r>
        <w:rPr>
          <w:rFonts w:ascii="Arial" w:eastAsia="Arial" w:hAnsi="Arial" w:cs="Arial"/>
          <w:b/>
          <w:color w:val="000000"/>
        </w:rPr>
        <w:t xml:space="preserve">Costs of conducting studies: </w:t>
      </w:r>
      <w:r>
        <w:rPr>
          <w:rFonts w:ascii="Arial" w:eastAsia="Arial" w:hAnsi="Arial" w:cs="Arial"/>
          <w:color w:val="000000"/>
        </w:rPr>
        <w:t xml:space="preserve">If data from EEA is not accessible, UK firms </w:t>
      </w:r>
      <w:r w:rsidR="00543934" w:rsidRPr="004A6F9F">
        <w:rPr>
          <w:rFonts w:ascii="Arial" w:eastAsia="Arial" w:hAnsi="Arial" w:cs="Arial"/>
        </w:rPr>
        <w:t>would</w:t>
      </w:r>
      <w:r w:rsidR="00543934">
        <w:rPr>
          <w:rFonts w:ascii="Arial" w:eastAsia="Arial" w:hAnsi="Arial" w:cs="Arial"/>
          <w:color w:val="000000"/>
        </w:rPr>
        <w:t xml:space="preserve"> be</w:t>
      </w:r>
      <w:r>
        <w:rPr>
          <w:rFonts w:ascii="Arial" w:eastAsia="Arial" w:hAnsi="Arial" w:cs="Arial"/>
          <w:color w:val="000000"/>
        </w:rPr>
        <w:t xml:space="preserve"> required to submit new testing proposals and may need to conduct duplicate tests on the chemicals (including animal testing) to comply with a UK system. Businesses would incur costs from conducting these tests.</w:t>
      </w:r>
    </w:p>
    <w:p w14:paraId="19BDA2F9" w14:textId="77777777" w:rsidR="00203859" w:rsidRDefault="00203859">
      <w:pPr>
        <w:pBdr>
          <w:top w:val="nil"/>
          <w:left w:val="nil"/>
          <w:bottom w:val="nil"/>
          <w:right w:val="nil"/>
          <w:between w:val="nil"/>
        </w:pBdr>
        <w:spacing w:after="0"/>
        <w:ind w:left="426" w:hanging="426"/>
        <w:rPr>
          <w:rFonts w:ascii="Arial" w:eastAsia="Arial" w:hAnsi="Arial" w:cs="Arial"/>
          <w:b/>
          <w:color w:val="000000"/>
        </w:rPr>
      </w:pPr>
    </w:p>
    <w:p w14:paraId="1B21DB2A" w14:textId="42DE1160" w:rsidR="00203859" w:rsidRDefault="004A6F9F">
      <w:pPr>
        <w:numPr>
          <w:ilvl w:val="1"/>
          <w:numId w:val="5"/>
        </w:numPr>
        <w:pBdr>
          <w:top w:val="nil"/>
          <w:left w:val="nil"/>
          <w:bottom w:val="nil"/>
          <w:right w:val="nil"/>
          <w:between w:val="nil"/>
        </w:pBdr>
        <w:spacing w:after="0" w:line="240" w:lineRule="auto"/>
        <w:ind w:left="426" w:hanging="426"/>
        <w:rPr>
          <w:rFonts w:ascii="Arial" w:eastAsia="Arial" w:hAnsi="Arial" w:cs="Arial"/>
          <w:b/>
          <w:color w:val="000000"/>
        </w:rPr>
      </w:pPr>
      <w:r>
        <w:rPr>
          <w:rFonts w:ascii="Arial" w:eastAsia="Arial" w:hAnsi="Arial" w:cs="Arial"/>
          <w:b/>
          <w:color w:val="000000"/>
        </w:rPr>
        <w:t xml:space="preserve">Future data sharing: </w:t>
      </w:r>
      <w:r>
        <w:rPr>
          <w:rFonts w:ascii="Arial" w:eastAsia="Arial" w:hAnsi="Arial" w:cs="Arial"/>
          <w:color w:val="000000"/>
        </w:rPr>
        <w:t xml:space="preserve">EU REACH allows for data sharing between companies and requires data sharing in the case of animal studies.  The same requirements would apply in the UK system.  However, the smaller size of the UK market would mean that fewer companies </w:t>
      </w:r>
      <w:r w:rsidR="002D03B6">
        <w:rPr>
          <w:rFonts w:ascii="Arial" w:eastAsia="Arial" w:hAnsi="Arial" w:cs="Arial"/>
          <w:color w:val="000000"/>
        </w:rPr>
        <w:t xml:space="preserve">would </w:t>
      </w:r>
      <w:r>
        <w:rPr>
          <w:rFonts w:ascii="Arial" w:eastAsia="Arial" w:hAnsi="Arial" w:cs="Arial"/>
          <w:color w:val="000000"/>
        </w:rPr>
        <w:t xml:space="preserve">be present to share that cost burden.  </w:t>
      </w:r>
      <w:r w:rsidRPr="004A6F9F">
        <w:rPr>
          <w:rFonts w:ascii="Arial" w:eastAsia="Arial" w:hAnsi="Arial" w:cs="Arial"/>
        </w:rPr>
        <w:t>T</w:t>
      </w:r>
      <w:r>
        <w:rPr>
          <w:rFonts w:ascii="Arial" w:eastAsia="Arial" w:hAnsi="Arial" w:cs="Arial"/>
          <w:color w:val="000000"/>
        </w:rPr>
        <w:t>his would increase the cost per company compared to the baseline.</w:t>
      </w:r>
    </w:p>
    <w:p w14:paraId="7CE19047" w14:textId="77777777" w:rsidR="00203859" w:rsidRDefault="00203859">
      <w:pPr>
        <w:pBdr>
          <w:top w:val="nil"/>
          <w:left w:val="nil"/>
          <w:bottom w:val="nil"/>
          <w:right w:val="nil"/>
          <w:between w:val="nil"/>
        </w:pBdr>
        <w:ind w:left="426" w:hanging="426"/>
        <w:rPr>
          <w:rFonts w:ascii="Arial" w:eastAsia="Arial" w:hAnsi="Arial" w:cs="Arial"/>
          <w:b/>
          <w:color w:val="FF0000"/>
        </w:rPr>
      </w:pPr>
    </w:p>
    <w:p w14:paraId="7468F292" w14:textId="77777777" w:rsidR="00203859" w:rsidRDefault="004A6F9F">
      <w:pPr>
        <w:numPr>
          <w:ilvl w:val="0"/>
          <w:numId w:val="3"/>
        </w:numPr>
        <w:pBdr>
          <w:top w:val="nil"/>
          <w:left w:val="nil"/>
          <w:bottom w:val="nil"/>
          <w:right w:val="nil"/>
          <w:between w:val="nil"/>
        </w:pBdr>
        <w:spacing w:before="240" w:after="240" w:line="240" w:lineRule="auto"/>
        <w:ind w:left="426" w:hanging="426"/>
        <w:rPr>
          <w:b/>
          <w:color w:val="000000"/>
        </w:rPr>
      </w:pPr>
      <w:r>
        <w:rPr>
          <w:rFonts w:ascii="Arial" w:eastAsia="Arial" w:hAnsi="Arial" w:cs="Arial"/>
          <w:b/>
          <w:color w:val="000000"/>
        </w:rPr>
        <w:t>WIDER IMPACTS</w:t>
      </w:r>
    </w:p>
    <w:p w14:paraId="792EB1C3" w14:textId="20E322E5" w:rsidR="00203859" w:rsidRDefault="004A6F9F">
      <w:pPr>
        <w:numPr>
          <w:ilvl w:val="0"/>
          <w:numId w:val="5"/>
        </w:numPr>
        <w:pBdr>
          <w:top w:val="nil"/>
          <w:left w:val="nil"/>
          <w:bottom w:val="nil"/>
          <w:right w:val="nil"/>
          <w:between w:val="nil"/>
        </w:pBdr>
        <w:spacing w:before="240" w:after="240" w:line="240" w:lineRule="auto"/>
        <w:ind w:left="426" w:hanging="426"/>
      </w:pPr>
      <w:r>
        <w:rPr>
          <w:rFonts w:ascii="Arial" w:eastAsia="Arial" w:hAnsi="Arial" w:cs="Arial"/>
          <w:color w:val="000000"/>
        </w:rPr>
        <w:t xml:space="preserve">This section examines wider impacts which apply under both the </w:t>
      </w:r>
      <w:r w:rsidR="00665D5F">
        <w:rPr>
          <w:rFonts w:ascii="Arial" w:eastAsia="Arial" w:hAnsi="Arial" w:cs="Arial"/>
          <w:color w:val="000000"/>
        </w:rPr>
        <w:t>static acquis</w:t>
      </w:r>
      <w:r>
        <w:rPr>
          <w:rFonts w:ascii="Arial" w:eastAsia="Arial" w:hAnsi="Arial" w:cs="Arial"/>
          <w:color w:val="000000"/>
        </w:rPr>
        <w:t xml:space="preserve"> baseline and this SI, and draws out where applicable, where the impacts of the SI are incremental to the </w:t>
      </w:r>
      <w:r w:rsidR="00665D5F">
        <w:rPr>
          <w:rFonts w:ascii="Arial" w:eastAsia="Arial" w:hAnsi="Arial" w:cs="Arial"/>
          <w:color w:val="000000"/>
        </w:rPr>
        <w:t>static acquis</w:t>
      </w:r>
      <w:r>
        <w:rPr>
          <w:rFonts w:ascii="Arial" w:eastAsia="Arial" w:hAnsi="Arial" w:cs="Arial"/>
          <w:color w:val="000000"/>
        </w:rPr>
        <w:t xml:space="preserve"> baseline.</w:t>
      </w:r>
    </w:p>
    <w:p w14:paraId="0F66873F" w14:textId="77777777" w:rsidR="00203859" w:rsidRDefault="004A6F9F">
      <w:pPr>
        <w:pBdr>
          <w:top w:val="nil"/>
          <w:left w:val="nil"/>
          <w:bottom w:val="nil"/>
          <w:right w:val="nil"/>
          <w:between w:val="nil"/>
        </w:pBdr>
        <w:spacing w:before="240" w:after="240" w:line="240" w:lineRule="auto"/>
        <w:ind w:left="426" w:hanging="426"/>
        <w:rPr>
          <w:rFonts w:ascii="Arial" w:eastAsia="Arial" w:hAnsi="Arial" w:cs="Arial"/>
          <w:b/>
          <w:color w:val="000000"/>
        </w:rPr>
      </w:pPr>
      <w:r>
        <w:rPr>
          <w:rFonts w:ascii="Arial" w:eastAsia="Arial" w:hAnsi="Arial" w:cs="Arial"/>
          <w:b/>
          <w:color w:val="000000"/>
        </w:rPr>
        <w:t>Small and Micro Business Assessment (SaMBA)</w:t>
      </w:r>
    </w:p>
    <w:p w14:paraId="6B5F23AC" w14:textId="1FF2F5D5" w:rsidR="00203859" w:rsidRDefault="004A6F9F">
      <w:pPr>
        <w:numPr>
          <w:ilvl w:val="0"/>
          <w:numId w:val="5"/>
        </w:numPr>
        <w:pBdr>
          <w:top w:val="nil"/>
          <w:left w:val="nil"/>
          <w:bottom w:val="nil"/>
          <w:right w:val="nil"/>
          <w:between w:val="nil"/>
        </w:pBdr>
        <w:spacing w:before="240" w:after="240" w:line="240" w:lineRule="auto"/>
        <w:ind w:left="426" w:hanging="426"/>
      </w:pPr>
      <w:r>
        <w:rPr>
          <w:rFonts w:ascii="Arial" w:eastAsia="Arial" w:hAnsi="Arial" w:cs="Arial"/>
          <w:color w:val="000000"/>
        </w:rPr>
        <w:t xml:space="preserve">Under both the </w:t>
      </w:r>
      <w:r w:rsidR="00665D5F">
        <w:rPr>
          <w:rFonts w:ascii="Arial" w:eastAsia="Arial" w:hAnsi="Arial" w:cs="Arial"/>
          <w:color w:val="000000"/>
        </w:rPr>
        <w:t>static acquis</w:t>
      </w:r>
      <w:r>
        <w:rPr>
          <w:rFonts w:ascii="Arial" w:eastAsia="Arial" w:hAnsi="Arial" w:cs="Arial"/>
          <w:color w:val="000000"/>
        </w:rPr>
        <w:t xml:space="preserve"> baseline and the proposed SI, the regulatory measures are expected to impact all businesses. The</w:t>
      </w:r>
      <w:r w:rsidR="0091293C">
        <w:rPr>
          <w:rFonts w:ascii="Arial" w:eastAsia="Arial" w:hAnsi="Arial" w:cs="Arial"/>
          <w:color w:val="000000"/>
        </w:rPr>
        <w:t xml:space="preserve">re are approximately 2,800 UK chemicals </w:t>
      </w:r>
      <w:r w:rsidR="0091293C">
        <w:rPr>
          <w:rFonts w:ascii="Arial" w:eastAsia="Arial" w:hAnsi="Arial" w:cs="Arial"/>
          <w:color w:val="000000"/>
        </w:rPr>
        <w:lastRenderedPageBreak/>
        <w:t xml:space="preserve">businesses, of which 97.5% </w:t>
      </w:r>
      <w:r w:rsidR="00543934">
        <w:rPr>
          <w:rFonts w:ascii="Arial" w:eastAsia="Arial" w:hAnsi="Arial" w:cs="Arial"/>
          <w:color w:val="000000"/>
        </w:rPr>
        <w:t>are Small</w:t>
      </w:r>
      <w:r>
        <w:rPr>
          <w:rFonts w:ascii="Arial" w:eastAsia="Arial" w:hAnsi="Arial" w:cs="Arial"/>
          <w:color w:val="000000"/>
        </w:rPr>
        <w:t xml:space="preserve"> and Medium Enterprises (SMEs) and microbusinesses (employing fewer than 250 people)</w:t>
      </w:r>
      <w:r w:rsidR="0091293C">
        <w:rPr>
          <w:rFonts w:ascii="Arial" w:eastAsia="Arial" w:hAnsi="Arial" w:cs="Arial"/>
          <w:color w:val="000000"/>
        </w:rPr>
        <w:t>.</w:t>
      </w:r>
      <w:r>
        <w:rPr>
          <w:rFonts w:ascii="Arial" w:eastAsia="Arial" w:hAnsi="Arial" w:cs="Arial"/>
          <w:color w:val="000000"/>
          <w:vertAlign w:val="superscript"/>
        </w:rPr>
        <w:footnoteReference w:id="13"/>
      </w:r>
    </w:p>
    <w:p w14:paraId="3BE868A2" w14:textId="1088AC44" w:rsidR="00203859" w:rsidRDefault="004A6F9F">
      <w:pPr>
        <w:numPr>
          <w:ilvl w:val="0"/>
          <w:numId w:val="5"/>
        </w:numPr>
        <w:pBdr>
          <w:top w:val="nil"/>
          <w:left w:val="nil"/>
          <w:bottom w:val="nil"/>
          <w:right w:val="nil"/>
          <w:between w:val="nil"/>
        </w:pBdr>
        <w:spacing w:before="240" w:after="240" w:line="240" w:lineRule="auto"/>
        <w:ind w:left="426" w:hanging="426"/>
      </w:pPr>
      <w:r>
        <w:rPr>
          <w:rFonts w:ascii="Arial" w:eastAsia="Arial" w:hAnsi="Arial" w:cs="Arial"/>
          <w:b/>
          <w:color w:val="000000"/>
        </w:rPr>
        <w:t xml:space="preserve">Cost of fees: </w:t>
      </w:r>
      <w:r>
        <w:rPr>
          <w:rFonts w:ascii="Arial" w:eastAsia="Arial" w:hAnsi="Arial" w:cs="Arial"/>
          <w:color w:val="000000"/>
        </w:rPr>
        <w:t xml:space="preserve">Businesses would be required to register their chemical substances and apply for authorisations for certain substances. They would incur fees to do so. The UK authority </w:t>
      </w:r>
      <w:r w:rsidR="002D03B6">
        <w:rPr>
          <w:rFonts w:ascii="Arial" w:eastAsia="Arial" w:hAnsi="Arial" w:cs="Arial"/>
          <w:color w:val="000000"/>
        </w:rPr>
        <w:t xml:space="preserve">would </w:t>
      </w:r>
      <w:r>
        <w:rPr>
          <w:rFonts w:ascii="Arial" w:eastAsia="Arial" w:hAnsi="Arial" w:cs="Arial"/>
          <w:color w:val="000000"/>
        </w:rPr>
        <w:t xml:space="preserve">adopt a range of fees dependent on company size and tonnage produced, to help alleviate the </w:t>
      </w:r>
      <w:r w:rsidRPr="004A6F9F">
        <w:rPr>
          <w:rFonts w:ascii="Arial" w:eastAsia="Arial" w:hAnsi="Arial" w:cs="Arial"/>
        </w:rPr>
        <w:t>disproportionately</w:t>
      </w:r>
      <w:r>
        <w:rPr>
          <w:rFonts w:ascii="Arial" w:eastAsia="Arial" w:hAnsi="Arial" w:cs="Arial"/>
          <w:color w:val="000000"/>
        </w:rPr>
        <w:t xml:space="preserve"> higher burden to smaller businesses. This </w:t>
      </w:r>
      <w:r w:rsidR="002D03B6">
        <w:rPr>
          <w:rFonts w:ascii="Arial" w:eastAsia="Arial" w:hAnsi="Arial" w:cs="Arial"/>
          <w:color w:val="000000"/>
        </w:rPr>
        <w:t xml:space="preserve">would </w:t>
      </w:r>
      <w:r>
        <w:rPr>
          <w:rFonts w:ascii="Arial" w:eastAsia="Arial" w:hAnsi="Arial" w:cs="Arial"/>
          <w:color w:val="000000"/>
        </w:rPr>
        <w:t>be the same fee structure which businesses currently face under ECHA.</w:t>
      </w:r>
    </w:p>
    <w:p w14:paraId="5E02DF19" w14:textId="118433FC" w:rsidR="00203859" w:rsidRDefault="004A6F9F">
      <w:pPr>
        <w:numPr>
          <w:ilvl w:val="0"/>
          <w:numId w:val="5"/>
        </w:numPr>
        <w:pBdr>
          <w:top w:val="nil"/>
          <w:left w:val="nil"/>
          <w:bottom w:val="nil"/>
          <w:right w:val="nil"/>
          <w:between w:val="nil"/>
        </w:pBdr>
        <w:spacing w:before="240" w:after="240" w:line="240" w:lineRule="auto"/>
        <w:ind w:left="426" w:hanging="426"/>
      </w:pPr>
      <w:r>
        <w:rPr>
          <w:rFonts w:ascii="Arial" w:eastAsia="Arial" w:hAnsi="Arial" w:cs="Arial"/>
          <w:b/>
          <w:color w:val="000000"/>
        </w:rPr>
        <w:t>Cost of providing data:</w:t>
      </w:r>
      <w:r>
        <w:rPr>
          <w:rFonts w:ascii="Arial" w:eastAsia="Arial" w:hAnsi="Arial" w:cs="Arial"/>
          <w:color w:val="000000"/>
        </w:rPr>
        <w:t xml:space="preserve"> Businesses would be required to provide data on their substances, and this cost is likely to be substantially higher than the cost of fees. This may place a disproportionately high cost on smaller businesses. However, the size of a registration dossier and the amount of supporting data needed are less for lower tonnages of a chemical, with significantly reduced requirements in particular for tonnages under 10 tonnes; this </w:t>
      </w:r>
      <w:r w:rsidR="002D03B6">
        <w:rPr>
          <w:rFonts w:ascii="Arial" w:eastAsia="Arial" w:hAnsi="Arial" w:cs="Arial"/>
          <w:color w:val="000000"/>
        </w:rPr>
        <w:t xml:space="preserve">would </w:t>
      </w:r>
      <w:r>
        <w:rPr>
          <w:rFonts w:ascii="Arial" w:eastAsia="Arial" w:hAnsi="Arial" w:cs="Arial"/>
          <w:color w:val="000000"/>
        </w:rPr>
        <w:t xml:space="preserve">benefit smaller businesses who in general manufacture or import smaller quantities.  Businesses </w:t>
      </w:r>
      <w:r w:rsidR="002D03B6">
        <w:rPr>
          <w:rFonts w:ascii="Arial" w:eastAsia="Arial" w:hAnsi="Arial" w:cs="Arial"/>
          <w:color w:val="000000"/>
        </w:rPr>
        <w:t xml:space="preserve">would </w:t>
      </w:r>
      <w:r>
        <w:rPr>
          <w:rFonts w:ascii="Arial" w:eastAsia="Arial" w:hAnsi="Arial" w:cs="Arial"/>
          <w:color w:val="000000"/>
        </w:rPr>
        <w:t>also be able to share the costs of testing substances through using joint registrations.</w:t>
      </w:r>
    </w:p>
    <w:p w14:paraId="2F35B087" w14:textId="77777777" w:rsidR="00203859" w:rsidRDefault="004A6F9F">
      <w:pPr>
        <w:pBdr>
          <w:top w:val="nil"/>
          <w:left w:val="nil"/>
          <w:bottom w:val="nil"/>
          <w:right w:val="nil"/>
          <w:between w:val="nil"/>
        </w:pBdr>
        <w:spacing w:before="240" w:after="240"/>
        <w:ind w:left="426" w:hanging="426"/>
        <w:rPr>
          <w:rFonts w:ascii="Arial" w:eastAsia="Arial" w:hAnsi="Arial" w:cs="Arial"/>
          <w:b/>
          <w:color w:val="000000"/>
        </w:rPr>
      </w:pPr>
      <w:r>
        <w:rPr>
          <w:rFonts w:ascii="Arial" w:eastAsia="Arial" w:hAnsi="Arial" w:cs="Arial"/>
          <w:b/>
          <w:color w:val="000000"/>
        </w:rPr>
        <w:t>Competition</w:t>
      </w:r>
    </w:p>
    <w:p w14:paraId="39C1FAD8" w14:textId="17CB0DE9" w:rsidR="00203859" w:rsidRDefault="004A6F9F">
      <w:pPr>
        <w:numPr>
          <w:ilvl w:val="0"/>
          <w:numId w:val="5"/>
        </w:numPr>
        <w:pBdr>
          <w:top w:val="nil"/>
          <w:left w:val="nil"/>
          <w:bottom w:val="nil"/>
          <w:right w:val="nil"/>
          <w:between w:val="nil"/>
        </w:pBdr>
        <w:spacing w:before="240" w:after="240" w:line="240" w:lineRule="auto"/>
        <w:ind w:left="426" w:hanging="426"/>
      </w:pPr>
      <w:r>
        <w:rPr>
          <w:rFonts w:ascii="Arial" w:eastAsia="Arial" w:hAnsi="Arial" w:cs="Arial"/>
          <w:color w:val="000000"/>
        </w:rPr>
        <w:t xml:space="preserve">Under both the </w:t>
      </w:r>
      <w:r w:rsidR="00665D5F">
        <w:rPr>
          <w:rFonts w:ascii="Arial" w:eastAsia="Arial" w:hAnsi="Arial" w:cs="Arial"/>
          <w:color w:val="000000"/>
        </w:rPr>
        <w:t>static acquis</w:t>
      </w:r>
      <w:r>
        <w:rPr>
          <w:rFonts w:ascii="Arial" w:eastAsia="Arial" w:hAnsi="Arial" w:cs="Arial"/>
          <w:color w:val="000000"/>
        </w:rPr>
        <w:t xml:space="preserve"> baseline and the proposed SI, one of the aims stated in the legislation is to enhance competitiveness and innovation.  The legislation also includes provision for fair cost sharing between companies who are registering and sharing data on the same chemicals.</w:t>
      </w:r>
    </w:p>
    <w:p w14:paraId="61C0F51A" w14:textId="77777777" w:rsidR="00203859" w:rsidRDefault="004A6F9F">
      <w:pPr>
        <w:pBdr>
          <w:top w:val="nil"/>
          <w:left w:val="nil"/>
          <w:bottom w:val="nil"/>
          <w:right w:val="nil"/>
          <w:between w:val="nil"/>
        </w:pBdr>
        <w:spacing w:before="240" w:after="240"/>
        <w:ind w:left="426" w:hanging="426"/>
        <w:rPr>
          <w:rFonts w:ascii="Arial" w:eastAsia="Arial" w:hAnsi="Arial" w:cs="Arial"/>
          <w:b/>
          <w:color w:val="000000"/>
        </w:rPr>
      </w:pPr>
      <w:r>
        <w:rPr>
          <w:rFonts w:ascii="Arial" w:eastAsia="Arial" w:hAnsi="Arial" w:cs="Arial"/>
          <w:b/>
          <w:color w:val="000000"/>
        </w:rPr>
        <w:t>Family impact test</w:t>
      </w:r>
    </w:p>
    <w:p w14:paraId="4287CEF8" w14:textId="77777777" w:rsidR="00203859" w:rsidRDefault="004A6F9F">
      <w:pPr>
        <w:numPr>
          <w:ilvl w:val="0"/>
          <w:numId w:val="5"/>
        </w:numPr>
        <w:pBdr>
          <w:top w:val="nil"/>
          <w:left w:val="nil"/>
          <w:bottom w:val="nil"/>
          <w:right w:val="nil"/>
          <w:between w:val="nil"/>
        </w:pBdr>
        <w:spacing w:before="240" w:after="240" w:line="240" w:lineRule="auto"/>
        <w:ind w:left="426" w:hanging="426"/>
      </w:pPr>
      <w:r>
        <w:rPr>
          <w:rFonts w:ascii="Arial" w:eastAsia="Arial" w:hAnsi="Arial" w:cs="Arial"/>
          <w:color w:val="000000"/>
        </w:rPr>
        <w:t>No impact identified.</w:t>
      </w:r>
    </w:p>
    <w:p w14:paraId="6F1BE8D7" w14:textId="77777777" w:rsidR="00203859" w:rsidRDefault="004A6F9F">
      <w:pPr>
        <w:pBdr>
          <w:top w:val="nil"/>
          <w:left w:val="nil"/>
          <w:bottom w:val="nil"/>
          <w:right w:val="nil"/>
          <w:between w:val="nil"/>
        </w:pBdr>
        <w:spacing w:before="240" w:after="240"/>
        <w:ind w:left="426" w:hanging="426"/>
        <w:rPr>
          <w:rFonts w:ascii="Arial" w:eastAsia="Arial" w:hAnsi="Arial" w:cs="Arial"/>
          <w:b/>
          <w:color w:val="000000"/>
        </w:rPr>
      </w:pPr>
      <w:r>
        <w:rPr>
          <w:rFonts w:ascii="Arial" w:eastAsia="Arial" w:hAnsi="Arial" w:cs="Arial"/>
          <w:b/>
          <w:color w:val="000000"/>
        </w:rPr>
        <w:t xml:space="preserve">Equalities and human rights </w:t>
      </w:r>
    </w:p>
    <w:p w14:paraId="1CC07DC3" w14:textId="45BD4CB4" w:rsidR="00203859" w:rsidRDefault="004A6F9F">
      <w:pPr>
        <w:numPr>
          <w:ilvl w:val="0"/>
          <w:numId w:val="5"/>
        </w:numPr>
        <w:pBdr>
          <w:top w:val="nil"/>
          <w:left w:val="nil"/>
          <w:bottom w:val="nil"/>
          <w:right w:val="nil"/>
          <w:between w:val="nil"/>
        </w:pBdr>
        <w:spacing w:before="240" w:after="240" w:line="240" w:lineRule="auto"/>
        <w:ind w:left="426" w:hanging="426"/>
      </w:pPr>
      <w:r>
        <w:rPr>
          <w:rFonts w:ascii="Arial" w:eastAsia="Arial" w:hAnsi="Arial" w:cs="Arial"/>
          <w:color w:val="000000"/>
        </w:rPr>
        <w:t xml:space="preserve">The SI’s provisions have no undue effect on particular racial groups, income groups, gender groups, age groups, people with disabilities, or people with particular religious views. It is not envisaged that any equality issues </w:t>
      </w:r>
      <w:r w:rsidR="002D03B6">
        <w:rPr>
          <w:rFonts w:ascii="Arial" w:eastAsia="Arial" w:hAnsi="Arial" w:cs="Arial"/>
          <w:color w:val="000000"/>
        </w:rPr>
        <w:t xml:space="preserve">would </w:t>
      </w:r>
      <w:r>
        <w:rPr>
          <w:rFonts w:ascii="Arial" w:eastAsia="Arial" w:hAnsi="Arial" w:cs="Arial"/>
          <w:color w:val="000000"/>
        </w:rPr>
        <w:t xml:space="preserve">arise as a result of the SI’s provisions. In line with the principles of sustainable development, social, economic and environmental considerations </w:t>
      </w:r>
      <w:r w:rsidR="002D03B6">
        <w:rPr>
          <w:rFonts w:ascii="Arial" w:eastAsia="Arial" w:hAnsi="Arial" w:cs="Arial"/>
          <w:color w:val="000000"/>
        </w:rPr>
        <w:t xml:space="preserve">would </w:t>
      </w:r>
      <w:r>
        <w:rPr>
          <w:rFonts w:ascii="Arial" w:eastAsia="Arial" w:hAnsi="Arial" w:cs="Arial"/>
          <w:color w:val="000000"/>
        </w:rPr>
        <w:t xml:space="preserve">all be taken into account for any decision-making when exercising powers under the SI. The overarching aim of managing chemicals </w:t>
      </w:r>
      <w:r w:rsidR="002D03B6">
        <w:rPr>
          <w:rFonts w:ascii="Arial" w:eastAsia="Arial" w:hAnsi="Arial" w:cs="Arial"/>
          <w:color w:val="000000"/>
        </w:rPr>
        <w:t xml:space="preserve">would </w:t>
      </w:r>
      <w:r>
        <w:rPr>
          <w:rFonts w:ascii="Arial" w:eastAsia="Arial" w:hAnsi="Arial" w:cs="Arial"/>
          <w:color w:val="000000"/>
        </w:rPr>
        <w:t xml:space="preserve">benefit all of society. </w:t>
      </w:r>
    </w:p>
    <w:p w14:paraId="1FA56CD8" w14:textId="77777777" w:rsidR="00203859" w:rsidRDefault="004A6F9F">
      <w:pPr>
        <w:pBdr>
          <w:top w:val="nil"/>
          <w:left w:val="nil"/>
          <w:bottom w:val="nil"/>
          <w:right w:val="nil"/>
          <w:between w:val="nil"/>
        </w:pBdr>
        <w:spacing w:after="0"/>
        <w:ind w:left="426" w:hanging="426"/>
        <w:rPr>
          <w:rFonts w:ascii="Arial" w:eastAsia="Arial" w:hAnsi="Arial" w:cs="Arial"/>
          <w:b/>
          <w:color w:val="000000"/>
        </w:rPr>
      </w:pPr>
      <w:r>
        <w:rPr>
          <w:rFonts w:ascii="Arial" w:eastAsia="Arial" w:hAnsi="Arial" w:cs="Arial"/>
          <w:b/>
          <w:color w:val="000000"/>
        </w:rPr>
        <w:t>Environmental impacts</w:t>
      </w:r>
    </w:p>
    <w:p w14:paraId="284D6D7E" w14:textId="0A3475D4" w:rsidR="00203859" w:rsidRDefault="004A6F9F">
      <w:pPr>
        <w:numPr>
          <w:ilvl w:val="0"/>
          <w:numId w:val="5"/>
        </w:numPr>
        <w:pBdr>
          <w:top w:val="nil"/>
          <w:left w:val="nil"/>
          <w:bottom w:val="nil"/>
          <w:right w:val="nil"/>
          <w:between w:val="nil"/>
        </w:pBdr>
        <w:spacing w:after="0" w:line="240" w:lineRule="auto"/>
        <w:ind w:left="426" w:hanging="426"/>
      </w:pPr>
      <w:r>
        <w:rPr>
          <w:rFonts w:ascii="Arial" w:eastAsia="Arial" w:hAnsi="Arial" w:cs="Arial"/>
          <w:color w:val="000000"/>
        </w:rPr>
        <w:t xml:space="preserve">Under both the </w:t>
      </w:r>
      <w:r w:rsidR="00665D5F">
        <w:rPr>
          <w:rFonts w:ascii="Arial" w:eastAsia="Arial" w:hAnsi="Arial" w:cs="Arial"/>
          <w:color w:val="000000"/>
        </w:rPr>
        <w:t>static acquis</w:t>
      </w:r>
      <w:r>
        <w:rPr>
          <w:rFonts w:ascii="Arial" w:eastAsia="Arial" w:hAnsi="Arial" w:cs="Arial"/>
          <w:color w:val="000000"/>
        </w:rPr>
        <w:t xml:space="preserve"> baseline and the proposed SI, one of the stated primary aims is to ensure a high level of protection of human health and the environment.  It would be the duty of industry to identify and understand the hazards and potential risks of the chemicals they place on the market or use, and then to recommend and apply appropriate risk management measures. There would also be comprehensive powers for the regulatory authorities to investigate hazards and risks and to introduce regulatory controls where necessary.  These powers would allow evidence based decisions on chemicals to effectively manage the health and environmental risks. Using the processes set out in the proposed SI, decisions on specific substances would be based on detailed scientific, including socio-economic, analysis. </w:t>
      </w:r>
    </w:p>
    <w:p w14:paraId="3D6E3824" w14:textId="77777777" w:rsidR="00203859" w:rsidRDefault="004A6F9F">
      <w:pPr>
        <w:pBdr>
          <w:top w:val="nil"/>
          <w:left w:val="nil"/>
          <w:bottom w:val="nil"/>
          <w:right w:val="nil"/>
          <w:between w:val="nil"/>
        </w:pBdr>
        <w:spacing w:before="240" w:after="240" w:line="240" w:lineRule="auto"/>
        <w:ind w:left="426" w:hanging="426"/>
        <w:rPr>
          <w:rFonts w:ascii="Arial" w:eastAsia="Arial" w:hAnsi="Arial" w:cs="Arial"/>
          <w:b/>
          <w:color w:val="000000"/>
        </w:rPr>
      </w:pPr>
      <w:r>
        <w:rPr>
          <w:rFonts w:ascii="Arial" w:eastAsia="Arial" w:hAnsi="Arial" w:cs="Arial"/>
          <w:b/>
          <w:color w:val="000000"/>
        </w:rPr>
        <w:t>Animal Welfare</w:t>
      </w:r>
    </w:p>
    <w:p w14:paraId="486C8DDA" w14:textId="620DE356" w:rsidR="00203859" w:rsidRDefault="004A6F9F">
      <w:pPr>
        <w:numPr>
          <w:ilvl w:val="0"/>
          <w:numId w:val="5"/>
        </w:numPr>
        <w:pBdr>
          <w:top w:val="nil"/>
          <w:left w:val="nil"/>
          <w:bottom w:val="nil"/>
          <w:right w:val="nil"/>
          <w:between w:val="nil"/>
        </w:pBdr>
        <w:spacing w:before="240" w:after="240" w:line="240" w:lineRule="auto"/>
        <w:ind w:left="426" w:hanging="426"/>
      </w:pPr>
      <w:r>
        <w:rPr>
          <w:rFonts w:ascii="Arial" w:eastAsia="Arial" w:hAnsi="Arial" w:cs="Arial"/>
          <w:color w:val="000000"/>
        </w:rPr>
        <w:lastRenderedPageBreak/>
        <w:t xml:space="preserve">The Government is committed to the very highest standards of animal welfare. Similar to the </w:t>
      </w:r>
      <w:r w:rsidR="00665D5F">
        <w:rPr>
          <w:rFonts w:ascii="Arial" w:eastAsia="Arial" w:hAnsi="Arial" w:cs="Arial"/>
          <w:color w:val="000000"/>
        </w:rPr>
        <w:t>static acquis</w:t>
      </w:r>
      <w:r>
        <w:rPr>
          <w:rFonts w:ascii="Arial" w:eastAsia="Arial" w:hAnsi="Arial" w:cs="Arial"/>
          <w:color w:val="000000"/>
        </w:rPr>
        <w:t xml:space="preserve"> baseline, a UK </w:t>
      </w:r>
      <w:r w:rsidR="00156B8A">
        <w:rPr>
          <w:rFonts w:ascii="Arial" w:eastAsia="Arial" w:hAnsi="Arial" w:cs="Arial"/>
          <w:color w:val="000000"/>
        </w:rPr>
        <w:t xml:space="preserve">regulatory regime </w:t>
      </w:r>
      <w:r>
        <w:rPr>
          <w:rFonts w:ascii="Arial" w:eastAsia="Arial" w:hAnsi="Arial" w:cs="Arial"/>
          <w:color w:val="000000"/>
        </w:rPr>
        <w:t xml:space="preserve">would </w:t>
      </w:r>
      <w:r w:rsidR="00156B8A">
        <w:rPr>
          <w:rFonts w:ascii="Arial" w:eastAsia="Arial" w:hAnsi="Arial" w:cs="Arial"/>
          <w:color w:val="000000"/>
        </w:rPr>
        <w:t xml:space="preserve">require </w:t>
      </w:r>
      <w:r>
        <w:rPr>
          <w:rFonts w:ascii="Arial" w:eastAsia="Arial" w:hAnsi="Arial" w:cs="Arial"/>
          <w:color w:val="000000"/>
        </w:rPr>
        <w:t xml:space="preserve">chemical data sharing between firms and promote alternative testing methods to prevent unnecessary animal testing within the UK market. Where a registrant company considers that it needs to carry out a new animal study </w:t>
      </w:r>
      <w:r w:rsidR="00156B8A">
        <w:rPr>
          <w:rFonts w:ascii="Arial" w:eastAsia="Arial" w:hAnsi="Arial" w:cs="Arial"/>
          <w:color w:val="000000"/>
        </w:rPr>
        <w:t xml:space="preserve">the same rules would continue to apply with the </w:t>
      </w:r>
      <w:r>
        <w:rPr>
          <w:rFonts w:ascii="Arial" w:eastAsia="Arial" w:hAnsi="Arial" w:cs="Arial"/>
          <w:color w:val="000000"/>
        </w:rPr>
        <w:t>need to justify this in a testing proposal and get agreement from the UK regulatory authority before it can carry out the tests.</w:t>
      </w:r>
    </w:p>
    <w:p w14:paraId="078AB6B2" w14:textId="621AE299" w:rsidR="00203859" w:rsidRDefault="004A6F9F">
      <w:pPr>
        <w:numPr>
          <w:ilvl w:val="0"/>
          <w:numId w:val="5"/>
        </w:numPr>
        <w:pBdr>
          <w:top w:val="nil"/>
          <w:left w:val="nil"/>
          <w:bottom w:val="nil"/>
          <w:right w:val="nil"/>
          <w:between w:val="nil"/>
        </w:pBdr>
        <w:spacing w:before="240" w:after="240" w:line="240" w:lineRule="auto"/>
        <w:ind w:left="426" w:hanging="426"/>
      </w:pPr>
      <w:r>
        <w:rPr>
          <w:rFonts w:ascii="Arial" w:eastAsia="Arial" w:hAnsi="Arial" w:cs="Arial"/>
          <w:color w:val="000000"/>
        </w:rPr>
        <w:t xml:space="preserve">However, there </w:t>
      </w:r>
      <w:r w:rsidR="00156B8A">
        <w:rPr>
          <w:rFonts w:ascii="Arial" w:eastAsia="Arial" w:hAnsi="Arial" w:cs="Arial"/>
          <w:color w:val="000000"/>
        </w:rPr>
        <w:t>is a risk of</w:t>
      </w:r>
      <w:r>
        <w:rPr>
          <w:rFonts w:ascii="Arial" w:eastAsia="Arial" w:hAnsi="Arial" w:cs="Arial"/>
          <w:color w:val="000000"/>
        </w:rPr>
        <w:t xml:space="preserve"> additional impacts compared to the </w:t>
      </w:r>
      <w:r w:rsidR="00665D5F">
        <w:rPr>
          <w:rFonts w:ascii="Arial" w:eastAsia="Arial" w:hAnsi="Arial" w:cs="Arial"/>
          <w:color w:val="000000"/>
        </w:rPr>
        <w:t>static acquis</w:t>
      </w:r>
      <w:r>
        <w:rPr>
          <w:rFonts w:ascii="Arial" w:eastAsia="Arial" w:hAnsi="Arial" w:cs="Arial"/>
          <w:color w:val="000000"/>
        </w:rPr>
        <w:t xml:space="preserve"> baseline if a process for data sharing with ECHA is not established. This may cause difficulties for firms to source and access existing chemical research, which could cause duplication of animal testing with the EEA, with resulting loss of animal welfare and ethical considerations. The requirement to submit a testing proposal first would continue to provide rigorous challenge.</w:t>
      </w:r>
    </w:p>
    <w:p w14:paraId="6F8F7D9D" w14:textId="77777777" w:rsidR="00203859" w:rsidRDefault="004A6F9F">
      <w:pPr>
        <w:pBdr>
          <w:top w:val="nil"/>
          <w:left w:val="nil"/>
          <w:bottom w:val="nil"/>
          <w:right w:val="nil"/>
          <w:between w:val="nil"/>
        </w:pBdr>
        <w:spacing w:before="240" w:after="240" w:line="240" w:lineRule="auto"/>
        <w:ind w:left="426" w:hanging="426"/>
        <w:rPr>
          <w:rFonts w:ascii="Arial" w:eastAsia="Arial" w:hAnsi="Arial" w:cs="Arial"/>
          <w:b/>
          <w:color w:val="000000"/>
        </w:rPr>
      </w:pPr>
      <w:r>
        <w:rPr>
          <w:rFonts w:ascii="Arial" w:eastAsia="Arial" w:hAnsi="Arial" w:cs="Arial"/>
          <w:b/>
          <w:color w:val="000000"/>
        </w:rPr>
        <w:t>Regional impacts</w:t>
      </w:r>
    </w:p>
    <w:p w14:paraId="6ED2DDA7" w14:textId="39C1257F" w:rsidR="00203859" w:rsidRDefault="004A6F9F">
      <w:pPr>
        <w:numPr>
          <w:ilvl w:val="0"/>
          <w:numId w:val="5"/>
        </w:numPr>
        <w:pBdr>
          <w:top w:val="nil"/>
          <w:left w:val="nil"/>
          <w:bottom w:val="nil"/>
          <w:right w:val="nil"/>
          <w:between w:val="nil"/>
        </w:pBdr>
        <w:spacing w:after="240" w:line="240" w:lineRule="auto"/>
        <w:ind w:left="426" w:hanging="426"/>
      </w:pPr>
      <w:r>
        <w:rPr>
          <w:rFonts w:ascii="Arial" w:eastAsia="Arial" w:hAnsi="Arial" w:cs="Arial"/>
          <w:color w:val="000000"/>
        </w:rPr>
        <w:t>The chemicals sector is a significant employer in regions with higher levels of economic deprivation. Chemical production is concentrated in four main clusters – Hull, Teesside, Runcorn and Grangemouth. This proposal would ensure a functioning chemicals regime and provide stability for UK businesses (</w:t>
      </w:r>
      <w:r w:rsidR="00903350">
        <w:rPr>
          <w:rFonts w:ascii="Arial" w:eastAsia="Arial" w:hAnsi="Arial" w:cs="Arial"/>
          <w:color w:val="000000"/>
        </w:rPr>
        <w:t xml:space="preserve">a large benefit </w:t>
      </w:r>
      <w:r>
        <w:rPr>
          <w:rFonts w:ascii="Arial" w:eastAsia="Arial" w:hAnsi="Arial" w:cs="Arial"/>
          <w:color w:val="000000"/>
        </w:rPr>
        <w:t>compared to a “do nothing” scenario</w:t>
      </w:r>
      <w:r w:rsidR="00903350">
        <w:rPr>
          <w:rFonts w:ascii="Arial" w:eastAsia="Arial" w:hAnsi="Arial" w:cs="Arial"/>
          <w:color w:val="000000"/>
        </w:rPr>
        <w:t>, and no change in benefit compared to static acquis</w:t>
      </w:r>
      <w:r>
        <w:rPr>
          <w:rFonts w:ascii="Arial" w:eastAsia="Arial" w:hAnsi="Arial" w:cs="Arial"/>
          <w:color w:val="000000"/>
        </w:rPr>
        <w:t>).</w:t>
      </w:r>
    </w:p>
    <w:sectPr w:rsidR="00203859">
      <w:headerReference w:type="default" r:id="rId7"/>
      <w:foot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3F4469" w14:textId="77777777" w:rsidR="00101C41" w:rsidRDefault="00101C41">
      <w:pPr>
        <w:spacing w:after="0" w:line="240" w:lineRule="auto"/>
      </w:pPr>
      <w:r>
        <w:separator/>
      </w:r>
    </w:p>
  </w:endnote>
  <w:endnote w:type="continuationSeparator" w:id="0">
    <w:p w14:paraId="22DDB9BC" w14:textId="77777777" w:rsidR="00101C41" w:rsidRDefault="00101C41">
      <w:pPr>
        <w:spacing w:after="0" w:line="240" w:lineRule="auto"/>
      </w:pPr>
      <w:r>
        <w:continuationSeparator/>
      </w:r>
    </w:p>
  </w:endnote>
  <w:endnote w:type="continuationNotice" w:id="1">
    <w:p w14:paraId="25B6FFD9" w14:textId="77777777" w:rsidR="00101C41" w:rsidRDefault="00101C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auto"/>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Helvetica Neue">
    <w:altName w:val="Times New Roman"/>
    <w:charset w:val="00"/>
    <w:family w:val="auto"/>
    <w:pitch w:val="default"/>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2BAB26" w14:textId="330FE73E" w:rsidR="0024740E" w:rsidRPr="006933C0" w:rsidRDefault="0024740E" w:rsidP="006933C0">
    <w:pPr>
      <w:pStyle w:val="Footer"/>
      <w:rPr>
        <w:rFonts w:eastAsia="Aria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CC21A5" w14:textId="77777777" w:rsidR="00101C41" w:rsidRDefault="00101C41">
      <w:pPr>
        <w:spacing w:after="0" w:line="240" w:lineRule="auto"/>
      </w:pPr>
      <w:r>
        <w:separator/>
      </w:r>
    </w:p>
  </w:footnote>
  <w:footnote w:type="continuationSeparator" w:id="0">
    <w:p w14:paraId="1D718F69" w14:textId="77777777" w:rsidR="00101C41" w:rsidRDefault="00101C41">
      <w:pPr>
        <w:spacing w:after="0" w:line="240" w:lineRule="auto"/>
      </w:pPr>
      <w:r>
        <w:continuationSeparator/>
      </w:r>
    </w:p>
  </w:footnote>
  <w:footnote w:type="continuationNotice" w:id="1">
    <w:p w14:paraId="558C3E74" w14:textId="77777777" w:rsidR="00101C41" w:rsidRDefault="00101C41">
      <w:pPr>
        <w:spacing w:after="0" w:line="240" w:lineRule="auto"/>
      </w:pPr>
    </w:p>
  </w:footnote>
  <w:footnote w:id="2">
    <w:p w14:paraId="69B78619" w14:textId="77777777" w:rsidR="0024740E" w:rsidRDefault="0024740E">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Substances and preparations as defined in Directive 67/548/EEC</w:t>
      </w:r>
    </w:p>
  </w:footnote>
  <w:footnote w:id="3">
    <w:p w14:paraId="40A05C93" w14:textId="77777777" w:rsidR="0024740E" w:rsidRDefault="0024740E">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European Inventory of Existing Commercial Chemical Substances (EINECS) is an inventory of a sizeable 100,196 different substances deemed to be on the European market between 1971 and 1981</w:t>
      </w:r>
    </w:p>
  </w:footnote>
  <w:footnote w:id="4">
    <w:p w14:paraId="630C5807" w14:textId="77777777" w:rsidR="0024740E" w:rsidRDefault="0024740E">
      <w:pPr>
        <w:pBdr>
          <w:top w:val="nil"/>
          <w:left w:val="nil"/>
          <w:bottom w:val="nil"/>
          <w:right w:val="nil"/>
          <w:between w:val="nil"/>
        </w:pBdr>
        <w:spacing w:after="0" w:line="240" w:lineRule="auto"/>
        <w:rPr>
          <w:rFonts w:ascii="Arial" w:eastAsia="Arial" w:hAnsi="Arial" w:cs="Arial"/>
          <w:color w:val="000000"/>
          <w:sz w:val="18"/>
          <w:szCs w:val="18"/>
        </w:rPr>
      </w:pPr>
      <w:r>
        <w:rPr>
          <w:vertAlign w:val="superscript"/>
        </w:rPr>
        <w:footnoteRef/>
      </w:r>
      <w:r>
        <w:rPr>
          <w:rFonts w:ascii="Arial" w:eastAsia="Arial" w:hAnsi="Arial" w:cs="Arial"/>
          <w:color w:val="000000"/>
          <w:sz w:val="18"/>
          <w:szCs w:val="18"/>
        </w:rPr>
        <w:t xml:space="preserve"> GDP(O) Low Level Aggregates National Accounts, ONS, September 2018</w:t>
      </w:r>
    </w:p>
  </w:footnote>
  <w:footnote w:id="5">
    <w:p w14:paraId="6B9A0292" w14:textId="77777777" w:rsidR="0024740E" w:rsidRDefault="0024740E">
      <w:pPr>
        <w:pBdr>
          <w:top w:val="nil"/>
          <w:left w:val="nil"/>
          <w:bottom w:val="nil"/>
          <w:right w:val="nil"/>
          <w:between w:val="nil"/>
        </w:pBdr>
        <w:spacing w:after="0" w:line="240" w:lineRule="auto"/>
        <w:rPr>
          <w:rFonts w:ascii="Arial" w:eastAsia="Arial" w:hAnsi="Arial" w:cs="Arial"/>
          <w:color w:val="000000"/>
          <w:sz w:val="18"/>
          <w:szCs w:val="18"/>
        </w:rPr>
      </w:pPr>
      <w:r>
        <w:rPr>
          <w:vertAlign w:val="superscript"/>
        </w:rPr>
        <w:footnoteRef/>
      </w:r>
      <w:r>
        <w:rPr>
          <w:rFonts w:ascii="Arial" w:eastAsia="Arial" w:hAnsi="Arial" w:cs="Arial"/>
          <w:color w:val="000000"/>
          <w:sz w:val="18"/>
          <w:szCs w:val="18"/>
        </w:rPr>
        <w:t xml:space="preserve"> ‘Employee Jobs by Industry’, ONS, March 2018</w:t>
      </w:r>
    </w:p>
  </w:footnote>
  <w:footnote w:id="6">
    <w:p w14:paraId="0E6188D0" w14:textId="77777777" w:rsidR="0024740E" w:rsidRDefault="0024740E">
      <w:pPr>
        <w:pBdr>
          <w:top w:val="nil"/>
          <w:left w:val="nil"/>
          <w:bottom w:val="nil"/>
          <w:right w:val="nil"/>
          <w:between w:val="nil"/>
        </w:pBdr>
        <w:spacing w:after="0" w:line="240" w:lineRule="auto"/>
        <w:rPr>
          <w:rFonts w:ascii="Arial" w:eastAsia="Arial" w:hAnsi="Arial" w:cs="Arial"/>
          <w:color w:val="000000"/>
          <w:sz w:val="18"/>
          <w:szCs w:val="18"/>
        </w:rPr>
      </w:pPr>
      <w:r>
        <w:rPr>
          <w:vertAlign w:val="superscript"/>
        </w:rPr>
        <w:footnoteRef/>
      </w:r>
      <w:r>
        <w:rPr>
          <w:rFonts w:ascii="Arial" w:eastAsia="Arial" w:hAnsi="Arial" w:cs="Arial"/>
          <w:color w:val="000000"/>
          <w:sz w:val="18"/>
          <w:szCs w:val="18"/>
        </w:rPr>
        <w:t xml:space="preserve"> UK Business; activity, size and location, ONS, January 2018</w:t>
      </w:r>
    </w:p>
  </w:footnote>
  <w:footnote w:id="7">
    <w:p w14:paraId="4ECA4B15" w14:textId="77777777" w:rsidR="0024740E" w:rsidRDefault="0024740E">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European Commission (2016): </w:t>
      </w:r>
      <w:r>
        <w:rPr>
          <w:i/>
          <w:color w:val="000000"/>
          <w:sz w:val="20"/>
          <w:szCs w:val="20"/>
        </w:rPr>
        <w:t>Study on the Calculation of the Benefits of Chemicals Legislation on Human Health and the Environment. Development of a System of Indicators</w:t>
      </w:r>
      <w:r>
        <w:rPr>
          <w:color w:val="000000"/>
          <w:sz w:val="20"/>
          <w:szCs w:val="20"/>
        </w:rPr>
        <w:t>. Table on pages viii-ix</w:t>
      </w:r>
    </w:p>
  </w:footnote>
  <w:footnote w:id="8">
    <w:p w14:paraId="41AF5552" w14:textId="77777777" w:rsidR="0024740E" w:rsidRDefault="0024740E">
      <w:pPr>
        <w:pBdr>
          <w:top w:val="nil"/>
          <w:left w:val="nil"/>
          <w:bottom w:val="nil"/>
          <w:right w:val="nil"/>
          <w:between w:val="nil"/>
        </w:pBdr>
        <w:spacing w:after="0" w:line="240" w:lineRule="auto"/>
        <w:rPr>
          <w:i/>
          <w:color w:val="000000"/>
          <w:sz w:val="20"/>
          <w:szCs w:val="20"/>
        </w:rPr>
      </w:pPr>
      <w:r>
        <w:rPr>
          <w:vertAlign w:val="superscript"/>
        </w:rPr>
        <w:footnoteRef/>
      </w:r>
      <w:r>
        <w:rPr>
          <w:color w:val="000000"/>
          <w:sz w:val="20"/>
          <w:szCs w:val="20"/>
        </w:rPr>
        <w:t xml:space="preserve"> Office for Budget Responsibility (March 2018): </w:t>
      </w:r>
      <w:r>
        <w:rPr>
          <w:i/>
          <w:color w:val="000000"/>
          <w:sz w:val="20"/>
          <w:szCs w:val="20"/>
        </w:rPr>
        <w:t xml:space="preserve">Economic and fiscal outlook </w:t>
      </w:r>
      <w:r>
        <w:rPr>
          <w:color w:val="000000"/>
          <w:sz w:val="20"/>
          <w:szCs w:val="20"/>
        </w:rPr>
        <w:t>Section B.23</w:t>
      </w:r>
    </w:p>
  </w:footnote>
  <w:footnote w:id="9">
    <w:p w14:paraId="7E690BD1" w14:textId="77777777" w:rsidR="0024740E" w:rsidRDefault="0024740E">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As set out in the EU Regulation on Fees and Charges payable to ECHA available here: </w:t>
      </w:r>
      <w:hyperlink r:id="rId1">
        <w:r>
          <w:rPr>
            <w:color w:val="0563C1"/>
            <w:sz w:val="20"/>
            <w:szCs w:val="20"/>
            <w:u w:val="single"/>
          </w:rPr>
          <w:t>http://eur-lex.europa.eu/LexUriServ/LexUriServ.do?uri=OJ:L:2013:079:0007:0018:EN:PDF</w:t>
        </w:r>
      </w:hyperlink>
      <w:r>
        <w:rPr>
          <w:color w:val="000000"/>
          <w:sz w:val="20"/>
          <w:szCs w:val="20"/>
        </w:rPr>
        <w:t xml:space="preserve"> </w:t>
      </w:r>
    </w:p>
  </w:footnote>
  <w:footnote w:id="10">
    <w:p w14:paraId="1EF759BF" w14:textId="77777777" w:rsidR="0024740E" w:rsidRDefault="0024740E">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An only representative is a natural or legal person based in the EU who represents the interest and takes on the registration obligations of a non-EU manufacturer thereby relieving the importer of their obligations under REACH.</w:t>
      </w:r>
    </w:p>
  </w:footnote>
  <w:footnote w:id="11">
    <w:p w14:paraId="2466664D" w14:textId="77777777" w:rsidR="0024740E" w:rsidRDefault="0024740E" w:rsidP="00253EA8">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Data for registrations held by companies in EEA is available here: </w:t>
      </w:r>
      <w:hyperlink r:id="rId2">
        <w:r>
          <w:rPr>
            <w:color w:val="0563C1"/>
            <w:sz w:val="20"/>
            <w:szCs w:val="20"/>
            <w:u w:val="single"/>
          </w:rPr>
          <w:t>https://echa.europa.eu/registration-statistics-infograph#</w:t>
        </w:r>
      </w:hyperlink>
      <w:r>
        <w:rPr>
          <w:color w:val="000000"/>
          <w:sz w:val="20"/>
          <w:szCs w:val="20"/>
        </w:rPr>
        <w:t xml:space="preserve"> </w:t>
      </w:r>
    </w:p>
  </w:footnote>
  <w:footnote w:id="12">
    <w:p w14:paraId="0C625582" w14:textId="4806719B" w:rsidR="0024740E" w:rsidRDefault="0024740E">
      <w:pPr>
        <w:pStyle w:val="FootnoteText"/>
      </w:pPr>
      <w:r>
        <w:rPr>
          <w:rStyle w:val="FootnoteReference"/>
        </w:rPr>
        <w:footnoteRef/>
      </w:r>
      <w:r>
        <w:t xml:space="preserve"> </w:t>
      </w:r>
      <w:r w:rsidRPr="00F02D59">
        <w:t xml:space="preserve">UK companies currently buying chemicals from the EEA are covered by the REACH registrations with ECHA, which are lodged either by the supplier or the downstream user. UK companies currently buying chemicals from the EEA operate as downstream users under EU REACH.  A downstream user is defined in EU REACH as any natural or legal person established within the Community, other than the manufacturer or the importer, who uses a substance, either on its own or in a mixture, in the course of his industrial or professional activities. An importer is defined in EU REACH as any natural or legal person established within the Community who is responsible for import, while import means the physical introduction into the customs territory of the Community.  </w:t>
      </w:r>
    </w:p>
  </w:footnote>
  <w:footnote w:id="13">
    <w:p w14:paraId="732EEDF3" w14:textId="77777777" w:rsidR="0024740E" w:rsidRDefault="0024740E">
      <w:pPr>
        <w:pBdr>
          <w:top w:val="nil"/>
          <w:left w:val="nil"/>
          <w:bottom w:val="nil"/>
          <w:right w:val="nil"/>
          <w:between w:val="nil"/>
        </w:pBdr>
        <w:spacing w:after="0" w:line="240" w:lineRule="auto"/>
        <w:rPr>
          <w:rFonts w:ascii="Arial" w:eastAsia="Arial" w:hAnsi="Arial" w:cs="Arial"/>
          <w:color w:val="000000"/>
          <w:sz w:val="18"/>
          <w:szCs w:val="18"/>
        </w:rPr>
      </w:pPr>
      <w:r>
        <w:rPr>
          <w:vertAlign w:val="superscript"/>
        </w:rPr>
        <w:footnoteRef/>
      </w:r>
      <w:r>
        <w:rPr>
          <w:rFonts w:ascii="Arial" w:eastAsia="Arial" w:hAnsi="Arial" w:cs="Arial"/>
          <w:color w:val="000000"/>
          <w:sz w:val="18"/>
          <w:szCs w:val="18"/>
        </w:rPr>
        <w:t xml:space="preserve"> UK Business; activity, size and location, ONS, January 2018</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B087C4" w14:textId="77777777" w:rsidR="0024740E" w:rsidRDefault="0024740E">
    <w:pPr>
      <w:pBdr>
        <w:top w:val="nil"/>
        <w:left w:val="nil"/>
        <w:bottom w:val="nil"/>
        <w:right w:val="nil"/>
        <w:between w:val="nil"/>
      </w:pBdr>
      <w:spacing w:after="0" w:line="240" w:lineRule="auto"/>
      <w:rPr>
        <w:rFonts w:ascii="Arial" w:eastAsia="Arial" w:hAnsi="Arial" w:cs="Arial"/>
        <w:smallCaps/>
        <w:color w:val="000000"/>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FE2E29"/>
    <w:multiLevelType w:val="multilevel"/>
    <w:tmpl w:val="14EAC24E"/>
    <w:lvl w:ilvl="0">
      <w:start w:val="1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0A4F75"/>
    <w:multiLevelType w:val="multilevel"/>
    <w:tmpl w:val="08A4CA76"/>
    <w:lvl w:ilvl="0">
      <w:start w:val="10"/>
      <w:numFmt w:val="bullet"/>
      <w:lvlText w:val="-"/>
      <w:lvlJc w:val="left"/>
      <w:pPr>
        <w:ind w:left="144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6655C2A"/>
    <w:multiLevelType w:val="multilevel"/>
    <w:tmpl w:val="24460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569C0"/>
    <w:multiLevelType w:val="multilevel"/>
    <w:tmpl w:val="08A4CA76"/>
    <w:lvl w:ilvl="0">
      <w:start w:val="10"/>
      <w:numFmt w:val="bullet"/>
      <w:lvlText w:val="-"/>
      <w:lvlJc w:val="left"/>
      <w:pPr>
        <w:ind w:left="144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3B8F1FA8"/>
    <w:multiLevelType w:val="multilevel"/>
    <w:tmpl w:val="59023254"/>
    <w:lvl w:ilvl="0">
      <w:start w:val="1"/>
      <w:numFmt w:val="decimal"/>
      <w:lvlText w:val="%1."/>
      <w:lvlJc w:val="left"/>
      <w:pPr>
        <w:ind w:left="720" w:hanging="360"/>
      </w:pPr>
      <w:rPr>
        <w:rFonts w:ascii="Arial" w:eastAsia="Arial" w:hAnsi="Arial" w:cs="Arial"/>
        <w:b w:val="0"/>
        <w:color w:val="000000"/>
        <w:sz w:val="22"/>
        <w:szCs w:val="22"/>
      </w:rPr>
    </w:lvl>
    <w:lvl w:ilvl="1">
      <w:start w:val="1"/>
      <w:numFmt w:val="lowerLetter"/>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1103B64"/>
    <w:multiLevelType w:val="multilevel"/>
    <w:tmpl w:val="3250A788"/>
    <w:lvl w:ilvl="0">
      <w:numFmt w:val="bullet"/>
      <w:lvlText w:val="-"/>
      <w:lvlJc w:val="left"/>
      <w:pPr>
        <w:ind w:left="1440" w:hanging="360"/>
      </w:pPr>
      <w:rPr>
        <w:rFonts w:ascii="Calibri" w:eastAsia="Times New Roman" w:hAnsi="Calibri"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59EB6321"/>
    <w:multiLevelType w:val="multilevel"/>
    <w:tmpl w:val="592685D6"/>
    <w:lvl w:ilvl="0">
      <w:start w:val="1"/>
      <w:numFmt w:val="bullet"/>
      <w:lvlText w:val="●"/>
      <w:lvlJc w:val="left"/>
      <w:pPr>
        <w:ind w:left="1440" w:hanging="360"/>
      </w:pPr>
    </w:lvl>
    <w:lvl w:ilvl="1">
      <w:start w:val="10"/>
      <w:numFmt w:val="bullet"/>
      <w:lvlText w:val="○"/>
      <w:lvlJc w:val="left"/>
      <w:pPr>
        <w:ind w:left="2160" w:hanging="360"/>
      </w:pPr>
      <w:rPr>
        <w:rFonts w:ascii="Calibri" w:eastAsia="Calibri" w:hAnsi="Calibri" w:cs="Calibri"/>
      </w:rPr>
    </w:lvl>
    <w:lvl w:ilvl="2">
      <w:start w:val="1"/>
      <w:numFmt w:val="bullet"/>
      <w:lvlText w:val="■"/>
      <w:lvlJc w:val="left"/>
      <w:pPr>
        <w:ind w:left="2880" w:hanging="180"/>
      </w:pPr>
    </w:lvl>
    <w:lvl w:ilvl="3">
      <w:start w:val="1"/>
      <w:numFmt w:val="bullet"/>
      <w:lvlText w:val="●"/>
      <w:lvlJc w:val="left"/>
      <w:pPr>
        <w:ind w:left="3600" w:hanging="360"/>
      </w:pPr>
    </w:lvl>
    <w:lvl w:ilvl="4">
      <w:start w:val="1"/>
      <w:numFmt w:val="bullet"/>
      <w:lvlText w:val="○"/>
      <w:lvlJc w:val="left"/>
      <w:pPr>
        <w:ind w:left="4320" w:hanging="360"/>
      </w:pPr>
    </w:lvl>
    <w:lvl w:ilvl="5">
      <w:start w:val="1"/>
      <w:numFmt w:val="bullet"/>
      <w:lvlText w:val="■"/>
      <w:lvlJc w:val="left"/>
      <w:pPr>
        <w:ind w:left="5040" w:hanging="180"/>
      </w:pPr>
    </w:lvl>
    <w:lvl w:ilvl="6">
      <w:start w:val="1"/>
      <w:numFmt w:val="bullet"/>
      <w:lvlText w:val="●"/>
      <w:lvlJc w:val="left"/>
      <w:pPr>
        <w:ind w:left="5760" w:hanging="360"/>
      </w:pPr>
    </w:lvl>
    <w:lvl w:ilvl="7">
      <w:start w:val="1"/>
      <w:numFmt w:val="bullet"/>
      <w:lvlText w:val="○"/>
      <w:lvlJc w:val="left"/>
      <w:pPr>
        <w:ind w:left="6480" w:hanging="360"/>
      </w:pPr>
    </w:lvl>
    <w:lvl w:ilvl="8">
      <w:start w:val="1"/>
      <w:numFmt w:val="bullet"/>
      <w:lvlText w:val="■"/>
      <w:lvlJc w:val="left"/>
      <w:pPr>
        <w:ind w:left="7200" w:hanging="180"/>
      </w:pPr>
    </w:lvl>
  </w:abstractNum>
  <w:abstractNum w:abstractNumId="7" w15:restartNumberingAfterBreak="0">
    <w:nsid w:val="5D1658CA"/>
    <w:multiLevelType w:val="multilevel"/>
    <w:tmpl w:val="EA324380"/>
    <w:lvl w:ilvl="0">
      <w:start w:val="1"/>
      <w:numFmt w:val="bullet"/>
      <w:lvlText w:val="●"/>
      <w:lvlJc w:val="left"/>
      <w:pPr>
        <w:ind w:left="1440" w:hanging="360"/>
      </w:pPr>
    </w:lvl>
    <w:lvl w:ilvl="1">
      <w:start w:val="10"/>
      <w:numFmt w:val="bullet"/>
      <w:lvlText w:val="○"/>
      <w:lvlJc w:val="left"/>
      <w:pPr>
        <w:ind w:left="2160" w:hanging="360"/>
      </w:pPr>
      <w:rPr>
        <w:rFonts w:ascii="Calibri" w:eastAsia="Calibri" w:hAnsi="Calibri" w:cs="Calibri"/>
      </w:rPr>
    </w:lvl>
    <w:lvl w:ilvl="2">
      <w:start w:val="1"/>
      <w:numFmt w:val="bullet"/>
      <w:lvlText w:val="■"/>
      <w:lvlJc w:val="left"/>
      <w:pPr>
        <w:ind w:left="2880" w:hanging="180"/>
      </w:pPr>
    </w:lvl>
    <w:lvl w:ilvl="3">
      <w:start w:val="1"/>
      <w:numFmt w:val="bullet"/>
      <w:lvlText w:val="●"/>
      <w:lvlJc w:val="left"/>
      <w:pPr>
        <w:ind w:left="3600" w:hanging="360"/>
      </w:pPr>
    </w:lvl>
    <w:lvl w:ilvl="4">
      <w:start w:val="1"/>
      <w:numFmt w:val="bullet"/>
      <w:lvlText w:val="○"/>
      <w:lvlJc w:val="left"/>
      <w:pPr>
        <w:ind w:left="4320" w:hanging="360"/>
      </w:pPr>
    </w:lvl>
    <w:lvl w:ilvl="5">
      <w:start w:val="1"/>
      <w:numFmt w:val="bullet"/>
      <w:lvlText w:val="■"/>
      <w:lvlJc w:val="left"/>
      <w:pPr>
        <w:ind w:left="5040" w:hanging="180"/>
      </w:pPr>
    </w:lvl>
    <w:lvl w:ilvl="6">
      <w:start w:val="1"/>
      <w:numFmt w:val="bullet"/>
      <w:lvlText w:val="●"/>
      <w:lvlJc w:val="left"/>
      <w:pPr>
        <w:ind w:left="5760" w:hanging="360"/>
      </w:pPr>
    </w:lvl>
    <w:lvl w:ilvl="7">
      <w:start w:val="1"/>
      <w:numFmt w:val="bullet"/>
      <w:lvlText w:val="○"/>
      <w:lvlJc w:val="left"/>
      <w:pPr>
        <w:ind w:left="6480" w:hanging="360"/>
      </w:pPr>
    </w:lvl>
    <w:lvl w:ilvl="8">
      <w:start w:val="1"/>
      <w:numFmt w:val="bullet"/>
      <w:lvlText w:val="■"/>
      <w:lvlJc w:val="left"/>
      <w:pPr>
        <w:ind w:left="7200" w:hanging="180"/>
      </w:pPr>
    </w:lvl>
  </w:abstractNum>
  <w:abstractNum w:abstractNumId="8" w15:restartNumberingAfterBreak="0">
    <w:nsid w:val="709F5AF3"/>
    <w:multiLevelType w:val="multilevel"/>
    <w:tmpl w:val="E076D348"/>
    <w:lvl w:ilvl="0">
      <w:start w:val="1"/>
      <w:numFmt w:val="upperLetter"/>
      <w:lvlText w:val="%1."/>
      <w:lvlJc w:val="left"/>
      <w:pPr>
        <w:ind w:left="720" w:hanging="360"/>
      </w:pPr>
      <w:rPr>
        <w:rFonts w:ascii="Arial" w:eastAsia="Arial" w:hAnsi="Arial" w:cs="Arial"/>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3C21D45"/>
    <w:multiLevelType w:val="multilevel"/>
    <w:tmpl w:val="408485E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6"/>
  </w:num>
  <w:num w:numId="3">
    <w:abstractNumId w:val="8"/>
  </w:num>
  <w:num w:numId="4">
    <w:abstractNumId w:val="9"/>
  </w:num>
  <w:num w:numId="5">
    <w:abstractNumId w:val="4"/>
  </w:num>
  <w:num w:numId="6">
    <w:abstractNumId w:val="0"/>
  </w:num>
  <w:num w:numId="7">
    <w:abstractNumId w:val="7"/>
  </w:num>
  <w:num w:numId="8">
    <w:abstractNumId w:val="3"/>
  </w:num>
  <w:num w:numId="9">
    <w:abstractNumId w:val="5"/>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removePersonalInformation/>
  <w:removeDateAndTime/>
  <w:defaultTabStop w:val="720"/>
  <w:characterSpacingControl w:val="doNotCompress"/>
  <w:hdrShapeDefaults>
    <o:shapedefaults v:ext="edit" spidmax="4097"/>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859"/>
    <w:rsid w:val="00006C0D"/>
    <w:rsid w:val="000515B6"/>
    <w:rsid w:val="000A4F31"/>
    <w:rsid w:val="000E1D2C"/>
    <w:rsid w:val="000E5441"/>
    <w:rsid w:val="00101C41"/>
    <w:rsid w:val="00105F8C"/>
    <w:rsid w:val="00123AA1"/>
    <w:rsid w:val="00124A5B"/>
    <w:rsid w:val="001545C8"/>
    <w:rsid w:val="00156B8A"/>
    <w:rsid w:val="00203859"/>
    <w:rsid w:val="00226372"/>
    <w:rsid w:val="00235E59"/>
    <w:rsid w:val="0024740E"/>
    <w:rsid w:val="00253EA8"/>
    <w:rsid w:val="002A390E"/>
    <w:rsid w:val="002C1985"/>
    <w:rsid w:val="002C4463"/>
    <w:rsid w:val="002D03B6"/>
    <w:rsid w:val="002F117E"/>
    <w:rsid w:val="00344464"/>
    <w:rsid w:val="0034672C"/>
    <w:rsid w:val="003D61D5"/>
    <w:rsid w:val="004162B0"/>
    <w:rsid w:val="00421E28"/>
    <w:rsid w:val="00424D02"/>
    <w:rsid w:val="00457573"/>
    <w:rsid w:val="004A6F9F"/>
    <w:rsid w:val="004D4FA7"/>
    <w:rsid w:val="004F48F2"/>
    <w:rsid w:val="00525D4F"/>
    <w:rsid w:val="00543934"/>
    <w:rsid w:val="0054453B"/>
    <w:rsid w:val="0058211A"/>
    <w:rsid w:val="0058630F"/>
    <w:rsid w:val="005D14B3"/>
    <w:rsid w:val="005E443A"/>
    <w:rsid w:val="005F60CD"/>
    <w:rsid w:val="00613036"/>
    <w:rsid w:val="0063394A"/>
    <w:rsid w:val="00644FDC"/>
    <w:rsid w:val="00665D5F"/>
    <w:rsid w:val="006849B4"/>
    <w:rsid w:val="006933C0"/>
    <w:rsid w:val="007042E8"/>
    <w:rsid w:val="00726ED8"/>
    <w:rsid w:val="00757177"/>
    <w:rsid w:val="007A0F6C"/>
    <w:rsid w:val="007B5515"/>
    <w:rsid w:val="007E6D92"/>
    <w:rsid w:val="00896232"/>
    <w:rsid w:val="008C3D4D"/>
    <w:rsid w:val="008C3F1E"/>
    <w:rsid w:val="00903350"/>
    <w:rsid w:val="0091293C"/>
    <w:rsid w:val="00916944"/>
    <w:rsid w:val="00962725"/>
    <w:rsid w:val="00975534"/>
    <w:rsid w:val="0097672D"/>
    <w:rsid w:val="009F58DB"/>
    <w:rsid w:val="00A4479C"/>
    <w:rsid w:val="00A56599"/>
    <w:rsid w:val="00AC353A"/>
    <w:rsid w:val="00B259B8"/>
    <w:rsid w:val="00B33DE7"/>
    <w:rsid w:val="00B4047B"/>
    <w:rsid w:val="00C00BE8"/>
    <w:rsid w:val="00C247C7"/>
    <w:rsid w:val="00C25E2F"/>
    <w:rsid w:val="00CC14B8"/>
    <w:rsid w:val="00D312E2"/>
    <w:rsid w:val="00D52B91"/>
    <w:rsid w:val="00D61CBD"/>
    <w:rsid w:val="00DD78C0"/>
    <w:rsid w:val="00E2637E"/>
    <w:rsid w:val="00E2724D"/>
    <w:rsid w:val="00E55D46"/>
    <w:rsid w:val="00EB1FC9"/>
    <w:rsid w:val="00F02D59"/>
    <w:rsid w:val="00F519B6"/>
    <w:rsid w:val="00FA47CD"/>
    <w:rsid w:val="00FC2A8A"/>
    <w:rsid w:val="00FE0070"/>
    <w:rsid w:val="00FE226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6471C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pBdr>
        <w:top w:val="nil"/>
        <w:left w:val="nil"/>
        <w:bottom w:val="nil"/>
        <w:right w:val="nil"/>
        <w:between w:val="nil"/>
      </w:pBdr>
      <w:tabs>
        <w:tab w:val="right" w:pos="10206"/>
      </w:tabs>
      <w:spacing w:before="240" w:after="60" w:line="240" w:lineRule="auto"/>
      <w:outlineLvl w:val="0"/>
    </w:pPr>
    <w:rPr>
      <w:rFonts w:ascii="Arial Bold" w:eastAsia="Arial Bold" w:hAnsi="Arial Bold" w:cs="Arial Bold"/>
      <w:b/>
      <w:color w:val="000000"/>
      <w:sz w:val="32"/>
      <w:szCs w:val="32"/>
    </w:rPr>
  </w:style>
  <w:style w:type="paragraph" w:styleId="Heading2">
    <w:name w:val="heading 2"/>
    <w:basedOn w:val="Normal"/>
    <w:next w:val="Normal"/>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
    <w:next w:val="Normal"/>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top w:val="nil"/>
        <w:left w:val="nil"/>
        <w:bottom w:val="nil"/>
        <w:right w:val="nil"/>
        <w:between w:val="nil"/>
      </w:pBdr>
      <w:spacing w:after="0" w:line="240" w:lineRule="auto"/>
      <w:ind w:left="113" w:hanging="113"/>
    </w:pPr>
    <w:rPr>
      <w:rFonts w:ascii="Arial" w:eastAsia="Arial" w:hAnsi="Arial" w:cs="Arial"/>
      <w:color w:val="FFFFFF"/>
      <w:sz w:val="32"/>
      <w:szCs w:val="32"/>
    </w:rPr>
  </w:style>
  <w:style w:type="paragraph" w:styleId="Subtitle">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pPr>
      <w:pBdr>
        <w:top w:val="none" w:sz="0" w:space="0" w:color="000000"/>
        <w:left w:val="none" w:sz="0" w:space="0" w:color="000000"/>
        <w:bottom w:val="none" w:sz="0" w:space="0" w:color="000000"/>
        <w:right w:val="none" w:sz="0" w:space="0" w:color="000000"/>
        <w:between w:val="none" w:sz="0" w:space="0" w:color="000000"/>
      </w:pBdr>
      <w:spacing w:before="60" w:after="80" w:line="240" w:lineRule="auto"/>
    </w:pPr>
    <w:rPr>
      <w:rFonts w:ascii="Helvetica Neue" w:eastAsia="Helvetica Neue" w:hAnsi="Helvetica Neue" w:cs="Helvetica Neue"/>
      <w:color w:val="000000"/>
    </w:rPr>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unhideWhenUsed/>
    <w:rPr>
      <w:sz w:val="16"/>
      <w:szCs w:val="16"/>
    </w:rPr>
  </w:style>
  <w:style w:type="paragraph" w:styleId="BalloonText">
    <w:name w:val="Balloon Text"/>
    <w:basedOn w:val="Normal"/>
    <w:link w:val="BalloonTextChar"/>
    <w:uiPriority w:val="99"/>
    <w:semiHidden/>
    <w:unhideWhenUsed/>
    <w:rsid w:val="002D03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03B6"/>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A4479C"/>
    <w:rPr>
      <w:b/>
      <w:bCs/>
    </w:rPr>
  </w:style>
  <w:style w:type="character" w:customStyle="1" w:styleId="CommentSubjectChar">
    <w:name w:val="Comment Subject Char"/>
    <w:basedOn w:val="CommentTextChar"/>
    <w:link w:val="CommentSubject"/>
    <w:uiPriority w:val="99"/>
    <w:semiHidden/>
    <w:rsid w:val="00A4479C"/>
    <w:rPr>
      <w:b/>
      <w:bCs/>
      <w:sz w:val="20"/>
      <w:szCs w:val="20"/>
    </w:rPr>
  </w:style>
  <w:style w:type="paragraph" w:customStyle="1" w:styleId="IATableLabel">
    <w:name w:val="IATableLabel"/>
    <w:basedOn w:val="Normal"/>
    <w:link w:val="IATableLabelCharChar"/>
    <w:rsid w:val="0034672C"/>
    <w:pPr>
      <w:spacing w:before="50" w:after="50" w:line="240" w:lineRule="auto"/>
      <w:ind w:left="113" w:right="113"/>
    </w:pPr>
    <w:rPr>
      <w:rFonts w:ascii="Arial" w:eastAsia="SimSun" w:hAnsi="Arial" w:cs="Times New Roman"/>
      <w:b/>
      <w:color w:val="000000"/>
      <w:spacing w:val="-5"/>
      <w:sz w:val="20"/>
      <w:szCs w:val="20"/>
      <w:lang w:eastAsia="zh-CN"/>
    </w:rPr>
  </w:style>
  <w:style w:type="character" w:customStyle="1" w:styleId="IATableLabelCharChar">
    <w:name w:val="IATableLabel Char Char"/>
    <w:link w:val="IATableLabel"/>
    <w:locked/>
    <w:rsid w:val="0034672C"/>
    <w:rPr>
      <w:rFonts w:ascii="Arial" w:eastAsia="SimSun" w:hAnsi="Arial" w:cs="Times New Roman"/>
      <w:b/>
      <w:color w:val="000000"/>
      <w:spacing w:val="-5"/>
      <w:sz w:val="20"/>
      <w:szCs w:val="20"/>
      <w:lang w:eastAsia="zh-CN"/>
    </w:rPr>
  </w:style>
  <w:style w:type="paragraph" w:customStyle="1" w:styleId="IASpacer">
    <w:name w:val="IASpacer"/>
    <w:basedOn w:val="Normal"/>
    <w:rsid w:val="0034672C"/>
    <w:pPr>
      <w:spacing w:after="0" w:line="80" w:lineRule="exact"/>
    </w:pPr>
    <w:rPr>
      <w:rFonts w:ascii="Arial" w:eastAsia="SimSun" w:hAnsi="Arial" w:cs="Times New Roman"/>
      <w:szCs w:val="24"/>
      <w:lang w:eastAsia="zh-CN"/>
    </w:rPr>
  </w:style>
  <w:style w:type="paragraph" w:customStyle="1" w:styleId="IATableText">
    <w:name w:val="IATableText"/>
    <w:basedOn w:val="IATableLabel"/>
    <w:link w:val="IATableTextChar"/>
    <w:rsid w:val="0034672C"/>
    <w:rPr>
      <w:b w:val="0"/>
      <w:color w:val="auto"/>
      <w:sz w:val="22"/>
    </w:rPr>
  </w:style>
  <w:style w:type="character" w:customStyle="1" w:styleId="IATableTextChar">
    <w:name w:val="IATableText Char"/>
    <w:link w:val="IATableText"/>
    <w:locked/>
    <w:rsid w:val="0034672C"/>
    <w:rPr>
      <w:rFonts w:ascii="Arial" w:eastAsia="SimSun" w:hAnsi="Arial" w:cs="Times New Roman"/>
      <w:spacing w:val="-5"/>
      <w:szCs w:val="20"/>
      <w:lang w:eastAsia="zh-CN"/>
    </w:rPr>
  </w:style>
  <w:style w:type="character" w:customStyle="1" w:styleId="TitleChar">
    <w:name w:val="Title Char"/>
    <w:basedOn w:val="DefaultParagraphFont"/>
    <w:link w:val="Title"/>
    <w:uiPriority w:val="10"/>
    <w:locked/>
    <w:rsid w:val="0034672C"/>
    <w:rPr>
      <w:rFonts w:ascii="Arial" w:eastAsia="Arial" w:hAnsi="Arial" w:cs="Arial"/>
      <w:color w:val="FFFFFF"/>
      <w:sz w:val="32"/>
      <w:szCs w:val="32"/>
    </w:rPr>
  </w:style>
  <w:style w:type="paragraph" w:customStyle="1" w:styleId="IAHeadLabel">
    <w:name w:val="IAHeadLabel"/>
    <w:basedOn w:val="IATableLabel"/>
    <w:link w:val="IAHeadLabelChar"/>
    <w:rsid w:val="0034672C"/>
    <w:pPr>
      <w:spacing w:before="110"/>
      <w:ind w:left="0" w:right="0"/>
    </w:pPr>
  </w:style>
  <w:style w:type="character" w:customStyle="1" w:styleId="IAHeadLabelChar">
    <w:name w:val="IAHeadLabel Char"/>
    <w:basedOn w:val="IATableLabelCharChar"/>
    <w:link w:val="IAHeadLabel"/>
    <w:locked/>
    <w:rsid w:val="0034672C"/>
    <w:rPr>
      <w:rFonts w:ascii="Arial" w:eastAsia="SimSun" w:hAnsi="Arial" w:cs="Times New Roman"/>
      <w:b/>
      <w:color w:val="000000"/>
      <w:spacing w:val="-5"/>
      <w:sz w:val="20"/>
      <w:szCs w:val="20"/>
      <w:lang w:eastAsia="zh-CN"/>
    </w:rPr>
  </w:style>
  <w:style w:type="paragraph" w:customStyle="1" w:styleId="IATableNotes">
    <w:name w:val="IATableNotes"/>
    <w:basedOn w:val="Normal"/>
    <w:link w:val="IATableNotesChar"/>
    <w:rsid w:val="0034672C"/>
    <w:pPr>
      <w:spacing w:before="60" w:after="60" w:line="240" w:lineRule="auto"/>
      <w:ind w:left="113" w:right="113"/>
    </w:pPr>
    <w:rPr>
      <w:rFonts w:ascii="Arial" w:eastAsia="SimSun" w:hAnsi="Arial" w:cs="Times New Roman"/>
      <w:sz w:val="18"/>
      <w:szCs w:val="20"/>
      <w:lang w:eastAsia="zh-CN"/>
    </w:rPr>
  </w:style>
  <w:style w:type="character" w:customStyle="1" w:styleId="IATableNotesChar">
    <w:name w:val="IATableNotes Char"/>
    <w:link w:val="IATableNotes"/>
    <w:locked/>
    <w:rsid w:val="0034672C"/>
    <w:rPr>
      <w:rFonts w:ascii="Arial" w:eastAsia="SimSun" w:hAnsi="Arial" w:cs="Times New Roman"/>
      <w:sz w:val="18"/>
      <w:szCs w:val="20"/>
      <w:lang w:eastAsia="zh-CN"/>
    </w:rPr>
  </w:style>
  <w:style w:type="paragraph" w:customStyle="1" w:styleId="IAHeadTitle">
    <w:name w:val="IAHeadTitle"/>
    <w:basedOn w:val="Normal"/>
    <w:link w:val="IAHeadTitleChar"/>
    <w:rsid w:val="0034672C"/>
    <w:pPr>
      <w:spacing w:after="0" w:line="240" w:lineRule="auto"/>
      <w:ind w:right="57"/>
    </w:pPr>
    <w:rPr>
      <w:rFonts w:ascii="Arial" w:eastAsia="SimSun" w:hAnsi="Arial" w:cs="Times New Roman"/>
      <w:b/>
      <w:spacing w:val="-6"/>
      <w:sz w:val="28"/>
      <w:szCs w:val="28"/>
      <w:lang w:eastAsia="zh-CN"/>
    </w:rPr>
  </w:style>
  <w:style w:type="paragraph" w:customStyle="1" w:styleId="IASignature">
    <w:name w:val="IA Signature"/>
    <w:basedOn w:val="IATableText"/>
    <w:rsid w:val="0034672C"/>
    <w:pPr>
      <w:tabs>
        <w:tab w:val="left" w:leader="dot" w:pos="6804"/>
        <w:tab w:val="right" w:leader="dot" w:pos="10206"/>
      </w:tabs>
      <w:spacing w:before="0" w:after="0"/>
      <w:ind w:left="0"/>
    </w:pPr>
  </w:style>
  <w:style w:type="paragraph" w:customStyle="1" w:styleId="IASign-off">
    <w:name w:val="IA Sign-off"/>
    <w:basedOn w:val="IATableText"/>
    <w:rsid w:val="0034672C"/>
    <w:pPr>
      <w:spacing w:before="0" w:after="0"/>
      <w:ind w:left="0" w:right="284"/>
    </w:pPr>
    <w:rPr>
      <w:b/>
      <w:i/>
    </w:rPr>
  </w:style>
  <w:style w:type="paragraph" w:styleId="Header">
    <w:name w:val="header"/>
    <w:basedOn w:val="Normal"/>
    <w:link w:val="HeaderChar"/>
    <w:uiPriority w:val="99"/>
    <w:rsid w:val="0034672C"/>
    <w:pPr>
      <w:spacing w:after="0" w:line="240" w:lineRule="auto"/>
      <w:jc w:val="center"/>
    </w:pPr>
    <w:rPr>
      <w:rFonts w:ascii="Arial" w:eastAsia="Times New Roman" w:hAnsi="Arial" w:cs="Times New Roman"/>
      <w:caps/>
      <w:sz w:val="24"/>
      <w:szCs w:val="24"/>
      <w:lang w:eastAsia="en-US"/>
    </w:rPr>
  </w:style>
  <w:style w:type="character" w:customStyle="1" w:styleId="HeaderChar">
    <w:name w:val="Header Char"/>
    <w:basedOn w:val="DefaultParagraphFont"/>
    <w:link w:val="Header"/>
    <w:uiPriority w:val="99"/>
    <w:rsid w:val="0034672C"/>
    <w:rPr>
      <w:rFonts w:ascii="Arial" w:eastAsia="Times New Roman" w:hAnsi="Arial" w:cs="Times New Roman"/>
      <w:caps/>
      <w:sz w:val="24"/>
      <w:szCs w:val="24"/>
      <w:lang w:eastAsia="en-US"/>
    </w:rPr>
  </w:style>
  <w:style w:type="paragraph" w:styleId="Footer">
    <w:name w:val="footer"/>
    <w:basedOn w:val="Normal"/>
    <w:link w:val="FooterChar"/>
    <w:uiPriority w:val="99"/>
    <w:rsid w:val="0034672C"/>
    <w:pPr>
      <w:tabs>
        <w:tab w:val="center" w:pos="5132"/>
        <w:tab w:val="right" w:pos="10260"/>
      </w:tabs>
      <w:spacing w:after="0" w:line="240" w:lineRule="auto"/>
      <w:jc w:val="center"/>
    </w:pPr>
    <w:rPr>
      <w:rFonts w:ascii="Arial" w:eastAsia="Times New Roman" w:hAnsi="Arial" w:cs="Times New Roman"/>
      <w:b/>
      <w:sz w:val="18"/>
      <w:szCs w:val="24"/>
      <w:lang w:eastAsia="en-US"/>
    </w:rPr>
  </w:style>
  <w:style w:type="character" w:customStyle="1" w:styleId="FooterChar">
    <w:name w:val="Footer Char"/>
    <w:basedOn w:val="DefaultParagraphFont"/>
    <w:link w:val="Footer"/>
    <w:uiPriority w:val="99"/>
    <w:rsid w:val="0034672C"/>
    <w:rPr>
      <w:rFonts w:ascii="Arial" w:eastAsia="Times New Roman" w:hAnsi="Arial" w:cs="Times New Roman"/>
      <w:b/>
      <w:sz w:val="18"/>
      <w:szCs w:val="24"/>
      <w:lang w:eastAsia="en-US"/>
    </w:rPr>
  </w:style>
  <w:style w:type="character" w:styleId="PageNumber">
    <w:name w:val="page number"/>
    <w:basedOn w:val="DefaultParagraphFont"/>
    <w:uiPriority w:val="99"/>
    <w:rsid w:val="0034672C"/>
    <w:rPr>
      <w:rFonts w:cs="Times New Roman"/>
    </w:rPr>
  </w:style>
  <w:style w:type="paragraph" w:customStyle="1" w:styleId="POPBY">
    <w:name w:val="POPBY"/>
    <w:basedOn w:val="IATableLabel"/>
    <w:rsid w:val="0034672C"/>
  </w:style>
  <w:style w:type="paragraph" w:customStyle="1" w:styleId="IAHeadLabel0">
    <w:name w:val="IAHeadLabel0"/>
    <w:basedOn w:val="IAHeadLabel"/>
    <w:next w:val="IAHeadTitle"/>
    <w:rsid w:val="0034672C"/>
    <w:pPr>
      <w:spacing w:before="0"/>
    </w:pPr>
  </w:style>
  <w:style w:type="paragraph" w:customStyle="1" w:styleId="IATableLines">
    <w:name w:val="IATableLines"/>
    <w:basedOn w:val="IATableText"/>
    <w:link w:val="IATableLinesChar"/>
    <w:rsid w:val="0034672C"/>
    <w:pPr>
      <w:spacing w:before="0" w:after="0"/>
    </w:pPr>
  </w:style>
  <w:style w:type="paragraph" w:customStyle="1" w:styleId="IASpacer2">
    <w:name w:val="IASpacer2"/>
    <w:basedOn w:val="IASpacer"/>
    <w:rsid w:val="0034672C"/>
    <w:pPr>
      <w:spacing w:line="40" w:lineRule="exact"/>
    </w:pPr>
  </w:style>
  <w:style w:type="paragraph" w:customStyle="1" w:styleId="POPVBY">
    <w:name w:val="POPVBY"/>
    <w:basedOn w:val="IATableLabel"/>
    <w:rsid w:val="0034672C"/>
  </w:style>
  <w:style w:type="paragraph" w:customStyle="1" w:styleId="POTPY">
    <w:name w:val="POTPY"/>
    <w:basedOn w:val="IATableLabel"/>
    <w:rsid w:val="0034672C"/>
  </w:style>
  <w:style w:type="paragraph" w:customStyle="1" w:styleId="POTTCostsHigh">
    <w:name w:val="POTTCostsHigh"/>
    <w:basedOn w:val="IATableText"/>
    <w:rsid w:val="0034672C"/>
    <w:pPr>
      <w:jc w:val="right"/>
    </w:pPr>
  </w:style>
  <w:style w:type="paragraph" w:customStyle="1" w:styleId="POTTCostsLow">
    <w:name w:val="POTTCostsLow"/>
    <w:basedOn w:val="POTTCostsHigh"/>
    <w:rsid w:val="0034672C"/>
  </w:style>
  <w:style w:type="paragraph" w:customStyle="1" w:styleId="POTTCostsBest">
    <w:name w:val="POTTCostsBest"/>
    <w:basedOn w:val="IATableText"/>
    <w:rsid w:val="0034672C"/>
    <w:pPr>
      <w:jc w:val="right"/>
    </w:pPr>
  </w:style>
  <w:style w:type="paragraph" w:customStyle="1" w:styleId="POTTCostsYear">
    <w:name w:val="POTTCostsYear"/>
    <w:basedOn w:val="IATableText"/>
    <w:rsid w:val="0034672C"/>
    <w:pPr>
      <w:jc w:val="center"/>
    </w:pPr>
    <w:rPr>
      <w:szCs w:val="18"/>
    </w:rPr>
  </w:style>
  <w:style w:type="paragraph" w:customStyle="1" w:styleId="POAACostsLow">
    <w:name w:val="POAACostsLow"/>
    <w:basedOn w:val="IATableText"/>
    <w:rsid w:val="0034672C"/>
    <w:pPr>
      <w:jc w:val="right"/>
    </w:pPr>
  </w:style>
  <w:style w:type="paragraph" w:customStyle="1" w:styleId="POAACostsHigh">
    <w:name w:val="POAACostsHigh"/>
    <w:basedOn w:val="POAACostsLow"/>
    <w:rsid w:val="0034672C"/>
  </w:style>
  <w:style w:type="paragraph" w:customStyle="1" w:styleId="POAACostsBest">
    <w:name w:val="POAACostsBest"/>
    <w:basedOn w:val="IATableText"/>
    <w:rsid w:val="0034672C"/>
    <w:pPr>
      <w:jc w:val="right"/>
    </w:pPr>
  </w:style>
  <w:style w:type="paragraph" w:customStyle="1" w:styleId="POTCCostsLow">
    <w:name w:val="POTCCostsLow"/>
    <w:basedOn w:val="IATableText"/>
    <w:rsid w:val="0034672C"/>
    <w:pPr>
      <w:jc w:val="right"/>
    </w:pPr>
    <w:rPr>
      <w:b/>
    </w:rPr>
  </w:style>
  <w:style w:type="paragraph" w:customStyle="1" w:styleId="POTCCostsHigh">
    <w:name w:val="POTCCostsHigh"/>
    <w:basedOn w:val="IATableText"/>
    <w:rsid w:val="0034672C"/>
    <w:pPr>
      <w:jc w:val="right"/>
    </w:pPr>
    <w:rPr>
      <w:b/>
    </w:rPr>
  </w:style>
  <w:style w:type="paragraph" w:customStyle="1" w:styleId="POTCCostsBest">
    <w:name w:val="POTCCostsBest"/>
    <w:basedOn w:val="IATableText"/>
    <w:rsid w:val="0034672C"/>
    <w:pPr>
      <w:jc w:val="right"/>
    </w:pPr>
    <w:rPr>
      <w:b/>
    </w:rPr>
  </w:style>
  <w:style w:type="paragraph" w:customStyle="1" w:styleId="IAPOQ1">
    <w:name w:val="IAPOQ1"/>
    <w:basedOn w:val="IATableLabel"/>
    <w:rsid w:val="0034672C"/>
  </w:style>
  <w:style w:type="paragraph" w:customStyle="1" w:styleId="IAPOA1">
    <w:name w:val="IAPOA1"/>
    <w:basedOn w:val="IATableLines"/>
    <w:rsid w:val="0034672C"/>
  </w:style>
  <w:style w:type="paragraph" w:customStyle="1" w:styleId="IAPOQ2">
    <w:name w:val="IAPOQ2"/>
    <w:basedOn w:val="IATableLabel"/>
    <w:link w:val="IAPOQ2Char"/>
    <w:rsid w:val="0034672C"/>
  </w:style>
  <w:style w:type="paragraph" w:customStyle="1" w:styleId="IAPOA2">
    <w:name w:val="IAPOA2"/>
    <w:basedOn w:val="IATableLines"/>
    <w:rsid w:val="0034672C"/>
  </w:style>
  <w:style w:type="paragraph" w:customStyle="1" w:styleId="POTTBenLow">
    <w:name w:val="POTTBenLow"/>
    <w:basedOn w:val="POTTCostsLow"/>
    <w:rsid w:val="0034672C"/>
  </w:style>
  <w:style w:type="paragraph" w:customStyle="1" w:styleId="POTTBenHigh">
    <w:name w:val="POTTBenHigh"/>
    <w:basedOn w:val="POTTCostsHigh"/>
    <w:rsid w:val="0034672C"/>
  </w:style>
  <w:style w:type="paragraph" w:customStyle="1" w:styleId="POTTBenBest">
    <w:name w:val="POTTBenBest"/>
    <w:basedOn w:val="POTTCostsBest"/>
    <w:rsid w:val="0034672C"/>
  </w:style>
  <w:style w:type="paragraph" w:customStyle="1" w:styleId="POAABenLow">
    <w:name w:val="POAABenLow"/>
    <w:basedOn w:val="POAACostsLow"/>
    <w:rsid w:val="0034672C"/>
  </w:style>
  <w:style w:type="paragraph" w:customStyle="1" w:styleId="POAABenHigh">
    <w:name w:val="POAABenHigh"/>
    <w:basedOn w:val="POAABenLow"/>
    <w:rsid w:val="0034672C"/>
  </w:style>
  <w:style w:type="paragraph" w:customStyle="1" w:styleId="POAABenBest">
    <w:name w:val="POAABenBest"/>
    <w:basedOn w:val="POAABenHigh"/>
    <w:rsid w:val="0034672C"/>
  </w:style>
  <w:style w:type="paragraph" w:customStyle="1" w:styleId="POTBBenLow">
    <w:name w:val="POTBBenLow"/>
    <w:basedOn w:val="POTCCostsLow"/>
    <w:rsid w:val="0034672C"/>
  </w:style>
  <w:style w:type="paragraph" w:customStyle="1" w:styleId="POTBBenHigh">
    <w:name w:val="POTBBenHigh"/>
    <w:basedOn w:val="POTBBenLow"/>
    <w:rsid w:val="0034672C"/>
  </w:style>
  <w:style w:type="paragraph" w:customStyle="1" w:styleId="POTBBenBest">
    <w:name w:val="POTBBenBest"/>
    <w:basedOn w:val="POTBBenHigh"/>
    <w:rsid w:val="0034672C"/>
  </w:style>
  <w:style w:type="paragraph" w:customStyle="1" w:styleId="IPPOQ3">
    <w:name w:val="IPPOQ3"/>
    <w:basedOn w:val="IAPOQ2"/>
    <w:link w:val="IPPOQ3Char"/>
    <w:rsid w:val="0034672C"/>
  </w:style>
  <w:style w:type="paragraph" w:customStyle="1" w:styleId="IAPOQ4">
    <w:name w:val="IAPOQ4"/>
    <w:basedOn w:val="IPPOQ3"/>
    <w:link w:val="IAPOQ4Char"/>
    <w:rsid w:val="0034672C"/>
  </w:style>
  <w:style w:type="paragraph" w:customStyle="1" w:styleId="IAPOA3">
    <w:name w:val="IAPOA3"/>
    <w:basedOn w:val="IAPOA2"/>
    <w:rsid w:val="0034672C"/>
  </w:style>
  <w:style w:type="paragraph" w:customStyle="1" w:styleId="IAPOA4">
    <w:name w:val="IAPOA4"/>
    <w:basedOn w:val="IAPOA3"/>
    <w:rsid w:val="0034672C"/>
  </w:style>
  <w:style w:type="paragraph" w:customStyle="1" w:styleId="IAPOA5">
    <w:name w:val="IAPOA5"/>
    <w:basedOn w:val="IAPOA4"/>
    <w:rsid w:val="0034672C"/>
  </w:style>
  <w:style w:type="paragraph" w:customStyle="1" w:styleId="IAPOQ5">
    <w:name w:val="IAPOQ5"/>
    <w:basedOn w:val="IAPOQ4"/>
    <w:link w:val="IAPOQ5Char"/>
    <w:rsid w:val="0034672C"/>
  </w:style>
  <w:style w:type="character" w:customStyle="1" w:styleId="IAPOQ2Char">
    <w:name w:val="IAPOQ2 Char"/>
    <w:basedOn w:val="IATableLabelCharChar"/>
    <w:link w:val="IAPOQ2"/>
    <w:locked/>
    <w:rsid w:val="0034672C"/>
    <w:rPr>
      <w:rFonts w:ascii="Arial" w:eastAsia="SimSun" w:hAnsi="Arial" w:cs="Times New Roman"/>
      <w:b/>
      <w:color w:val="000000"/>
      <w:spacing w:val="-5"/>
      <w:sz w:val="20"/>
      <w:szCs w:val="20"/>
      <w:lang w:eastAsia="zh-CN"/>
    </w:rPr>
  </w:style>
  <w:style w:type="character" w:customStyle="1" w:styleId="IPPOQ3Char">
    <w:name w:val="IPPOQ3 Char"/>
    <w:basedOn w:val="IAPOQ2Char"/>
    <w:link w:val="IPPOQ3"/>
    <w:locked/>
    <w:rsid w:val="0034672C"/>
    <w:rPr>
      <w:rFonts w:ascii="Arial" w:eastAsia="SimSun" w:hAnsi="Arial" w:cs="Times New Roman"/>
      <w:b/>
      <w:color w:val="000000"/>
      <w:spacing w:val="-5"/>
      <w:sz w:val="20"/>
      <w:szCs w:val="20"/>
      <w:lang w:eastAsia="zh-CN"/>
    </w:rPr>
  </w:style>
  <w:style w:type="character" w:customStyle="1" w:styleId="IAPOQ4Char">
    <w:name w:val="IAPOQ4 Char"/>
    <w:basedOn w:val="IPPOQ3Char"/>
    <w:link w:val="IAPOQ4"/>
    <w:locked/>
    <w:rsid w:val="0034672C"/>
    <w:rPr>
      <w:rFonts w:ascii="Arial" w:eastAsia="SimSun" w:hAnsi="Arial" w:cs="Times New Roman"/>
      <w:b/>
      <w:color w:val="000000"/>
      <w:spacing w:val="-5"/>
      <w:sz w:val="20"/>
      <w:szCs w:val="20"/>
      <w:lang w:eastAsia="zh-CN"/>
    </w:rPr>
  </w:style>
  <w:style w:type="character" w:customStyle="1" w:styleId="IAPOQ5Char">
    <w:name w:val="IAPOQ5 Char"/>
    <w:basedOn w:val="IAPOQ4Char"/>
    <w:link w:val="IAPOQ5"/>
    <w:locked/>
    <w:rsid w:val="0034672C"/>
    <w:rPr>
      <w:rFonts w:ascii="Arial" w:eastAsia="SimSun" w:hAnsi="Arial" w:cs="Times New Roman"/>
      <w:b/>
      <w:color w:val="000000"/>
      <w:spacing w:val="-5"/>
      <w:sz w:val="20"/>
      <w:szCs w:val="20"/>
      <w:lang w:eastAsia="zh-CN"/>
    </w:rPr>
  </w:style>
  <w:style w:type="paragraph" w:customStyle="1" w:styleId="IAPODisRate">
    <w:name w:val="IAPODisRate"/>
    <w:basedOn w:val="IATableLabel"/>
    <w:rsid w:val="0034672C"/>
    <w:pPr>
      <w:ind w:left="0"/>
      <w:jc w:val="center"/>
    </w:pPr>
    <w:rPr>
      <w:b w:val="0"/>
    </w:rPr>
  </w:style>
  <w:style w:type="paragraph" w:customStyle="1" w:styleId="IAPODINet">
    <w:name w:val="IAPODINet"/>
    <w:basedOn w:val="IATableLabel"/>
    <w:link w:val="IAPODINetChar"/>
    <w:rsid w:val="0034672C"/>
    <w:rPr>
      <w:b w:val="0"/>
      <w:sz w:val="22"/>
      <w:szCs w:val="22"/>
    </w:rPr>
  </w:style>
  <w:style w:type="character" w:customStyle="1" w:styleId="IAPODINetChar">
    <w:name w:val="IAPODINet Char"/>
    <w:link w:val="IAPODINet"/>
    <w:locked/>
    <w:rsid w:val="0034672C"/>
    <w:rPr>
      <w:rFonts w:ascii="Arial" w:eastAsia="SimSun" w:hAnsi="Arial" w:cs="Times New Roman"/>
      <w:color w:val="000000"/>
      <w:spacing w:val="-5"/>
      <w:lang w:eastAsia="zh-CN"/>
    </w:rPr>
  </w:style>
  <w:style w:type="paragraph" w:customStyle="1" w:styleId="IAPODIMQ">
    <w:name w:val="IAPODIMQ"/>
    <w:basedOn w:val="IATableText"/>
    <w:rsid w:val="0034672C"/>
    <w:rPr>
      <w:color w:val="000000"/>
      <w:sz w:val="20"/>
    </w:rPr>
  </w:style>
  <w:style w:type="paragraph" w:customStyle="1" w:styleId="IATitle">
    <w:name w:val="IATitle"/>
    <w:basedOn w:val="Normal"/>
    <w:rsid w:val="0034672C"/>
    <w:pPr>
      <w:spacing w:after="0" w:line="240" w:lineRule="auto"/>
      <w:ind w:left="113"/>
    </w:pPr>
    <w:rPr>
      <w:rFonts w:ascii="Arial" w:eastAsia="SimSun" w:hAnsi="Arial" w:cs="Arial"/>
      <w:sz w:val="20"/>
      <w:szCs w:val="24"/>
      <w:lang w:eastAsia="en-US"/>
    </w:rPr>
  </w:style>
  <w:style w:type="paragraph" w:customStyle="1" w:styleId="IANo">
    <w:name w:val="IANo"/>
    <w:basedOn w:val="Normal"/>
    <w:link w:val="IANoChar"/>
    <w:rsid w:val="0034672C"/>
    <w:pPr>
      <w:spacing w:after="0" w:line="240" w:lineRule="auto"/>
      <w:ind w:left="113"/>
    </w:pPr>
    <w:rPr>
      <w:rFonts w:ascii="Arial" w:eastAsia="Times New Roman" w:hAnsi="Arial" w:cs="Times New Roman"/>
      <w:sz w:val="20"/>
      <w:lang w:eastAsia="en-US"/>
    </w:rPr>
  </w:style>
  <w:style w:type="character" w:customStyle="1" w:styleId="IAHeadTitleChar">
    <w:name w:val="IAHeadTitle Char"/>
    <w:link w:val="IAHeadTitle"/>
    <w:locked/>
    <w:rsid w:val="0034672C"/>
    <w:rPr>
      <w:rFonts w:ascii="Arial" w:eastAsia="SimSun" w:hAnsi="Arial" w:cs="Times New Roman"/>
      <w:b/>
      <w:spacing w:val="-6"/>
      <w:sz w:val="28"/>
      <w:szCs w:val="28"/>
      <w:lang w:eastAsia="zh-CN"/>
    </w:rPr>
  </w:style>
  <w:style w:type="character" w:customStyle="1" w:styleId="IANoChar">
    <w:name w:val="IANo Char"/>
    <w:link w:val="IANo"/>
    <w:locked/>
    <w:rsid w:val="0034672C"/>
    <w:rPr>
      <w:rFonts w:ascii="Arial" w:eastAsia="Times New Roman" w:hAnsi="Arial" w:cs="Times New Roman"/>
      <w:sz w:val="20"/>
      <w:lang w:eastAsia="en-US"/>
    </w:rPr>
  </w:style>
  <w:style w:type="paragraph" w:customStyle="1" w:styleId="IALeadDept">
    <w:name w:val="IALeadDept"/>
    <w:basedOn w:val="Normal"/>
    <w:rsid w:val="0034672C"/>
    <w:pPr>
      <w:spacing w:after="0" w:line="240" w:lineRule="auto"/>
      <w:ind w:left="113"/>
    </w:pPr>
    <w:rPr>
      <w:rFonts w:ascii="Arial" w:eastAsia="Arial Unicode MS" w:hAnsi="Arial" w:cs="Arial"/>
      <w:noProof/>
      <w:sz w:val="20"/>
      <w:szCs w:val="24"/>
      <w:lang w:eastAsia="en-US"/>
    </w:rPr>
  </w:style>
  <w:style w:type="paragraph" w:customStyle="1" w:styleId="IASOI">
    <w:name w:val="IASOI"/>
    <w:basedOn w:val="IATableLabel"/>
    <w:link w:val="IASOIChar"/>
    <w:rsid w:val="0034672C"/>
    <w:rPr>
      <w:b w:val="0"/>
      <w:sz w:val="22"/>
    </w:rPr>
  </w:style>
  <w:style w:type="paragraph" w:customStyle="1" w:styleId="IATOM">
    <w:name w:val="IATOM"/>
    <w:basedOn w:val="IATableLabel"/>
    <w:link w:val="IATOMChar"/>
    <w:rsid w:val="0034672C"/>
    <w:rPr>
      <w:b w:val="0"/>
      <w:sz w:val="22"/>
    </w:rPr>
  </w:style>
  <w:style w:type="paragraph" w:customStyle="1" w:styleId="IACOE">
    <w:name w:val="IACOE"/>
    <w:basedOn w:val="Normal"/>
    <w:link w:val="IACOEChar"/>
    <w:autoRedefine/>
    <w:rsid w:val="0034672C"/>
    <w:pPr>
      <w:spacing w:after="0" w:line="240" w:lineRule="auto"/>
    </w:pPr>
    <w:rPr>
      <w:rFonts w:ascii="Arial" w:eastAsia="SimSun" w:hAnsi="Arial" w:cs="Times New Roman"/>
      <w:spacing w:val="-5"/>
      <w:sz w:val="20"/>
      <w:szCs w:val="24"/>
      <w:lang w:eastAsia="zh-CN"/>
    </w:rPr>
  </w:style>
  <w:style w:type="paragraph" w:customStyle="1" w:styleId="IARPC">
    <w:name w:val="IARPC"/>
    <w:basedOn w:val="Title"/>
    <w:link w:val="IARPCChar"/>
    <w:rsid w:val="0034672C"/>
    <w:pPr>
      <w:pBdr>
        <w:top w:val="none" w:sz="0" w:space="0" w:color="auto"/>
        <w:left w:val="none" w:sz="0" w:space="0" w:color="auto"/>
        <w:bottom w:val="none" w:sz="0" w:space="0" w:color="auto"/>
        <w:right w:val="none" w:sz="0" w:space="0" w:color="auto"/>
        <w:between w:val="none" w:sz="0" w:space="0" w:color="auto"/>
      </w:pBdr>
      <w:ind w:firstLine="0"/>
      <w:outlineLvl w:val="0"/>
    </w:pPr>
    <w:rPr>
      <w:rFonts w:eastAsia="SimSun"/>
      <w:bCs/>
      <w:color w:val="000000"/>
      <w:kern w:val="28"/>
      <w:sz w:val="24"/>
      <w:szCs w:val="24"/>
      <w:lang w:eastAsia="en-US"/>
    </w:rPr>
  </w:style>
  <w:style w:type="paragraph" w:customStyle="1" w:styleId="IAIIOTNPV">
    <w:name w:val="IAIIOTNPV"/>
    <w:basedOn w:val="IATableLabel"/>
    <w:rsid w:val="0034672C"/>
    <w:pPr>
      <w:spacing w:before="0" w:after="0"/>
      <w:jc w:val="both"/>
    </w:pPr>
    <w:rPr>
      <w:b w:val="0"/>
      <w:sz w:val="22"/>
      <w:szCs w:val="22"/>
    </w:rPr>
  </w:style>
  <w:style w:type="paragraph" w:customStyle="1" w:styleId="IAIOBNPV">
    <w:name w:val="IAIOBNPV"/>
    <w:basedOn w:val="IATableLabel"/>
    <w:rsid w:val="0034672C"/>
    <w:pPr>
      <w:spacing w:before="0" w:after="0"/>
    </w:pPr>
    <w:rPr>
      <w:b w:val="0"/>
      <w:sz w:val="22"/>
      <w:szCs w:val="22"/>
    </w:rPr>
  </w:style>
  <w:style w:type="paragraph" w:customStyle="1" w:styleId="IAIONCTBPY">
    <w:name w:val="IAIONCTBPY"/>
    <w:basedOn w:val="IATableLabel"/>
    <w:rsid w:val="0034672C"/>
    <w:pPr>
      <w:spacing w:before="0" w:after="0"/>
    </w:pPr>
    <w:rPr>
      <w:b w:val="0"/>
      <w:sz w:val="22"/>
      <w:szCs w:val="22"/>
    </w:rPr>
  </w:style>
  <w:style w:type="paragraph" w:customStyle="1" w:styleId="IAIOInScopeInOut">
    <w:name w:val="IAIOInScopeInOut"/>
    <w:basedOn w:val="IATableLabel"/>
    <w:rsid w:val="0034672C"/>
    <w:pPr>
      <w:spacing w:before="0" w:after="0"/>
    </w:pPr>
    <w:rPr>
      <w:b w:val="0"/>
      <w:sz w:val="22"/>
      <w:szCs w:val="22"/>
    </w:rPr>
  </w:style>
  <w:style w:type="paragraph" w:customStyle="1" w:styleId="IAIOPrefMQ">
    <w:name w:val="IAIOPrefMQ"/>
    <w:basedOn w:val="IATableText"/>
    <w:rsid w:val="0034672C"/>
    <w:pPr>
      <w:spacing w:before="0" w:after="0"/>
    </w:pPr>
    <w:rPr>
      <w:color w:val="000000"/>
      <w:szCs w:val="22"/>
    </w:rPr>
  </w:style>
  <w:style w:type="paragraph" w:customStyle="1" w:styleId="IAIOQ1">
    <w:name w:val="IAIOQ1"/>
    <w:basedOn w:val="IATableLabel"/>
    <w:rsid w:val="0034672C"/>
  </w:style>
  <w:style w:type="paragraph" w:customStyle="1" w:styleId="IAIOQ2">
    <w:name w:val="IAIOQ2"/>
    <w:basedOn w:val="IATableLabel"/>
    <w:rsid w:val="0034672C"/>
  </w:style>
  <w:style w:type="paragraph" w:customStyle="1" w:styleId="IAIOQ3">
    <w:name w:val="IAIOQ3"/>
    <w:basedOn w:val="IATableLabel"/>
    <w:rsid w:val="0034672C"/>
  </w:style>
  <w:style w:type="paragraph" w:customStyle="1" w:styleId="IAIOPolicyReview">
    <w:name w:val="IAIOPolicyReview"/>
    <w:basedOn w:val="IATableLabel"/>
    <w:link w:val="IAIOPolicyReviewChar"/>
    <w:rsid w:val="0034672C"/>
    <w:rPr>
      <w:b w:val="0"/>
      <w:sz w:val="22"/>
      <w:szCs w:val="22"/>
    </w:rPr>
  </w:style>
  <w:style w:type="character" w:customStyle="1" w:styleId="IAIOPolicyReviewChar">
    <w:name w:val="IAIOPolicyReview Char"/>
    <w:link w:val="IAIOPolicyReview"/>
    <w:locked/>
    <w:rsid w:val="0034672C"/>
    <w:rPr>
      <w:rFonts w:ascii="Arial" w:eastAsia="SimSun" w:hAnsi="Arial" w:cs="Times New Roman"/>
      <w:color w:val="000000"/>
      <w:spacing w:val="-5"/>
      <w:lang w:eastAsia="zh-CN"/>
    </w:rPr>
  </w:style>
  <w:style w:type="paragraph" w:customStyle="1" w:styleId="IAIOCheckEU">
    <w:name w:val="IAIOCheckEU"/>
    <w:basedOn w:val="IATableText"/>
    <w:rsid w:val="0034672C"/>
    <w:pPr>
      <w:spacing w:before="0" w:after="0"/>
    </w:pPr>
    <w:rPr>
      <w:sz w:val="20"/>
    </w:rPr>
  </w:style>
  <w:style w:type="paragraph" w:customStyle="1" w:styleId="IAIOCheckMicro">
    <w:name w:val="IAIOCheckMicro"/>
    <w:basedOn w:val="IATableLines"/>
    <w:link w:val="IAIOCheckMicroChar"/>
    <w:rsid w:val="0034672C"/>
    <w:rPr>
      <w:sz w:val="20"/>
    </w:rPr>
  </w:style>
  <w:style w:type="paragraph" w:customStyle="1" w:styleId="IAIOCheckSmall">
    <w:name w:val="IAIOCheckSmall"/>
    <w:basedOn w:val="IATableLines"/>
    <w:link w:val="IAIOCheckSmallChar"/>
    <w:rsid w:val="0034672C"/>
    <w:rPr>
      <w:sz w:val="20"/>
    </w:rPr>
  </w:style>
  <w:style w:type="paragraph" w:customStyle="1" w:styleId="IAIOCheckMedium">
    <w:name w:val="IAIOCheckMedium"/>
    <w:basedOn w:val="IATableLines"/>
    <w:link w:val="IAIOCheckMediumChar"/>
    <w:rsid w:val="0034672C"/>
    <w:rPr>
      <w:sz w:val="20"/>
    </w:rPr>
  </w:style>
  <w:style w:type="paragraph" w:customStyle="1" w:styleId="IAIOCheckLarge">
    <w:name w:val="IAIOCheckLarge"/>
    <w:basedOn w:val="IATableLines"/>
    <w:link w:val="IAIOCheckLargeChar"/>
    <w:rsid w:val="0034672C"/>
    <w:rPr>
      <w:sz w:val="20"/>
    </w:rPr>
  </w:style>
  <w:style w:type="paragraph" w:customStyle="1" w:styleId="IAIOCO2Traded">
    <w:name w:val="IAIOCO2Traded"/>
    <w:basedOn w:val="IATableLabel"/>
    <w:link w:val="IAIOCO2TradedChar"/>
    <w:rsid w:val="0034672C"/>
    <w:rPr>
      <w:b w:val="0"/>
      <w:sz w:val="22"/>
    </w:rPr>
  </w:style>
  <w:style w:type="paragraph" w:customStyle="1" w:styleId="IAIOtextSign">
    <w:name w:val="IAIOtextSign"/>
    <w:basedOn w:val="Normal"/>
    <w:rsid w:val="0034672C"/>
    <w:pPr>
      <w:spacing w:after="0" w:line="240" w:lineRule="auto"/>
      <w:jc w:val="center"/>
    </w:pPr>
    <w:rPr>
      <w:rFonts w:ascii="Arial" w:eastAsia="Times New Roman" w:hAnsi="Arial" w:cs="Times New Roman"/>
      <w:sz w:val="24"/>
      <w:szCs w:val="24"/>
      <w:lang w:eastAsia="en-US"/>
    </w:rPr>
  </w:style>
  <w:style w:type="paragraph" w:customStyle="1" w:styleId="IAIOSigDate">
    <w:name w:val="IAIOSigDate"/>
    <w:basedOn w:val="Normal"/>
    <w:rsid w:val="0034672C"/>
    <w:pPr>
      <w:spacing w:after="0" w:line="240" w:lineRule="auto"/>
      <w:jc w:val="center"/>
    </w:pPr>
    <w:rPr>
      <w:rFonts w:ascii="Arial" w:eastAsia="Times New Roman" w:hAnsi="Arial" w:cs="Times New Roman"/>
      <w:lang w:eastAsia="en-US"/>
    </w:rPr>
  </w:style>
  <w:style w:type="character" w:customStyle="1" w:styleId="IATableLinesChar">
    <w:name w:val="IATableLines Char"/>
    <w:basedOn w:val="IATableTextChar"/>
    <w:link w:val="IATableLines"/>
    <w:locked/>
    <w:rsid w:val="0034672C"/>
    <w:rPr>
      <w:rFonts w:ascii="Arial" w:eastAsia="SimSun" w:hAnsi="Arial" w:cs="Times New Roman"/>
      <w:spacing w:val="-5"/>
      <w:szCs w:val="20"/>
      <w:lang w:eastAsia="zh-CN"/>
    </w:rPr>
  </w:style>
  <w:style w:type="character" w:customStyle="1" w:styleId="IACOEChar">
    <w:name w:val="IACOE Char"/>
    <w:link w:val="IACOE"/>
    <w:locked/>
    <w:rsid w:val="0034672C"/>
    <w:rPr>
      <w:rFonts w:ascii="Arial" w:eastAsia="SimSun" w:hAnsi="Arial" w:cs="Times New Roman"/>
      <w:spacing w:val="-5"/>
      <w:sz w:val="20"/>
      <w:szCs w:val="24"/>
      <w:lang w:eastAsia="zh-CN"/>
    </w:rPr>
  </w:style>
  <w:style w:type="character" w:customStyle="1" w:styleId="IASOIChar">
    <w:name w:val="IASOI Char"/>
    <w:link w:val="IASOI"/>
    <w:locked/>
    <w:rsid w:val="0034672C"/>
    <w:rPr>
      <w:rFonts w:ascii="Arial" w:eastAsia="SimSun" w:hAnsi="Arial" w:cs="Times New Roman"/>
      <w:color w:val="000000"/>
      <w:spacing w:val="-5"/>
      <w:szCs w:val="20"/>
      <w:lang w:eastAsia="zh-CN"/>
    </w:rPr>
  </w:style>
  <w:style w:type="character" w:customStyle="1" w:styleId="IATOMChar">
    <w:name w:val="IATOM Char"/>
    <w:link w:val="IATOM"/>
    <w:locked/>
    <w:rsid w:val="0034672C"/>
    <w:rPr>
      <w:rFonts w:ascii="Arial" w:eastAsia="SimSun" w:hAnsi="Arial" w:cs="Times New Roman"/>
      <w:color w:val="000000"/>
      <w:spacing w:val="-5"/>
      <w:szCs w:val="20"/>
      <w:lang w:eastAsia="zh-CN"/>
    </w:rPr>
  </w:style>
  <w:style w:type="character" w:customStyle="1" w:styleId="IARPCChar">
    <w:name w:val="IARPC Char"/>
    <w:link w:val="IARPC"/>
    <w:locked/>
    <w:rsid w:val="0034672C"/>
    <w:rPr>
      <w:rFonts w:ascii="Arial" w:eastAsia="SimSun" w:hAnsi="Arial" w:cs="Arial"/>
      <w:bCs/>
      <w:color w:val="000000"/>
      <w:kern w:val="28"/>
      <w:sz w:val="24"/>
      <w:szCs w:val="24"/>
      <w:lang w:eastAsia="en-US"/>
    </w:rPr>
  </w:style>
  <w:style w:type="character" w:customStyle="1" w:styleId="IAIOCheckMicroChar">
    <w:name w:val="IAIOCheckMicro Char"/>
    <w:basedOn w:val="IATableLinesChar"/>
    <w:link w:val="IAIOCheckMicro"/>
    <w:locked/>
    <w:rsid w:val="0034672C"/>
    <w:rPr>
      <w:rFonts w:ascii="Arial" w:eastAsia="SimSun" w:hAnsi="Arial" w:cs="Times New Roman"/>
      <w:spacing w:val="-5"/>
      <w:sz w:val="20"/>
      <w:szCs w:val="20"/>
      <w:lang w:eastAsia="zh-CN"/>
    </w:rPr>
  </w:style>
  <w:style w:type="character" w:customStyle="1" w:styleId="IAIOCheckSmallChar">
    <w:name w:val="IAIOCheckSmall Char"/>
    <w:basedOn w:val="IATableLinesChar"/>
    <w:link w:val="IAIOCheckSmall"/>
    <w:locked/>
    <w:rsid w:val="0034672C"/>
    <w:rPr>
      <w:rFonts w:ascii="Arial" w:eastAsia="SimSun" w:hAnsi="Arial" w:cs="Times New Roman"/>
      <w:spacing w:val="-5"/>
      <w:sz w:val="20"/>
      <w:szCs w:val="20"/>
      <w:lang w:eastAsia="zh-CN"/>
    </w:rPr>
  </w:style>
  <w:style w:type="character" w:customStyle="1" w:styleId="IAIOCheckMediumChar">
    <w:name w:val="IAIOCheckMedium Char"/>
    <w:basedOn w:val="IATableLinesChar"/>
    <w:link w:val="IAIOCheckMedium"/>
    <w:locked/>
    <w:rsid w:val="0034672C"/>
    <w:rPr>
      <w:rFonts w:ascii="Arial" w:eastAsia="SimSun" w:hAnsi="Arial" w:cs="Times New Roman"/>
      <w:spacing w:val="-5"/>
      <w:sz w:val="20"/>
      <w:szCs w:val="20"/>
      <w:lang w:eastAsia="zh-CN"/>
    </w:rPr>
  </w:style>
  <w:style w:type="character" w:customStyle="1" w:styleId="IAIOCheckLargeChar">
    <w:name w:val="IAIOCheckLarge Char"/>
    <w:basedOn w:val="IATableLinesChar"/>
    <w:link w:val="IAIOCheckLarge"/>
    <w:locked/>
    <w:rsid w:val="0034672C"/>
    <w:rPr>
      <w:rFonts w:ascii="Arial" w:eastAsia="SimSun" w:hAnsi="Arial" w:cs="Times New Roman"/>
      <w:spacing w:val="-5"/>
      <w:sz w:val="20"/>
      <w:szCs w:val="20"/>
      <w:lang w:eastAsia="zh-CN"/>
    </w:rPr>
  </w:style>
  <w:style w:type="character" w:customStyle="1" w:styleId="IAIOCO2TradedChar">
    <w:name w:val="IAIOCO2Traded Char"/>
    <w:link w:val="IAIOCO2Traded"/>
    <w:locked/>
    <w:rsid w:val="0034672C"/>
    <w:rPr>
      <w:rFonts w:ascii="Arial" w:eastAsia="SimSun" w:hAnsi="Arial" w:cs="Times New Roman"/>
      <w:color w:val="000000"/>
      <w:spacing w:val="-5"/>
      <w:szCs w:val="20"/>
      <w:lang w:eastAsia="zh-CN"/>
    </w:rPr>
  </w:style>
  <w:style w:type="paragraph" w:styleId="FootnoteText">
    <w:name w:val="footnote text"/>
    <w:basedOn w:val="Normal"/>
    <w:link w:val="FootnoteTextChar"/>
    <w:uiPriority w:val="99"/>
    <w:semiHidden/>
    <w:unhideWhenUsed/>
    <w:rsid w:val="00F02D5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02D59"/>
    <w:rPr>
      <w:sz w:val="20"/>
      <w:szCs w:val="20"/>
    </w:rPr>
  </w:style>
  <w:style w:type="character" w:styleId="FootnoteReference">
    <w:name w:val="footnote reference"/>
    <w:basedOn w:val="DefaultParagraphFont"/>
    <w:uiPriority w:val="99"/>
    <w:semiHidden/>
    <w:unhideWhenUsed/>
    <w:rsid w:val="00F02D59"/>
    <w:rPr>
      <w:vertAlign w:val="superscript"/>
    </w:rPr>
  </w:style>
  <w:style w:type="paragraph" w:styleId="ListParagraph">
    <w:name w:val="List Paragraph"/>
    <w:basedOn w:val="Normal"/>
    <w:uiPriority w:val="34"/>
    <w:qFormat/>
    <w:rsid w:val="009F58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5131363">
      <w:bodyDiv w:val="1"/>
      <w:marLeft w:val="0"/>
      <w:marRight w:val="0"/>
      <w:marTop w:val="0"/>
      <w:marBottom w:val="0"/>
      <w:divBdr>
        <w:top w:val="none" w:sz="0" w:space="0" w:color="auto"/>
        <w:left w:val="none" w:sz="0" w:space="0" w:color="auto"/>
        <w:bottom w:val="none" w:sz="0" w:space="0" w:color="auto"/>
        <w:right w:val="none" w:sz="0" w:space="0" w:color="auto"/>
      </w:divBdr>
    </w:div>
    <w:div w:id="1359232804">
      <w:bodyDiv w:val="1"/>
      <w:marLeft w:val="0"/>
      <w:marRight w:val="0"/>
      <w:marTop w:val="0"/>
      <w:marBottom w:val="0"/>
      <w:divBdr>
        <w:top w:val="none" w:sz="0" w:space="0" w:color="auto"/>
        <w:left w:val="none" w:sz="0" w:space="0" w:color="auto"/>
        <w:bottom w:val="none" w:sz="0" w:space="0" w:color="auto"/>
        <w:right w:val="none" w:sz="0" w:space="0" w:color="auto"/>
      </w:divBdr>
    </w:div>
    <w:div w:id="19234931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echa.europa.eu/registration-statistics-infograph" TargetMode="External"/><Relationship Id="rId1" Type="http://schemas.openxmlformats.org/officeDocument/2006/relationships/hyperlink" Target="http://eur-lex.europa.eu/LexUriServ/LexUriServ.do?uri=OJ:L:2013:079:0007:0018: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6647</Words>
  <Characters>37893</Characters>
  <Application>Microsoft Office Word</Application>
  <DocSecurity>4</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2019-01-09T12:58:00Z</dcterms:created>
  <dcterms:modified xsi:type="dcterms:W3CDTF">2019-01-09T12:58:00Z</dcterms:modified>
</cp:coreProperties>
</file>