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97A" w:rsidRPr="005B66DA" w:rsidRDefault="003C5312" w:rsidP="005B66DA">
      <w:pPr>
        <w:jc w:val="center"/>
        <w:rPr>
          <w:rFonts w:ascii="Book Antiqua" w:hAnsi="Book Antiqua" w:cs="Arial"/>
          <w:caps/>
          <w:color w:val="000000"/>
          <w:sz w:val="16"/>
          <w:szCs w:val="16"/>
        </w:rPr>
      </w:pPr>
      <w:r w:rsidRPr="005B66DA">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81.75pt;height:71.25pt;visibility:visible">
            <v:imagedata r:id="rId8" o:title=""/>
          </v:shape>
        </w:pict>
      </w:r>
    </w:p>
    <w:p w:rsidR="008F68E5" w:rsidRPr="005B66DA" w:rsidRDefault="008F68E5" w:rsidP="005B66DA">
      <w:pPr>
        <w:rPr>
          <w:rFonts w:ascii="Book Antiqua" w:hAnsi="Book Antiqua" w:cs="Arial"/>
          <w:color w:val="000000"/>
          <w:sz w:val="16"/>
          <w:szCs w:val="16"/>
        </w:rPr>
      </w:pPr>
    </w:p>
    <w:p w:rsidR="0072497A" w:rsidRPr="00C3462F" w:rsidRDefault="0072497A" w:rsidP="005B66DA">
      <w:pPr>
        <w:rPr>
          <w:rFonts w:ascii="Book Antiqua" w:hAnsi="Book Antiqua" w:cs="Arial"/>
          <w:b/>
          <w:color w:val="000000"/>
        </w:rPr>
      </w:pPr>
      <w:r w:rsidRPr="00C3462F">
        <w:rPr>
          <w:rFonts w:ascii="Book Antiqua" w:hAnsi="Book Antiqua" w:cs="Arial"/>
          <w:b/>
          <w:color w:val="000000"/>
        </w:rPr>
        <w:t xml:space="preserve">Upper Tribunal </w:t>
      </w:r>
    </w:p>
    <w:p w:rsidR="007B0824" w:rsidRDefault="0072497A" w:rsidP="005B66DA">
      <w:pPr>
        <w:rPr>
          <w:rFonts w:ascii="Book Antiqua" w:hAnsi="Book Antiqua" w:cs="Arial"/>
          <w:color w:val="000000"/>
        </w:rPr>
      </w:pPr>
      <w:r w:rsidRPr="00C3462F">
        <w:rPr>
          <w:rFonts w:ascii="Book Antiqua" w:hAnsi="Book Antiqua" w:cs="Arial"/>
          <w:b/>
          <w:color w:val="000000"/>
        </w:rPr>
        <w:t>(Immigration and Asylum Chamber)</w:t>
      </w:r>
    </w:p>
    <w:p w:rsidR="00F26D42" w:rsidRDefault="00F26D42" w:rsidP="005B66DA">
      <w:pPr>
        <w:tabs>
          <w:tab w:val="right" w:pos="9720"/>
        </w:tabs>
        <w:jc w:val="center"/>
        <w:rPr>
          <w:rFonts w:ascii="Book Antiqua" w:hAnsi="Book Antiqua" w:cs="Arial"/>
          <w:color w:val="000000"/>
        </w:rPr>
      </w:pPr>
    </w:p>
    <w:p w:rsidR="00E73153" w:rsidRPr="00F26D42" w:rsidRDefault="00E73153" w:rsidP="005B66DA">
      <w:pPr>
        <w:tabs>
          <w:tab w:val="right" w:pos="9720"/>
        </w:tabs>
        <w:jc w:val="both"/>
        <w:rPr>
          <w:rFonts w:ascii="Book Antiqua" w:hAnsi="Book Antiqua" w:cs="Arial"/>
          <w:color w:val="000000"/>
        </w:rPr>
      </w:pPr>
      <w:r>
        <w:rPr>
          <w:rFonts w:ascii="Book Antiqua" w:hAnsi="Book Antiqua" w:cs="Arial"/>
          <w:color w:val="000000"/>
        </w:rPr>
        <w:t>Osefiso and another (</w:t>
      </w:r>
      <w:r w:rsidR="00345A39">
        <w:rPr>
          <w:rFonts w:ascii="Book Antiqua" w:hAnsi="Book Antiqua" w:cs="Arial"/>
          <w:color w:val="000000"/>
        </w:rPr>
        <w:t>PTA decision</w:t>
      </w:r>
      <w:r w:rsidR="00BB3F75">
        <w:rPr>
          <w:rFonts w:ascii="Book Antiqua" w:hAnsi="Book Antiqua" w:cs="Arial"/>
          <w:color w:val="000000"/>
        </w:rPr>
        <w:t>: effect;</w:t>
      </w:r>
      <w:r w:rsidR="00345A39">
        <w:rPr>
          <w:rFonts w:ascii="Book Antiqua" w:hAnsi="Book Antiqua" w:cs="Arial"/>
          <w:color w:val="000000"/>
        </w:rPr>
        <w:t xml:space="preserve"> ‘Cart’ </w:t>
      </w:r>
      <w:r w:rsidR="00BB3F75">
        <w:rPr>
          <w:rFonts w:ascii="Book Antiqua" w:hAnsi="Book Antiqua" w:cs="Arial"/>
          <w:color w:val="000000"/>
        </w:rPr>
        <w:t xml:space="preserve">JR) </w:t>
      </w:r>
      <w:r w:rsidR="009D4B35" w:rsidRPr="009D4B35">
        <w:rPr>
          <w:rFonts w:ascii="Book Antiqua" w:hAnsi="Book Antiqua" w:cs="Arial"/>
          <w:color w:val="000000"/>
        </w:rPr>
        <w:t>[2021] UKUT 0</w:t>
      </w:r>
      <w:r w:rsidR="00AA1B47">
        <w:rPr>
          <w:rFonts w:ascii="Book Antiqua" w:hAnsi="Book Antiqua" w:cs="Arial"/>
          <w:color w:val="000000"/>
        </w:rPr>
        <w:t>0</w:t>
      </w:r>
      <w:r w:rsidR="009D4B35" w:rsidRPr="009D4B35">
        <w:rPr>
          <w:rFonts w:ascii="Book Antiqua" w:hAnsi="Book Antiqua" w:cs="Arial"/>
          <w:color w:val="000000"/>
        </w:rPr>
        <w:t>116 (IAC)</w:t>
      </w:r>
    </w:p>
    <w:p w:rsidR="00C345E1" w:rsidRPr="00C3462F" w:rsidRDefault="00C345E1" w:rsidP="005B66DA">
      <w:pPr>
        <w:jc w:val="center"/>
        <w:rPr>
          <w:rFonts w:ascii="Book Antiqua" w:hAnsi="Book Antiqua" w:cs="Arial"/>
          <w:color w:val="000000"/>
        </w:rPr>
      </w:pPr>
    </w:p>
    <w:p w:rsidR="00C345E1" w:rsidRPr="00C3462F" w:rsidRDefault="00C345E1" w:rsidP="005B66DA">
      <w:pPr>
        <w:jc w:val="center"/>
        <w:rPr>
          <w:rFonts w:ascii="Book Antiqua" w:hAnsi="Book Antiqua" w:cs="Arial"/>
          <w:color w:val="000000"/>
        </w:rPr>
      </w:pPr>
    </w:p>
    <w:p w:rsidR="00C345E1" w:rsidRPr="00C3462F" w:rsidRDefault="00C345E1" w:rsidP="005B66DA">
      <w:pPr>
        <w:jc w:val="center"/>
        <w:rPr>
          <w:rFonts w:ascii="Book Antiqua" w:hAnsi="Book Antiqua" w:cs="Arial"/>
          <w:b/>
          <w:color w:val="000000"/>
          <w:u w:val="single"/>
        </w:rPr>
      </w:pPr>
      <w:r w:rsidRPr="00C3462F">
        <w:rPr>
          <w:rFonts w:ascii="Book Antiqua" w:hAnsi="Book Antiqua" w:cs="Arial"/>
          <w:b/>
          <w:color w:val="000000"/>
          <w:u w:val="single"/>
        </w:rPr>
        <w:t>THE IMMIGRATION ACTS</w:t>
      </w:r>
    </w:p>
    <w:p w:rsidR="00C345E1" w:rsidRPr="00C3462F" w:rsidRDefault="00C345E1" w:rsidP="005B66DA">
      <w:pPr>
        <w:jc w:val="center"/>
        <w:rPr>
          <w:rFonts w:ascii="Book Antiqua" w:hAnsi="Book Antiqua" w:cs="Arial"/>
          <w:b/>
          <w:u w:val="single"/>
        </w:rPr>
      </w:pPr>
    </w:p>
    <w:p w:rsidR="00C345E1" w:rsidRPr="00C3462F" w:rsidRDefault="00C345E1" w:rsidP="005B66DA">
      <w:pPr>
        <w:jc w:val="center"/>
        <w:rPr>
          <w:rFonts w:ascii="Book Antiqua" w:hAnsi="Book Antiqua" w:cs="Arial"/>
          <w:b/>
          <w:u w:val="single"/>
        </w:rPr>
      </w:pPr>
    </w:p>
    <w:tbl>
      <w:tblPr>
        <w:tblW w:w="5000" w:type="pct"/>
        <w:tblLook w:val="01E0" w:firstRow="1" w:lastRow="1" w:firstColumn="1" w:lastColumn="1" w:noHBand="0" w:noVBand="0"/>
      </w:tblPr>
      <w:tblGrid>
        <w:gridCol w:w="4927"/>
        <w:gridCol w:w="4927"/>
      </w:tblGrid>
      <w:tr w:rsidR="00D22636" w:rsidRPr="00ED5A15" w:rsidTr="005B66DA">
        <w:tc>
          <w:tcPr>
            <w:tcW w:w="2500" w:type="pct"/>
            <w:shd w:val="clear" w:color="auto" w:fill="auto"/>
          </w:tcPr>
          <w:p w:rsidR="00D22636" w:rsidRPr="00ED5A15" w:rsidRDefault="00D22636" w:rsidP="005B66DA">
            <w:pPr>
              <w:jc w:val="both"/>
              <w:rPr>
                <w:rFonts w:ascii="Book Antiqua" w:hAnsi="Book Antiqua" w:cs="Arial"/>
                <w:b/>
              </w:rPr>
            </w:pPr>
            <w:r w:rsidRPr="00ED5A15">
              <w:rPr>
                <w:rFonts w:ascii="Book Antiqua" w:hAnsi="Book Antiqua" w:cs="Arial"/>
                <w:b/>
              </w:rPr>
              <w:t xml:space="preserve">Heard at </w:t>
            </w:r>
            <w:r w:rsidR="00B87C61">
              <w:rPr>
                <w:rFonts w:ascii="Book Antiqua" w:hAnsi="Book Antiqua" w:cs="Arial"/>
                <w:b/>
              </w:rPr>
              <w:t>Field House</w:t>
            </w:r>
          </w:p>
        </w:tc>
        <w:tc>
          <w:tcPr>
            <w:tcW w:w="2500" w:type="pct"/>
            <w:shd w:val="clear" w:color="auto" w:fill="auto"/>
          </w:tcPr>
          <w:p w:rsidR="00D22636" w:rsidRPr="00ED5A15" w:rsidRDefault="002D7D7C" w:rsidP="005B66DA">
            <w:pPr>
              <w:jc w:val="right"/>
              <w:rPr>
                <w:rFonts w:ascii="Book Antiqua" w:hAnsi="Book Antiqua" w:cs="Arial"/>
                <w:b/>
                <w:color w:val="000000"/>
              </w:rPr>
            </w:pPr>
            <w:r w:rsidRPr="00ED5A15">
              <w:rPr>
                <w:rFonts w:ascii="Book Antiqua" w:hAnsi="Book Antiqua" w:cs="Arial"/>
                <w:b/>
                <w:color w:val="000000"/>
              </w:rPr>
              <w:t>Decision &amp; Reasons</w:t>
            </w:r>
            <w:r w:rsidR="00283659" w:rsidRPr="00ED5A15">
              <w:rPr>
                <w:rFonts w:ascii="Book Antiqua" w:hAnsi="Book Antiqua" w:cs="Arial"/>
                <w:b/>
                <w:color w:val="000000"/>
              </w:rPr>
              <w:t xml:space="preserve"> Promulgated</w:t>
            </w:r>
          </w:p>
        </w:tc>
      </w:tr>
      <w:tr w:rsidR="00D22636" w:rsidRPr="00ED5A15" w:rsidTr="005B66DA">
        <w:tc>
          <w:tcPr>
            <w:tcW w:w="2500" w:type="pct"/>
            <w:shd w:val="clear" w:color="auto" w:fill="auto"/>
          </w:tcPr>
          <w:p w:rsidR="00D22636" w:rsidRPr="00ED5A15" w:rsidRDefault="00D22636" w:rsidP="005B66DA">
            <w:pPr>
              <w:jc w:val="both"/>
              <w:rPr>
                <w:rFonts w:ascii="Book Antiqua" w:hAnsi="Book Antiqua" w:cs="Arial"/>
                <w:b/>
              </w:rPr>
            </w:pPr>
            <w:r w:rsidRPr="00ED5A15">
              <w:rPr>
                <w:rFonts w:ascii="Book Antiqua" w:hAnsi="Book Antiqua" w:cs="Arial"/>
                <w:b/>
              </w:rPr>
              <w:t xml:space="preserve">On </w:t>
            </w:r>
            <w:r w:rsidR="00B87C61">
              <w:rPr>
                <w:rFonts w:ascii="Book Antiqua" w:hAnsi="Book Antiqua" w:cs="Arial"/>
                <w:b/>
              </w:rPr>
              <w:t>10 February and 24 March 2021</w:t>
            </w:r>
          </w:p>
        </w:tc>
        <w:tc>
          <w:tcPr>
            <w:tcW w:w="2500" w:type="pct"/>
            <w:shd w:val="clear" w:color="auto" w:fill="auto"/>
          </w:tcPr>
          <w:p w:rsidR="005B66DA" w:rsidRPr="00ED5A15" w:rsidRDefault="005B66DA" w:rsidP="005B66DA">
            <w:pPr>
              <w:jc w:val="right"/>
              <w:rPr>
                <w:rFonts w:ascii="Book Antiqua" w:hAnsi="Book Antiqua" w:cs="Arial"/>
                <w:b/>
              </w:rPr>
            </w:pPr>
            <w:r>
              <w:rPr>
                <w:rFonts w:ascii="Book Antiqua" w:hAnsi="Book Antiqua" w:cs="Arial"/>
                <w:b/>
              </w:rPr>
              <w:t>16 April 2021</w:t>
            </w:r>
          </w:p>
        </w:tc>
      </w:tr>
    </w:tbl>
    <w:p w:rsidR="00A15234" w:rsidRPr="00C3462F" w:rsidRDefault="00A15234" w:rsidP="005B66DA">
      <w:pPr>
        <w:jc w:val="center"/>
        <w:rPr>
          <w:rFonts w:ascii="Book Antiqua" w:hAnsi="Book Antiqua" w:cs="Arial"/>
        </w:rPr>
      </w:pPr>
    </w:p>
    <w:p w:rsidR="00A15234" w:rsidRPr="00C3462F" w:rsidRDefault="00A15234" w:rsidP="005B66DA">
      <w:pPr>
        <w:jc w:val="center"/>
        <w:rPr>
          <w:rFonts w:ascii="Book Antiqua" w:hAnsi="Book Antiqua" w:cs="Arial"/>
        </w:rPr>
      </w:pPr>
    </w:p>
    <w:p w:rsidR="00A15234" w:rsidRPr="00C3462F" w:rsidRDefault="00207617" w:rsidP="005B66DA">
      <w:pPr>
        <w:jc w:val="center"/>
        <w:rPr>
          <w:rFonts w:ascii="Book Antiqua" w:hAnsi="Book Antiqua" w:cs="Arial"/>
          <w:b/>
        </w:rPr>
      </w:pPr>
      <w:r w:rsidRPr="00C3462F">
        <w:rPr>
          <w:rFonts w:ascii="Book Antiqua" w:hAnsi="Book Antiqua" w:cs="Arial"/>
          <w:b/>
        </w:rPr>
        <w:t>Befo</w:t>
      </w:r>
      <w:r w:rsidR="00A15234" w:rsidRPr="00C3462F">
        <w:rPr>
          <w:rFonts w:ascii="Book Antiqua" w:hAnsi="Book Antiqua" w:cs="Arial"/>
          <w:b/>
        </w:rPr>
        <w:t>re</w:t>
      </w:r>
    </w:p>
    <w:p w:rsidR="00A15234" w:rsidRPr="00C3462F" w:rsidRDefault="00A15234" w:rsidP="005B66DA">
      <w:pPr>
        <w:jc w:val="center"/>
        <w:rPr>
          <w:rFonts w:ascii="Book Antiqua" w:hAnsi="Book Antiqua" w:cs="Arial"/>
          <w:b/>
        </w:rPr>
      </w:pPr>
    </w:p>
    <w:p w:rsidR="00D20757" w:rsidRPr="00C3462F" w:rsidRDefault="00CA3919" w:rsidP="005B66DA">
      <w:pPr>
        <w:jc w:val="center"/>
        <w:rPr>
          <w:rFonts w:ascii="Book Antiqua" w:hAnsi="Book Antiqua" w:cs="Arial"/>
          <w:b/>
          <w:color w:val="000000"/>
        </w:rPr>
      </w:pPr>
      <w:r>
        <w:rPr>
          <w:rFonts w:ascii="Book Antiqua" w:hAnsi="Book Antiqua" w:cs="Arial"/>
          <w:b/>
          <w:color w:val="000000"/>
        </w:rPr>
        <w:t xml:space="preserve">THE HON. MR JUSTICE </w:t>
      </w:r>
      <w:r w:rsidR="005035E7" w:rsidRPr="00C3462F">
        <w:rPr>
          <w:rFonts w:ascii="Book Antiqua" w:hAnsi="Book Antiqua" w:cs="Arial"/>
          <w:b/>
          <w:color w:val="000000"/>
        </w:rPr>
        <w:t>LANE</w:t>
      </w:r>
      <w:r>
        <w:rPr>
          <w:rFonts w:ascii="Book Antiqua" w:hAnsi="Book Antiqua" w:cs="Arial"/>
          <w:b/>
          <w:color w:val="000000"/>
        </w:rPr>
        <w:t>, PRESIDENT</w:t>
      </w:r>
    </w:p>
    <w:p w:rsidR="001B186A" w:rsidRPr="00C3462F" w:rsidRDefault="008641C9" w:rsidP="005B66DA">
      <w:pPr>
        <w:jc w:val="center"/>
        <w:rPr>
          <w:rFonts w:ascii="Book Antiqua" w:hAnsi="Book Antiqua" w:cs="Arial"/>
          <w:b/>
          <w:color w:val="000000"/>
        </w:rPr>
      </w:pPr>
      <w:r>
        <w:rPr>
          <w:rFonts w:ascii="Book Antiqua" w:hAnsi="Book Antiqua" w:cs="Arial"/>
          <w:b/>
          <w:color w:val="000000"/>
        </w:rPr>
        <w:t>MR C M G OCKELTON</w:t>
      </w:r>
      <w:r w:rsidR="00B87C61">
        <w:rPr>
          <w:rFonts w:ascii="Book Antiqua" w:hAnsi="Book Antiqua" w:cs="Arial"/>
          <w:b/>
          <w:color w:val="000000"/>
        </w:rPr>
        <w:t>, VICE PRESIDENT</w:t>
      </w:r>
    </w:p>
    <w:p w:rsidR="00D20757" w:rsidRDefault="00D20757" w:rsidP="005B66DA">
      <w:pPr>
        <w:jc w:val="center"/>
        <w:rPr>
          <w:rFonts w:ascii="Book Antiqua" w:hAnsi="Book Antiqua" w:cs="Arial"/>
          <w:b/>
        </w:rPr>
      </w:pPr>
    </w:p>
    <w:p w:rsidR="005B66DA" w:rsidRPr="00C3462F" w:rsidRDefault="005B66DA" w:rsidP="005B66DA">
      <w:pPr>
        <w:jc w:val="center"/>
        <w:rPr>
          <w:rFonts w:ascii="Book Antiqua" w:hAnsi="Book Antiqua" w:cs="Arial"/>
          <w:b/>
        </w:rPr>
      </w:pPr>
    </w:p>
    <w:p w:rsidR="00A845DC" w:rsidRPr="00C3462F" w:rsidRDefault="00A845DC" w:rsidP="005B66DA">
      <w:pPr>
        <w:jc w:val="center"/>
        <w:rPr>
          <w:rFonts w:ascii="Book Antiqua" w:hAnsi="Book Antiqua" w:cs="Arial"/>
          <w:b/>
        </w:rPr>
      </w:pPr>
      <w:r w:rsidRPr="00C3462F">
        <w:rPr>
          <w:rFonts w:ascii="Book Antiqua" w:hAnsi="Book Antiqua" w:cs="Arial"/>
          <w:b/>
        </w:rPr>
        <w:t>Between</w:t>
      </w:r>
    </w:p>
    <w:p w:rsidR="00A845DC" w:rsidRPr="00C3462F" w:rsidRDefault="00A845DC" w:rsidP="005B66DA">
      <w:pPr>
        <w:jc w:val="center"/>
        <w:rPr>
          <w:rFonts w:ascii="Book Antiqua" w:hAnsi="Book Antiqua" w:cs="Arial"/>
          <w:b/>
        </w:rPr>
      </w:pPr>
    </w:p>
    <w:p w:rsidR="00A845DC" w:rsidRDefault="008641C9" w:rsidP="005B66DA">
      <w:pPr>
        <w:jc w:val="center"/>
        <w:rPr>
          <w:rFonts w:ascii="Book Antiqua" w:hAnsi="Book Antiqua" w:cs="Arial"/>
          <w:b/>
          <w:caps/>
        </w:rPr>
      </w:pPr>
      <w:r>
        <w:rPr>
          <w:rFonts w:ascii="Book Antiqua" w:hAnsi="Book Antiqua" w:cs="Arial"/>
          <w:b/>
          <w:caps/>
        </w:rPr>
        <w:t>ABOLAJI TEMITOPE OSEFISO</w:t>
      </w:r>
      <w:r w:rsidR="00B87C61">
        <w:rPr>
          <w:rFonts w:ascii="Book Antiqua" w:hAnsi="Book Antiqua" w:cs="Arial"/>
          <w:b/>
          <w:caps/>
        </w:rPr>
        <w:t xml:space="preserve"> – FIRST APPELLANT</w:t>
      </w:r>
    </w:p>
    <w:p w:rsidR="008641C9" w:rsidRDefault="008641C9" w:rsidP="005B66DA">
      <w:pPr>
        <w:jc w:val="center"/>
        <w:rPr>
          <w:rFonts w:ascii="Book Antiqua" w:hAnsi="Book Antiqua" w:cs="Arial"/>
          <w:b/>
          <w:caps/>
        </w:rPr>
      </w:pPr>
      <w:r>
        <w:rPr>
          <w:rFonts w:ascii="Book Antiqua" w:hAnsi="Book Antiqua" w:cs="Arial"/>
          <w:b/>
          <w:caps/>
        </w:rPr>
        <w:t>OJ</w:t>
      </w:r>
      <w:r w:rsidR="00B87C61">
        <w:rPr>
          <w:rFonts w:ascii="Book Antiqua" w:hAnsi="Book Antiqua" w:cs="Arial"/>
          <w:b/>
          <w:caps/>
        </w:rPr>
        <w:t xml:space="preserve"> – SECOND APPELLANT</w:t>
      </w:r>
    </w:p>
    <w:p w:rsidR="00B87C61" w:rsidRPr="002D7D7C" w:rsidRDefault="00B87C61" w:rsidP="005B66DA">
      <w:pPr>
        <w:jc w:val="center"/>
        <w:rPr>
          <w:rFonts w:ascii="Book Antiqua" w:hAnsi="Book Antiqua" w:cs="Arial"/>
          <w:b/>
          <w:caps/>
        </w:rPr>
      </w:pPr>
    </w:p>
    <w:p w:rsidR="002D7D7C" w:rsidRDefault="002D7D7C" w:rsidP="005B66DA">
      <w:pPr>
        <w:jc w:val="center"/>
        <w:rPr>
          <w:rFonts w:ascii="Book Antiqua" w:hAnsi="Book Antiqua" w:cs="Arial"/>
          <w:b/>
          <w:caps/>
        </w:rPr>
      </w:pPr>
      <w:r w:rsidRPr="002D7D7C">
        <w:rPr>
          <w:rFonts w:ascii="Book Antiqua" w:hAnsi="Book Antiqua" w:cs="Arial"/>
          <w:b/>
          <w:caps/>
        </w:rPr>
        <w:t xml:space="preserve">(ANONYMITY </w:t>
      </w:r>
      <w:r w:rsidR="008641C9">
        <w:rPr>
          <w:rFonts w:ascii="Book Antiqua" w:hAnsi="Book Antiqua" w:cs="Arial"/>
          <w:b/>
          <w:caps/>
        </w:rPr>
        <w:t>ORDER MADE IN RESPECT OF THE SECOND APPELLANT</w:t>
      </w:r>
      <w:r w:rsidRPr="002D7D7C">
        <w:rPr>
          <w:rFonts w:ascii="Book Antiqua" w:hAnsi="Book Antiqua" w:cs="Arial"/>
          <w:b/>
          <w:caps/>
        </w:rPr>
        <w:t>)</w:t>
      </w:r>
    </w:p>
    <w:p w:rsidR="00704B61" w:rsidRPr="00C3462F" w:rsidRDefault="00704B61" w:rsidP="005B66DA">
      <w:pPr>
        <w:jc w:val="center"/>
        <w:rPr>
          <w:rFonts w:ascii="Book Antiqua" w:hAnsi="Book Antiqua" w:cs="Arial"/>
          <w:b/>
        </w:rPr>
      </w:pPr>
    </w:p>
    <w:p w:rsidR="00704B61" w:rsidRPr="00C3462F" w:rsidRDefault="00704B61" w:rsidP="005B66DA">
      <w:pPr>
        <w:jc w:val="right"/>
        <w:rPr>
          <w:rFonts w:ascii="Book Antiqua" w:hAnsi="Book Antiqua" w:cs="Arial"/>
          <w:u w:val="single"/>
        </w:rPr>
      </w:pPr>
      <w:r w:rsidRPr="00C3462F">
        <w:rPr>
          <w:rFonts w:ascii="Book Antiqua" w:hAnsi="Book Antiqua" w:cs="Arial"/>
          <w:u w:val="single"/>
        </w:rPr>
        <w:t>Appellant</w:t>
      </w:r>
      <w:r w:rsidR="008641C9">
        <w:rPr>
          <w:rFonts w:ascii="Book Antiqua" w:hAnsi="Book Antiqua" w:cs="Arial"/>
          <w:u w:val="single"/>
        </w:rPr>
        <w:t>s</w:t>
      </w:r>
    </w:p>
    <w:p w:rsidR="00704B61" w:rsidRPr="00C3462F" w:rsidRDefault="00DD5071" w:rsidP="005B66DA">
      <w:pPr>
        <w:jc w:val="center"/>
        <w:rPr>
          <w:rFonts w:ascii="Book Antiqua" w:hAnsi="Book Antiqua" w:cs="Arial"/>
          <w:b/>
        </w:rPr>
      </w:pPr>
      <w:r w:rsidRPr="00C3462F">
        <w:rPr>
          <w:rFonts w:ascii="Book Antiqua" w:hAnsi="Book Antiqua" w:cs="Arial"/>
          <w:b/>
        </w:rPr>
        <w:t>and</w:t>
      </w:r>
    </w:p>
    <w:p w:rsidR="00DD5071" w:rsidRPr="00C3462F" w:rsidRDefault="00DD5071" w:rsidP="005B66DA">
      <w:pPr>
        <w:jc w:val="center"/>
        <w:rPr>
          <w:rFonts w:ascii="Book Antiqua" w:hAnsi="Book Antiqua" w:cs="Arial"/>
          <w:b/>
        </w:rPr>
      </w:pPr>
    </w:p>
    <w:p w:rsidR="00DD5071" w:rsidRPr="00C3462F" w:rsidRDefault="00DD5071" w:rsidP="005B66DA">
      <w:pPr>
        <w:jc w:val="center"/>
        <w:rPr>
          <w:rFonts w:ascii="Book Antiqua" w:hAnsi="Book Antiqua" w:cs="Arial"/>
          <w:b/>
        </w:rPr>
      </w:pPr>
      <w:r w:rsidRPr="00C3462F">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C3462F">
        <w:rPr>
          <w:rFonts w:ascii="Book Antiqua" w:hAnsi="Book Antiqua" w:cs="Arial"/>
          <w:b/>
        </w:rPr>
        <w:instrText xml:space="preserve"> FORMTEXT </w:instrText>
      </w:r>
      <w:r w:rsidRPr="00C3462F">
        <w:rPr>
          <w:rFonts w:ascii="Book Antiqua" w:hAnsi="Book Antiqua" w:cs="Arial"/>
          <w:b/>
        </w:rPr>
      </w:r>
      <w:r w:rsidRPr="00C3462F">
        <w:rPr>
          <w:rFonts w:ascii="Book Antiqua" w:hAnsi="Book Antiqua" w:cs="Arial"/>
          <w:b/>
        </w:rPr>
        <w:fldChar w:fldCharType="separate"/>
      </w:r>
      <w:r w:rsidRPr="00C3462F">
        <w:rPr>
          <w:rFonts w:ascii="Book Antiqua" w:hAnsi="Book Antiqua" w:cs="Arial"/>
          <w:b/>
          <w:noProof/>
        </w:rPr>
        <w:t>THE SECRETARY OF STATE FOR THE HOME DEPARTMENT</w:t>
      </w:r>
      <w:r w:rsidRPr="00C3462F">
        <w:rPr>
          <w:rFonts w:ascii="Book Antiqua" w:hAnsi="Book Antiqua" w:cs="Arial"/>
          <w:b/>
        </w:rPr>
        <w:fldChar w:fldCharType="end"/>
      </w:r>
      <w:bookmarkEnd w:id="0"/>
    </w:p>
    <w:p w:rsidR="00DD5071" w:rsidRPr="00C3462F" w:rsidRDefault="00DD5071" w:rsidP="005B66DA">
      <w:pPr>
        <w:jc w:val="center"/>
        <w:rPr>
          <w:rFonts w:ascii="Book Antiqua" w:hAnsi="Book Antiqua" w:cs="Arial"/>
          <w:b/>
        </w:rPr>
      </w:pPr>
    </w:p>
    <w:p w:rsidR="00DD5071" w:rsidRPr="00C3462F" w:rsidRDefault="00DD5071" w:rsidP="005B66DA">
      <w:pPr>
        <w:jc w:val="right"/>
        <w:rPr>
          <w:rFonts w:ascii="Book Antiqua" w:hAnsi="Book Antiqua" w:cs="Arial"/>
          <w:u w:val="single"/>
        </w:rPr>
      </w:pPr>
      <w:r w:rsidRPr="00C3462F">
        <w:rPr>
          <w:rFonts w:ascii="Book Antiqua" w:hAnsi="Book Antiqua" w:cs="Arial"/>
          <w:u w:val="single"/>
        </w:rPr>
        <w:t>Respondent</w:t>
      </w:r>
    </w:p>
    <w:p w:rsidR="00DD5071" w:rsidRPr="00C3462F" w:rsidRDefault="00DD5071" w:rsidP="005B66DA">
      <w:pPr>
        <w:rPr>
          <w:rFonts w:ascii="Book Antiqua" w:hAnsi="Book Antiqua" w:cs="Arial"/>
          <w:u w:val="single"/>
        </w:rPr>
      </w:pPr>
    </w:p>
    <w:p w:rsidR="00DD5071" w:rsidRPr="00C3462F" w:rsidRDefault="00DD5071" w:rsidP="005B66DA">
      <w:pPr>
        <w:rPr>
          <w:rFonts w:ascii="Book Antiqua" w:hAnsi="Book Antiqua" w:cs="Arial"/>
          <w:u w:val="single"/>
        </w:rPr>
      </w:pPr>
    </w:p>
    <w:p w:rsidR="00DD5071" w:rsidRPr="00C3462F" w:rsidRDefault="00DE7DB7" w:rsidP="005B66DA">
      <w:pPr>
        <w:rPr>
          <w:rFonts w:ascii="Book Antiqua" w:hAnsi="Book Antiqua" w:cs="Arial"/>
        </w:rPr>
      </w:pPr>
      <w:r w:rsidRPr="00C3462F">
        <w:rPr>
          <w:rFonts w:ascii="Book Antiqua" w:hAnsi="Book Antiqua" w:cs="Arial"/>
          <w:b/>
          <w:u w:val="single"/>
        </w:rPr>
        <w:t>Representation</w:t>
      </w:r>
      <w:r w:rsidRPr="00C3462F">
        <w:rPr>
          <w:rFonts w:ascii="Book Antiqua" w:hAnsi="Book Antiqua" w:cs="Arial"/>
          <w:b/>
        </w:rPr>
        <w:t>:</w:t>
      </w:r>
    </w:p>
    <w:p w:rsidR="00DE7DB7" w:rsidRPr="00C3462F" w:rsidRDefault="00DE7DB7" w:rsidP="005B66DA">
      <w:pPr>
        <w:ind w:left="2552" w:hanging="2552"/>
        <w:rPr>
          <w:rFonts w:ascii="Book Antiqua" w:hAnsi="Book Antiqua" w:cs="Arial"/>
        </w:rPr>
      </w:pPr>
      <w:r w:rsidRPr="00C3462F">
        <w:rPr>
          <w:rFonts w:ascii="Book Antiqua" w:hAnsi="Book Antiqua" w:cs="Arial"/>
        </w:rPr>
        <w:t xml:space="preserve">For the </w:t>
      </w:r>
      <w:r w:rsidR="00F50AB8">
        <w:rPr>
          <w:rFonts w:ascii="Book Antiqua" w:hAnsi="Book Antiqua" w:cs="Arial"/>
        </w:rPr>
        <w:t>a</w:t>
      </w:r>
      <w:r w:rsidRPr="00C3462F">
        <w:rPr>
          <w:rFonts w:ascii="Book Antiqua" w:hAnsi="Book Antiqua" w:cs="Arial"/>
        </w:rPr>
        <w:t>ppellant</w:t>
      </w:r>
      <w:r w:rsidR="00B87C61">
        <w:rPr>
          <w:rFonts w:ascii="Book Antiqua" w:hAnsi="Book Antiqua" w:cs="Arial"/>
        </w:rPr>
        <w:t>s</w:t>
      </w:r>
      <w:r w:rsidRPr="00C3462F">
        <w:rPr>
          <w:rFonts w:ascii="Book Antiqua" w:hAnsi="Book Antiqua" w:cs="Arial"/>
        </w:rPr>
        <w:t>:</w:t>
      </w:r>
      <w:r w:rsidRPr="00C3462F">
        <w:rPr>
          <w:rFonts w:ascii="Book Antiqua" w:hAnsi="Book Antiqua" w:cs="Arial"/>
        </w:rPr>
        <w:tab/>
      </w:r>
      <w:r w:rsidR="00B87C61" w:rsidRPr="001C204A">
        <w:rPr>
          <w:rFonts w:ascii="Book Antiqua" w:hAnsi="Book Antiqua" w:cs="Arial"/>
        </w:rPr>
        <w:t>Mr F Magennis</w:t>
      </w:r>
      <w:r w:rsidR="00B87C61">
        <w:rPr>
          <w:rFonts w:ascii="Book Antiqua" w:hAnsi="Book Antiqua" w:cs="Arial"/>
        </w:rPr>
        <w:t xml:space="preserve"> (10 February) and </w:t>
      </w:r>
      <w:r w:rsidR="00B87C61" w:rsidRPr="001C204A">
        <w:rPr>
          <w:rFonts w:ascii="Book Antiqua" w:hAnsi="Book Antiqua" w:cs="Arial"/>
        </w:rPr>
        <w:t>Mr R Sharma</w:t>
      </w:r>
      <w:r w:rsidR="000477AE" w:rsidRPr="001C204A">
        <w:rPr>
          <w:rFonts w:ascii="Book Antiqua" w:hAnsi="Book Antiqua" w:cs="Arial"/>
        </w:rPr>
        <w:t>,</w:t>
      </w:r>
      <w:r w:rsidR="000477AE">
        <w:rPr>
          <w:rFonts w:ascii="Book Antiqua" w:hAnsi="Book Antiqua" w:cs="Arial"/>
        </w:rPr>
        <w:t xml:space="preserve"> (</w:t>
      </w:r>
      <w:r w:rsidR="00F015C4">
        <w:rPr>
          <w:rFonts w:ascii="Book Antiqua" w:hAnsi="Book Antiqua" w:cs="Arial"/>
        </w:rPr>
        <w:t>24 March)</w:t>
      </w:r>
      <w:r w:rsidR="00B87C61">
        <w:rPr>
          <w:rFonts w:ascii="Book Antiqua" w:hAnsi="Book Antiqua" w:cs="Arial"/>
        </w:rPr>
        <w:t xml:space="preserve"> instructed by David Benson Solicitors</w:t>
      </w:r>
    </w:p>
    <w:p w:rsidR="00DE7DB7" w:rsidRDefault="00DE7DB7" w:rsidP="005B66DA">
      <w:pPr>
        <w:tabs>
          <w:tab w:val="left" w:pos="2552"/>
        </w:tabs>
        <w:rPr>
          <w:rFonts w:ascii="Book Antiqua" w:hAnsi="Book Antiqua" w:cs="Arial"/>
        </w:rPr>
      </w:pPr>
      <w:r w:rsidRPr="00C3462F">
        <w:rPr>
          <w:rFonts w:ascii="Book Antiqua" w:hAnsi="Book Antiqua" w:cs="Arial"/>
        </w:rPr>
        <w:t xml:space="preserve">For the </w:t>
      </w:r>
      <w:r w:rsidR="00F015C4">
        <w:rPr>
          <w:rFonts w:ascii="Book Antiqua" w:hAnsi="Book Antiqua" w:cs="Arial"/>
        </w:rPr>
        <w:t>r</w:t>
      </w:r>
      <w:r w:rsidRPr="00C3462F">
        <w:rPr>
          <w:rFonts w:ascii="Book Antiqua" w:hAnsi="Book Antiqua" w:cs="Arial"/>
        </w:rPr>
        <w:t>espondent:</w:t>
      </w:r>
      <w:r w:rsidRPr="00C3462F">
        <w:rPr>
          <w:rFonts w:ascii="Book Antiqua" w:hAnsi="Book Antiqua" w:cs="Arial"/>
        </w:rPr>
        <w:tab/>
      </w:r>
      <w:r w:rsidR="00B87C61" w:rsidRPr="001C204A">
        <w:rPr>
          <w:rFonts w:ascii="Book Antiqua" w:hAnsi="Book Antiqua" w:cs="Arial"/>
        </w:rPr>
        <w:t>Mr T Lindsay</w:t>
      </w:r>
      <w:r w:rsidR="00B87C61">
        <w:rPr>
          <w:rFonts w:ascii="Book Antiqua" w:hAnsi="Book Antiqua" w:cs="Arial"/>
        </w:rPr>
        <w:t>, Senior Home Office Presenting Officer</w:t>
      </w:r>
    </w:p>
    <w:p w:rsidR="00323284" w:rsidRPr="00A94746" w:rsidRDefault="005B66DA" w:rsidP="00A94746">
      <w:pPr>
        <w:tabs>
          <w:tab w:val="left" w:pos="2268"/>
          <w:tab w:val="left" w:pos="2520"/>
        </w:tabs>
        <w:jc w:val="both"/>
        <w:rPr>
          <w:rFonts w:ascii="Book Antiqua" w:hAnsi="Book Antiqua" w:cs="Arial"/>
          <w:i/>
          <w:iCs/>
        </w:rPr>
      </w:pPr>
      <w:r>
        <w:rPr>
          <w:rFonts w:ascii="Book Antiqua" w:hAnsi="Book Antiqua" w:cs="Arial"/>
          <w:i/>
          <w:iCs/>
        </w:rPr>
        <w:br w:type="page"/>
      </w:r>
      <w:r w:rsidR="00A51E3E">
        <w:rPr>
          <w:rFonts w:ascii="Book Antiqua" w:hAnsi="Book Antiqua" w:cs="Arial"/>
          <w:i/>
          <w:iCs/>
        </w:rPr>
        <w:lastRenderedPageBreak/>
        <w:t xml:space="preserve">(1) </w:t>
      </w:r>
      <w:r w:rsidR="008D601C" w:rsidRPr="00A94746">
        <w:rPr>
          <w:rFonts w:ascii="Book Antiqua" w:hAnsi="Book Antiqua" w:cs="Arial"/>
          <w:i/>
          <w:iCs/>
        </w:rPr>
        <w:t xml:space="preserve">A decision of the Upper Tribunal to </w:t>
      </w:r>
      <w:r w:rsidRPr="00A94746">
        <w:rPr>
          <w:rFonts w:ascii="Book Antiqua" w:hAnsi="Book Antiqua" w:cs="Arial"/>
          <w:i/>
          <w:iCs/>
        </w:rPr>
        <w:t>refuse permission</w:t>
      </w:r>
      <w:r w:rsidR="00323284" w:rsidRPr="00A94746">
        <w:rPr>
          <w:rFonts w:ascii="Book Antiqua" w:hAnsi="Book Antiqua" w:cs="Arial"/>
          <w:i/>
          <w:iCs/>
        </w:rPr>
        <w:t xml:space="preserve"> to appeal</w:t>
      </w:r>
      <w:r w:rsidR="008D601C" w:rsidRPr="00A94746">
        <w:rPr>
          <w:rFonts w:ascii="Book Antiqua" w:hAnsi="Book Antiqua" w:cs="Arial"/>
          <w:i/>
          <w:iCs/>
        </w:rPr>
        <w:t xml:space="preserve"> against a decision of the First-tier Tribunal disposes of proceedings in the Upper Tribunal</w:t>
      </w:r>
      <w:r w:rsidR="00F85E13" w:rsidRPr="00A94746">
        <w:rPr>
          <w:rFonts w:ascii="Book Antiqua" w:hAnsi="Book Antiqua" w:cs="Arial"/>
          <w:i/>
          <w:iCs/>
        </w:rPr>
        <w:t xml:space="preserve">. Except for </w:t>
      </w:r>
      <w:r w:rsidR="00835855" w:rsidRPr="00A94746">
        <w:rPr>
          <w:rFonts w:ascii="Book Antiqua" w:hAnsi="Book Antiqua" w:cs="Arial"/>
          <w:i/>
          <w:iCs/>
        </w:rPr>
        <w:t>its</w:t>
      </w:r>
      <w:r w:rsidR="00F85E13" w:rsidRPr="00A94746">
        <w:rPr>
          <w:rFonts w:ascii="Book Antiqua" w:hAnsi="Book Antiqua" w:cs="Arial"/>
          <w:i/>
          <w:iCs/>
        </w:rPr>
        <w:t xml:space="preserve"> </w:t>
      </w:r>
      <w:r w:rsidR="004221C4" w:rsidRPr="00A94746">
        <w:rPr>
          <w:rFonts w:ascii="Book Antiqua" w:hAnsi="Book Antiqua" w:cs="Arial"/>
          <w:i/>
          <w:iCs/>
        </w:rPr>
        <w:t>powe</w:t>
      </w:r>
      <w:r w:rsidR="00F85E13" w:rsidRPr="00A94746">
        <w:rPr>
          <w:rFonts w:ascii="Book Antiqua" w:hAnsi="Book Antiqua" w:cs="Arial"/>
          <w:i/>
          <w:iCs/>
        </w:rPr>
        <w:t>r to set aside under rule 43 of the Tribunal Proce</w:t>
      </w:r>
      <w:r w:rsidR="004221C4" w:rsidRPr="00A94746">
        <w:rPr>
          <w:rFonts w:ascii="Book Antiqua" w:hAnsi="Book Antiqua" w:cs="Arial"/>
          <w:i/>
          <w:iCs/>
        </w:rPr>
        <w:t>dure (Upper Tribunal) Rules 2008</w:t>
      </w:r>
      <w:r w:rsidR="00835855" w:rsidRPr="00A94746">
        <w:rPr>
          <w:rFonts w:ascii="Book Antiqua" w:hAnsi="Book Antiqua" w:cs="Arial"/>
          <w:i/>
          <w:iCs/>
        </w:rPr>
        <w:t xml:space="preserve"> for procedural irregularity, the Upper Tribunal cannot revisit</w:t>
      </w:r>
      <w:r w:rsidR="00B7710F" w:rsidRPr="00A94746">
        <w:rPr>
          <w:rFonts w:ascii="Book Antiqua" w:hAnsi="Book Antiqua" w:cs="Arial"/>
          <w:i/>
          <w:iCs/>
        </w:rPr>
        <w:t xml:space="preserve"> its decision. As a result, it has no jurisdiction to entertain</w:t>
      </w:r>
      <w:r w:rsidR="00B245BA" w:rsidRPr="00A94746">
        <w:rPr>
          <w:rFonts w:ascii="Book Antiqua" w:hAnsi="Book Antiqua" w:cs="Arial"/>
          <w:i/>
          <w:iCs/>
        </w:rPr>
        <w:t xml:space="preserve"> subsequently-formulated grounds of challenge to</w:t>
      </w:r>
      <w:r w:rsidR="00663ED0" w:rsidRPr="00A94746">
        <w:rPr>
          <w:rFonts w:ascii="Book Antiqua" w:hAnsi="Book Antiqua" w:cs="Arial"/>
          <w:i/>
          <w:iCs/>
        </w:rPr>
        <w:t xml:space="preserve"> the First-tier </w:t>
      </w:r>
      <w:r w:rsidR="0053629D">
        <w:rPr>
          <w:rFonts w:ascii="Book Antiqua" w:hAnsi="Book Antiqua" w:cs="Arial"/>
          <w:i/>
          <w:iCs/>
        </w:rPr>
        <w:t>T</w:t>
      </w:r>
      <w:r w:rsidR="00663ED0" w:rsidRPr="00A94746">
        <w:rPr>
          <w:rFonts w:ascii="Book Antiqua" w:hAnsi="Book Antiqua" w:cs="Arial"/>
          <w:i/>
          <w:iCs/>
        </w:rPr>
        <w:t>ribunal’s decision.</w:t>
      </w:r>
    </w:p>
    <w:p w:rsidR="00ED6D69" w:rsidRDefault="00ED6D69" w:rsidP="00323284">
      <w:pPr>
        <w:tabs>
          <w:tab w:val="left" w:pos="2268"/>
          <w:tab w:val="left" w:pos="2520"/>
        </w:tabs>
        <w:jc w:val="both"/>
        <w:rPr>
          <w:rFonts w:ascii="Book Antiqua" w:hAnsi="Book Antiqua" w:cs="Arial"/>
          <w:i/>
          <w:iCs/>
        </w:rPr>
      </w:pPr>
    </w:p>
    <w:p w:rsidR="00ED6D69" w:rsidRPr="00623575" w:rsidRDefault="00ED6D69" w:rsidP="00ED6D69">
      <w:pPr>
        <w:spacing w:before="240"/>
        <w:jc w:val="both"/>
        <w:rPr>
          <w:rFonts w:ascii="Book Antiqua" w:hAnsi="Book Antiqua" w:cs="Arial"/>
          <w:i/>
          <w:iCs/>
        </w:rPr>
      </w:pPr>
      <w:r>
        <w:rPr>
          <w:rFonts w:ascii="Book Antiqua" w:hAnsi="Book Antiqua" w:cs="Arial"/>
          <w:i/>
          <w:iCs/>
        </w:rPr>
        <w:t xml:space="preserve">(2) </w:t>
      </w:r>
      <w:r w:rsidRPr="00623575">
        <w:rPr>
          <w:rFonts w:ascii="Book Antiqua" w:hAnsi="Book Antiqua" w:cs="Arial"/>
          <w:i/>
          <w:iCs/>
        </w:rPr>
        <w:t>In order to satisfy the part of CPR 54.7A(7)(a) which requires the High Court to find an arguable case that the Upper Tribunal’s refusal of permission to appeal was wrong in law, the court needs to be satisfied either that:</w:t>
      </w:r>
    </w:p>
    <w:p w:rsidR="00ED6D69" w:rsidRPr="00623575" w:rsidRDefault="00ED6D69" w:rsidP="00ED6D69">
      <w:pPr>
        <w:spacing w:before="240"/>
        <w:ind w:left="1134"/>
        <w:jc w:val="both"/>
        <w:rPr>
          <w:rFonts w:ascii="Book Antiqua" w:hAnsi="Book Antiqua" w:cs="Arial"/>
          <w:i/>
          <w:iCs/>
        </w:rPr>
      </w:pPr>
      <w:r w:rsidRPr="00623575">
        <w:rPr>
          <w:rFonts w:ascii="Book Antiqua" w:hAnsi="Book Antiqua" w:cs="Arial"/>
          <w:i/>
          <w:iCs/>
        </w:rPr>
        <w:t xml:space="preserve"> (a) the Upper Tribunal’s reaction to the grounds of challenge in the application for permission to appeal was arguably wrong in law; or</w:t>
      </w:r>
    </w:p>
    <w:p w:rsidR="00ED6D69" w:rsidRPr="00623575" w:rsidRDefault="00ED6D69" w:rsidP="00ED6D69">
      <w:pPr>
        <w:spacing w:before="240"/>
        <w:ind w:left="1134"/>
        <w:jc w:val="both"/>
        <w:rPr>
          <w:rFonts w:ascii="Book Antiqua" w:hAnsi="Book Antiqua" w:cs="Arial"/>
          <w:i/>
          <w:iCs/>
        </w:rPr>
      </w:pPr>
      <w:r w:rsidRPr="00623575">
        <w:rPr>
          <w:rFonts w:ascii="Book Antiqua" w:hAnsi="Book Antiqua" w:cs="Arial"/>
          <w:i/>
          <w:iCs/>
        </w:rPr>
        <w:t xml:space="preserve"> (b) where the judicial review grounds have not found expression in the grounds considered by the Upper Tribunal, the judicial review grounds are of such an a nature as to have required the Upper Tribunal to have raised them of its own volition, and then considered them; and that its failure to do so is arguably wrong in law.  </w:t>
      </w:r>
    </w:p>
    <w:p w:rsidR="00663ED0" w:rsidRPr="00323284" w:rsidRDefault="00663ED0" w:rsidP="00323284">
      <w:pPr>
        <w:tabs>
          <w:tab w:val="left" w:pos="2268"/>
          <w:tab w:val="left" w:pos="2520"/>
        </w:tabs>
        <w:jc w:val="both"/>
        <w:rPr>
          <w:rFonts w:ascii="Book Antiqua" w:hAnsi="Book Antiqua" w:cs="Arial"/>
          <w:i/>
          <w:iCs/>
        </w:rPr>
      </w:pPr>
    </w:p>
    <w:p w:rsidR="00DE7DB7" w:rsidRDefault="00DE7DB7" w:rsidP="00402B9E">
      <w:pPr>
        <w:tabs>
          <w:tab w:val="left" w:pos="2520"/>
        </w:tabs>
        <w:jc w:val="center"/>
        <w:rPr>
          <w:rFonts w:ascii="Book Antiqua" w:hAnsi="Book Antiqua" w:cs="Arial"/>
        </w:rPr>
      </w:pPr>
    </w:p>
    <w:p w:rsidR="00B87C61" w:rsidRPr="00C3462F" w:rsidRDefault="00B87C61" w:rsidP="00402B9E">
      <w:pPr>
        <w:tabs>
          <w:tab w:val="left" w:pos="2520"/>
        </w:tabs>
        <w:jc w:val="center"/>
        <w:rPr>
          <w:rFonts w:ascii="Book Antiqua" w:hAnsi="Book Antiqua" w:cs="Arial"/>
        </w:rPr>
      </w:pPr>
    </w:p>
    <w:p w:rsidR="00FC4177" w:rsidRDefault="00FC4177" w:rsidP="00B87C61">
      <w:pPr>
        <w:tabs>
          <w:tab w:val="left" w:pos="2520"/>
        </w:tabs>
        <w:jc w:val="center"/>
        <w:rPr>
          <w:rFonts w:ascii="Book Antiqua" w:hAnsi="Book Antiqua" w:cs="Arial"/>
          <w:b/>
          <w:u w:val="single"/>
        </w:rPr>
      </w:pPr>
      <w:r>
        <w:rPr>
          <w:rFonts w:ascii="Book Antiqua" w:hAnsi="Book Antiqua" w:cs="Arial"/>
          <w:b/>
          <w:u w:val="single"/>
        </w:rPr>
        <w:t>DECISION</w:t>
      </w:r>
      <w:r w:rsidRPr="002F4FDF">
        <w:rPr>
          <w:rFonts w:ascii="Book Antiqua" w:hAnsi="Book Antiqua" w:cs="Arial"/>
          <w:b/>
          <w:u w:val="single"/>
        </w:rPr>
        <w:t xml:space="preserve"> AND REA</w:t>
      </w:r>
      <w:r w:rsidR="00560280">
        <w:rPr>
          <w:rFonts w:ascii="Book Antiqua" w:hAnsi="Book Antiqua" w:cs="Arial"/>
          <w:b/>
          <w:u w:val="single"/>
        </w:rPr>
        <w:t>SONS</w:t>
      </w:r>
    </w:p>
    <w:p w:rsidR="00C33E38" w:rsidRDefault="00C33E38" w:rsidP="00B87C61">
      <w:pPr>
        <w:tabs>
          <w:tab w:val="left" w:pos="2520"/>
        </w:tabs>
        <w:jc w:val="center"/>
        <w:rPr>
          <w:rFonts w:ascii="Book Antiqua" w:hAnsi="Book Antiqua" w:cs="Arial"/>
          <w:b/>
          <w:u w:val="single"/>
        </w:rPr>
      </w:pPr>
    </w:p>
    <w:p w:rsidR="00C33E38" w:rsidRDefault="00C33E38" w:rsidP="00C33E38">
      <w:pPr>
        <w:tabs>
          <w:tab w:val="left" w:pos="2520"/>
        </w:tabs>
        <w:rPr>
          <w:rFonts w:ascii="Book Antiqua" w:hAnsi="Book Antiqua" w:cs="Arial"/>
          <w:b/>
          <w:i/>
          <w:iCs/>
        </w:rPr>
      </w:pPr>
    </w:p>
    <w:p w:rsidR="00C33E38" w:rsidRPr="00C33E38" w:rsidRDefault="00C33E38" w:rsidP="00C33E38">
      <w:pPr>
        <w:tabs>
          <w:tab w:val="left" w:pos="2520"/>
        </w:tabs>
        <w:rPr>
          <w:rFonts w:ascii="Book Antiqua" w:hAnsi="Book Antiqua" w:cs="Arial"/>
          <w:i/>
          <w:iCs/>
        </w:rPr>
      </w:pPr>
      <w:r>
        <w:rPr>
          <w:rFonts w:ascii="Book Antiqua" w:hAnsi="Book Antiqua" w:cs="Arial"/>
          <w:b/>
          <w:i/>
          <w:iCs/>
        </w:rPr>
        <w:t>A. INTRODUCTION</w:t>
      </w:r>
    </w:p>
    <w:p w:rsidR="002D243B" w:rsidRDefault="00B87C61" w:rsidP="00FC4177">
      <w:pPr>
        <w:numPr>
          <w:ilvl w:val="0"/>
          <w:numId w:val="2"/>
        </w:numPr>
        <w:tabs>
          <w:tab w:val="clear" w:pos="567"/>
        </w:tabs>
        <w:spacing w:before="240"/>
        <w:jc w:val="both"/>
        <w:rPr>
          <w:rFonts w:ascii="Book Antiqua" w:hAnsi="Book Antiqua" w:cs="Arial"/>
        </w:rPr>
      </w:pPr>
      <w:r>
        <w:rPr>
          <w:rFonts w:ascii="Book Antiqua" w:hAnsi="Book Antiqua" w:cs="Arial"/>
        </w:rPr>
        <w:t>The appellants are citizens of Nigeria,</w:t>
      </w:r>
      <w:r w:rsidR="00F50AB8">
        <w:rPr>
          <w:rFonts w:ascii="Book Antiqua" w:hAnsi="Book Antiqua" w:cs="Arial"/>
        </w:rPr>
        <w:t xml:space="preserve"> a mother and her son,</w:t>
      </w:r>
      <w:r>
        <w:rPr>
          <w:rFonts w:ascii="Book Antiqua" w:hAnsi="Book Antiqua" w:cs="Arial"/>
        </w:rPr>
        <w:t xml:space="preserve"> born respectively in 1987 and 2015.  On 24 January 2018, they </w:t>
      </w:r>
      <w:r w:rsidR="005B66DA">
        <w:rPr>
          <w:rFonts w:ascii="Book Antiqua" w:hAnsi="Book Antiqua" w:cs="Arial"/>
        </w:rPr>
        <w:t>made human</w:t>
      </w:r>
      <w:r>
        <w:rPr>
          <w:rFonts w:ascii="Book Antiqua" w:hAnsi="Book Antiqua" w:cs="Arial"/>
        </w:rPr>
        <w:t xml:space="preserve"> rights claim</w:t>
      </w:r>
      <w:r w:rsidR="00F50AB8">
        <w:rPr>
          <w:rFonts w:ascii="Book Antiqua" w:hAnsi="Book Antiqua" w:cs="Arial"/>
        </w:rPr>
        <w:t>s</w:t>
      </w:r>
      <w:r>
        <w:rPr>
          <w:rFonts w:ascii="Book Antiqua" w:hAnsi="Book Antiqua" w:cs="Arial"/>
        </w:rPr>
        <w:t xml:space="preserve"> to the respondent.  On 6 June 2018, the application</w:t>
      </w:r>
      <w:r w:rsidR="00F50AB8">
        <w:rPr>
          <w:rFonts w:ascii="Book Antiqua" w:hAnsi="Book Antiqua" w:cs="Arial"/>
        </w:rPr>
        <w:t>s were</w:t>
      </w:r>
      <w:r>
        <w:rPr>
          <w:rFonts w:ascii="Book Antiqua" w:hAnsi="Book Antiqua" w:cs="Arial"/>
        </w:rPr>
        <w:t xml:space="preserve"> refused.  It was noted</w:t>
      </w:r>
      <w:r w:rsidR="00F50AB8">
        <w:rPr>
          <w:rFonts w:ascii="Book Antiqua" w:hAnsi="Book Antiqua" w:cs="Arial"/>
        </w:rPr>
        <w:t xml:space="preserve"> by the respondent</w:t>
      </w:r>
      <w:r>
        <w:rPr>
          <w:rFonts w:ascii="Book Antiqua" w:hAnsi="Book Antiqua" w:cs="Arial"/>
        </w:rPr>
        <w:t xml:space="preserve"> that the first appellant had arrived in the United Kingdom in 2002</w:t>
      </w:r>
      <w:r w:rsidR="00F50AB8">
        <w:rPr>
          <w:rFonts w:ascii="Book Antiqua" w:hAnsi="Book Antiqua" w:cs="Arial"/>
        </w:rPr>
        <w:t>,</w:t>
      </w:r>
      <w:r>
        <w:rPr>
          <w:rFonts w:ascii="Book Antiqua" w:hAnsi="Book Antiqua" w:cs="Arial"/>
        </w:rPr>
        <w:t xml:space="preserve"> with entry clearance as a visitor.  She was granted leave to remain in February 2013, on the basis of her private life, until 15 August 2015.  On 11 August 2015</w:t>
      </w:r>
      <w:r w:rsidR="00F50AB8">
        <w:rPr>
          <w:rFonts w:ascii="Book Antiqua" w:hAnsi="Book Antiqua" w:cs="Arial"/>
        </w:rPr>
        <w:t>,</w:t>
      </w:r>
      <w:r>
        <w:rPr>
          <w:rFonts w:ascii="Book Antiqua" w:hAnsi="Book Antiqua" w:cs="Arial"/>
        </w:rPr>
        <w:t xml:space="preserve"> she was granted further leave to remain, again on the basis of</w:t>
      </w:r>
      <w:r w:rsidR="002D243B">
        <w:rPr>
          <w:rFonts w:ascii="Book Antiqua" w:hAnsi="Book Antiqua" w:cs="Arial"/>
        </w:rPr>
        <w:t xml:space="preserve"> her private life, until 19 February 2018.  The first appellant </w:t>
      </w:r>
      <w:r w:rsidR="00F50AB8">
        <w:rPr>
          <w:rFonts w:ascii="Book Antiqua" w:hAnsi="Book Antiqua" w:cs="Arial"/>
        </w:rPr>
        <w:t>told the respondent</w:t>
      </w:r>
      <w:r w:rsidR="002D243B">
        <w:rPr>
          <w:rFonts w:ascii="Book Antiqua" w:hAnsi="Book Antiqua" w:cs="Arial"/>
        </w:rPr>
        <w:t xml:space="preserve"> that </w:t>
      </w:r>
      <w:r w:rsidR="00F50AB8">
        <w:rPr>
          <w:rFonts w:ascii="Book Antiqua" w:hAnsi="Book Antiqua" w:cs="Arial"/>
        </w:rPr>
        <w:t>her husband, the father of the second appellant</w:t>
      </w:r>
      <w:r w:rsidR="002D243B">
        <w:rPr>
          <w:rFonts w:ascii="Book Antiqua" w:hAnsi="Book Antiqua" w:cs="Arial"/>
        </w:rPr>
        <w:t>,</w:t>
      </w:r>
      <w:r w:rsidR="00F50AB8">
        <w:rPr>
          <w:rFonts w:ascii="Book Antiqua" w:hAnsi="Book Antiqua" w:cs="Arial"/>
        </w:rPr>
        <w:t xml:space="preserve"> resided in Nigeria;</w:t>
      </w:r>
      <w:r w:rsidR="002D243B">
        <w:rPr>
          <w:rFonts w:ascii="Book Antiqua" w:hAnsi="Book Antiqua" w:cs="Arial"/>
        </w:rPr>
        <w:t xml:space="preserve"> and that she had family life with the second appellant, who resides with her in the United Kingdom.  </w:t>
      </w:r>
    </w:p>
    <w:p w:rsidR="00F50AB8" w:rsidRDefault="002D243B" w:rsidP="009509BC">
      <w:pPr>
        <w:numPr>
          <w:ilvl w:val="0"/>
          <w:numId w:val="2"/>
        </w:numPr>
        <w:tabs>
          <w:tab w:val="clear" w:pos="567"/>
        </w:tabs>
        <w:spacing w:before="240" w:after="240"/>
        <w:jc w:val="both"/>
        <w:rPr>
          <w:rFonts w:ascii="Book Antiqua" w:hAnsi="Book Antiqua" w:cs="Arial"/>
        </w:rPr>
      </w:pPr>
      <w:r>
        <w:rPr>
          <w:rFonts w:ascii="Book Antiqua" w:hAnsi="Book Antiqua" w:cs="Arial"/>
        </w:rPr>
        <w:t xml:space="preserve">Given that the first appellant did not fall within the provisions of the relevant </w:t>
      </w:r>
      <w:r w:rsidR="00F50AB8">
        <w:rPr>
          <w:rFonts w:ascii="Book Antiqua" w:hAnsi="Book Antiqua" w:cs="Arial"/>
        </w:rPr>
        <w:t>i</w:t>
      </w:r>
      <w:r>
        <w:rPr>
          <w:rFonts w:ascii="Book Antiqua" w:hAnsi="Book Antiqua" w:cs="Arial"/>
        </w:rPr>
        <w:t xml:space="preserve">mmigration </w:t>
      </w:r>
      <w:r w:rsidR="00F50AB8">
        <w:rPr>
          <w:rFonts w:ascii="Book Antiqua" w:hAnsi="Book Antiqua" w:cs="Arial"/>
        </w:rPr>
        <w:t>r</w:t>
      </w:r>
      <w:r>
        <w:rPr>
          <w:rFonts w:ascii="Book Antiqua" w:hAnsi="Book Antiqua" w:cs="Arial"/>
        </w:rPr>
        <w:t xml:space="preserve">ules for leave to remain as a partner, her application was considered by reference to the first appellant’s genuine and subsisting parental relationship with the second appellant.  The second appellant, however, was not a British citizen or settled in the United Kingdom; nor had he lived in the United Kingdom continuously for seven years or more.  Thus, although the parental relationship was acknowledged, </w:t>
      </w:r>
      <w:r w:rsidR="005B66DA">
        <w:rPr>
          <w:rFonts w:ascii="Book Antiqua" w:hAnsi="Book Antiqua" w:cs="Arial"/>
        </w:rPr>
        <w:t>the respondent</w:t>
      </w:r>
      <w:r w:rsidR="00F50AB8">
        <w:rPr>
          <w:rFonts w:ascii="Book Antiqua" w:hAnsi="Book Antiqua" w:cs="Arial"/>
        </w:rPr>
        <w:t xml:space="preserve"> considered that </w:t>
      </w:r>
      <w:r>
        <w:rPr>
          <w:rFonts w:ascii="Book Antiqua" w:hAnsi="Book Antiqua" w:cs="Arial"/>
        </w:rPr>
        <w:t xml:space="preserve">application made by reference to </w:t>
      </w:r>
      <w:r w:rsidR="00CC70F0">
        <w:rPr>
          <w:rFonts w:ascii="Book Antiqua" w:hAnsi="Book Antiqua" w:cs="Arial"/>
        </w:rPr>
        <w:t xml:space="preserve">the </w:t>
      </w:r>
      <w:r>
        <w:rPr>
          <w:rFonts w:ascii="Book Antiqua" w:hAnsi="Book Antiqua" w:cs="Arial"/>
        </w:rPr>
        <w:t xml:space="preserve">child fell for </w:t>
      </w:r>
      <w:r w:rsidR="006F2BEC">
        <w:rPr>
          <w:rFonts w:ascii="Book Antiqua" w:hAnsi="Book Antiqua" w:cs="Arial"/>
        </w:rPr>
        <w:t xml:space="preserve">refusal under the rules.  </w:t>
      </w:r>
    </w:p>
    <w:p w:rsidR="00CB1046" w:rsidRDefault="006F2BEC" w:rsidP="009509BC">
      <w:pPr>
        <w:numPr>
          <w:ilvl w:val="0"/>
          <w:numId w:val="2"/>
        </w:numPr>
        <w:tabs>
          <w:tab w:val="clear" w:pos="567"/>
        </w:tabs>
        <w:spacing w:before="240" w:after="240"/>
        <w:jc w:val="both"/>
        <w:rPr>
          <w:rFonts w:ascii="Book Antiqua" w:hAnsi="Book Antiqua" w:cs="Arial"/>
        </w:rPr>
      </w:pPr>
      <w:r>
        <w:rPr>
          <w:rFonts w:ascii="Book Antiqua" w:hAnsi="Book Antiqua" w:cs="Arial"/>
        </w:rPr>
        <w:t>The first appellant’s case was then considered by reference to paragraph 276ADE of those rules.  Paragraph 276ADE reads as follows:-</w:t>
      </w:r>
    </w:p>
    <w:p w:rsidR="009509BC" w:rsidRDefault="006F2BEC" w:rsidP="009509BC">
      <w:pPr>
        <w:ind w:left="1134"/>
        <w:jc w:val="both"/>
        <w:rPr>
          <w:rFonts w:ascii="Book Antiqua" w:hAnsi="Book Antiqua" w:cs="Arial"/>
          <w:color w:val="0B0C0C"/>
          <w:sz w:val="22"/>
          <w:szCs w:val="22"/>
          <w:shd w:val="clear" w:color="auto" w:fill="FFFFFF"/>
        </w:rPr>
      </w:pPr>
      <w:r w:rsidRPr="009509BC">
        <w:rPr>
          <w:rFonts w:ascii="Book Antiqua" w:hAnsi="Book Antiqua" w:cs="Arial"/>
          <w:sz w:val="22"/>
          <w:szCs w:val="22"/>
        </w:rPr>
        <w:lastRenderedPageBreak/>
        <w:t>“</w:t>
      </w:r>
      <w:r w:rsidR="009509BC" w:rsidRPr="009509BC">
        <w:rPr>
          <w:rFonts w:ascii="Book Antiqua" w:hAnsi="Book Antiqua" w:cs="Arial"/>
          <w:color w:val="0B0C0C"/>
          <w:sz w:val="22"/>
          <w:szCs w:val="22"/>
          <w:shd w:val="clear" w:color="auto" w:fill="FFFFFF"/>
        </w:rPr>
        <w:t>276ADE (1)</w:t>
      </w:r>
      <w:r w:rsidR="00B56578">
        <w:rPr>
          <w:rFonts w:ascii="Book Antiqua" w:hAnsi="Book Antiqua" w:cs="Arial"/>
          <w:color w:val="0B0C0C"/>
          <w:sz w:val="22"/>
          <w:szCs w:val="22"/>
          <w:shd w:val="clear" w:color="auto" w:fill="FFFFFF"/>
        </w:rPr>
        <w:t xml:space="preserve"> </w:t>
      </w:r>
      <w:r w:rsidR="009509BC" w:rsidRPr="009509BC">
        <w:rPr>
          <w:rFonts w:ascii="Book Antiqua" w:hAnsi="Book Antiqua" w:cs="Arial"/>
          <w:color w:val="0B0C0C"/>
          <w:sz w:val="22"/>
          <w:szCs w:val="22"/>
          <w:shd w:val="clear" w:color="auto" w:fill="FFFFFF"/>
        </w:rPr>
        <w:t>The requirements to be met by an applicant for leave to remain on the grounds of private life in the UK are that at the date of application, the applicant:</w:t>
      </w:r>
    </w:p>
    <w:p w:rsidR="009509BC" w:rsidRPr="009509BC" w:rsidRDefault="009509BC" w:rsidP="009509BC">
      <w:pPr>
        <w:jc w:val="both"/>
        <w:rPr>
          <w:rFonts w:ascii="Book Antiqua" w:hAnsi="Book Antiqua"/>
          <w:sz w:val="22"/>
          <w:szCs w:val="22"/>
        </w:rPr>
      </w:pPr>
    </w:p>
    <w:p w:rsidR="009509BC" w:rsidRPr="009509BC" w:rsidRDefault="009509BC" w:rsidP="009509BC">
      <w:pPr>
        <w:shd w:val="clear" w:color="auto" w:fill="FFFFFF"/>
        <w:spacing w:before="75" w:after="240"/>
        <w:ind w:left="1701" w:hanging="567"/>
        <w:jc w:val="both"/>
        <w:rPr>
          <w:rFonts w:ascii="Book Antiqua" w:hAnsi="Book Antiqua" w:cs="Arial"/>
          <w:color w:val="0B0C0C"/>
          <w:sz w:val="22"/>
          <w:szCs w:val="22"/>
        </w:rPr>
      </w:pPr>
      <w:r w:rsidRPr="009509BC">
        <w:rPr>
          <w:rFonts w:ascii="Book Antiqua" w:hAnsi="Book Antiqua" w:cs="Arial"/>
          <w:color w:val="0B0C0C"/>
          <w:sz w:val="22"/>
          <w:szCs w:val="22"/>
        </w:rPr>
        <w:t>(i)</w:t>
      </w:r>
      <w:r>
        <w:rPr>
          <w:rFonts w:ascii="Book Antiqua" w:hAnsi="Book Antiqua" w:cs="Arial"/>
          <w:color w:val="0B0C0C"/>
          <w:sz w:val="22"/>
          <w:szCs w:val="22"/>
        </w:rPr>
        <w:tab/>
      </w:r>
      <w:r w:rsidRPr="009509BC">
        <w:rPr>
          <w:rFonts w:ascii="Book Antiqua" w:hAnsi="Book Antiqua" w:cs="Arial"/>
          <w:color w:val="0B0C0C"/>
          <w:sz w:val="22"/>
          <w:szCs w:val="22"/>
        </w:rPr>
        <w:t>does not fall for refusal under any of the grounds in Section S-LTR 1.1 to S-LTR 2.2. and S-LTR.3.1. to S-LTR.4.5. in Appendix FM; and</w:t>
      </w:r>
    </w:p>
    <w:p w:rsidR="009509BC" w:rsidRPr="009509BC" w:rsidRDefault="009509BC" w:rsidP="009509BC">
      <w:pPr>
        <w:shd w:val="clear" w:color="auto" w:fill="FFFFFF"/>
        <w:spacing w:before="75" w:after="240"/>
        <w:ind w:left="1701" w:hanging="567"/>
        <w:jc w:val="both"/>
        <w:rPr>
          <w:rFonts w:ascii="Book Antiqua" w:hAnsi="Book Antiqua" w:cs="Arial"/>
          <w:color w:val="0B0C0C"/>
          <w:sz w:val="22"/>
          <w:szCs w:val="22"/>
        </w:rPr>
      </w:pPr>
      <w:r w:rsidRPr="009509BC">
        <w:rPr>
          <w:rFonts w:ascii="Book Antiqua" w:hAnsi="Book Antiqua" w:cs="Arial"/>
          <w:color w:val="0B0C0C"/>
          <w:sz w:val="22"/>
          <w:szCs w:val="22"/>
        </w:rPr>
        <w:t>(ii)</w:t>
      </w:r>
      <w:r>
        <w:rPr>
          <w:rFonts w:ascii="Book Antiqua" w:hAnsi="Book Antiqua" w:cs="Arial"/>
          <w:color w:val="0B0C0C"/>
          <w:sz w:val="22"/>
          <w:szCs w:val="22"/>
        </w:rPr>
        <w:tab/>
      </w:r>
      <w:r w:rsidRPr="009509BC">
        <w:rPr>
          <w:rFonts w:ascii="Book Antiqua" w:hAnsi="Book Antiqua" w:cs="Arial"/>
          <w:color w:val="0B0C0C"/>
          <w:sz w:val="22"/>
          <w:szCs w:val="22"/>
        </w:rPr>
        <w:t>has made a valid application for leave to remain on the grounds of private life in the UK; and</w:t>
      </w:r>
    </w:p>
    <w:p w:rsidR="009509BC" w:rsidRPr="009509BC" w:rsidRDefault="009509BC" w:rsidP="009509BC">
      <w:pPr>
        <w:shd w:val="clear" w:color="auto" w:fill="FFFFFF"/>
        <w:spacing w:before="75" w:after="240"/>
        <w:ind w:left="1701" w:hanging="567"/>
        <w:jc w:val="both"/>
        <w:rPr>
          <w:rFonts w:ascii="Book Antiqua" w:hAnsi="Book Antiqua" w:cs="Arial"/>
          <w:color w:val="0B0C0C"/>
          <w:sz w:val="22"/>
          <w:szCs w:val="22"/>
        </w:rPr>
      </w:pPr>
      <w:r w:rsidRPr="009509BC">
        <w:rPr>
          <w:rFonts w:ascii="Book Antiqua" w:hAnsi="Book Antiqua" w:cs="Arial"/>
          <w:color w:val="0B0C0C"/>
          <w:sz w:val="22"/>
          <w:szCs w:val="22"/>
        </w:rPr>
        <w:t>(iii)</w:t>
      </w:r>
      <w:r>
        <w:rPr>
          <w:rFonts w:ascii="Book Antiqua" w:hAnsi="Book Antiqua" w:cs="Arial"/>
          <w:color w:val="0B0C0C"/>
          <w:sz w:val="22"/>
          <w:szCs w:val="22"/>
        </w:rPr>
        <w:tab/>
      </w:r>
      <w:r w:rsidRPr="009509BC">
        <w:rPr>
          <w:rFonts w:ascii="Book Antiqua" w:hAnsi="Book Antiqua" w:cs="Arial"/>
          <w:color w:val="0B0C0C"/>
          <w:sz w:val="22"/>
          <w:szCs w:val="22"/>
        </w:rPr>
        <w:t>has lived continuously in the UK for at least 20 years (discounting any period of imprisonment); or</w:t>
      </w:r>
    </w:p>
    <w:p w:rsidR="009509BC" w:rsidRPr="009509BC" w:rsidRDefault="009509BC" w:rsidP="009509BC">
      <w:pPr>
        <w:shd w:val="clear" w:color="auto" w:fill="FFFFFF"/>
        <w:spacing w:before="75" w:after="240"/>
        <w:ind w:left="1701" w:hanging="567"/>
        <w:jc w:val="both"/>
        <w:rPr>
          <w:rFonts w:ascii="Book Antiqua" w:hAnsi="Book Antiqua" w:cs="Arial"/>
          <w:color w:val="0B0C0C"/>
          <w:sz w:val="22"/>
          <w:szCs w:val="22"/>
        </w:rPr>
      </w:pPr>
      <w:r w:rsidRPr="009509BC">
        <w:rPr>
          <w:rFonts w:ascii="Book Antiqua" w:hAnsi="Book Antiqua" w:cs="Arial"/>
          <w:color w:val="0B0C0C"/>
          <w:sz w:val="22"/>
          <w:szCs w:val="22"/>
        </w:rPr>
        <w:t>(iv)</w:t>
      </w:r>
      <w:r>
        <w:rPr>
          <w:rFonts w:ascii="Book Antiqua" w:hAnsi="Book Antiqua" w:cs="Arial"/>
          <w:color w:val="0B0C0C"/>
          <w:sz w:val="22"/>
          <w:szCs w:val="22"/>
        </w:rPr>
        <w:tab/>
      </w:r>
      <w:r w:rsidRPr="009509BC">
        <w:rPr>
          <w:rFonts w:ascii="Book Antiqua" w:hAnsi="Book Antiqua" w:cs="Arial"/>
          <w:color w:val="0B0C0C"/>
          <w:sz w:val="22"/>
          <w:szCs w:val="22"/>
        </w:rPr>
        <w:t>is under the age of 18 years and has lived continuously in the UK for at least 7 years (discounting any period of imprisonment) and it would not be reasonable to expect the applicant to leave the UK; or</w:t>
      </w:r>
    </w:p>
    <w:p w:rsidR="009509BC" w:rsidRPr="009509BC" w:rsidRDefault="009509BC" w:rsidP="009509BC">
      <w:pPr>
        <w:shd w:val="clear" w:color="auto" w:fill="FFFFFF"/>
        <w:spacing w:before="75" w:after="240"/>
        <w:ind w:left="1701" w:hanging="567"/>
        <w:jc w:val="both"/>
        <w:rPr>
          <w:rFonts w:ascii="Book Antiqua" w:hAnsi="Book Antiqua" w:cs="Arial"/>
          <w:color w:val="0B0C0C"/>
          <w:sz w:val="22"/>
          <w:szCs w:val="22"/>
        </w:rPr>
      </w:pPr>
      <w:r w:rsidRPr="009509BC">
        <w:rPr>
          <w:rFonts w:ascii="Book Antiqua" w:hAnsi="Book Antiqua" w:cs="Arial"/>
          <w:color w:val="0B0C0C"/>
          <w:sz w:val="22"/>
          <w:szCs w:val="22"/>
        </w:rPr>
        <w:t>(v)</w:t>
      </w:r>
      <w:r>
        <w:rPr>
          <w:rFonts w:ascii="Book Antiqua" w:hAnsi="Book Antiqua" w:cs="Arial"/>
          <w:color w:val="0B0C0C"/>
          <w:sz w:val="22"/>
          <w:szCs w:val="22"/>
        </w:rPr>
        <w:tab/>
      </w:r>
      <w:r w:rsidRPr="009509BC">
        <w:rPr>
          <w:rFonts w:ascii="Book Antiqua" w:hAnsi="Book Antiqua" w:cs="Arial"/>
          <w:color w:val="0B0C0C"/>
          <w:sz w:val="22"/>
          <w:szCs w:val="22"/>
        </w:rPr>
        <w:t>is aged 18 years or above and under 25 years and has spent at least half of his life living continuously in the UK (discounting any period of imprisonment); or</w:t>
      </w:r>
    </w:p>
    <w:p w:rsidR="009509BC" w:rsidRPr="009509BC" w:rsidRDefault="009509BC" w:rsidP="009509BC">
      <w:pPr>
        <w:shd w:val="clear" w:color="auto" w:fill="FFFFFF"/>
        <w:spacing w:before="75" w:after="240"/>
        <w:ind w:left="1701" w:hanging="567"/>
        <w:jc w:val="both"/>
        <w:rPr>
          <w:rFonts w:ascii="Book Antiqua" w:hAnsi="Book Antiqua" w:cs="Arial"/>
          <w:color w:val="0B0C0C"/>
          <w:sz w:val="22"/>
          <w:szCs w:val="22"/>
        </w:rPr>
      </w:pPr>
      <w:r w:rsidRPr="009509BC">
        <w:rPr>
          <w:rFonts w:ascii="Book Antiqua" w:hAnsi="Book Antiqua" w:cs="Arial"/>
          <w:color w:val="0B0C0C"/>
          <w:sz w:val="22"/>
          <w:szCs w:val="22"/>
        </w:rPr>
        <w:t>(vi)</w:t>
      </w:r>
      <w:r>
        <w:rPr>
          <w:rFonts w:ascii="Book Antiqua" w:hAnsi="Book Antiqua" w:cs="Arial"/>
          <w:color w:val="0B0C0C"/>
          <w:sz w:val="22"/>
          <w:szCs w:val="22"/>
        </w:rPr>
        <w:tab/>
      </w:r>
      <w:r w:rsidRPr="009509BC">
        <w:rPr>
          <w:rFonts w:ascii="Book Antiqua" w:hAnsi="Book Antiqua" w:cs="Arial"/>
          <w:color w:val="0B0C0C"/>
          <w:sz w:val="22"/>
          <w:szCs w:val="22"/>
        </w:rPr>
        <w:t>subject to sub-paragraph (2), is aged 18 years or above, has lived continuously in the UK for less than 20 years (discounting any period of imprisonment) but there would be very significant obstacles to the applicant’s integration into the country to which he would have to go if required to leave the UK.</w:t>
      </w:r>
      <w:r>
        <w:rPr>
          <w:rFonts w:ascii="Book Antiqua" w:hAnsi="Book Antiqua" w:cs="Arial"/>
          <w:color w:val="0B0C0C"/>
          <w:sz w:val="22"/>
          <w:szCs w:val="22"/>
        </w:rPr>
        <w:t>”</w:t>
      </w:r>
    </w:p>
    <w:p w:rsidR="00B87C61" w:rsidRDefault="009509BC" w:rsidP="009509BC">
      <w:pPr>
        <w:numPr>
          <w:ilvl w:val="0"/>
          <w:numId w:val="2"/>
        </w:numPr>
        <w:tabs>
          <w:tab w:val="clear" w:pos="567"/>
        </w:tabs>
        <w:spacing w:before="240" w:after="240"/>
        <w:jc w:val="both"/>
        <w:rPr>
          <w:rFonts w:ascii="Book Antiqua" w:hAnsi="Book Antiqua" w:cs="Arial"/>
        </w:rPr>
      </w:pPr>
      <w:r>
        <w:rPr>
          <w:rFonts w:ascii="Book Antiqua" w:hAnsi="Book Antiqua" w:cs="Arial"/>
        </w:rPr>
        <w:t xml:space="preserve">The respondent </w:t>
      </w:r>
      <w:r w:rsidR="00F50AB8">
        <w:rPr>
          <w:rFonts w:ascii="Book Antiqua" w:hAnsi="Book Antiqua" w:cs="Arial"/>
        </w:rPr>
        <w:t>found</w:t>
      </w:r>
      <w:r>
        <w:rPr>
          <w:rFonts w:ascii="Book Antiqua" w:hAnsi="Book Antiqua" w:cs="Arial"/>
        </w:rPr>
        <w:t xml:space="preserve"> that the first appellant had not lived continuously in the UK for at least the last twenty years.  She </w:t>
      </w:r>
      <w:r w:rsidR="00F50AB8">
        <w:rPr>
          <w:rFonts w:ascii="Book Antiqua" w:hAnsi="Book Antiqua" w:cs="Arial"/>
        </w:rPr>
        <w:t>was</w:t>
      </w:r>
      <w:r>
        <w:rPr>
          <w:rFonts w:ascii="Book Antiqua" w:hAnsi="Book Antiqua" w:cs="Arial"/>
        </w:rPr>
        <w:t xml:space="preserve"> also over </w:t>
      </w:r>
      <w:r w:rsidR="00B56578">
        <w:rPr>
          <w:rFonts w:ascii="Book Antiqua" w:hAnsi="Book Antiqua" w:cs="Arial"/>
        </w:rPr>
        <w:t xml:space="preserve">the age of 18.  She was not between 18 and 25 years.  This meant that the only way in which the first appellant could satisfy paragraph 276ADE was by reference to sub-paragraph </w:t>
      </w:r>
      <w:r w:rsidR="00F50AB8">
        <w:rPr>
          <w:rFonts w:ascii="Book Antiqua" w:hAnsi="Book Antiqua" w:cs="Arial"/>
        </w:rPr>
        <w:t>(</w:t>
      </w:r>
      <w:r w:rsidR="00B56578">
        <w:rPr>
          <w:rFonts w:ascii="Book Antiqua" w:hAnsi="Book Antiqua" w:cs="Arial"/>
        </w:rPr>
        <w:t>1</w:t>
      </w:r>
      <w:r w:rsidR="00F50AB8">
        <w:rPr>
          <w:rFonts w:ascii="Book Antiqua" w:hAnsi="Book Antiqua" w:cs="Arial"/>
        </w:rPr>
        <w:t>)</w:t>
      </w:r>
      <w:r w:rsidR="00B56578">
        <w:rPr>
          <w:rFonts w:ascii="Book Antiqua" w:hAnsi="Book Antiqua" w:cs="Arial"/>
        </w:rPr>
        <w:t xml:space="preserve">(vi).  The respondent accordingly addressed the issue of whether there would be very significant obstacles to the first appellant’s integration into Nigeria.  </w:t>
      </w:r>
      <w:r w:rsidR="00F50AB8">
        <w:rPr>
          <w:rFonts w:ascii="Book Antiqua" w:hAnsi="Book Antiqua" w:cs="Arial"/>
        </w:rPr>
        <w:t>The respondent</w:t>
      </w:r>
      <w:r w:rsidR="00B56578">
        <w:rPr>
          <w:rFonts w:ascii="Book Antiqua" w:hAnsi="Book Antiqua" w:cs="Arial"/>
        </w:rPr>
        <w:t xml:space="preserve"> considered there would not.  The first appellant had spent her formative years living in Nigeria and would be familiar with the language and culture there.  </w:t>
      </w:r>
      <w:r w:rsidR="00F50AB8">
        <w:rPr>
          <w:rFonts w:ascii="Book Antiqua" w:hAnsi="Book Antiqua" w:cs="Arial"/>
        </w:rPr>
        <w:t xml:space="preserve">The first appellant </w:t>
      </w:r>
      <w:r w:rsidR="00B56578">
        <w:rPr>
          <w:rFonts w:ascii="Book Antiqua" w:hAnsi="Book Antiqua" w:cs="Arial"/>
        </w:rPr>
        <w:t>had a husband living in Nigeria</w:t>
      </w:r>
      <w:r w:rsidR="00F50AB8">
        <w:rPr>
          <w:rFonts w:ascii="Book Antiqua" w:hAnsi="Book Antiqua" w:cs="Arial"/>
        </w:rPr>
        <w:t>, who</w:t>
      </w:r>
      <w:r w:rsidR="00B56578">
        <w:rPr>
          <w:rFonts w:ascii="Book Antiqua" w:hAnsi="Book Antiqua" w:cs="Arial"/>
        </w:rPr>
        <w:t xml:space="preserve"> had business interests in the country.  All of that would, according to the respondent, enable the first appellant to integrate into Nigeria.  She </w:t>
      </w:r>
      <w:r w:rsidR="00F50AB8">
        <w:rPr>
          <w:rFonts w:ascii="Book Antiqua" w:hAnsi="Book Antiqua" w:cs="Arial"/>
        </w:rPr>
        <w:t>had been to Nigeria</w:t>
      </w:r>
      <w:r w:rsidR="00B56578">
        <w:rPr>
          <w:rFonts w:ascii="Book Antiqua" w:hAnsi="Book Antiqua" w:cs="Arial"/>
        </w:rPr>
        <w:t xml:space="preserve"> since entering the United Kingdom.  For these reasons, the respondent concluded that the first appellant did not meet the requirements of paragraph 276ADE(1)(vi).</w:t>
      </w:r>
    </w:p>
    <w:p w:rsidR="00B56578" w:rsidRDefault="00B56578" w:rsidP="009509BC">
      <w:pPr>
        <w:numPr>
          <w:ilvl w:val="0"/>
          <w:numId w:val="2"/>
        </w:numPr>
        <w:tabs>
          <w:tab w:val="clear" w:pos="567"/>
        </w:tabs>
        <w:spacing w:before="240" w:after="240"/>
        <w:jc w:val="both"/>
        <w:rPr>
          <w:rFonts w:ascii="Book Antiqua" w:hAnsi="Book Antiqua" w:cs="Arial"/>
        </w:rPr>
      </w:pPr>
      <w:r>
        <w:rPr>
          <w:rFonts w:ascii="Book Antiqua" w:hAnsi="Book Antiqua" w:cs="Arial"/>
        </w:rPr>
        <w:t>As for the second appellant,</w:t>
      </w:r>
      <w:r w:rsidR="00F50AB8">
        <w:rPr>
          <w:rFonts w:ascii="Book Antiqua" w:hAnsi="Book Antiqua" w:cs="Arial"/>
        </w:rPr>
        <w:t xml:space="preserve"> the respondent’s</w:t>
      </w:r>
      <w:r>
        <w:rPr>
          <w:rFonts w:ascii="Book Antiqua" w:hAnsi="Book Antiqua" w:cs="Arial"/>
        </w:rPr>
        <w:t xml:space="preserve"> attention also focused on paragraph 276ADE(1)(vi).  The respondent considered that there would not be very significant obstacles in the case of the second appellant because he would be relocating to Nigeria with his mother and would be supported by her there whil</w:t>
      </w:r>
      <w:r w:rsidR="006647B1">
        <w:rPr>
          <w:rFonts w:ascii="Book Antiqua" w:hAnsi="Book Antiqua" w:cs="Arial"/>
        </w:rPr>
        <w:t>st</w:t>
      </w:r>
      <w:r>
        <w:rPr>
          <w:rFonts w:ascii="Book Antiqua" w:hAnsi="Book Antiqua" w:cs="Arial"/>
        </w:rPr>
        <w:t xml:space="preserve"> he integrated.  Furthermore, the second appellant’s father reside</w:t>
      </w:r>
      <w:r w:rsidR="006647B1">
        <w:rPr>
          <w:rFonts w:ascii="Book Antiqua" w:hAnsi="Book Antiqua" w:cs="Arial"/>
        </w:rPr>
        <w:t>d</w:t>
      </w:r>
      <w:r>
        <w:rPr>
          <w:rFonts w:ascii="Book Antiqua" w:hAnsi="Book Antiqua" w:cs="Arial"/>
        </w:rPr>
        <w:t xml:space="preserve"> in Nigeria and would also be able to supply support.</w:t>
      </w:r>
    </w:p>
    <w:p w:rsidR="006647B1" w:rsidRDefault="00B56578" w:rsidP="009509BC">
      <w:pPr>
        <w:numPr>
          <w:ilvl w:val="0"/>
          <w:numId w:val="2"/>
        </w:numPr>
        <w:tabs>
          <w:tab w:val="clear" w:pos="567"/>
        </w:tabs>
        <w:spacing w:before="240" w:after="240"/>
        <w:jc w:val="both"/>
        <w:rPr>
          <w:rFonts w:ascii="Book Antiqua" w:hAnsi="Book Antiqua" w:cs="Arial"/>
        </w:rPr>
      </w:pPr>
      <w:r>
        <w:rPr>
          <w:rFonts w:ascii="Book Antiqua" w:hAnsi="Book Antiqua" w:cs="Arial"/>
        </w:rPr>
        <w:t xml:space="preserve">The letter of refusal concluded by considering exceptional circumstances.  It was noted that the second appellant was born in the United Kingdom and that the first appellant was in employment there.  Although the </w:t>
      </w:r>
      <w:r w:rsidR="006647B1">
        <w:rPr>
          <w:rFonts w:ascii="Book Antiqua" w:hAnsi="Book Antiqua" w:cs="Arial"/>
        </w:rPr>
        <w:t>second</w:t>
      </w:r>
      <w:r>
        <w:rPr>
          <w:rFonts w:ascii="Book Antiqua" w:hAnsi="Book Antiqua" w:cs="Arial"/>
        </w:rPr>
        <w:t xml:space="preserve"> appellant might be currently enrolled in education in the United Kingdom, it was clear to the respondent from objective information that Nigeria had a functioning education sy</w:t>
      </w:r>
      <w:r w:rsidR="00880557">
        <w:rPr>
          <w:rFonts w:ascii="Book Antiqua" w:hAnsi="Book Antiqua" w:cs="Arial"/>
        </w:rPr>
        <w:t xml:space="preserve">stem, which the second appellant would be able to enter.  Although it was generally accepted that the best interests of a child whose parent was facing removal from the United Kingdom </w:t>
      </w:r>
      <w:r w:rsidR="006647B1">
        <w:rPr>
          <w:rFonts w:ascii="Book Antiqua" w:hAnsi="Book Antiqua" w:cs="Arial"/>
        </w:rPr>
        <w:t>were</w:t>
      </w:r>
      <w:r w:rsidR="00880557">
        <w:rPr>
          <w:rFonts w:ascii="Book Antiqua" w:hAnsi="Book Antiqua" w:cs="Arial"/>
        </w:rPr>
        <w:t xml:space="preserve"> best served by the child remaining with the parent, given that the first appellant would be removed with the second appellant, and that the first appellant was “clearly the most important person in [the second appellant’s] life … this will help him to readapt to life in Nigeria”.  Although the first appellant had family and friends in the United Kingdom, these</w:t>
      </w:r>
      <w:r w:rsidR="006647B1">
        <w:rPr>
          <w:rFonts w:ascii="Book Antiqua" w:hAnsi="Book Antiqua" w:cs="Arial"/>
        </w:rPr>
        <w:t xml:space="preserve"> ties</w:t>
      </w:r>
      <w:r w:rsidR="00880557">
        <w:rPr>
          <w:rFonts w:ascii="Book Antiqua" w:hAnsi="Book Antiqua" w:cs="Arial"/>
        </w:rPr>
        <w:t xml:space="preserve"> were not considered to be strong enough to engage article 8. </w:t>
      </w:r>
    </w:p>
    <w:p w:rsidR="006647B1" w:rsidRDefault="00880557" w:rsidP="009509BC">
      <w:pPr>
        <w:numPr>
          <w:ilvl w:val="0"/>
          <w:numId w:val="2"/>
        </w:numPr>
        <w:tabs>
          <w:tab w:val="clear" w:pos="567"/>
        </w:tabs>
        <w:spacing w:before="240" w:after="240"/>
        <w:jc w:val="both"/>
        <w:rPr>
          <w:rFonts w:ascii="Book Antiqua" w:hAnsi="Book Antiqua" w:cs="Arial"/>
        </w:rPr>
      </w:pPr>
      <w:r>
        <w:rPr>
          <w:rFonts w:ascii="Book Antiqua" w:hAnsi="Book Antiqua" w:cs="Arial"/>
        </w:rPr>
        <w:t>The respondent noted that the first appellant was a nurse in the United Kingdom and that she supported newly qualified nurses.  The respondent</w:t>
      </w:r>
      <w:r w:rsidR="006647B1">
        <w:rPr>
          <w:rFonts w:ascii="Book Antiqua" w:hAnsi="Book Antiqua" w:cs="Arial"/>
        </w:rPr>
        <w:t xml:space="preserve"> also</w:t>
      </w:r>
      <w:r>
        <w:rPr>
          <w:rFonts w:ascii="Book Antiqua" w:hAnsi="Book Antiqua" w:cs="Arial"/>
        </w:rPr>
        <w:t xml:space="preserve"> noted that the first appellant said there was a shortage of nurses in the United Kingdom.  That was carefully considered</w:t>
      </w:r>
      <w:r w:rsidR="006647B1">
        <w:rPr>
          <w:rFonts w:ascii="Book Antiqua" w:hAnsi="Book Antiqua" w:cs="Arial"/>
        </w:rPr>
        <w:t>:</w:t>
      </w:r>
    </w:p>
    <w:p w:rsidR="006647B1" w:rsidRPr="006647B1" w:rsidRDefault="00880557" w:rsidP="006647B1">
      <w:pPr>
        <w:spacing w:before="240" w:after="240"/>
        <w:ind w:left="1134"/>
        <w:jc w:val="both"/>
        <w:rPr>
          <w:rFonts w:ascii="Book Antiqua" w:hAnsi="Book Antiqua" w:cs="Arial"/>
          <w:sz w:val="22"/>
          <w:szCs w:val="22"/>
        </w:rPr>
      </w:pPr>
      <w:r w:rsidRPr="006647B1">
        <w:rPr>
          <w:rFonts w:ascii="Book Antiqua" w:hAnsi="Book Antiqua" w:cs="Arial"/>
          <w:sz w:val="22"/>
          <w:szCs w:val="22"/>
        </w:rPr>
        <w:t xml:space="preserve">“however this is not an exceptional reason to grant leave outside the rules.  It is open for you to return to Nigeria and apply for the correct entry clearance.  You can use your skills gained in the UK in Nigeria where you could find a similar job”. </w:t>
      </w:r>
    </w:p>
    <w:p w:rsidR="00B56578" w:rsidRDefault="00880557" w:rsidP="006647B1">
      <w:pPr>
        <w:spacing w:before="240" w:after="240"/>
        <w:ind w:left="567"/>
        <w:jc w:val="both"/>
        <w:rPr>
          <w:rFonts w:ascii="Book Antiqua" w:hAnsi="Book Antiqua" w:cs="Arial"/>
        </w:rPr>
      </w:pPr>
      <w:r>
        <w:rPr>
          <w:rFonts w:ascii="Book Antiqua" w:hAnsi="Book Antiqua" w:cs="Arial"/>
        </w:rPr>
        <w:t>Nor was it an exceptional circumstance that the first appellant had purchased a house in the United Kingdom.  The house could be sold and the money used to buy a similar property in Nigeria.</w:t>
      </w:r>
    </w:p>
    <w:p w:rsidR="00C33E38" w:rsidRDefault="00C33E38" w:rsidP="006647B1">
      <w:pPr>
        <w:spacing w:before="240" w:after="240"/>
        <w:ind w:left="567"/>
        <w:jc w:val="both"/>
        <w:rPr>
          <w:rFonts w:ascii="Book Antiqua" w:hAnsi="Book Antiqua" w:cs="Arial"/>
        </w:rPr>
      </w:pPr>
    </w:p>
    <w:p w:rsidR="00C33E38" w:rsidRPr="00C33E38" w:rsidRDefault="00C33E38" w:rsidP="00C33E38">
      <w:pPr>
        <w:spacing w:before="240" w:after="240"/>
        <w:jc w:val="both"/>
        <w:rPr>
          <w:rFonts w:ascii="Book Antiqua" w:hAnsi="Book Antiqua" w:cs="Arial"/>
          <w:b/>
          <w:bCs/>
          <w:i/>
          <w:iCs/>
        </w:rPr>
      </w:pPr>
      <w:r>
        <w:rPr>
          <w:rFonts w:ascii="Book Antiqua" w:hAnsi="Book Antiqua" w:cs="Arial"/>
          <w:b/>
          <w:bCs/>
          <w:i/>
          <w:iCs/>
        </w:rPr>
        <w:t>B.  APPEALS TO THE FIRST-TIER TRIBUNAL</w:t>
      </w:r>
    </w:p>
    <w:p w:rsidR="00880557" w:rsidRDefault="00880557" w:rsidP="009509BC">
      <w:pPr>
        <w:numPr>
          <w:ilvl w:val="0"/>
          <w:numId w:val="2"/>
        </w:numPr>
        <w:tabs>
          <w:tab w:val="clear" w:pos="567"/>
        </w:tabs>
        <w:spacing w:before="240" w:after="240"/>
        <w:jc w:val="both"/>
        <w:rPr>
          <w:rFonts w:ascii="Book Antiqua" w:hAnsi="Book Antiqua" w:cs="Arial"/>
        </w:rPr>
      </w:pPr>
      <w:r>
        <w:rPr>
          <w:rFonts w:ascii="Book Antiqua" w:hAnsi="Book Antiqua" w:cs="Arial"/>
        </w:rPr>
        <w:t>The appellants appeal</w:t>
      </w:r>
      <w:r w:rsidR="004A1FEC">
        <w:rPr>
          <w:rFonts w:ascii="Book Antiqua" w:hAnsi="Book Antiqua" w:cs="Arial"/>
        </w:rPr>
        <w:t>ed</w:t>
      </w:r>
      <w:r>
        <w:rPr>
          <w:rFonts w:ascii="Book Antiqua" w:hAnsi="Book Antiqua" w:cs="Arial"/>
        </w:rPr>
        <w:t xml:space="preserve"> against the refusal</w:t>
      </w:r>
      <w:r w:rsidR="006647B1">
        <w:rPr>
          <w:rFonts w:ascii="Book Antiqua" w:hAnsi="Book Antiqua" w:cs="Arial"/>
        </w:rPr>
        <w:t>s</w:t>
      </w:r>
      <w:r>
        <w:rPr>
          <w:rFonts w:ascii="Book Antiqua" w:hAnsi="Book Antiqua" w:cs="Arial"/>
        </w:rPr>
        <w:t xml:space="preserve"> to the First-tier Tribunal.  Following an appeal heard at Taylor House on 26 June 2019, First-tier Tribunal Judge S J Clarke dismissed the appeals in a decision promulgated on 8 August 2019.  The judge heard evidence from the first appellant, and from the first appellant’s mother and sisters.  The first appellant told the judge that her marriage to her husband in Nigeria had ended in June 2017.  Amongst the findings made by the judge were those at paragraph 17 of </w:t>
      </w:r>
      <w:r w:rsidR="006647B1">
        <w:rPr>
          <w:rFonts w:ascii="Book Antiqua" w:hAnsi="Book Antiqua" w:cs="Arial"/>
        </w:rPr>
        <w:t>h</w:t>
      </w:r>
      <w:r w:rsidR="00635141">
        <w:rPr>
          <w:rFonts w:ascii="Book Antiqua" w:hAnsi="Book Antiqua" w:cs="Arial"/>
        </w:rPr>
        <w:t>er</w:t>
      </w:r>
      <w:r>
        <w:rPr>
          <w:rFonts w:ascii="Book Antiqua" w:hAnsi="Book Antiqua" w:cs="Arial"/>
        </w:rPr>
        <w:t xml:space="preserve"> decision, where it was recorded that the mother of the first appellant had recently spent six months in Nigeria, looking after her own mother.  The judge found that this </w:t>
      </w:r>
      <w:r w:rsidR="006647B1">
        <w:rPr>
          <w:rFonts w:ascii="Book Antiqua" w:hAnsi="Book Antiqua" w:cs="Arial"/>
        </w:rPr>
        <w:t>demonstrated there was</w:t>
      </w:r>
      <w:r>
        <w:rPr>
          <w:rFonts w:ascii="Book Antiqua" w:hAnsi="Book Antiqua" w:cs="Arial"/>
        </w:rPr>
        <w:t xml:space="preserve"> a base from which the first appellant and the second appellant could begin their life in Nigeria.  At the end of paragraph 17, the judge found that “the appellant’s mother is currently remitting money for some of their children by bank transfer and I find she is able to assist the appellant should the need arise</w:t>
      </w:r>
      <w:r w:rsidR="006647B1">
        <w:rPr>
          <w:rFonts w:ascii="Book Antiqua" w:hAnsi="Book Antiqua" w:cs="Arial"/>
        </w:rPr>
        <w:t>”</w:t>
      </w:r>
      <w:r>
        <w:rPr>
          <w:rFonts w:ascii="Book Antiqua" w:hAnsi="Book Antiqua" w:cs="Arial"/>
        </w:rPr>
        <w:t xml:space="preserve">.  </w:t>
      </w:r>
    </w:p>
    <w:p w:rsidR="004A1FEC" w:rsidRDefault="00880557" w:rsidP="009509BC">
      <w:pPr>
        <w:numPr>
          <w:ilvl w:val="0"/>
          <w:numId w:val="2"/>
        </w:numPr>
        <w:tabs>
          <w:tab w:val="clear" w:pos="567"/>
        </w:tabs>
        <w:spacing w:before="240" w:after="240"/>
        <w:jc w:val="both"/>
        <w:rPr>
          <w:rFonts w:ascii="Book Antiqua" w:hAnsi="Book Antiqua" w:cs="Arial"/>
        </w:rPr>
      </w:pPr>
      <w:r>
        <w:rPr>
          <w:rFonts w:ascii="Book Antiqua" w:hAnsi="Book Antiqua" w:cs="Arial"/>
        </w:rPr>
        <w:t>At paragraph 18, the judge found that</w:t>
      </w:r>
      <w:r w:rsidR="00CD2704">
        <w:rPr>
          <w:rFonts w:ascii="Book Antiqua" w:hAnsi="Book Antiqua" w:cs="Arial"/>
        </w:rPr>
        <w:t xml:space="preserve">, in any event, the first appellant could maintain the second appellant by herself </w:t>
      </w:r>
      <w:r w:rsidR="004A1FEC">
        <w:rPr>
          <w:rFonts w:ascii="Book Antiqua" w:hAnsi="Book Antiqua" w:cs="Arial"/>
        </w:rPr>
        <w:t>or</w:t>
      </w:r>
      <w:r w:rsidR="00CD2704">
        <w:rPr>
          <w:rFonts w:ascii="Book Antiqua" w:hAnsi="Book Antiqua" w:cs="Arial"/>
        </w:rPr>
        <w:t xml:space="preserve"> through some assistance from the father of the second appellant.  The decree absolute</w:t>
      </w:r>
      <w:r w:rsidR="006647B1">
        <w:rPr>
          <w:rFonts w:ascii="Book Antiqua" w:hAnsi="Book Antiqua" w:cs="Arial"/>
        </w:rPr>
        <w:t xml:space="preserve"> produced by the first appellant</w:t>
      </w:r>
      <w:r w:rsidR="00CD2704">
        <w:rPr>
          <w:rFonts w:ascii="Book Antiqua" w:hAnsi="Book Antiqua" w:cs="Arial"/>
        </w:rPr>
        <w:t xml:space="preserve"> </w:t>
      </w:r>
      <w:r w:rsidR="00D424D4">
        <w:rPr>
          <w:rFonts w:ascii="Book Antiqua" w:hAnsi="Book Antiqua" w:cs="Arial"/>
        </w:rPr>
        <w:t xml:space="preserve">specifically referred to the father paying for the school fees of the </w:t>
      </w:r>
      <w:r w:rsidR="006647B1">
        <w:rPr>
          <w:rFonts w:ascii="Book Antiqua" w:hAnsi="Book Antiqua" w:cs="Arial"/>
        </w:rPr>
        <w:t>second appellant</w:t>
      </w:r>
      <w:r w:rsidR="00D424D4">
        <w:rPr>
          <w:rFonts w:ascii="Book Antiqua" w:hAnsi="Book Antiqua" w:cs="Arial"/>
        </w:rPr>
        <w:t xml:space="preserve"> and specifically stated that “it is not limited to this”.  </w:t>
      </w:r>
    </w:p>
    <w:p w:rsidR="00880557" w:rsidRDefault="00D424D4" w:rsidP="009509BC">
      <w:pPr>
        <w:numPr>
          <w:ilvl w:val="0"/>
          <w:numId w:val="2"/>
        </w:numPr>
        <w:tabs>
          <w:tab w:val="clear" w:pos="567"/>
        </w:tabs>
        <w:spacing w:before="240" w:after="240"/>
        <w:jc w:val="both"/>
        <w:rPr>
          <w:rFonts w:ascii="Book Antiqua" w:hAnsi="Book Antiqua" w:cs="Arial"/>
        </w:rPr>
      </w:pPr>
      <w:r>
        <w:rPr>
          <w:rFonts w:ascii="Book Antiqua" w:hAnsi="Book Antiqua" w:cs="Arial"/>
        </w:rPr>
        <w:t xml:space="preserve">At paragraph </w:t>
      </w:r>
      <w:r w:rsidR="006647B1">
        <w:rPr>
          <w:rFonts w:ascii="Book Antiqua" w:hAnsi="Book Antiqua" w:cs="Arial"/>
        </w:rPr>
        <w:t>20</w:t>
      </w:r>
      <w:r>
        <w:rPr>
          <w:rFonts w:ascii="Book Antiqua" w:hAnsi="Book Antiqua" w:cs="Arial"/>
        </w:rPr>
        <w:t>, the judge found that the first appellant was a successful independent woman</w:t>
      </w:r>
      <w:r w:rsidR="006647B1">
        <w:rPr>
          <w:rFonts w:ascii="Book Antiqua" w:hAnsi="Book Antiqua" w:cs="Arial"/>
        </w:rPr>
        <w:t>,</w:t>
      </w:r>
      <w:r>
        <w:rPr>
          <w:rFonts w:ascii="Book Antiqua" w:hAnsi="Book Antiqua" w:cs="Arial"/>
        </w:rPr>
        <w:t xml:space="preserve"> who</w:t>
      </w:r>
      <w:r w:rsidR="006647B1">
        <w:rPr>
          <w:rFonts w:ascii="Book Antiqua" w:hAnsi="Book Antiqua" w:cs="Arial"/>
        </w:rPr>
        <w:t xml:space="preserve"> had</w:t>
      </w:r>
      <w:r>
        <w:rPr>
          <w:rFonts w:ascii="Book Antiqua" w:hAnsi="Book Antiqua" w:cs="Arial"/>
        </w:rPr>
        <w:t xml:space="preserve"> set up her own home</w:t>
      </w:r>
      <w:r w:rsidR="006647B1">
        <w:rPr>
          <w:rFonts w:ascii="Book Antiqua" w:hAnsi="Book Antiqua" w:cs="Arial"/>
        </w:rPr>
        <w:t xml:space="preserve"> and </w:t>
      </w:r>
      <w:r>
        <w:rPr>
          <w:rFonts w:ascii="Book Antiqua" w:hAnsi="Book Antiqua" w:cs="Arial"/>
        </w:rPr>
        <w:t xml:space="preserve">educated herself and was earning a good salary for an international pharmaceutical company.  </w:t>
      </w:r>
      <w:r w:rsidR="006647B1">
        <w:rPr>
          <w:rFonts w:ascii="Book Antiqua" w:hAnsi="Book Antiqua" w:cs="Arial"/>
        </w:rPr>
        <w:t>At paragraph 20, he found the first appellant</w:t>
      </w:r>
      <w:r>
        <w:rPr>
          <w:rFonts w:ascii="Book Antiqua" w:hAnsi="Book Antiqua" w:cs="Arial"/>
        </w:rPr>
        <w:t xml:space="preserve"> could speak Y</w:t>
      </w:r>
      <w:r w:rsidR="007A6E74">
        <w:rPr>
          <w:rFonts w:ascii="Book Antiqua" w:hAnsi="Book Antiqua" w:cs="Arial"/>
        </w:rPr>
        <w:t>oruba fluently:-</w:t>
      </w:r>
    </w:p>
    <w:p w:rsidR="007A6E74" w:rsidRPr="007A6E74" w:rsidRDefault="007A6E74" w:rsidP="007A6E74">
      <w:pPr>
        <w:spacing w:before="240" w:after="240"/>
        <w:ind w:left="1134"/>
        <w:jc w:val="both"/>
        <w:rPr>
          <w:rFonts w:ascii="Book Antiqua" w:hAnsi="Book Antiqua" w:cs="Arial"/>
          <w:sz w:val="22"/>
          <w:szCs w:val="22"/>
        </w:rPr>
      </w:pPr>
      <w:r w:rsidRPr="007A6E74">
        <w:rPr>
          <w:rFonts w:ascii="Book Antiqua" w:hAnsi="Book Antiqua" w:cs="Arial"/>
          <w:sz w:val="22"/>
          <w:szCs w:val="22"/>
        </w:rPr>
        <w:t>“… and whilst I was informed of a local dialect called Remo, I do not find this sufficient to create an insurmountable obstacle, and in any event, the first Appellant was brought up in a Remo speaking area until she came to the UK aged 15 years, and if she is a little rusty, I find she can relearn it being as educated as she is having attained a first-class degree.”</w:t>
      </w:r>
    </w:p>
    <w:p w:rsidR="00B56578" w:rsidRDefault="007A6E74" w:rsidP="009509BC">
      <w:pPr>
        <w:numPr>
          <w:ilvl w:val="0"/>
          <w:numId w:val="2"/>
        </w:numPr>
        <w:tabs>
          <w:tab w:val="clear" w:pos="567"/>
        </w:tabs>
        <w:spacing w:before="240" w:after="240"/>
        <w:jc w:val="both"/>
        <w:rPr>
          <w:rFonts w:ascii="Book Antiqua" w:hAnsi="Book Antiqua" w:cs="Arial"/>
        </w:rPr>
      </w:pPr>
      <w:r>
        <w:rPr>
          <w:rFonts w:ascii="Book Antiqua" w:hAnsi="Book Antiqua" w:cs="Arial"/>
        </w:rPr>
        <w:t>Also at paragraph 20, the judge found that the second appellant did not face any insurmountable obstacles and that there were schools he could access.  He was young enough and of an age when he could learn Yoruba or Remo</w:t>
      </w:r>
      <w:r w:rsidR="006647B1">
        <w:rPr>
          <w:rFonts w:ascii="Book Antiqua" w:hAnsi="Book Antiqua" w:cs="Arial"/>
        </w:rPr>
        <w:t>,</w:t>
      </w:r>
      <w:r>
        <w:rPr>
          <w:rFonts w:ascii="Book Antiqua" w:hAnsi="Book Antiqua" w:cs="Arial"/>
        </w:rPr>
        <w:t xml:space="preserve"> as well as English.  </w:t>
      </w:r>
    </w:p>
    <w:p w:rsidR="00F22BBD" w:rsidRDefault="007A6E74" w:rsidP="009509BC">
      <w:pPr>
        <w:numPr>
          <w:ilvl w:val="0"/>
          <w:numId w:val="2"/>
        </w:numPr>
        <w:tabs>
          <w:tab w:val="clear" w:pos="567"/>
        </w:tabs>
        <w:spacing w:before="240" w:after="240"/>
        <w:jc w:val="both"/>
        <w:rPr>
          <w:rFonts w:ascii="Book Antiqua" w:hAnsi="Book Antiqua" w:cs="Arial"/>
        </w:rPr>
      </w:pPr>
      <w:r>
        <w:rPr>
          <w:rFonts w:ascii="Book Antiqua" w:hAnsi="Book Antiqua" w:cs="Arial"/>
        </w:rPr>
        <w:t xml:space="preserve">Having concluded that the appellants did not meet the requirements of the </w:t>
      </w:r>
      <w:r w:rsidR="006647B1">
        <w:rPr>
          <w:rFonts w:ascii="Book Antiqua" w:hAnsi="Book Antiqua" w:cs="Arial"/>
        </w:rPr>
        <w:t>i</w:t>
      </w:r>
      <w:r>
        <w:rPr>
          <w:rFonts w:ascii="Book Antiqua" w:hAnsi="Book Antiqua" w:cs="Arial"/>
        </w:rPr>
        <w:t xml:space="preserve">mmigration </w:t>
      </w:r>
      <w:r w:rsidR="006647B1">
        <w:rPr>
          <w:rFonts w:ascii="Book Antiqua" w:hAnsi="Book Antiqua" w:cs="Arial"/>
        </w:rPr>
        <w:t>r</w:t>
      </w:r>
      <w:r>
        <w:rPr>
          <w:rFonts w:ascii="Book Antiqua" w:hAnsi="Book Antiqua" w:cs="Arial"/>
        </w:rPr>
        <w:t xml:space="preserve">ules, the judge looked at </w:t>
      </w:r>
      <w:r w:rsidR="006647B1">
        <w:rPr>
          <w:rFonts w:ascii="Book Antiqua" w:hAnsi="Book Antiqua" w:cs="Arial"/>
        </w:rPr>
        <w:t>ECHR A</w:t>
      </w:r>
      <w:r>
        <w:rPr>
          <w:rFonts w:ascii="Book Antiqua" w:hAnsi="Book Antiqua" w:cs="Arial"/>
        </w:rPr>
        <w:t>rticle 8 outside the rules, finding, in effect, that there were no reason</w:t>
      </w:r>
      <w:r w:rsidR="004A1FEC">
        <w:rPr>
          <w:rFonts w:ascii="Book Antiqua" w:hAnsi="Book Antiqua" w:cs="Arial"/>
        </w:rPr>
        <w:t>s</w:t>
      </w:r>
      <w:r>
        <w:rPr>
          <w:rFonts w:ascii="Book Antiqua" w:hAnsi="Book Antiqua" w:cs="Arial"/>
        </w:rPr>
        <w:t xml:space="preserve"> such as to compel a grant of leave by reference to </w:t>
      </w:r>
      <w:r w:rsidR="006647B1">
        <w:rPr>
          <w:rFonts w:ascii="Book Antiqua" w:hAnsi="Book Antiqua" w:cs="Arial"/>
        </w:rPr>
        <w:t>that Article</w:t>
      </w:r>
      <w:r>
        <w:rPr>
          <w:rFonts w:ascii="Book Antiqua" w:hAnsi="Book Antiqua" w:cs="Arial"/>
        </w:rPr>
        <w:t xml:space="preserve">, outside those rules.  At paragraph 23, the judge noted that the second appellant would return to a network of family living in the same state as the father of the second appellant “who may or may not assist with his upbringing, but even if he does not, there remain some financial assistance from the grandmother </w:t>
      </w:r>
      <w:r w:rsidR="00701694">
        <w:rPr>
          <w:rFonts w:ascii="Book Antiqua" w:hAnsi="Book Antiqua" w:cs="Arial"/>
        </w:rPr>
        <w:t>and the first Appellant owns an asset in the form of a house …”.  The first appellant also ha</w:t>
      </w:r>
      <w:r w:rsidR="006647B1">
        <w:rPr>
          <w:rFonts w:ascii="Book Antiqua" w:hAnsi="Book Antiqua" w:cs="Arial"/>
        </w:rPr>
        <w:t>d</w:t>
      </w:r>
      <w:r w:rsidR="00701694">
        <w:rPr>
          <w:rFonts w:ascii="Book Antiqua" w:hAnsi="Book Antiqua" w:cs="Arial"/>
        </w:rPr>
        <w:t xml:space="preserve"> “transferrable skills and is able to provide for her son in Nigeria in some care</w:t>
      </w:r>
      <w:r w:rsidR="006647B1">
        <w:rPr>
          <w:rFonts w:ascii="Book Antiqua" w:hAnsi="Book Antiqua" w:cs="Arial"/>
        </w:rPr>
        <w:t xml:space="preserve"> </w:t>
      </w:r>
      <w:r w:rsidR="00701694">
        <w:rPr>
          <w:rFonts w:ascii="Book Antiqua" w:hAnsi="Book Antiqua" w:cs="Arial"/>
        </w:rPr>
        <w:t xml:space="preserve">related or nursing related activity”. </w:t>
      </w:r>
    </w:p>
    <w:p w:rsidR="007A6E74" w:rsidRDefault="00701694" w:rsidP="00F22BBD">
      <w:pPr>
        <w:spacing w:before="240" w:after="240"/>
        <w:ind w:left="567"/>
        <w:jc w:val="both"/>
        <w:rPr>
          <w:rFonts w:ascii="Book Antiqua" w:hAnsi="Book Antiqua" w:cs="Arial"/>
        </w:rPr>
      </w:pPr>
      <w:r>
        <w:rPr>
          <w:rFonts w:ascii="Book Antiqua" w:hAnsi="Book Antiqua" w:cs="Arial"/>
        </w:rPr>
        <w:t xml:space="preserve"> </w:t>
      </w:r>
    </w:p>
    <w:p w:rsidR="00C33E38" w:rsidRPr="00C33E38" w:rsidRDefault="00C33E38" w:rsidP="00C33E38">
      <w:pPr>
        <w:spacing w:before="240" w:after="240"/>
        <w:jc w:val="both"/>
        <w:rPr>
          <w:rFonts w:ascii="Book Antiqua" w:hAnsi="Book Antiqua" w:cs="Arial"/>
          <w:b/>
          <w:bCs/>
          <w:i/>
          <w:iCs/>
        </w:rPr>
      </w:pPr>
      <w:r>
        <w:rPr>
          <w:rFonts w:ascii="Book Antiqua" w:hAnsi="Book Antiqua" w:cs="Arial"/>
          <w:b/>
          <w:bCs/>
          <w:i/>
          <w:iCs/>
        </w:rPr>
        <w:t xml:space="preserve">C.  </w:t>
      </w:r>
      <w:r w:rsidR="00F22BBD">
        <w:rPr>
          <w:rFonts w:ascii="Book Antiqua" w:hAnsi="Book Antiqua" w:cs="Arial"/>
          <w:b/>
          <w:bCs/>
          <w:i/>
          <w:iCs/>
        </w:rPr>
        <w:t>APPLICATIONS FOR PERMISSION TO APPEAL</w:t>
      </w:r>
    </w:p>
    <w:p w:rsidR="00B87C61" w:rsidRDefault="00701694" w:rsidP="00FC4177">
      <w:pPr>
        <w:numPr>
          <w:ilvl w:val="0"/>
          <w:numId w:val="2"/>
        </w:numPr>
        <w:tabs>
          <w:tab w:val="clear" w:pos="567"/>
        </w:tabs>
        <w:spacing w:before="240"/>
        <w:jc w:val="both"/>
        <w:rPr>
          <w:rFonts w:ascii="Book Antiqua" w:hAnsi="Book Antiqua" w:cs="Arial"/>
        </w:rPr>
      </w:pPr>
      <w:r>
        <w:rPr>
          <w:rFonts w:ascii="Book Antiqua" w:hAnsi="Book Antiqua" w:cs="Arial"/>
        </w:rPr>
        <w:t>The appellants applied for permission to appeal.  The grounds of application to the First-tier Tribunal contended that the judge should have realised there was a reasonable contemplation that the first appellant’s private life “would not remain stagnant”.  This was said to be an error of law.  It was also submitted that the judge had failed to recognise that the first appellant</w:t>
      </w:r>
      <w:r w:rsidR="006647B1">
        <w:rPr>
          <w:rFonts w:ascii="Book Antiqua" w:hAnsi="Book Antiqua" w:cs="Arial"/>
        </w:rPr>
        <w:t>’s qualification</w:t>
      </w:r>
      <w:r>
        <w:rPr>
          <w:rFonts w:ascii="Book Antiqua" w:hAnsi="Book Antiqua" w:cs="Arial"/>
        </w:rPr>
        <w:t xml:space="preserve"> as a qualified registered adult nurse constituted an important public interest, given the shortage of nurses</w:t>
      </w:r>
      <w:r w:rsidR="006647B1">
        <w:rPr>
          <w:rFonts w:ascii="Book Antiqua" w:hAnsi="Book Antiqua" w:cs="Arial"/>
        </w:rPr>
        <w:t xml:space="preserve"> in the United Kingdom</w:t>
      </w:r>
      <w:r>
        <w:rPr>
          <w:rFonts w:ascii="Book Antiqua" w:hAnsi="Book Antiqua" w:cs="Arial"/>
        </w:rPr>
        <w:t xml:space="preserve">.  The grounds </w:t>
      </w:r>
      <w:r w:rsidR="006647B1">
        <w:rPr>
          <w:rFonts w:ascii="Book Antiqua" w:hAnsi="Book Antiqua" w:cs="Arial"/>
        </w:rPr>
        <w:t>further</w:t>
      </w:r>
      <w:r>
        <w:rPr>
          <w:rFonts w:ascii="Book Antiqua" w:hAnsi="Book Antiqua" w:cs="Arial"/>
        </w:rPr>
        <w:t xml:space="preserve"> contended that there were factual errors in the judge’s decision</w:t>
      </w:r>
      <w:r w:rsidR="00011FBA">
        <w:rPr>
          <w:rFonts w:ascii="Book Antiqua" w:hAnsi="Book Antiqua" w:cs="Arial"/>
        </w:rPr>
        <w:t xml:space="preserve">. </w:t>
      </w:r>
      <w:r>
        <w:rPr>
          <w:rFonts w:ascii="Book Antiqua" w:hAnsi="Book Antiqua" w:cs="Arial"/>
        </w:rPr>
        <w:t xml:space="preserve"> </w:t>
      </w:r>
      <w:r w:rsidR="00011FBA">
        <w:rPr>
          <w:rFonts w:ascii="Book Antiqua" w:hAnsi="Book Antiqua" w:cs="Arial"/>
        </w:rPr>
        <w:t>A</w:t>
      </w:r>
      <w:r w:rsidR="00DB7867">
        <w:rPr>
          <w:rFonts w:ascii="Book Antiqua" w:hAnsi="Book Antiqua" w:cs="Arial"/>
        </w:rPr>
        <w:t xml:space="preserve">t paragraph 17, the judge was said to have wrongly recorded that the first appellant’s mother was able to support her financially.  The first appellant said that, in fact, it was the first appellant who provided financial support to her mother.  It was also untrue to say that the first appellant had grown up in a Remo speaking area.  The judge had misunderstood what was said </w:t>
      </w:r>
      <w:r w:rsidR="00462601">
        <w:rPr>
          <w:rFonts w:ascii="Book Antiqua" w:hAnsi="Book Antiqua" w:cs="Arial"/>
        </w:rPr>
        <w:t>at the hearing</w:t>
      </w:r>
      <w:r w:rsidR="00DB7867">
        <w:rPr>
          <w:rFonts w:ascii="Book Antiqua" w:hAnsi="Book Antiqua" w:cs="Arial"/>
        </w:rPr>
        <w:t>.  The language spoken in her grandmother’s village was Remo, which the first appellant did not speak or understand.</w:t>
      </w:r>
    </w:p>
    <w:p w:rsidR="00DB7867" w:rsidRDefault="00DB7867" w:rsidP="00FC4177">
      <w:pPr>
        <w:numPr>
          <w:ilvl w:val="0"/>
          <w:numId w:val="2"/>
        </w:numPr>
        <w:tabs>
          <w:tab w:val="clear" w:pos="567"/>
        </w:tabs>
        <w:spacing w:before="240"/>
        <w:jc w:val="both"/>
        <w:rPr>
          <w:rFonts w:ascii="Book Antiqua" w:hAnsi="Book Antiqua" w:cs="Arial"/>
        </w:rPr>
      </w:pPr>
      <w:r>
        <w:rPr>
          <w:rFonts w:ascii="Book Antiqua" w:hAnsi="Book Antiqua" w:cs="Arial"/>
        </w:rPr>
        <w:t xml:space="preserve">The First-tier Tribunal refused permission to appeal on 11 November 2019.  The appellants then made a renewed application for permission to the Upper Tribunal.  The renewed application emphasised the alleged factual errors made by the First-tier Tribunal Judge in </w:t>
      </w:r>
      <w:r w:rsidR="00462601">
        <w:rPr>
          <w:rFonts w:ascii="Book Antiqua" w:hAnsi="Book Antiqua" w:cs="Arial"/>
        </w:rPr>
        <w:t>the</w:t>
      </w:r>
      <w:r>
        <w:rPr>
          <w:rFonts w:ascii="Book Antiqua" w:hAnsi="Book Antiqua" w:cs="Arial"/>
        </w:rPr>
        <w:t xml:space="preserve"> decision.  It was said that these impacted upon the judge’s consideration of the case for the appellants.  </w:t>
      </w:r>
    </w:p>
    <w:p w:rsidR="00DB7867" w:rsidRDefault="00DB7867" w:rsidP="00FC4177">
      <w:pPr>
        <w:numPr>
          <w:ilvl w:val="0"/>
          <w:numId w:val="2"/>
        </w:numPr>
        <w:tabs>
          <w:tab w:val="clear" w:pos="567"/>
        </w:tabs>
        <w:spacing w:before="240"/>
        <w:jc w:val="both"/>
        <w:rPr>
          <w:rFonts w:ascii="Book Antiqua" w:hAnsi="Book Antiqua" w:cs="Arial"/>
        </w:rPr>
      </w:pPr>
      <w:r>
        <w:rPr>
          <w:rFonts w:ascii="Book Antiqua" w:hAnsi="Book Antiqua" w:cs="Arial"/>
        </w:rPr>
        <w:t xml:space="preserve">On 6 January 2020, </w:t>
      </w:r>
      <w:r w:rsidR="00462601">
        <w:rPr>
          <w:rFonts w:ascii="Book Antiqua" w:hAnsi="Book Antiqua" w:cs="Arial"/>
        </w:rPr>
        <w:t>the Upper Tribunal</w:t>
      </w:r>
      <w:r>
        <w:rPr>
          <w:rFonts w:ascii="Book Antiqua" w:hAnsi="Book Antiqua" w:cs="Arial"/>
        </w:rPr>
        <w:t xml:space="preserve"> refused permission to appeal.  At paragraph 2</w:t>
      </w:r>
      <w:r w:rsidR="00462601">
        <w:rPr>
          <w:rFonts w:ascii="Book Antiqua" w:hAnsi="Book Antiqua" w:cs="Arial"/>
        </w:rPr>
        <w:t xml:space="preserve"> of the refusing judge’s decision</w:t>
      </w:r>
      <w:r>
        <w:rPr>
          <w:rFonts w:ascii="Book Antiqua" w:hAnsi="Book Antiqua" w:cs="Arial"/>
        </w:rPr>
        <w:t xml:space="preserve">, he noted the alleged factual errors in the decision of the First-tier Tribunal.  At paragraph 3, </w:t>
      </w:r>
      <w:r w:rsidR="00462601">
        <w:rPr>
          <w:rFonts w:ascii="Book Antiqua" w:hAnsi="Book Antiqua" w:cs="Arial"/>
        </w:rPr>
        <w:t>the refusal</w:t>
      </w:r>
      <w:r>
        <w:rPr>
          <w:rFonts w:ascii="Book Antiqua" w:hAnsi="Book Antiqua" w:cs="Arial"/>
        </w:rPr>
        <w:t xml:space="preserve"> categorised the grounds as “unarguable”.  </w:t>
      </w:r>
      <w:r w:rsidR="00462601">
        <w:rPr>
          <w:rFonts w:ascii="Book Antiqua" w:hAnsi="Book Antiqua" w:cs="Arial"/>
        </w:rPr>
        <w:t>T</w:t>
      </w:r>
      <w:r>
        <w:rPr>
          <w:rFonts w:ascii="Book Antiqua" w:hAnsi="Book Antiqua" w:cs="Arial"/>
        </w:rPr>
        <w:t xml:space="preserve">he First-tier Tribunal Judge was entitled to find that the first appellant was unable to satisfy the requirements of the </w:t>
      </w:r>
      <w:r w:rsidR="00462601">
        <w:rPr>
          <w:rFonts w:ascii="Book Antiqua" w:hAnsi="Book Antiqua" w:cs="Arial"/>
        </w:rPr>
        <w:t>i</w:t>
      </w:r>
      <w:r>
        <w:rPr>
          <w:rFonts w:ascii="Book Antiqua" w:hAnsi="Book Antiqua" w:cs="Arial"/>
        </w:rPr>
        <w:t xml:space="preserve">mmigration </w:t>
      </w:r>
      <w:r w:rsidR="00462601">
        <w:rPr>
          <w:rFonts w:ascii="Book Antiqua" w:hAnsi="Book Antiqua" w:cs="Arial"/>
        </w:rPr>
        <w:t>r</w:t>
      </w:r>
      <w:r>
        <w:rPr>
          <w:rFonts w:ascii="Book Antiqua" w:hAnsi="Book Antiqua" w:cs="Arial"/>
        </w:rPr>
        <w:t xml:space="preserve">ules.  As regards paragraph 276ADE, </w:t>
      </w:r>
      <w:r w:rsidR="00462601">
        <w:rPr>
          <w:rFonts w:ascii="Book Antiqua" w:hAnsi="Book Antiqua" w:cs="Arial"/>
        </w:rPr>
        <w:t>the refusal</w:t>
      </w:r>
      <w:r>
        <w:rPr>
          <w:rFonts w:ascii="Book Antiqua" w:hAnsi="Book Antiqua" w:cs="Arial"/>
        </w:rPr>
        <w:t xml:space="preserve"> noted that the</w:t>
      </w:r>
      <w:r w:rsidR="00462601">
        <w:rPr>
          <w:rFonts w:ascii="Book Antiqua" w:hAnsi="Book Antiqua" w:cs="Arial"/>
        </w:rPr>
        <w:t xml:space="preserve"> First-tier Tribunal</w:t>
      </w:r>
      <w:r>
        <w:rPr>
          <w:rFonts w:ascii="Book Antiqua" w:hAnsi="Book Antiqua" w:cs="Arial"/>
        </w:rPr>
        <w:t xml:space="preserve"> judge had found</w:t>
      </w:r>
      <w:r w:rsidR="00462601">
        <w:rPr>
          <w:rFonts w:ascii="Book Antiqua" w:hAnsi="Book Antiqua" w:cs="Arial"/>
        </w:rPr>
        <w:t xml:space="preserve"> that</w:t>
      </w:r>
      <w:r>
        <w:rPr>
          <w:rFonts w:ascii="Book Antiqua" w:hAnsi="Book Antiqua" w:cs="Arial"/>
        </w:rPr>
        <w:t xml:space="preserve"> the appellants did not face “insurmountable obstacles to their integration in Nigeria”.  In reaching that finding</w:t>
      </w:r>
      <w:r w:rsidR="00462601">
        <w:rPr>
          <w:rFonts w:ascii="Book Antiqua" w:hAnsi="Book Antiqua" w:cs="Arial"/>
        </w:rPr>
        <w:t>,</w:t>
      </w:r>
      <w:r>
        <w:rPr>
          <w:rFonts w:ascii="Book Antiqua" w:hAnsi="Book Antiqua" w:cs="Arial"/>
        </w:rPr>
        <w:t xml:space="preserve"> the First-tier Tribunal Judge had had regard to the history of the first appellant’s mother and found that the appellants had a </w:t>
      </w:r>
      <w:r w:rsidR="00D11D2C">
        <w:rPr>
          <w:rFonts w:ascii="Book Antiqua" w:hAnsi="Book Antiqua" w:cs="Arial"/>
        </w:rPr>
        <w:t>base</w:t>
      </w:r>
      <w:r>
        <w:rPr>
          <w:rFonts w:ascii="Book Antiqua" w:hAnsi="Book Antiqua" w:cs="Arial"/>
        </w:rPr>
        <w:t xml:space="preserve"> to start from in Nigeria.  The</w:t>
      </w:r>
      <w:r w:rsidR="00462601">
        <w:rPr>
          <w:rFonts w:ascii="Book Antiqua" w:hAnsi="Book Antiqua" w:cs="Arial"/>
        </w:rPr>
        <w:t xml:space="preserve"> refusal specifically addressed the</w:t>
      </w:r>
      <w:r>
        <w:rPr>
          <w:rFonts w:ascii="Book Antiqua" w:hAnsi="Book Antiqua" w:cs="Arial"/>
        </w:rPr>
        <w:t xml:space="preserve"> issue of whether the first appellant’s mother </w:t>
      </w:r>
      <w:r w:rsidR="00462601">
        <w:rPr>
          <w:rFonts w:ascii="Book Antiqua" w:hAnsi="Book Antiqua" w:cs="Arial"/>
        </w:rPr>
        <w:t>was able to remit</w:t>
      </w:r>
      <w:r>
        <w:rPr>
          <w:rFonts w:ascii="Book Antiqua" w:hAnsi="Book Antiqua" w:cs="Arial"/>
        </w:rPr>
        <w:t xml:space="preserve"> money to </w:t>
      </w:r>
      <w:r w:rsidR="00D11D2C">
        <w:rPr>
          <w:rFonts w:ascii="Book Antiqua" w:hAnsi="Book Antiqua" w:cs="Arial"/>
        </w:rPr>
        <w:t>her</w:t>
      </w:r>
      <w:r w:rsidR="00462601">
        <w:rPr>
          <w:rFonts w:ascii="Book Antiqua" w:hAnsi="Book Antiqua" w:cs="Arial"/>
        </w:rPr>
        <w:t xml:space="preserve"> other</w:t>
      </w:r>
      <w:r w:rsidR="00D11D2C">
        <w:rPr>
          <w:rFonts w:ascii="Book Antiqua" w:hAnsi="Book Antiqua" w:cs="Arial"/>
        </w:rPr>
        <w:t xml:space="preserve"> </w:t>
      </w:r>
      <w:r>
        <w:rPr>
          <w:rFonts w:ascii="Book Antiqua" w:hAnsi="Book Antiqua" w:cs="Arial"/>
        </w:rPr>
        <w:t>children in Nigeria</w:t>
      </w:r>
      <w:r w:rsidR="00462601">
        <w:rPr>
          <w:rFonts w:ascii="Book Antiqua" w:hAnsi="Book Antiqua" w:cs="Arial"/>
        </w:rPr>
        <w:t>,</w:t>
      </w:r>
      <w:r>
        <w:rPr>
          <w:rFonts w:ascii="Book Antiqua" w:hAnsi="Book Antiqua" w:cs="Arial"/>
        </w:rPr>
        <w:t xml:space="preserve"> only because she was financially supported in the United Kingdom by the first appellant</w:t>
      </w:r>
      <w:r w:rsidR="00462601">
        <w:rPr>
          <w:rFonts w:ascii="Book Antiqua" w:hAnsi="Book Antiqua" w:cs="Arial"/>
        </w:rPr>
        <w:t>.</w:t>
      </w:r>
      <w:r>
        <w:rPr>
          <w:rFonts w:ascii="Book Antiqua" w:hAnsi="Book Antiqua" w:cs="Arial"/>
        </w:rPr>
        <w:t xml:space="preserve">  </w:t>
      </w:r>
      <w:r w:rsidR="00462601">
        <w:rPr>
          <w:rFonts w:ascii="Book Antiqua" w:hAnsi="Book Antiqua" w:cs="Arial"/>
        </w:rPr>
        <w:t>The refusal</w:t>
      </w:r>
      <w:r>
        <w:rPr>
          <w:rFonts w:ascii="Book Antiqua" w:hAnsi="Book Antiqua" w:cs="Arial"/>
        </w:rPr>
        <w:t xml:space="preserve"> noted that the First-tier Tribunal had not found that the appellants </w:t>
      </w:r>
      <w:r w:rsidR="006C12F6">
        <w:rPr>
          <w:rFonts w:ascii="Book Antiqua" w:hAnsi="Book Antiqua" w:cs="Arial"/>
        </w:rPr>
        <w:t>would necessarily have to call upon assistance</w:t>
      </w:r>
      <w:r w:rsidR="00462601">
        <w:rPr>
          <w:rFonts w:ascii="Book Antiqua" w:hAnsi="Book Antiqua" w:cs="Arial"/>
        </w:rPr>
        <w:t xml:space="preserve"> from the first appellant’s mother</w:t>
      </w:r>
      <w:r w:rsidR="007F6EDE">
        <w:rPr>
          <w:rFonts w:ascii="Book Antiqua" w:hAnsi="Book Antiqua" w:cs="Arial"/>
        </w:rPr>
        <w:t xml:space="preserve">.  On the contrary, the First-tier Tribunal </w:t>
      </w:r>
      <w:r w:rsidR="00AF5B72">
        <w:rPr>
          <w:rFonts w:ascii="Book Antiqua" w:hAnsi="Book Antiqua" w:cs="Arial"/>
        </w:rPr>
        <w:t xml:space="preserve">Judge had found that the first appellant </w:t>
      </w:r>
      <w:r w:rsidR="0062137D">
        <w:rPr>
          <w:rFonts w:ascii="Book Antiqua" w:hAnsi="Book Antiqua" w:cs="Arial"/>
        </w:rPr>
        <w:t>w</w:t>
      </w:r>
      <w:r w:rsidR="00AF5B72">
        <w:rPr>
          <w:rFonts w:ascii="Book Antiqua" w:hAnsi="Book Antiqua" w:cs="Arial"/>
        </w:rPr>
        <w:t xml:space="preserve">as a successful independent woman who had set up home and educated herself, and who </w:t>
      </w:r>
      <w:r w:rsidR="00D11D2C">
        <w:rPr>
          <w:rFonts w:ascii="Book Antiqua" w:hAnsi="Book Antiqua" w:cs="Arial"/>
        </w:rPr>
        <w:t>wa</w:t>
      </w:r>
      <w:r w:rsidR="00AF5B72">
        <w:rPr>
          <w:rFonts w:ascii="Book Antiqua" w:hAnsi="Book Antiqua" w:cs="Arial"/>
        </w:rPr>
        <w:t>s earning a good salary from an international pharmaceutical company.  She could speak Yoruba and</w:t>
      </w:r>
      <w:r w:rsidR="00462601">
        <w:rPr>
          <w:rFonts w:ascii="Book Antiqua" w:hAnsi="Book Antiqua" w:cs="Arial"/>
        </w:rPr>
        <w:t>,</w:t>
      </w:r>
      <w:r w:rsidR="00AF5B72">
        <w:rPr>
          <w:rFonts w:ascii="Book Antiqua" w:hAnsi="Book Antiqua" w:cs="Arial"/>
        </w:rPr>
        <w:t xml:space="preserve"> although there was a local dialect called Remo, that would not create an insurmountable obstacle.  The Upper Tribunal Judge considered that the assessment of an </w:t>
      </w:r>
      <w:r w:rsidR="00462601">
        <w:rPr>
          <w:rFonts w:ascii="Book Antiqua" w:hAnsi="Book Antiqua" w:cs="Arial"/>
        </w:rPr>
        <w:t>A</w:t>
      </w:r>
      <w:r w:rsidR="00AF5B72">
        <w:rPr>
          <w:rFonts w:ascii="Book Antiqua" w:hAnsi="Book Antiqua" w:cs="Arial"/>
        </w:rPr>
        <w:t>rticle 8 claim “is always a highly fact sensitive task”.  Reading the determination as a whole</w:t>
      </w:r>
      <w:r w:rsidR="00462601">
        <w:rPr>
          <w:rFonts w:ascii="Book Antiqua" w:hAnsi="Book Antiqua" w:cs="Arial"/>
        </w:rPr>
        <w:t xml:space="preserve"> the refusal of permission ended by stating that</w:t>
      </w:r>
      <w:r w:rsidR="00AF5B72">
        <w:rPr>
          <w:rFonts w:ascii="Book Antiqua" w:hAnsi="Book Antiqua" w:cs="Arial"/>
        </w:rPr>
        <w:t xml:space="preserve"> “it is quite clear that the conclusions of the judge as to the </w:t>
      </w:r>
      <w:r w:rsidR="00462601">
        <w:rPr>
          <w:rFonts w:ascii="Book Antiqua" w:hAnsi="Book Antiqua" w:cs="Arial"/>
        </w:rPr>
        <w:t>A</w:t>
      </w:r>
      <w:r w:rsidR="00AF5B72">
        <w:rPr>
          <w:rFonts w:ascii="Book Antiqua" w:hAnsi="Book Antiqua" w:cs="Arial"/>
        </w:rPr>
        <w:t>rticle 8 appeal w</w:t>
      </w:r>
      <w:r w:rsidR="00462601">
        <w:rPr>
          <w:rFonts w:ascii="Book Antiqua" w:hAnsi="Book Antiqua" w:cs="Arial"/>
        </w:rPr>
        <w:t>ere</w:t>
      </w:r>
      <w:r w:rsidR="00AF5B72">
        <w:rPr>
          <w:rFonts w:ascii="Book Antiqua" w:hAnsi="Book Antiqua" w:cs="Arial"/>
        </w:rPr>
        <w:t xml:space="preserve"> supported by reasons open to the judge on the evidence before her, and the findings made”.</w:t>
      </w:r>
    </w:p>
    <w:p w:rsidR="00F22BBD" w:rsidRDefault="00F22BBD" w:rsidP="00F22BBD">
      <w:pPr>
        <w:spacing w:before="240"/>
        <w:ind w:left="567"/>
        <w:jc w:val="both"/>
        <w:rPr>
          <w:rFonts w:ascii="Book Antiqua" w:hAnsi="Book Antiqua" w:cs="Arial"/>
        </w:rPr>
      </w:pPr>
    </w:p>
    <w:p w:rsidR="00F22BBD" w:rsidRPr="00F22BBD" w:rsidRDefault="00F22BBD" w:rsidP="00F22BBD">
      <w:pPr>
        <w:spacing w:before="240"/>
        <w:jc w:val="both"/>
        <w:rPr>
          <w:rFonts w:ascii="Book Antiqua" w:hAnsi="Book Antiqua" w:cs="Arial"/>
          <w:b/>
          <w:bCs/>
          <w:i/>
          <w:iCs/>
        </w:rPr>
      </w:pPr>
      <w:r>
        <w:rPr>
          <w:rFonts w:ascii="Book Antiqua" w:hAnsi="Book Antiqua" w:cs="Arial"/>
          <w:b/>
          <w:bCs/>
          <w:i/>
          <w:iCs/>
        </w:rPr>
        <w:t>D. ‘CART’ JUDICIAL REVIEW</w:t>
      </w:r>
    </w:p>
    <w:p w:rsidR="00AF5B72" w:rsidRDefault="00AF5B72" w:rsidP="00FC4177">
      <w:pPr>
        <w:numPr>
          <w:ilvl w:val="0"/>
          <w:numId w:val="2"/>
        </w:numPr>
        <w:tabs>
          <w:tab w:val="clear" w:pos="567"/>
        </w:tabs>
        <w:spacing w:before="240"/>
        <w:jc w:val="both"/>
        <w:rPr>
          <w:rFonts w:ascii="Book Antiqua" w:hAnsi="Book Antiqua" w:cs="Arial"/>
        </w:rPr>
      </w:pPr>
      <w:r>
        <w:rPr>
          <w:rFonts w:ascii="Book Antiqua" w:hAnsi="Book Antiqua" w:cs="Arial"/>
        </w:rPr>
        <w:t>The appellants sought judicial review of the Upper Tribunal’s decision to refuse permission to appeal.  The grounds of the judicial review application were settled by Mr Sharma.  He had not been involved in the proceedings up to that point.  Mr Sharma mounted a criticism of the decision of the First-tier Tribunal, which had not found an</w:t>
      </w:r>
      <w:r w:rsidR="00A22DDD">
        <w:rPr>
          <w:rFonts w:ascii="Book Antiqua" w:hAnsi="Book Antiqua" w:cs="Arial"/>
        </w:rPr>
        <w:t>y</w:t>
      </w:r>
      <w:r>
        <w:rPr>
          <w:rFonts w:ascii="Book Antiqua" w:hAnsi="Book Antiqua" w:cs="Arial"/>
        </w:rPr>
        <w:t xml:space="preserve"> expression in the grounds accompanying the applications for permission to appeal to the</w:t>
      </w:r>
      <w:r w:rsidR="00462601">
        <w:rPr>
          <w:rFonts w:ascii="Book Antiqua" w:hAnsi="Book Antiqua" w:cs="Arial"/>
        </w:rPr>
        <w:t xml:space="preserve"> First-tier Tribunal or the</w:t>
      </w:r>
      <w:r>
        <w:rPr>
          <w:rFonts w:ascii="Book Antiqua" w:hAnsi="Book Antiqua" w:cs="Arial"/>
        </w:rPr>
        <w:t xml:space="preserve"> Upper Tribunal.  At paragraph 22 of the judicial review grounds, Mr Sharma submitted that, at paragraph 17 of her decision, the First-tier Tribunal Judge had misdirected herself as regards the test to be satisfied in paragraph 276ADE(1)(vi) of the </w:t>
      </w:r>
      <w:r w:rsidR="00462601">
        <w:rPr>
          <w:rFonts w:ascii="Book Antiqua" w:hAnsi="Book Antiqua" w:cs="Arial"/>
        </w:rPr>
        <w:t>R</w:t>
      </w:r>
      <w:r>
        <w:rPr>
          <w:rFonts w:ascii="Book Antiqua" w:hAnsi="Book Antiqua" w:cs="Arial"/>
        </w:rPr>
        <w:t xml:space="preserve">ules.  The judge had described the test in terms of “insurmountable obstacles” to the integration of the appellants in Nigeria, whereas paragraph 276ADE(1)(vi) requires consideration of whether there are “very significant obstacles to” integration.  </w:t>
      </w:r>
    </w:p>
    <w:p w:rsidR="00AF5B72" w:rsidRDefault="00AF5B72" w:rsidP="00FC4177">
      <w:pPr>
        <w:numPr>
          <w:ilvl w:val="0"/>
          <w:numId w:val="2"/>
        </w:numPr>
        <w:tabs>
          <w:tab w:val="clear" w:pos="567"/>
        </w:tabs>
        <w:spacing w:before="240"/>
        <w:jc w:val="both"/>
        <w:rPr>
          <w:rFonts w:ascii="Book Antiqua" w:hAnsi="Book Antiqua" w:cs="Arial"/>
        </w:rPr>
      </w:pPr>
      <w:r>
        <w:rPr>
          <w:rFonts w:ascii="Book Antiqua" w:hAnsi="Book Antiqua" w:cs="Arial"/>
        </w:rPr>
        <w:t>The judicial review grounds went on</w:t>
      </w:r>
      <w:r w:rsidR="00462601">
        <w:rPr>
          <w:rFonts w:ascii="Book Antiqua" w:hAnsi="Book Antiqua" w:cs="Arial"/>
        </w:rPr>
        <w:t xml:space="preserve"> </w:t>
      </w:r>
      <w:r>
        <w:rPr>
          <w:rFonts w:ascii="Book Antiqua" w:hAnsi="Book Antiqua" w:cs="Arial"/>
        </w:rPr>
        <w:t xml:space="preserve">to critique the First-tier Tribunal’s decision on the basis that there needed to be a change in circumstances, </w:t>
      </w:r>
      <w:r w:rsidR="007C0C06">
        <w:rPr>
          <w:rFonts w:ascii="Book Antiqua" w:hAnsi="Book Antiqua" w:cs="Arial"/>
        </w:rPr>
        <w:t xml:space="preserve">in order </w:t>
      </w:r>
      <w:r>
        <w:rPr>
          <w:rFonts w:ascii="Book Antiqua" w:hAnsi="Book Antiqua" w:cs="Arial"/>
        </w:rPr>
        <w:t>to justify the respondent’s refusal to grant leave to remain to the first appellant, given that the latter had been given such leave on private life grounds on previous occasion</w:t>
      </w:r>
      <w:r w:rsidR="00DB5D00">
        <w:rPr>
          <w:rFonts w:ascii="Book Antiqua" w:hAnsi="Book Antiqua" w:cs="Arial"/>
        </w:rPr>
        <w:t xml:space="preserve">s.  The grounds submitted that the first appellant’s visit to Nigeria in 2013 could not constitute such a change.  Nor could the fact that the first appellant had moved from her mother’s home.  The fact that the first appellant’s mother’s </w:t>
      </w:r>
      <w:r w:rsidR="000D0C54">
        <w:rPr>
          <w:rFonts w:ascii="Book Antiqua" w:hAnsi="Book Antiqua" w:cs="Arial"/>
        </w:rPr>
        <w:t xml:space="preserve">had </w:t>
      </w:r>
      <w:r w:rsidR="00DB5D00">
        <w:rPr>
          <w:rFonts w:ascii="Book Antiqua" w:hAnsi="Book Antiqua" w:cs="Arial"/>
        </w:rPr>
        <w:t>contacts in Nigeria were,</w:t>
      </w:r>
      <w:r w:rsidR="007C0C06">
        <w:rPr>
          <w:rFonts w:ascii="Book Antiqua" w:hAnsi="Book Antiqua" w:cs="Arial"/>
        </w:rPr>
        <w:t xml:space="preserve"> according to</w:t>
      </w:r>
      <w:r w:rsidR="00DB5D00">
        <w:rPr>
          <w:rFonts w:ascii="Book Antiqua" w:hAnsi="Book Antiqua" w:cs="Arial"/>
        </w:rPr>
        <w:t xml:space="preserve"> Mr Sharma</w:t>
      </w:r>
      <w:r w:rsidR="007C0C06">
        <w:rPr>
          <w:rFonts w:ascii="Book Antiqua" w:hAnsi="Book Antiqua" w:cs="Arial"/>
        </w:rPr>
        <w:t>’s grounds</w:t>
      </w:r>
      <w:r w:rsidR="00DB5D00">
        <w:rPr>
          <w:rFonts w:ascii="Book Antiqua" w:hAnsi="Book Antiqua" w:cs="Arial"/>
        </w:rPr>
        <w:t>, irrelevant to the two initial grants of leave and therefore not of sufficient basis on which to depart from th</w:t>
      </w:r>
      <w:r w:rsidR="007C0C06">
        <w:rPr>
          <w:rFonts w:ascii="Book Antiqua" w:hAnsi="Book Antiqua" w:cs="Arial"/>
        </w:rPr>
        <w:t>ose</w:t>
      </w:r>
      <w:r w:rsidR="00DB5D00">
        <w:rPr>
          <w:rFonts w:ascii="Book Antiqua" w:hAnsi="Book Antiqua" w:cs="Arial"/>
        </w:rPr>
        <w:t xml:space="preserve"> previous decisions.</w:t>
      </w:r>
    </w:p>
    <w:p w:rsidR="00DB5D00" w:rsidRDefault="00DB5D00" w:rsidP="00FC4177">
      <w:pPr>
        <w:numPr>
          <w:ilvl w:val="0"/>
          <w:numId w:val="2"/>
        </w:numPr>
        <w:tabs>
          <w:tab w:val="clear" w:pos="567"/>
        </w:tabs>
        <w:spacing w:before="240"/>
        <w:jc w:val="both"/>
        <w:rPr>
          <w:rFonts w:ascii="Book Antiqua" w:hAnsi="Book Antiqua" w:cs="Arial"/>
        </w:rPr>
      </w:pPr>
      <w:r>
        <w:rPr>
          <w:rFonts w:ascii="Book Antiqua" w:hAnsi="Book Antiqua" w:cs="Arial"/>
        </w:rPr>
        <w:t>At paragraph 41 of the</w:t>
      </w:r>
      <w:r w:rsidR="007C0C06">
        <w:rPr>
          <w:rFonts w:ascii="Book Antiqua" w:hAnsi="Book Antiqua" w:cs="Arial"/>
        </w:rPr>
        <w:t xml:space="preserve"> judicial review</w:t>
      </w:r>
      <w:r>
        <w:rPr>
          <w:rFonts w:ascii="Book Antiqua" w:hAnsi="Book Antiqua" w:cs="Arial"/>
        </w:rPr>
        <w:t xml:space="preserve"> grounds, Mr Sharma candidly recognise</w:t>
      </w:r>
      <w:r w:rsidR="007C0C06">
        <w:rPr>
          <w:rFonts w:ascii="Book Antiqua" w:hAnsi="Book Antiqua" w:cs="Arial"/>
        </w:rPr>
        <w:t>d</w:t>
      </w:r>
      <w:r>
        <w:rPr>
          <w:rFonts w:ascii="Book Antiqua" w:hAnsi="Book Antiqua" w:cs="Arial"/>
        </w:rPr>
        <w:t xml:space="preserve"> </w:t>
      </w:r>
      <w:r w:rsidR="007C0C06">
        <w:rPr>
          <w:rFonts w:ascii="Book Antiqua" w:hAnsi="Book Antiqua" w:cs="Arial"/>
        </w:rPr>
        <w:t>“</w:t>
      </w:r>
      <w:r>
        <w:rPr>
          <w:rFonts w:ascii="Book Antiqua" w:hAnsi="Book Antiqua" w:cs="Arial"/>
        </w:rPr>
        <w:t xml:space="preserve">that many of the submissions above did not explicitly form a part of the original grounds before the </w:t>
      </w:r>
      <w:r w:rsidR="000D0C54">
        <w:rPr>
          <w:rFonts w:ascii="Book Antiqua" w:hAnsi="Book Antiqua" w:cs="Arial"/>
        </w:rPr>
        <w:t>T</w:t>
      </w:r>
      <w:r>
        <w:rPr>
          <w:rFonts w:ascii="Book Antiqua" w:hAnsi="Book Antiqua" w:cs="Arial"/>
        </w:rPr>
        <w:t>ribunals</w:t>
      </w:r>
      <w:r w:rsidR="000D0C54">
        <w:rPr>
          <w:rFonts w:ascii="Book Antiqua" w:hAnsi="Book Antiqua" w:cs="Arial"/>
        </w:rPr>
        <w:t>”</w:t>
      </w:r>
      <w:r>
        <w:rPr>
          <w:rFonts w:ascii="Book Antiqua" w:hAnsi="Book Antiqua" w:cs="Arial"/>
        </w:rPr>
        <w:t>.</w:t>
      </w:r>
      <w:r w:rsidR="00A478AB">
        <w:rPr>
          <w:rFonts w:ascii="Book Antiqua" w:hAnsi="Book Antiqua" w:cs="Arial"/>
        </w:rPr>
        <w:t xml:space="preserve">  Indeed, they did not.  We do not consider they formed any part of those grounds.  </w:t>
      </w:r>
    </w:p>
    <w:p w:rsidR="00A478AB" w:rsidRDefault="00A478AB" w:rsidP="00FC4177">
      <w:pPr>
        <w:numPr>
          <w:ilvl w:val="0"/>
          <w:numId w:val="2"/>
        </w:numPr>
        <w:tabs>
          <w:tab w:val="clear" w:pos="567"/>
        </w:tabs>
        <w:spacing w:before="240"/>
        <w:jc w:val="both"/>
        <w:rPr>
          <w:rFonts w:ascii="Book Antiqua" w:hAnsi="Book Antiqua" w:cs="Arial"/>
        </w:rPr>
      </w:pPr>
      <w:r>
        <w:rPr>
          <w:rFonts w:ascii="Book Antiqua" w:hAnsi="Book Antiqua" w:cs="Arial"/>
        </w:rPr>
        <w:t xml:space="preserve">Following a hearing conducted by telephone on 1 April 2020, at which the appellants and the Secretary of State were represented by Counsel, the High Court granted permission to bring judicial review.  The court’s reasons were that the decision of the First-tier Tribunal “appears to be poorly reasoned, appears to apply the wrong test under the relevant </w:t>
      </w:r>
      <w:r w:rsidR="009C1C52">
        <w:rPr>
          <w:rFonts w:ascii="Book Antiqua" w:hAnsi="Book Antiqua" w:cs="Arial"/>
        </w:rPr>
        <w:t>R</w:t>
      </w:r>
      <w:r>
        <w:rPr>
          <w:rFonts w:ascii="Book Antiqua" w:hAnsi="Book Antiqua" w:cs="Arial"/>
        </w:rPr>
        <w:t>ule (very significant obstacles) and arguably does not adequately weigh the factors which may render the claimant</w:t>
      </w:r>
      <w:r w:rsidR="009C1C52">
        <w:rPr>
          <w:rFonts w:ascii="Book Antiqua" w:hAnsi="Book Antiqua" w:cs="Arial"/>
        </w:rPr>
        <w:t>’</w:t>
      </w:r>
      <w:r>
        <w:rPr>
          <w:rFonts w:ascii="Book Antiqua" w:hAnsi="Book Antiqua" w:cs="Arial"/>
        </w:rPr>
        <w:t xml:space="preserve">s (sic) expulsion disproportionate”. </w:t>
      </w:r>
    </w:p>
    <w:p w:rsidR="007C0C06" w:rsidRDefault="00A478AB" w:rsidP="007C0C06">
      <w:pPr>
        <w:numPr>
          <w:ilvl w:val="0"/>
          <w:numId w:val="2"/>
        </w:numPr>
        <w:tabs>
          <w:tab w:val="clear" w:pos="567"/>
        </w:tabs>
        <w:spacing w:before="240"/>
        <w:jc w:val="both"/>
        <w:rPr>
          <w:rFonts w:ascii="Book Antiqua" w:hAnsi="Book Antiqua" w:cs="Arial"/>
        </w:rPr>
      </w:pPr>
      <w:r>
        <w:rPr>
          <w:rFonts w:ascii="Book Antiqua" w:hAnsi="Book Antiqua" w:cs="Arial"/>
        </w:rPr>
        <w:t xml:space="preserve">The court </w:t>
      </w:r>
      <w:r w:rsidR="007C0C06">
        <w:rPr>
          <w:rFonts w:ascii="Book Antiqua" w:hAnsi="Book Antiqua" w:cs="Arial"/>
        </w:rPr>
        <w:t>identified</w:t>
      </w:r>
      <w:r>
        <w:rPr>
          <w:rFonts w:ascii="Book Antiqua" w:hAnsi="Book Antiqua" w:cs="Arial"/>
        </w:rPr>
        <w:t xml:space="preserve"> the important points of principle or practice</w:t>
      </w:r>
      <w:r w:rsidR="007C0C06">
        <w:rPr>
          <w:rFonts w:ascii="Book Antiqua" w:hAnsi="Book Antiqua" w:cs="Arial"/>
        </w:rPr>
        <w:t xml:space="preserve"> for the purpose of CPR 54.7A</w:t>
      </w:r>
      <w:r>
        <w:rPr>
          <w:rFonts w:ascii="Book Antiqua" w:hAnsi="Book Antiqua" w:cs="Arial"/>
        </w:rPr>
        <w:t xml:space="preserve"> to be (i) whether the First-tier Tribunal should take the successive grants of leave to remain in a category leading to settlement as the starting point in determining whether there had been a change in circumstances since the last grant of leave; (ii) what approach should be taken in considering proportionality under </w:t>
      </w:r>
      <w:r w:rsidR="007C0C06">
        <w:rPr>
          <w:rFonts w:ascii="Book Antiqua" w:hAnsi="Book Antiqua" w:cs="Arial"/>
        </w:rPr>
        <w:t>A</w:t>
      </w:r>
      <w:r>
        <w:rPr>
          <w:rFonts w:ascii="Book Antiqua" w:hAnsi="Book Antiqua" w:cs="Arial"/>
        </w:rPr>
        <w:t xml:space="preserve">rticle 8 or “very significant obstacles” under the </w:t>
      </w:r>
      <w:r w:rsidR="007C0C06">
        <w:rPr>
          <w:rFonts w:ascii="Book Antiqua" w:hAnsi="Book Antiqua" w:cs="Arial"/>
        </w:rPr>
        <w:t>R</w:t>
      </w:r>
      <w:r>
        <w:rPr>
          <w:rFonts w:ascii="Book Antiqua" w:hAnsi="Book Antiqua" w:cs="Arial"/>
        </w:rPr>
        <w:t>ules, where there has been a previous grant; and (iii) when should a person</w:t>
      </w:r>
      <w:r w:rsidR="007C0C06">
        <w:rPr>
          <w:rFonts w:ascii="Book Antiqua" w:hAnsi="Book Antiqua" w:cs="Arial"/>
        </w:rPr>
        <w:t>,</w:t>
      </w:r>
      <w:r>
        <w:rPr>
          <w:rFonts w:ascii="Book Antiqua" w:hAnsi="Book Antiqua" w:cs="Arial"/>
        </w:rPr>
        <w:t xml:space="preserve"> who had previously been </w:t>
      </w:r>
      <w:r w:rsidR="007C0C06">
        <w:rPr>
          <w:rFonts w:ascii="Book Antiqua" w:hAnsi="Book Antiqua" w:cs="Arial"/>
        </w:rPr>
        <w:t>found</w:t>
      </w:r>
      <w:r>
        <w:rPr>
          <w:rFonts w:ascii="Book Antiqua" w:hAnsi="Book Antiqua" w:cs="Arial"/>
        </w:rPr>
        <w:t xml:space="preserve"> to have lost all ties to the country </w:t>
      </w:r>
      <w:r w:rsidR="007C0C06">
        <w:rPr>
          <w:rFonts w:ascii="Book Antiqua" w:hAnsi="Book Antiqua" w:cs="Arial"/>
        </w:rPr>
        <w:t>of proposed return,</w:t>
      </w:r>
      <w:r>
        <w:rPr>
          <w:rFonts w:ascii="Book Antiqua" w:hAnsi="Book Antiqua" w:cs="Arial"/>
        </w:rPr>
        <w:t xml:space="preserve">  be regarded as having established ties to that country, to such an extent that </w:t>
      </w:r>
      <w:r w:rsidR="007C0C06">
        <w:rPr>
          <w:rFonts w:ascii="Book Antiqua" w:hAnsi="Book Antiqua" w:cs="Arial"/>
        </w:rPr>
        <w:t>their</w:t>
      </w:r>
      <w:r>
        <w:rPr>
          <w:rFonts w:ascii="Book Antiqua" w:hAnsi="Book Antiqua" w:cs="Arial"/>
        </w:rPr>
        <w:t xml:space="preserve"> route to settlement</w:t>
      </w:r>
      <w:r w:rsidR="007C0C06">
        <w:rPr>
          <w:rFonts w:ascii="Book Antiqua" w:hAnsi="Book Antiqua" w:cs="Arial"/>
        </w:rPr>
        <w:t xml:space="preserve"> in the United Kingdom</w:t>
      </w:r>
      <w:r>
        <w:rPr>
          <w:rFonts w:ascii="Book Antiqua" w:hAnsi="Book Antiqua" w:cs="Arial"/>
        </w:rPr>
        <w:t xml:space="preserve"> should be interrupted.  </w:t>
      </w:r>
      <w:r w:rsidRPr="007C0C06">
        <w:rPr>
          <w:rFonts w:ascii="Book Antiqua" w:hAnsi="Book Antiqua" w:cs="Arial"/>
        </w:rPr>
        <w:t>The High Court noted that Counsel, hav</w:t>
      </w:r>
      <w:r w:rsidR="00A0777A">
        <w:rPr>
          <w:rFonts w:ascii="Book Antiqua" w:hAnsi="Book Antiqua" w:cs="Arial"/>
        </w:rPr>
        <w:t>ing</w:t>
      </w:r>
      <w:r w:rsidRPr="007C0C06">
        <w:rPr>
          <w:rFonts w:ascii="Book Antiqua" w:hAnsi="Book Antiqua" w:cs="Arial"/>
        </w:rPr>
        <w:t xml:space="preserve"> carried legal research, </w:t>
      </w:r>
      <w:r w:rsidR="007C0C06" w:rsidRPr="007C0C06">
        <w:rPr>
          <w:rFonts w:ascii="Book Antiqua" w:hAnsi="Book Antiqua" w:cs="Arial"/>
        </w:rPr>
        <w:t>told the court</w:t>
      </w:r>
      <w:r w:rsidRPr="007C0C06">
        <w:rPr>
          <w:rFonts w:ascii="Book Antiqua" w:hAnsi="Book Antiqua" w:cs="Arial"/>
        </w:rPr>
        <w:t xml:space="preserve"> there was “no case law directly on these points”. </w:t>
      </w:r>
    </w:p>
    <w:p w:rsidR="00A478AB" w:rsidRDefault="00A478AB" w:rsidP="007C0C06">
      <w:pPr>
        <w:numPr>
          <w:ilvl w:val="0"/>
          <w:numId w:val="2"/>
        </w:numPr>
        <w:tabs>
          <w:tab w:val="clear" w:pos="567"/>
        </w:tabs>
        <w:spacing w:before="240"/>
        <w:jc w:val="both"/>
        <w:rPr>
          <w:rFonts w:ascii="Book Antiqua" w:hAnsi="Book Antiqua" w:cs="Arial"/>
        </w:rPr>
      </w:pPr>
      <w:r w:rsidRPr="007C0C06">
        <w:rPr>
          <w:rFonts w:ascii="Book Antiqua" w:hAnsi="Book Antiqua" w:cs="Arial"/>
        </w:rPr>
        <w:t>The High Court’s order</w:t>
      </w:r>
      <w:r w:rsidR="007C0C06">
        <w:rPr>
          <w:rFonts w:ascii="Book Antiqua" w:hAnsi="Book Antiqua" w:cs="Arial"/>
        </w:rPr>
        <w:t>, which resulted from the telephone hearing,</w:t>
      </w:r>
      <w:r w:rsidRPr="007C0C06">
        <w:rPr>
          <w:rFonts w:ascii="Book Antiqua" w:hAnsi="Book Antiqua" w:cs="Arial"/>
        </w:rPr>
        <w:t xml:space="preserve"> stated that these </w:t>
      </w:r>
      <w:r w:rsidR="007C0C06">
        <w:rPr>
          <w:rFonts w:ascii="Book Antiqua" w:hAnsi="Book Antiqua" w:cs="Arial"/>
        </w:rPr>
        <w:t>“</w:t>
      </w:r>
      <w:r w:rsidRPr="007C0C06">
        <w:rPr>
          <w:rFonts w:ascii="Book Antiqua" w:hAnsi="Book Antiqua" w:cs="Arial"/>
        </w:rPr>
        <w:t xml:space="preserve">important points of principle or practice for the </w:t>
      </w:r>
      <w:r w:rsidR="00E63243" w:rsidRPr="007C0C06">
        <w:rPr>
          <w:rFonts w:ascii="Book Antiqua" w:hAnsi="Book Antiqua" w:cs="Arial"/>
        </w:rPr>
        <w:t>consideration of the Upper Tribunal</w:t>
      </w:r>
      <w:r w:rsidR="007C0C06">
        <w:rPr>
          <w:rFonts w:ascii="Book Antiqua" w:hAnsi="Book Antiqua" w:cs="Arial"/>
        </w:rPr>
        <w:t>”</w:t>
      </w:r>
      <w:r w:rsidR="00E63243" w:rsidRPr="007C0C06">
        <w:rPr>
          <w:rFonts w:ascii="Book Antiqua" w:hAnsi="Book Antiqua" w:cs="Arial"/>
        </w:rPr>
        <w:t xml:space="preserve"> would be “subject to the claimants’ application to amend their grounds of appeal”.</w:t>
      </w:r>
    </w:p>
    <w:p w:rsidR="00F22BBD" w:rsidRDefault="00F22BBD" w:rsidP="00F22BBD">
      <w:pPr>
        <w:spacing w:before="240"/>
        <w:jc w:val="both"/>
        <w:rPr>
          <w:rFonts w:ascii="Book Antiqua" w:hAnsi="Book Antiqua" w:cs="Arial"/>
        </w:rPr>
      </w:pPr>
    </w:p>
    <w:p w:rsidR="00F22BBD" w:rsidRPr="00F22BBD" w:rsidRDefault="00F22BBD" w:rsidP="00F22BBD">
      <w:pPr>
        <w:spacing w:before="240"/>
        <w:jc w:val="both"/>
        <w:rPr>
          <w:rFonts w:ascii="Book Antiqua" w:hAnsi="Book Antiqua" w:cs="Arial"/>
          <w:b/>
          <w:bCs/>
          <w:i/>
          <w:iCs/>
        </w:rPr>
      </w:pPr>
      <w:r>
        <w:rPr>
          <w:rFonts w:ascii="Book Antiqua" w:hAnsi="Book Antiqua" w:cs="Arial"/>
          <w:b/>
          <w:bCs/>
          <w:i/>
          <w:iCs/>
        </w:rPr>
        <w:t>E. DISCUSSION</w:t>
      </w:r>
    </w:p>
    <w:p w:rsidR="007F4C3D" w:rsidRDefault="009661F2" w:rsidP="00FC4177">
      <w:pPr>
        <w:numPr>
          <w:ilvl w:val="0"/>
          <w:numId w:val="2"/>
        </w:numPr>
        <w:tabs>
          <w:tab w:val="clear" w:pos="567"/>
        </w:tabs>
        <w:spacing w:before="240"/>
        <w:jc w:val="both"/>
        <w:rPr>
          <w:rFonts w:ascii="Book Antiqua" w:hAnsi="Book Antiqua" w:cs="Arial"/>
        </w:rPr>
      </w:pPr>
      <w:r>
        <w:rPr>
          <w:rFonts w:ascii="Book Antiqua" w:hAnsi="Book Antiqua" w:cs="Arial"/>
        </w:rPr>
        <w:t>A</w:t>
      </w:r>
      <w:r w:rsidR="006119D8">
        <w:rPr>
          <w:rFonts w:ascii="Book Antiqua" w:hAnsi="Book Antiqua" w:cs="Arial"/>
        </w:rPr>
        <w:t>s</w:t>
      </w:r>
      <w:r>
        <w:rPr>
          <w:rFonts w:ascii="Book Antiqua" w:hAnsi="Book Antiqua" w:cs="Arial"/>
        </w:rPr>
        <w:t xml:space="preserve"> the Upper Tribunal explained in </w:t>
      </w:r>
      <w:r w:rsidRPr="006119D8">
        <w:rPr>
          <w:rFonts w:ascii="Book Antiqua" w:hAnsi="Book Antiqua" w:cs="Arial"/>
          <w:u w:val="single"/>
        </w:rPr>
        <w:t xml:space="preserve">MA (Cart JR: effect on UT </w:t>
      </w:r>
      <w:r w:rsidR="006119D8" w:rsidRPr="006119D8">
        <w:rPr>
          <w:rFonts w:ascii="Book Antiqua" w:hAnsi="Book Antiqua" w:cs="Arial"/>
          <w:u w:val="single"/>
        </w:rPr>
        <w:t xml:space="preserve">processes) </w:t>
      </w:r>
      <w:r w:rsidR="0044362D" w:rsidRPr="006119D8">
        <w:rPr>
          <w:rFonts w:ascii="Book Antiqua" w:hAnsi="Book Antiqua" w:cs="Arial"/>
          <w:u w:val="single"/>
        </w:rPr>
        <w:t>Pakistan</w:t>
      </w:r>
      <w:r w:rsidR="0044362D">
        <w:rPr>
          <w:rFonts w:ascii="Book Antiqua" w:hAnsi="Book Antiqua" w:cs="Arial"/>
        </w:rPr>
        <w:t xml:space="preserve"> [2019] UKUT 353 (IAC), the “Cart</w:t>
      </w:r>
      <w:r w:rsidR="00F075F2">
        <w:rPr>
          <w:rFonts w:ascii="Book Antiqua" w:hAnsi="Book Antiqua" w:cs="Arial"/>
        </w:rPr>
        <w:t>”</w:t>
      </w:r>
      <w:r w:rsidR="0044362D">
        <w:rPr>
          <w:rFonts w:ascii="Book Antiqua" w:hAnsi="Book Antiqua" w:cs="Arial"/>
        </w:rPr>
        <w:t xml:space="preserve"> judicial review jurisdiction</w:t>
      </w:r>
      <w:r w:rsidR="007F4C3D">
        <w:rPr>
          <w:rFonts w:ascii="Book Antiqua" w:hAnsi="Book Antiqua" w:cs="Arial"/>
        </w:rPr>
        <w:t xml:space="preserve"> for which provision is made by CPR 54.7A</w:t>
      </w:r>
      <w:r w:rsidR="0044362D">
        <w:rPr>
          <w:rFonts w:ascii="Book Antiqua" w:hAnsi="Book Antiqua" w:cs="Arial"/>
        </w:rPr>
        <w:t xml:space="preserve"> should not be treated by parties as merely an untrammelled third opportunity to raise grounds of challenge to a decision of the First-tier Tribunal, </w:t>
      </w:r>
      <w:r w:rsidR="007F4C3D">
        <w:rPr>
          <w:rFonts w:ascii="Book Antiqua" w:hAnsi="Book Antiqua" w:cs="Arial"/>
        </w:rPr>
        <w:t>which</w:t>
      </w:r>
      <w:r w:rsidR="0044362D">
        <w:rPr>
          <w:rFonts w:ascii="Book Antiqua" w:hAnsi="Book Antiqua" w:cs="Arial"/>
        </w:rPr>
        <w:t xml:space="preserve"> have found no expression in the grounds put to the First-tier Tribunal and, then, the Upper Tribunal.  In enacting section 11 of the Tribunal</w:t>
      </w:r>
      <w:r w:rsidR="00F075F2">
        <w:rPr>
          <w:rFonts w:ascii="Book Antiqua" w:hAnsi="Book Antiqua" w:cs="Arial"/>
        </w:rPr>
        <w:t>s</w:t>
      </w:r>
      <w:r w:rsidR="0044362D">
        <w:rPr>
          <w:rFonts w:ascii="Book Antiqua" w:hAnsi="Book Antiqua" w:cs="Arial"/>
        </w:rPr>
        <w:t xml:space="preserve">, Courts and Enforcement Act 2007, Parliament has provided </w:t>
      </w:r>
      <w:r w:rsidR="00906027">
        <w:rPr>
          <w:rFonts w:ascii="Book Antiqua" w:hAnsi="Book Antiqua" w:cs="Arial"/>
        </w:rPr>
        <w:t>for</w:t>
      </w:r>
      <w:r w:rsidR="007F4C3D">
        <w:rPr>
          <w:rFonts w:ascii="Book Antiqua" w:hAnsi="Book Antiqua" w:cs="Arial"/>
        </w:rPr>
        <w:t xml:space="preserve"> there to be</w:t>
      </w:r>
      <w:r w:rsidR="00906027">
        <w:rPr>
          <w:rFonts w:ascii="Book Antiqua" w:hAnsi="Book Antiqua" w:cs="Arial"/>
        </w:rPr>
        <w:t xml:space="preserve"> a renewed application to the Upper Tribunal, following a refusal by the First-tier Tribunal</w:t>
      </w:r>
      <w:r w:rsidR="007F4C3D">
        <w:rPr>
          <w:rFonts w:ascii="Book Antiqua" w:hAnsi="Book Antiqua" w:cs="Arial"/>
        </w:rPr>
        <w:t>. That renewed application is</w:t>
      </w:r>
      <w:r w:rsidR="00906027">
        <w:rPr>
          <w:rFonts w:ascii="Book Antiqua" w:hAnsi="Book Antiqua" w:cs="Arial"/>
        </w:rPr>
        <w:t xml:space="preserve"> </w:t>
      </w:r>
      <w:r w:rsidR="00593C42">
        <w:rPr>
          <w:rFonts w:ascii="Book Antiqua" w:hAnsi="Book Antiqua" w:cs="Arial"/>
        </w:rPr>
        <w:t>not constrained by</w:t>
      </w:r>
      <w:r w:rsidR="00906027">
        <w:rPr>
          <w:rFonts w:ascii="Book Antiqua" w:hAnsi="Book Antiqua" w:cs="Arial"/>
        </w:rPr>
        <w:t xml:space="preserve"> what</w:t>
      </w:r>
      <w:r w:rsidR="007F4C3D">
        <w:rPr>
          <w:rFonts w:ascii="Book Antiqua" w:hAnsi="Book Antiqua" w:cs="Arial"/>
        </w:rPr>
        <w:t>ever grounds have</w:t>
      </w:r>
      <w:r w:rsidR="00906027">
        <w:rPr>
          <w:rFonts w:ascii="Book Antiqua" w:hAnsi="Book Antiqua" w:cs="Arial"/>
        </w:rPr>
        <w:t xml:space="preserve"> </w:t>
      </w:r>
      <w:r w:rsidR="007F4C3D">
        <w:rPr>
          <w:rFonts w:ascii="Book Antiqua" w:hAnsi="Book Antiqua" w:cs="Arial"/>
        </w:rPr>
        <w:t>been put to the First-tier Tribunal</w:t>
      </w:r>
      <w:r w:rsidR="00906027">
        <w:rPr>
          <w:rFonts w:ascii="Book Antiqua" w:hAnsi="Book Antiqua" w:cs="Arial"/>
        </w:rPr>
        <w:t>.  Th</w:t>
      </w:r>
      <w:r w:rsidR="007F4C3D">
        <w:rPr>
          <w:rFonts w:ascii="Book Antiqua" w:hAnsi="Book Antiqua" w:cs="Arial"/>
        </w:rPr>
        <w:t xml:space="preserve">e </w:t>
      </w:r>
      <w:r w:rsidR="00F22BBD">
        <w:rPr>
          <w:rFonts w:ascii="Book Antiqua" w:hAnsi="Book Antiqua" w:cs="Arial"/>
        </w:rPr>
        <w:t>“</w:t>
      </w:r>
      <w:r w:rsidR="007F4C3D">
        <w:rPr>
          <w:rFonts w:ascii="Book Antiqua" w:hAnsi="Book Antiqua" w:cs="Arial"/>
        </w:rPr>
        <w:t>Cart</w:t>
      </w:r>
      <w:r w:rsidR="00F22BBD">
        <w:rPr>
          <w:rFonts w:ascii="Book Antiqua" w:hAnsi="Book Antiqua" w:cs="Arial"/>
        </w:rPr>
        <w:t>”</w:t>
      </w:r>
      <w:r w:rsidR="007F4C3D">
        <w:rPr>
          <w:rFonts w:ascii="Book Antiqua" w:hAnsi="Book Antiqua" w:cs="Arial"/>
        </w:rPr>
        <w:t xml:space="preserve"> judicial review is, however, of a fundamentally different character. I</w:t>
      </w:r>
      <w:r w:rsidR="00906027">
        <w:rPr>
          <w:rFonts w:ascii="Book Antiqua" w:hAnsi="Book Antiqua" w:cs="Arial"/>
        </w:rPr>
        <w:t>n order to satisfy th</w:t>
      </w:r>
      <w:r w:rsidR="007F4C3D">
        <w:rPr>
          <w:rFonts w:ascii="Book Antiqua" w:hAnsi="Book Antiqua" w:cs="Arial"/>
        </w:rPr>
        <w:t>e</w:t>
      </w:r>
      <w:r w:rsidR="00906027">
        <w:rPr>
          <w:rFonts w:ascii="Book Antiqua" w:hAnsi="Book Antiqua" w:cs="Arial"/>
        </w:rPr>
        <w:t xml:space="preserve"> part of CPR 54.7A(7)(a) which requires the High Court to find an arguable case that the Upper Tribunal’s refusal of permission to appeal was wrong in law, the court needs to be satisfied</w:t>
      </w:r>
      <w:r w:rsidR="007F4C3D">
        <w:rPr>
          <w:rFonts w:ascii="Book Antiqua" w:hAnsi="Book Antiqua" w:cs="Arial"/>
        </w:rPr>
        <w:t xml:space="preserve"> either that:</w:t>
      </w:r>
    </w:p>
    <w:p w:rsidR="007F4C3D" w:rsidRDefault="007F4C3D" w:rsidP="007F4C3D">
      <w:pPr>
        <w:spacing w:before="240"/>
        <w:ind w:left="1134"/>
        <w:jc w:val="both"/>
        <w:rPr>
          <w:rFonts w:ascii="Book Antiqua" w:hAnsi="Book Antiqua" w:cs="Arial"/>
        </w:rPr>
      </w:pPr>
      <w:r>
        <w:rPr>
          <w:rFonts w:ascii="Book Antiqua" w:hAnsi="Book Antiqua" w:cs="Arial"/>
        </w:rPr>
        <w:t xml:space="preserve"> (a) the Upper Tribunal</w:t>
      </w:r>
      <w:r w:rsidR="00DE0221">
        <w:rPr>
          <w:rFonts w:ascii="Book Antiqua" w:hAnsi="Book Antiqua" w:cs="Arial"/>
        </w:rPr>
        <w:t>’s</w:t>
      </w:r>
      <w:r>
        <w:rPr>
          <w:rFonts w:ascii="Book Antiqua" w:hAnsi="Book Antiqua" w:cs="Arial"/>
        </w:rPr>
        <w:t xml:space="preserve"> reaction to the grounds of challenge in the application for permission to appeal was arguably wrong in law; or</w:t>
      </w:r>
    </w:p>
    <w:p w:rsidR="00E63243" w:rsidRDefault="007F4C3D" w:rsidP="007F4C3D">
      <w:pPr>
        <w:spacing w:before="240"/>
        <w:ind w:left="1134"/>
        <w:jc w:val="both"/>
        <w:rPr>
          <w:rFonts w:ascii="Book Antiqua" w:hAnsi="Book Antiqua" w:cs="Arial"/>
        </w:rPr>
      </w:pPr>
      <w:r>
        <w:rPr>
          <w:rFonts w:ascii="Book Antiqua" w:hAnsi="Book Antiqua" w:cs="Arial"/>
        </w:rPr>
        <w:t xml:space="preserve"> (b)</w:t>
      </w:r>
      <w:r w:rsidR="00906027">
        <w:rPr>
          <w:rFonts w:ascii="Book Antiqua" w:hAnsi="Book Antiqua" w:cs="Arial"/>
        </w:rPr>
        <w:t xml:space="preserve"> where the </w:t>
      </w:r>
      <w:r>
        <w:rPr>
          <w:rFonts w:ascii="Book Antiqua" w:hAnsi="Book Antiqua" w:cs="Arial"/>
        </w:rPr>
        <w:t>judicial review grounds</w:t>
      </w:r>
      <w:r w:rsidR="00906027">
        <w:rPr>
          <w:rFonts w:ascii="Book Antiqua" w:hAnsi="Book Antiqua" w:cs="Arial"/>
        </w:rPr>
        <w:t xml:space="preserve"> have not found expression in the grounds considered by the Upper Tribunal, th</w:t>
      </w:r>
      <w:r>
        <w:rPr>
          <w:rFonts w:ascii="Book Antiqua" w:hAnsi="Book Antiqua" w:cs="Arial"/>
        </w:rPr>
        <w:t>e judicial review</w:t>
      </w:r>
      <w:r w:rsidR="00906027">
        <w:rPr>
          <w:rFonts w:ascii="Book Antiqua" w:hAnsi="Book Antiqua" w:cs="Arial"/>
        </w:rPr>
        <w:t xml:space="preserve"> grounds</w:t>
      </w:r>
      <w:r>
        <w:rPr>
          <w:rFonts w:ascii="Book Antiqua" w:hAnsi="Book Antiqua" w:cs="Arial"/>
        </w:rPr>
        <w:t xml:space="preserve"> are of</w:t>
      </w:r>
      <w:r w:rsidR="00906027">
        <w:rPr>
          <w:rFonts w:ascii="Book Antiqua" w:hAnsi="Book Antiqua" w:cs="Arial"/>
        </w:rPr>
        <w:t xml:space="preserve"> such an a nature as to have required the Upper Tribunal to have raised them of its own volition, and then considered them</w:t>
      </w:r>
      <w:r>
        <w:rPr>
          <w:rFonts w:ascii="Book Antiqua" w:hAnsi="Book Antiqua" w:cs="Arial"/>
        </w:rPr>
        <w:t>; and that its failure to do so is arguably wrong in law</w:t>
      </w:r>
      <w:r w:rsidR="00906027">
        <w:rPr>
          <w:rFonts w:ascii="Book Antiqua" w:hAnsi="Book Antiqua" w:cs="Arial"/>
        </w:rPr>
        <w:t xml:space="preserve">.  </w:t>
      </w:r>
    </w:p>
    <w:p w:rsidR="00C206B9" w:rsidRDefault="007F4C3D" w:rsidP="00FC4177">
      <w:pPr>
        <w:numPr>
          <w:ilvl w:val="0"/>
          <w:numId w:val="2"/>
        </w:numPr>
        <w:tabs>
          <w:tab w:val="clear" w:pos="567"/>
        </w:tabs>
        <w:spacing w:before="240"/>
        <w:jc w:val="both"/>
        <w:rPr>
          <w:rFonts w:ascii="Book Antiqua" w:hAnsi="Book Antiqua" w:cs="Arial"/>
        </w:rPr>
      </w:pPr>
      <w:r>
        <w:rPr>
          <w:rFonts w:ascii="Book Antiqua" w:hAnsi="Book Antiqua" w:cs="Arial"/>
        </w:rPr>
        <w:t>In the present case, we were</w:t>
      </w:r>
      <w:r w:rsidR="00C206B9">
        <w:rPr>
          <w:rFonts w:ascii="Book Antiqua" w:hAnsi="Book Antiqua" w:cs="Arial"/>
        </w:rPr>
        <w:t xml:space="preserve"> concerned whether the High Court, in granting permission to bring judicial review, regarded it as significant that the appellants had</w:t>
      </w:r>
      <w:r w:rsidR="00432F4A">
        <w:rPr>
          <w:rFonts w:ascii="Book Antiqua" w:hAnsi="Book Antiqua" w:cs="Arial"/>
        </w:rPr>
        <w:t xml:space="preserve"> supposedly</w:t>
      </w:r>
      <w:r w:rsidR="00C206B9">
        <w:rPr>
          <w:rFonts w:ascii="Book Antiqua" w:hAnsi="Book Antiqua" w:cs="Arial"/>
        </w:rPr>
        <w:t xml:space="preserve"> applied to the Upper Tribunal to amend their grounds of appeal.  Accordingly, at the hearing on 10 February 2021, directions were given to the appellants to explain</w:t>
      </w:r>
      <w:r w:rsidR="00432F4A">
        <w:rPr>
          <w:rFonts w:ascii="Book Antiqua" w:hAnsi="Book Antiqua" w:cs="Arial"/>
        </w:rPr>
        <w:t xml:space="preserve"> (i) </w:t>
      </w:r>
      <w:r w:rsidR="00C206B9">
        <w:rPr>
          <w:rFonts w:ascii="Book Antiqua" w:hAnsi="Book Antiqua" w:cs="Arial"/>
        </w:rPr>
        <w:t>what information was given to the High Court about the grounds to which the</w:t>
      </w:r>
      <w:r w:rsidR="00432F4A">
        <w:rPr>
          <w:rFonts w:ascii="Book Antiqua" w:hAnsi="Book Antiqua" w:cs="Arial"/>
        </w:rPr>
        <w:t xml:space="preserve"> Upper Tribunal’s</w:t>
      </w:r>
      <w:r w:rsidR="00C206B9">
        <w:rPr>
          <w:rFonts w:ascii="Book Antiqua" w:hAnsi="Book Antiqua" w:cs="Arial"/>
        </w:rPr>
        <w:t xml:space="preserve"> impugned</w:t>
      </w:r>
      <w:r w:rsidR="00432F4A">
        <w:rPr>
          <w:rFonts w:ascii="Book Antiqua" w:hAnsi="Book Antiqua" w:cs="Arial"/>
        </w:rPr>
        <w:t xml:space="preserve"> refusal</w:t>
      </w:r>
      <w:r w:rsidR="00C206B9">
        <w:rPr>
          <w:rFonts w:ascii="Book Antiqua" w:hAnsi="Book Antiqua" w:cs="Arial"/>
        </w:rPr>
        <w:t xml:space="preserve"> </w:t>
      </w:r>
      <w:r w:rsidR="00432F4A">
        <w:rPr>
          <w:rFonts w:ascii="Book Antiqua" w:hAnsi="Book Antiqua" w:cs="Arial"/>
        </w:rPr>
        <w:t>of permission</w:t>
      </w:r>
      <w:r w:rsidR="00C206B9">
        <w:rPr>
          <w:rFonts w:ascii="Book Antiqua" w:hAnsi="Book Antiqua" w:cs="Arial"/>
        </w:rPr>
        <w:t xml:space="preserve"> had in fact responded</w:t>
      </w:r>
      <w:r w:rsidR="00432F4A">
        <w:rPr>
          <w:rFonts w:ascii="Book Antiqua" w:hAnsi="Book Antiqua" w:cs="Arial"/>
        </w:rPr>
        <w:t>;</w:t>
      </w:r>
      <w:r w:rsidR="00C206B9">
        <w:rPr>
          <w:rFonts w:ascii="Book Antiqua" w:hAnsi="Book Antiqua" w:cs="Arial"/>
        </w:rPr>
        <w:t xml:space="preserve"> and</w:t>
      </w:r>
      <w:r w:rsidR="00432F4A">
        <w:rPr>
          <w:rFonts w:ascii="Book Antiqua" w:hAnsi="Book Antiqua" w:cs="Arial"/>
        </w:rPr>
        <w:t xml:space="preserve"> (ii)</w:t>
      </w:r>
      <w:r w:rsidR="00C206B9">
        <w:rPr>
          <w:rFonts w:ascii="Book Antiqua" w:hAnsi="Book Antiqua" w:cs="Arial"/>
        </w:rPr>
        <w:t xml:space="preserve"> the basis (if any) on which it was suggested that any o</w:t>
      </w:r>
      <w:r w:rsidR="00432F4A">
        <w:rPr>
          <w:rFonts w:ascii="Book Antiqua" w:hAnsi="Book Antiqua" w:cs="Arial"/>
        </w:rPr>
        <w:t>ther</w:t>
      </w:r>
      <w:r w:rsidR="00C206B9">
        <w:rPr>
          <w:rFonts w:ascii="Book Antiqua" w:hAnsi="Book Antiqua" w:cs="Arial"/>
        </w:rPr>
        <w:t xml:space="preserve"> grounds should be considered in a judicial review.  </w:t>
      </w:r>
    </w:p>
    <w:p w:rsidR="00C206B9" w:rsidRDefault="00C206B9" w:rsidP="00FC4177">
      <w:pPr>
        <w:numPr>
          <w:ilvl w:val="0"/>
          <w:numId w:val="2"/>
        </w:numPr>
        <w:tabs>
          <w:tab w:val="clear" w:pos="567"/>
        </w:tabs>
        <w:spacing w:before="240"/>
        <w:jc w:val="both"/>
        <w:rPr>
          <w:rFonts w:ascii="Book Antiqua" w:hAnsi="Book Antiqua" w:cs="Arial"/>
        </w:rPr>
      </w:pPr>
      <w:r>
        <w:rPr>
          <w:rFonts w:ascii="Book Antiqua" w:hAnsi="Book Antiqua" w:cs="Arial"/>
        </w:rPr>
        <w:t>In response to the</w:t>
      </w:r>
      <w:r w:rsidR="00432F4A">
        <w:rPr>
          <w:rFonts w:ascii="Book Antiqua" w:hAnsi="Book Antiqua" w:cs="Arial"/>
        </w:rPr>
        <w:t>se</w:t>
      </w:r>
      <w:r>
        <w:rPr>
          <w:rFonts w:ascii="Book Antiqua" w:hAnsi="Book Antiqua" w:cs="Arial"/>
        </w:rPr>
        <w:t xml:space="preserve"> directions, Mr Sharma filed a skeleton argument, together with a supplementary bundle.  From th</w:t>
      </w:r>
      <w:r w:rsidR="00432F4A">
        <w:rPr>
          <w:rFonts w:ascii="Book Antiqua" w:hAnsi="Book Antiqua" w:cs="Arial"/>
        </w:rPr>
        <w:t>e latter</w:t>
      </w:r>
      <w:r>
        <w:rPr>
          <w:rFonts w:ascii="Book Antiqua" w:hAnsi="Book Antiqua" w:cs="Arial"/>
        </w:rPr>
        <w:t>, we see that on 30 January 2020, over three weeks after the Upper Tribunal refused permission to appeal, a document purporting to be an application for permission to appeal (on Form IAUT-1) was sent to the Upper Tribunal, together with grounds.  The form indicated that the application was being made outside the relevant time limit.  The reasons given were as follows:-</w:t>
      </w:r>
    </w:p>
    <w:p w:rsidR="00C206B9" w:rsidRPr="009354EC" w:rsidRDefault="007535EB" w:rsidP="00C206B9">
      <w:pPr>
        <w:spacing w:before="240"/>
        <w:ind w:left="1134"/>
        <w:jc w:val="both"/>
        <w:rPr>
          <w:rFonts w:ascii="Book Antiqua" w:hAnsi="Book Antiqua" w:cs="Arial"/>
          <w:sz w:val="22"/>
          <w:szCs w:val="22"/>
        </w:rPr>
      </w:pPr>
      <w:r w:rsidRPr="009354EC">
        <w:rPr>
          <w:rFonts w:ascii="Book Antiqua" w:hAnsi="Book Antiqua" w:cs="Arial"/>
          <w:sz w:val="22"/>
          <w:szCs w:val="22"/>
        </w:rPr>
        <w:t xml:space="preserve">“This is an application for amending the grounds that we have lodged on 28 November 2019 for permission seeking to Upper Tribunal (sic).  This grounds was given (sic) by a different Counsel and it is necessary for us to amend this grounds (sic) for us to rely on these grounds before High Court in a Cart judicial review.  </w:t>
      </w:r>
    </w:p>
    <w:p w:rsidR="007535EB" w:rsidRPr="009354EC" w:rsidRDefault="007535EB" w:rsidP="00C206B9">
      <w:pPr>
        <w:spacing w:before="240"/>
        <w:ind w:left="1134"/>
        <w:jc w:val="both"/>
        <w:rPr>
          <w:rFonts w:ascii="Book Antiqua" w:hAnsi="Book Antiqua" w:cs="Arial"/>
          <w:sz w:val="22"/>
          <w:szCs w:val="22"/>
        </w:rPr>
      </w:pPr>
      <w:r w:rsidRPr="009354EC">
        <w:rPr>
          <w:rFonts w:ascii="Book Antiqua" w:hAnsi="Book Antiqua" w:cs="Arial"/>
          <w:sz w:val="22"/>
          <w:szCs w:val="22"/>
        </w:rPr>
        <w:t>We hereby seek permission of the Upper Tribunal to amend the grounds seeking permission and extend the time of making this applicaiton (sic) in the interests of justice.”</w:t>
      </w:r>
    </w:p>
    <w:p w:rsidR="00C206B9" w:rsidRDefault="00064F41" w:rsidP="00FC4177">
      <w:pPr>
        <w:numPr>
          <w:ilvl w:val="0"/>
          <w:numId w:val="2"/>
        </w:numPr>
        <w:tabs>
          <w:tab w:val="clear" w:pos="567"/>
        </w:tabs>
        <w:spacing w:before="240"/>
        <w:jc w:val="both"/>
        <w:rPr>
          <w:rFonts w:ascii="Book Antiqua" w:hAnsi="Book Antiqua" w:cs="Arial"/>
        </w:rPr>
      </w:pPr>
      <w:r>
        <w:rPr>
          <w:rFonts w:ascii="Book Antiqua" w:hAnsi="Book Antiqua" w:cs="Arial"/>
        </w:rPr>
        <w:t>The grounds which accompanied the application were, in fact, headed “P</w:t>
      </w:r>
      <w:r w:rsidR="00432F4A">
        <w:rPr>
          <w:rFonts w:ascii="Book Antiqua" w:hAnsi="Book Antiqua" w:cs="Arial"/>
        </w:rPr>
        <w:t>ARTICULARS OF CLAIM JUDICIAL REVIEW</w:t>
      </w:r>
      <w:r>
        <w:rPr>
          <w:rFonts w:ascii="Book Antiqua" w:hAnsi="Book Antiqua" w:cs="Arial"/>
        </w:rPr>
        <w:t xml:space="preserve">”.  A comparison of this document and the judicial review grounds shows that the substance of the challenge </w:t>
      </w:r>
      <w:r w:rsidR="0011003C">
        <w:rPr>
          <w:rFonts w:ascii="Book Antiqua" w:hAnsi="Book Antiqua" w:cs="Arial"/>
        </w:rPr>
        <w:t>now being</w:t>
      </w:r>
      <w:r w:rsidR="00E93D82">
        <w:rPr>
          <w:rFonts w:ascii="Book Antiqua" w:hAnsi="Book Antiqua" w:cs="Arial"/>
        </w:rPr>
        <w:t xml:space="preserve"> made </w:t>
      </w:r>
      <w:r w:rsidR="0011003C">
        <w:rPr>
          <w:rFonts w:ascii="Book Antiqua" w:hAnsi="Book Antiqua" w:cs="Arial"/>
        </w:rPr>
        <w:t>was</w:t>
      </w:r>
      <w:r w:rsidR="00E93D82">
        <w:rPr>
          <w:rFonts w:ascii="Book Antiqua" w:hAnsi="Book Antiqua" w:cs="Arial"/>
        </w:rPr>
        <w:t xml:space="preserve"> the same in each case; namely</w:t>
      </w:r>
      <w:r w:rsidR="00432F4A">
        <w:rPr>
          <w:rFonts w:ascii="Book Antiqua" w:hAnsi="Book Antiqua" w:cs="Arial"/>
        </w:rPr>
        <w:t>,</w:t>
      </w:r>
      <w:r w:rsidR="00E93D82">
        <w:rPr>
          <w:rFonts w:ascii="Book Antiqua" w:hAnsi="Book Antiqua" w:cs="Arial"/>
        </w:rPr>
        <w:t xml:space="preserve"> the alleged application of an incorrect test for the purposes of paragraph 276ADE(1)(vi) of the </w:t>
      </w:r>
      <w:r w:rsidR="00432F4A">
        <w:rPr>
          <w:rFonts w:ascii="Book Antiqua" w:hAnsi="Book Antiqua" w:cs="Arial"/>
        </w:rPr>
        <w:t>R</w:t>
      </w:r>
      <w:r w:rsidR="00E93D82">
        <w:rPr>
          <w:rFonts w:ascii="Book Antiqua" w:hAnsi="Book Antiqua" w:cs="Arial"/>
        </w:rPr>
        <w:t>ules</w:t>
      </w:r>
      <w:r w:rsidR="00432F4A">
        <w:rPr>
          <w:rFonts w:ascii="Book Antiqua" w:hAnsi="Book Antiqua" w:cs="Arial"/>
        </w:rPr>
        <w:t>;</w:t>
      </w:r>
      <w:r w:rsidR="00E93D82">
        <w:rPr>
          <w:rFonts w:ascii="Book Antiqua" w:hAnsi="Book Antiqua" w:cs="Arial"/>
        </w:rPr>
        <w:t xml:space="preserve"> and the alleged failure of the First-tier Tribunal Judge to take as her starting point the previous gr</w:t>
      </w:r>
      <w:r w:rsidR="009354EC">
        <w:rPr>
          <w:rFonts w:ascii="Book Antiqua" w:hAnsi="Book Antiqua" w:cs="Arial"/>
        </w:rPr>
        <w:t xml:space="preserve">ants of leave to the first appellant on private life grounds.  The grounds of 30 January 2020 </w:t>
      </w:r>
      <w:r w:rsidR="0011003C">
        <w:rPr>
          <w:rFonts w:ascii="Book Antiqua" w:hAnsi="Book Antiqua" w:cs="Arial"/>
        </w:rPr>
        <w:t>con</w:t>
      </w:r>
      <w:r w:rsidR="009354EC">
        <w:rPr>
          <w:rFonts w:ascii="Book Antiqua" w:hAnsi="Book Antiqua" w:cs="Arial"/>
        </w:rPr>
        <w:t>cluded as follows:-</w:t>
      </w:r>
    </w:p>
    <w:p w:rsidR="009354EC" w:rsidRPr="008F3414" w:rsidRDefault="009354EC" w:rsidP="009354EC">
      <w:pPr>
        <w:spacing w:before="240"/>
        <w:ind w:left="1701" w:hanging="567"/>
        <w:jc w:val="both"/>
        <w:rPr>
          <w:rFonts w:ascii="Book Antiqua" w:hAnsi="Book Antiqua" w:cs="Arial"/>
          <w:sz w:val="22"/>
          <w:szCs w:val="22"/>
        </w:rPr>
      </w:pPr>
      <w:r w:rsidRPr="008F3414">
        <w:rPr>
          <w:rFonts w:ascii="Book Antiqua" w:hAnsi="Book Antiqua" w:cs="Arial"/>
          <w:sz w:val="22"/>
          <w:szCs w:val="22"/>
        </w:rPr>
        <w:t>“27.</w:t>
      </w:r>
      <w:r w:rsidRPr="008F3414">
        <w:rPr>
          <w:rFonts w:ascii="Book Antiqua" w:hAnsi="Book Antiqua" w:cs="Arial"/>
          <w:sz w:val="22"/>
          <w:szCs w:val="22"/>
        </w:rPr>
        <w:tab/>
        <w:t>In making this application, A recognises the difficulty that may arise if she succeeds before the Administrative Court on grounds not previously pleaded before the Upper Tribunal and invite</w:t>
      </w:r>
      <w:r w:rsidR="008F3414" w:rsidRPr="008F3414">
        <w:rPr>
          <w:rFonts w:ascii="Book Antiqua" w:hAnsi="Book Antiqua" w:cs="Arial"/>
          <w:sz w:val="22"/>
          <w:szCs w:val="22"/>
        </w:rPr>
        <w:t xml:space="preserve">s a </w:t>
      </w:r>
      <w:r w:rsidRPr="008F3414">
        <w:rPr>
          <w:rFonts w:ascii="Book Antiqua" w:hAnsi="Book Antiqua" w:cs="Arial"/>
          <w:sz w:val="22"/>
          <w:szCs w:val="22"/>
        </w:rPr>
        <w:t>pragmatic approach to granting permission to amend grounds.</w:t>
      </w:r>
    </w:p>
    <w:p w:rsidR="009354EC" w:rsidRPr="008F3414" w:rsidRDefault="009354EC" w:rsidP="009354EC">
      <w:pPr>
        <w:spacing w:before="240"/>
        <w:ind w:left="1701" w:hanging="567"/>
        <w:jc w:val="both"/>
        <w:rPr>
          <w:rFonts w:ascii="Book Antiqua" w:hAnsi="Book Antiqua" w:cs="Arial"/>
          <w:sz w:val="22"/>
          <w:szCs w:val="22"/>
        </w:rPr>
      </w:pPr>
      <w:r w:rsidRPr="008F3414">
        <w:rPr>
          <w:rFonts w:ascii="Book Antiqua" w:hAnsi="Book Antiqua" w:cs="Arial"/>
          <w:sz w:val="22"/>
          <w:szCs w:val="22"/>
        </w:rPr>
        <w:t>28.</w:t>
      </w:r>
      <w:r w:rsidRPr="008F3414">
        <w:rPr>
          <w:rFonts w:ascii="Book Antiqua" w:hAnsi="Book Antiqua" w:cs="Arial"/>
          <w:sz w:val="22"/>
          <w:szCs w:val="22"/>
        </w:rPr>
        <w:tab/>
      </w:r>
      <w:r w:rsidR="008F3414" w:rsidRPr="008F3414">
        <w:rPr>
          <w:rFonts w:ascii="Book Antiqua" w:hAnsi="Book Antiqua" w:cs="Arial"/>
          <w:sz w:val="22"/>
          <w:szCs w:val="22"/>
        </w:rPr>
        <w:t>This application has been brought as timeously as allowed in the circumstances, in good faith and on grounds that would materially alter the outcome of the appeal.  There is no prejudice to the Respondent, in granting permission to amend grounds in circumstances where the Administrative Court would have identified the grounds as arguable.</w:t>
      </w:r>
    </w:p>
    <w:p w:rsidR="008F3414" w:rsidRDefault="008F3414" w:rsidP="009354EC">
      <w:pPr>
        <w:spacing w:before="240"/>
        <w:ind w:left="1701" w:hanging="567"/>
        <w:jc w:val="both"/>
        <w:rPr>
          <w:rFonts w:ascii="Book Antiqua" w:hAnsi="Book Antiqua" w:cs="Arial"/>
        </w:rPr>
      </w:pPr>
      <w:r w:rsidRPr="008F3414">
        <w:rPr>
          <w:rFonts w:ascii="Book Antiqua" w:hAnsi="Book Antiqua" w:cs="Arial"/>
          <w:sz w:val="22"/>
          <w:szCs w:val="22"/>
        </w:rPr>
        <w:t>29.</w:t>
      </w:r>
      <w:r w:rsidRPr="008F3414">
        <w:rPr>
          <w:rFonts w:ascii="Book Antiqua" w:hAnsi="Book Antiqua" w:cs="Arial"/>
          <w:sz w:val="22"/>
          <w:szCs w:val="22"/>
        </w:rPr>
        <w:tab/>
        <w:t>The errors pleaded are, in relation to ground 1, material and obvious</w:t>
      </w:r>
      <w:r w:rsidR="00B66A1E">
        <w:rPr>
          <w:rFonts w:ascii="Book Antiqua" w:hAnsi="Book Antiqua" w:cs="Arial"/>
          <w:sz w:val="22"/>
          <w:szCs w:val="22"/>
        </w:rPr>
        <w:t xml:space="preserve">. </w:t>
      </w:r>
      <w:r w:rsidRPr="008F3414">
        <w:rPr>
          <w:rFonts w:ascii="Book Antiqua" w:hAnsi="Book Antiqua" w:cs="Arial"/>
          <w:sz w:val="22"/>
          <w:szCs w:val="22"/>
        </w:rPr>
        <w:t xml:space="preserve"> </w:t>
      </w:r>
      <w:r w:rsidR="00B66A1E">
        <w:rPr>
          <w:rFonts w:ascii="Book Antiqua" w:hAnsi="Book Antiqua" w:cs="Arial"/>
          <w:sz w:val="22"/>
          <w:szCs w:val="22"/>
        </w:rPr>
        <w:t>I</w:t>
      </w:r>
      <w:r w:rsidRPr="008F3414">
        <w:rPr>
          <w:rFonts w:ascii="Book Antiqua" w:hAnsi="Book Antiqua" w:cs="Arial"/>
          <w:sz w:val="22"/>
          <w:szCs w:val="22"/>
        </w:rPr>
        <w:t>t is unclear why it was not expressly pleaded in the preceding applications.  Ground 2 is an extension of the factual errors relied upon in the grounds below and is simply an attempt to perfect the grounds.</w:t>
      </w:r>
      <w:r>
        <w:rPr>
          <w:rFonts w:ascii="Book Antiqua" w:hAnsi="Book Antiqua" w:cs="Arial"/>
        </w:rPr>
        <w:t>”</w:t>
      </w:r>
    </w:p>
    <w:p w:rsidR="00BD1269" w:rsidRDefault="008F3414" w:rsidP="00FC4177">
      <w:pPr>
        <w:numPr>
          <w:ilvl w:val="0"/>
          <w:numId w:val="2"/>
        </w:numPr>
        <w:tabs>
          <w:tab w:val="clear" w:pos="567"/>
        </w:tabs>
        <w:spacing w:before="240"/>
        <w:jc w:val="both"/>
        <w:rPr>
          <w:rFonts w:ascii="Book Antiqua" w:hAnsi="Book Antiqua" w:cs="Arial"/>
        </w:rPr>
      </w:pPr>
      <w:r>
        <w:rPr>
          <w:rFonts w:ascii="Book Antiqua" w:hAnsi="Book Antiqua" w:cs="Arial"/>
        </w:rPr>
        <w:t xml:space="preserve">In view of </w:t>
      </w:r>
      <w:r w:rsidR="00432F4A">
        <w:rPr>
          <w:rFonts w:ascii="Book Antiqua" w:hAnsi="Book Antiqua" w:cs="Arial"/>
        </w:rPr>
        <w:t>the history we have set out</w:t>
      </w:r>
      <w:r>
        <w:rPr>
          <w:rFonts w:ascii="Book Antiqua" w:hAnsi="Book Antiqua" w:cs="Arial"/>
        </w:rPr>
        <w:t>, we would</w:t>
      </w:r>
      <w:r w:rsidR="00432F4A">
        <w:rPr>
          <w:rFonts w:ascii="Book Antiqua" w:hAnsi="Book Antiqua" w:cs="Arial"/>
        </w:rPr>
        <w:t xml:space="preserve"> strongly</w:t>
      </w:r>
      <w:r>
        <w:rPr>
          <w:rFonts w:ascii="Book Antiqua" w:hAnsi="Book Antiqua" w:cs="Arial"/>
        </w:rPr>
        <w:t xml:space="preserve"> disagree with what is stated in paragraph 29 of this document. </w:t>
      </w:r>
      <w:r w:rsidR="00BD1269">
        <w:rPr>
          <w:rFonts w:ascii="Book Antiqua" w:hAnsi="Book Antiqua" w:cs="Arial"/>
        </w:rPr>
        <w:t>It is perfectly clear that the grounds accompanying the application made on 30 January were fundamentally different from those put to, and refused by, the Upper Tribunal.</w:t>
      </w:r>
      <w:r>
        <w:rPr>
          <w:rFonts w:ascii="Book Antiqua" w:hAnsi="Book Antiqua" w:cs="Arial"/>
        </w:rPr>
        <w:t xml:space="preserve"> </w:t>
      </w:r>
    </w:p>
    <w:p w:rsidR="00BD1269" w:rsidRDefault="008F3414" w:rsidP="00D63709">
      <w:pPr>
        <w:numPr>
          <w:ilvl w:val="0"/>
          <w:numId w:val="2"/>
        </w:numPr>
        <w:tabs>
          <w:tab w:val="clear" w:pos="567"/>
        </w:tabs>
        <w:spacing w:before="240"/>
        <w:jc w:val="both"/>
        <w:rPr>
          <w:rFonts w:ascii="Book Antiqua" w:hAnsi="Book Antiqua" w:cs="Arial"/>
        </w:rPr>
      </w:pPr>
      <w:r w:rsidRPr="00BD1269">
        <w:rPr>
          <w:rFonts w:ascii="Book Antiqua" w:hAnsi="Book Antiqua" w:cs="Arial"/>
        </w:rPr>
        <w:t xml:space="preserve">The </w:t>
      </w:r>
      <w:r w:rsidR="00BD1269">
        <w:rPr>
          <w:rFonts w:ascii="Book Antiqua" w:hAnsi="Book Antiqua" w:cs="Arial"/>
        </w:rPr>
        <w:t>important</w:t>
      </w:r>
      <w:r w:rsidRPr="00BD1269">
        <w:rPr>
          <w:rFonts w:ascii="Book Antiqua" w:hAnsi="Book Antiqua" w:cs="Arial"/>
        </w:rPr>
        <w:t xml:space="preserve"> point, however, is that those acting for the appellants at this stage of the proceedings</w:t>
      </w:r>
      <w:r w:rsidR="00BD1269" w:rsidRPr="00BD1269">
        <w:rPr>
          <w:rFonts w:ascii="Book Antiqua" w:hAnsi="Book Antiqua" w:cs="Arial"/>
        </w:rPr>
        <w:t xml:space="preserve"> did in fact</w:t>
      </w:r>
      <w:r w:rsidRPr="00BD1269">
        <w:rPr>
          <w:rFonts w:ascii="Book Antiqua" w:hAnsi="Book Antiqua" w:cs="Arial"/>
        </w:rPr>
        <w:t xml:space="preserve"> recognise the difficulty the appellants face</w:t>
      </w:r>
      <w:r w:rsidR="00BD1269" w:rsidRPr="00BD1269">
        <w:rPr>
          <w:rFonts w:ascii="Book Antiqua" w:hAnsi="Book Antiqua" w:cs="Arial"/>
        </w:rPr>
        <w:t>d</w:t>
      </w:r>
      <w:r w:rsidRPr="00BD1269">
        <w:rPr>
          <w:rFonts w:ascii="Book Antiqua" w:hAnsi="Book Antiqua" w:cs="Arial"/>
        </w:rPr>
        <w:t xml:space="preserve"> in brin</w:t>
      </w:r>
      <w:r w:rsidR="00101C18">
        <w:rPr>
          <w:rFonts w:ascii="Book Antiqua" w:hAnsi="Book Antiqua" w:cs="Arial"/>
        </w:rPr>
        <w:t>g</w:t>
      </w:r>
      <w:r w:rsidRPr="00BD1269">
        <w:rPr>
          <w:rFonts w:ascii="Book Antiqua" w:hAnsi="Book Antiqua" w:cs="Arial"/>
        </w:rPr>
        <w:t>ing a “Cart” judicial review, whose grounds of challenge had not previously been put to the Upper Tribunal.</w:t>
      </w:r>
      <w:r w:rsidR="00BD1269">
        <w:rPr>
          <w:rFonts w:ascii="Book Antiqua" w:hAnsi="Book Antiqua" w:cs="Arial"/>
        </w:rPr>
        <w:t xml:space="preserve"> </w:t>
      </w:r>
      <w:r w:rsidRPr="00BD1269">
        <w:rPr>
          <w:rFonts w:ascii="Book Antiqua" w:hAnsi="Book Antiqua" w:cs="Arial"/>
        </w:rPr>
        <w:t xml:space="preserve">A decision was, therefore, taken to attempt to put the newly formulated grounds before the Upper Tribunal in the form of an application for permission to appeal.  </w:t>
      </w:r>
      <w:r w:rsidR="00396100">
        <w:rPr>
          <w:rFonts w:ascii="Book Antiqua" w:hAnsi="Book Antiqua" w:cs="Arial"/>
        </w:rPr>
        <w:t>But t</w:t>
      </w:r>
      <w:r w:rsidRPr="00BD1269">
        <w:rPr>
          <w:rFonts w:ascii="Book Antiqua" w:hAnsi="Book Antiqua" w:cs="Arial"/>
        </w:rPr>
        <w:t>he</w:t>
      </w:r>
      <w:r w:rsidR="00BD1269">
        <w:rPr>
          <w:rFonts w:ascii="Book Antiqua" w:hAnsi="Book Antiqua" w:cs="Arial"/>
        </w:rPr>
        <w:t xml:space="preserve"> fundamental</w:t>
      </w:r>
      <w:r w:rsidRPr="00BD1269">
        <w:rPr>
          <w:rFonts w:ascii="Book Antiqua" w:hAnsi="Book Antiqua" w:cs="Arial"/>
        </w:rPr>
        <w:t xml:space="preserve"> problem with this course</w:t>
      </w:r>
      <w:r w:rsidR="00BD1269">
        <w:rPr>
          <w:rFonts w:ascii="Book Antiqua" w:hAnsi="Book Antiqua" w:cs="Arial"/>
        </w:rPr>
        <w:t xml:space="preserve"> of action</w:t>
      </w:r>
      <w:r w:rsidR="00396100">
        <w:rPr>
          <w:rFonts w:ascii="Book Antiqua" w:hAnsi="Book Antiqua" w:cs="Arial"/>
        </w:rPr>
        <w:t xml:space="preserve"> </w:t>
      </w:r>
      <w:r w:rsidRPr="00BD1269">
        <w:rPr>
          <w:rFonts w:ascii="Book Antiqua" w:hAnsi="Book Antiqua" w:cs="Arial"/>
        </w:rPr>
        <w:t xml:space="preserve">was that such an application had already been made by the appellants’ previous representatives.  That application had been decided by the Upper Tribunal on 6 January 2020, when it refused permission to appeal.  That refusal was, unarguably, a decision that disposed of the proceedings in the Upper Tribunal.  </w:t>
      </w:r>
      <w:r w:rsidR="00FF54FC">
        <w:rPr>
          <w:rFonts w:ascii="Book Antiqua" w:hAnsi="Book Antiqua" w:cs="Arial"/>
        </w:rPr>
        <w:t>Subject to what we say in paragraph 29 below, upon</w:t>
      </w:r>
      <w:r w:rsidRPr="00BD1269">
        <w:rPr>
          <w:rFonts w:ascii="Book Antiqua" w:hAnsi="Book Antiqua" w:cs="Arial"/>
        </w:rPr>
        <w:t xml:space="preserve"> the making of the refusal decision, the Upper Tribunal became </w:t>
      </w:r>
      <w:r w:rsidRPr="00BD1269">
        <w:rPr>
          <w:rFonts w:ascii="Book Antiqua" w:hAnsi="Book Antiqua" w:cs="Arial"/>
          <w:i/>
          <w:iCs/>
        </w:rPr>
        <w:t>functus officio</w:t>
      </w:r>
      <w:r w:rsidRPr="00BD1269">
        <w:rPr>
          <w:rFonts w:ascii="Book Antiqua" w:hAnsi="Book Antiqua" w:cs="Arial"/>
        </w:rPr>
        <w:t xml:space="preserve">.  </w:t>
      </w:r>
    </w:p>
    <w:p w:rsidR="008F3414" w:rsidRPr="00BD1269" w:rsidRDefault="008F3414" w:rsidP="00D63709">
      <w:pPr>
        <w:numPr>
          <w:ilvl w:val="0"/>
          <w:numId w:val="2"/>
        </w:numPr>
        <w:tabs>
          <w:tab w:val="clear" w:pos="567"/>
        </w:tabs>
        <w:spacing w:before="240"/>
        <w:jc w:val="both"/>
        <w:rPr>
          <w:rFonts w:ascii="Book Antiqua" w:hAnsi="Book Antiqua" w:cs="Arial"/>
        </w:rPr>
      </w:pPr>
      <w:r w:rsidRPr="00BD1269">
        <w:rPr>
          <w:rFonts w:ascii="Book Antiqua" w:hAnsi="Book Antiqua" w:cs="Arial"/>
        </w:rPr>
        <w:t xml:space="preserve">In </w:t>
      </w:r>
      <w:r w:rsidRPr="00BD1269">
        <w:rPr>
          <w:rFonts w:ascii="Book Antiqua" w:hAnsi="Book Antiqua" w:cs="Arial"/>
          <w:u w:val="single"/>
        </w:rPr>
        <w:t xml:space="preserve">Patel </w:t>
      </w:r>
      <w:r w:rsidR="00086A0C" w:rsidRPr="00BD1269">
        <w:rPr>
          <w:rFonts w:ascii="Book Antiqua" w:hAnsi="Book Antiqua" w:cs="Arial"/>
          <w:u w:val="single"/>
        </w:rPr>
        <w:t>&amp;</w:t>
      </w:r>
      <w:r w:rsidRPr="00BD1269">
        <w:rPr>
          <w:rFonts w:ascii="Book Antiqua" w:hAnsi="Book Antiqua" w:cs="Arial"/>
          <w:u w:val="single"/>
        </w:rPr>
        <w:t xml:space="preserve"> Ors v Secretary of State for the Home Department</w:t>
      </w:r>
      <w:r w:rsidRPr="00BD1269">
        <w:rPr>
          <w:rFonts w:ascii="Book Antiqua" w:hAnsi="Book Antiqua" w:cs="Arial"/>
        </w:rPr>
        <w:t xml:space="preserve"> [2015] EWCA Civ 1175</w:t>
      </w:r>
      <w:r w:rsidR="00C07A16">
        <w:rPr>
          <w:rFonts w:ascii="Book Antiqua" w:hAnsi="Book Antiqua" w:cs="Arial"/>
        </w:rPr>
        <w:t xml:space="preserve">; </w:t>
      </w:r>
      <w:r w:rsidR="00C07A16" w:rsidRPr="00C07A16">
        <w:rPr>
          <w:rFonts w:ascii="Book Antiqua" w:hAnsi="Book Antiqua" w:cs="Arial"/>
        </w:rPr>
        <w:t>[2016] Imm AR 444</w:t>
      </w:r>
      <w:r w:rsidRPr="00BD1269">
        <w:rPr>
          <w:rFonts w:ascii="Book Antiqua" w:hAnsi="Book Antiqua" w:cs="Arial"/>
        </w:rPr>
        <w:t>, the Court of Appeal held that, once a decision on permission to appeal ha</w:t>
      </w:r>
      <w:r w:rsidR="00BD1269">
        <w:rPr>
          <w:rFonts w:ascii="Book Antiqua" w:hAnsi="Book Antiqua" w:cs="Arial"/>
        </w:rPr>
        <w:t>s</w:t>
      </w:r>
      <w:r w:rsidRPr="00BD1269">
        <w:rPr>
          <w:rFonts w:ascii="Book Antiqua" w:hAnsi="Book Antiqua" w:cs="Arial"/>
        </w:rPr>
        <w:t xml:space="preserve"> been taken by the Upper Tribunal, that </w:t>
      </w:r>
      <w:r w:rsidR="007757D9" w:rsidRPr="00BD1269">
        <w:rPr>
          <w:rFonts w:ascii="Book Antiqua" w:hAnsi="Book Antiqua" w:cs="Arial"/>
        </w:rPr>
        <w:t>t</w:t>
      </w:r>
      <w:r w:rsidRPr="00BD1269">
        <w:rPr>
          <w:rFonts w:ascii="Book Antiqua" w:hAnsi="Book Antiqua" w:cs="Arial"/>
        </w:rPr>
        <w:t>ribunal has no power to review a decision under section 11 of the 2007 Act.  The court held:-</w:t>
      </w:r>
    </w:p>
    <w:p w:rsidR="008F3414" w:rsidRPr="00086A0C" w:rsidRDefault="00086A0C" w:rsidP="00801BA5">
      <w:pPr>
        <w:spacing w:before="240"/>
        <w:ind w:left="1843" w:hanging="709"/>
        <w:jc w:val="both"/>
        <w:rPr>
          <w:rFonts w:ascii="Book Antiqua" w:hAnsi="Book Antiqua" w:cs="Arial"/>
          <w:sz w:val="22"/>
          <w:szCs w:val="22"/>
        </w:rPr>
      </w:pPr>
      <w:r w:rsidRPr="00086A0C">
        <w:rPr>
          <w:rFonts w:ascii="Book Antiqua" w:hAnsi="Book Antiqua" w:cs="Arial"/>
          <w:sz w:val="22"/>
          <w:szCs w:val="22"/>
        </w:rPr>
        <w:t>“48.</w:t>
      </w:r>
      <w:r w:rsidRPr="00086A0C">
        <w:rPr>
          <w:rFonts w:ascii="Book Antiqua" w:hAnsi="Book Antiqua" w:cs="Arial"/>
          <w:sz w:val="22"/>
          <w:szCs w:val="22"/>
        </w:rPr>
        <w:tab/>
      </w:r>
      <w:bookmarkStart w:id="1" w:name="para48"/>
      <w:r w:rsidRPr="00086A0C">
        <w:rPr>
          <w:rFonts w:ascii="Book Antiqua" w:hAnsi="Book Antiqua"/>
          <w:sz w:val="22"/>
          <w:szCs w:val="22"/>
        </w:rPr>
        <w:t xml:space="preserve">It is clear from the wording of </w:t>
      </w:r>
      <w:r w:rsidRPr="00086A0C">
        <w:rPr>
          <w:rFonts w:ascii="Book Antiqua" w:hAnsi="Book Antiqua"/>
          <w:b/>
          <w:bCs/>
          <w:i/>
          <w:iCs/>
          <w:sz w:val="22"/>
          <w:szCs w:val="22"/>
        </w:rPr>
        <w:t xml:space="preserve">section 13(8)(c) </w:t>
      </w:r>
      <w:r w:rsidRPr="00086A0C">
        <w:rPr>
          <w:rFonts w:ascii="Book Antiqua" w:hAnsi="Book Antiqua"/>
          <w:sz w:val="22"/>
          <w:szCs w:val="22"/>
        </w:rPr>
        <w:t xml:space="preserve">taken with </w:t>
      </w:r>
      <w:r w:rsidRPr="00086A0C">
        <w:rPr>
          <w:rFonts w:ascii="Book Antiqua" w:hAnsi="Book Antiqua"/>
          <w:b/>
          <w:bCs/>
          <w:i/>
          <w:iCs/>
          <w:sz w:val="22"/>
          <w:szCs w:val="22"/>
        </w:rPr>
        <w:t xml:space="preserve">section 11(4)(b) </w:t>
      </w:r>
      <w:r w:rsidRPr="00086A0C">
        <w:rPr>
          <w:rFonts w:ascii="Book Antiqua" w:hAnsi="Book Antiqua"/>
          <w:sz w:val="22"/>
          <w:szCs w:val="22"/>
        </w:rPr>
        <w:t xml:space="preserve">of the 2007 Act that when the UT grants or refuses an application for permission to appeal, it is, in principle, making a "decision" within the meaning of those sections. </w:t>
      </w:r>
      <w:r>
        <w:rPr>
          <w:rFonts w:ascii="Book Antiqua" w:hAnsi="Book Antiqua"/>
          <w:sz w:val="22"/>
          <w:szCs w:val="22"/>
        </w:rPr>
        <w:t xml:space="preserve"> </w:t>
      </w:r>
      <w:r w:rsidRPr="00086A0C">
        <w:rPr>
          <w:rFonts w:ascii="Book Antiqua" w:hAnsi="Book Antiqua"/>
          <w:sz w:val="22"/>
          <w:szCs w:val="22"/>
        </w:rPr>
        <w:t xml:space="preserve">Therefore, given the terms of </w:t>
      </w:r>
      <w:r w:rsidRPr="00086A0C">
        <w:rPr>
          <w:rFonts w:ascii="Book Antiqua" w:hAnsi="Book Antiqua"/>
          <w:b/>
          <w:bCs/>
          <w:i/>
          <w:iCs/>
          <w:sz w:val="22"/>
          <w:szCs w:val="22"/>
        </w:rPr>
        <w:t xml:space="preserve">section 13(1), 13(8)(c) </w:t>
      </w:r>
      <w:r w:rsidRPr="00086A0C">
        <w:rPr>
          <w:rFonts w:ascii="Book Antiqua" w:hAnsi="Book Antiqua"/>
          <w:sz w:val="22"/>
          <w:szCs w:val="22"/>
        </w:rPr>
        <w:t xml:space="preserve">and </w:t>
      </w:r>
      <w:r w:rsidRPr="00086A0C">
        <w:rPr>
          <w:rFonts w:ascii="Book Antiqua" w:hAnsi="Book Antiqua"/>
          <w:b/>
          <w:bCs/>
          <w:i/>
          <w:iCs/>
          <w:sz w:val="22"/>
          <w:szCs w:val="22"/>
        </w:rPr>
        <w:t xml:space="preserve">11(4)(b) </w:t>
      </w:r>
      <w:r w:rsidRPr="00086A0C">
        <w:rPr>
          <w:rFonts w:ascii="Book Antiqua" w:hAnsi="Book Antiqua"/>
          <w:sz w:val="22"/>
          <w:szCs w:val="22"/>
        </w:rPr>
        <w:t xml:space="preserve">of the 2007 Act, it is also clear that a "decision" of the UT to grant permission to appeal constitutes an "excluded decision". </w:t>
      </w:r>
      <w:r>
        <w:rPr>
          <w:rFonts w:ascii="Book Antiqua" w:hAnsi="Book Antiqua"/>
          <w:sz w:val="22"/>
          <w:szCs w:val="22"/>
        </w:rPr>
        <w:t xml:space="preserve"> </w:t>
      </w:r>
      <w:r w:rsidRPr="00086A0C">
        <w:rPr>
          <w:rFonts w:ascii="Book Antiqua" w:hAnsi="Book Antiqua"/>
          <w:sz w:val="22"/>
          <w:szCs w:val="22"/>
        </w:rPr>
        <w:t xml:space="preserve">Once an "excluded decision" is made by the UT, then the UT has no power to "review" it, by virtue of the terms of </w:t>
      </w:r>
      <w:r w:rsidRPr="00086A0C">
        <w:rPr>
          <w:rFonts w:ascii="Book Antiqua" w:hAnsi="Book Antiqua"/>
          <w:b/>
          <w:bCs/>
          <w:i/>
          <w:iCs/>
          <w:sz w:val="22"/>
          <w:szCs w:val="22"/>
        </w:rPr>
        <w:t xml:space="preserve">section 10(1) </w:t>
      </w:r>
      <w:r w:rsidRPr="00086A0C">
        <w:rPr>
          <w:rFonts w:ascii="Book Antiqua" w:hAnsi="Book Antiqua"/>
          <w:sz w:val="22"/>
          <w:szCs w:val="22"/>
        </w:rPr>
        <w:t xml:space="preserve">of the 2007 Act. </w:t>
      </w:r>
      <w:r>
        <w:rPr>
          <w:rFonts w:ascii="Book Antiqua" w:hAnsi="Book Antiqua"/>
          <w:sz w:val="22"/>
          <w:szCs w:val="22"/>
        </w:rPr>
        <w:t xml:space="preserve"> </w:t>
      </w:r>
      <w:bookmarkEnd w:id="1"/>
    </w:p>
    <w:p w:rsidR="00243A61" w:rsidRDefault="000D2FBB" w:rsidP="009A111C">
      <w:pPr>
        <w:numPr>
          <w:ilvl w:val="0"/>
          <w:numId w:val="2"/>
        </w:numPr>
        <w:tabs>
          <w:tab w:val="clear" w:pos="567"/>
        </w:tabs>
        <w:spacing w:before="240"/>
        <w:jc w:val="both"/>
        <w:rPr>
          <w:rFonts w:ascii="Book Antiqua" w:hAnsi="Book Antiqua" w:cs="Arial"/>
        </w:rPr>
      </w:pPr>
      <w:r w:rsidRPr="000D2FBB">
        <w:rPr>
          <w:rFonts w:ascii="Book Antiqua" w:hAnsi="Book Antiqua" w:cs="Arial"/>
          <w:u w:val="single"/>
        </w:rPr>
        <w:t>Patel</w:t>
      </w:r>
      <w:r>
        <w:rPr>
          <w:rFonts w:ascii="Book Antiqua" w:hAnsi="Book Antiqua" w:cs="Arial"/>
        </w:rPr>
        <w:t xml:space="preserve"> presents a serious difficulty for the present appellants. It would clearly make a mockery of section 10(1) of the 2007 Act if a party could evade the restriction on review of a refusal of permission </w:t>
      </w:r>
      <w:r w:rsidR="00243A61">
        <w:rPr>
          <w:rFonts w:ascii="Book Antiqua" w:hAnsi="Book Antiqua" w:cs="Arial"/>
        </w:rPr>
        <w:t>merely by</w:t>
      </w:r>
      <w:r>
        <w:rPr>
          <w:rFonts w:ascii="Book Antiqua" w:hAnsi="Book Antiqua" w:cs="Arial"/>
        </w:rPr>
        <w:t xml:space="preserve"> making another application</w:t>
      </w:r>
      <w:r w:rsidR="00243A61">
        <w:rPr>
          <w:rFonts w:ascii="Book Antiqua" w:hAnsi="Book Antiqua" w:cs="Arial"/>
        </w:rPr>
        <w:t xml:space="preserve"> for permission</w:t>
      </w:r>
      <w:r>
        <w:rPr>
          <w:rFonts w:ascii="Book Antiqua" w:hAnsi="Book Antiqua" w:cs="Arial"/>
        </w:rPr>
        <w:t>.</w:t>
      </w:r>
      <w:r w:rsidR="00243A61">
        <w:rPr>
          <w:rFonts w:ascii="Book Antiqua" w:hAnsi="Book Antiqua" w:cs="Arial"/>
        </w:rPr>
        <w:t xml:space="preserve"> The only way in which a decision that disposes of proceedings can be revisited by the Upper Tribunal is under rule 43 of the Tribunal Procedure (Upper Tribunal) Rules 2008</w:t>
      </w:r>
      <w:r w:rsidR="001A5490">
        <w:rPr>
          <w:rFonts w:ascii="Book Antiqua" w:hAnsi="Book Antiqua" w:cs="Arial"/>
        </w:rPr>
        <w:t xml:space="preserve">: </w:t>
      </w:r>
      <w:r w:rsidR="001A5490" w:rsidRPr="0025684A">
        <w:rPr>
          <w:rFonts w:ascii="Book Antiqua" w:hAnsi="Book Antiqua" w:cs="Arial"/>
          <w:u w:val="single"/>
        </w:rPr>
        <w:t>Jan</w:t>
      </w:r>
      <w:r w:rsidR="001A5490">
        <w:rPr>
          <w:rFonts w:ascii="Book Antiqua" w:hAnsi="Book Antiqua" w:cs="Arial"/>
        </w:rPr>
        <w:t xml:space="preserve"> (Upper Tribunal: set-aside powers) [2016] UKUT 336 (IAC)</w:t>
      </w:r>
      <w:r w:rsidR="00827A0F">
        <w:rPr>
          <w:rFonts w:ascii="Book Antiqua" w:hAnsi="Book Antiqua" w:cs="Arial"/>
        </w:rPr>
        <w:t xml:space="preserve">; </w:t>
      </w:r>
      <w:r w:rsidR="00827A0F" w:rsidRPr="00827A0F">
        <w:rPr>
          <w:rFonts w:ascii="Book Antiqua" w:hAnsi="Book Antiqua" w:cs="Arial"/>
        </w:rPr>
        <w:t>[2016] Imm AR 1437</w:t>
      </w:r>
      <w:r w:rsidR="00243A61">
        <w:rPr>
          <w:rFonts w:ascii="Book Antiqua" w:hAnsi="Book Antiqua" w:cs="Arial"/>
        </w:rPr>
        <w:t xml:space="preserve">. </w:t>
      </w:r>
      <w:r w:rsidR="008C6257">
        <w:rPr>
          <w:rFonts w:ascii="Book Antiqua" w:hAnsi="Book Antiqua" w:cs="Arial"/>
        </w:rPr>
        <w:t>Rule 43</w:t>
      </w:r>
      <w:r w:rsidR="00243A61">
        <w:rPr>
          <w:rFonts w:ascii="Book Antiqua" w:hAnsi="Book Antiqua" w:cs="Arial"/>
        </w:rPr>
        <w:t xml:space="preserve"> enables the Upper Tribunal to set aside such a decision if it is in the interests of justice to do so and there has been some procedural irregularity in the proceedings. There is no question of there being such an irregularity in the present case.</w:t>
      </w:r>
      <w:r>
        <w:rPr>
          <w:rFonts w:ascii="Book Antiqua" w:hAnsi="Book Antiqua" w:cs="Arial"/>
        </w:rPr>
        <w:t xml:space="preserve"> </w:t>
      </w:r>
    </w:p>
    <w:p w:rsidR="009A111C" w:rsidRDefault="00F22BBD" w:rsidP="009A111C">
      <w:pPr>
        <w:numPr>
          <w:ilvl w:val="0"/>
          <w:numId w:val="2"/>
        </w:numPr>
        <w:tabs>
          <w:tab w:val="clear" w:pos="567"/>
        </w:tabs>
        <w:spacing w:before="240"/>
        <w:jc w:val="both"/>
        <w:rPr>
          <w:rFonts w:ascii="Book Antiqua" w:hAnsi="Book Antiqua" w:cs="Arial"/>
        </w:rPr>
      </w:pPr>
      <w:r>
        <w:rPr>
          <w:rFonts w:ascii="Book Antiqua" w:hAnsi="Book Antiqua" w:cs="Arial"/>
        </w:rPr>
        <w:t>Furthermore if</w:t>
      </w:r>
      <w:r w:rsidR="00CD15AF">
        <w:rPr>
          <w:rFonts w:ascii="Book Antiqua" w:hAnsi="Book Antiqua" w:cs="Arial"/>
        </w:rPr>
        <w:t xml:space="preserve">, as Mr Sharma submitted, the Upper Tribunal </w:t>
      </w:r>
      <w:r w:rsidR="000D2FBB">
        <w:rPr>
          <w:rFonts w:ascii="Book Antiqua" w:hAnsi="Book Antiqua" w:cs="Arial"/>
        </w:rPr>
        <w:t>did have</w:t>
      </w:r>
      <w:r w:rsidR="00CD15AF">
        <w:rPr>
          <w:rFonts w:ascii="Book Antiqua" w:hAnsi="Book Antiqua" w:cs="Arial"/>
        </w:rPr>
        <w:t xml:space="preserve"> jurisdiction to consider the </w:t>
      </w:r>
      <w:r w:rsidR="000D2FBB">
        <w:rPr>
          <w:rFonts w:ascii="Book Antiqua" w:hAnsi="Book Antiqua" w:cs="Arial"/>
        </w:rPr>
        <w:t xml:space="preserve">so-called </w:t>
      </w:r>
      <w:r w:rsidR="00CD15AF">
        <w:rPr>
          <w:rFonts w:ascii="Book Antiqua" w:hAnsi="Book Antiqua" w:cs="Arial"/>
        </w:rPr>
        <w:t>application made on 30 January 2020, the consequences would be profound.  Section 104 (Pending appeal) of the Nationality, Immigration and Asylum Act 2002 provides that an appeal is pending during the period beginning when it is institute</w:t>
      </w:r>
      <w:r w:rsidR="00C778CC">
        <w:rPr>
          <w:rFonts w:ascii="Book Antiqua" w:hAnsi="Book Antiqua" w:cs="Arial"/>
        </w:rPr>
        <w:t>d</w:t>
      </w:r>
      <w:r w:rsidR="00CD15AF">
        <w:rPr>
          <w:rFonts w:ascii="Book Antiqua" w:hAnsi="Book Antiqua" w:cs="Arial"/>
        </w:rPr>
        <w:t xml:space="preserve"> and ending when it is finally determined (or in other circumstances not here relevant).  Section 104(2) </w:t>
      </w:r>
      <w:r w:rsidR="009A111C">
        <w:rPr>
          <w:rFonts w:ascii="Book Antiqua" w:hAnsi="Book Antiqua" w:cs="Arial"/>
        </w:rPr>
        <w:t>provides that an appeal is not finally determined while (inter alia) “an application for permission to appeal under section 11 … of the Tribunals, Courts and Enforcement Act 2007 could be made or is awaiting determination”.  If Mr Sharma is right, there would be nothing to prevent an appellant from filing an unlimited number of applications for permission to appeal, within the requisite time limit, all of which would have to be determined by the Upper Tribunal.</w:t>
      </w:r>
    </w:p>
    <w:p w:rsidR="00376B10" w:rsidRPr="00E53922" w:rsidRDefault="00752587" w:rsidP="009A111C">
      <w:pPr>
        <w:numPr>
          <w:ilvl w:val="0"/>
          <w:numId w:val="2"/>
        </w:numPr>
        <w:tabs>
          <w:tab w:val="clear" w:pos="567"/>
        </w:tabs>
        <w:spacing w:before="240"/>
        <w:jc w:val="both"/>
        <w:rPr>
          <w:rFonts w:ascii="Book Antiqua" w:hAnsi="Book Antiqua" w:cs="Arial"/>
          <w:u w:val="single"/>
        </w:rPr>
      </w:pPr>
      <w:r>
        <w:rPr>
          <w:rFonts w:ascii="Book Antiqua" w:hAnsi="Book Antiqua" w:cs="Arial"/>
        </w:rPr>
        <w:t xml:space="preserve">Although decided in a different statutory context, </w:t>
      </w:r>
      <w:r w:rsidR="006B025B">
        <w:rPr>
          <w:rFonts w:ascii="Book Antiqua" w:hAnsi="Book Antiqua" w:cs="Arial"/>
        </w:rPr>
        <w:t>the judgment</w:t>
      </w:r>
      <w:r w:rsidR="002C0EA7">
        <w:rPr>
          <w:rFonts w:ascii="Book Antiqua" w:hAnsi="Book Antiqua" w:cs="Arial"/>
        </w:rPr>
        <w:t xml:space="preserve"> of Richards LJ</w:t>
      </w:r>
      <w:r w:rsidR="006B025B">
        <w:rPr>
          <w:rFonts w:ascii="Book Antiqua" w:hAnsi="Book Antiqua" w:cs="Arial"/>
        </w:rPr>
        <w:t xml:space="preserve"> in </w:t>
      </w:r>
      <w:r w:rsidR="006B025B" w:rsidRPr="00E53922">
        <w:rPr>
          <w:rFonts w:ascii="Book Antiqua" w:hAnsi="Book Antiqua" w:cs="Arial"/>
          <w:u w:val="single"/>
        </w:rPr>
        <w:t>JH (Zimbabwe) v Secretary of State for the Home Department</w:t>
      </w:r>
      <w:r w:rsidR="00E53922">
        <w:rPr>
          <w:rFonts w:ascii="Book Antiqua" w:hAnsi="Book Antiqua" w:cs="Arial"/>
        </w:rPr>
        <w:t xml:space="preserve"> [</w:t>
      </w:r>
      <w:r w:rsidR="002C0EA7">
        <w:rPr>
          <w:rFonts w:ascii="Book Antiqua" w:hAnsi="Book Antiqua" w:cs="Arial"/>
        </w:rPr>
        <w:t>2009] EWCA Civ</w:t>
      </w:r>
      <w:r w:rsidR="004B1A92">
        <w:rPr>
          <w:rFonts w:ascii="Book Antiqua" w:hAnsi="Book Antiqua" w:cs="Arial"/>
        </w:rPr>
        <w:t xml:space="preserve"> 78</w:t>
      </w:r>
      <w:r w:rsidR="00681A7E">
        <w:rPr>
          <w:rFonts w:ascii="Book Antiqua" w:hAnsi="Book Antiqua" w:cs="Arial"/>
        </w:rPr>
        <w:t xml:space="preserve">; </w:t>
      </w:r>
      <w:r w:rsidR="00681A7E" w:rsidRPr="00681A7E">
        <w:rPr>
          <w:rFonts w:ascii="Book Antiqua" w:hAnsi="Book Antiqua" w:cs="Arial"/>
        </w:rPr>
        <w:t>[2009] Imm AR 499</w:t>
      </w:r>
      <w:r w:rsidR="004B1A92">
        <w:rPr>
          <w:rFonts w:ascii="Book Antiqua" w:hAnsi="Book Antiqua" w:cs="Arial"/>
        </w:rPr>
        <w:t xml:space="preserve"> illuminates the concern we have with the </w:t>
      </w:r>
      <w:r w:rsidR="00166F49">
        <w:rPr>
          <w:rFonts w:ascii="Book Antiqua" w:hAnsi="Book Antiqua" w:cs="Arial"/>
        </w:rPr>
        <w:t>appellant</w:t>
      </w:r>
      <w:r w:rsidR="008E4281">
        <w:rPr>
          <w:rFonts w:ascii="Book Antiqua" w:hAnsi="Book Antiqua" w:cs="Arial"/>
        </w:rPr>
        <w:t>s’</w:t>
      </w:r>
      <w:r w:rsidR="00166F49">
        <w:rPr>
          <w:rFonts w:ascii="Book Antiqua" w:hAnsi="Book Antiqua" w:cs="Arial"/>
        </w:rPr>
        <w:t xml:space="preserve"> submissions</w:t>
      </w:r>
      <w:r w:rsidR="00EB7C49">
        <w:rPr>
          <w:rFonts w:ascii="Book Antiqua" w:hAnsi="Book Antiqua" w:cs="Arial"/>
        </w:rPr>
        <w:t xml:space="preserve">. </w:t>
      </w:r>
      <w:r w:rsidR="00563E77">
        <w:rPr>
          <w:rFonts w:ascii="Book Antiqua" w:hAnsi="Book Antiqua" w:cs="Arial"/>
        </w:rPr>
        <w:t>Construing</w:t>
      </w:r>
      <w:r w:rsidR="00117451">
        <w:rPr>
          <w:rFonts w:ascii="Book Antiqua" w:hAnsi="Book Antiqua" w:cs="Arial"/>
        </w:rPr>
        <w:t xml:space="preserve"> section 3C of the Immigration Act 1971</w:t>
      </w:r>
      <w:r w:rsidR="004221F2">
        <w:rPr>
          <w:rFonts w:ascii="Book Antiqua" w:hAnsi="Book Antiqua" w:cs="Arial"/>
        </w:rPr>
        <w:t xml:space="preserve"> with regard to a decision of the Secretary of State </w:t>
      </w:r>
      <w:r w:rsidR="006E3729">
        <w:rPr>
          <w:rFonts w:ascii="Book Antiqua" w:hAnsi="Book Antiqua" w:cs="Arial"/>
        </w:rPr>
        <w:t>on an application for leave</w:t>
      </w:r>
      <w:r w:rsidR="00117451">
        <w:rPr>
          <w:rFonts w:ascii="Book Antiqua" w:hAnsi="Book Antiqua" w:cs="Arial"/>
        </w:rPr>
        <w:t>,</w:t>
      </w:r>
      <w:r w:rsidR="00563E77">
        <w:rPr>
          <w:rFonts w:ascii="Book Antiqua" w:hAnsi="Book Antiqua" w:cs="Arial"/>
        </w:rPr>
        <w:t xml:space="preserve"> Richards LJ held that</w:t>
      </w:r>
      <w:r w:rsidR="006E3729">
        <w:rPr>
          <w:rFonts w:ascii="Book Antiqua" w:hAnsi="Book Antiqua" w:cs="Arial"/>
        </w:rPr>
        <w:t xml:space="preserve"> “once a decision has been made, no variation </w:t>
      </w:r>
      <w:r w:rsidR="00E8406A">
        <w:rPr>
          <w:rFonts w:ascii="Book Antiqua" w:hAnsi="Book Antiqua" w:cs="Arial"/>
        </w:rPr>
        <w:t xml:space="preserve">to the application is possible since there is nothing left to vary” (paragraph 35). </w:t>
      </w:r>
      <w:r w:rsidR="00110621">
        <w:rPr>
          <w:rFonts w:ascii="Book Antiqua" w:hAnsi="Book Antiqua" w:cs="Arial"/>
        </w:rPr>
        <w:t xml:space="preserve">By the same token, in the present case </w:t>
      </w:r>
      <w:r w:rsidR="008456D8">
        <w:rPr>
          <w:rFonts w:ascii="Book Antiqua" w:hAnsi="Book Antiqua" w:cs="Arial"/>
        </w:rPr>
        <w:t>the grounds of application for permission to appeal cannot be va</w:t>
      </w:r>
      <w:r w:rsidR="008E58F3">
        <w:rPr>
          <w:rFonts w:ascii="Book Antiqua" w:hAnsi="Book Antiqua" w:cs="Arial"/>
        </w:rPr>
        <w:t>r</w:t>
      </w:r>
      <w:r w:rsidR="008456D8">
        <w:rPr>
          <w:rFonts w:ascii="Book Antiqua" w:hAnsi="Book Antiqua" w:cs="Arial"/>
        </w:rPr>
        <w:t>ied</w:t>
      </w:r>
      <w:r w:rsidR="008E58F3">
        <w:rPr>
          <w:rFonts w:ascii="Book Antiqua" w:hAnsi="Book Antiqua" w:cs="Arial"/>
        </w:rPr>
        <w:t>,</w:t>
      </w:r>
      <w:r w:rsidR="00322386">
        <w:rPr>
          <w:rFonts w:ascii="Book Antiqua" w:hAnsi="Book Antiqua" w:cs="Arial"/>
        </w:rPr>
        <w:t xml:space="preserve"> </w:t>
      </w:r>
      <w:r w:rsidR="002F0785">
        <w:rPr>
          <w:rFonts w:ascii="Book Antiqua" w:hAnsi="Book Antiqua" w:cs="Arial"/>
        </w:rPr>
        <w:t>once</w:t>
      </w:r>
      <w:r w:rsidR="00322386">
        <w:rPr>
          <w:rFonts w:ascii="Book Antiqua" w:hAnsi="Book Antiqua" w:cs="Arial"/>
        </w:rPr>
        <w:t xml:space="preserve"> </w:t>
      </w:r>
      <w:r w:rsidR="00F6241D">
        <w:rPr>
          <w:rFonts w:ascii="Book Antiqua" w:hAnsi="Book Antiqua" w:cs="Arial"/>
        </w:rPr>
        <w:t>a decision has been</w:t>
      </w:r>
      <w:r w:rsidR="002F0785">
        <w:rPr>
          <w:rFonts w:ascii="Book Antiqua" w:hAnsi="Book Antiqua" w:cs="Arial"/>
        </w:rPr>
        <w:t xml:space="preserve"> taken on</w:t>
      </w:r>
      <w:r w:rsidR="0061262B">
        <w:rPr>
          <w:rFonts w:ascii="Book Antiqua" w:hAnsi="Book Antiqua" w:cs="Arial"/>
        </w:rPr>
        <w:t xml:space="preserve"> th</w:t>
      </w:r>
      <w:r w:rsidR="00963AD8">
        <w:rPr>
          <w:rFonts w:ascii="Book Antiqua" w:hAnsi="Book Antiqua" w:cs="Arial"/>
        </w:rPr>
        <w:t>e</w:t>
      </w:r>
      <w:r w:rsidR="0061262B">
        <w:rPr>
          <w:rFonts w:ascii="Book Antiqua" w:hAnsi="Book Antiqua" w:cs="Arial"/>
        </w:rPr>
        <w:t xml:space="preserve"> application</w:t>
      </w:r>
      <w:r w:rsidR="00963AD8">
        <w:rPr>
          <w:rFonts w:ascii="Book Antiqua" w:hAnsi="Book Antiqua" w:cs="Arial"/>
        </w:rPr>
        <w:t xml:space="preserve"> that disposes of proceedings</w:t>
      </w:r>
      <w:r w:rsidR="0061262B">
        <w:rPr>
          <w:rFonts w:ascii="Book Antiqua" w:hAnsi="Book Antiqua" w:cs="Arial"/>
        </w:rPr>
        <w:t>.</w:t>
      </w:r>
    </w:p>
    <w:p w:rsidR="009A111C" w:rsidRDefault="009A111C" w:rsidP="009A111C">
      <w:pPr>
        <w:numPr>
          <w:ilvl w:val="0"/>
          <w:numId w:val="2"/>
        </w:numPr>
        <w:tabs>
          <w:tab w:val="clear" w:pos="567"/>
        </w:tabs>
        <w:spacing w:before="240"/>
        <w:jc w:val="both"/>
        <w:rPr>
          <w:rFonts w:ascii="Book Antiqua" w:hAnsi="Book Antiqua" w:cs="Arial"/>
        </w:rPr>
      </w:pPr>
      <w:r>
        <w:rPr>
          <w:rFonts w:ascii="Book Antiqua" w:hAnsi="Book Antiqua" w:cs="Arial"/>
        </w:rPr>
        <w:t>Mr Sharma s</w:t>
      </w:r>
      <w:r w:rsidR="000D2FBB">
        <w:rPr>
          <w:rFonts w:ascii="Book Antiqua" w:hAnsi="Book Antiqua" w:cs="Arial"/>
        </w:rPr>
        <w:t>ought</w:t>
      </w:r>
      <w:r>
        <w:rPr>
          <w:rFonts w:ascii="Book Antiqua" w:hAnsi="Book Antiqua" w:cs="Arial"/>
        </w:rPr>
        <w:t xml:space="preserve"> to avoid the consequences of </w:t>
      </w:r>
      <w:r w:rsidR="00CC3541" w:rsidRPr="00CD0E85">
        <w:rPr>
          <w:rFonts w:ascii="Book Antiqua" w:hAnsi="Book Antiqua" w:cs="Arial"/>
          <w:u w:val="single"/>
        </w:rPr>
        <w:t>Patel</w:t>
      </w:r>
      <w:r w:rsidR="00243A61">
        <w:rPr>
          <w:rFonts w:ascii="Book Antiqua" w:hAnsi="Book Antiqua" w:cs="Arial"/>
        </w:rPr>
        <w:t xml:space="preserve"> by pointing out</w:t>
      </w:r>
      <w:r w:rsidR="00CC3541">
        <w:rPr>
          <w:rFonts w:ascii="Book Antiqua" w:hAnsi="Book Antiqua" w:cs="Arial"/>
        </w:rPr>
        <w:t xml:space="preserve"> that in the present case there </w:t>
      </w:r>
      <w:r w:rsidR="00CD0E85">
        <w:rPr>
          <w:rFonts w:ascii="Book Antiqua" w:hAnsi="Book Antiqua" w:cs="Arial"/>
        </w:rPr>
        <w:t>wa</w:t>
      </w:r>
      <w:r w:rsidR="00CC3541">
        <w:rPr>
          <w:rFonts w:ascii="Book Antiqua" w:hAnsi="Book Antiqua" w:cs="Arial"/>
        </w:rPr>
        <w:t xml:space="preserve">s “the intervening judicial review claim.  Indeed, there is also the additional quashing of the impugned decision …” (skeleton argument, paragraph 14).  </w:t>
      </w:r>
      <w:r w:rsidR="00243A61">
        <w:rPr>
          <w:rFonts w:ascii="Book Antiqua" w:hAnsi="Book Antiqua" w:cs="Arial"/>
        </w:rPr>
        <w:t>His</w:t>
      </w:r>
      <w:r w:rsidR="00CC3541">
        <w:rPr>
          <w:rFonts w:ascii="Book Antiqua" w:hAnsi="Book Antiqua" w:cs="Arial"/>
        </w:rPr>
        <w:t xml:space="preserve"> skeleton</w:t>
      </w:r>
      <w:r w:rsidR="00243A61">
        <w:rPr>
          <w:rFonts w:ascii="Book Antiqua" w:hAnsi="Book Antiqua" w:cs="Arial"/>
        </w:rPr>
        <w:t xml:space="preserve"> argument</w:t>
      </w:r>
      <w:r w:rsidR="00CC3541">
        <w:rPr>
          <w:rFonts w:ascii="Book Antiqua" w:hAnsi="Book Antiqua" w:cs="Arial"/>
        </w:rPr>
        <w:t xml:space="preserve"> continues by submitting that, if the Upper Tribunal </w:t>
      </w:r>
      <w:r w:rsidR="00CD0E85">
        <w:rPr>
          <w:rFonts w:ascii="Book Antiqua" w:hAnsi="Book Antiqua" w:cs="Arial"/>
        </w:rPr>
        <w:t xml:space="preserve">had </w:t>
      </w:r>
      <w:r w:rsidR="00CC3541">
        <w:rPr>
          <w:rFonts w:ascii="Book Antiqua" w:hAnsi="Book Antiqua" w:cs="Arial"/>
        </w:rPr>
        <w:t xml:space="preserve">considered the 30 January </w:t>
      </w:r>
      <w:r w:rsidR="00CD0E85">
        <w:rPr>
          <w:rFonts w:ascii="Book Antiqua" w:hAnsi="Book Antiqua" w:cs="Arial"/>
        </w:rPr>
        <w:t>“</w:t>
      </w:r>
      <w:r w:rsidR="00CC3541">
        <w:rPr>
          <w:rFonts w:ascii="Book Antiqua" w:hAnsi="Book Antiqua" w:cs="Arial"/>
        </w:rPr>
        <w:t>application</w:t>
      </w:r>
      <w:r w:rsidR="00CD0E85">
        <w:rPr>
          <w:rFonts w:ascii="Book Antiqua" w:hAnsi="Book Antiqua" w:cs="Arial"/>
        </w:rPr>
        <w:t>”</w:t>
      </w:r>
      <w:r w:rsidR="00CC3541">
        <w:rPr>
          <w:rFonts w:ascii="Book Antiqua" w:hAnsi="Book Antiqua" w:cs="Arial"/>
        </w:rPr>
        <w:t xml:space="preserve"> (here described as an “application to amend”) before the High Court’s decision to quash t</w:t>
      </w:r>
      <w:r w:rsidR="00CD0E85">
        <w:rPr>
          <w:rFonts w:ascii="Book Antiqua" w:hAnsi="Book Antiqua" w:cs="Arial"/>
        </w:rPr>
        <w:t>he</w:t>
      </w:r>
      <w:r w:rsidR="00CC3541">
        <w:rPr>
          <w:rFonts w:ascii="Book Antiqua" w:hAnsi="Book Antiqua" w:cs="Arial"/>
        </w:rPr>
        <w:t xml:space="preserve"> refusal of permission, that would have constituted an excluded decision and could have been challenged by the Administrative Court.</w:t>
      </w:r>
    </w:p>
    <w:p w:rsidR="00F22BBD" w:rsidRDefault="00CC3541" w:rsidP="009A111C">
      <w:pPr>
        <w:numPr>
          <w:ilvl w:val="0"/>
          <w:numId w:val="2"/>
        </w:numPr>
        <w:tabs>
          <w:tab w:val="clear" w:pos="567"/>
        </w:tabs>
        <w:spacing w:before="240"/>
        <w:jc w:val="both"/>
        <w:rPr>
          <w:rFonts w:ascii="Book Antiqua" w:hAnsi="Book Antiqua" w:cs="Arial"/>
        </w:rPr>
      </w:pPr>
      <w:r>
        <w:rPr>
          <w:rFonts w:ascii="Book Antiqua" w:hAnsi="Book Antiqua" w:cs="Arial"/>
        </w:rPr>
        <w:t xml:space="preserve">We do not consider </w:t>
      </w:r>
      <w:r w:rsidR="00F10D3A">
        <w:rPr>
          <w:rFonts w:ascii="Book Antiqua" w:hAnsi="Book Antiqua" w:cs="Arial"/>
        </w:rPr>
        <w:t>this submission takes the appellant</w:t>
      </w:r>
      <w:r w:rsidR="0025684A">
        <w:rPr>
          <w:rFonts w:ascii="Book Antiqua" w:hAnsi="Book Antiqua" w:cs="Arial"/>
        </w:rPr>
        <w:t>s</w:t>
      </w:r>
      <w:r w:rsidR="00F10D3A">
        <w:rPr>
          <w:rFonts w:ascii="Book Antiqua" w:hAnsi="Book Antiqua" w:cs="Arial"/>
        </w:rPr>
        <w:t xml:space="preserve"> any</w:t>
      </w:r>
      <w:r w:rsidR="00243A61">
        <w:rPr>
          <w:rFonts w:ascii="Book Antiqua" w:hAnsi="Book Antiqua" w:cs="Arial"/>
        </w:rPr>
        <w:t xml:space="preserve">where. </w:t>
      </w:r>
      <w:r w:rsidR="00F10D3A">
        <w:rPr>
          <w:rFonts w:ascii="Book Antiqua" w:hAnsi="Book Antiqua" w:cs="Arial"/>
        </w:rPr>
        <w:t>The</w:t>
      </w:r>
      <w:r w:rsidR="00243A61">
        <w:rPr>
          <w:rFonts w:ascii="Book Antiqua" w:hAnsi="Book Antiqua" w:cs="Arial"/>
        </w:rPr>
        <w:t xml:space="preserve"> mere</w:t>
      </w:r>
      <w:r w:rsidR="00F10D3A">
        <w:rPr>
          <w:rFonts w:ascii="Book Antiqua" w:hAnsi="Book Antiqua" w:cs="Arial"/>
        </w:rPr>
        <w:t xml:space="preserve"> fact that th</w:t>
      </w:r>
      <w:r w:rsidR="00243A61">
        <w:rPr>
          <w:rFonts w:ascii="Book Antiqua" w:hAnsi="Book Antiqua" w:cs="Arial"/>
        </w:rPr>
        <w:t>e purported application</w:t>
      </w:r>
      <w:r w:rsidR="00F10D3A">
        <w:rPr>
          <w:rFonts w:ascii="Book Antiqua" w:hAnsi="Book Antiqua" w:cs="Arial"/>
        </w:rPr>
        <w:t xml:space="preserve"> was made to the Upper Tribunal in the context of what was then an undecided “Cart” judicial review cannot invest the Upper Tribunal with a jurisdiction </w:t>
      </w:r>
      <w:r w:rsidR="00CD0E85">
        <w:rPr>
          <w:rFonts w:ascii="Book Antiqua" w:hAnsi="Book Antiqua" w:cs="Arial"/>
        </w:rPr>
        <w:t>that</w:t>
      </w:r>
      <w:r w:rsidR="00F10D3A">
        <w:rPr>
          <w:rFonts w:ascii="Book Antiqua" w:hAnsi="Book Antiqua" w:cs="Arial"/>
        </w:rPr>
        <w:t xml:space="preserve"> it</w:t>
      </w:r>
      <w:r w:rsidR="00243A61">
        <w:rPr>
          <w:rFonts w:ascii="Book Antiqua" w:hAnsi="Book Antiqua" w:cs="Arial"/>
        </w:rPr>
        <w:t xml:space="preserve"> would</w:t>
      </w:r>
      <w:r w:rsidR="00F10D3A">
        <w:rPr>
          <w:rFonts w:ascii="Book Antiqua" w:hAnsi="Book Antiqua" w:cs="Arial"/>
        </w:rPr>
        <w:t xml:space="preserve"> otherwise lack.</w:t>
      </w:r>
      <w:r w:rsidR="00243A61">
        <w:rPr>
          <w:rFonts w:ascii="Book Antiqua" w:hAnsi="Book Antiqua" w:cs="Arial"/>
        </w:rPr>
        <w:t xml:space="preserve"> </w:t>
      </w:r>
      <w:r w:rsidR="003C6A63">
        <w:rPr>
          <w:rFonts w:ascii="Book Antiqua" w:hAnsi="Book Antiqua" w:cs="Arial"/>
        </w:rPr>
        <w:t>If the Upper Tribunal had formally responded to the 30 January “application” by stating that it could take no action, that decision of the Upper Tribunal could be judicially reviewed or appealed, since any decision of the Upper Tribunal is subject to one or the other form of challenge. But that does not affect the inescapable reality</w:t>
      </w:r>
      <w:r w:rsidR="00F10D3A">
        <w:rPr>
          <w:rFonts w:ascii="Book Antiqua" w:hAnsi="Book Antiqua" w:cs="Arial"/>
        </w:rPr>
        <w:t xml:space="preserve"> that the “application” of 30 January simply could have no material bearing on the High Court’s function of deciding the “Cart” judicial review.  The fact that the Upper Tribunal had been belatedly approached with arguments in favour of the grant of permission</w:t>
      </w:r>
      <w:r w:rsidR="003C6A63">
        <w:rPr>
          <w:rFonts w:ascii="Book Antiqua" w:hAnsi="Book Antiqua" w:cs="Arial"/>
        </w:rPr>
        <w:t>, which</w:t>
      </w:r>
      <w:r w:rsidR="00F10D3A">
        <w:rPr>
          <w:rFonts w:ascii="Book Antiqua" w:hAnsi="Book Antiqua" w:cs="Arial"/>
        </w:rPr>
        <w:t xml:space="preserve"> had not hitherto found expression</w:t>
      </w:r>
      <w:r w:rsidR="003C6A63">
        <w:rPr>
          <w:rFonts w:ascii="Book Antiqua" w:hAnsi="Book Antiqua" w:cs="Arial"/>
        </w:rPr>
        <w:t>,</w:t>
      </w:r>
      <w:r w:rsidR="00F10D3A">
        <w:rPr>
          <w:rFonts w:ascii="Book Antiqua" w:hAnsi="Book Antiqua" w:cs="Arial"/>
        </w:rPr>
        <w:t xml:space="preserve"> could not </w:t>
      </w:r>
      <w:r w:rsidR="003C6A63">
        <w:rPr>
          <w:rFonts w:ascii="Book Antiqua" w:hAnsi="Book Antiqua" w:cs="Arial"/>
        </w:rPr>
        <w:t>relieve</w:t>
      </w:r>
      <w:r w:rsidR="00F10D3A">
        <w:rPr>
          <w:rFonts w:ascii="Book Antiqua" w:hAnsi="Book Antiqua" w:cs="Arial"/>
        </w:rPr>
        <w:t xml:space="preserve"> the appellants</w:t>
      </w:r>
      <w:r w:rsidR="003C6A63">
        <w:rPr>
          <w:rFonts w:ascii="Book Antiqua" w:hAnsi="Book Antiqua" w:cs="Arial"/>
        </w:rPr>
        <w:t xml:space="preserve"> of</w:t>
      </w:r>
      <w:r w:rsidR="00F10D3A">
        <w:rPr>
          <w:rFonts w:ascii="Book Antiqua" w:hAnsi="Book Antiqua" w:cs="Arial"/>
        </w:rPr>
        <w:t xml:space="preserve"> the burden of persuading the High Court that the grounds now advanced were such that – even though they had not been put to the Upper Tribunal – they nevertheless should have occurred to it, when examining the First-tier Tribunal’s decision.</w:t>
      </w:r>
    </w:p>
    <w:p w:rsidR="00CC3541" w:rsidRDefault="008D2348" w:rsidP="009A111C">
      <w:pPr>
        <w:numPr>
          <w:ilvl w:val="0"/>
          <w:numId w:val="2"/>
        </w:numPr>
        <w:tabs>
          <w:tab w:val="clear" w:pos="567"/>
        </w:tabs>
        <w:spacing w:before="240"/>
        <w:jc w:val="both"/>
        <w:rPr>
          <w:rFonts w:ascii="Book Antiqua" w:hAnsi="Book Antiqua" w:cs="Arial"/>
        </w:rPr>
      </w:pPr>
      <w:r>
        <w:rPr>
          <w:rFonts w:ascii="Book Antiqua" w:hAnsi="Book Antiqua" w:cs="Arial"/>
        </w:rPr>
        <w:t>In other words, because the basis of challenge in the judicial review was not the basis of challenge put to the Upper Tribunal in the appellate challenge to the First-tier Tribunal’s decision, the appellants were inexorably faced with having to make their judicial review case on the basis set out in paragraph 22(b) above; namely</w:t>
      </w:r>
      <w:r w:rsidR="008C6257">
        <w:rPr>
          <w:rFonts w:ascii="Book Antiqua" w:hAnsi="Book Antiqua" w:cs="Arial"/>
        </w:rPr>
        <w:t>,</w:t>
      </w:r>
      <w:r>
        <w:rPr>
          <w:rFonts w:ascii="Book Antiqua" w:hAnsi="Book Antiqua" w:cs="Arial"/>
        </w:rPr>
        <w:t xml:space="preserve"> that the Upper Tribunal should have taken the points of its own volition. That is a more challenging task than under paragraph 22(a)</w:t>
      </w:r>
      <w:r w:rsidR="00542C0A">
        <w:rPr>
          <w:rFonts w:ascii="Book Antiqua" w:hAnsi="Book Antiqua" w:cs="Arial"/>
        </w:rPr>
        <w:t>, since the basis of challenge needs to be a “Robinson” obvious one (</w:t>
      </w:r>
      <w:r w:rsidR="00542C0A" w:rsidRPr="00542C0A">
        <w:rPr>
          <w:rFonts w:ascii="Book Antiqua" w:hAnsi="Book Antiqua" w:cs="Arial"/>
          <w:u w:val="single"/>
        </w:rPr>
        <w:t xml:space="preserve">R v Secretary of State for the Home Department </w:t>
      </w:r>
      <w:r w:rsidR="00542C0A" w:rsidRPr="00542C0A">
        <w:rPr>
          <w:rFonts w:ascii="Book Antiqua" w:hAnsi="Book Antiqua" w:cs="Arial"/>
          <w:i/>
          <w:iCs/>
          <w:u w:val="single"/>
        </w:rPr>
        <w:t>ex parte</w:t>
      </w:r>
      <w:r w:rsidR="00542C0A" w:rsidRPr="00542C0A">
        <w:rPr>
          <w:rFonts w:ascii="Book Antiqua" w:hAnsi="Book Antiqua" w:cs="Arial"/>
          <w:u w:val="single"/>
        </w:rPr>
        <w:t xml:space="preserve"> Robinson</w:t>
      </w:r>
      <w:r w:rsidR="00542C0A">
        <w:rPr>
          <w:rFonts w:ascii="Book Antiqua" w:hAnsi="Book Antiqua" w:cs="Arial"/>
        </w:rPr>
        <w:t xml:space="preserve"> [1998] QB 929</w:t>
      </w:r>
      <w:r w:rsidR="00241D96">
        <w:rPr>
          <w:rFonts w:ascii="Book Antiqua" w:hAnsi="Book Antiqua" w:cs="Arial"/>
        </w:rPr>
        <w:t xml:space="preserve">; </w:t>
      </w:r>
      <w:r w:rsidR="00241D96" w:rsidRPr="00241D96">
        <w:rPr>
          <w:rFonts w:ascii="Book Antiqua" w:hAnsi="Book Antiqua" w:cs="Arial"/>
        </w:rPr>
        <w:t>[1997] Imm AR 568</w:t>
      </w:r>
      <w:r w:rsidR="00542C0A">
        <w:rPr>
          <w:rFonts w:ascii="Book Antiqua" w:hAnsi="Book Antiqua" w:cs="Arial"/>
        </w:rPr>
        <w:t xml:space="preserve">; </w:t>
      </w:r>
      <w:r w:rsidR="00542C0A" w:rsidRPr="00542C0A">
        <w:rPr>
          <w:rFonts w:ascii="Book Antiqua" w:hAnsi="Book Antiqua" w:cs="Arial"/>
          <w:u w:val="single"/>
        </w:rPr>
        <w:t>R (Begum) v Social Security Commissioners</w:t>
      </w:r>
      <w:r w:rsidR="00542C0A">
        <w:rPr>
          <w:rFonts w:ascii="Book Antiqua" w:hAnsi="Book Antiqua" w:cs="Arial"/>
        </w:rPr>
        <w:t xml:space="preserve"> [2002] EWHC 401 (Admin); </w:t>
      </w:r>
      <w:r w:rsidR="00542C0A" w:rsidRPr="00542C0A">
        <w:rPr>
          <w:rFonts w:ascii="Book Antiqua" w:hAnsi="Book Antiqua" w:cs="Arial"/>
          <w:u w:val="single"/>
        </w:rPr>
        <w:t>Bulale v</w:t>
      </w:r>
      <w:r w:rsidR="00542C0A">
        <w:rPr>
          <w:rFonts w:ascii="Book Antiqua" w:hAnsi="Book Antiqua" w:cs="Arial"/>
        </w:rPr>
        <w:t xml:space="preserve"> </w:t>
      </w:r>
      <w:r w:rsidR="00542C0A" w:rsidRPr="00542C0A">
        <w:rPr>
          <w:rFonts w:ascii="Book Antiqua" w:hAnsi="Book Antiqua" w:cs="Arial"/>
          <w:u w:val="single"/>
        </w:rPr>
        <w:t>Secretary of State for the Home Department</w:t>
      </w:r>
      <w:r w:rsidR="00542C0A">
        <w:rPr>
          <w:rFonts w:ascii="Book Antiqua" w:hAnsi="Book Antiqua" w:cs="Arial"/>
        </w:rPr>
        <w:t xml:space="preserve"> [2008] EWCA Civ 806</w:t>
      </w:r>
      <w:r w:rsidR="00EC2A60">
        <w:rPr>
          <w:rFonts w:ascii="Book Antiqua" w:hAnsi="Book Antiqua" w:cs="Arial"/>
        </w:rPr>
        <w:t xml:space="preserve">; </w:t>
      </w:r>
      <w:r w:rsidR="00EC2A60" w:rsidRPr="00EC2A60">
        <w:rPr>
          <w:rFonts w:ascii="Book Antiqua" w:hAnsi="Book Antiqua" w:cs="Arial"/>
        </w:rPr>
        <w:t>[2009] Imm AR 102</w:t>
      </w:r>
      <w:r w:rsidR="00542C0A">
        <w:rPr>
          <w:rFonts w:ascii="Book Antiqua" w:hAnsi="Book Antiqua" w:cs="Arial"/>
        </w:rPr>
        <w:t>).</w:t>
      </w:r>
    </w:p>
    <w:p w:rsidR="00F10D3A" w:rsidRDefault="00F10D3A" w:rsidP="00A029CF">
      <w:pPr>
        <w:numPr>
          <w:ilvl w:val="0"/>
          <w:numId w:val="2"/>
        </w:numPr>
        <w:tabs>
          <w:tab w:val="clear" w:pos="567"/>
        </w:tabs>
        <w:spacing w:before="240" w:after="240"/>
        <w:jc w:val="both"/>
        <w:rPr>
          <w:rFonts w:ascii="Book Antiqua" w:hAnsi="Book Antiqua" w:cs="Arial"/>
        </w:rPr>
      </w:pPr>
      <w:r>
        <w:rPr>
          <w:rFonts w:ascii="Book Antiqua" w:hAnsi="Book Antiqua" w:cs="Arial"/>
        </w:rPr>
        <w:t>Mr Sharma</w:t>
      </w:r>
      <w:r w:rsidR="00F22BBD">
        <w:rPr>
          <w:rFonts w:ascii="Book Antiqua" w:hAnsi="Book Antiqua" w:cs="Arial"/>
        </w:rPr>
        <w:t xml:space="preserve"> sought to</w:t>
      </w:r>
      <w:r>
        <w:rPr>
          <w:rFonts w:ascii="Book Antiqua" w:hAnsi="Book Antiqua" w:cs="Arial"/>
        </w:rPr>
        <w:t xml:space="preserve"> rel</w:t>
      </w:r>
      <w:r w:rsidR="00F22BBD">
        <w:rPr>
          <w:rFonts w:ascii="Book Antiqua" w:hAnsi="Book Antiqua" w:cs="Arial"/>
        </w:rPr>
        <w:t>y</w:t>
      </w:r>
      <w:r>
        <w:rPr>
          <w:rFonts w:ascii="Book Antiqua" w:hAnsi="Book Antiqua" w:cs="Arial"/>
        </w:rPr>
        <w:t xml:space="preserve"> upon paragraph 40 of </w:t>
      </w:r>
      <w:r w:rsidRPr="003C7012">
        <w:rPr>
          <w:rFonts w:ascii="Book Antiqua" w:hAnsi="Book Antiqua" w:cs="Arial"/>
          <w:u w:val="single"/>
        </w:rPr>
        <w:t>MA</w:t>
      </w:r>
      <w:r w:rsidR="00542C0A">
        <w:rPr>
          <w:rFonts w:ascii="Book Antiqua" w:hAnsi="Book Antiqua" w:cs="Arial"/>
        </w:rPr>
        <w:t xml:space="preserve"> (paragraph 22 above)</w:t>
      </w:r>
      <w:r>
        <w:rPr>
          <w:rFonts w:ascii="Book Antiqua" w:hAnsi="Book Antiqua" w:cs="Arial"/>
        </w:rPr>
        <w:t>:-</w:t>
      </w:r>
    </w:p>
    <w:p w:rsidR="00A029CF" w:rsidRPr="003C7012" w:rsidRDefault="00A029CF" w:rsidP="00A029CF">
      <w:pPr>
        <w:spacing w:after="240"/>
        <w:ind w:left="1701" w:hanging="567"/>
        <w:jc w:val="both"/>
        <w:rPr>
          <w:sz w:val="22"/>
          <w:szCs w:val="22"/>
        </w:rPr>
      </w:pPr>
      <w:r w:rsidRPr="003C7012">
        <w:rPr>
          <w:rFonts w:ascii="Book Antiqua" w:hAnsi="Book Antiqua"/>
          <w:sz w:val="22"/>
          <w:szCs w:val="22"/>
        </w:rPr>
        <w:t>“40.</w:t>
      </w:r>
      <w:r w:rsidRPr="003C7012">
        <w:rPr>
          <w:rFonts w:ascii="Book Antiqua" w:hAnsi="Book Antiqua"/>
          <w:sz w:val="22"/>
          <w:szCs w:val="22"/>
        </w:rPr>
        <w:tab/>
        <w:t xml:space="preserve">It is necessary to make one final procedural point. </w:t>
      </w:r>
      <w:r w:rsidR="005A5941">
        <w:rPr>
          <w:rFonts w:ascii="Book Antiqua" w:hAnsi="Book Antiqua"/>
          <w:sz w:val="22"/>
          <w:szCs w:val="22"/>
        </w:rPr>
        <w:t xml:space="preserve"> </w:t>
      </w:r>
      <w:r w:rsidRPr="003C7012">
        <w:rPr>
          <w:rFonts w:ascii="Book Antiqua" w:hAnsi="Book Antiqua"/>
          <w:sz w:val="22"/>
          <w:szCs w:val="22"/>
        </w:rPr>
        <w:t>If, as a result of "Cart" judicial review proceedings, the grounds for contending that the First-tier Tribunal Judge erred in law have changed, compared with those that were before the Upper Tribunal when it made its (now quashed) decision, the appellant will need to apply to the Upper Tribunal for permission to amend his or her grounds of permission, in order to be able to rely upon the grounds advanced in the "Cart" judicial review.</w:t>
      </w:r>
      <w:r w:rsidR="005A5941">
        <w:rPr>
          <w:rFonts w:ascii="Book Antiqua" w:hAnsi="Book Antiqua"/>
          <w:sz w:val="22"/>
          <w:szCs w:val="22"/>
        </w:rPr>
        <w:t xml:space="preserve"> </w:t>
      </w:r>
      <w:r w:rsidRPr="003C7012">
        <w:rPr>
          <w:rFonts w:ascii="Book Antiqua" w:hAnsi="Book Antiqua"/>
          <w:sz w:val="22"/>
          <w:szCs w:val="22"/>
        </w:rPr>
        <w:t xml:space="preserve"> The fact that such grounds have found favour in the High Court does not mean those grounds automatically become the grounds of challenge to the First-tier Tribunal's decision.”</w:t>
      </w:r>
    </w:p>
    <w:p w:rsidR="00F10D3A" w:rsidRDefault="003C7012" w:rsidP="009A111C">
      <w:pPr>
        <w:numPr>
          <w:ilvl w:val="0"/>
          <w:numId w:val="2"/>
        </w:numPr>
        <w:tabs>
          <w:tab w:val="clear" w:pos="567"/>
        </w:tabs>
        <w:spacing w:before="240"/>
        <w:jc w:val="both"/>
        <w:rPr>
          <w:rFonts w:ascii="Book Antiqua" w:hAnsi="Book Antiqua" w:cs="Arial"/>
        </w:rPr>
      </w:pPr>
      <w:r>
        <w:rPr>
          <w:rFonts w:ascii="Book Antiqua" w:hAnsi="Book Antiqua" w:cs="Arial"/>
        </w:rPr>
        <w:t xml:space="preserve">What the Upper Tribunal said at paragraph 40 </w:t>
      </w:r>
      <w:r w:rsidR="00542C0A">
        <w:rPr>
          <w:rFonts w:ascii="Book Antiqua" w:hAnsi="Book Antiqua" w:cs="Arial"/>
        </w:rPr>
        <w:t xml:space="preserve"> of </w:t>
      </w:r>
      <w:r w:rsidR="00542C0A" w:rsidRPr="00542C0A">
        <w:rPr>
          <w:rFonts w:ascii="Book Antiqua" w:hAnsi="Book Antiqua" w:cs="Arial"/>
          <w:u w:val="single"/>
        </w:rPr>
        <w:t>MA</w:t>
      </w:r>
      <w:r w:rsidR="00542C0A">
        <w:rPr>
          <w:rFonts w:ascii="Book Antiqua" w:hAnsi="Book Antiqua" w:cs="Arial"/>
        </w:rPr>
        <w:t xml:space="preserve"> </w:t>
      </w:r>
      <w:r>
        <w:rPr>
          <w:rFonts w:ascii="Book Antiqua" w:hAnsi="Book Antiqua" w:cs="Arial"/>
        </w:rPr>
        <w:t>cannot be use</w:t>
      </w:r>
      <w:r w:rsidR="00542C0A">
        <w:rPr>
          <w:rFonts w:ascii="Book Antiqua" w:hAnsi="Book Antiqua" w:cs="Arial"/>
        </w:rPr>
        <w:t>d to justify</w:t>
      </w:r>
      <w:r>
        <w:rPr>
          <w:rFonts w:ascii="Book Antiqua" w:hAnsi="Book Antiqua" w:cs="Arial"/>
        </w:rPr>
        <w:t xml:space="preserve"> what the appellants did in the present case.  As is evident, the Upper Tribunal was there addressing the requirement to apply to amend the grounds of application for permission, following the quashing by the High Court of the earlier refusal of permission to appeal.  In the present case, the approach to the Upper Tribunal on 30</w:t>
      </w:r>
      <w:r w:rsidR="00821EC4">
        <w:rPr>
          <w:rFonts w:ascii="Book Antiqua" w:hAnsi="Book Antiqua" w:cs="Arial"/>
        </w:rPr>
        <w:t> </w:t>
      </w:r>
      <w:r>
        <w:rPr>
          <w:rFonts w:ascii="Book Antiqua" w:hAnsi="Book Antiqua" w:cs="Arial"/>
        </w:rPr>
        <w:t>January</w:t>
      </w:r>
      <w:r w:rsidR="00542C0A">
        <w:rPr>
          <w:rFonts w:ascii="Book Antiqua" w:hAnsi="Book Antiqua" w:cs="Arial"/>
        </w:rPr>
        <w:t xml:space="preserve"> not only</w:t>
      </w:r>
      <w:r>
        <w:rPr>
          <w:rFonts w:ascii="Book Antiqua" w:hAnsi="Book Antiqua" w:cs="Arial"/>
        </w:rPr>
        <w:t xml:space="preserve"> took place before the High Court had made a quashing order but</w:t>
      </w:r>
      <w:r w:rsidR="00542C0A">
        <w:rPr>
          <w:rFonts w:ascii="Book Antiqua" w:hAnsi="Book Antiqua" w:cs="Arial"/>
        </w:rPr>
        <w:t xml:space="preserve"> also</w:t>
      </w:r>
      <w:r>
        <w:rPr>
          <w:rFonts w:ascii="Book Antiqua" w:hAnsi="Book Antiqua" w:cs="Arial"/>
        </w:rPr>
        <w:t xml:space="preserve"> was apparently motivated by the view that the High Court might be persuaded to grant the judicial review, precisely because the Upper Tribunal had been so approached.  For the reasons we have given, </w:t>
      </w:r>
      <w:r w:rsidR="00C33E38">
        <w:rPr>
          <w:rFonts w:ascii="Book Antiqua" w:hAnsi="Book Antiqua" w:cs="Arial"/>
        </w:rPr>
        <w:t>any such motivation was misconceived</w:t>
      </w:r>
      <w:r>
        <w:rPr>
          <w:rFonts w:ascii="Book Antiqua" w:hAnsi="Book Antiqua" w:cs="Arial"/>
        </w:rPr>
        <w:t>.</w:t>
      </w:r>
    </w:p>
    <w:p w:rsidR="003C7012" w:rsidRDefault="00C33E38" w:rsidP="009A111C">
      <w:pPr>
        <w:numPr>
          <w:ilvl w:val="0"/>
          <w:numId w:val="2"/>
        </w:numPr>
        <w:tabs>
          <w:tab w:val="clear" w:pos="567"/>
        </w:tabs>
        <w:spacing w:before="240"/>
        <w:jc w:val="both"/>
        <w:rPr>
          <w:rFonts w:ascii="Book Antiqua" w:hAnsi="Book Antiqua" w:cs="Arial"/>
        </w:rPr>
      </w:pPr>
      <w:r>
        <w:rPr>
          <w:rFonts w:ascii="Book Antiqua" w:hAnsi="Book Antiqua" w:cs="Arial"/>
        </w:rPr>
        <w:t>Having said this</w:t>
      </w:r>
      <w:r w:rsidR="003C7012">
        <w:rPr>
          <w:rFonts w:ascii="Book Antiqua" w:hAnsi="Book Antiqua" w:cs="Arial"/>
        </w:rPr>
        <w:t>, we a</w:t>
      </w:r>
      <w:r>
        <w:rPr>
          <w:rFonts w:ascii="Book Antiqua" w:hAnsi="Book Antiqua" w:cs="Arial"/>
        </w:rPr>
        <w:t>re persuaded</w:t>
      </w:r>
      <w:r w:rsidR="003C7012">
        <w:rPr>
          <w:rFonts w:ascii="Book Antiqua" w:hAnsi="Book Antiqua" w:cs="Arial"/>
        </w:rPr>
        <w:t xml:space="preserve"> that those acting for the appellants took the steps they did in</w:t>
      </w:r>
      <w:r>
        <w:rPr>
          <w:rFonts w:ascii="Book Antiqua" w:hAnsi="Book Antiqua" w:cs="Arial"/>
        </w:rPr>
        <w:t xml:space="preserve"> entirely</w:t>
      </w:r>
      <w:r w:rsidR="003C7012">
        <w:rPr>
          <w:rFonts w:ascii="Book Antiqua" w:hAnsi="Book Antiqua" w:cs="Arial"/>
        </w:rPr>
        <w:t xml:space="preserve"> good faith.  </w:t>
      </w:r>
      <w:r>
        <w:rPr>
          <w:rFonts w:ascii="Book Antiqua" w:hAnsi="Book Antiqua" w:cs="Arial"/>
        </w:rPr>
        <w:t xml:space="preserve">We do, however, expect that, in the light of our decision in the present case, no one should </w:t>
      </w:r>
      <w:r w:rsidR="00F22BBD">
        <w:rPr>
          <w:rFonts w:ascii="Book Antiqua" w:hAnsi="Book Antiqua" w:cs="Arial"/>
        </w:rPr>
        <w:t>repeat those steps</w:t>
      </w:r>
      <w:r>
        <w:rPr>
          <w:rFonts w:ascii="Book Antiqua" w:hAnsi="Book Antiqua" w:cs="Arial"/>
        </w:rPr>
        <w:t xml:space="preserve"> in future.</w:t>
      </w:r>
      <w:r w:rsidR="003C7012">
        <w:rPr>
          <w:rFonts w:ascii="Book Antiqua" w:hAnsi="Book Antiqua" w:cs="Arial"/>
        </w:rPr>
        <w:t xml:space="preserve">  </w:t>
      </w:r>
    </w:p>
    <w:p w:rsidR="00F22BBD" w:rsidRDefault="003C7012" w:rsidP="009A111C">
      <w:pPr>
        <w:numPr>
          <w:ilvl w:val="0"/>
          <w:numId w:val="2"/>
        </w:numPr>
        <w:tabs>
          <w:tab w:val="clear" w:pos="567"/>
        </w:tabs>
        <w:spacing w:before="240"/>
        <w:jc w:val="both"/>
        <w:rPr>
          <w:rFonts w:ascii="Book Antiqua" w:hAnsi="Book Antiqua" w:cs="Arial"/>
        </w:rPr>
      </w:pPr>
      <w:r>
        <w:rPr>
          <w:rFonts w:ascii="Book Antiqua" w:hAnsi="Book Antiqua" w:cs="Arial"/>
        </w:rPr>
        <w:t>Whether or not the High Court was influenced by the fact that the appellants had made the “application</w:t>
      </w:r>
      <w:r w:rsidR="005B66DA">
        <w:rPr>
          <w:rFonts w:ascii="Book Antiqua" w:hAnsi="Book Antiqua" w:cs="Arial"/>
        </w:rPr>
        <w:t>”</w:t>
      </w:r>
      <w:r>
        <w:rPr>
          <w:rFonts w:ascii="Book Antiqua" w:hAnsi="Book Antiqua" w:cs="Arial"/>
        </w:rPr>
        <w:t xml:space="preserve"> of 30 January, the </w:t>
      </w:r>
      <w:r w:rsidR="00C33E38">
        <w:rPr>
          <w:rFonts w:ascii="Book Antiqua" w:hAnsi="Book Antiqua" w:cs="Arial"/>
        </w:rPr>
        <w:t>outcome was that</w:t>
      </w:r>
      <w:r>
        <w:rPr>
          <w:rFonts w:ascii="Book Antiqua" w:hAnsi="Book Antiqua" w:cs="Arial"/>
        </w:rPr>
        <w:t xml:space="preserve"> the court quashed the refusal of permission to appeal.  In the light of th</w:t>
      </w:r>
      <w:r w:rsidR="00C33E38">
        <w:rPr>
          <w:rFonts w:ascii="Book Antiqua" w:hAnsi="Book Antiqua" w:cs="Arial"/>
        </w:rPr>
        <w:t>at</w:t>
      </w:r>
      <w:r>
        <w:rPr>
          <w:rFonts w:ascii="Book Antiqua" w:hAnsi="Book Antiqua" w:cs="Arial"/>
        </w:rPr>
        <w:t xml:space="preserve"> quashing, and of the substantive reasons given for the grant of permission, the Upper Tribunal has given permission to appeal against the decision of the First-tier Tribunal.  The new grounds advanced by Mr Sharma were, we respectfully consider, compellingly synthesi</w:t>
      </w:r>
      <w:r w:rsidR="007D3575">
        <w:rPr>
          <w:rFonts w:ascii="Book Antiqua" w:hAnsi="Book Antiqua" w:cs="Arial"/>
        </w:rPr>
        <w:t>s</w:t>
      </w:r>
      <w:r>
        <w:rPr>
          <w:rFonts w:ascii="Book Antiqua" w:hAnsi="Book Antiqua" w:cs="Arial"/>
        </w:rPr>
        <w:t xml:space="preserve">ed by the High Court in explaining why important points of principle </w:t>
      </w:r>
      <w:r w:rsidR="00794BED">
        <w:rPr>
          <w:rFonts w:ascii="Book Antiqua" w:hAnsi="Book Antiqua" w:cs="Arial"/>
        </w:rPr>
        <w:t xml:space="preserve">or practice </w:t>
      </w:r>
      <w:r>
        <w:rPr>
          <w:rFonts w:ascii="Book Antiqua" w:hAnsi="Book Antiqua" w:cs="Arial"/>
        </w:rPr>
        <w:t>arose.  In particular, the ground alleging that the First-tier Tribunal applied the wrong test in connection with paragraph 276ADE(1(vi) is of the kind which we accept the Upper Tribunal should have considered of its own volition, when considering the application for permission.</w:t>
      </w:r>
      <w:r w:rsidR="00F22BBD">
        <w:rPr>
          <w:rFonts w:ascii="Book Antiqua" w:hAnsi="Book Antiqua" w:cs="Arial"/>
        </w:rPr>
        <w:t xml:space="preserve"> In the circumstances, we g</w:t>
      </w:r>
      <w:r w:rsidR="008C6257">
        <w:rPr>
          <w:rFonts w:ascii="Book Antiqua" w:hAnsi="Book Antiqua" w:cs="Arial"/>
        </w:rPr>
        <w:t>a</w:t>
      </w:r>
      <w:r w:rsidR="00F22BBD">
        <w:rPr>
          <w:rFonts w:ascii="Book Antiqua" w:hAnsi="Book Antiqua" w:cs="Arial"/>
        </w:rPr>
        <w:t>ve permission to amend the grounds accordingly.</w:t>
      </w:r>
    </w:p>
    <w:p w:rsidR="003C7012" w:rsidRDefault="003C7012" w:rsidP="009A111C">
      <w:pPr>
        <w:numPr>
          <w:ilvl w:val="0"/>
          <w:numId w:val="2"/>
        </w:numPr>
        <w:tabs>
          <w:tab w:val="clear" w:pos="567"/>
        </w:tabs>
        <w:spacing w:before="240"/>
        <w:jc w:val="both"/>
        <w:rPr>
          <w:rFonts w:ascii="Book Antiqua" w:hAnsi="Book Antiqua" w:cs="Arial"/>
        </w:rPr>
      </w:pPr>
      <w:r>
        <w:rPr>
          <w:rFonts w:ascii="Book Antiqua" w:hAnsi="Book Antiqua" w:cs="Arial"/>
        </w:rPr>
        <w:t>Despite Mr Lindsay’s valiant efforts to persuade us otherwise, we are satisfied that the errors in the First-tier Tribunal decision are material.  The result is that we set aside the First-tier Tribunal’s decision.  Having regard to the nature and extent of the fact-finding</w:t>
      </w:r>
      <w:r w:rsidR="00C33E38">
        <w:rPr>
          <w:rFonts w:ascii="Book Antiqua" w:hAnsi="Book Antiqua" w:cs="Arial"/>
        </w:rPr>
        <w:t xml:space="preserve"> required</w:t>
      </w:r>
      <w:r>
        <w:rPr>
          <w:rFonts w:ascii="Book Antiqua" w:hAnsi="Book Antiqua" w:cs="Arial"/>
        </w:rPr>
        <w:t>, we remit the appeals to be heard entirely afresh by the First-tier Tribunal.</w:t>
      </w:r>
    </w:p>
    <w:p w:rsidR="00DE0221" w:rsidRDefault="00DE0221" w:rsidP="00DE0221">
      <w:pPr>
        <w:spacing w:before="240"/>
        <w:ind w:left="567"/>
        <w:jc w:val="both"/>
        <w:rPr>
          <w:rFonts w:ascii="Book Antiqua" w:hAnsi="Book Antiqua" w:cs="Arial"/>
        </w:rPr>
      </w:pPr>
    </w:p>
    <w:p w:rsidR="002D7D7C" w:rsidRDefault="002D7D7C" w:rsidP="00BF23BB">
      <w:pPr>
        <w:tabs>
          <w:tab w:val="left" w:pos="567"/>
        </w:tabs>
        <w:ind w:left="567" w:hanging="567"/>
        <w:jc w:val="both"/>
        <w:rPr>
          <w:rFonts w:ascii="Book Antiqua" w:hAnsi="Book Antiqua" w:cs="Arial"/>
        </w:rPr>
      </w:pPr>
    </w:p>
    <w:p w:rsidR="002D7D7C" w:rsidRPr="003C7012" w:rsidRDefault="002D7D7C" w:rsidP="002D7D7C">
      <w:pPr>
        <w:jc w:val="both"/>
        <w:rPr>
          <w:rFonts w:ascii="Book Antiqua" w:hAnsi="Book Antiqua" w:cs="Arial"/>
          <w:b/>
        </w:rPr>
      </w:pPr>
      <w:r w:rsidRPr="003C7012">
        <w:rPr>
          <w:rFonts w:ascii="Book Antiqua" w:hAnsi="Book Antiqua" w:cs="Arial"/>
          <w:b/>
        </w:rPr>
        <w:t>Decision</w:t>
      </w:r>
    </w:p>
    <w:p w:rsidR="002D7D7C" w:rsidRPr="002D7D7C" w:rsidRDefault="002D7D7C" w:rsidP="002D7D7C">
      <w:pPr>
        <w:jc w:val="both"/>
        <w:rPr>
          <w:rFonts w:ascii="Book Antiqua" w:hAnsi="Book Antiqua" w:cs="Arial"/>
        </w:rPr>
      </w:pPr>
    </w:p>
    <w:p w:rsidR="002D7D7C" w:rsidRDefault="003C7012" w:rsidP="00B77BDA">
      <w:pPr>
        <w:jc w:val="both"/>
        <w:rPr>
          <w:rFonts w:ascii="Book Antiqua" w:hAnsi="Book Antiqua" w:cs="Arial"/>
        </w:rPr>
      </w:pPr>
      <w:r>
        <w:rPr>
          <w:rFonts w:ascii="Book Antiqua" w:hAnsi="Book Antiqua" w:cs="Arial"/>
        </w:rPr>
        <w:t>Appeal allowed</w:t>
      </w:r>
      <w:r w:rsidR="00C33E38">
        <w:rPr>
          <w:rFonts w:ascii="Book Antiqua" w:hAnsi="Book Antiqua" w:cs="Arial"/>
        </w:rPr>
        <w:t>. The cases are remitted to the First-tier Tribunal.</w:t>
      </w:r>
      <w:r>
        <w:rPr>
          <w:rFonts w:ascii="Book Antiqua" w:hAnsi="Book Antiqua" w:cs="Arial"/>
        </w:rPr>
        <w:t xml:space="preserve">  </w:t>
      </w:r>
    </w:p>
    <w:p w:rsidR="00C33E38" w:rsidRPr="002D7D7C" w:rsidRDefault="00C33E38" w:rsidP="00B77BDA">
      <w:pPr>
        <w:jc w:val="both"/>
        <w:rPr>
          <w:rFonts w:ascii="Book Antiqua" w:hAnsi="Book Antiqua" w:cs="Arial"/>
        </w:rPr>
      </w:pPr>
    </w:p>
    <w:p w:rsidR="002D7D7C" w:rsidRPr="002D7D7C" w:rsidRDefault="002D7D7C" w:rsidP="002D7D7C">
      <w:pPr>
        <w:jc w:val="both"/>
        <w:rPr>
          <w:rFonts w:ascii="Book Antiqua" w:hAnsi="Book Antiqua" w:cs="Arial"/>
        </w:rPr>
      </w:pPr>
    </w:p>
    <w:p w:rsidR="002D7D7C" w:rsidRPr="002D7D7C" w:rsidRDefault="002D7D7C" w:rsidP="002D7D7C">
      <w:pPr>
        <w:jc w:val="both"/>
        <w:rPr>
          <w:rFonts w:ascii="Book Antiqua" w:hAnsi="Book Antiqua" w:cs="Arial"/>
        </w:rPr>
      </w:pPr>
      <w:r w:rsidRPr="002D7D7C">
        <w:rPr>
          <w:rFonts w:ascii="Book Antiqua" w:hAnsi="Book Antiqua" w:cs="Arial"/>
          <w:b/>
          <w:u w:val="single"/>
        </w:rPr>
        <w:t>Direction Regarding Anonymity – Rule 14 of the Tribunal Procedure (Upper Tribunal) Rules 2008</w:t>
      </w:r>
    </w:p>
    <w:p w:rsidR="002D7D7C" w:rsidRPr="002D7D7C" w:rsidRDefault="002D7D7C" w:rsidP="002D7D7C">
      <w:pPr>
        <w:jc w:val="both"/>
        <w:rPr>
          <w:rFonts w:ascii="Book Antiqua" w:hAnsi="Book Antiqua" w:cs="Arial"/>
        </w:rPr>
      </w:pPr>
    </w:p>
    <w:p w:rsidR="002D7D7C" w:rsidRDefault="002D7D7C" w:rsidP="002D7D7C">
      <w:pPr>
        <w:jc w:val="both"/>
        <w:rPr>
          <w:rFonts w:ascii="Book Antiqua" w:hAnsi="Book Antiqua"/>
        </w:rPr>
      </w:pPr>
      <w:r w:rsidRPr="002D7D7C">
        <w:rPr>
          <w:rFonts w:ascii="Book Antiqua" w:hAnsi="Book Antiqua" w:cs="Arial"/>
        </w:rPr>
        <w:t xml:space="preserve">Unless and </w:t>
      </w:r>
      <w:r w:rsidRPr="002D7D7C">
        <w:rPr>
          <w:rFonts w:ascii="Book Antiqua" w:hAnsi="Book Antiqua"/>
        </w:rPr>
        <w:t>until a Tribunal or court directs otherwise, the</w:t>
      </w:r>
      <w:r w:rsidR="00C33E38">
        <w:rPr>
          <w:rFonts w:ascii="Book Antiqua" w:hAnsi="Book Antiqua"/>
        </w:rPr>
        <w:t xml:space="preserve"> second</w:t>
      </w:r>
      <w:r w:rsidRPr="002D7D7C">
        <w:rPr>
          <w:rFonts w:ascii="Book Antiqua" w:hAnsi="Book Antiqua"/>
        </w:rPr>
        <w:t xml:space="preserve"> </w:t>
      </w:r>
      <w:r w:rsidR="003A40C6">
        <w:rPr>
          <w:rFonts w:ascii="Book Antiqua" w:hAnsi="Book Antiqua"/>
        </w:rPr>
        <w:t>a</w:t>
      </w:r>
      <w:r w:rsidRPr="002D7D7C">
        <w:rPr>
          <w:rFonts w:ascii="Book Antiqua" w:hAnsi="Book Antiqua"/>
        </w:rPr>
        <w:t xml:space="preserve">ppellant is granted anonymity.  No report of these proceedings shall directly or indirectly identify him.  This direction applies both to the </w:t>
      </w:r>
      <w:r w:rsidR="003A40C6">
        <w:rPr>
          <w:rFonts w:ascii="Book Antiqua" w:hAnsi="Book Antiqua"/>
        </w:rPr>
        <w:t>a</w:t>
      </w:r>
      <w:r w:rsidRPr="002D7D7C">
        <w:rPr>
          <w:rFonts w:ascii="Book Antiqua" w:hAnsi="Book Antiqua"/>
        </w:rPr>
        <w:t xml:space="preserve">ppellant and to the </w:t>
      </w:r>
      <w:r w:rsidR="003A40C6">
        <w:rPr>
          <w:rFonts w:ascii="Book Antiqua" w:hAnsi="Book Antiqua"/>
        </w:rPr>
        <w:t>r</w:t>
      </w:r>
      <w:r w:rsidRPr="002D7D7C">
        <w:rPr>
          <w:rFonts w:ascii="Book Antiqua" w:hAnsi="Book Antiqua"/>
        </w:rPr>
        <w:t>espondent.  Failure to comply with this direction could lead to contempt of court proceedings.</w:t>
      </w:r>
    </w:p>
    <w:p w:rsidR="00C33E38" w:rsidRDefault="00C33E38" w:rsidP="002D7D7C">
      <w:pPr>
        <w:jc w:val="both"/>
        <w:rPr>
          <w:rFonts w:ascii="Book Antiqua" w:hAnsi="Book Antiqua"/>
        </w:rPr>
      </w:pPr>
    </w:p>
    <w:p w:rsidR="00C33E38" w:rsidRDefault="00F53F3C" w:rsidP="002D7D7C">
      <w:pPr>
        <w:jc w:val="both"/>
        <w:rPr>
          <w:rFonts w:ascii="Lucida Handwriting" w:hAnsi="Lucida Handwriting" w:cs="Arial"/>
        </w:rPr>
      </w:pPr>
      <w:r>
        <w:rPr>
          <w:rFonts w:ascii="Lucida Handwriting" w:hAnsi="Lucida Handwriting" w:cs="Arial"/>
        </w:rPr>
        <w:t>Mr Justice Lane</w:t>
      </w:r>
    </w:p>
    <w:p w:rsidR="00F53F3C" w:rsidRDefault="00F53F3C" w:rsidP="002D7D7C">
      <w:pPr>
        <w:jc w:val="both"/>
        <w:rPr>
          <w:rFonts w:ascii="Lucida Handwriting" w:hAnsi="Lucida Handwriting" w:cs="Arial"/>
        </w:rPr>
      </w:pPr>
    </w:p>
    <w:p w:rsidR="00F53F3C" w:rsidRPr="00F53F3C" w:rsidRDefault="00F53F3C" w:rsidP="002D7D7C">
      <w:pPr>
        <w:jc w:val="both"/>
        <w:rPr>
          <w:rFonts w:ascii="Book Antiqua" w:hAnsi="Book Antiqua" w:cs="Arial"/>
        </w:rPr>
      </w:pPr>
      <w:r>
        <w:rPr>
          <w:rFonts w:ascii="Book Antiqua" w:hAnsi="Book Antiqua" w:cs="Arial"/>
        </w:rPr>
        <w:t>12 April 2021</w:t>
      </w:r>
    </w:p>
    <w:p w:rsidR="001F2716" w:rsidRDefault="001F2716" w:rsidP="00A63F70">
      <w:pPr>
        <w:tabs>
          <w:tab w:val="left" w:pos="2520"/>
        </w:tabs>
        <w:ind w:left="2835"/>
        <w:rPr>
          <w:rFonts w:ascii="Book Antiqua" w:hAnsi="Book Antiqua" w:cs="Arial"/>
        </w:rPr>
      </w:pPr>
    </w:p>
    <w:p w:rsidR="005B66DA" w:rsidRPr="00C3462F" w:rsidRDefault="005B66DA" w:rsidP="00A63F70">
      <w:pPr>
        <w:tabs>
          <w:tab w:val="left" w:pos="2520"/>
        </w:tabs>
        <w:ind w:left="2835"/>
        <w:rPr>
          <w:rFonts w:ascii="Book Antiqua" w:hAnsi="Book Antiqua" w:cs="Arial"/>
        </w:rPr>
      </w:pPr>
    </w:p>
    <w:p w:rsidR="00CA3919" w:rsidRDefault="00CA3919" w:rsidP="000477AE">
      <w:pPr>
        <w:tabs>
          <w:tab w:val="left" w:pos="2520"/>
        </w:tabs>
        <w:rPr>
          <w:rFonts w:ascii="Book Antiqua" w:hAnsi="Book Antiqua" w:cs="Arial"/>
          <w:color w:val="000000"/>
        </w:rPr>
      </w:pPr>
      <w:r>
        <w:rPr>
          <w:rFonts w:ascii="Book Antiqua" w:hAnsi="Book Antiqua" w:cs="Arial"/>
          <w:color w:val="000000"/>
        </w:rPr>
        <w:t>The Hon. Mr Justice</w:t>
      </w:r>
      <w:r w:rsidR="005035E7" w:rsidRPr="00C3462F">
        <w:rPr>
          <w:rFonts w:ascii="Book Antiqua" w:hAnsi="Book Antiqua" w:cs="Arial"/>
          <w:color w:val="000000"/>
        </w:rPr>
        <w:t xml:space="preserve"> Lane</w:t>
      </w:r>
    </w:p>
    <w:p w:rsidR="00CA3919" w:rsidRDefault="00CA3919" w:rsidP="000477AE">
      <w:pPr>
        <w:tabs>
          <w:tab w:val="left" w:pos="2520"/>
        </w:tabs>
        <w:rPr>
          <w:rFonts w:ascii="Book Antiqua" w:hAnsi="Book Antiqua" w:cs="Arial"/>
          <w:color w:val="000000"/>
        </w:rPr>
      </w:pPr>
      <w:r>
        <w:rPr>
          <w:rFonts w:ascii="Book Antiqua" w:hAnsi="Book Antiqua" w:cs="Arial"/>
          <w:color w:val="000000"/>
        </w:rPr>
        <w:t>President of the Upper Tribunal</w:t>
      </w:r>
    </w:p>
    <w:p w:rsidR="00B95326" w:rsidRPr="00C3462F" w:rsidRDefault="00CA3919" w:rsidP="000477AE">
      <w:pPr>
        <w:tabs>
          <w:tab w:val="left" w:pos="2520"/>
        </w:tabs>
        <w:rPr>
          <w:rFonts w:ascii="Book Antiqua" w:hAnsi="Book Antiqua" w:cs="Arial"/>
          <w:color w:val="000000"/>
        </w:rPr>
      </w:pPr>
      <w:r>
        <w:rPr>
          <w:rFonts w:ascii="Book Antiqua" w:hAnsi="Book Antiqua" w:cs="Arial"/>
          <w:color w:val="000000"/>
        </w:rPr>
        <w:t>Immigration and Asylum Chamber</w:t>
      </w:r>
      <w:r w:rsidR="0072497A" w:rsidRPr="00C3462F">
        <w:rPr>
          <w:rFonts w:ascii="Book Antiqua" w:hAnsi="Book Antiqua" w:cs="Arial"/>
          <w:color w:val="000000"/>
        </w:rPr>
        <w:t xml:space="preserve"> </w:t>
      </w:r>
    </w:p>
    <w:p w:rsidR="002D7D7C" w:rsidRDefault="002D7D7C" w:rsidP="002D7D7C">
      <w:pPr>
        <w:tabs>
          <w:tab w:val="left" w:pos="2520"/>
        </w:tabs>
        <w:ind w:left="4508" w:hanging="539"/>
        <w:rPr>
          <w:rFonts w:ascii="Book Antiqua" w:hAnsi="Book Antiqua" w:cs="Arial"/>
        </w:rPr>
      </w:pPr>
    </w:p>
    <w:sectPr w:rsidR="002D7D7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52E3" w:rsidRDefault="000352E3">
      <w:r>
        <w:separator/>
      </w:r>
    </w:p>
  </w:endnote>
  <w:endnote w:type="continuationSeparator" w:id="0">
    <w:p w:rsidR="000352E3" w:rsidRDefault="0003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5D00" w:rsidRPr="00C3462F" w:rsidRDefault="00DB5D00" w:rsidP="00593795">
    <w:pPr>
      <w:pStyle w:val="Footer"/>
      <w:jc w:val="center"/>
      <w:rPr>
        <w:rFonts w:ascii="Book Antiqua" w:hAnsi="Book Antiqua" w:cs="Arial"/>
        <w:sz w:val="16"/>
        <w:szCs w:val="16"/>
      </w:rPr>
    </w:pPr>
    <w:r w:rsidRPr="00C3462F">
      <w:rPr>
        <w:rStyle w:val="PageNumber"/>
        <w:rFonts w:ascii="Book Antiqua" w:hAnsi="Book Antiqua" w:cs="Arial"/>
        <w:sz w:val="16"/>
        <w:szCs w:val="16"/>
      </w:rPr>
      <w:fldChar w:fldCharType="begin"/>
    </w:r>
    <w:r w:rsidRPr="00C3462F">
      <w:rPr>
        <w:rStyle w:val="PageNumber"/>
        <w:rFonts w:ascii="Book Antiqua" w:hAnsi="Book Antiqua" w:cs="Arial"/>
        <w:sz w:val="16"/>
        <w:szCs w:val="16"/>
      </w:rPr>
      <w:instrText xml:space="preserve"> PAGE </w:instrText>
    </w:r>
    <w:r w:rsidRPr="00C3462F">
      <w:rPr>
        <w:rStyle w:val="PageNumber"/>
        <w:rFonts w:ascii="Book Antiqua" w:hAnsi="Book Antiqua" w:cs="Arial"/>
        <w:sz w:val="16"/>
        <w:szCs w:val="16"/>
      </w:rPr>
      <w:fldChar w:fldCharType="separate"/>
    </w:r>
    <w:r>
      <w:rPr>
        <w:rStyle w:val="PageNumber"/>
        <w:rFonts w:ascii="Book Antiqua" w:hAnsi="Book Antiqua" w:cs="Arial"/>
        <w:noProof/>
        <w:sz w:val="16"/>
        <w:szCs w:val="16"/>
      </w:rPr>
      <w:t>3</w:t>
    </w:r>
    <w:r w:rsidRPr="00C3462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5D00" w:rsidRPr="00C3462F" w:rsidRDefault="00DB5D00" w:rsidP="00090CF9">
    <w:pPr>
      <w:jc w:val="center"/>
      <w:rPr>
        <w:rFonts w:ascii="Book Antiqua" w:hAnsi="Book Antiqua" w:cs="Arial"/>
        <w:b/>
      </w:rPr>
    </w:pPr>
    <w:r w:rsidRPr="00C3462F">
      <w:rPr>
        <w:rFonts w:ascii="Book Antiqua" w:hAnsi="Book Antiqua" w:cs="Arial"/>
        <w:b/>
        <w:spacing w:val="-6"/>
      </w:rPr>
      <w:t>©</w:t>
    </w:r>
    <w:r>
      <w:rPr>
        <w:rFonts w:ascii="Book Antiqua" w:hAnsi="Book Antiqua" w:cs="Arial"/>
        <w:b/>
      </w:rPr>
      <w:t xml:space="preserve"> CROWN COPYRIGHT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52E3" w:rsidRDefault="000352E3">
      <w:r>
        <w:separator/>
      </w:r>
    </w:p>
  </w:footnote>
  <w:footnote w:type="continuationSeparator" w:id="0">
    <w:p w:rsidR="000352E3" w:rsidRDefault="00035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5D00" w:rsidRDefault="00DB5D00" w:rsidP="00593795">
    <w:pPr>
      <w:pStyle w:val="Header"/>
      <w:jc w:val="right"/>
      <w:rPr>
        <w:rFonts w:ascii="Book Antiqua" w:hAnsi="Book Antiqua" w:cs="Arial"/>
        <w:sz w:val="16"/>
        <w:szCs w:val="16"/>
      </w:rPr>
    </w:pPr>
  </w:p>
  <w:p w:rsidR="00DB5D00" w:rsidRDefault="00DB5D00" w:rsidP="00593795">
    <w:pPr>
      <w:pStyle w:val="Header"/>
      <w:jc w:val="right"/>
      <w:rPr>
        <w:rFonts w:ascii="Book Antiqua" w:hAnsi="Book Antiqua" w:cs="Arial"/>
        <w:sz w:val="16"/>
        <w:szCs w:val="16"/>
      </w:rPr>
    </w:pPr>
  </w:p>
  <w:p w:rsidR="00DB5D00" w:rsidRPr="00C3462F" w:rsidRDefault="00DB5D00"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5D00" w:rsidRPr="00C3462F" w:rsidRDefault="00DB5D00">
    <w:pPr>
      <w:pStyle w:val="Header"/>
      <w:rPr>
        <w:rFonts w:ascii="Book Antiqua" w:hAnsi="Book Antiqua"/>
      </w:rPr>
    </w:pPr>
    <w:r w:rsidRPr="00C3462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861"/>
    <w:multiLevelType w:val="hybridMultilevel"/>
    <w:tmpl w:val="A142F0B8"/>
    <w:lvl w:ilvl="0" w:tplc="BC0CB7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60EB8"/>
    <w:multiLevelType w:val="multilevel"/>
    <w:tmpl w:val="9C0011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1E43D21"/>
    <w:multiLevelType w:val="multilevel"/>
    <w:tmpl w:val="9DAA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C0E9B"/>
    <w:multiLevelType w:val="hybridMultilevel"/>
    <w:tmpl w:val="5B682092"/>
    <w:lvl w:ilvl="0" w:tplc="304C4758">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68E5"/>
    <w:rsid w:val="00000621"/>
    <w:rsid w:val="000036C2"/>
    <w:rsid w:val="0000425B"/>
    <w:rsid w:val="00011FBA"/>
    <w:rsid w:val="00033D3D"/>
    <w:rsid w:val="000352E3"/>
    <w:rsid w:val="00036C1F"/>
    <w:rsid w:val="000477AE"/>
    <w:rsid w:val="00062F02"/>
    <w:rsid w:val="00064F41"/>
    <w:rsid w:val="000662A6"/>
    <w:rsid w:val="000670AC"/>
    <w:rsid w:val="00071A7E"/>
    <w:rsid w:val="00072603"/>
    <w:rsid w:val="000746C0"/>
    <w:rsid w:val="00074D1D"/>
    <w:rsid w:val="00086A0C"/>
    <w:rsid w:val="00090CF9"/>
    <w:rsid w:val="00092580"/>
    <w:rsid w:val="00093D4D"/>
    <w:rsid w:val="000964B6"/>
    <w:rsid w:val="000C614B"/>
    <w:rsid w:val="000D0981"/>
    <w:rsid w:val="000D0C54"/>
    <w:rsid w:val="000D2FBB"/>
    <w:rsid w:val="000D5D94"/>
    <w:rsid w:val="000D797E"/>
    <w:rsid w:val="000F1A0E"/>
    <w:rsid w:val="00101C18"/>
    <w:rsid w:val="0011003C"/>
    <w:rsid w:val="00110621"/>
    <w:rsid w:val="001165A7"/>
    <w:rsid w:val="00117451"/>
    <w:rsid w:val="0012566A"/>
    <w:rsid w:val="001416CE"/>
    <w:rsid w:val="00165F79"/>
    <w:rsid w:val="00166F49"/>
    <w:rsid w:val="00167D3A"/>
    <w:rsid w:val="00181D04"/>
    <w:rsid w:val="001A3082"/>
    <w:rsid w:val="001A5490"/>
    <w:rsid w:val="001B131E"/>
    <w:rsid w:val="001B186A"/>
    <w:rsid w:val="001B2F75"/>
    <w:rsid w:val="001C204A"/>
    <w:rsid w:val="001C7CA0"/>
    <w:rsid w:val="001F2716"/>
    <w:rsid w:val="00207617"/>
    <w:rsid w:val="00212E66"/>
    <w:rsid w:val="0023134B"/>
    <w:rsid w:val="00241D96"/>
    <w:rsid w:val="00243A61"/>
    <w:rsid w:val="0025684A"/>
    <w:rsid w:val="00262D08"/>
    <w:rsid w:val="002677C6"/>
    <w:rsid w:val="00270E13"/>
    <w:rsid w:val="00277001"/>
    <w:rsid w:val="00283659"/>
    <w:rsid w:val="002C0EA7"/>
    <w:rsid w:val="002C6B15"/>
    <w:rsid w:val="002C6BD4"/>
    <w:rsid w:val="002D243B"/>
    <w:rsid w:val="002D68BF"/>
    <w:rsid w:val="002D7D7C"/>
    <w:rsid w:val="002F0785"/>
    <w:rsid w:val="002F2AC2"/>
    <w:rsid w:val="002F6B98"/>
    <w:rsid w:val="00315E15"/>
    <w:rsid w:val="00322386"/>
    <w:rsid w:val="00323284"/>
    <w:rsid w:val="00336CBF"/>
    <w:rsid w:val="00343FE3"/>
    <w:rsid w:val="00345A39"/>
    <w:rsid w:val="003546C8"/>
    <w:rsid w:val="00376B10"/>
    <w:rsid w:val="00396100"/>
    <w:rsid w:val="00396456"/>
    <w:rsid w:val="003A283A"/>
    <w:rsid w:val="003A40C6"/>
    <w:rsid w:val="003A7CF2"/>
    <w:rsid w:val="003B3AF2"/>
    <w:rsid w:val="003C5312"/>
    <w:rsid w:val="003C5CE5"/>
    <w:rsid w:val="003C6A63"/>
    <w:rsid w:val="003C7012"/>
    <w:rsid w:val="003E267B"/>
    <w:rsid w:val="003E2E57"/>
    <w:rsid w:val="003E7CD1"/>
    <w:rsid w:val="003F553F"/>
    <w:rsid w:val="003F586F"/>
    <w:rsid w:val="00402B9E"/>
    <w:rsid w:val="0042078C"/>
    <w:rsid w:val="004221C4"/>
    <w:rsid w:val="004221F2"/>
    <w:rsid w:val="004249CB"/>
    <w:rsid w:val="00432F4A"/>
    <w:rsid w:val="0044127D"/>
    <w:rsid w:val="0044362D"/>
    <w:rsid w:val="004448DB"/>
    <w:rsid w:val="00446C9A"/>
    <w:rsid w:val="00452F2B"/>
    <w:rsid w:val="00462601"/>
    <w:rsid w:val="00474091"/>
    <w:rsid w:val="00477193"/>
    <w:rsid w:val="004A1848"/>
    <w:rsid w:val="004A1FEC"/>
    <w:rsid w:val="004A6F4A"/>
    <w:rsid w:val="004B1A92"/>
    <w:rsid w:val="004E4717"/>
    <w:rsid w:val="004F2DC5"/>
    <w:rsid w:val="005035E7"/>
    <w:rsid w:val="00507FEC"/>
    <w:rsid w:val="00510F0E"/>
    <w:rsid w:val="0053629D"/>
    <w:rsid w:val="00542C0A"/>
    <w:rsid w:val="005479E1"/>
    <w:rsid w:val="00553E0A"/>
    <w:rsid w:val="00555EE1"/>
    <w:rsid w:val="005570FD"/>
    <w:rsid w:val="005575EA"/>
    <w:rsid w:val="00560280"/>
    <w:rsid w:val="00563E77"/>
    <w:rsid w:val="0057790C"/>
    <w:rsid w:val="00593795"/>
    <w:rsid w:val="00593821"/>
    <w:rsid w:val="00593C42"/>
    <w:rsid w:val="005A549B"/>
    <w:rsid w:val="005A5941"/>
    <w:rsid w:val="005A75FF"/>
    <w:rsid w:val="005B66DA"/>
    <w:rsid w:val="005D10AB"/>
    <w:rsid w:val="00601AEA"/>
    <w:rsid w:val="00601D8F"/>
    <w:rsid w:val="006107DB"/>
    <w:rsid w:val="006119D8"/>
    <w:rsid w:val="0061262B"/>
    <w:rsid w:val="0062137D"/>
    <w:rsid w:val="00623575"/>
    <w:rsid w:val="00635141"/>
    <w:rsid w:val="00653E97"/>
    <w:rsid w:val="00663ED0"/>
    <w:rsid w:val="006647B1"/>
    <w:rsid w:val="00681A7E"/>
    <w:rsid w:val="006840ED"/>
    <w:rsid w:val="00684A74"/>
    <w:rsid w:val="00690B8A"/>
    <w:rsid w:val="006A2F41"/>
    <w:rsid w:val="006B025B"/>
    <w:rsid w:val="006B4B1F"/>
    <w:rsid w:val="006B7DC2"/>
    <w:rsid w:val="006C12F6"/>
    <w:rsid w:val="006E3729"/>
    <w:rsid w:val="006F283F"/>
    <w:rsid w:val="006F2BEC"/>
    <w:rsid w:val="006F2CF1"/>
    <w:rsid w:val="006F74C5"/>
    <w:rsid w:val="00701694"/>
    <w:rsid w:val="007038ED"/>
    <w:rsid w:val="00703BC3"/>
    <w:rsid w:val="00704B61"/>
    <w:rsid w:val="007110C8"/>
    <w:rsid w:val="00713EC3"/>
    <w:rsid w:val="0072497A"/>
    <w:rsid w:val="007334B3"/>
    <w:rsid w:val="00752587"/>
    <w:rsid w:val="007535EB"/>
    <w:rsid w:val="007552A9"/>
    <w:rsid w:val="00761858"/>
    <w:rsid w:val="007625CE"/>
    <w:rsid w:val="00767D59"/>
    <w:rsid w:val="007757D9"/>
    <w:rsid w:val="00776E97"/>
    <w:rsid w:val="00780F86"/>
    <w:rsid w:val="00783961"/>
    <w:rsid w:val="0079100E"/>
    <w:rsid w:val="007912AD"/>
    <w:rsid w:val="00794BED"/>
    <w:rsid w:val="007A6E74"/>
    <w:rsid w:val="007B0824"/>
    <w:rsid w:val="007B5D3C"/>
    <w:rsid w:val="007C0C06"/>
    <w:rsid w:val="007D3575"/>
    <w:rsid w:val="007D51C8"/>
    <w:rsid w:val="007F4C3D"/>
    <w:rsid w:val="007F6EDE"/>
    <w:rsid w:val="00801BA5"/>
    <w:rsid w:val="00821B72"/>
    <w:rsid w:val="00821EC4"/>
    <w:rsid w:val="00823EF2"/>
    <w:rsid w:val="00827A0F"/>
    <w:rsid w:val="008303B8"/>
    <w:rsid w:val="00833DCE"/>
    <w:rsid w:val="00835855"/>
    <w:rsid w:val="008456D8"/>
    <w:rsid w:val="008543B4"/>
    <w:rsid w:val="00857784"/>
    <w:rsid w:val="0086025E"/>
    <w:rsid w:val="008641C9"/>
    <w:rsid w:val="00870CFF"/>
    <w:rsid w:val="00871D34"/>
    <w:rsid w:val="00872023"/>
    <w:rsid w:val="008752AE"/>
    <w:rsid w:val="00880557"/>
    <w:rsid w:val="008B0814"/>
    <w:rsid w:val="008B270C"/>
    <w:rsid w:val="008B5078"/>
    <w:rsid w:val="008C3D3D"/>
    <w:rsid w:val="008C6257"/>
    <w:rsid w:val="008D2348"/>
    <w:rsid w:val="008D4131"/>
    <w:rsid w:val="008D601C"/>
    <w:rsid w:val="008E4281"/>
    <w:rsid w:val="008E58F3"/>
    <w:rsid w:val="008F1932"/>
    <w:rsid w:val="008F3414"/>
    <w:rsid w:val="008F68E5"/>
    <w:rsid w:val="00901C9C"/>
    <w:rsid w:val="00906027"/>
    <w:rsid w:val="00921062"/>
    <w:rsid w:val="00925AB2"/>
    <w:rsid w:val="009354EC"/>
    <w:rsid w:val="009509BC"/>
    <w:rsid w:val="00963AD8"/>
    <w:rsid w:val="009661F2"/>
    <w:rsid w:val="009722BC"/>
    <w:rsid w:val="009727A3"/>
    <w:rsid w:val="00987774"/>
    <w:rsid w:val="009A111C"/>
    <w:rsid w:val="009A11E8"/>
    <w:rsid w:val="009B3BBB"/>
    <w:rsid w:val="009C1C52"/>
    <w:rsid w:val="009D4B35"/>
    <w:rsid w:val="009F5220"/>
    <w:rsid w:val="00A029CF"/>
    <w:rsid w:val="00A0777A"/>
    <w:rsid w:val="00A108FD"/>
    <w:rsid w:val="00A15234"/>
    <w:rsid w:val="00A201AB"/>
    <w:rsid w:val="00A22DDD"/>
    <w:rsid w:val="00A31C8B"/>
    <w:rsid w:val="00A478AB"/>
    <w:rsid w:val="00A509FA"/>
    <w:rsid w:val="00A51E3E"/>
    <w:rsid w:val="00A638DD"/>
    <w:rsid w:val="00A63F70"/>
    <w:rsid w:val="00A75BA4"/>
    <w:rsid w:val="00A845DC"/>
    <w:rsid w:val="00A901ED"/>
    <w:rsid w:val="00A94746"/>
    <w:rsid w:val="00AA116A"/>
    <w:rsid w:val="00AA1B47"/>
    <w:rsid w:val="00AF5B72"/>
    <w:rsid w:val="00AF7E53"/>
    <w:rsid w:val="00B03324"/>
    <w:rsid w:val="00B219F2"/>
    <w:rsid w:val="00B245BA"/>
    <w:rsid w:val="00B24729"/>
    <w:rsid w:val="00B26AA2"/>
    <w:rsid w:val="00B3524D"/>
    <w:rsid w:val="00B40F69"/>
    <w:rsid w:val="00B46616"/>
    <w:rsid w:val="00B56578"/>
    <w:rsid w:val="00B66A1E"/>
    <w:rsid w:val="00B7040A"/>
    <w:rsid w:val="00B7710F"/>
    <w:rsid w:val="00B77BDA"/>
    <w:rsid w:val="00B83391"/>
    <w:rsid w:val="00B87C61"/>
    <w:rsid w:val="00B95326"/>
    <w:rsid w:val="00B976D0"/>
    <w:rsid w:val="00BB3F75"/>
    <w:rsid w:val="00BD1269"/>
    <w:rsid w:val="00BD4196"/>
    <w:rsid w:val="00BF22CA"/>
    <w:rsid w:val="00BF23BB"/>
    <w:rsid w:val="00C07A16"/>
    <w:rsid w:val="00C12F97"/>
    <w:rsid w:val="00C206B9"/>
    <w:rsid w:val="00C25B62"/>
    <w:rsid w:val="00C26032"/>
    <w:rsid w:val="00C33E38"/>
    <w:rsid w:val="00C345E1"/>
    <w:rsid w:val="00C3462F"/>
    <w:rsid w:val="00C43BFD"/>
    <w:rsid w:val="00C778CC"/>
    <w:rsid w:val="00C93C04"/>
    <w:rsid w:val="00CA3919"/>
    <w:rsid w:val="00CB1046"/>
    <w:rsid w:val="00CB6E35"/>
    <w:rsid w:val="00CC3541"/>
    <w:rsid w:val="00CC70F0"/>
    <w:rsid w:val="00CD0E85"/>
    <w:rsid w:val="00CD15AF"/>
    <w:rsid w:val="00CD2704"/>
    <w:rsid w:val="00CE1A46"/>
    <w:rsid w:val="00CE7F95"/>
    <w:rsid w:val="00D06A68"/>
    <w:rsid w:val="00D11D2C"/>
    <w:rsid w:val="00D20757"/>
    <w:rsid w:val="00D22636"/>
    <w:rsid w:val="00D40FD9"/>
    <w:rsid w:val="00D41C08"/>
    <w:rsid w:val="00D424D4"/>
    <w:rsid w:val="00D53769"/>
    <w:rsid w:val="00D63709"/>
    <w:rsid w:val="00D733A2"/>
    <w:rsid w:val="00D85C13"/>
    <w:rsid w:val="00D9111A"/>
    <w:rsid w:val="00D91BE3"/>
    <w:rsid w:val="00D94AFC"/>
    <w:rsid w:val="00DB5D00"/>
    <w:rsid w:val="00DB70AE"/>
    <w:rsid w:val="00DB7867"/>
    <w:rsid w:val="00DD0315"/>
    <w:rsid w:val="00DD5071"/>
    <w:rsid w:val="00DD5C39"/>
    <w:rsid w:val="00DE0221"/>
    <w:rsid w:val="00DE6494"/>
    <w:rsid w:val="00DE7DB7"/>
    <w:rsid w:val="00E00A0A"/>
    <w:rsid w:val="00E066DE"/>
    <w:rsid w:val="00E07F57"/>
    <w:rsid w:val="00E07FFC"/>
    <w:rsid w:val="00E30683"/>
    <w:rsid w:val="00E32FED"/>
    <w:rsid w:val="00E451C1"/>
    <w:rsid w:val="00E453D8"/>
    <w:rsid w:val="00E50BCE"/>
    <w:rsid w:val="00E53922"/>
    <w:rsid w:val="00E574BF"/>
    <w:rsid w:val="00E61292"/>
    <w:rsid w:val="00E63243"/>
    <w:rsid w:val="00E73153"/>
    <w:rsid w:val="00E76275"/>
    <w:rsid w:val="00E77C4D"/>
    <w:rsid w:val="00E80A8E"/>
    <w:rsid w:val="00E81D01"/>
    <w:rsid w:val="00E8406A"/>
    <w:rsid w:val="00E93D82"/>
    <w:rsid w:val="00EB7C49"/>
    <w:rsid w:val="00EC2A60"/>
    <w:rsid w:val="00EC4AB8"/>
    <w:rsid w:val="00ED03A4"/>
    <w:rsid w:val="00ED5A15"/>
    <w:rsid w:val="00ED6D69"/>
    <w:rsid w:val="00EE45D8"/>
    <w:rsid w:val="00F015C4"/>
    <w:rsid w:val="00F075F2"/>
    <w:rsid w:val="00F10D3A"/>
    <w:rsid w:val="00F22BBD"/>
    <w:rsid w:val="00F22EDA"/>
    <w:rsid w:val="00F26D42"/>
    <w:rsid w:val="00F27E1B"/>
    <w:rsid w:val="00F33159"/>
    <w:rsid w:val="00F50AB8"/>
    <w:rsid w:val="00F5135B"/>
    <w:rsid w:val="00F53F3C"/>
    <w:rsid w:val="00F607AA"/>
    <w:rsid w:val="00F6241D"/>
    <w:rsid w:val="00F85E13"/>
    <w:rsid w:val="00FC4177"/>
    <w:rsid w:val="00FD32EC"/>
    <w:rsid w:val="00FE0CDD"/>
    <w:rsid w:val="00FF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C4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3938">
      <w:bodyDiv w:val="1"/>
      <w:marLeft w:val="0"/>
      <w:marRight w:val="0"/>
      <w:marTop w:val="0"/>
      <w:marBottom w:val="0"/>
      <w:divBdr>
        <w:top w:val="none" w:sz="0" w:space="0" w:color="auto"/>
        <w:left w:val="none" w:sz="0" w:space="0" w:color="auto"/>
        <w:bottom w:val="none" w:sz="0" w:space="0" w:color="auto"/>
        <w:right w:val="none" w:sz="0" w:space="0" w:color="auto"/>
      </w:divBdr>
    </w:div>
    <w:div w:id="45082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1A0FC-64C3-4512-A0AF-4AF992F6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5021</Words>
  <Characters>28622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2022-02-28T19:46:00Z</dcterms:created>
  <dcterms:modified xsi:type="dcterms:W3CDTF">2022-02-28T19:46:00Z</dcterms:modified>
</cp:coreProperties>
</file>