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837D" w14:textId="77777777" w:rsidR="00E07BA0" w:rsidRDefault="00E07BA0" w:rsidP="00E07BA0">
      <w:pPr>
        <w:tabs>
          <w:tab w:val="right" w:pos="9072"/>
        </w:tabs>
        <w:ind w:left="9072" w:right="-43" w:hanging="9072"/>
        <w:jc w:val="center"/>
        <w:rPr>
          <w:b/>
          <w:szCs w:val="24"/>
        </w:rPr>
      </w:pPr>
      <w:bookmarkStart w:id="0" w:name="_GoBack"/>
      <w:bookmarkEnd w:id="0"/>
    </w:p>
    <w:p w14:paraId="59F38819" w14:textId="2C8D2E84" w:rsidR="00E07BA0" w:rsidRDefault="00E07BA0" w:rsidP="00E07BA0">
      <w:pPr>
        <w:tabs>
          <w:tab w:val="right" w:pos="9072"/>
        </w:tabs>
        <w:ind w:left="9072" w:right="-43" w:hanging="9072"/>
        <w:jc w:val="center"/>
        <w:rPr>
          <w:b/>
          <w:szCs w:val="24"/>
        </w:rPr>
      </w:pPr>
      <w:r w:rsidRPr="00E07BA0">
        <w:rPr>
          <w:b/>
          <w:szCs w:val="24"/>
        </w:rPr>
        <w:t>UPPER TRIBUNAL (LANDS CHAMBER)</w:t>
      </w:r>
    </w:p>
    <w:p w14:paraId="3F3E35DA" w14:textId="77777777" w:rsidR="00E07BA0" w:rsidRDefault="00E07BA0" w:rsidP="00E07BA0">
      <w:pPr>
        <w:tabs>
          <w:tab w:val="right" w:pos="9072"/>
        </w:tabs>
        <w:ind w:left="9072" w:right="-43" w:hanging="9072"/>
        <w:jc w:val="center"/>
        <w:rPr>
          <w:b/>
          <w:szCs w:val="24"/>
        </w:rPr>
      </w:pPr>
    </w:p>
    <w:p w14:paraId="5E2A56B2" w14:textId="6D6F17DE" w:rsidR="00E07BA0" w:rsidRDefault="00E07BA0" w:rsidP="00E07BA0">
      <w:pPr>
        <w:tabs>
          <w:tab w:val="right" w:pos="9072"/>
        </w:tabs>
        <w:ind w:left="9072" w:right="-43" w:hanging="9072"/>
        <w:jc w:val="center"/>
        <w:rPr>
          <w:b/>
          <w:szCs w:val="24"/>
        </w:rPr>
      </w:pPr>
      <w:r w:rsidRPr="00D90984">
        <w:rPr>
          <w:noProof/>
          <w:szCs w:val="24"/>
          <w:lang w:eastAsia="en-GB"/>
        </w:rPr>
        <w:drawing>
          <wp:inline distT="0" distB="0" distL="0" distR="0" wp14:anchorId="1B1F9EF8" wp14:editId="27225DB9">
            <wp:extent cx="914400" cy="771525"/>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14:paraId="5973F9CA" w14:textId="77777777" w:rsidR="00E07BA0" w:rsidRDefault="00E07BA0" w:rsidP="00EF02F1">
      <w:pPr>
        <w:tabs>
          <w:tab w:val="right" w:pos="9072"/>
        </w:tabs>
        <w:ind w:left="9072" w:right="-43" w:hanging="9072"/>
        <w:jc w:val="right"/>
        <w:rPr>
          <w:b/>
          <w:szCs w:val="24"/>
        </w:rPr>
      </w:pPr>
    </w:p>
    <w:p w14:paraId="6406BE73" w14:textId="7728E461" w:rsidR="00EF02F1" w:rsidRPr="00D90984" w:rsidRDefault="00EF02F1" w:rsidP="00EF02F1">
      <w:pPr>
        <w:tabs>
          <w:tab w:val="right" w:pos="9072"/>
        </w:tabs>
        <w:ind w:left="9072" w:right="-43" w:hanging="9072"/>
        <w:jc w:val="right"/>
        <w:rPr>
          <w:b/>
          <w:szCs w:val="24"/>
        </w:rPr>
      </w:pPr>
      <w:r w:rsidRPr="00D90984">
        <w:rPr>
          <w:b/>
          <w:szCs w:val="24"/>
        </w:rPr>
        <w:t xml:space="preserve">UT Neutral citation number: </w:t>
      </w:r>
      <w:r w:rsidR="00206A70" w:rsidRPr="00D90984">
        <w:rPr>
          <w:b/>
          <w:szCs w:val="24"/>
        </w:rPr>
        <w:t>[202</w:t>
      </w:r>
      <w:r w:rsidR="00DB7CEC">
        <w:rPr>
          <w:b/>
          <w:szCs w:val="24"/>
        </w:rPr>
        <w:t>2</w:t>
      </w:r>
      <w:r w:rsidR="00BA367D" w:rsidRPr="00D90984">
        <w:rPr>
          <w:b/>
          <w:szCs w:val="24"/>
        </w:rPr>
        <w:t xml:space="preserve">] UKUT </w:t>
      </w:r>
      <w:r w:rsidR="00C06D99">
        <w:rPr>
          <w:b/>
          <w:szCs w:val="24"/>
        </w:rPr>
        <w:t xml:space="preserve">26 </w:t>
      </w:r>
      <w:r w:rsidR="0068047F" w:rsidRPr="00D90984">
        <w:rPr>
          <w:b/>
          <w:szCs w:val="24"/>
        </w:rPr>
        <w:t>(LC)</w:t>
      </w:r>
    </w:p>
    <w:p w14:paraId="309D0987" w14:textId="25823143" w:rsidR="00E3383E" w:rsidRDefault="00752AC1" w:rsidP="001017A5">
      <w:pPr>
        <w:tabs>
          <w:tab w:val="right" w:pos="9072"/>
        </w:tabs>
        <w:ind w:right="-43"/>
        <w:jc w:val="right"/>
        <w:rPr>
          <w:b/>
          <w:szCs w:val="24"/>
        </w:rPr>
      </w:pPr>
      <w:r w:rsidRPr="00D90984">
        <w:rPr>
          <w:b/>
          <w:szCs w:val="24"/>
        </w:rPr>
        <w:t>UTLC Case Number</w:t>
      </w:r>
      <w:r w:rsidR="00E3383E" w:rsidRPr="00D90984">
        <w:rPr>
          <w:b/>
          <w:szCs w:val="24"/>
        </w:rPr>
        <w:t>s</w:t>
      </w:r>
      <w:r w:rsidRPr="00D90984">
        <w:rPr>
          <w:b/>
          <w:szCs w:val="24"/>
        </w:rPr>
        <w:t xml:space="preserve">: </w:t>
      </w:r>
      <w:r w:rsidR="009879D6">
        <w:rPr>
          <w:b/>
          <w:szCs w:val="24"/>
        </w:rPr>
        <w:t>LC-202</w:t>
      </w:r>
      <w:r w:rsidR="008331BC">
        <w:rPr>
          <w:b/>
          <w:szCs w:val="24"/>
        </w:rPr>
        <w:t>1</w:t>
      </w:r>
      <w:r w:rsidR="000B28D7">
        <w:rPr>
          <w:b/>
          <w:szCs w:val="24"/>
        </w:rPr>
        <w:t>-</w:t>
      </w:r>
      <w:r w:rsidR="000D61F3">
        <w:rPr>
          <w:b/>
          <w:szCs w:val="24"/>
        </w:rPr>
        <w:t>35</w:t>
      </w:r>
      <w:r w:rsidR="0015633B">
        <w:rPr>
          <w:b/>
          <w:szCs w:val="24"/>
        </w:rPr>
        <w:t>3</w:t>
      </w:r>
    </w:p>
    <w:p w14:paraId="0EA8989B" w14:textId="77777777" w:rsidR="00962826" w:rsidRPr="00D90984" w:rsidRDefault="00962826" w:rsidP="001017A5">
      <w:pPr>
        <w:tabs>
          <w:tab w:val="right" w:pos="9072"/>
        </w:tabs>
        <w:ind w:right="-43"/>
        <w:jc w:val="right"/>
        <w:rPr>
          <w:b/>
          <w:szCs w:val="24"/>
        </w:rPr>
      </w:pPr>
    </w:p>
    <w:p w14:paraId="3A69BF53" w14:textId="2009997F" w:rsidR="00F14A9D" w:rsidRDefault="00F14A9D" w:rsidP="008B479F">
      <w:pPr>
        <w:tabs>
          <w:tab w:val="center" w:pos="4672"/>
          <w:tab w:val="right" w:pos="9072"/>
        </w:tabs>
        <w:ind w:right="-22"/>
        <w:rPr>
          <w:b/>
          <w:szCs w:val="24"/>
        </w:rPr>
      </w:pPr>
    </w:p>
    <w:p w14:paraId="2B5262D2" w14:textId="77777777" w:rsidR="00962826" w:rsidRDefault="00962826" w:rsidP="008B479F">
      <w:pPr>
        <w:tabs>
          <w:tab w:val="center" w:pos="4672"/>
          <w:tab w:val="right" w:pos="9072"/>
        </w:tabs>
        <w:ind w:right="-22"/>
        <w:rPr>
          <w:b/>
          <w:szCs w:val="24"/>
        </w:rPr>
      </w:pPr>
    </w:p>
    <w:p w14:paraId="7506E8D8" w14:textId="3D211D31" w:rsidR="00752AC1" w:rsidRPr="00D90984" w:rsidRDefault="00752AC1" w:rsidP="00752AC1">
      <w:pPr>
        <w:tabs>
          <w:tab w:val="center" w:pos="4672"/>
          <w:tab w:val="right" w:pos="9072"/>
        </w:tabs>
        <w:ind w:right="-22"/>
        <w:jc w:val="center"/>
        <w:rPr>
          <w:b/>
          <w:szCs w:val="24"/>
        </w:rPr>
      </w:pPr>
      <w:r w:rsidRPr="00D90984">
        <w:rPr>
          <w:b/>
          <w:szCs w:val="24"/>
        </w:rPr>
        <w:t>TRIBUNALS, COURTS AND ENFORCEMENT ACT 2007</w:t>
      </w:r>
    </w:p>
    <w:p w14:paraId="4A092749" w14:textId="6BAF3C88" w:rsidR="000D61F3" w:rsidRDefault="000D61F3" w:rsidP="00FE6DB7">
      <w:pPr>
        <w:tabs>
          <w:tab w:val="center" w:pos="4672"/>
          <w:tab w:val="right" w:pos="9072"/>
        </w:tabs>
        <w:ind w:right="-22"/>
        <w:rPr>
          <w:b/>
          <w:szCs w:val="24"/>
        </w:rPr>
      </w:pPr>
    </w:p>
    <w:p w14:paraId="3CB220CC" w14:textId="62F70F48" w:rsidR="00E07BA0" w:rsidRPr="00E07BA0" w:rsidRDefault="00E07BA0" w:rsidP="00E07BA0">
      <w:pPr>
        <w:tabs>
          <w:tab w:val="center" w:pos="4672"/>
          <w:tab w:val="right" w:pos="9072"/>
        </w:tabs>
        <w:ind w:right="-22"/>
        <w:jc w:val="both"/>
        <w:rPr>
          <w:b/>
          <w:i/>
          <w:iCs/>
          <w:szCs w:val="24"/>
        </w:rPr>
      </w:pPr>
      <w:r w:rsidRPr="00E07BA0">
        <w:rPr>
          <w:b/>
          <w:i/>
          <w:iCs/>
          <w:szCs w:val="24"/>
        </w:rPr>
        <w:t>HOUSING – CIVIL PENALTY – joint landlords – whether</w:t>
      </w:r>
      <w:r w:rsidR="00172449">
        <w:rPr>
          <w:b/>
          <w:i/>
          <w:iCs/>
          <w:szCs w:val="24"/>
        </w:rPr>
        <w:t xml:space="preserve"> joints landlords are </w:t>
      </w:r>
      <w:r w:rsidR="00AA01F9">
        <w:rPr>
          <w:b/>
          <w:i/>
          <w:iCs/>
          <w:szCs w:val="24"/>
        </w:rPr>
        <w:t xml:space="preserve">a </w:t>
      </w:r>
      <w:r w:rsidRPr="00E07BA0">
        <w:rPr>
          <w:b/>
          <w:i/>
          <w:iCs/>
          <w:szCs w:val="24"/>
        </w:rPr>
        <w:t>person in control of or managing an HMO – whether only one civil penalty may be imposed on two joint landlords – sections 72, 249A and 263, Housing Act 2004 – appeal dismissed</w:t>
      </w:r>
    </w:p>
    <w:p w14:paraId="39B933E1" w14:textId="77777777" w:rsidR="009C6581" w:rsidRDefault="009C6581" w:rsidP="000D61F3">
      <w:pPr>
        <w:tabs>
          <w:tab w:val="center" w:pos="4672"/>
          <w:tab w:val="right" w:pos="9072"/>
        </w:tabs>
        <w:ind w:right="-22"/>
        <w:jc w:val="center"/>
        <w:rPr>
          <w:b/>
          <w:szCs w:val="24"/>
        </w:rPr>
      </w:pPr>
    </w:p>
    <w:p w14:paraId="4DB2B357" w14:textId="77777777" w:rsidR="00BF513E" w:rsidRDefault="00BF513E" w:rsidP="000D61F3">
      <w:pPr>
        <w:tabs>
          <w:tab w:val="center" w:pos="4672"/>
          <w:tab w:val="right" w:pos="9072"/>
        </w:tabs>
        <w:ind w:right="-22"/>
        <w:jc w:val="center"/>
        <w:rPr>
          <w:b/>
          <w:szCs w:val="24"/>
        </w:rPr>
      </w:pPr>
      <w:r>
        <w:rPr>
          <w:b/>
          <w:szCs w:val="24"/>
        </w:rPr>
        <w:t>AN APPEAL AGAINST A DECISION OF THE FIRST-TIER TRIBUNAL</w:t>
      </w:r>
    </w:p>
    <w:p w14:paraId="66B7A17E" w14:textId="3C8B7921" w:rsidR="000D61F3" w:rsidRPr="00D90984" w:rsidRDefault="00BF513E" w:rsidP="000D61F3">
      <w:pPr>
        <w:tabs>
          <w:tab w:val="center" w:pos="4672"/>
          <w:tab w:val="right" w:pos="9072"/>
        </w:tabs>
        <w:ind w:right="-22"/>
        <w:jc w:val="center"/>
        <w:rPr>
          <w:b/>
          <w:szCs w:val="24"/>
        </w:rPr>
      </w:pPr>
      <w:r>
        <w:rPr>
          <w:b/>
          <w:szCs w:val="24"/>
        </w:rPr>
        <w:t xml:space="preserve"> (PROPERTY CHAMBER)</w:t>
      </w:r>
    </w:p>
    <w:p w14:paraId="222E95DF" w14:textId="7461A3B5" w:rsidR="00F14A9D" w:rsidRDefault="00F14A9D" w:rsidP="008331BC">
      <w:pPr>
        <w:jc w:val="both"/>
        <w:rPr>
          <w:b/>
        </w:rPr>
      </w:pPr>
    </w:p>
    <w:p w14:paraId="60D249B1" w14:textId="4CFEEB89" w:rsidR="008B479F" w:rsidRDefault="008B479F" w:rsidP="008331BC">
      <w:pPr>
        <w:jc w:val="both"/>
        <w:rPr>
          <w:b/>
        </w:rPr>
      </w:pPr>
    </w:p>
    <w:p w14:paraId="3F560704" w14:textId="77777777" w:rsidR="00B02496" w:rsidRDefault="00B02496" w:rsidP="008331BC">
      <w:pPr>
        <w:jc w:val="both"/>
        <w:rPr>
          <w:b/>
        </w:rPr>
      </w:pPr>
    </w:p>
    <w:p w14:paraId="67DF6E1F" w14:textId="7B99B61F" w:rsidR="008331BC" w:rsidRDefault="008331BC" w:rsidP="008331BC">
      <w:pPr>
        <w:jc w:val="both"/>
        <w:rPr>
          <w:b/>
        </w:rPr>
      </w:pPr>
      <w:r w:rsidRPr="0042744F">
        <w:rPr>
          <w:b/>
        </w:rPr>
        <w:t>BETWEEN:</w:t>
      </w:r>
    </w:p>
    <w:p w14:paraId="52ECB66D" w14:textId="77777777" w:rsidR="008275A8" w:rsidRDefault="008275A8" w:rsidP="008331BC">
      <w:pPr>
        <w:jc w:val="both"/>
        <w:rPr>
          <w:b/>
        </w:rPr>
      </w:pPr>
    </w:p>
    <w:p w14:paraId="0880339B" w14:textId="27C37629" w:rsidR="00B02496" w:rsidRDefault="0015633B" w:rsidP="00E07BA0">
      <w:pPr>
        <w:jc w:val="center"/>
        <w:rPr>
          <w:b/>
          <w:bCs/>
          <w:caps/>
          <w:lang w:val="en-US" w:eastAsia="en-GB"/>
        </w:rPr>
      </w:pPr>
      <w:r>
        <w:rPr>
          <w:b/>
          <w:bCs/>
          <w:caps/>
          <w:lang w:val="en-US" w:eastAsia="en-GB"/>
        </w:rPr>
        <w:t>GURMAIL GILL (1)</w:t>
      </w:r>
    </w:p>
    <w:p w14:paraId="58EA63BD" w14:textId="34B053B6" w:rsidR="0015633B" w:rsidRPr="002D5E91" w:rsidRDefault="0015633B" w:rsidP="00E07BA0">
      <w:pPr>
        <w:jc w:val="center"/>
        <w:rPr>
          <w:b/>
          <w:bCs/>
          <w:caps/>
          <w:spacing w:val="0"/>
          <w:sz w:val="22"/>
        </w:rPr>
      </w:pPr>
      <w:r>
        <w:rPr>
          <w:b/>
          <w:bCs/>
          <w:caps/>
          <w:lang w:val="en-US" w:eastAsia="en-GB"/>
        </w:rPr>
        <w:t>JARNAIL S GILL (2)</w:t>
      </w:r>
    </w:p>
    <w:p w14:paraId="00B9864F" w14:textId="61F08AA0" w:rsidR="008331BC" w:rsidRPr="008B220A" w:rsidRDefault="000D61F3" w:rsidP="00BF513E">
      <w:pPr>
        <w:jc w:val="right"/>
        <w:rPr>
          <w:b/>
        </w:rPr>
      </w:pPr>
      <w:r>
        <w:rPr>
          <w:b/>
        </w:rPr>
        <w:tab/>
      </w:r>
      <w:r w:rsidR="008331BC" w:rsidRPr="008B220A">
        <w:rPr>
          <w:b/>
        </w:rPr>
        <w:t>Appellant</w:t>
      </w:r>
      <w:r w:rsidR="0015633B">
        <w:rPr>
          <w:b/>
        </w:rPr>
        <w:t>s</w:t>
      </w:r>
    </w:p>
    <w:p w14:paraId="68622E78" w14:textId="5570E002" w:rsidR="008331BC" w:rsidRDefault="008331BC" w:rsidP="00E07BA0">
      <w:pPr>
        <w:jc w:val="center"/>
        <w:rPr>
          <w:b/>
        </w:rPr>
      </w:pPr>
      <w:r w:rsidRPr="0042744F">
        <w:rPr>
          <w:b/>
        </w:rPr>
        <w:t>-and-</w:t>
      </w:r>
    </w:p>
    <w:p w14:paraId="59DBE946" w14:textId="77777777" w:rsidR="002D5E91" w:rsidRDefault="002D5E91" w:rsidP="008331BC">
      <w:pPr>
        <w:jc w:val="center"/>
        <w:rPr>
          <w:b/>
        </w:rPr>
      </w:pPr>
    </w:p>
    <w:p w14:paraId="1633EA71" w14:textId="26DB925F" w:rsidR="00B02496" w:rsidRPr="002D5E91" w:rsidRDefault="0015633B" w:rsidP="00E07BA0">
      <w:pPr>
        <w:jc w:val="center"/>
        <w:rPr>
          <w:b/>
          <w:bCs/>
          <w:caps/>
        </w:rPr>
      </w:pPr>
      <w:r>
        <w:rPr>
          <w:b/>
          <w:bCs/>
          <w:caps/>
        </w:rPr>
        <w:t>the royal borough of greenwich</w:t>
      </w:r>
    </w:p>
    <w:p w14:paraId="003AD51B" w14:textId="25656581" w:rsidR="008C401E" w:rsidRPr="008B220A" w:rsidRDefault="008331BC" w:rsidP="0030413D">
      <w:pPr>
        <w:jc w:val="right"/>
        <w:rPr>
          <w:b/>
        </w:rPr>
      </w:pPr>
      <w:r w:rsidRPr="008B220A">
        <w:rPr>
          <w:b/>
        </w:rPr>
        <w:t>Responden</w:t>
      </w:r>
      <w:r w:rsidR="0042744F" w:rsidRPr="008B220A">
        <w:rPr>
          <w:b/>
        </w:rPr>
        <w:t>t</w:t>
      </w:r>
    </w:p>
    <w:p w14:paraId="649E275F" w14:textId="77777777" w:rsidR="00E10CE6" w:rsidRPr="00D90984" w:rsidRDefault="00E10CE6" w:rsidP="00EF02F1">
      <w:pPr>
        <w:tabs>
          <w:tab w:val="left" w:pos="1185"/>
          <w:tab w:val="center" w:pos="4680"/>
          <w:tab w:val="right" w:pos="9072"/>
        </w:tabs>
        <w:ind w:right="-22"/>
        <w:rPr>
          <w:b/>
          <w:szCs w:val="24"/>
        </w:rPr>
      </w:pPr>
    </w:p>
    <w:p w14:paraId="2FB34AA2" w14:textId="77777777" w:rsidR="00752AC1" w:rsidRPr="00D90984" w:rsidRDefault="00752AC1" w:rsidP="00752AC1">
      <w:pPr>
        <w:tabs>
          <w:tab w:val="center" w:pos="4680"/>
          <w:tab w:val="right" w:pos="9072"/>
        </w:tabs>
        <w:ind w:right="-22"/>
        <w:jc w:val="center"/>
        <w:rPr>
          <w:b/>
          <w:szCs w:val="24"/>
        </w:rPr>
      </w:pPr>
    </w:p>
    <w:tbl>
      <w:tblPr>
        <w:tblStyle w:val="PlainTable3"/>
        <w:tblW w:w="8981" w:type="dxa"/>
        <w:tblLayout w:type="fixed"/>
        <w:tblLook w:val="0600" w:firstRow="0" w:lastRow="0" w:firstColumn="0" w:lastColumn="0" w:noHBand="1" w:noVBand="1"/>
      </w:tblPr>
      <w:tblGrid>
        <w:gridCol w:w="1554"/>
        <w:gridCol w:w="6101"/>
        <w:gridCol w:w="1326"/>
      </w:tblGrid>
      <w:tr w:rsidR="00752AC1" w:rsidRPr="00D90984" w14:paraId="2F834D01" w14:textId="77777777" w:rsidTr="00157B18">
        <w:trPr>
          <w:trHeight w:val="131"/>
        </w:trPr>
        <w:tc>
          <w:tcPr>
            <w:tcW w:w="1554" w:type="dxa"/>
          </w:tcPr>
          <w:p w14:paraId="0C430132" w14:textId="2B93F2CA" w:rsidR="00752AC1" w:rsidRPr="00D90984" w:rsidRDefault="00752AC1" w:rsidP="00F02CD0">
            <w:pPr>
              <w:tabs>
                <w:tab w:val="center" w:pos="4680"/>
                <w:tab w:val="right" w:pos="9072"/>
              </w:tabs>
              <w:ind w:right="-22"/>
              <w:jc w:val="center"/>
              <w:rPr>
                <w:b/>
                <w:szCs w:val="24"/>
              </w:rPr>
            </w:pPr>
          </w:p>
        </w:tc>
        <w:tc>
          <w:tcPr>
            <w:tcW w:w="6101" w:type="dxa"/>
          </w:tcPr>
          <w:p w14:paraId="01919490" w14:textId="5360821E" w:rsidR="00367D90" w:rsidRPr="00D90984" w:rsidRDefault="00367D90" w:rsidP="00F02CD0">
            <w:pPr>
              <w:pStyle w:val="ListParagraph"/>
              <w:tabs>
                <w:tab w:val="center" w:pos="4680"/>
                <w:tab w:val="right" w:pos="9072"/>
              </w:tabs>
              <w:ind w:left="3672" w:right="-22" w:hanging="3919"/>
              <w:jc w:val="center"/>
              <w:rPr>
                <w:b/>
                <w:szCs w:val="24"/>
              </w:rPr>
            </w:pPr>
          </w:p>
        </w:tc>
        <w:tc>
          <w:tcPr>
            <w:tcW w:w="1326" w:type="dxa"/>
          </w:tcPr>
          <w:p w14:paraId="48FD1108" w14:textId="77777777" w:rsidR="00752AC1" w:rsidRPr="00D90984" w:rsidRDefault="00752AC1" w:rsidP="00EF4ECF">
            <w:pPr>
              <w:tabs>
                <w:tab w:val="center" w:pos="4680"/>
                <w:tab w:val="right" w:pos="9072"/>
              </w:tabs>
              <w:ind w:right="-22"/>
              <w:jc w:val="right"/>
              <w:rPr>
                <w:b/>
                <w:szCs w:val="24"/>
              </w:rPr>
            </w:pPr>
          </w:p>
        </w:tc>
      </w:tr>
    </w:tbl>
    <w:p w14:paraId="29D2721C" w14:textId="77777777" w:rsidR="00BF2B1E" w:rsidRPr="00D90984" w:rsidRDefault="00BF2B1E" w:rsidP="003E143F">
      <w:pPr>
        <w:tabs>
          <w:tab w:val="center" w:pos="4678"/>
          <w:tab w:val="right" w:pos="9072"/>
        </w:tabs>
        <w:ind w:right="-22"/>
        <w:rPr>
          <w:b/>
          <w:szCs w:val="24"/>
        </w:rPr>
      </w:pPr>
    </w:p>
    <w:p w14:paraId="2029E61A" w14:textId="026D2F78" w:rsidR="00CB1624" w:rsidRDefault="00206A70" w:rsidP="00D3381E">
      <w:pPr>
        <w:jc w:val="center"/>
        <w:rPr>
          <w:b/>
        </w:rPr>
      </w:pPr>
      <w:r w:rsidRPr="0042744F">
        <w:rPr>
          <w:b/>
        </w:rPr>
        <w:t>Re</w:t>
      </w:r>
      <w:r w:rsidRPr="008B220A">
        <w:rPr>
          <w:b/>
        </w:rPr>
        <w:t>:</w:t>
      </w:r>
      <w:r w:rsidR="00CB1624">
        <w:rPr>
          <w:b/>
        </w:rPr>
        <w:t xml:space="preserve"> 68 Conway Road, </w:t>
      </w:r>
    </w:p>
    <w:p w14:paraId="711D9007" w14:textId="45EC9556" w:rsidR="00CB1624" w:rsidRDefault="00CB1624" w:rsidP="00D3381E">
      <w:pPr>
        <w:jc w:val="center"/>
        <w:rPr>
          <w:b/>
        </w:rPr>
      </w:pPr>
      <w:r>
        <w:rPr>
          <w:b/>
        </w:rPr>
        <w:t>Plumstead,</w:t>
      </w:r>
    </w:p>
    <w:p w14:paraId="0A972B4C" w14:textId="4FFD5D2E" w:rsidR="008B220A" w:rsidRPr="008B220A" w:rsidRDefault="00CB1624" w:rsidP="00ED00FB">
      <w:pPr>
        <w:jc w:val="center"/>
        <w:rPr>
          <w:b/>
          <w:shd w:val="clear" w:color="auto" w:fill="F7F7F7"/>
        </w:rPr>
      </w:pPr>
      <w:r>
        <w:rPr>
          <w:b/>
        </w:rPr>
        <w:t>London SE18</w:t>
      </w:r>
    </w:p>
    <w:p w14:paraId="1FDF2490" w14:textId="485C72A6" w:rsidR="0030515D" w:rsidRPr="0042744F" w:rsidRDefault="0030515D" w:rsidP="00B75633">
      <w:pPr>
        <w:pStyle w:val="Default"/>
        <w:jc w:val="center"/>
        <w:rPr>
          <w:rFonts w:ascii="Times New Roman" w:hAnsi="Times New Roman" w:cs="Times New Roman"/>
        </w:rPr>
      </w:pPr>
    </w:p>
    <w:p w14:paraId="3E73D1E1" w14:textId="0A8402EE" w:rsidR="00D3381E" w:rsidRDefault="00691F21" w:rsidP="00DB7CEC">
      <w:pPr>
        <w:pStyle w:val="Default"/>
        <w:jc w:val="center"/>
        <w:rPr>
          <w:rFonts w:ascii="Times New Roman" w:hAnsi="Times New Roman" w:cs="Times New Roman"/>
          <w:b/>
        </w:rPr>
      </w:pPr>
      <w:r>
        <w:rPr>
          <w:rFonts w:ascii="Times New Roman" w:hAnsi="Times New Roman" w:cs="Times New Roman"/>
          <w:b/>
        </w:rPr>
        <w:t>Martin Rodger QC, Deputy Chamber President</w:t>
      </w:r>
    </w:p>
    <w:p w14:paraId="05710F06" w14:textId="77777777" w:rsidR="008A5474" w:rsidRDefault="008A5474" w:rsidP="00DB7CEC">
      <w:pPr>
        <w:pStyle w:val="Default"/>
        <w:jc w:val="center"/>
        <w:rPr>
          <w:rFonts w:ascii="Times New Roman" w:hAnsi="Times New Roman" w:cs="Times New Roman"/>
          <w:b/>
        </w:rPr>
      </w:pPr>
    </w:p>
    <w:p w14:paraId="5AE3C80F" w14:textId="5D5A133F" w:rsidR="00156E54" w:rsidRDefault="008D51AC" w:rsidP="00DB7CEC">
      <w:pPr>
        <w:pStyle w:val="Default"/>
        <w:jc w:val="center"/>
        <w:rPr>
          <w:rFonts w:ascii="Times New Roman" w:hAnsi="Times New Roman" w:cs="Times New Roman"/>
          <w:b/>
        </w:rPr>
      </w:pPr>
      <w:r>
        <w:rPr>
          <w:rFonts w:ascii="Times New Roman" w:hAnsi="Times New Roman" w:cs="Times New Roman"/>
          <w:b/>
        </w:rPr>
        <w:t>1</w:t>
      </w:r>
      <w:r w:rsidR="00691F21">
        <w:rPr>
          <w:rFonts w:ascii="Times New Roman" w:hAnsi="Times New Roman" w:cs="Times New Roman"/>
          <w:b/>
        </w:rPr>
        <w:t>8</w:t>
      </w:r>
      <w:r w:rsidR="002D5E91">
        <w:rPr>
          <w:rFonts w:ascii="Times New Roman" w:hAnsi="Times New Roman" w:cs="Times New Roman"/>
          <w:b/>
        </w:rPr>
        <w:t xml:space="preserve"> January 2022</w:t>
      </w:r>
    </w:p>
    <w:p w14:paraId="63A14F52" w14:textId="77777777" w:rsidR="008A5474" w:rsidRDefault="008A5474" w:rsidP="00DB7CEC">
      <w:pPr>
        <w:pStyle w:val="Default"/>
        <w:jc w:val="center"/>
        <w:rPr>
          <w:rFonts w:ascii="Times New Roman" w:hAnsi="Times New Roman" w:cs="Times New Roman"/>
          <w:b/>
        </w:rPr>
      </w:pPr>
    </w:p>
    <w:p w14:paraId="02B9D80B" w14:textId="3E6CEB29" w:rsidR="002D5E91" w:rsidRDefault="008D51AC" w:rsidP="00DB7CEC">
      <w:pPr>
        <w:pStyle w:val="Default"/>
        <w:jc w:val="center"/>
        <w:rPr>
          <w:rFonts w:ascii="Times New Roman" w:hAnsi="Times New Roman" w:cs="Times New Roman"/>
          <w:b/>
        </w:rPr>
      </w:pPr>
      <w:r>
        <w:rPr>
          <w:rFonts w:ascii="Times New Roman" w:hAnsi="Times New Roman" w:cs="Times New Roman"/>
          <w:b/>
        </w:rPr>
        <w:t>Royal Courts of Justice</w:t>
      </w:r>
    </w:p>
    <w:p w14:paraId="73864CB9" w14:textId="77777777" w:rsidR="008A5474" w:rsidRPr="00D90984" w:rsidRDefault="008A5474" w:rsidP="00DB7CEC">
      <w:pPr>
        <w:pStyle w:val="Default"/>
        <w:jc w:val="center"/>
        <w:rPr>
          <w:rFonts w:ascii="Times New Roman" w:hAnsi="Times New Roman" w:cs="Times New Roman"/>
          <w:b/>
        </w:rPr>
      </w:pPr>
    </w:p>
    <w:p w14:paraId="1971FDEA" w14:textId="7FB8816A" w:rsidR="00752AC1" w:rsidRPr="00D90984" w:rsidRDefault="006A7DD3" w:rsidP="00752AC1">
      <w:pPr>
        <w:tabs>
          <w:tab w:val="right" w:pos="9072"/>
        </w:tabs>
        <w:ind w:right="-22"/>
        <w:rPr>
          <w:szCs w:val="24"/>
        </w:rPr>
      </w:pPr>
      <w:r>
        <w:rPr>
          <w:szCs w:val="24"/>
        </w:rPr>
        <w:t xml:space="preserve">The first appellant represented himself and the second </w:t>
      </w:r>
      <w:r w:rsidR="00C11FA5" w:rsidRPr="00D90984">
        <w:rPr>
          <w:szCs w:val="24"/>
        </w:rPr>
        <w:t>appellant</w:t>
      </w:r>
    </w:p>
    <w:p w14:paraId="4526B4E7" w14:textId="6A34E6B8" w:rsidR="00D9750F" w:rsidRPr="00D90984" w:rsidRDefault="006A7DD3" w:rsidP="00752AC1">
      <w:pPr>
        <w:tabs>
          <w:tab w:val="right" w:pos="9072"/>
        </w:tabs>
        <w:ind w:right="-22"/>
        <w:rPr>
          <w:szCs w:val="24"/>
        </w:rPr>
      </w:pPr>
      <w:r w:rsidRPr="008A5474">
        <w:rPr>
          <w:i/>
          <w:iCs/>
          <w:szCs w:val="24"/>
        </w:rPr>
        <w:t xml:space="preserve">Ali </w:t>
      </w:r>
      <w:proofErr w:type="spellStart"/>
      <w:r w:rsidRPr="008A5474">
        <w:rPr>
          <w:i/>
          <w:iCs/>
          <w:szCs w:val="24"/>
        </w:rPr>
        <w:t>Dewji</w:t>
      </w:r>
      <w:proofErr w:type="spellEnd"/>
      <w:r>
        <w:rPr>
          <w:szCs w:val="24"/>
        </w:rPr>
        <w:t xml:space="preserve">, instructed by </w:t>
      </w:r>
      <w:r w:rsidR="008A5474">
        <w:rPr>
          <w:szCs w:val="24"/>
        </w:rPr>
        <w:t xml:space="preserve">the Legal Services, Royal Borough of Greenwich, </w:t>
      </w:r>
      <w:r w:rsidR="00C11FA5" w:rsidRPr="00D90984">
        <w:rPr>
          <w:szCs w:val="24"/>
        </w:rPr>
        <w:t>for the respondent</w:t>
      </w:r>
    </w:p>
    <w:p w14:paraId="78F6D2EA" w14:textId="77777777" w:rsidR="006648E8" w:rsidRPr="00D90984" w:rsidRDefault="006648E8" w:rsidP="00752AC1">
      <w:pPr>
        <w:tabs>
          <w:tab w:val="right" w:pos="9072"/>
        </w:tabs>
        <w:ind w:right="-22"/>
        <w:rPr>
          <w:szCs w:val="24"/>
        </w:rPr>
      </w:pPr>
    </w:p>
    <w:p w14:paraId="105C0C61" w14:textId="77777777" w:rsidR="008A5474" w:rsidRDefault="008A5474" w:rsidP="00752AC1">
      <w:pPr>
        <w:pStyle w:val="Footer"/>
        <w:jc w:val="center"/>
        <w:rPr>
          <w:b/>
          <w:szCs w:val="24"/>
        </w:rPr>
      </w:pPr>
    </w:p>
    <w:p w14:paraId="43E50150" w14:textId="77777777" w:rsidR="008A5474" w:rsidRDefault="008A5474" w:rsidP="00752AC1">
      <w:pPr>
        <w:pStyle w:val="Footer"/>
        <w:jc w:val="center"/>
        <w:rPr>
          <w:b/>
          <w:szCs w:val="24"/>
        </w:rPr>
      </w:pPr>
    </w:p>
    <w:p w14:paraId="30064269" w14:textId="3653B21E" w:rsidR="00752AC1" w:rsidRPr="00D90984" w:rsidRDefault="00206A70" w:rsidP="00752AC1">
      <w:pPr>
        <w:pStyle w:val="Footer"/>
        <w:jc w:val="center"/>
        <w:rPr>
          <w:b/>
          <w:szCs w:val="24"/>
        </w:rPr>
      </w:pPr>
      <w:r w:rsidRPr="00D90984">
        <w:rPr>
          <w:b/>
          <w:szCs w:val="24"/>
        </w:rPr>
        <w:t>© CROWN COPYRIGHT 202</w:t>
      </w:r>
      <w:r w:rsidR="002D5E91">
        <w:rPr>
          <w:b/>
          <w:szCs w:val="24"/>
        </w:rPr>
        <w:t>2</w:t>
      </w:r>
    </w:p>
    <w:p w14:paraId="7B2E8318" w14:textId="00AD3933" w:rsidR="00D26019" w:rsidRPr="00D90984" w:rsidRDefault="00D26019">
      <w:pPr>
        <w:rPr>
          <w:b/>
          <w:szCs w:val="24"/>
          <w:u w:val="single"/>
        </w:rPr>
      </w:pPr>
    </w:p>
    <w:p w14:paraId="6E0C42D5" w14:textId="77777777" w:rsidR="001857A4" w:rsidRPr="00D90984" w:rsidRDefault="001857A4" w:rsidP="00752AC1">
      <w:pPr>
        <w:rPr>
          <w:szCs w:val="24"/>
        </w:rPr>
      </w:pPr>
    </w:p>
    <w:p w14:paraId="6E3B741B" w14:textId="77777777" w:rsidR="004F498E" w:rsidRDefault="004F498E" w:rsidP="00752AC1">
      <w:pPr>
        <w:rPr>
          <w:szCs w:val="24"/>
        </w:rPr>
      </w:pPr>
    </w:p>
    <w:p w14:paraId="2F6580B1" w14:textId="3951A58F" w:rsidR="00752AC1" w:rsidRDefault="00752AC1" w:rsidP="009D1BB3">
      <w:pPr>
        <w:spacing w:after="120"/>
        <w:rPr>
          <w:szCs w:val="24"/>
        </w:rPr>
      </w:pPr>
      <w:r w:rsidRPr="00D90984">
        <w:rPr>
          <w:szCs w:val="24"/>
        </w:rPr>
        <w:t>The following cases are referred to in this decision:</w:t>
      </w:r>
    </w:p>
    <w:p w14:paraId="54FFD3E2" w14:textId="75705C64" w:rsidR="00E10776" w:rsidRDefault="00E10776" w:rsidP="009D1BB3">
      <w:pPr>
        <w:spacing w:after="120"/>
        <w:rPr>
          <w:i/>
          <w:iCs/>
          <w:szCs w:val="24"/>
        </w:rPr>
      </w:pPr>
      <w:proofErr w:type="spellStart"/>
      <w:r w:rsidRPr="00E10776">
        <w:rPr>
          <w:i/>
          <w:iCs/>
          <w:szCs w:val="24"/>
        </w:rPr>
        <w:t>Ficcara</w:t>
      </w:r>
      <w:proofErr w:type="spellEnd"/>
      <w:r w:rsidRPr="00E10776">
        <w:rPr>
          <w:i/>
          <w:iCs/>
          <w:szCs w:val="24"/>
        </w:rPr>
        <w:t xml:space="preserve"> v James </w:t>
      </w:r>
      <w:r w:rsidRPr="00E10776">
        <w:rPr>
          <w:szCs w:val="24"/>
        </w:rPr>
        <w:t>[2021] UKUT 38 (LC)</w:t>
      </w:r>
    </w:p>
    <w:p w14:paraId="0C493BA4" w14:textId="5959618A" w:rsidR="009D1BB3" w:rsidRPr="00D90984" w:rsidRDefault="009D1BB3" w:rsidP="009D1BB3">
      <w:pPr>
        <w:spacing w:after="120"/>
        <w:rPr>
          <w:szCs w:val="24"/>
        </w:rPr>
      </w:pPr>
      <w:r w:rsidRPr="009D1BB3">
        <w:rPr>
          <w:i/>
          <w:iCs/>
          <w:szCs w:val="24"/>
        </w:rPr>
        <w:t xml:space="preserve">London Corporation v Cusack-Smith </w:t>
      </w:r>
      <w:r w:rsidRPr="009D1BB3">
        <w:rPr>
          <w:szCs w:val="24"/>
        </w:rPr>
        <w:t>[1955] AC 337</w:t>
      </w:r>
    </w:p>
    <w:p w14:paraId="6406C863" w14:textId="7081AA23" w:rsidR="00752AC1" w:rsidRPr="009D1BB3" w:rsidRDefault="009D1BB3" w:rsidP="009D1BB3">
      <w:pPr>
        <w:pStyle w:val="CoverDesc"/>
        <w:spacing w:after="120"/>
        <w:jc w:val="left"/>
        <w:rPr>
          <w:b w:val="0"/>
          <w:bCs/>
          <w:sz w:val="24"/>
          <w:szCs w:val="24"/>
        </w:rPr>
      </w:pPr>
      <w:proofErr w:type="spellStart"/>
      <w:r w:rsidRPr="009D1BB3">
        <w:rPr>
          <w:b w:val="0"/>
          <w:bCs/>
          <w:i/>
          <w:iCs/>
          <w:sz w:val="24"/>
          <w:szCs w:val="24"/>
        </w:rPr>
        <w:t>Pollway</w:t>
      </w:r>
      <w:proofErr w:type="spellEnd"/>
      <w:r w:rsidRPr="009D1BB3">
        <w:rPr>
          <w:b w:val="0"/>
          <w:bCs/>
          <w:i/>
          <w:iCs/>
          <w:sz w:val="24"/>
          <w:szCs w:val="24"/>
        </w:rPr>
        <w:t xml:space="preserve"> Nominees Ltd v Croydon London Borough Council</w:t>
      </w:r>
      <w:r w:rsidRPr="009D1BB3">
        <w:rPr>
          <w:b w:val="0"/>
          <w:bCs/>
          <w:sz w:val="24"/>
          <w:szCs w:val="24"/>
        </w:rPr>
        <w:t xml:space="preserve"> [1987] 1 AC 79</w:t>
      </w:r>
    </w:p>
    <w:p w14:paraId="73425FBE" w14:textId="77777777" w:rsidR="00752AC1" w:rsidRPr="00D90984" w:rsidRDefault="00752AC1" w:rsidP="00752AC1">
      <w:pPr>
        <w:rPr>
          <w:szCs w:val="24"/>
        </w:rPr>
        <w:sectPr w:rsidR="00752AC1" w:rsidRPr="00D90984" w:rsidSect="00081F15">
          <w:footerReference w:type="default" r:id="rId11"/>
          <w:pgSz w:w="11909" w:h="16834" w:code="9"/>
          <w:pgMar w:top="720" w:right="1440" w:bottom="720" w:left="1440" w:header="720" w:footer="720" w:gutter="0"/>
          <w:pgNumType w:start="1"/>
          <w:cols w:space="720"/>
          <w:titlePg/>
          <w:docGrid w:linePitch="326"/>
        </w:sectPr>
      </w:pPr>
    </w:p>
    <w:p w14:paraId="545FFDCC" w14:textId="5287D0C4" w:rsidR="00752AC1" w:rsidRDefault="00752AC1" w:rsidP="00E53F22">
      <w:pPr>
        <w:pStyle w:val="Heading1"/>
        <w:spacing w:after="360"/>
        <w:rPr>
          <w:rFonts w:cs="Times New Roman"/>
          <w:szCs w:val="24"/>
        </w:rPr>
      </w:pPr>
      <w:r w:rsidRPr="00D90984">
        <w:rPr>
          <w:rFonts w:cs="Times New Roman"/>
          <w:szCs w:val="24"/>
        </w:rPr>
        <w:lastRenderedPageBreak/>
        <w:t>Introduction</w:t>
      </w:r>
    </w:p>
    <w:p w14:paraId="6CB9D365" w14:textId="5EC7C295" w:rsidR="008A5474" w:rsidRDefault="008A5474" w:rsidP="008A5474">
      <w:pPr>
        <w:pStyle w:val="Normal2"/>
        <w:numPr>
          <w:ilvl w:val="0"/>
          <w:numId w:val="48"/>
        </w:numPr>
        <w:spacing w:after="360"/>
        <w:ind w:left="567" w:hanging="567"/>
      </w:pPr>
      <w:r>
        <w:t>Does section 249A</w:t>
      </w:r>
      <w:r w:rsidR="008A5450">
        <w:t xml:space="preserve"> of the</w:t>
      </w:r>
      <w:r>
        <w:t xml:space="preserve"> Housing Act 2004, allow a financial penalty to be imposed on each of two joint landlords for the offence of having control of an unlicensed HMO contrary to section 72(1)</w:t>
      </w:r>
      <w:r w:rsidR="008A5450">
        <w:t xml:space="preserve"> of the Act</w:t>
      </w:r>
      <w:r>
        <w:t>, or may only one penalty be imposed jointly on them both</w:t>
      </w:r>
      <w:r w:rsidR="00CB1624">
        <w:t>, or none at all</w:t>
      </w:r>
      <w:r>
        <w:t>?  Th</w:t>
      </w:r>
      <w:r w:rsidR="00A2606C">
        <w:t>e</w:t>
      </w:r>
      <w:r>
        <w:t>se question</w:t>
      </w:r>
      <w:r w:rsidR="00CB1624">
        <w:t>s</w:t>
      </w:r>
      <w:r>
        <w:t xml:space="preserve"> arise on this appeal from a decision of the First-tier Tribunal (Property Chamber) (the FTT) by which it confirmed </w:t>
      </w:r>
      <w:r w:rsidR="00250413">
        <w:t xml:space="preserve">separate </w:t>
      </w:r>
      <w:r w:rsidR="00EC4877" w:rsidRPr="00EC4877">
        <w:t xml:space="preserve">financial penalties of £10,000 </w:t>
      </w:r>
      <w:r w:rsidR="00CB1624">
        <w:t xml:space="preserve">originally </w:t>
      </w:r>
      <w:r w:rsidR="00EC4877">
        <w:t xml:space="preserve">imposed on </w:t>
      </w:r>
      <w:r w:rsidR="00EC4877" w:rsidRPr="00EC4877">
        <w:t>each o</w:t>
      </w:r>
      <w:r w:rsidR="00855078">
        <w:t>f</w:t>
      </w:r>
      <w:r w:rsidR="00EC4877" w:rsidRPr="00EC4877">
        <w:t xml:space="preserve"> the two appellants</w:t>
      </w:r>
      <w:r w:rsidR="00855078">
        <w:t xml:space="preserve">, </w:t>
      </w:r>
      <w:r w:rsidR="00855078" w:rsidRPr="00855078">
        <w:t xml:space="preserve">Mr Gurmail Gill and Mr </w:t>
      </w:r>
      <w:proofErr w:type="spellStart"/>
      <w:r w:rsidR="00855078" w:rsidRPr="00855078">
        <w:t>Jarnail</w:t>
      </w:r>
      <w:proofErr w:type="spellEnd"/>
      <w:r w:rsidR="00855078" w:rsidRPr="00855078">
        <w:t xml:space="preserve"> S Gill</w:t>
      </w:r>
      <w:r w:rsidR="00855078">
        <w:t>,</w:t>
      </w:r>
      <w:r w:rsidR="00855078" w:rsidRPr="00855078">
        <w:t xml:space="preserve"> </w:t>
      </w:r>
      <w:r w:rsidR="00855078">
        <w:t>by</w:t>
      </w:r>
      <w:r w:rsidR="00EC4877" w:rsidRPr="00EC4877">
        <w:t xml:space="preserve"> </w:t>
      </w:r>
      <w:r>
        <w:t>the respondent, the Royal Borough of Greenwich.</w:t>
      </w:r>
    </w:p>
    <w:p w14:paraId="1B122B6F" w14:textId="249EB448" w:rsidR="004A0D19" w:rsidRDefault="008A5474" w:rsidP="004B1E06">
      <w:pPr>
        <w:pStyle w:val="Normal2"/>
        <w:numPr>
          <w:ilvl w:val="0"/>
          <w:numId w:val="48"/>
        </w:numPr>
        <w:spacing w:after="360"/>
        <w:ind w:left="567" w:hanging="567"/>
      </w:pPr>
      <w:r>
        <w:t>The financial penalties were imposed because</w:t>
      </w:r>
      <w:r w:rsidR="00A87D10" w:rsidRPr="00A87D10">
        <w:t xml:space="preserve"> the respondent</w:t>
      </w:r>
      <w:r w:rsidR="006E39E9">
        <w:t xml:space="preserve"> and the FTT were</w:t>
      </w:r>
      <w:r>
        <w:t xml:space="preserve"> satisfied that the appellants were both persons </w:t>
      </w:r>
      <w:r w:rsidR="004B1E06">
        <w:t>hav</w:t>
      </w:r>
      <w:r>
        <w:t>in</w:t>
      </w:r>
      <w:r w:rsidR="004B1E06">
        <w:t>g control</w:t>
      </w:r>
      <w:r>
        <w:t xml:space="preserve"> </w:t>
      </w:r>
      <w:r w:rsidR="004B1E06">
        <w:t xml:space="preserve">of an HMO at 68 Conway Road, London SE18 which was required to be licensed </w:t>
      </w:r>
      <w:r w:rsidR="0035390C">
        <w:t xml:space="preserve">under Part 2 of the 2004 </w:t>
      </w:r>
      <w:proofErr w:type="gramStart"/>
      <w:r w:rsidR="0035390C">
        <w:t>Act</w:t>
      </w:r>
      <w:proofErr w:type="gramEnd"/>
      <w:r w:rsidR="0035390C">
        <w:t xml:space="preserve"> </w:t>
      </w:r>
      <w:r w:rsidR="004B1E06">
        <w:t xml:space="preserve">but which was not licensed.  </w:t>
      </w:r>
    </w:p>
    <w:p w14:paraId="6756B86B" w14:textId="24BBB61D" w:rsidR="004B1E06" w:rsidRDefault="00CB1624" w:rsidP="004B1E06">
      <w:pPr>
        <w:pStyle w:val="Normal2"/>
        <w:numPr>
          <w:ilvl w:val="0"/>
          <w:numId w:val="48"/>
        </w:numPr>
        <w:spacing w:after="360"/>
        <w:ind w:left="567" w:hanging="567"/>
      </w:pPr>
      <w:r w:rsidRPr="00CB1624">
        <w:t xml:space="preserve">68 Conway Road </w:t>
      </w:r>
      <w:r w:rsidR="00520CDC">
        <w:t>i</w:t>
      </w:r>
      <w:r w:rsidR="004B1E06">
        <w:t xml:space="preserve">s a small mid-terrace house </w:t>
      </w:r>
      <w:r w:rsidR="00520CDC">
        <w:t xml:space="preserve">which at the relevant time was </w:t>
      </w:r>
      <w:r w:rsidR="004B1E06">
        <w:t xml:space="preserve">occupied by five elderly people </w:t>
      </w:r>
      <w:r>
        <w:t xml:space="preserve">who were unrelated and who </w:t>
      </w:r>
      <w:r w:rsidR="004B1E06">
        <w:t>shar</w:t>
      </w:r>
      <w:r>
        <w:t>ed</w:t>
      </w:r>
      <w:r w:rsidR="004B1E06">
        <w:t xml:space="preserve"> kitchen and bathroom facilities.  </w:t>
      </w:r>
      <w:r>
        <w:t xml:space="preserve">On </w:t>
      </w:r>
      <w:r w:rsidRPr="00CB1624">
        <w:t>1 October 2017</w:t>
      </w:r>
      <w:r>
        <w:t xml:space="preserve"> i</w:t>
      </w:r>
      <w:r w:rsidR="004B1E06">
        <w:t>t became subject to a</w:t>
      </w:r>
      <w:r w:rsidR="00A07D11">
        <w:t xml:space="preserve">n additional </w:t>
      </w:r>
      <w:r w:rsidR="004B1E06">
        <w:t xml:space="preserve">licensing </w:t>
      </w:r>
      <w:r w:rsidR="00A07D11">
        <w:t xml:space="preserve">scheme </w:t>
      </w:r>
      <w:r w:rsidR="004B1E06">
        <w:t xml:space="preserve">introduced by the respondent </w:t>
      </w:r>
      <w:r w:rsidR="00A07D11">
        <w:t>under Part 2</w:t>
      </w:r>
      <w:r w:rsidR="000E476B">
        <w:t xml:space="preserve"> of the 2004</w:t>
      </w:r>
      <w:r w:rsidR="00A07D11">
        <w:t xml:space="preserve"> Act</w:t>
      </w:r>
      <w:r w:rsidR="004B1E06">
        <w:t xml:space="preserve">.  </w:t>
      </w:r>
    </w:p>
    <w:p w14:paraId="5E4D0BE3" w14:textId="1239D88C" w:rsidR="00623864" w:rsidRDefault="004B1E06" w:rsidP="004B1E06">
      <w:pPr>
        <w:pStyle w:val="Normal2"/>
        <w:numPr>
          <w:ilvl w:val="0"/>
          <w:numId w:val="48"/>
        </w:numPr>
        <w:spacing w:after="360"/>
        <w:ind w:left="567" w:hanging="567"/>
      </w:pPr>
      <w:r>
        <w:t xml:space="preserve">The appellants are brothers </w:t>
      </w:r>
      <w:r w:rsidR="00CB1624">
        <w:t xml:space="preserve">who </w:t>
      </w:r>
      <w:r>
        <w:t xml:space="preserve">had inherited the property from their parents in March 2017.  At that time the whole building was let to a </w:t>
      </w:r>
      <w:r w:rsidR="00AF1E5C">
        <w:t xml:space="preserve">single </w:t>
      </w:r>
      <w:r>
        <w:t xml:space="preserve">tenant, Mr Pradhan, who </w:t>
      </w:r>
      <w:r w:rsidR="00CA1734">
        <w:t xml:space="preserve">was </w:t>
      </w:r>
      <w:r>
        <w:t>h</w:t>
      </w:r>
      <w:r w:rsidR="00CA1734">
        <w:t>o</w:t>
      </w:r>
      <w:r>
        <w:t>ld</w:t>
      </w:r>
      <w:r w:rsidR="00CA1734">
        <w:t>ing</w:t>
      </w:r>
      <w:r>
        <w:t xml:space="preserve"> over under an expired tenancy granted to him by their father.  The original tenancy had included a prohibition on sub-letting but, as the appellants were aware, </w:t>
      </w:r>
      <w:r w:rsidR="00623864">
        <w:t>Mr Pradhan did not live a</w:t>
      </w:r>
      <w:r w:rsidR="00AF1E5C">
        <w:t>t</w:t>
      </w:r>
      <w:r w:rsidR="00623864">
        <w:t xml:space="preserve"> the property but </w:t>
      </w:r>
      <w:r w:rsidR="00AF1E5C">
        <w:t xml:space="preserve">instead </w:t>
      </w:r>
      <w:r w:rsidR="00623864">
        <w:t>sub-let it</w:t>
      </w:r>
      <w:r w:rsidR="007339EB">
        <w:t xml:space="preserve"> to the five residents</w:t>
      </w:r>
      <w:r w:rsidR="00623864">
        <w:t xml:space="preserve">.  He paid £1,400 a month </w:t>
      </w:r>
      <w:r w:rsidR="004550BC" w:rsidRPr="004550BC">
        <w:t xml:space="preserve">to the appellants </w:t>
      </w:r>
      <w:r w:rsidR="00623864">
        <w:t xml:space="preserve">and collected rents totalling £1,800 a month from his sub-tenants. </w:t>
      </w:r>
    </w:p>
    <w:p w14:paraId="4C6607B3" w14:textId="50353937" w:rsidR="008D1AEA" w:rsidRDefault="008D1AEA" w:rsidP="004B1E06">
      <w:pPr>
        <w:pStyle w:val="Normal2"/>
        <w:numPr>
          <w:ilvl w:val="0"/>
          <w:numId w:val="48"/>
        </w:numPr>
        <w:spacing w:after="360"/>
        <w:ind w:left="567" w:hanging="567"/>
      </w:pPr>
      <w:r>
        <w:t>At the hearing of the appeal helpful submissions were made by Mr Gurmail Gill on behalf of</w:t>
      </w:r>
      <w:r w:rsidR="00CB1624">
        <w:t xml:space="preserve"> himself and his brother</w:t>
      </w:r>
      <w:r>
        <w:t xml:space="preserve">, and by Mr </w:t>
      </w:r>
      <w:r w:rsidRPr="008D1AEA">
        <w:t xml:space="preserve">Ali </w:t>
      </w:r>
      <w:proofErr w:type="spellStart"/>
      <w:r w:rsidRPr="008D1AEA">
        <w:t>Dewji</w:t>
      </w:r>
      <w:proofErr w:type="spellEnd"/>
      <w:r>
        <w:t xml:space="preserve"> on behalf of the respondent.  I am grateful to them both for their assistance.</w:t>
      </w:r>
    </w:p>
    <w:p w14:paraId="1D70DD68" w14:textId="099AC240" w:rsidR="00623864" w:rsidRPr="00623864" w:rsidRDefault="00623864" w:rsidP="00623864">
      <w:pPr>
        <w:pStyle w:val="Normal2"/>
        <w:spacing w:after="360"/>
        <w:rPr>
          <w:b/>
          <w:bCs/>
        </w:rPr>
      </w:pPr>
      <w:r w:rsidRPr="00623864">
        <w:rPr>
          <w:b/>
          <w:bCs/>
        </w:rPr>
        <w:t>The relevant statutory provisions</w:t>
      </w:r>
    </w:p>
    <w:p w14:paraId="6531D2DD" w14:textId="65380639" w:rsidR="00A07D11" w:rsidRDefault="00623864" w:rsidP="004B1E06">
      <w:pPr>
        <w:pStyle w:val="Normal2"/>
        <w:numPr>
          <w:ilvl w:val="0"/>
          <w:numId w:val="48"/>
        </w:numPr>
        <w:spacing w:after="360"/>
        <w:ind w:left="567" w:hanging="567"/>
      </w:pPr>
      <w:r w:rsidRPr="00623864">
        <w:t>The expression “HMO”, meaning a house in multiple occupation, is defined by sections 254</w:t>
      </w:r>
      <w:r w:rsidR="00287503">
        <w:t xml:space="preserve"> to</w:t>
      </w:r>
      <w:r w:rsidRPr="00623864">
        <w:t xml:space="preserve"> 259 of the </w:t>
      </w:r>
      <w:r w:rsidR="001F35A4">
        <w:t xml:space="preserve">2004 </w:t>
      </w:r>
      <w:r w:rsidRPr="00623864">
        <w:t>Act. The</w:t>
      </w:r>
      <w:r w:rsidR="00A07D11">
        <w:t xml:space="preserve">re is no dispute that the appellant’s property is an HMO and that it was required to be licensed under the respondent’s additional licensing scheme.  </w:t>
      </w:r>
      <w:r w:rsidRPr="00623864">
        <w:t xml:space="preserve"> </w:t>
      </w:r>
    </w:p>
    <w:p w14:paraId="256C452B" w14:textId="298F1516" w:rsidR="00A07D11" w:rsidRDefault="00623864" w:rsidP="00A07D11">
      <w:pPr>
        <w:pStyle w:val="Normal2"/>
        <w:numPr>
          <w:ilvl w:val="0"/>
          <w:numId w:val="48"/>
        </w:numPr>
        <w:spacing w:after="360"/>
        <w:ind w:left="567" w:hanging="567"/>
      </w:pPr>
      <w:r w:rsidRPr="00623864">
        <w:t xml:space="preserve">By section 72(1) of the </w:t>
      </w:r>
      <w:r w:rsidR="00A36630">
        <w:t xml:space="preserve">2004 </w:t>
      </w:r>
      <w:r w:rsidRPr="00623864">
        <w:t xml:space="preserve">Act </w:t>
      </w:r>
      <w:r w:rsidR="00CB1624">
        <w:t xml:space="preserve">it is </w:t>
      </w:r>
      <w:r w:rsidRPr="00623864">
        <w:t xml:space="preserve">an offence </w:t>
      </w:r>
      <w:r w:rsidR="00CB1624">
        <w:t>to be</w:t>
      </w:r>
      <w:r w:rsidR="00A07D11">
        <w:t xml:space="preserve"> a “person </w:t>
      </w:r>
      <w:r w:rsidRPr="00623864">
        <w:t>ha</w:t>
      </w:r>
      <w:r w:rsidR="00A07D11">
        <w:t>ving</w:t>
      </w:r>
      <w:r w:rsidRPr="00623864">
        <w:t xml:space="preserve"> control</w:t>
      </w:r>
      <w:r w:rsidR="00A07D11">
        <w:t>”</w:t>
      </w:r>
      <w:r w:rsidRPr="00623864">
        <w:t xml:space="preserve"> of an HMO which is required to be licensed under Part 2 of the</w:t>
      </w:r>
      <w:r w:rsidR="00A07D11">
        <w:t xml:space="preserve"> </w:t>
      </w:r>
      <w:r w:rsidRPr="00623864">
        <w:t>Act but is not so licensed. Section 72(5) provides a defence where the person having control of the HMO ha</w:t>
      </w:r>
      <w:r w:rsidR="00B930F6">
        <w:t>s</w:t>
      </w:r>
      <w:r w:rsidRPr="00623864">
        <w:t xml:space="preserve"> a reasonable excuse for doing so</w:t>
      </w:r>
      <w:r w:rsidR="00A45F0F" w:rsidRPr="00A45F0F">
        <w:t xml:space="preserve"> without a licence</w:t>
      </w:r>
      <w:r w:rsidRPr="00623864">
        <w:t xml:space="preserve">. </w:t>
      </w:r>
    </w:p>
    <w:p w14:paraId="7506C11F" w14:textId="1A8CC4F2" w:rsidR="00A07D11" w:rsidRDefault="00A07D11" w:rsidP="00A07D11">
      <w:pPr>
        <w:pStyle w:val="Normal2"/>
        <w:numPr>
          <w:ilvl w:val="0"/>
          <w:numId w:val="48"/>
        </w:numPr>
        <w:spacing w:after="360"/>
        <w:ind w:left="567" w:hanging="567"/>
      </w:pPr>
      <w:r>
        <w:t xml:space="preserve">For most purposes (including those with which this appeal is concerned) the expression “person having control” is defined in </w:t>
      </w:r>
      <w:bookmarkStart w:id="1" w:name="_Hlk94003816"/>
      <w:r>
        <w:t>section 263</w:t>
      </w:r>
      <w:bookmarkEnd w:id="1"/>
      <w:r>
        <w:t>, as follows:</w:t>
      </w:r>
    </w:p>
    <w:p w14:paraId="7EE5F2C7" w14:textId="0AEF9EF4" w:rsidR="00A07D11" w:rsidRPr="00A07D11" w:rsidRDefault="00A07D11" w:rsidP="00A07D11">
      <w:pPr>
        <w:pStyle w:val="Normal2"/>
        <w:spacing w:before="0"/>
        <w:ind w:left="1134" w:right="567"/>
        <w:rPr>
          <w:b/>
          <w:bCs/>
        </w:rPr>
      </w:pPr>
      <w:r>
        <w:lastRenderedPageBreak/>
        <w:t>“</w:t>
      </w:r>
      <w:r>
        <w:rPr>
          <w:b/>
          <w:bCs/>
        </w:rPr>
        <w:t>Meaning of “person having control” and “person managing” etc</w:t>
      </w:r>
    </w:p>
    <w:p w14:paraId="53D3C33E" w14:textId="7DF6143C" w:rsidR="008A50AC" w:rsidRDefault="00A07D11" w:rsidP="0082323B">
      <w:pPr>
        <w:pStyle w:val="Normal2"/>
        <w:numPr>
          <w:ilvl w:val="0"/>
          <w:numId w:val="49"/>
        </w:numPr>
        <w:spacing w:before="0"/>
        <w:ind w:left="1491" w:right="567" w:hanging="357"/>
      </w:pPr>
      <w:r>
        <w:t>In this Act “person having control”, in relation to premises, means (unless the context otherwise requires) the person who receives the rack-rent of the premises (whether on his own account or as agent or trustee of another person), or who would so receive it if the premises were let at a rack rent.</w:t>
      </w:r>
    </w:p>
    <w:p w14:paraId="1F2BBEF2" w14:textId="7006D33F" w:rsidR="00A07D11" w:rsidRDefault="008A50AC" w:rsidP="008A50AC">
      <w:pPr>
        <w:pStyle w:val="Normal2"/>
        <w:numPr>
          <w:ilvl w:val="0"/>
          <w:numId w:val="49"/>
        </w:numPr>
        <w:spacing w:before="0" w:after="360"/>
        <w:ind w:right="567"/>
      </w:pPr>
      <w:r>
        <w:t>In subsection (1) “rack-rent” means a rent which is not less than two-thirds of the full net annual value of the premises.</w:t>
      </w:r>
      <w:r w:rsidR="00A07D11">
        <w:t>”</w:t>
      </w:r>
    </w:p>
    <w:p w14:paraId="3948AD2E" w14:textId="634DDDC8" w:rsidR="001D20A5" w:rsidRDefault="001D20A5" w:rsidP="004B1E06">
      <w:pPr>
        <w:pStyle w:val="Normal2"/>
        <w:numPr>
          <w:ilvl w:val="0"/>
          <w:numId w:val="48"/>
        </w:numPr>
        <w:spacing w:after="360"/>
        <w:ind w:left="567" w:hanging="567"/>
      </w:pPr>
      <w:r>
        <w:t xml:space="preserve">Section 263 must be read in the light of section </w:t>
      </w:r>
      <w:r w:rsidR="0061514B">
        <w:t>6 of the Interpretation Act 1978</w:t>
      </w:r>
      <w:r w:rsidR="008A7C79">
        <w:t xml:space="preserve"> which provides that, unless the contrary intention appears, words in the singular include the plural.  There is nothing in</w:t>
      </w:r>
      <w:r w:rsidR="008A7C79" w:rsidRPr="008A7C79">
        <w:t xml:space="preserve"> </w:t>
      </w:r>
      <w:r w:rsidR="008A7C79">
        <w:t>the 2004 Act to suggest a</w:t>
      </w:r>
      <w:r w:rsidR="00C1556C">
        <w:t>ny con</w:t>
      </w:r>
      <w:r w:rsidR="008A7C79">
        <w:t>t</w:t>
      </w:r>
      <w:r w:rsidR="00C1556C">
        <w:t>rary intention as far as</w:t>
      </w:r>
      <w:r w:rsidR="008A7C79">
        <w:t xml:space="preserve"> </w:t>
      </w:r>
      <w:r w:rsidR="008A7C79" w:rsidRPr="008A7C79">
        <w:t>section 263</w:t>
      </w:r>
      <w:r w:rsidR="00C1556C">
        <w:t xml:space="preserve"> is concerned</w:t>
      </w:r>
      <w:r w:rsidR="00E73809">
        <w:t xml:space="preserve">, so </w:t>
      </w:r>
      <w:r w:rsidR="00223993">
        <w:t xml:space="preserve">in an appropriate case </w:t>
      </w:r>
      <w:r w:rsidR="00D63FA9">
        <w:t xml:space="preserve">the </w:t>
      </w:r>
      <w:r w:rsidR="00E73809">
        <w:t xml:space="preserve">reference to </w:t>
      </w:r>
      <w:r w:rsidR="00223993" w:rsidRPr="00223993">
        <w:t xml:space="preserve">“person having control” </w:t>
      </w:r>
      <w:r w:rsidR="00223993">
        <w:t xml:space="preserve">can mean “persons having control” and </w:t>
      </w:r>
      <w:r w:rsidR="003D6500">
        <w:t xml:space="preserve">where a rack rent is received by more than one person </w:t>
      </w:r>
      <w:r w:rsidR="00223993">
        <w:t xml:space="preserve">the expression </w:t>
      </w:r>
      <w:r w:rsidR="00E73809">
        <w:t>“</w:t>
      </w:r>
      <w:r w:rsidR="004255EF">
        <w:t>the</w:t>
      </w:r>
      <w:r w:rsidR="00E73809">
        <w:t xml:space="preserve"> person”</w:t>
      </w:r>
      <w:r w:rsidR="0083447E">
        <w:t xml:space="preserve"> includes them all</w:t>
      </w:r>
      <w:r w:rsidR="00D63FA9">
        <w:t>.</w:t>
      </w:r>
      <w:r w:rsidR="008A7C79">
        <w:t xml:space="preserve">  </w:t>
      </w:r>
    </w:p>
    <w:p w14:paraId="2F432897" w14:textId="6E512015" w:rsidR="008A50AC" w:rsidRDefault="00623864" w:rsidP="004B1E06">
      <w:pPr>
        <w:pStyle w:val="Normal2"/>
        <w:numPr>
          <w:ilvl w:val="0"/>
          <w:numId w:val="48"/>
        </w:numPr>
        <w:spacing w:after="360"/>
        <w:ind w:left="567" w:hanging="567"/>
      </w:pPr>
      <w:r w:rsidRPr="00623864">
        <w:t xml:space="preserve">By section 249A of the </w:t>
      </w:r>
      <w:r w:rsidR="001D20A5">
        <w:t xml:space="preserve">2004 </w:t>
      </w:r>
      <w:r w:rsidRPr="00623864">
        <w:t>Act a local housing authority may impose a civil financial penalty of up to £30,000 if it is satisfied beyond reasonable doubt that a person’s conduct amounts to a relevant housing offence in respect of premises in England. The offence under section 72 of failing to licence an HMO is a relevant housing offence for this purpose.</w:t>
      </w:r>
    </w:p>
    <w:p w14:paraId="2120AD60" w14:textId="77777777" w:rsidR="008A50AC" w:rsidRDefault="008A50AC" w:rsidP="004B1E06">
      <w:pPr>
        <w:pStyle w:val="Normal2"/>
        <w:numPr>
          <w:ilvl w:val="0"/>
          <w:numId w:val="48"/>
        </w:numPr>
        <w:spacing w:after="360"/>
        <w:ind w:left="567" w:hanging="567"/>
      </w:pPr>
      <w:r>
        <w:t>By section 249A(3) it is provided that:</w:t>
      </w:r>
    </w:p>
    <w:p w14:paraId="3E2D8488" w14:textId="2C6D4213" w:rsidR="00A07D11" w:rsidRDefault="008A50AC" w:rsidP="008A50AC">
      <w:pPr>
        <w:pStyle w:val="Normal2"/>
        <w:spacing w:after="360"/>
        <w:ind w:left="1134" w:right="567"/>
      </w:pPr>
      <w:r>
        <w:t>“Only one financial penalty under this section may be imposed on a person in respect of the same conduct.”</w:t>
      </w:r>
      <w:r w:rsidR="00623864" w:rsidRPr="00623864">
        <w:t xml:space="preserve"> </w:t>
      </w:r>
    </w:p>
    <w:p w14:paraId="2C4D9D2D" w14:textId="3F646479" w:rsidR="00A07D11" w:rsidRDefault="00A07D11" w:rsidP="008A50AC">
      <w:pPr>
        <w:pStyle w:val="Normal2"/>
        <w:numPr>
          <w:ilvl w:val="0"/>
          <w:numId w:val="48"/>
        </w:numPr>
        <w:spacing w:after="360"/>
        <w:ind w:left="567" w:hanging="567"/>
      </w:pPr>
      <w:r w:rsidRPr="00A07D11">
        <w:t xml:space="preserve">A financial penalty is </w:t>
      </w:r>
      <w:r w:rsidR="00FA6974">
        <w:t xml:space="preserve">intended as </w:t>
      </w:r>
      <w:r w:rsidRPr="00A07D11">
        <w:t xml:space="preserve">an alternative to prosecution for a housing offence.  Thus, a penalty may not be imposed </w:t>
      </w:r>
      <w:r w:rsidR="00A608D2">
        <w:t xml:space="preserve">for an offence </w:t>
      </w:r>
      <w:r w:rsidR="00CB1624">
        <w:t xml:space="preserve">of which </w:t>
      </w:r>
      <w:r w:rsidRPr="00A07D11">
        <w:t xml:space="preserve">the person </w:t>
      </w:r>
      <w:r w:rsidR="00A608D2">
        <w:t xml:space="preserve">in question </w:t>
      </w:r>
      <w:r w:rsidRPr="00A07D11">
        <w:t xml:space="preserve">has already been convicted in respect of the conduct in question, or where criminal proceedings have been instituted and not yet concluded (section 249A(5)).  Nor may a person be convicted of an offence </w:t>
      </w:r>
      <w:r w:rsidR="00656920">
        <w:t>under section 72</w:t>
      </w:r>
      <w:r w:rsidR="00C551CB">
        <w:t xml:space="preserve"> if a local housing authority has</w:t>
      </w:r>
      <w:r w:rsidR="00BF565D">
        <w:t xml:space="preserve"> already</w:t>
      </w:r>
      <w:r w:rsidR="00C551CB">
        <w:t xml:space="preserve"> </w:t>
      </w:r>
      <w:r w:rsidR="00BF565D">
        <w:t>imposed</w:t>
      </w:r>
      <w:r w:rsidRPr="00A07D11">
        <w:t xml:space="preserve"> a financial penalty </w:t>
      </w:r>
      <w:r w:rsidR="00BF565D">
        <w:t>on them in respect of conduct</w:t>
      </w:r>
      <w:r w:rsidR="00EB7B70">
        <w:t xml:space="preserve"> amounting to an offence under the section</w:t>
      </w:r>
      <w:r w:rsidR="00BF565D">
        <w:t xml:space="preserve"> </w:t>
      </w:r>
      <w:r w:rsidRPr="00A07D11">
        <w:t xml:space="preserve">(section </w:t>
      </w:r>
      <w:r w:rsidR="00011272">
        <w:t>7</w:t>
      </w:r>
      <w:r w:rsidR="00D91E64">
        <w:t>2</w:t>
      </w:r>
      <w:r w:rsidR="00011272">
        <w:t>(7B</w:t>
      </w:r>
      <w:r w:rsidRPr="00A07D11">
        <w:t xml:space="preserve">)).  </w:t>
      </w:r>
    </w:p>
    <w:p w14:paraId="3CE2185E" w14:textId="39B83334" w:rsidR="008A50AC" w:rsidRDefault="008A50AC" w:rsidP="008A50AC">
      <w:pPr>
        <w:pStyle w:val="Normal2"/>
        <w:numPr>
          <w:ilvl w:val="0"/>
          <w:numId w:val="48"/>
        </w:numPr>
        <w:spacing w:after="360"/>
        <w:ind w:left="567" w:hanging="567"/>
      </w:pPr>
      <w:r w:rsidRPr="008A50AC">
        <w:t xml:space="preserve">Schedule 13A of the 2004 Act deals with the procedure for imposing financial penalties, including appeals.  </w:t>
      </w:r>
      <w:r w:rsidR="000126DD">
        <w:t>B</w:t>
      </w:r>
      <w:r w:rsidR="000126DD" w:rsidRPr="000126DD">
        <w:t xml:space="preserve">y paragraph 10 of Schedule 13A </w:t>
      </w:r>
      <w:r w:rsidR="006820AE">
        <w:t>a</w:t>
      </w:r>
      <w:r w:rsidR="00623864" w:rsidRPr="00623864">
        <w:t xml:space="preserve"> person on whom a financial penalty is imposed has a right of appeal to the FTT. </w:t>
      </w:r>
      <w:r>
        <w:t xml:space="preserve"> </w:t>
      </w:r>
      <w:r w:rsidR="00623864" w:rsidRPr="00623864">
        <w:t>By paragraph 10(3) such an appeal is to be a re</w:t>
      </w:r>
      <w:r w:rsidR="00A07D11">
        <w:t>-</w:t>
      </w:r>
      <w:r w:rsidR="00623864" w:rsidRPr="00623864">
        <w:t xml:space="preserve">hearing of the local housing authority’s decision. A “re-hearing” means that the FTT is required to decide for itself whether a financial penalty should be imposed and, if so, to decide the amount of that penalty, rather than </w:t>
      </w:r>
      <w:r w:rsidR="00F5018A">
        <w:t xml:space="preserve">simply </w:t>
      </w:r>
      <w:r w:rsidR="00623864" w:rsidRPr="00623864">
        <w:t>considering whether the authority was entitled to impose the penalty it did. A further right of appeal lies to this Tribunal.</w:t>
      </w:r>
    </w:p>
    <w:p w14:paraId="6E6F12D0" w14:textId="6A911B05" w:rsidR="008A50AC" w:rsidRDefault="00623864" w:rsidP="00623864">
      <w:pPr>
        <w:pStyle w:val="Normal2"/>
        <w:numPr>
          <w:ilvl w:val="0"/>
          <w:numId w:val="48"/>
        </w:numPr>
        <w:spacing w:after="360"/>
        <w:ind w:left="567" w:hanging="567"/>
      </w:pPr>
      <w:r>
        <w:t>A local authority is required by paragraph 12 of Schedule 13A to have regard to any guidance given by the Secretary of State about the exercise of its functions in relation to financial penalties.  Relevant guidance was issued by the Department for Communities and Local Government in April 2017</w:t>
      </w:r>
      <w:r w:rsidR="008A50AC">
        <w:t>, but it does not touch on the issue</w:t>
      </w:r>
      <w:r w:rsidR="00044F30">
        <w:t>s</w:t>
      </w:r>
      <w:r w:rsidR="008A50AC">
        <w:t xml:space="preserve"> raised by this appeal</w:t>
      </w:r>
      <w:r>
        <w:t xml:space="preserve">.  </w:t>
      </w:r>
    </w:p>
    <w:p w14:paraId="39A7F167" w14:textId="77777777" w:rsidR="008A50AC" w:rsidRDefault="00623864" w:rsidP="008A50AC">
      <w:pPr>
        <w:pStyle w:val="Normal2"/>
        <w:spacing w:after="360"/>
      </w:pPr>
      <w:r w:rsidRPr="008A50AC">
        <w:rPr>
          <w:b/>
          <w:bCs/>
        </w:rPr>
        <w:lastRenderedPageBreak/>
        <w:t>The issues</w:t>
      </w:r>
    </w:p>
    <w:p w14:paraId="26251C7D" w14:textId="7AE4C445" w:rsidR="00623864" w:rsidRDefault="00623864" w:rsidP="008A50AC">
      <w:pPr>
        <w:pStyle w:val="Normal2"/>
        <w:numPr>
          <w:ilvl w:val="0"/>
          <w:numId w:val="48"/>
        </w:numPr>
        <w:spacing w:after="360"/>
        <w:ind w:left="567" w:hanging="567"/>
      </w:pPr>
      <w:r>
        <w:t>Permission to appeal was granted by the Tribunal on two grounds</w:t>
      </w:r>
      <w:r w:rsidR="008A50AC">
        <w:t>:</w:t>
      </w:r>
    </w:p>
    <w:p w14:paraId="354A92B0" w14:textId="1FF5A819" w:rsidR="008A50AC" w:rsidRDefault="008A50AC" w:rsidP="001F0B75">
      <w:pPr>
        <w:pStyle w:val="Normal2"/>
        <w:numPr>
          <w:ilvl w:val="0"/>
          <w:numId w:val="50"/>
        </w:numPr>
        <w:ind w:left="924" w:hanging="357"/>
      </w:pPr>
      <w:r>
        <w:t xml:space="preserve">Whether the two appellants were each </w:t>
      </w:r>
      <w:proofErr w:type="spellStart"/>
      <w:r>
        <w:t>persons</w:t>
      </w:r>
      <w:proofErr w:type="spellEnd"/>
      <w:r>
        <w:t xml:space="preserve"> </w:t>
      </w:r>
      <w:r w:rsidR="00257A22">
        <w:t>hav</w:t>
      </w:r>
      <w:r>
        <w:t>in</w:t>
      </w:r>
      <w:r w:rsidR="00257A22">
        <w:t>g</w:t>
      </w:r>
      <w:r>
        <w:t xml:space="preserve"> control of the </w:t>
      </w:r>
      <w:r w:rsidR="00760AB3">
        <w:t xml:space="preserve">HMO </w:t>
      </w:r>
      <w:r>
        <w:t xml:space="preserve">and therefore </w:t>
      </w:r>
      <w:r w:rsidR="005E1531">
        <w:t xml:space="preserve">each </w:t>
      </w:r>
      <w:r>
        <w:t>guilty of the offence under section 72(1), 2004 Act</w:t>
      </w:r>
      <w:r w:rsidR="008D1AEA">
        <w:t>; and</w:t>
      </w:r>
    </w:p>
    <w:p w14:paraId="37C8B057" w14:textId="2692D174" w:rsidR="008A50AC" w:rsidRDefault="005E1531" w:rsidP="008D1AEA">
      <w:pPr>
        <w:pStyle w:val="Normal2"/>
        <w:numPr>
          <w:ilvl w:val="0"/>
          <w:numId w:val="50"/>
        </w:numPr>
        <w:spacing w:after="360"/>
      </w:pPr>
      <w:r>
        <w:t>If they were, w</w:t>
      </w:r>
      <w:r w:rsidR="008D1AEA">
        <w:t>hether it was permissible for a separate penalty to be imposed on each of them.</w:t>
      </w:r>
    </w:p>
    <w:p w14:paraId="1B9B42C4" w14:textId="096F43D0" w:rsidR="009967A1" w:rsidRPr="0047655B" w:rsidRDefault="00BF1C24" w:rsidP="0047655B">
      <w:pPr>
        <w:pStyle w:val="Normal2"/>
        <w:spacing w:after="360"/>
        <w:rPr>
          <w:b/>
          <w:bCs/>
        </w:rPr>
      </w:pPr>
      <w:r w:rsidRPr="0047655B">
        <w:rPr>
          <w:b/>
          <w:bCs/>
        </w:rPr>
        <w:t xml:space="preserve">Issue 1: </w:t>
      </w:r>
      <w:r w:rsidR="009967A1" w:rsidRPr="0047655B">
        <w:rPr>
          <w:b/>
          <w:bCs/>
        </w:rPr>
        <w:t xml:space="preserve">Were the appellants </w:t>
      </w:r>
      <w:r w:rsidR="008D2EF0">
        <w:rPr>
          <w:b/>
          <w:bCs/>
        </w:rPr>
        <w:t xml:space="preserve">each </w:t>
      </w:r>
      <w:proofErr w:type="spellStart"/>
      <w:r w:rsidR="009967A1" w:rsidRPr="0047655B">
        <w:rPr>
          <w:b/>
          <w:bCs/>
        </w:rPr>
        <w:t>persons</w:t>
      </w:r>
      <w:proofErr w:type="spellEnd"/>
      <w:r w:rsidR="009967A1" w:rsidRPr="0047655B">
        <w:rPr>
          <w:b/>
          <w:bCs/>
        </w:rPr>
        <w:t xml:space="preserve"> </w:t>
      </w:r>
      <w:r w:rsidR="00257A22">
        <w:rPr>
          <w:b/>
          <w:bCs/>
        </w:rPr>
        <w:t>hav</w:t>
      </w:r>
      <w:r w:rsidR="009967A1" w:rsidRPr="0047655B">
        <w:rPr>
          <w:b/>
          <w:bCs/>
        </w:rPr>
        <w:t>in</w:t>
      </w:r>
      <w:r w:rsidR="00257A22">
        <w:rPr>
          <w:b/>
          <w:bCs/>
        </w:rPr>
        <w:t>g</w:t>
      </w:r>
      <w:r w:rsidR="009967A1" w:rsidRPr="0047655B">
        <w:rPr>
          <w:b/>
          <w:bCs/>
        </w:rPr>
        <w:t xml:space="preserve"> control of the HMO?</w:t>
      </w:r>
    </w:p>
    <w:p w14:paraId="00BCAD66" w14:textId="41230A24" w:rsidR="00C5131B" w:rsidRDefault="008D2EF0" w:rsidP="00C5131B">
      <w:pPr>
        <w:pStyle w:val="Normal2"/>
        <w:numPr>
          <w:ilvl w:val="0"/>
          <w:numId w:val="48"/>
        </w:numPr>
        <w:spacing w:after="360"/>
        <w:ind w:left="567" w:hanging="567"/>
      </w:pPr>
      <w:r w:rsidRPr="008D2EF0">
        <w:t xml:space="preserve">The status of being a person having control depends on being entitled to receive the rack rent of the property, and section 263(2) of the Act explains that the “rack-rent” means a rent which is not less than two-thirds of the full net annual value of the premises.  </w:t>
      </w:r>
      <w:r w:rsidR="00C5131B">
        <w:t xml:space="preserve">Mr Gill suggested that, in a case involving joint landlords, there were three possible interpretations of the phrase “person having control”.  </w:t>
      </w:r>
    </w:p>
    <w:p w14:paraId="6154C32C" w14:textId="7848ED34" w:rsidR="00C5131B" w:rsidRDefault="00C5131B" w:rsidP="00C5131B">
      <w:pPr>
        <w:pStyle w:val="Normal2"/>
        <w:numPr>
          <w:ilvl w:val="0"/>
          <w:numId w:val="48"/>
        </w:numPr>
        <w:spacing w:after="360"/>
        <w:ind w:left="567" w:hanging="567"/>
      </w:pPr>
      <w:r>
        <w:t xml:space="preserve">One possibility was that the person having control </w:t>
      </w:r>
      <w:r w:rsidR="008D2EF0">
        <w:t xml:space="preserve">must </w:t>
      </w:r>
      <w:r w:rsidR="00005C73">
        <w:t>be</w:t>
      </w:r>
      <w:r>
        <w:t xml:space="preserve"> a single person, and that where more than one person was entitled to receive the rack rent none of them would be a person having control.  Mr Gill discounted that interpretation because he acknowledged</w:t>
      </w:r>
      <w:r w:rsidRPr="00D3678C">
        <w:t xml:space="preserve"> that by the application of section 6 of the Interpretation Act 1978 </w:t>
      </w:r>
      <w:r>
        <w:t>there could be more than one person having control</w:t>
      </w:r>
      <w:r w:rsidRPr="00D3678C">
        <w:t>.</w:t>
      </w:r>
    </w:p>
    <w:p w14:paraId="0BD053C5" w14:textId="77777777" w:rsidR="00C5131B" w:rsidRDefault="00C5131B" w:rsidP="00C5131B">
      <w:pPr>
        <w:pStyle w:val="Normal2"/>
        <w:numPr>
          <w:ilvl w:val="0"/>
          <w:numId w:val="48"/>
        </w:numPr>
        <w:spacing w:after="360"/>
        <w:ind w:left="567" w:hanging="567"/>
      </w:pPr>
      <w:r>
        <w:t xml:space="preserve">An alternative approach might be that each of two or more landlords could individually be a person having control, irrespective of the proportion of the rent which they were entitled to receive. </w:t>
      </w:r>
    </w:p>
    <w:p w14:paraId="522A50E8" w14:textId="1F89621B" w:rsidR="00C5131B" w:rsidRDefault="00C5131B" w:rsidP="00C5131B">
      <w:pPr>
        <w:pStyle w:val="Normal2"/>
        <w:numPr>
          <w:ilvl w:val="0"/>
          <w:numId w:val="48"/>
        </w:numPr>
        <w:spacing w:after="360"/>
        <w:ind w:left="567" w:hanging="567"/>
      </w:pPr>
      <w:r>
        <w:t>A third approach, which Mr Gill favoured, was that two or more people could jointly be persons having control</w:t>
      </w:r>
      <w:r w:rsidR="00500379">
        <w:t xml:space="preserve">.  On that basis, he suggested, only one penalty could be imposed because there was only one </w:t>
      </w:r>
      <w:r w:rsidR="005F6621">
        <w:t>“</w:t>
      </w:r>
      <w:r w:rsidR="00500379">
        <w:t>person having control</w:t>
      </w:r>
      <w:r w:rsidR="005F6621">
        <w:t>”</w:t>
      </w:r>
      <w:r w:rsidR="00500379">
        <w:t>, albeit that that person comprised two</w:t>
      </w:r>
      <w:r w:rsidR="005F6621">
        <w:t xml:space="preserve"> individuals.</w:t>
      </w:r>
      <w:r w:rsidR="00500379">
        <w:t xml:space="preserve"> </w:t>
      </w:r>
    </w:p>
    <w:p w14:paraId="44337D36" w14:textId="0C892B7A" w:rsidR="005F61FF" w:rsidRDefault="0047655B" w:rsidP="004B1E06">
      <w:pPr>
        <w:pStyle w:val="Normal2"/>
        <w:numPr>
          <w:ilvl w:val="0"/>
          <w:numId w:val="48"/>
        </w:numPr>
        <w:spacing w:after="360"/>
        <w:ind w:left="567" w:hanging="567"/>
      </w:pPr>
      <w:r>
        <w:t xml:space="preserve">Mr </w:t>
      </w:r>
      <w:r w:rsidR="00783EC9">
        <w:t xml:space="preserve">Gill </w:t>
      </w:r>
      <w:r w:rsidR="0037474B">
        <w:t xml:space="preserve">submitted that </w:t>
      </w:r>
      <w:r w:rsidR="00CA76B1">
        <w:t xml:space="preserve">where more than one </w:t>
      </w:r>
      <w:r w:rsidR="004979A2">
        <w:t xml:space="preserve">person owned property and received rent from it, that fact should be </w:t>
      </w:r>
      <w:proofErr w:type="gramStart"/>
      <w:r w:rsidR="004979A2">
        <w:t>taken into account</w:t>
      </w:r>
      <w:proofErr w:type="gramEnd"/>
      <w:r w:rsidR="004979A2">
        <w:t xml:space="preserve"> when the definition</w:t>
      </w:r>
      <w:r w:rsidR="00BA3B06">
        <w:t xml:space="preserve"> of</w:t>
      </w:r>
      <w:r w:rsidR="004979A2">
        <w:t xml:space="preserve"> “person having control</w:t>
      </w:r>
      <w:r w:rsidR="00BA3B06">
        <w:t>”</w:t>
      </w:r>
      <w:r w:rsidR="004979A2">
        <w:t xml:space="preserve"> in section 263 was applied to them</w:t>
      </w:r>
      <w:r w:rsidR="00BA3B06">
        <w:t xml:space="preserve">.  </w:t>
      </w:r>
      <w:r w:rsidR="00AC7F99" w:rsidRPr="00AC7F99">
        <w:t>Mr Gill su</w:t>
      </w:r>
      <w:r w:rsidR="00AC7F99">
        <w:t>ggest</w:t>
      </w:r>
      <w:r w:rsidR="00AC7F99" w:rsidRPr="00AC7F99">
        <w:t>ed</w:t>
      </w:r>
      <w:r w:rsidR="00AC7F99">
        <w:t xml:space="preserve"> that o</w:t>
      </w:r>
      <w:r w:rsidR="00B807C1">
        <w:t>nly a person who</w:t>
      </w:r>
      <w:r w:rsidR="00C43752">
        <w:t xml:space="preserve"> is entitled to receive at least two-thirds of the full net annual value of the premises</w:t>
      </w:r>
      <w:r w:rsidR="00D25D21">
        <w:t xml:space="preserve"> </w:t>
      </w:r>
      <w:r w:rsidR="0022143D">
        <w:t xml:space="preserve">can be a person having control </w:t>
      </w:r>
      <w:r w:rsidR="00CE26CA">
        <w:t>and, where the rent is received by mo</w:t>
      </w:r>
      <w:r w:rsidR="00CC55E9">
        <w:t>r</w:t>
      </w:r>
      <w:r w:rsidR="00CE26CA">
        <w:t>e than one person</w:t>
      </w:r>
      <w:r w:rsidR="00AC7F99">
        <w:t>,</w:t>
      </w:r>
      <w:r w:rsidR="00CC55E9">
        <w:t xml:space="preserve"> </w:t>
      </w:r>
      <w:r w:rsidR="0041109F">
        <w:t xml:space="preserve">only that </w:t>
      </w:r>
      <w:r w:rsidR="00BA3B06">
        <w:t>portion</w:t>
      </w:r>
      <w:r w:rsidR="0041109F">
        <w:t xml:space="preserve"> </w:t>
      </w:r>
      <w:r w:rsidR="002F1542">
        <w:t>which each is ent</w:t>
      </w:r>
      <w:r w:rsidR="00FD546C">
        <w:t>i</w:t>
      </w:r>
      <w:r w:rsidR="002F1542">
        <w:t>tl</w:t>
      </w:r>
      <w:r w:rsidR="00FD546C">
        <w:t>e</w:t>
      </w:r>
      <w:r w:rsidR="002F1542">
        <w:t>d to receive on their own behalf</w:t>
      </w:r>
      <w:r w:rsidR="00FD546C">
        <w:t xml:space="preserve"> should be taken into account when deciding whether they </w:t>
      </w:r>
      <w:r w:rsidR="00404CA2">
        <w:t xml:space="preserve">have the necessary entitlement </w:t>
      </w:r>
      <w:r w:rsidR="00F375AE">
        <w:t>to</w:t>
      </w:r>
      <w:r w:rsidR="0067678D">
        <w:t xml:space="preserve"> qualify as a person having control</w:t>
      </w:r>
      <w:r w:rsidR="00F375AE">
        <w:t>.</w:t>
      </w:r>
    </w:p>
    <w:p w14:paraId="64936006" w14:textId="2C071B8D" w:rsidR="00BA3B06" w:rsidRDefault="005F61FF" w:rsidP="004B1E06">
      <w:pPr>
        <w:pStyle w:val="Normal2"/>
        <w:numPr>
          <w:ilvl w:val="0"/>
          <w:numId w:val="48"/>
        </w:numPr>
        <w:spacing w:after="360"/>
        <w:ind w:left="567" w:hanging="567"/>
      </w:pPr>
      <w:r>
        <w:t xml:space="preserve">On the evidence </w:t>
      </w:r>
      <w:r w:rsidR="00002F8A">
        <w:t xml:space="preserve">in this case </w:t>
      </w:r>
      <w:r>
        <w:t xml:space="preserve">the full value of the HMO </w:t>
      </w:r>
      <w:r w:rsidR="00ED5817">
        <w:t>could not be more than</w:t>
      </w:r>
      <w:r>
        <w:t xml:space="preserve"> </w:t>
      </w:r>
      <w:r w:rsidR="00F967F5" w:rsidRPr="00F967F5">
        <w:t>£1,800 a month</w:t>
      </w:r>
      <w:r w:rsidR="00F967F5">
        <w:t xml:space="preserve">, since that was the amount which the </w:t>
      </w:r>
      <w:r w:rsidR="00ED5817">
        <w:t xml:space="preserve">occupational tenants were paying to Mr </w:t>
      </w:r>
      <w:r w:rsidR="00D255A3">
        <w:t xml:space="preserve">Pradhan, their immediate landlord.  </w:t>
      </w:r>
      <w:r w:rsidR="009340E1">
        <w:t xml:space="preserve">Mr Gill explained that he and his brother were </w:t>
      </w:r>
      <w:r w:rsidR="000154FC">
        <w:t>entitled</w:t>
      </w:r>
      <w:r w:rsidR="00FC14FC">
        <w:t xml:space="preserve"> </w:t>
      </w:r>
      <w:r w:rsidR="000154FC">
        <w:t xml:space="preserve">to equal shares in the property </w:t>
      </w:r>
      <w:r w:rsidR="00FC14FC">
        <w:t xml:space="preserve">and </w:t>
      </w:r>
      <w:r w:rsidR="0014653D">
        <w:t xml:space="preserve">that </w:t>
      </w:r>
      <w:r w:rsidR="0014653D" w:rsidRPr="0014653D">
        <w:t xml:space="preserve">the rent of £1,400 a month which </w:t>
      </w:r>
      <w:r w:rsidR="004A7C06">
        <w:t xml:space="preserve">they received from </w:t>
      </w:r>
      <w:r w:rsidR="0014653D" w:rsidRPr="0014653D">
        <w:t xml:space="preserve">Mr Pradhan </w:t>
      </w:r>
      <w:r w:rsidR="004A7C06">
        <w:t xml:space="preserve">was </w:t>
      </w:r>
      <w:r w:rsidR="00FC14FC">
        <w:t>shared equally between them</w:t>
      </w:r>
      <w:r w:rsidR="004A7C06">
        <w:t xml:space="preserve">.  </w:t>
      </w:r>
      <w:r w:rsidR="003B3560">
        <w:t xml:space="preserve">Each of them was entitled to £700 a month, which was less than two-thirds of </w:t>
      </w:r>
      <w:r w:rsidR="00DF551F">
        <w:t>the full value of the property.  It followed</w:t>
      </w:r>
      <w:r w:rsidR="00D052E5">
        <w:t xml:space="preserve">, Mr Gill </w:t>
      </w:r>
      <w:r w:rsidR="00D052E5">
        <w:lastRenderedPageBreak/>
        <w:t>submitted,</w:t>
      </w:r>
      <w:r w:rsidR="00DF551F">
        <w:t xml:space="preserve"> that neither of them recei</w:t>
      </w:r>
      <w:r w:rsidR="004E032C">
        <w:t xml:space="preserve">ved the rack rent </w:t>
      </w:r>
      <w:r w:rsidR="0084462D">
        <w:t xml:space="preserve">of the property </w:t>
      </w:r>
      <w:r w:rsidR="004E032C">
        <w:t xml:space="preserve">and </w:t>
      </w:r>
      <w:r w:rsidR="00D052E5">
        <w:t xml:space="preserve">that </w:t>
      </w:r>
      <w:r w:rsidR="004E032C">
        <w:t>neither of them was a person having control</w:t>
      </w:r>
      <w:r w:rsidR="00D052E5">
        <w:t xml:space="preserve"> who could commit the </w:t>
      </w:r>
      <w:r w:rsidR="002131F9">
        <w:t xml:space="preserve">relevant </w:t>
      </w:r>
      <w:r w:rsidR="00D052E5">
        <w:t xml:space="preserve">offence under </w:t>
      </w:r>
      <w:r w:rsidR="0084462D" w:rsidRPr="0084462D">
        <w:t>section 72(1) of the 2004 Act</w:t>
      </w:r>
      <w:r w:rsidR="004E032C">
        <w:t>.</w:t>
      </w:r>
      <w:r w:rsidR="00DF551F">
        <w:t xml:space="preserve"> </w:t>
      </w:r>
    </w:p>
    <w:p w14:paraId="757C71BE" w14:textId="4A06375F" w:rsidR="00A11D7E" w:rsidRDefault="00A3470A" w:rsidP="004B1E06">
      <w:pPr>
        <w:pStyle w:val="Normal2"/>
        <w:numPr>
          <w:ilvl w:val="0"/>
          <w:numId w:val="48"/>
        </w:numPr>
        <w:spacing w:after="360"/>
        <w:ind w:left="567" w:hanging="567"/>
      </w:pPr>
      <w:r>
        <w:t xml:space="preserve">Mr Gill </w:t>
      </w:r>
      <w:r w:rsidR="00002F8A">
        <w:t xml:space="preserve">understood </w:t>
      </w:r>
      <w:r>
        <w:t>that this point had not been determined before</w:t>
      </w:r>
      <w:r w:rsidR="00C86C5A">
        <w:t xml:space="preserve"> and </w:t>
      </w:r>
      <w:r w:rsidR="00002F8A">
        <w:t xml:space="preserve">he </w:t>
      </w:r>
      <w:r w:rsidR="00002F8A" w:rsidRPr="00002F8A">
        <w:t xml:space="preserve">suggested </w:t>
      </w:r>
      <w:r w:rsidR="00C86C5A">
        <w:t xml:space="preserve">that </w:t>
      </w:r>
      <w:r w:rsidR="001926EC" w:rsidRPr="001926EC">
        <w:t xml:space="preserve">when deciding it </w:t>
      </w:r>
      <w:r w:rsidR="00C86C5A">
        <w:t xml:space="preserve">the Tribunal should bear in mind the </w:t>
      </w:r>
      <w:r w:rsidR="00A93893">
        <w:t>principle that a person should not be penalised except under clear law</w:t>
      </w:r>
      <w:r w:rsidR="00F96F57">
        <w:t xml:space="preserve"> (a principle which it had applied when resolving a somewhat similar issue in </w:t>
      </w:r>
      <w:proofErr w:type="spellStart"/>
      <w:r w:rsidR="00F96F57" w:rsidRPr="00F96F57">
        <w:rPr>
          <w:i/>
          <w:iCs/>
        </w:rPr>
        <w:t>Ficcara</w:t>
      </w:r>
      <w:proofErr w:type="spellEnd"/>
      <w:r w:rsidR="00F96F57" w:rsidRPr="00F96F57">
        <w:rPr>
          <w:i/>
          <w:iCs/>
        </w:rPr>
        <w:t xml:space="preserve"> v James</w:t>
      </w:r>
      <w:r w:rsidR="00A93893">
        <w:t xml:space="preserve"> </w:t>
      </w:r>
      <w:r w:rsidR="00F96F57">
        <w:t>[</w:t>
      </w:r>
      <w:r w:rsidR="00E10776">
        <w:t xml:space="preserve">2021] UKUT 38 (LC)).  </w:t>
      </w:r>
      <w:r w:rsidR="00002F8A">
        <w:t xml:space="preserve">The closest analogy Mr Gill’s had discovered was </w:t>
      </w:r>
      <w:r w:rsidR="00020B33">
        <w:rPr>
          <w:i/>
          <w:iCs/>
        </w:rPr>
        <w:t xml:space="preserve">London Corporation v Cusack-Smith </w:t>
      </w:r>
      <w:r w:rsidR="00020B33">
        <w:t xml:space="preserve">[1955] AC 337 </w:t>
      </w:r>
      <w:r w:rsidR="00002F8A">
        <w:t xml:space="preserve">in which </w:t>
      </w:r>
      <w:r w:rsidR="00A111DF" w:rsidRPr="00A111DF">
        <w:t>the House of Lords</w:t>
      </w:r>
      <w:r w:rsidR="00A111DF">
        <w:t xml:space="preserve"> had</w:t>
      </w:r>
      <w:r w:rsidR="00A111DF" w:rsidRPr="00A111DF">
        <w:t xml:space="preserve"> decided </w:t>
      </w:r>
      <w:r w:rsidR="00020B33">
        <w:t xml:space="preserve">that </w:t>
      </w:r>
      <w:r w:rsidR="00F91F7A">
        <w:t xml:space="preserve">where the same house was let successively on a chain of leases and subleases </w:t>
      </w:r>
      <w:r w:rsidR="000F5E8B">
        <w:t xml:space="preserve">over a period of years, more </w:t>
      </w:r>
      <w:r w:rsidR="00E82417">
        <w:t xml:space="preserve">than one person could be </w:t>
      </w:r>
      <w:r w:rsidR="000F5E8B">
        <w:t>said to be in receipt of the rack rent of the house</w:t>
      </w:r>
      <w:r w:rsidR="002A4177">
        <w:t xml:space="preserve"> because the question whether a</w:t>
      </w:r>
      <w:r w:rsidR="00E8137C">
        <w:t xml:space="preserve"> rent was or was not a rack rent was to be determined at the time of the letting</w:t>
      </w:r>
      <w:r w:rsidR="001F3971">
        <w:t xml:space="preserve">.  </w:t>
      </w:r>
      <w:r w:rsidR="00030B02">
        <w:t xml:space="preserve">As </w:t>
      </w:r>
      <w:r w:rsidR="00030B02" w:rsidRPr="00030B02">
        <w:t>Mr Gill pointed out</w:t>
      </w:r>
      <w:r w:rsidR="00030B02">
        <w:t>,</w:t>
      </w:r>
      <w:r w:rsidR="00030B02" w:rsidRPr="00030B02">
        <w:t xml:space="preserve"> </w:t>
      </w:r>
      <w:r w:rsidR="000908B0">
        <w:t xml:space="preserve">although </w:t>
      </w:r>
      <w:r w:rsidR="004D16A9" w:rsidRPr="004D16A9">
        <w:rPr>
          <w:i/>
          <w:iCs/>
        </w:rPr>
        <w:t xml:space="preserve">Cusack-Smith </w:t>
      </w:r>
      <w:r w:rsidR="004D16A9" w:rsidRPr="004D16A9">
        <w:t>determined that</w:t>
      </w:r>
      <w:r w:rsidR="004D16A9">
        <w:rPr>
          <w:i/>
          <w:iCs/>
        </w:rPr>
        <w:t xml:space="preserve"> </w:t>
      </w:r>
      <w:r w:rsidR="001F3971">
        <w:t xml:space="preserve">a superior landlord and an immediate landlord could both be in receipt of a rack rent, </w:t>
      </w:r>
      <w:r w:rsidR="000908B0">
        <w:t>i</w:t>
      </w:r>
      <w:r w:rsidR="001F3971">
        <w:t xml:space="preserve">t did not address the position </w:t>
      </w:r>
      <w:r w:rsidR="00CA1A01">
        <w:t>of joint landlords at the same level</w:t>
      </w:r>
      <w:r w:rsidR="00782089">
        <w:t>.</w:t>
      </w:r>
    </w:p>
    <w:p w14:paraId="3AC71A21" w14:textId="515FC758" w:rsidR="00A8235A" w:rsidRDefault="00B07A20" w:rsidP="004B1E06">
      <w:pPr>
        <w:pStyle w:val="Normal2"/>
        <w:numPr>
          <w:ilvl w:val="0"/>
          <w:numId w:val="48"/>
        </w:numPr>
        <w:spacing w:after="360"/>
        <w:ind w:left="567" w:hanging="567"/>
      </w:pPr>
      <w:r>
        <w:t>In my judgment t</w:t>
      </w:r>
      <w:r w:rsidR="00A11D7E">
        <w:t xml:space="preserve">he </w:t>
      </w:r>
      <w:r w:rsidR="00BA28DA">
        <w:t xml:space="preserve">application of </w:t>
      </w:r>
      <w:r>
        <w:t>section 263</w:t>
      </w:r>
      <w:r w:rsidR="00BA28DA">
        <w:t xml:space="preserve"> to cases of joint ownership</w:t>
      </w:r>
      <w:r>
        <w:t xml:space="preserve"> is not </w:t>
      </w:r>
      <w:r w:rsidR="008759E2">
        <w:t xml:space="preserve">free from </w:t>
      </w:r>
      <w:r w:rsidR="00972725">
        <w:t xml:space="preserve">relevant </w:t>
      </w:r>
      <w:proofErr w:type="gramStart"/>
      <w:r w:rsidR="008759E2">
        <w:t>authority, and</w:t>
      </w:r>
      <w:proofErr w:type="gramEnd"/>
      <w:r w:rsidR="008759E2">
        <w:t xml:space="preserve"> is not </w:t>
      </w:r>
      <w:r>
        <w:t xml:space="preserve">in doubt. </w:t>
      </w:r>
    </w:p>
    <w:p w14:paraId="5710ABA2" w14:textId="6B87074F" w:rsidR="0021645B" w:rsidRDefault="003761D1" w:rsidP="004B1E06">
      <w:pPr>
        <w:pStyle w:val="Normal2"/>
        <w:numPr>
          <w:ilvl w:val="0"/>
          <w:numId w:val="48"/>
        </w:numPr>
        <w:spacing w:after="360"/>
        <w:ind w:left="567" w:hanging="567"/>
      </w:pPr>
      <w:r>
        <w:t xml:space="preserve">In </w:t>
      </w:r>
      <w:proofErr w:type="spellStart"/>
      <w:r>
        <w:rPr>
          <w:i/>
          <w:iCs/>
        </w:rPr>
        <w:t>Pollway</w:t>
      </w:r>
      <w:proofErr w:type="spellEnd"/>
      <w:r>
        <w:rPr>
          <w:i/>
          <w:iCs/>
        </w:rPr>
        <w:t xml:space="preserve"> Nominees Ltd v Croydon London Borough Council</w:t>
      </w:r>
      <w:r w:rsidR="00B07A20">
        <w:t xml:space="preserve">  </w:t>
      </w:r>
      <w:r>
        <w:t>[</w:t>
      </w:r>
      <w:r w:rsidR="0079054D">
        <w:t>1987] 1 AC 79 the House of Lords considered who was the</w:t>
      </w:r>
      <w:r w:rsidR="00BB30B6">
        <w:t xml:space="preserve"> person having control of a </w:t>
      </w:r>
      <w:r w:rsidR="00CD2173">
        <w:t xml:space="preserve">block of 42 flats for the purpose of </w:t>
      </w:r>
      <w:r w:rsidR="002D02A9">
        <w:t>identifying the proper recipient of a notice under the Housing Act 1957</w:t>
      </w:r>
      <w:r w:rsidR="00370C3B">
        <w:t xml:space="preserve"> requiring the person having control to carry out repairs to the structure of the building</w:t>
      </w:r>
      <w:r w:rsidR="00A234F2">
        <w:t xml:space="preserve">.  The flats were let on long leases and the owner of the freehold </w:t>
      </w:r>
      <w:r w:rsidR="001231C0">
        <w:t xml:space="preserve">had covenanted </w:t>
      </w:r>
      <w:r w:rsidR="00675274">
        <w:t>to repair</w:t>
      </w:r>
      <w:r w:rsidR="001231C0">
        <w:t xml:space="preserve"> the structure</w:t>
      </w:r>
      <w:r w:rsidR="00EA78B1">
        <w:t>, but it was in receipt of ground rents only</w:t>
      </w:r>
      <w:r w:rsidR="003E3BDE">
        <w:t xml:space="preserve"> and it argued </w:t>
      </w:r>
      <w:r w:rsidR="00303818">
        <w:t xml:space="preserve">successfully </w:t>
      </w:r>
      <w:r w:rsidR="003E3BDE">
        <w:t xml:space="preserve">that it </w:t>
      </w:r>
      <w:r w:rsidR="00532A59">
        <w:t xml:space="preserve">was </w:t>
      </w:r>
      <w:r w:rsidR="003E3BDE">
        <w:t xml:space="preserve">not the person having control of the building because </w:t>
      </w:r>
      <w:r w:rsidR="002C5B0C">
        <w:t>it was not in a position to grant a lease at a rack rent</w:t>
      </w:r>
      <w:r w:rsidR="00532A59">
        <w:t xml:space="preserve">.  </w:t>
      </w:r>
      <w:r w:rsidR="00B61DE2">
        <w:t>Section 39 of the 1957 Act was in the same terms as section 263 of the 2004 Act</w:t>
      </w:r>
      <w:r w:rsidR="003E3BDE">
        <w:t xml:space="preserve"> </w:t>
      </w:r>
      <w:r w:rsidR="00AF55D3">
        <w:t>and</w:t>
      </w:r>
      <w:r w:rsidR="008E6E8D">
        <w:t xml:space="preserve"> included </w:t>
      </w:r>
      <w:r w:rsidR="00002F8A">
        <w:t xml:space="preserve">the same </w:t>
      </w:r>
      <w:r w:rsidR="008E6E8D">
        <w:t>two limbs</w:t>
      </w:r>
      <w:r w:rsidR="00002F8A">
        <w:t>,</w:t>
      </w:r>
      <w:r w:rsidR="00493447">
        <w:t xml:space="preserve"> the first of which applied where the property was let at a rack and the second where it was not so let.  In the latter case the person having control was the person “</w:t>
      </w:r>
      <w:r w:rsidR="00493447" w:rsidRPr="00493447">
        <w:t xml:space="preserve">who would so receive it </w:t>
      </w:r>
      <w:r w:rsidR="00493447">
        <w:t xml:space="preserve">[the rack rent] </w:t>
      </w:r>
      <w:r w:rsidR="00493447" w:rsidRPr="00493447">
        <w:t>if the premises were let at a rack rent</w:t>
      </w:r>
      <w:r w:rsidR="00493447">
        <w:t>”</w:t>
      </w:r>
      <w:r w:rsidR="00493447" w:rsidRPr="00493447">
        <w:t>.</w:t>
      </w:r>
      <w:r w:rsidR="00493447">
        <w:t xml:space="preserve"> </w:t>
      </w:r>
      <w:r w:rsidR="000D557C">
        <w:t xml:space="preserve"> </w:t>
      </w:r>
      <w:proofErr w:type="spellStart"/>
      <w:r w:rsidR="00B64C6F" w:rsidRPr="00B64C6F">
        <w:rPr>
          <w:i/>
          <w:iCs/>
        </w:rPr>
        <w:t>Pollway</w:t>
      </w:r>
      <w:proofErr w:type="spellEnd"/>
      <w:r w:rsidR="00B64C6F" w:rsidRPr="00B64C6F">
        <w:t xml:space="preserve"> was concerned with the second limb of the definition of “person having control”.  </w:t>
      </w:r>
    </w:p>
    <w:p w14:paraId="3650E336" w14:textId="77777777" w:rsidR="00A21661" w:rsidRDefault="004775AE" w:rsidP="004B1E06">
      <w:pPr>
        <w:pStyle w:val="Normal2"/>
        <w:numPr>
          <w:ilvl w:val="0"/>
          <w:numId w:val="48"/>
        </w:numPr>
        <w:spacing w:after="360"/>
        <w:ind w:left="567" w:hanging="567"/>
      </w:pPr>
      <w:r>
        <w:t xml:space="preserve">The argument accepted by the </w:t>
      </w:r>
      <w:r w:rsidR="00AF55D3">
        <w:t>House of Lords</w:t>
      </w:r>
      <w:r>
        <w:t xml:space="preserve"> was </w:t>
      </w:r>
      <w:r w:rsidR="00A21661">
        <w:t>identified by Lord Bridge at page 91 A-C, as follows:</w:t>
      </w:r>
    </w:p>
    <w:p w14:paraId="5F18D5AA" w14:textId="12533330" w:rsidR="003D2B53" w:rsidRDefault="003D2B53" w:rsidP="003D2B53">
      <w:pPr>
        <w:pStyle w:val="Normal2"/>
        <w:spacing w:after="360"/>
        <w:ind w:left="1134" w:right="567"/>
      </w:pPr>
      <w:r>
        <w:t>“</w:t>
      </w:r>
      <w:r w:rsidRPr="003D2B53">
        <w:t>The argument for the respondent is that the definition is only apt to apply to a person whose interest in the property entitles him to dispose of the right of occupation. It is for the right of occupation that rack rents are paid. Hence the person entitled to grant that right will receive the rack rent if the property is let at a rack rent or would receive it if it were so let. In the case of a house comprising a multiplicity of residential units let on long leases at ground rents, there is either no person to whom the definition can apply or the definition applies collectively to all the long leaseholders who between them either receive the rack rents of units sub-let at rack rents or would receive the rack rents if the units were so sub-let.</w:t>
      </w:r>
      <w:r>
        <w:t>”</w:t>
      </w:r>
    </w:p>
    <w:p w14:paraId="6A5C89BD" w14:textId="409AE730" w:rsidR="00DE1CE8" w:rsidRDefault="00FB41F7" w:rsidP="004B1E06">
      <w:pPr>
        <w:pStyle w:val="Normal2"/>
        <w:numPr>
          <w:ilvl w:val="0"/>
          <w:numId w:val="48"/>
        </w:numPr>
        <w:spacing w:after="360"/>
        <w:ind w:left="567" w:hanging="567"/>
      </w:pPr>
      <w:r>
        <w:lastRenderedPageBreak/>
        <w:t xml:space="preserve">All but one of </w:t>
      </w:r>
      <w:r w:rsidR="000310C2">
        <w:t>other members of the House agreed with Lord Bridge in accepting the respondent’s argument</w:t>
      </w:r>
      <w:r w:rsidR="004F29B2">
        <w:t xml:space="preserve"> that the person having control of a let block of flats was not the freeholder but was, collectively, </w:t>
      </w:r>
      <w:r w:rsidR="00F37D5E">
        <w:t xml:space="preserve">all of </w:t>
      </w:r>
      <w:r w:rsidR="00BE11B3">
        <w:t xml:space="preserve">the leaseholders of the flats.  </w:t>
      </w:r>
      <w:r w:rsidR="001768D0">
        <w:t xml:space="preserve">Lord Goff </w:t>
      </w:r>
      <w:r w:rsidRPr="00FB41F7">
        <w:t xml:space="preserve">agreed in the result but </w:t>
      </w:r>
      <w:r w:rsidR="00F37D5E">
        <w:t xml:space="preserve">reached his conclusion </w:t>
      </w:r>
      <w:r w:rsidRPr="00FB41F7">
        <w:t>by a different route</w:t>
      </w:r>
      <w:r>
        <w:t>;</w:t>
      </w:r>
      <w:r w:rsidR="00D2237D">
        <w:t xml:space="preserve"> </w:t>
      </w:r>
      <w:r w:rsidR="00F37D5E">
        <w:t xml:space="preserve">in doing so </w:t>
      </w:r>
      <w:r w:rsidRPr="00FB41F7">
        <w:t xml:space="preserve">he </w:t>
      </w:r>
      <w:r w:rsidR="00313E1A">
        <w:t>considered</w:t>
      </w:r>
      <w:r w:rsidR="00D2237D">
        <w:t xml:space="preserve"> the case of a house </w:t>
      </w:r>
      <w:r w:rsidR="00002F8A">
        <w:t>separate</w:t>
      </w:r>
      <w:r w:rsidR="009E22F1">
        <w:t xml:space="preserve"> parts of which were owned by different people (which </w:t>
      </w:r>
      <w:r w:rsidR="00D2237D">
        <w:t>h</w:t>
      </w:r>
      <w:r w:rsidR="009E22F1">
        <w:t xml:space="preserve">e </w:t>
      </w:r>
      <w:r w:rsidR="002D6008">
        <w:t xml:space="preserve">acknowledged was improbable) and </w:t>
      </w:r>
      <w:r w:rsidR="00DE1CE8">
        <w:t>stated</w:t>
      </w:r>
      <w:r w:rsidR="00D2237D">
        <w:t xml:space="preserve"> </w:t>
      </w:r>
      <w:r w:rsidR="00DE1CE8" w:rsidRPr="00DE1CE8">
        <w:t>at page 97H</w:t>
      </w:r>
      <w:r w:rsidR="00DE1CE8">
        <w:t>:</w:t>
      </w:r>
    </w:p>
    <w:p w14:paraId="7D5D901E" w14:textId="31F3B3A9" w:rsidR="00E82417" w:rsidRDefault="00313E1A" w:rsidP="00DE1CE8">
      <w:pPr>
        <w:pStyle w:val="Normal2"/>
        <w:spacing w:after="360"/>
        <w:ind w:left="1134" w:right="567"/>
      </w:pPr>
      <w:r>
        <w:t>“</w:t>
      </w:r>
      <w:r w:rsidR="00DE1CE8">
        <w:t xml:space="preserve"> I consider </w:t>
      </w:r>
      <w:r>
        <w:t>that the words “the person who receives the rack rent of the house</w:t>
      </w:r>
      <w:r w:rsidR="00FB0E02">
        <w:t>”</w:t>
      </w:r>
      <w:r>
        <w:t xml:space="preserve"> in the first limb of section 39(2) can, with the aid of the Interpretation Act 1889, be read as applicable to the case where a </w:t>
      </w:r>
      <w:r w:rsidR="00394BAD">
        <w:t>number of persons, having interests in different parts of the house which together comprise the totality of the house, join together to grant a lease of the whole house at a single rack rent”.</w:t>
      </w:r>
      <w:r w:rsidR="00AF55D3">
        <w:t xml:space="preserve"> </w:t>
      </w:r>
      <w:r w:rsidR="00B07A20">
        <w:t xml:space="preserve"> </w:t>
      </w:r>
      <w:r w:rsidR="001F3971">
        <w:t xml:space="preserve"> </w:t>
      </w:r>
      <w:r w:rsidR="00E8137C">
        <w:t xml:space="preserve"> </w:t>
      </w:r>
    </w:p>
    <w:p w14:paraId="659E798C" w14:textId="263ED21C" w:rsidR="00026FEB" w:rsidRDefault="00651DC2" w:rsidP="004B1E06">
      <w:pPr>
        <w:pStyle w:val="Normal2"/>
        <w:numPr>
          <w:ilvl w:val="0"/>
          <w:numId w:val="48"/>
        </w:numPr>
        <w:spacing w:after="360"/>
        <w:ind w:left="567" w:hanging="567"/>
      </w:pPr>
      <w:proofErr w:type="spellStart"/>
      <w:r>
        <w:rPr>
          <w:i/>
          <w:iCs/>
        </w:rPr>
        <w:t>Pollway</w:t>
      </w:r>
      <w:proofErr w:type="spellEnd"/>
      <w:r>
        <w:t xml:space="preserve"> </w:t>
      </w:r>
      <w:r w:rsidR="003B555A">
        <w:t xml:space="preserve">dealt </w:t>
      </w:r>
      <w:r>
        <w:t>with the</w:t>
      </w:r>
      <w:r w:rsidR="00F33ECC">
        <w:t xml:space="preserve"> </w:t>
      </w:r>
      <w:r>
        <w:t>problematic case of multiple ownership of different parts of a building (the individual flats)</w:t>
      </w:r>
      <w:r w:rsidR="00AB5F3D">
        <w:t xml:space="preserve"> but it shows that there is no reason why the person having control</w:t>
      </w:r>
      <w:r w:rsidR="005C116E">
        <w:t xml:space="preserve"> must be understood to mean one person only</w:t>
      </w:r>
      <w:r w:rsidR="008A615B">
        <w:t xml:space="preserve">.  </w:t>
      </w:r>
      <w:r w:rsidR="00CC21A8">
        <w:t xml:space="preserve">The </w:t>
      </w:r>
      <w:r w:rsidR="00CC21A8" w:rsidRPr="00CC21A8">
        <w:t>person</w:t>
      </w:r>
      <w:r w:rsidR="00CC21A8">
        <w:t xml:space="preserve"> having control</w:t>
      </w:r>
      <w:r w:rsidR="00CC21A8" w:rsidRPr="00CC21A8">
        <w:t xml:space="preserve"> may </w:t>
      </w:r>
      <w:r w:rsidR="00CC21A8">
        <w:t xml:space="preserve">mean </w:t>
      </w:r>
      <w:r w:rsidR="00D718D8">
        <w:t>42 separate individuals who have no property in common.</w:t>
      </w:r>
      <w:r w:rsidR="00CC21A8" w:rsidRPr="00CC21A8">
        <w:t xml:space="preserve"> </w:t>
      </w:r>
      <w:r w:rsidR="008A615B">
        <w:t xml:space="preserve">In the </w:t>
      </w:r>
      <w:r w:rsidR="00F33ECC">
        <w:t xml:space="preserve">commonplace and </w:t>
      </w:r>
      <w:r w:rsidR="008A615B">
        <w:t>more straightforward situation</w:t>
      </w:r>
      <w:r w:rsidR="00F33ECC">
        <w:t xml:space="preserve"> where two persons have a joint interest in the whole of the building</w:t>
      </w:r>
      <w:r w:rsidR="00304B42">
        <w:t xml:space="preserve"> there is no reason why they should not</w:t>
      </w:r>
      <w:r w:rsidR="00BB7BF6">
        <w:t xml:space="preserve"> collectively </w:t>
      </w:r>
      <w:r w:rsidR="00304B42">
        <w:t>be</w:t>
      </w:r>
      <w:r w:rsidR="00FC0221">
        <w:t xml:space="preserve"> persons having control of the house</w:t>
      </w:r>
      <w:r w:rsidR="00141A29">
        <w:t xml:space="preserve"> if they are in receipt of the rack rent </w:t>
      </w:r>
      <w:r w:rsidR="00B86817">
        <w:t>(</w:t>
      </w:r>
      <w:r w:rsidR="00141A29">
        <w:t>or</w:t>
      </w:r>
      <w:r w:rsidR="00304B42">
        <w:t xml:space="preserve"> </w:t>
      </w:r>
      <w:r w:rsidR="00141A29">
        <w:t>would be if the property were let at a rack rent</w:t>
      </w:r>
      <w:r w:rsidR="00B86817">
        <w:t>)</w:t>
      </w:r>
      <w:r w:rsidR="00141A29">
        <w:t>.</w:t>
      </w:r>
      <w:r w:rsidR="008A615B">
        <w:t xml:space="preserve"> </w:t>
      </w:r>
      <w:r>
        <w:t xml:space="preserve"> </w:t>
      </w:r>
    </w:p>
    <w:p w14:paraId="46FADDCF" w14:textId="2CACD8CB" w:rsidR="00E1698B" w:rsidRDefault="00AC6DC9" w:rsidP="004B1E06">
      <w:pPr>
        <w:pStyle w:val="Normal2"/>
        <w:numPr>
          <w:ilvl w:val="0"/>
          <w:numId w:val="48"/>
        </w:numPr>
        <w:spacing w:after="360"/>
        <w:ind w:left="567" w:hanging="567"/>
      </w:pPr>
      <w:r>
        <w:t xml:space="preserve">I do not accept Mr Gill’s </w:t>
      </w:r>
      <w:r w:rsidR="007B5D18">
        <w:t xml:space="preserve">analysis of the requirement that to be the person having control one must be in receipt of </w:t>
      </w:r>
      <w:r w:rsidR="00D07F64">
        <w:t>the rack rent, being not less than two-thirds of the full value of the property.</w:t>
      </w:r>
      <w:r w:rsidR="007B5D18">
        <w:t xml:space="preserve"> </w:t>
      </w:r>
      <w:r w:rsidR="00D07F64">
        <w:t xml:space="preserve"> </w:t>
      </w:r>
      <w:r w:rsidR="00D718D8">
        <w:t xml:space="preserve">If </w:t>
      </w:r>
      <w:r w:rsidR="00D77ACE">
        <w:t xml:space="preserve"> it was necessary for each of those ha</w:t>
      </w:r>
      <w:r w:rsidR="006F581F">
        <w:t>v</w:t>
      </w:r>
      <w:r w:rsidR="00D77ACE">
        <w:t>ing a</w:t>
      </w:r>
      <w:r w:rsidR="006F581F">
        <w:t>n</w:t>
      </w:r>
      <w:r w:rsidR="00D77ACE">
        <w:t xml:space="preserve"> interest in the building</w:t>
      </w:r>
      <w:r w:rsidR="006F581F">
        <w:t xml:space="preserve"> to </w:t>
      </w:r>
      <w:r w:rsidR="00654F34">
        <w:t xml:space="preserve">be entitled to receive two-thirds of </w:t>
      </w:r>
      <w:r w:rsidR="00DC3A98">
        <w:t>its</w:t>
      </w:r>
      <w:r w:rsidR="006F581F">
        <w:t xml:space="preserve"> </w:t>
      </w:r>
      <w:r w:rsidR="00654F34">
        <w:t xml:space="preserve">full value </w:t>
      </w:r>
      <w:r w:rsidR="00DC3A98">
        <w:t xml:space="preserve">none of the 42 leaseholders </w:t>
      </w:r>
      <w:r w:rsidR="006C4849">
        <w:t xml:space="preserve">in </w:t>
      </w:r>
      <w:proofErr w:type="spellStart"/>
      <w:r w:rsidR="006C4849">
        <w:rPr>
          <w:i/>
          <w:iCs/>
        </w:rPr>
        <w:t>Pollway</w:t>
      </w:r>
      <w:proofErr w:type="spellEnd"/>
      <w:r w:rsidR="006C4849">
        <w:rPr>
          <w:i/>
          <w:iCs/>
        </w:rPr>
        <w:t xml:space="preserve"> </w:t>
      </w:r>
      <w:r w:rsidR="00DC3A98">
        <w:t>would have qualified</w:t>
      </w:r>
      <w:r w:rsidR="006C4849">
        <w:t xml:space="preserve">; </w:t>
      </w:r>
      <w:r w:rsidR="002E748A">
        <w:t xml:space="preserve">it was enough that, </w:t>
      </w:r>
      <w:r w:rsidR="006C4849">
        <w:t>acting collectively</w:t>
      </w:r>
      <w:r w:rsidR="00032083">
        <w:t>,</w:t>
      </w:r>
      <w:r w:rsidR="00A7563C">
        <w:t xml:space="preserve"> </w:t>
      </w:r>
      <w:r w:rsidR="006C4849">
        <w:t>the</w:t>
      </w:r>
      <w:r w:rsidR="00A7563C">
        <w:t xml:space="preserve">y </w:t>
      </w:r>
      <w:r w:rsidR="00032083">
        <w:t>c</w:t>
      </w:r>
      <w:r w:rsidR="00A7563C">
        <w:t xml:space="preserve">ould have </w:t>
      </w:r>
      <w:r w:rsidR="005072D7" w:rsidRPr="005072D7">
        <w:t>re</w:t>
      </w:r>
      <w:r w:rsidR="00032083">
        <w:t>ceived</w:t>
      </w:r>
      <w:r w:rsidR="005072D7" w:rsidRPr="005072D7">
        <w:t xml:space="preserve"> a rack rent </w:t>
      </w:r>
      <w:r w:rsidR="005072D7">
        <w:t xml:space="preserve">by </w:t>
      </w:r>
      <w:r w:rsidR="00A7563C">
        <w:t>let</w:t>
      </w:r>
      <w:r w:rsidR="005072D7">
        <w:t>ting</w:t>
      </w:r>
      <w:r w:rsidR="00A7563C">
        <w:t xml:space="preserve"> the whole</w:t>
      </w:r>
      <w:r w:rsidR="0091303B">
        <w:t xml:space="preserve"> of the residential parts of the</w:t>
      </w:r>
      <w:r w:rsidR="00A7563C">
        <w:t xml:space="preserve"> building, </w:t>
      </w:r>
      <w:r w:rsidR="00032083">
        <w:t xml:space="preserve">and the fact that </w:t>
      </w:r>
      <w:r w:rsidR="00A7563C">
        <w:t xml:space="preserve">each would have been entitled to only their </w:t>
      </w:r>
      <w:r w:rsidR="00F9316D">
        <w:t>share</w:t>
      </w:r>
      <w:r w:rsidR="00032083">
        <w:t xml:space="preserve"> of that rent was not identified as an obstacle to that conclusion</w:t>
      </w:r>
      <w:r w:rsidR="006C4849">
        <w:t xml:space="preserve">.  </w:t>
      </w:r>
      <w:r w:rsidR="00654F34">
        <w:t xml:space="preserve"> </w:t>
      </w:r>
      <w:r w:rsidR="00D77ACE">
        <w:t xml:space="preserve"> </w:t>
      </w:r>
    </w:p>
    <w:p w14:paraId="31094A4E" w14:textId="11A3F3E2" w:rsidR="00AC6DC9" w:rsidRDefault="00F9316D" w:rsidP="004B1E06">
      <w:pPr>
        <w:pStyle w:val="Normal2"/>
        <w:numPr>
          <w:ilvl w:val="0"/>
          <w:numId w:val="48"/>
        </w:numPr>
        <w:spacing w:after="360"/>
        <w:ind w:left="567" w:hanging="567"/>
      </w:pPr>
      <w:r>
        <w:t xml:space="preserve">The true position </w:t>
      </w:r>
      <w:r w:rsidR="00E1698B">
        <w:t xml:space="preserve">in cases of joint ownership </w:t>
      </w:r>
      <w:r>
        <w:t>is much simpler</w:t>
      </w:r>
      <w:r w:rsidR="002A72E7">
        <w:t xml:space="preserve"> than Mr Gill suggested</w:t>
      </w:r>
      <w:r>
        <w:t>.  J</w:t>
      </w:r>
      <w:r w:rsidR="002D0CFD">
        <w:t xml:space="preserve">oint owners of the whole of the building are entitled to receive the </w:t>
      </w:r>
      <w:r w:rsidR="00BB2E91">
        <w:t xml:space="preserve">whole of the </w:t>
      </w:r>
      <w:r w:rsidR="002D0CFD">
        <w:t xml:space="preserve">rent of the building, </w:t>
      </w:r>
      <w:r w:rsidR="009C2368">
        <w:t>and it is immaterial that the terms on which they hold their joint interest</w:t>
      </w:r>
      <w:r w:rsidR="002A77B1">
        <w:t>s</w:t>
      </w:r>
      <w:r w:rsidR="009C2368">
        <w:t xml:space="preserve"> </w:t>
      </w:r>
      <w:r w:rsidR="000A346B">
        <w:t xml:space="preserve">give each of them an entitlement, as against the other, to only </w:t>
      </w:r>
      <w:r w:rsidR="00002F8A">
        <w:t xml:space="preserve">a proportion </w:t>
      </w:r>
      <w:r w:rsidR="000A346B">
        <w:t>of the total</w:t>
      </w:r>
      <w:r w:rsidR="00072F34">
        <w:t xml:space="preserve"> rent</w:t>
      </w:r>
      <w:r w:rsidR="000A346B">
        <w:t xml:space="preserve">.  </w:t>
      </w:r>
      <w:r w:rsidR="004F4545">
        <w:t>For that reason</w:t>
      </w:r>
      <w:r w:rsidR="00207ECC">
        <w:t>,</w:t>
      </w:r>
      <w:r w:rsidR="004F4545">
        <w:t xml:space="preserve"> </w:t>
      </w:r>
      <w:r w:rsidR="00207ECC">
        <w:t xml:space="preserve">where there are </w:t>
      </w:r>
      <w:r w:rsidR="004F4545">
        <w:t>joint l</w:t>
      </w:r>
      <w:r w:rsidR="00207ECC">
        <w:t>andlords</w:t>
      </w:r>
      <w:r w:rsidR="0001189B">
        <w:t>, any one of them may give a good receipt for the rent, and on the death of one of them the rent is payable</w:t>
      </w:r>
      <w:r w:rsidR="009A2FA4">
        <w:t xml:space="preserve"> in full to</w:t>
      </w:r>
      <w:r w:rsidR="0001189B">
        <w:t xml:space="preserve"> the survivor</w:t>
      </w:r>
      <w:r w:rsidR="00207ECC">
        <w:t xml:space="preserve"> </w:t>
      </w:r>
      <w:r w:rsidR="009A2FA4">
        <w:t>(s</w:t>
      </w:r>
      <w:r w:rsidR="00494490">
        <w:t>e</w:t>
      </w:r>
      <w:r w:rsidR="009A2FA4">
        <w:t xml:space="preserve">e </w:t>
      </w:r>
      <w:proofErr w:type="spellStart"/>
      <w:r w:rsidR="009A2FA4">
        <w:rPr>
          <w:i/>
          <w:iCs/>
        </w:rPr>
        <w:t>Woodfall</w:t>
      </w:r>
      <w:proofErr w:type="spellEnd"/>
      <w:r w:rsidR="009A2FA4">
        <w:rPr>
          <w:i/>
          <w:iCs/>
        </w:rPr>
        <w:t xml:space="preserve">: Landlord and Tenant, </w:t>
      </w:r>
      <w:r w:rsidR="009A2FA4">
        <w:t xml:space="preserve">para </w:t>
      </w:r>
      <w:r w:rsidR="00EE6CCD">
        <w:t xml:space="preserve">7.073).  </w:t>
      </w:r>
      <w:r w:rsidR="000D3178">
        <w:t xml:space="preserve">For the purpose of section 263 </w:t>
      </w:r>
      <w:r w:rsidR="00E40977">
        <w:t xml:space="preserve">both of the appellants were </w:t>
      </w:r>
      <w:r w:rsidR="00002F8A">
        <w:t xml:space="preserve">therefore </w:t>
      </w:r>
      <w:r w:rsidR="00E40977">
        <w:t xml:space="preserve">persons entitled to receive the rack rent of the HMO and both were persons </w:t>
      </w:r>
      <w:r w:rsidR="00CC6996">
        <w:t>hav</w:t>
      </w:r>
      <w:r w:rsidR="00E40977">
        <w:t>in</w:t>
      </w:r>
      <w:r w:rsidR="00CC6996">
        <w:t>g</w:t>
      </w:r>
      <w:r w:rsidR="00E40977">
        <w:t xml:space="preserve"> control of it.</w:t>
      </w:r>
    </w:p>
    <w:p w14:paraId="1593912F" w14:textId="77777777" w:rsidR="00C23956" w:rsidRPr="00C23956" w:rsidRDefault="009967A1" w:rsidP="00C23956">
      <w:pPr>
        <w:pStyle w:val="Normal2"/>
        <w:spacing w:after="360"/>
        <w:rPr>
          <w:b/>
          <w:bCs/>
        </w:rPr>
      </w:pPr>
      <w:r w:rsidRPr="00C23956">
        <w:rPr>
          <w:b/>
          <w:bCs/>
        </w:rPr>
        <w:t xml:space="preserve">Issue 2: </w:t>
      </w:r>
      <w:r w:rsidR="0047655B" w:rsidRPr="00C23956">
        <w:rPr>
          <w:b/>
          <w:bCs/>
        </w:rPr>
        <w:t>Are the appellants liable to separate penalties?</w:t>
      </w:r>
      <w:r w:rsidR="008A5474" w:rsidRPr="00C23956">
        <w:rPr>
          <w:b/>
          <w:bCs/>
        </w:rPr>
        <w:t xml:space="preserve">  </w:t>
      </w:r>
    </w:p>
    <w:p w14:paraId="3F60C90B" w14:textId="12D97D9D" w:rsidR="00F14A9D" w:rsidRDefault="00517BD4" w:rsidP="000A2033">
      <w:pPr>
        <w:pStyle w:val="Normal2"/>
        <w:numPr>
          <w:ilvl w:val="0"/>
          <w:numId w:val="48"/>
        </w:numPr>
        <w:spacing w:after="360"/>
        <w:ind w:left="567" w:hanging="567"/>
      </w:pPr>
      <w:r>
        <w:t>Mr Gill’s alternative argument</w:t>
      </w:r>
      <w:r w:rsidR="008A5474">
        <w:t xml:space="preserve"> </w:t>
      </w:r>
      <w:r w:rsidR="004168C7">
        <w:t>was that joint</w:t>
      </w:r>
      <w:r w:rsidR="003B4562">
        <w:t xml:space="preserve"> </w:t>
      </w:r>
      <w:r w:rsidR="004168C7">
        <w:t>l</w:t>
      </w:r>
      <w:r w:rsidR="003B4562">
        <w:t xml:space="preserve">andlords </w:t>
      </w:r>
      <w:r w:rsidR="00034F7D">
        <w:t xml:space="preserve">should jointly be liable to a single financial penalty and that the FTT was wrong to impose separate penalties on </w:t>
      </w:r>
      <w:r w:rsidR="00EE49E1">
        <w:t>him and his brother.</w:t>
      </w:r>
      <w:r w:rsidR="00A124D5">
        <w:t xml:space="preserve">  </w:t>
      </w:r>
      <w:r w:rsidR="005412F2">
        <w:t>H</w:t>
      </w:r>
      <w:r w:rsidR="00A124D5">
        <w:t>e suggested th</w:t>
      </w:r>
      <w:r w:rsidR="005412F2">
        <w:t>at</w:t>
      </w:r>
      <w:r w:rsidR="00A124D5">
        <w:t xml:space="preserve"> </w:t>
      </w:r>
      <w:r w:rsidR="002B1ABF">
        <w:t>where two or more persons having control of an HMO fail to obtain a licence, contrary to section</w:t>
      </w:r>
      <w:r w:rsidR="00FB42E5">
        <w:t xml:space="preserve"> </w:t>
      </w:r>
      <w:r w:rsidR="00A124D5">
        <w:t>72</w:t>
      </w:r>
      <w:r w:rsidR="00FB42E5">
        <w:t>(1)</w:t>
      </w:r>
      <w:r w:rsidR="00437862">
        <w:t>,</w:t>
      </w:r>
      <w:r w:rsidR="000A2033">
        <w:t xml:space="preserve"> </w:t>
      </w:r>
      <w:r w:rsidR="00482522" w:rsidRPr="00482522">
        <w:t xml:space="preserve">section 249A, 2004 Act should be applied </w:t>
      </w:r>
      <w:r w:rsidR="000A2033">
        <w:t xml:space="preserve">in such </w:t>
      </w:r>
      <w:r w:rsidR="000A2033">
        <w:lastRenderedPageBreak/>
        <w:t xml:space="preserve">a way that only one joint penalty </w:t>
      </w:r>
      <w:r w:rsidR="00B84521">
        <w:t>is imposed on them both.</w:t>
      </w:r>
      <w:r w:rsidR="00437862">
        <w:t xml:space="preserve"> </w:t>
      </w:r>
      <w:r w:rsidR="0027420D">
        <w:t xml:space="preserve"> This was said to be the natural effect of section 263</w:t>
      </w:r>
      <w:r w:rsidR="00095491">
        <w:t xml:space="preserve"> and section 249A</w:t>
      </w:r>
      <w:r w:rsidR="0009689B">
        <w:t>(3)</w:t>
      </w:r>
      <w:r w:rsidR="00431915">
        <w:t>.</w:t>
      </w:r>
    </w:p>
    <w:p w14:paraId="4E008907" w14:textId="3F6BE689" w:rsidR="00431915" w:rsidRDefault="0027420D" w:rsidP="000A2033">
      <w:pPr>
        <w:pStyle w:val="Normal2"/>
        <w:numPr>
          <w:ilvl w:val="0"/>
          <w:numId w:val="48"/>
        </w:numPr>
        <w:spacing w:after="360"/>
        <w:ind w:left="567" w:hanging="567"/>
      </w:pPr>
      <w:r>
        <w:t>I do not accept Mr Gill’s argument</w:t>
      </w:r>
      <w:r w:rsidR="00431915">
        <w:t xml:space="preserve"> and I am satisfied that it is permissible for </w:t>
      </w:r>
      <w:r w:rsidR="00D81C90">
        <w:t>separate financial penalties to be imposed on each of two or more joint landlords where each has committed a relevant housing offence</w:t>
      </w:r>
      <w:r w:rsidR="008E42F8">
        <w:t xml:space="preserve"> based on the same acts and omissions</w:t>
      </w:r>
      <w:r w:rsidR="00431915">
        <w:t xml:space="preserve">.  </w:t>
      </w:r>
    </w:p>
    <w:p w14:paraId="6C742EA0" w14:textId="7895AE66" w:rsidR="00447DEC" w:rsidRDefault="000E34AF" w:rsidP="00447DEC">
      <w:pPr>
        <w:pStyle w:val="Normal2"/>
        <w:numPr>
          <w:ilvl w:val="0"/>
          <w:numId w:val="48"/>
        </w:numPr>
        <w:spacing w:after="360"/>
        <w:ind w:left="567" w:hanging="567"/>
        <w:rPr>
          <w:szCs w:val="24"/>
        </w:rPr>
      </w:pPr>
      <w:r>
        <w:t xml:space="preserve">As Mr </w:t>
      </w:r>
      <w:proofErr w:type="spellStart"/>
      <w:r w:rsidR="0046685D">
        <w:t>Dewji</w:t>
      </w:r>
      <w:proofErr w:type="spellEnd"/>
      <w:r w:rsidR="0046685D">
        <w:t xml:space="preserve"> </w:t>
      </w:r>
      <w:r w:rsidR="00BC198A">
        <w:t>po</w:t>
      </w:r>
      <w:r w:rsidR="0046685D">
        <w:t>i</w:t>
      </w:r>
      <w:r w:rsidR="00BC198A">
        <w:t>n</w:t>
      </w:r>
      <w:r w:rsidR="0046685D">
        <w:t>ted</w:t>
      </w:r>
      <w:r w:rsidR="00BC198A">
        <w:t xml:space="preserve"> out</w:t>
      </w:r>
      <w:r w:rsidR="0046685D">
        <w:t>, Mr Gill’s argument is concerned not simply with the financial penalty regime</w:t>
      </w:r>
      <w:r w:rsidR="00BC198A">
        <w:t xml:space="preserve"> under section 249A, 2004 Act</w:t>
      </w:r>
      <w:r w:rsidR="0046685D">
        <w:t xml:space="preserve">, but </w:t>
      </w:r>
      <w:r w:rsidR="000A3621">
        <w:t xml:space="preserve">goes </w:t>
      </w:r>
      <w:r w:rsidR="00BA6846">
        <w:t xml:space="preserve">also </w:t>
      </w:r>
      <w:r w:rsidR="000A3621">
        <w:t xml:space="preserve">to the prosecution of </w:t>
      </w:r>
      <w:r w:rsidR="00D610B7">
        <w:t xml:space="preserve">criminal </w:t>
      </w:r>
      <w:r w:rsidR="000A3621">
        <w:t xml:space="preserve">offences </w:t>
      </w:r>
      <w:r w:rsidR="00280EFD">
        <w:t xml:space="preserve">which may be committed </w:t>
      </w:r>
      <w:r w:rsidR="00576495">
        <w:t xml:space="preserve">by a person having control of an HMO </w:t>
      </w:r>
      <w:r w:rsidR="00555420">
        <w:t xml:space="preserve">and </w:t>
      </w:r>
      <w:r w:rsidR="00482522">
        <w:t xml:space="preserve">to </w:t>
      </w:r>
      <w:r w:rsidR="00555420">
        <w:t>the prosec</w:t>
      </w:r>
      <w:r w:rsidR="00E90C8D">
        <w:t>u</w:t>
      </w:r>
      <w:r w:rsidR="00555420">
        <w:t>tion</w:t>
      </w:r>
      <w:r w:rsidR="00E90C8D">
        <w:t xml:space="preserve"> of </w:t>
      </w:r>
      <w:r w:rsidR="00576495">
        <w:t xml:space="preserve">other </w:t>
      </w:r>
      <w:r w:rsidR="002F4E44">
        <w:t>housing</w:t>
      </w:r>
      <w:r w:rsidR="00280EFD">
        <w:t xml:space="preserve"> and</w:t>
      </w:r>
      <w:r w:rsidR="002F4E44">
        <w:t xml:space="preserve"> public health offences which depend on the same definition</w:t>
      </w:r>
      <w:r w:rsidR="00BA6846">
        <w:t>.</w:t>
      </w:r>
      <w:r w:rsidR="000A3621">
        <w:t xml:space="preserve"> </w:t>
      </w:r>
      <w:r w:rsidR="00431915">
        <w:t>The</w:t>
      </w:r>
      <w:r w:rsidR="00BE2826">
        <w:t xml:space="preserve"> offence under section 72(1)</w:t>
      </w:r>
      <w:r w:rsidR="008E6C0C">
        <w:t xml:space="preserve"> is</w:t>
      </w:r>
      <w:r w:rsidR="00BE2826">
        <w:t xml:space="preserve"> </w:t>
      </w:r>
      <w:r w:rsidR="00784282">
        <w:t xml:space="preserve">that </w:t>
      </w:r>
      <w:r w:rsidR="00007B8E">
        <w:t>of being “a person having control of or managing an HMO whi</w:t>
      </w:r>
      <w:r w:rsidR="006A79AB">
        <w:t>ch</w:t>
      </w:r>
      <w:r w:rsidR="00007B8E">
        <w:t xml:space="preserve"> is required to be licensed … but is not so licensed”</w:t>
      </w:r>
      <w:r w:rsidR="0023261D">
        <w:t xml:space="preserve">.  </w:t>
      </w:r>
      <w:r w:rsidR="00DC3429">
        <w:t>On the findings of the FTT e</w:t>
      </w:r>
      <w:r w:rsidR="0023261D">
        <w:t>ach of the appellants was such a person</w:t>
      </w:r>
      <w:r w:rsidR="00DC3429">
        <w:t xml:space="preserve">.  </w:t>
      </w:r>
      <w:r w:rsidR="00B9695E">
        <w:t xml:space="preserve">Each was a person having control of the HMO, and each </w:t>
      </w:r>
      <w:r w:rsidR="00482522">
        <w:t>held that status while the HMO was</w:t>
      </w:r>
      <w:r w:rsidR="00B84954">
        <w:t xml:space="preserve"> occupied in circumstances which required a licence but where none had been obtained.  </w:t>
      </w:r>
      <w:r w:rsidR="00DC3429">
        <w:t>The</w:t>
      </w:r>
      <w:r w:rsidR="00B84954">
        <w:t xml:space="preserve"> appellants</w:t>
      </w:r>
      <w:r w:rsidR="00785061">
        <w:t xml:space="preserve"> </w:t>
      </w:r>
      <w:r w:rsidR="00DC3429">
        <w:t>d</w:t>
      </w:r>
      <w:r w:rsidR="00785061">
        <w:t>i</w:t>
      </w:r>
      <w:r w:rsidR="00DC3429">
        <w:t xml:space="preserve">d not jointly commit the offence, they each committed </w:t>
      </w:r>
      <w:proofErr w:type="gramStart"/>
      <w:r w:rsidR="00DC3429">
        <w:t>it</w:t>
      </w:r>
      <w:proofErr w:type="gramEnd"/>
      <w:r w:rsidR="006A79AB">
        <w:t xml:space="preserve"> </w:t>
      </w:r>
      <w:r w:rsidR="00434304">
        <w:t>and each could have been</w:t>
      </w:r>
      <w:r w:rsidR="00F855A2">
        <w:t xml:space="preserve"> separately</w:t>
      </w:r>
      <w:r w:rsidR="00434304">
        <w:t xml:space="preserve"> prosecuted</w:t>
      </w:r>
      <w:r w:rsidR="00F855A2">
        <w:t>.</w:t>
      </w:r>
      <w:r w:rsidR="00431915">
        <w:t xml:space="preserve"> </w:t>
      </w:r>
      <w:r w:rsidR="00F855A2">
        <w:t xml:space="preserve"> In the same way, each could be the subject of a separate financial penalty because each has committed his own offence.</w:t>
      </w:r>
    </w:p>
    <w:p w14:paraId="44505880" w14:textId="54C0A606" w:rsidR="00447DEC" w:rsidRPr="00447DEC" w:rsidRDefault="00447DEC" w:rsidP="00447DEC">
      <w:pPr>
        <w:pStyle w:val="Normal2"/>
        <w:numPr>
          <w:ilvl w:val="0"/>
          <w:numId w:val="48"/>
        </w:numPr>
        <w:spacing w:after="360"/>
        <w:ind w:left="567" w:hanging="567"/>
        <w:rPr>
          <w:szCs w:val="24"/>
        </w:rPr>
      </w:pPr>
      <w:r>
        <w:t>Section 249A(3)</w:t>
      </w:r>
      <w:r w:rsidR="00755FE9">
        <w:t xml:space="preserve">, 2004 Act provides that only one financial penalty </w:t>
      </w:r>
      <w:r w:rsidR="00A41C06">
        <w:t>“may be imposed on a person in respect of the same conduct”</w:t>
      </w:r>
      <w:r w:rsidR="00457486">
        <w:t xml:space="preserve"> (and by section 249A(9) a person’s conduct may include a failure to act).</w:t>
      </w:r>
      <w:r w:rsidR="00EC04FA">
        <w:t xml:space="preserve">  But this prohibition does not stand in the way of each of two individuals </w:t>
      </w:r>
      <w:r w:rsidR="0035557D">
        <w:t>being subject to a separate penalty in respect of separate offence</w:t>
      </w:r>
      <w:r w:rsidR="00215BF3">
        <w:t>s</w:t>
      </w:r>
      <w:r w:rsidR="0035557D">
        <w:t xml:space="preserve"> which they have </w:t>
      </w:r>
      <w:r w:rsidR="00610FF4">
        <w:t xml:space="preserve">each </w:t>
      </w:r>
      <w:r w:rsidR="0035557D">
        <w:t>committed</w:t>
      </w:r>
      <w:r w:rsidR="00D11A99">
        <w:t xml:space="preserve"> because e</w:t>
      </w:r>
      <w:r w:rsidR="00A94FEA">
        <w:t>ach penalty is imposed on a different person</w:t>
      </w:r>
      <w:r w:rsidR="00906262">
        <w:t xml:space="preserve">.  </w:t>
      </w:r>
      <w:r w:rsidR="0052137C">
        <w:t>Nor is it possible to say that the conduct in each case was the same</w:t>
      </w:r>
      <w:r w:rsidR="0011659E">
        <w:t xml:space="preserve">: the conduct relevant to </w:t>
      </w:r>
      <w:r w:rsidR="00182AD1">
        <w:t xml:space="preserve">each </w:t>
      </w:r>
      <w:r w:rsidR="0011659E">
        <w:t xml:space="preserve">appellant’s liability was his </w:t>
      </w:r>
      <w:r w:rsidR="00182AD1">
        <w:t xml:space="preserve">own </w:t>
      </w:r>
      <w:r w:rsidR="0011659E">
        <w:t>conduct</w:t>
      </w:r>
      <w:r w:rsidR="00182AD1">
        <w:t xml:space="preserve"> and not that of his brother, although the th</w:t>
      </w:r>
      <w:r w:rsidR="00025366">
        <w:t>i</w:t>
      </w:r>
      <w:r w:rsidR="00182AD1">
        <w:t xml:space="preserve">ngs which each </w:t>
      </w:r>
      <w:r w:rsidR="00013E89">
        <w:t xml:space="preserve">of them </w:t>
      </w:r>
      <w:r w:rsidR="00182AD1">
        <w:t xml:space="preserve">did </w:t>
      </w:r>
      <w:r w:rsidR="00013E89">
        <w:t>or</w:t>
      </w:r>
      <w:r w:rsidR="00182AD1">
        <w:t xml:space="preserve"> omitted to do was the same.</w:t>
      </w:r>
    </w:p>
    <w:p w14:paraId="0F797096" w14:textId="3EA9C942" w:rsidR="004B1E06" w:rsidRPr="00025366" w:rsidRDefault="00A3662E" w:rsidP="00A44302">
      <w:pPr>
        <w:pStyle w:val="Normal2"/>
        <w:numPr>
          <w:ilvl w:val="0"/>
          <w:numId w:val="48"/>
        </w:numPr>
        <w:spacing w:after="360"/>
        <w:ind w:left="567" w:hanging="567"/>
        <w:rPr>
          <w:szCs w:val="24"/>
        </w:rPr>
      </w:pPr>
      <w:r>
        <w:t xml:space="preserve">I </w:t>
      </w:r>
      <w:r w:rsidR="001D63AA">
        <w:t xml:space="preserve">therefore </w:t>
      </w:r>
      <w:r>
        <w:t xml:space="preserve">accept Mr </w:t>
      </w:r>
      <w:proofErr w:type="spellStart"/>
      <w:r>
        <w:t>Dewji’s</w:t>
      </w:r>
      <w:proofErr w:type="spellEnd"/>
      <w:r>
        <w:t xml:space="preserve"> explanation </w:t>
      </w:r>
      <w:r w:rsidR="00457486">
        <w:t xml:space="preserve">that the purpose </w:t>
      </w:r>
      <w:r>
        <w:t>of</w:t>
      </w:r>
      <w:r w:rsidR="00457486">
        <w:t xml:space="preserve"> section 249A(3) is </w:t>
      </w:r>
      <w:r w:rsidR="00025366">
        <w:t xml:space="preserve">not to limit the number of joint landlords on whom financial penalties can be imposed, but is </w:t>
      </w:r>
      <w:r w:rsidR="0031306B">
        <w:t xml:space="preserve">to prevent the same facts being used </w:t>
      </w:r>
      <w:r w:rsidR="0088686F">
        <w:t xml:space="preserve">to justify the imposition of </w:t>
      </w:r>
      <w:r w:rsidR="0031306B">
        <w:t>more than one financial penalty</w:t>
      </w:r>
      <w:r w:rsidR="0088686F">
        <w:t xml:space="preserve"> on the same person</w:t>
      </w:r>
      <w:r w:rsidR="00030235">
        <w:t xml:space="preserve">.  </w:t>
      </w:r>
      <w:r>
        <w:t xml:space="preserve"> </w:t>
      </w:r>
    </w:p>
    <w:p w14:paraId="43DC60C0" w14:textId="2150693B" w:rsidR="00B545E1" w:rsidRPr="00B545E1" w:rsidRDefault="00193AAA" w:rsidP="00A44302">
      <w:pPr>
        <w:pStyle w:val="Normal2"/>
        <w:numPr>
          <w:ilvl w:val="0"/>
          <w:numId w:val="48"/>
        </w:numPr>
        <w:spacing w:after="360"/>
        <w:ind w:left="567" w:hanging="567"/>
        <w:rPr>
          <w:szCs w:val="24"/>
        </w:rPr>
      </w:pPr>
      <w:r>
        <w:t>Th</w:t>
      </w:r>
      <w:r w:rsidR="00482522">
        <w:t>o</w:t>
      </w:r>
      <w:r>
        <w:t xml:space="preserve">se are my reasons for dismissing the appeal in this case.  </w:t>
      </w:r>
    </w:p>
    <w:p w14:paraId="3CFFD43A" w14:textId="1E13A081" w:rsidR="006F2E34" w:rsidRPr="006F2E34" w:rsidRDefault="00B545E1" w:rsidP="00A44302">
      <w:pPr>
        <w:pStyle w:val="Normal2"/>
        <w:numPr>
          <w:ilvl w:val="0"/>
          <w:numId w:val="48"/>
        </w:numPr>
        <w:spacing w:after="360"/>
        <w:ind w:left="567" w:hanging="567"/>
        <w:rPr>
          <w:szCs w:val="24"/>
        </w:rPr>
      </w:pPr>
      <w:r w:rsidRPr="00B545E1">
        <w:t xml:space="preserve">I would add a note of caution to decision makers dealing with cases such as this.  </w:t>
      </w:r>
      <w:r w:rsidR="00EC3EDA">
        <w:t xml:space="preserve">In this case neither of the grounds of appeal </w:t>
      </w:r>
      <w:r w:rsidR="00C05DC8">
        <w:t>challenge</w:t>
      </w:r>
      <w:r w:rsidR="005D6344">
        <w:t>d</w:t>
      </w:r>
      <w:r w:rsidR="00C05DC8">
        <w:t xml:space="preserve"> the quantum of the financial penalties </w:t>
      </w:r>
      <w:r w:rsidR="00BA2D7B">
        <w:t>or raise</w:t>
      </w:r>
      <w:r w:rsidR="005D6344">
        <w:t>d</w:t>
      </w:r>
      <w:r w:rsidR="00BA2D7B">
        <w:t xml:space="preserve"> any issue about </w:t>
      </w:r>
      <w:r w:rsidR="00C76CCE">
        <w:t xml:space="preserve">the </w:t>
      </w:r>
      <w:r w:rsidR="00F80DD6">
        <w:t xml:space="preserve">assessment of the appropriate </w:t>
      </w:r>
      <w:r w:rsidR="00C76CCE">
        <w:t>penalties</w:t>
      </w:r>
      <w:r w:rsidR="00F80DD6">
        <w:t xml:space="preserve"> to be</w:t>
      </w:r>
      <w:r w:rsidR="00C76CCE">
        <w:t xml:space="preserve"> imposed on joint landlords</w:t>
      </w:r>
      <w:r w:rsidR="00F80DD6">
        <w:t xml:space="preserve"> where each has committed </w:t>
      </w:r>
      <w:r w:rsidR="00E57CF4">
        <w:t>an offence arising out of substantially the same facts</w:t>
      </w:r>
      <w:r w:rsidR="00033608">
        <w:t xml:space="preserve">.  </w:t>
      </w:r>
    </w:p>
    <w:p w14:paraId="0984F465" w14:textId="77777777" w:rsidR="008C7597" w:rsidRPr="008C7597" w:rsidRDefault="00292786" w:rsidP="00A44302">
      <w:pPr>
        <w:pStyle w:val="Normal2"/>
        <w:numPr>
          <w:ilvl w:val="0"/>
          <w:numId w:val="48"/>
        </w:numPr>
        <w:spacing w:after="360"/>
        <w:ind w:left="567" w:hanging="567"/>
        <w:rPr>
          <w:szCs w:val="24"/>
        </w:rPr>
      </w:pPr>
      <w:r w:rsidRPr="00292786">
        <w:t xml:space="preserve">When the FTT applied the respondent’s penalty matrix in this case it did not differentiate between the appellants and treated them as equally culpable for the fact that the HMO was not licensed.  </w:t>
      </w:r>
      <w:r>
        <w:t>But i</w:t>
      </w:r>
      <w:r w:rsidR="00050697">
        <w:t>t is important t</w:t>
      </w:r>
      <w:r w:rsidR="00D31DF0">
        <w:t xml:space="preserve">hat the penalty imposed on each </w:t>
      </w:r>
      <w:r w:rsidR="00854751">
        <w:t>joint landlord reflects his or her degree of responsibility</w:t>
      </w:r>
      <w:r w:rsidR="00EF7925">
        <w:t xml:space="preserve">, and a local authority or FTT should </w:t>
      </w:r>
      <w:proofErr w:type="gramStart"/>
      <w:r w:rsidR="00EF7925">
        <w:t xml:space="preserve">give separate consideration </w:t>
      </w:r>
      <w:r w:rsidR="0001575D">
        <w:t>to</w:t>
      </w:r>
      <w:proofErr w:type="gramEnd"/>
      <w:r w:rsidR="0001575D">
        <w:t xml:space="preserve"> the conduct of each person on whom a penalty is </w:t>
      </w:r>
      <w:r w:rsidR="005F398E">
        <w:t xml:space="preserve">to </w:t>
      </w:r>
      <w:r w:rsidR="0001575D">
        <w:t>be imposed</w:t>
      </w:r>
      <w:r w:rsidR="001422E5">
        <w:t xml:space="preserve">.  </w:t>
      </w:r>
      <w:r w:rsidR="00F17350">
        <w:t>T</w:t>
      </w:r>
      <w:r w:rsidR="002D4E61">
        <w:t>here may be cases where one of two jo</w:t>
      </w:r>
      <w:r w:rsidR="00DF25DC">
        <w:t>i</w:t>
      </w:r>
      <w:r w:rsidR="002D4E61">
        <w:t xml:space="preserve">nt landlords </w:t>
      </w:r>
      <w:proofErr w:type="gramStart"/>
      <w:r w:rsidR="002D4E61">
        <w:t>is</w:t>
      </w:r>
      <w:proofErr w:type="gramEnd"/>
      <w:r w:rsidR="002D4E61">
        <w:t xml:space="preserve"> responsible for </w:t>
      </w:r>
      <w:r w:rsidR="00DF25DC">
        <w:t xml:space="preserve">the management of jointly owned </w:t>
      </w:r>
      <w:r w:rsidR="00DF25DC">
        <w:lastRenderedPageBreak/>
        <w:t>property and where the other plays no part</w:t>
      </w:r>
      <w:r w:rsidR="007E13C0">
        <w:t xml:space="preserve">.  </w:t>
      </w:r>
      <w:r w:rsidR="002179F3">
        <w:t xml:space="preserve">There may be cases where one joint landlord has a relevant history of </w:t>
      </w:r>
      <w:r w:rsidR="00E81622">
        <w:t xml:space="preserve">similar </w:t>
      </w:r>
      <w:r w:rsidR="002179F3">
        <w:t>offen</w:t>
      </w:r>
      <w:r w:rsidR="00E81622">
        <w:t xml:space="preserve">ces while the other does not. </w:t>
      </w:r>
      <w:r w:rsidR="00CE5243">
        <w:t>T</w:t>
      </w:r>
      <w:r w:rsidR="007E13C0">
        <w:t xml:space="preserve">he proper response to cases of that sort </w:t>
      </w:r>
      <w:r w:rsidR="00CE5243">
        <w:t>will depend on the facts found</w:t>
      </w:r>
      <w:r w:rsidR="00E81622">
        <w:t>.</w:t>
      </w:r>
      <w:r w:rsidR="00CE5243">
        <w:t xml:space="preserve"> </w:t>
      </w:r>
      <w:r w:rsidR="0066540D">
        <w:t xml:space="preserve">What is important is that the </w:t>
      </w:r>
      <w:r w:rsidR="00E81622">
        <w:t xml:space="preserve">responsibilities, actions and </w:t>
      </w:r>
      <w:r w:rsidR="0066540D">
        <w:t xml:space="preserve">circumstances of each landlord are </w:t>
      </w:r>
      <w:r w:rsidR="00E81622">
        <w:t>separately assessed</w:t>
      </w:r>
      <w:r w:rsidR="008C7597">
        <w:t>.</w:t>
      </w:r>
    </w:p>
    <w:p w14:paraId="451C628A" w14:textId="77777777" w:rsidR="008C7597" w:rsidRDefault="008C7597" w:rsidP="008C7597">
      <w:pPr>
        <w:pStyle w:val="Normal2"/>
        <w:spacing w:after="360"/>
      </w:pPr>
    </w:p>
    <w:p w14:paraId="540F2F73" w14:textId="77777777" w:rsidR="008C7597" w:rsidRDefault="008C7597" w:rsidP="008C7597">
      <w:pPr>
        <w:pStyle w:val="Normal2"/>
        <w:ind w:left="5761"/>
      </w:pPr>
      <w:r>
        <w:t xml:space="preserve">Martin Rodger QC, </w:t>
      </w:r>
    </w:p>
    <w:p w14:paraId="722E5BBF" w14:textId="77777777" w:rsidR="008C7597" w:rsidRDefault="008C7597" w:rsidP="008C7597">
      <w:pPr>
        <w:pStyle w:val="Normal2"/>
        <w:spacing w:after="360"/>
        <w:ind w:left="5760"/>
      </w:pPr>
      <w:r>
        <w:t>Deputy Chamber President</w:t>
      </w:r>
    </w:p>
    <w:p w14:paraId="129AC537" w14:textId="53BA3CE2" w:rsidR="00025366" w:rsidRDefault="00482522" w:rsidP="008C7597">
      <w:pPr>
        <w:pStyle w:val="Normal2"/>
        <w:spacing w:after="360"/>
        <w:ind w:left="5760"/>
      </w:pPr>
      <w:r>
        <w:t>1</w:t>
      </w:r>
      <w:r w:rsidR="008C7597">
        <w:t xml:space="preserve"> </w:t>
      </w:r>
      <w:r w:rsidR="00C06D99">
        <w:t>February</w:t>
      </w:r>
      <w:r w:rsidR="008C7597">
        <w:t xml:space="preserve"> 2022</w:t>
      </w:r>
      <w:r w:rsidR="007E13C0">
        <w:t xml:space="preserve"> </w:t>
      </w:r>
    </w:p>
    <w:p w14:paraId="2ABE7BC6" w14:textId="689F3451" w:rsidR="00E90A1B" w:rsidRDefault="00E90A1B">
      <w:r>
        <w:br w:type="page"/>
      </w:r>
    </w:p>
    <w:p w14:paraId="7B04A68F" w14:textId="77777777" w:rsidR="008B479F" w:rsidRPr="004707AD" w:rsidRDefault="008B479F" w:rsidP="00B822A0">
      <w:pPr>
        <w:ind w:firstLine="567"/>
        <w:rPr>
          <w:b/>
          <w:bCs/>
          <w:spacing w:val="0"/>
          <w:szCs w:val="24"/>
        </w:rPr>
      </w:pPr>
      <w:r w:rsidRPr="004707AD">
        <w:rPr>
          <w:b/>
          <w:bCs/>
          <w:szCs w:val="24"/>
        </w:rPr>
        <w:lastRenderedPageBreak/>
        <w:t xml:space="preserve">Right of appeal  </w:t>
      </w:r>
    </w:p>
    <w:p w14:paraId="7C76B9C0" w14:textId="77777777" w:rsidR="008B479F" w:rsidRPr="004707AD" w:rsidRDefault="008B479F" w:rsidP="00B822A0">
      <w:pPr>
        <w:ind w:left="567"/>
        <w:jc w:val="both"/>
        <w:rPr>
          <w:szCs w:val="24"/>
        </w:rPr>
      </w:pPr>
      <w:r w:rsidRPr="004707AD">
        <w:rPr>
          <w:szCs w:val="24"/>
        </w:rPr>
        <w:t>Any party to this case has a right of appeal to the Court of Appeal on any point of law arising from this decision.  The right of appeal may be exercised only with permission. An application for permission to appeal to the Court of Appeal must be sent or delivered to the Tribunal so that it is received within 1 month after the date on which this decision is sent to the parties (unless an application for costs is made within 14 days of the decision being sent to the parties, in which case an application for permission to appeal must be made within 1 month of the date on which the Tribunal’s decision on costs is sent to the parties).  An application for permission to appeal must identify the decision of the Tribunal to which it relates, identify the alleged error or errors of law in the decision, and state the result the party making the application is seeking.  If the Tribunal refuses permission to appeal a further application may then be made to the Court of Appeal for permission.</w:t>
      </w:r>
    </w:p>
    <w:p w14:paraId="27913588" w14:textId="77777777" w:rsidR="008B220A" w:rsidRPr="00D90984" w:rsidRDefault="008B220A" w:rsidP="00081F15">
      <w:pPr>
        <w:pStyle w:val="Normal2"/>
        <w:spacing w:after="360"/>
        <w:rPr>
          <w:szCs w:val="24"/>
        </w:rPr>
      </w:pPr>
    </w:p>
    <w:sectPr w:rsidR="008B220A" w:rsidRPr="00D90984" w:rsidSect="00A244EB">
      <w:headerReference w:type="even" r:id="rId12"/>
      <w:headerReference w:type="default" r:id="rId13"/>
      <w:footerReference w:type="even" r:id="rId14"/>
      <w:footerReference w:type="default" r:id="rId15"/>
      <w:headerReference w:type="first" r:id="rId16"/>
      <w:footerReference w:type="first" r:id="rId17"/>
      <w:pgSz w:w="11909" w:h="16834" w:code="9"/>
      <w:pgMar w:top="1418" w:right="1276" w:bottom="1758" w:left="1560" w:header="1134"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9EB2E" w14:textId="77777777" w:rsidR="00634B42" w:rsidRDefault="00634B42" w:rsidP="00DC002B">
      <w:r>
        <w:separator/>
      </w:r>
    </w:p>
  </w:endnote>
  <w:endnote w:type="continuationSeparator" w:id="0">
    <w:p w14:paraId="0BB77B12" w14:textId="77777777" w:rsidR="00634B42" w:rsidRDefault="00634B42" w:rsidP="00DC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353710"/>
      <w:docPartObj>
        <w:docPartGallery w:val="Page Numbers (Bottom of Page)"/>
        <w:docPartUnique/>
      </w:docPartObj>
    </w:sdtPr>
    <w:sdtEndPr>
      <w:rPr>
        <w:noProof/>
      </w:rPr>
    </w:sdtEndPr>
    <w:sdtContent>
      <w:p w14:paraId="2C5796EF" w14:textId="124B094F" w:rsidR="009B129C" w:rsidRDefault="009B129C">
        <w:pPr>
          <w:pStyle w:val="Footer"/>
          <w:jc w:val="center"/>
        </w:pPr>
        <w:r>
          <w:fldChar w:fldCharType="begin"/>
        </w:r>
        <w:r>
          <w:instrText xml:space="preserve"> PAGE   \* MERGEFORMAT </w:instrText>
        </w:r>
        <w:r>
          <w:fldChar w:fldCharType="separate"/>
        </w:r>
        <w:r w:rsidR="00210088">
          <w:rPr>
            <w:noProof/>
          </w:rPr>
          <w:t>2</w:t>
        </w:r>
        <w:r>
          <w:rPr>
            <w:noProof/>
          </w:rPr>
          <w:fldChar w:fldCharType="end"/>
        </w:r>
      </w:p>
    </w:sdtContent>
  </w:sdt>
  <w:p w14:paraId="37461183" w14:textId="77777777" w:rsidR="00B42BF4" w:rsidRDefault="00B42BF4">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311F" w14:textId="77777777" w:rsidR="00B42BF4" w:rsidRDefault="00B42B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52401C" w14:textId="77777777" w:rsidR="00B42BF4" w:rsidRDefault="00B42B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50EF" w14:textId="77777777" w:rsidR="00B42BF4" w:rsidRDefault="00B42B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7B60">
      <w:rPr>
        <w:rStyle w:val="PageNumber"/>
        <w:noProof/>
      </w:rPr>
      <w:t>3</w:t>
    </w:r>
    <w:r>
      <w:rPr>
        <w:rStyle w:val="PageNumber"/>
      </w:rPr>
      <w:fldChar w:fldCharType="end"/>
    </w:r>
  </w:p>
  <w:p w14:paraId="7AFEA767" w14:textId="77777777" w:rsidR="00B42BF4" w:rsidRDefault="00B42B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C1A3" w14:textId="6B9B39B2" w:rsidR="00B42BF4" w:rsidRDefault="00973BB2">
    <w:pPr>
      <w:pStyle w:val="Footer"/>
      <w:jc w:val="center"/>
      <w:rPr>
        <w:b/>
      </w:rPr>
    </w:pPr>
    <w:r>
      <w:rPr>
        <w:b/>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5B850" w14:textId="77777777" w:rsidR="00634B42" w:rsidRDefault="00634B42" w:rsidP="00DC002B">
      <w:r>
        <w:separator/>
      </w:r>
    </w:p>
  </w:footnote>
  <w:footnote w:type="continuationSeparator" w:id="0">
    <w:p w14:paraId="58960A3A" w14:textId="77777777" w:rsidR="00634B42" w:rsidRDefault="00634B42" w:rsidP="00DC0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2C23" w14:textId="29C22E01" w:rsidR="00B42BF4" w:rsidRDefault="00B42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F277" w14:textId="196BB442" w:rsidR="00B42BF4" w:rsidRDefault="00B42B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A5086" w14:textId="1AB4EBAE" w:rsidR="00B42BF4" w:rsidRDefault="00B42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0227B2C"/>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0BE2C0A"/>
    <w:multiLevelType w:val="hybridMultilevel"/>
    <w:tmpl w:val="5590D8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D273E"/>
    <w:multiLevelType w:val="multilevel"/>
    <w:tmpl w:val="53F2D6F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4C4896"/>
    <w:multiLevelType w:val="hybridMultilevel"/>
    <w:tmpl w:val="CBF63482"/>
    <w:lvl w:ilvl="0" w:tplc="C77C7D46">
      <w:start w:val="1"/>
      <w:numFmt w:val="lowerRoman"/>
      <w:lvlText w:val="(%1)"/>
      <w:lvlJc w:val="left"/>
      <w:pPr>
        <w:ind w:left="860" w:hanging="720"/>
        <w:jc w:val="left"/>
      </w:pPr>
      <w:rPr>
        <w:rFonts w:ascii="Calibri" w:eastAsia="Calibri" w:hAnsi="Calibri" w:cs="Calibri" w:hint="default"/>
        <w:spacing w:val="-1"/>
        <w:w w:val="100"/>
        <w:sz w:val="22"/>
        <w:szCs w:val="22"/>
        <w:lang w:val="en-GB" w:eastAsia="en-GB" w:bidi="en-GB"/>
      </w:rPr>
    </w:lvl>
    <w:lvl w:ilvl="1" w:tplc="61CEA1D2">
      <w:numFmt w:val="bullet"/>
      <w:lvlText w:val="•"/>
      <w:lvlJc w:val="left"/>
      <w:pPr>
        <w:ind w:left="1736" w:hanging="720"/>
      </w:pPr>
      <w:rPr>
        <w:rFonts w:hint="default"/>
        <w:lang w:val="en-GB" w:eastAsia="en-GB" w:bidi="en-GB"/>
      </w:rPr>
    </w:lvl>
    <w:lvl w:ilvl="2" w:tplc="5E6E27A8">
      <w:numFmt w:val="bullet"/>
      <w:lvlText w:val="•"/>
      <w:lvlJc w:val="left"/>
      <w:pPr>
        <w:ind w:left="2612" w:hanging="720"/>
      </w:pPr>
      <w:rPr>
        <w:rFonts w:hint="default"/>
        <w:lang w:val="en-GB" w:eastAsia="en-GB" w:bidi="en-GB"/>
      </w:rPr>
    </w:lvl>
    <w:lvl w:ilvl="3" w:tplc="D2C8D8E6">
      <w:numFmt w:val="bullet"/>
      <w:lvlText w:val="•"/>
      <w:lvlJc w:val="left"/>
      <w:pPr>
        <w:ind w:left="3488" w:hanging="720"/>
      </w:pPr>
      <w:rPr>
        <w:rFonts w:hint="default"/>
        <w:lang w:val="en-GB" w:eastAsia="en-GB" w:bidi="en-GB"/>
      </w:rPr>
    </w:lvl>
    <w:lvl w:ilvl="4" w:tplc="691AA9D0">
      <w:numFmt w:val="bullet"/>
      <w:lvlText w:val="•"/>
      <w:lvlJc w:val="left"/>
      <w:pPr>
        <w:ind w:left="4364" w:hanging="720"/>
      </w:pPr>
      <w:rPr>
        <w:rFonts w:hint="default"/>
        <w:lang w:val="en-GB" w:eastAsia="en-GB" w:bidi="en-GB"/>
      </w:rPr>
    </w:lvl>
    <w:lvl w:ilvl="5" w:tplc="24D67D18">
      <w:numFmt w:val="bullet"/>
      <w:lvlText w:val="•"/>
      <w:lvlJc w:val="left"/>
      <w:pPr>
        <w:ind w:left="5240" w:hanging="720"/>
      </w:pPr>
      <w:rPr>
        <w:rFonts w:hint="default"/>
        <w:lang w:val="en-GB" w:eastAsia="en-GB" w:bidi="en-GB"/>
      </w:rPr>
    </w:lvl>
    <w:lvl w:ilvl="6" w:tplc="9ECA3E58">
      <w:numFmt w:val="bullet"/>
      <w:lvlText w:val="•"/>
      <w:lvlJc w:val="left"/>
      <w:pPr>
        <w:ind w:left="6116" w:hanging="720"/>
      </w:pPr>
      <w:rPr>
        <w:rFonts w:hint="default"/>
        <w:lang w:val="en-GB" w:eastAsia="en-GB" w:bidi="en-GB"/>
      </w:rPr>
    </w:lvl>
    <w:lvl w:ilvl="7" w:tplc="019AC96C">
      <w:numFmt w:val="bullet"/>
      <w:lvlText w:val="•"/>
      <w:lvlJc w:val="left"/>
      <w:pPr>
        <w:ind w:left="6992" w:hanging="720"/>
      </w:pPr>
      <w:rPr>
        <w:rFonts w:hint="default"/>
        <w:lang w:val="en-GB" w:eastAsia="en-GB" w:bidi="en-GB"/>
      </w:rPr>
    </w:lvl>
    <w:lvl w:ilvl="8" w:tplc="C05C364C">
      <w:numFmt w:val="bullet"/>
      <w:lvlText w:val="•"/>
      <w:lvlJc w:val="left"/>
      <w:pPr>
        <w:ind w:left="7868" w:hanging="720"/>
      </w:pPr>
      <w:rPr>
        <w:rFonts w:hint="default"/>
        <w:lang w:val="en-GB" w:eastAsia="en-GB" w:bidi="en-GB"/>
      </w:rPr>
    </w:lvl>
  </w:abstractNum>
  <w:abstractNum w:abstractNumId="4" w15:restartNumberingAfterBreak="0">
    <w:nsid w:val="0C0F4840"/>
    <w:multiLevelType w:val="hybridMultilevel"/>
    <w:tmpl w:val="DEA4FE3C"/>
    <w:lvl w:ilvl="0" w:tplc="E13EC9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9F03ED"/>
    <w:multiLevelType w:val="hybridMultilevel"/>
    <w:tmpl w:val="395A8DC2"/>
    <w:lvl w:ilvl="0" w:tplc="ADCC1D4C">
      <w:start w:val="1"/>
      <w:numFmt w:val="decimal"/>
      <w:lvlText w:val="(%1)"/>
      <w:lvlJc w:val="left"/>
      <w:pPr>
        <w:ind w:left="113" w:hanging="360"/>
      </w:pPr>
      <w:rPr>
        <w:rFonts w:hint="default"/>
      </w:rPr>
    </w:lvl>
    <w:lvl w:ilvl="1" w:tplc="08090019" w:tentative="1">
      <w:start w:val="1"/>
      <w:numFmt w:val="lowerLetter"/>
      <w:lvlText w:val="%2."/>
      <w:lvlJc w:val="left"/>
      <w:pPr>
        <w:ind w:left="833" w:hanging="360"/>
      </w:pPr>
    </w:lvl>
    <w:lvl w:ilvl="2" w:tplc="0809001B" w:tentative="1">
      <w:start w:val="1"/>
      <w:numFmt w:val="lowerRoman"/>
      <w:lvlText w:val="%3."/>
      <w:lvlJc w:val="right"/>
      <w:pPr>
        <w:ind w:left="1553" w:hanging="180"/>
      </w:pPr>
    </w:lvl>
    <w:lvl w:ilvl="3" w:tplc="0809000F" w:tentative="1">
      <w:start w:val="1"/>
      <w:numFmt w:val="decimal"/>
      <w:lvlText w:val="%4."/>
      <w:lvlJc w:val="left"/>
      <w:pPr>
        <w:ind w:left="2273" w:hanging="360"/>
      </w:pPr>
    </w:lvl>
    <w:lvl w:ilvl="4" w:tplc="08090019" w:tentative="1">
      <w:start w:val="1"/>
      <w:numFmt w:val="lowerLetter"/>
      <w:lvlText w:val="%5."/>
      <w:lvlJc w:val="left"/>
      <w:pPr>
        <w:ind w:left="2993" w:hanging="360"/>
      </w:pPr>
    </w:lvl>
    <w:lvl w:ilvl="5" w:tplc="0809001B" w:tentative="1">
      <w:start w:val="1"/>
      <w:numFmt w:val="lowerRoman"/>
      <w:lvlText w:val="%6."/>
      <w:lvlJc w:val="right"/>
      <w:pPr>
        <w:ind w:left="3713" w:hanging="180"/>
      </w:pPr>
    </w:lvl>
    <w:lvl w:ilvl="6" w:tplc="0809000F" w:tentative="1">
      <w:start w:val="1"/>
      <w:numFmt w:val="decimal"/>
      <w:lvlText w:val="%7."/>
      <w:lvlJc w:val="left"/>
      <w:pPr>
        <w:ind w:left="4433" w:hanging="360"/>
      </w:pPr>
    </w:lvl>
    <w:lvl w:ilvl="7" w:tplc="08090019" w:tentative="1">
      <w:start w:val="1"/>
      <w:numFmt w:val="lowerLetter"/>
      <w:lvlText w:val="%8."/>
      <w:lvlJc w:val="left"/>
      <w:pPr>
        <w:ind w:left="5153" w:hanging="360"/>
      </w:pPr>
    </w:lvl>
    <w:lvl w:ilvl="8" w:tplc="0809001B" w:tentative="1">
      <w:start w:val="1"/>
      <w:numFmt w:val="lowerRoman"/>
      <w:lvlText w:val="%9."/>
      <w:lvlJc w:val="right"/>
      <w:pPr>
        <w:ind w:left="5873" w:hanging="180"/>
      </w:pPr>
    </w:lvl>
  </w:abstractNum>
  <w:abstractNum w:abstractNumId="6" w15:restartNumberingAfterBreak="0">
    <w:nsid w:val="175954E1"/>
    <w:multiLevelType w:val="multilevel"/>
    <w:tmpl w:val="CC14BF0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923CE3"/>
    <w:multiLevelType w:val="multilevel"/>
    <w:tmpl w:val="D3CE4116"/>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692"/>
        </w:tabs>
        <w:ind w:left="720" w:hanging="3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B4F6B29"/>
    <w:multiLevelType w:val="singleLevel"/>
    <w:tmpl w:val="AD7C0B6E"/>
    <w:lvl w:ilvl="0">
      <w:start w:val="27"/>
      <w:numFmt w:val="lowerLetter"/>
      <w:lvlText w:val="(%1)"/>
      <w:lvlJc w:val="left"/>
      <w:pPr>
        <w:tabs>
          <w:tab w:val="num" w:pos="1122"/>
        </w:tabs>
        <w:ind w:left="1122" w:hanging="555"/>
      </w:pPr>
      <w:rPr>
        <w:rFonts w:hint="default"/>
      </w:rPr>
    </w:lvl>
  </w:abstractNum>
  <w:abstractNum w:abstractNumId="9" w15:restartNumberingAfterBreak="0">
    <w:nsid w:val="1C616800"/>
    <w:multiLevelType w:val="hybridMultilevel"/>
    <w:tmpl w:val="C4D6E6E6"/>
    <w:lvl w:ilvl="0" w:tplc="40D467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EFD1399"/>
    <w:multiLevelType w:val="multilevel"/>
    <w:tmpl w:val="C61828B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73369E"/>
    <w:multiLevelType w:val="hybridMultilevel"/>
    <w:tmpl w:val="FF889B6C"/>
    <w:lvl w:ilvl="0" w:tplc="5E7886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E30D06"/>
    <w:multiLevelType w:val="hybridMultilevel"/>
    <w:tmpl w:val="AD588FB8"/>
    <w:lvl w:ilvl="0" w:tplc="037CF1E6">
      <w:start w:val="1"/>
      <w:numFmt w:val="lowerLetter"/>
      <w:lvlText w:val="(%1)"/>
      <w:lvlJc w:val="left"/>
      <w:pPr>
        <w:ind w:left="4320" w:hanging="360"/>
      </w:pPr>
      <w:rPr>
        <w:rFonts w:hint="default"/>
      </w:rPr>
    </w:lvl>
    <w:lvl w:ilvl="1" w:tplc="08090019">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3" w15:restartNumberingAfterBreak="0">
    <w:nsid w:val="2522473B"/>
    <w:multiLevelType w:val="hybridMultilevel"/>
    <w:tmpl w:val="F74A6D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6C1BD8"/>
    <w:multiLevelType w:val="multilevel"/>
    <w:tmpl w:val="8D72EFA6"/>
    <w:lvl w:ilvl="0">
      <w:start w:val="1"/>
      <w:numFmt w:val="decimal"/>
      <w:lvlText w:val="%1."/>
      <w:lvlJc w:val="left"/>
      <w:pPr>
        <w:tabs>
          <w:tab w:val="num" w:pos="1778"/>
        </w:tabs>
        <w:ind w:left="1778" w:hanging="360"/>
      </w:pPr>
    </w:lvl>
    <w:lvl w:ilvl="1">
      <w:start w:val="1"/>
      <w:numFmt w:val="lowerRoman"/>
      <w:lvlText w:val="(%2)"/>
      <w:lvlJc w:val="left"/>
      <w:pPr>
        <w:tabs>
          <w:tab w:val="num" w:pos="2722"/>
        </w:tabs>
        <w:ind w:left="2722" w:hanging="944"/>
      </w:pPr>
    </w:lvl>
    <w:lvl w:ilvl="2">
      <w:start w:val="1"/>
      <w:numFmt w:val="lowerLetter"/>
      <w:lvlText w:val="(%3)"/>
      <w:lvlJc w:val="left"/>
      <w:pPr>
        <w:tabs>
          <w:tab w:val="num" w:pos="3403"/>
        </w:tabs>
        <w:ind w:left="3403" w:hanging="1265"/>
      </w:pPr>
    </w:lvl>
    <w:lvl w:ilvl="3">
      <w:start w:val="1"/>
      <w:numFmt w:val="decimal"/>
      <w:lvlText w:val="(%4)"/>
      <w:lvlJc w:val="left"/>
      <w:pPr>
        <w:tabs>
          <w:tab w:val="num" w:pos="2858"/>
        </w:tabs>
        <w:ind w:left="2858" w:hanging="360"/>
      </w:pPr>
    </w:lvl>
    <w:lvl w:ilvl="4">
      <w:start w:val="1"/>
      <w:numFmt w:val="lowerLetter"/>
      <w:lvlText w:val="(%5)"/>
      <w:lvlJc w:val="left"/>
      <w:pPr>
        <w:tabs>
          <w:tab w:val="num" w:pos="3218"/>
        </w:tabs>
        <w:ind w:left="3218" w:hanging="360"/>
      </w:pPr>
    </w:lvl>
    <w:lvl w:ilvl="5">
      <w:start w:val="1"/>
      <w:numFmt w:val="lowerRoman"/>
      <w:lvlText w:val="(%6)"/>
      <w:lvlJc w:val="left"/>
      <w:pPr>
        <w:tabs>
          <w:tab w:val="num" w:pos="3578"/>
        </w:tabs>
        <w:ind w:left="3578" w:hanging="360"/>
      </w:pPr>
    </w:lvl>
    <w:lvl w:ilvl="6">
      <w:start w:val="1"/>
      <w:numFmt w:val="decimal"/>
      <w:lvlText w:val="%7."/>
      <w:lvlJc w:val="left"/>
      <w:pPr>
        <w:tabs>
          <w:tab w:val="num" w:pos="3938"/>
        </w:tabs>
        <w:ind w:left="3938" w:hanging="360"/>
      </w:pPr>
    </w:lvl>
    <w:lvl w:ilvl="7">
      <w:start w:val="1"/>
      <w:numFmt w:val="lowerLetter"/>
      <w:lvlText w:val="%8."/>
      <w:lvlJc w:val="left"/>
      <w:pPr>
        <w:tabs>
          <w:tab w:val="num" w:pos="4298"/>
        </w:tabs>
        <w:ind w:left="4298" w:hanging="360"/>
      </w:pPr>
    </w:lvl>
    <w:lvl w:ilvl="8">
      <w:start w:val="1"/>
      <w:numFmt w:val="lowerRoman"/>
      <w:lvlText w:val="%9."/>
      <w:lvlJc w:val="left"/>
      <w:pPr>
        <w:tabs>
          <w:tab w:val="num" w:pos="4658"/>
        </w:tabs>
        <w:ind w:left="4658" w:hanging="360"/>
      </w:pPr>
    </w:lvl>
  </w:abstractNum>
  <w:abstractNum w:abstractNumId="15" w15:restartNumberingAfterBreak="0">
    <w:nsid w:val="304D2A00"/>
    <w:multiLevelType w:val="hybridMultilevel"/>
    <w:tmpl w:val="AA62FBC2"/>
    <w:lvl w:ilvl="0" w:tplc="DCD4455E">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32A21F97"/>
    <w:multiLevelType w:val="multilevel"/>
    <w:tmpl w:val="3106033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3CE32FB"/>
    <w:multiLevelType w:val="hybridMultilevel"/>
    <w:tmpl w:val="4E6E2786"/>
    <w:lvl w:ilvl="0" w:tplc="22764E6E">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8" w15:restartNumberingAfterBreak="0">
    <w:nsid w:val="3B9E619F"/>
    <w:multiLevelType w:val="hybridMultilevel"/>
    <w:tmpl w:val="3326BCC2"/>
    <w:lvl w:ilvl="0" w:tplc="585664CA">
      <w:start w:val="1"/>
      <w:numFmt w:val="decimal"/>
      <w:lvlText w:val="(%1)"/>
      <w:lvlJc w:val="left"/>
      <w:pPr>
        <w:ind w:left="669" w:hanging="360"/>
      </w:pPr>
      <w:rPr>
        <w:rFonts w:hint="default"/>
      </w:rPr>
    </w:lvl>
    <w:lvl w:ilvl="1" w:tplc="08090019" w:tentative="1">
      <w:start w:val="1"/>
      <w:numFmt w:val="lowerLetter"/>
      <w:lvlText w:val="%2."/>
      <w:lvlJc w:val="left"/>
      <w:pPr>
        <w:ind w:left="1389" w:hanging="360"/>
      </w:pPr>
    </w:lvl>
    <w:lvl w:ilvl="2" w:tplc="0809001B" w:tentative="1">
      <w:start w:val="1"/>
      <w:numFmt w:val="lowerRoman"/>
      <w:lvlText w:val="%3."/>
      <w:lvlJc w:val="right"/>
      <w:pPr>
        <w:ind w:left="2109" w:hanging="180"/>
      </w:pPr>
    </w:lvl>
    <w:lvl w:ilvl="3" w:tplc="0809000F" w:tentative="1">
      <w:start w:val="1"/>
      <w:numFmt w:val="decimal"/>
      <w:lvlText w:val="%4."/>
      <w:lvlJc w:val="left"/>
      <w:pPr>
        <w:ind w:left="2829" w:hanging="360"/>
      </w:pPr>
    </w:lvl>
    <w:lvl w:ilvl="4" w:tplc="08090019" w:tentative="1">
      <w:start w:val="1"/>
      <w:numFmt w:val="lowerLetter"/>
      <w:lvlText w:val="%5."/>
      <w:lvlJc w:val="left"/>
      <w:pPr>
        <w:ind w:left="3549" w:hanging="360"/>
      </w:pPr>
    </w:lvl>
    <w:lvl w:ilvl="5" w:tplc="0809001B" w:tentative="1">
      <w:start w:val="1"/>
      <w:numFmt w:val="lowerRoman"/>
      <w:lvlText w:val="%6."/>
      <w:lvlJc w:val="right"/>
      <w:pPr>
        <w:ind w:left="4269" w:hanging="180"/>
      </w:pPr>
    </w:lvl>
    <w:lvl w:ilvl="6" w:tplc="0809000F" w:tentative="1">
      <w:start w:val="1"/>
      <w:numFmt w:val="decimal"/>
      <w:lvlText w:val="%7."/>
      <w:lvlJc w:val="left"/>
      <w:pPr>
        <w:ind w:left="4989" w:hanging="360"/>
      </w:pPr>
    </w:lvl>
    <w:lvl w:ilvl="7" w:tplc="08090019" w:tentative="1">
      <w:start w:val="1"/>
      <w:numFmt w:val="lowerLetter"/>
      <w:lvlText w:val="%8."/>
      <w:lvlJc w:val="left"/>
      <w:pPr>
        <w:ind w:left="5709" w:hanging="360"/>
      </w:pPr>
    </w:lvl>
    <w:lvl w:ilvl="8" w:tplc="0809001B" w:tentative="1">
      <w:start w:val="1"/>
      <w:numFmt w:val="lowerRoman"/>
      <w:lvlText w:val="%9."/>
      <w:lvlJc w:val="right"/>
      <w:pPr>
        <w:ind w:left="6429" w:hanging="180"/>
      </w:pPr>
    </w:lvl>
  </w:abstractNum>
  <w:abstractNum w:abstractNumId="19" w15:restartNumberingAfterBreak="0">
    <w:nsid w:val="40523D0B"/>
    <w:multiLevelType w:val="hybridMultilevel"/>
    <w:tmpl w:val="71761D5A"/>
    <w:lvl w:ilvl="0" w:tplc="2DF8DC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802562"/>
    <w:multiLevelType w:val="hybridMultilevel"/>
    <w:tmpl w:val="38404D98"/>
    <w:lvl w:ilvl="0" w:tplc="06A691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2636F"/>
    <w:multiLevelType w:val="hybridMultilevel"/>
    <w:tmpl w:val="C03A074A"/>
    <w:lvl w:ilvl="0" w:tplc="5E7886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DA6C0B"/>
    <w:multiLevelType w:val="hybridMultilevel"/>
    <w:tmpl w:val="B58C5E06"/>
    <w:lvl w:ilvl="0" w:tplc="D0749E52">
      <w:start w:val="1"/>
      <w:numFmt w:val="decimal"/>
      <w:lvlText w:val="(%1)"/>
      <w:lvlJc w:val="left"/>
      <w:pPr>
        <w:tabs>
          <w:tab w:val="num" w:pos="1689"/>
        </w:tabs>
        <w:ind w:left="1689" w:hanging="555"/>
      </w:pPr>
      <w:rPr>
        <w:rFonts w:cs="Times New Roman" w:hint="default"/>
      </w:rPr>
    </w:lvl>
    <w:lvl w:ilvl="1" w:tplc="84EE32E2">
      <w:start w:val="2"/>
      <w:numFmt w:val="lowerRoman"/>
      <w:lvlText w:val="%2)"/>
      <w:lvlJc w:val="left"/>
      <w:pPr>
        <w:tabs>
          <w:tab w:val="num" w:pos="2574"/>
        </w:tabs>
        <w:ind w:left="2574" w:hanging="720"/>
      </w:pPr>
      <w:rPr>
        <w:rFonts w:cs="Times New Roman" w:hint="default"/>
      </w:rPr>
    </w:lvl>
    <w:lvl w:ilvl="2" w:tplc="A36AA2E2">
      <w:start w:val="2"/>
      <w:numFmt w:val="lowerRoman"/>
      <w:lvlText w:val="(%3)"/>
      <w:lvlJc w:val="left"/>
      <w:pPr>
        <w:tabs>
          <w:tab w:val="num" w:pos="3474"/>
        </w:tabs>
        <w:ind w:left="3474" w:hanging="720"/>
      </w:pPr>
      <w:rPr>
        <w:rFonts w:cs="Times New Roman" w:hint="default"/>
      </w:rPr>
    </w:lvl>
    <w:lvl w:ilvl="3" w:tplc="0809000F" w:tentative="1">
      <w:start w:val="1"/>
      <w:numFmt w:val="decimal"/>
      <w:lvlText w:val="%4."/>
      <w:lvlJc w:val="left"/>
      <w:pPr>
        <w:tabs>
          <w:tab w:val="num" w:pos="3654"/>
        </w:tabs>
        <w:ind w:left="3654" w:hanging="360"/>
      </w:pPr>
      <w:rPr>
        <w:rFonts w:cs="Times New Roman"/>
      </w:rPr>
    </w:lvl>
    <w:lvl w:ilvl="4" w:tplc="08090019" w:tentative="1">
      <w:start w:val="1"/>
      <w:numFmt w:val="lowerLetter"/>
      <w:lvlText w:val="%5."/>
      <w:lvlJc w:val="left"/>
      <w:pPr>
        <w:tabs>
          <w:tab w:val="num" w:pos="4374"/>
        </w:tabs>
        <w:ind w:left="4374" w:hanging="360"/>
      </w:pPr>
      <w:rPr>
        <w:rFonts w:cs="Times New Roman"/>
      </w:rPr>
    </w:lvl>
    <w:lvl w:ilvl="5" w:tplc="0809001B" w:tentative="1">
      <w:start w:val="1"/>
      <w:numFmt w:val="lowerRoman"/>
      <w:lvlText w:val="%6."/>
      <w:lvlJc w:val="right"/>
      <w:pPr>
        <w:tabs>
          <w:tab w:val="num" w:pos="5094"/>
        </w:tabs>
        <w:ind w:left="5094" w:hanging="180"/>
      </w:pPr>
      <w:rPr>
        <w:rFonts w:cs="Times New Roman"/>
      </w:rPr>
    </w:lvl>
    <w:lvl w:ilvl="6" w:tplc="0809000F" w:tentative="1">
      <w:start w:val="1"/>
      <w:numFmt w:val="decimal"/>
      <w:lvlText w:val="%7."/>
      <w:lvlJc w:val="left"/>
      <w:pPr>
        <w:tabs>
          <w:tab w:val="num" w:pos="5814"/>
        </w:tabs>
        <w:ind w:left="5814" w:hanging="360"/>
      </w:pPr>
      <w:rPr>
        <w:rFonts w:cs="Times New Roman"/>
      </w:rPr>
    </w:lvl>
    <w:lvl w:ilvl="7" w:tplc="08090019" w:tentative="1">
      <w:start w:val="1"/>
      <w:numFmt w:val="lowerLetter"/>
      <w:lvlText w:val="%8."/>
      <w:lvlJc w:val="left"/>
      <w:pPr>
        <w:tabs>
          <w:tab w:val="num" w:pos="6534"/>
        </w:tabs>
        <w:ind w:left="6534" w:hanging="360"/>
      </w:pPr>
      <w:rPr>
        <w:rFonts w:cs="Times New Roman"/>
      </w:rPr>
    </w:lvl>
    <w:lvl w:ilvl="8" w:tplc="0809001B" w:tentative="1">
      <w:start w:val="1"/>
      <w:numFmt w:val="lowerRoman"/>
      <w:lvlText w:val="%9."/>
      <w:lvlJc w:val="right"/>
      <w:pPr>
        <w:tabs>
          <w:tab w:val="num" w:pos="7254"/>
        </w:tabs>
        <w:ind w:left="7254" w:hanging="180"/>
      </w:pPr>
      <w:rPr>
        <w:rFonts w:cs="Times New Roman"/>
      </w:rPr>
    </w:lvl>
  </w:abstractNum>
  <w:abstractNum w:abstractNumId="23" w15:restartNumberingAfterBreak="0">
    <w:nsid w:val="472818A7"/>
    <w:multiLevelType w:val="hybridMultilevel"/>
    <w:tmpl w:val="9ED6073A"/>
    <w:lvl w:ilvl="0" w:tplc="B34E5FA4">
      <w:start w:val="1"/>
      <w:numFmt w:val="decimal"/>
      <w:lvlText w:val="(%1)"/>
      <w:lvlJc w:val="left"/>
      <w:pPr>
        <w:ind w:left="527" w:hanging="360"/>
      </w:pPr>
      <w:rPr>
        <w:rFonts w:hint="default"/>
      </w:rPr>
    </w:lvl>
    <w:lvl w:ilvl="1" w:tplc="08090019" w:tentative="1">
      <w:start w:val="1"/>
      <w:numFmt w:val="lowerLetter"/>
      <w:lvlText w:val="%2."/>
      <w:lvlJc w:val="left"/>
      <w:pPr>
        <w:ind w:left="1247" w:hanging="360"/>
      </w:pPr>
    </w:lvl>
    <w:lvl w:ilvl="2" w:tplc="0809001B" w:tentative="1">
      <w:start w:val="1"/>
      <w:numFmt w:val="lowerRoman"/>
      <w:lvlText w:val="%3."/>
      <w:lvlJc w:val="right"/>
      <w:pPr>
        <w:ind w:left="1967" w:hanging="180"/>
      </w:pPr>
    </w:lvl>
    <w:lvl w:ilvl="3" w:tplc="0809000F" w:tentative="1">
      <w:start w:val="1"/>
      <w:numFmt w:val="decimal"/>
      <w:lvlText w:val="%4."/>
      <w:lvlJc w:val="left"/>
      <w:pPr>
        <w:ind w:left="2687" w:hanging="360"/>
      </w:pPr>
    </w:lvl>
    <w:lvl w:ilvl="4" w:tplc="08090019" w:tentative="1">
      <w:start w:val="1"/>
      <w:numFmt w:val="lowerLetter"/>
      <w:lvlText w:val="%5."/>
      <w:lvlJc w:val="left"/>
      <w:pPr>
        <w:ind w:left="3407" w:hanging="360"/>
      </w:pPr>
    </w:lvl>
    <w:lvl w:ilvl="5" w:tplc="0809001B" w:tentative="1">
      <w:start w:val="1"/>
      <w:numFmt w:val="lowerRoman"/>
      <w:lvlText w:val="%6."/>
      <w:lvlJc w:val="right"/>
      <w:pPr>
        <w:ind w:left="4127" w:hanging="180"/>
      </w:pPr>
    </w:lvl>
    <w:lvl w:ilvl="6" w:tplc="0809000F" w:tentative="1">
      <w:start w:val="1"/>
      <w:numFmt w:val="decimal"/>
      <w:lvlText w:val="%7."/>
      <w:lvlJc w:val="left"/>
      <w:pPr>
        <w:ind w:left="4847" w:hanging="360"/>
      </w:pPr>
    </w:lvl>
    <w:lvl w:ilvl="7" w:tplc="08090019" w:tentative="1">
      <w:start w:val="1"/>
      <w:numFmt w:val="lowerLetter"/>
      <w:lvlText w:val="%8."/>
      <w:lvlJc w:val="left"/>
      <w:pPr>
        <w:ind w:left="5567" w:hanging="360"/>
      </w:pPr>
    </w:lvl>
    <w:lvl w:ilvl="8" w:tplc="0809001B" w:tentative="1">
      <w:start w:val="1"/>
      <w:numFmt w:val="lowerRoman"/>
      <w:lvlText w:val="%9."/>
      <w:lvlJc w:val="right"/>
      <w:pPr>
        <w:ind w:left="6287" w:hanging="180"/>
      </w:pPr>
    </w:lvl>
  </w:abstractNum>
  <w:abstractNum w:abstractNumId="24" w15:restartNumberingAfterBreak="0">
    <w:nsid w:val="4CF060E6"/>
    <w:multiLevelType w:val="hybridMultilevel"/>
    <w:tmpl w:val="8E3E7EEA"/>
    <w:lvl w:ilvl="0" w:tplc="C99882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90C4C"/>
    <w:multiLevelType w:val="multilevel"/>
    <w:tmpl w:val="9E9EA84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1A3274B"/>
    <w:multiLevelType w:val="multilevel"/>
    <w:tmpl w:val="1D0A72C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EC24FF"/>
    <w:multiLevelType w:val="hybridMultilevel"/>
    <w:tmpl w:val="E7C863BA"/>
    <w:lvl w:ilvl="0" w:tplc="FC9EF2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AC6AE4"/>
    <w:multiLevelType w:val="multilevel"/>
    <w:tmpl w:val="999A211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4335159"/>
    <w:multiLevelType w:val="hybridMultilevel"/>
    <w:tmpl w:val="E570902C"/>
    <w:lvl w:ilvl="0" w:tplc="6706A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72353E"/>
    <w:multiLevelType w:val="hybridMultilevel"/>
    <w:tmpl w:val="28A0CD98"/>
    <w:lvl w:ilvl="0" w:tplc="0036691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1" w15:restartNumberingAfterBreak="0">
    <w:nsid w:val="68863D00"/>
    <w:multiLevelType w:val="multilevel"/>
    <w:tmpl w:val="65C6B51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upp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F166A55"/>
    <w:multiLevelType w:val="hybridMultilevel"/>
    <w:tmpl w:val="5FB8A3F4"/>
    <w:lvl w:ilvl="0" w:tplc="B3B21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D66C0"/>
    <w:multiLevelType w:val="hybridMultilevel"/>
    <w:tmpl w:val="C974E5F6"/>
    <w:lvl w:ilvl="0" w:tplc="BA72447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35" w15:restartNumberingAfterBreak="0">
    <w:nsid w:val="7C58169F"/>
    <w:multiLevelType w:val="multilevel"/>
    <w:tmpl w:val="471A4352"/>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rPr>
    </w:lvl>
    <w:lvl w:ilvl="4">
      <w:start w:val="1"/>
      <w:numFmt w:val="upp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C6C0C98"/>
    <w:multiLevelType w:val="hybridMultilevel"/>
    <w:tmpl w:val="9C7CC196"/>
    <w:lvl w:ilvl="0" w:tplc="74484F32">
      <w:start w:val="1"/>
      <w:numFmt w:val="decimal"/>
      <w:lvlText w:val="%1)"/>
      <w:lvlJc w:val="left"/>
      <w:pPr>
        <w:ind w:left="1080" w:hanging="360"/>
      </w:pPr>
      <w:rPr>
        <w:rFonts w:ascii="Calibri" w:eastAsia="Calibri" w:hAnsi="Calibri" w:cs="Calibri" w:hint="default"/>
        <w:i/>
        <w:w w:val="100"/>
        <w:sz w:val="22"/>
        <w:szCs w:val="22"/>
        <w:lang w:val="en-GB" w:eastAsia="en-GB" w:bidi="en-GB"/>
      </w:rPr>
    </w:lvl>
    <w:lvl w:ilvl="1" w:tplc="240669B6">
      <w:start w:val="1"/>
      <w:numFmt w:val="lowerLetter"/>
      <w:lvlText w:val="%2."/>
      <w:lvlJc w:val="left"/>
      <w:pPr>
        <w:ind w:left="1440" w:hanging="360"/>
        <w:jc w:val="right"/>
      </w:pPr>
      <w:rPr>
        <w:rFonts w:ascii="Calibri" w:eastAsia="Calibri" w:hAnsi="Calibri" w:cs="Calibri" w:hint="default"/>
        <w:i/>
        <w:spacing w:val="-1"/>
        <w:w w:val="100"/>
        <w:sz w:val="22"/>
        <w:szCs w:val="22"/>
        <w:lang w:val="en-GB" w:eastAsia="en-GB" w:bidi="en-GB"/>
      </w:rPr>
    </w:lvl>
    <w:lvl w:ilvl="2" w:tplc="F1CCAC2C">
      <w:numFmt w:val="bullet"/>
      <w:lvlText w:val="•"/>
      <w:lvlJc w:val="left"/>
      <w:pPr>
        <w:ind w:left="2413" w:hanging="360"/>
      </w:pPr>
      <w:rPr>
        <w:rFonts w:hint="default"/>
        <w:lang w:val="en-GB" w:eastAsia="en-GB" w:bidi="en-GB"/>
      </w:rPr>
    </w:lvl>
    <w:lvl w:ilvl="3" w:tplc="961AD114">
      <w:numFmt w:val="bullet"/>
      <w:lvlText w:val="•"/>
      <w:lvlJc w:val="left"/>
      <w:pPr>
        <w:ind w:left="3386" w:hanging="360"/>
      </w:pPr>
      <w:rPr>
        <w:rFonts w:hint="default"/>
        <w:lang w:val="en-GB" w:eastAsia="en-GB" w:bidi="en-GB"/>
      </w:rPr>
    </w:lvl>
    <w:lvl w:ilvl="4" w:tplc="9000F142">
      <w:numFmt w:val="bullet"/>
      <w:lvlText w:val="•"/>
      <w:lvlJc w:val="left"/>
      <w:pPr>
        <w:ind w:left="4360" w:hanging="360"/>
      </w:pPr>
      <w:rPr>
        <w:rFonts w:hint="default"/>
        <w:lang w:val="en-GB" w:eastAsia="en-GB" w:bidi="en-GB"/>
      </w:rPr>
    </w:lvl>
    <w:lvl w:ilvl="5" w:tplc="F864B65A">
      <w:numFmt w:val="bullet"/>
      <w:lvlText w:val="•"/>
      <w:lvlJc w:val="left"/>
      <w:pPr>
        <w:ind w:left="5333" w:hanging="360"/>
      </w:pPr>
      <w:rPr>
        <w:rFonts w:hint="default"/>
        <w:lang w:val="en-GB" w:eastAsia="en-GB" w:bidi="en-GB"/>
      </w:rPr>
    </w:lvl>
    <w:lvl w:ilvl="6" w:tplc="45DEDE9E">
      <w:numFmt w:val="bullet"/>
      <w:lvlText w:val="•"/>
      <w:lvlJc w:val="left"/>
      <w:pPr>
        <w:ind w:left="6306" w:hanging="360"/>
      </w:pPr>
      <w:rPr>
        <w:rFonts w:hint="default"/>
        <w:lang w:val="en-GB" w:eastAsia="en-GB" w:bidi="en-GB"/>
      </w:rPr>
    </w:lvl>
    <w:lvl w:ilvl="7" w:tplc="E63C101A">
      <w:numFmt w:val="bullet"/>
      <w:lvlText w:val="•"/>
      <w:lvlJc w:val="left"/>
      <w:pPr>
        <w:ind w:left="7280" w:hanging="360"/>
      </w:pPr>
      <w:rPr>
        <w:rFonts w:hint="default"/>
        <w:lang w:val="en-GB" w:eastAsia="en-GB" w:bidi="en-GB"/>
      </w:rPr>
    </w:lvl>
    <w:lvl w:ilvl="8" w:tplc="14F08214">
      <w:numFmt w:val="bullet"/>
      <w:lvlText w:val="•"/>
      <w:lvlJc w:val="left"/>
      <w:pPr>
        <w:ind w:left="8253" w:hanging="360"/>
      </w:pPr>
      <w:rPr>
        <w:rFonts w:hint="default"/>
        <w:lang w:val="en-GB" w:eastAsia="en-GB" w:bidi="en-GB"/>
      </w:rPr>
    </w:lvl>
  </w:abstractNum>
  <w:abstractNum w:abstractNumId="37" w15:restartNumberingAfterBreak="0">
    <w:nsid w:val="7F0C4373"/>
    <w:multiLevelType w:val="hybridMultilevel"/>
    <w:tmpl w:val="B2BEA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7"/>
  </w:num>
  <w:num w:numId="5">
    <w:abstractNumId w:val="0"/>
  </w:num>
  <w:num w:numId="6">
    <w:abstractNumId w:val="0"/>
  </w:num>
  <w:num w:numId="7">
    <w:abstractNumId w:val="34"/>
  </w:num>
  <w:num w:numId="8">
    <w:abstractNumId w:val="34"/>
  </w:num>
  <w:num w:numId="9">
    <w:abstractNumId w:val="34"/>
  </w:num>
  <w:num w:numId="10">
    <w:abstractNumId w:val="34"/>
  </w:num>
  <w:num w:numId="11">
    <w:abstractNumId w:val="34"/>
  </w:num>
  <w:num w:numId="12">
    <w:abstractNumId w:val="34"/>
  </w:num>
  <w:num w:numId="13">
    <w:abstractNumId w:val="34"/>
  </w:num>
  <w:num w:numId="14">
    <w:abstractNumId w:val="34"/>
  </w:num>
  <w:num w:numId="15">
    <w:abstractNumId w:val="34"/>
  </w:num>
  <w:num w:numId="16">
    <w:abstractNumId w:val="8"/>
  </w:num>
  <w:num w:numId="17">
    <w:abstractNumId w:val="24"/>
  </w:num>
  <w:num w:numId="18">
    <w:abstractNumId w:val="6"/>
  </w:num>
  <w:num w:numId="19">
    <w:abstractNumId w:val="2"/>
  </w:num>
  <w:num w:numId="20">
    <w:abstractNumId w:val="25"/>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10"/>
  </w:num>
  <w:num w:numId="25">
    <w:abstractNumId w:val="22"/>
  </w:num>
  <w:num w:numId="26">
    <w:abstractNumId w:val="35"/>
  </w:num>
  <w:num w:numId="27">
    <w:abstractNumId w:val="31"/>
  </w:num>
  <w:num w:numId="28">
    <w:abstractNumId w:val="36"/>
  </w:num>
  <w:num w:numId="29">
    <w:abstractNumId w:val="16"/>
  </w:num>
  <w:num w:numId="30">
    <w:abstractNumId w:val="3"/>
  </w:num>
  <w:num w:numId="31">
    <w:abstractNumId w:val="21"/>
  </w:num>
  <w:num w:numId="32">
    <w:abstractNumId w:val="11"/>
  </w:num>
  <w:num w:numId="33">
    <w:abstractNumId w:val="1"/>
  </w:num>
  <w:num w:numId="34">
    <w:abstractNumId w:val="20"/>
  </w:num>
  <w:num w:numId="35">
    <w:abstractNumId w:val="9"/>
  </w:num>
  <w:num w:numId="36">
    <w:abstractNumId w:val="32"/>
  </w:num>
  <w:num w:numId="37">
    <w:abstractNumId w:val="23"/>
  </w:num>
  <w:num w:numId="38">
    <w:abstractNumId w:val="27"/>
  </w:num>
  <w:num w:numId="39">
    <w:abstractNumId w:val="19"/>
  </w:num>
  <w:num w:numId="40">
    <w:abstractNumId w:val="29"/>
  </w:num>
  <w:num w:numId="41">
    <w:abstractNumId w:val="4"/>
  </w:num>
  <w:num w:numId="42">
    <w:abstractNumId w:val="18"/>
  </w:num>
  <w:num w:numId="43">
    <w:abstractNumId w:val="5"/>
  </w:num>
  <w:num w:numId="44">
    <w:abstractNumId w:val="13"/>
  </w:num>
  <w:num w:numId="45">
    <w:abstractNumId w:val="15"/>
  </w:num>
  <w:num w:numId="46">
    <w:abstractNumId w:val="17"/>
  </w:num>
  <w:num w:numId="47">
    <w:abstractNumId w:val="12"/>
  </w:num>
  <w:num w:numId="48">
    <w:abstractNumId w:val="37"/>
  </w:num>
  <w:num w:numId="49">
    <w:abstractNumId w:val="3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0" w:val="Najib Afsar"/>
    <w:docVar w:name="1" w:val="the Ft-T"/>
    <w:docVar w:name="10" w:val="Mr Mahmood"/>
    <w:docVar w:name="11" w:val="Carltons"/>
    <w:docVar w:name="12" w:val="Vicarage Court"/>
    <w:docVar w:name="13" w:val="Ms Tromans"/>
    <w:docVar w:name="2" w:val="this Tribunal"/>
    <w:docVar w:name="3" w:val="Judge Taylor"/>
    <w:docVar w:name="4" w:val="SKPM"/>
    <w:docVar w:name="5" w:val="the Property"/>
    <w:docVar w:name="6" w:val="Mr Byrne"/>
    <w:docVar w:name="7" w:val="the Sale Agreement"/>
    <w:docVar w:name="8" w:val="Ms Tromans"/>
    <w:docVar w:name="9" w:val="Shakeel Afsar"/>
  </w:docVars>
  <w:rsids>
    <w:rsidRoot w:val="001805B2"/>
    <w:rsid w:val="00002F8A"/>
    <w:rsid w:val="00005C73"/>
    <w:rsid w:val="00005DB2"/>
    <w:rsid w:val="00007B8E"/>
    <w:rsid w:val="00011272"/>
    <w:rsid w:val="0001189B"/>
    <w:rsid w:val="000126DD"/>
    <w:rsid w:val="00013E89"/>
    <w:rsid w:val="000154FC"/>
    <w:rsid w:val="0001575D"/>
    <w:rsid w:val="00020B33"/>
    <w:rsid w:val="000210E6"/>
    <w:rsid w:val="00022483"/>
    <w:rsid w:val="00025366"/>
    <w:rsid w:val="00026FEB"/>
    <w:rsid w:val="00030235"/>
    <w:rsid w:val="00030B02"/>
    <w:rsid w:val="000310C2"/>
    <w:rsid w:val="00032083"/>
    <w:rsid w:val="00032957"/>
    <w:rsid w:val="00033608"/>
    <w:rsid w:val="00034F7D"/>
    <w:rsid w:val="00042B83"/>
    <w:rsid w:val="00044F30"/>
    <w:rsid w:val="00050697"/>
    <w:rsid w:val="00056B1A"/>
    <w:rsid w:val="00072F34"/>
    <w:rsid w:val="00080B45"/>
    <w:rsid w:val="00081F15"/>
    <w:rsid w:val="00087724"/>
    <w:rsid w:val="000908B0"/>
    <w:rsid w:val="00095491"/>
    <w:rsid w:val="0009689B"/>
    <w:rsid w:val="000A2033"/>
    <w:rsid w:val="000A21D6"/>
    <w:rsid w:val="000A26BD"/>
    <w:rsid w:val="000A346B"/>
    <w:rsid w:val="000A3621"/>
    <w:rsid w:val="000A54B9"/>
    <w:rsid w:val="000B28D7"/>
    <w:rsid w:val="000B69D7"/>
    <w:rsid w:val="000C2B14"/>
    <w:rsid w:val="000C4191"/>
    <w:rsid w:val="000C785C"/>
    <w:rsid w:val="000D3178"/>
    <w:rsid w:val="000D557C"/>
    <w:rsid w:val="000D61F3"/>
    <w:rsid w:val="000D6FD8"/>
    <w:rsid w:val="000E34AF"/>
    <w:rsid w:val="000E3BF0"/>
    <w:rsid w:val="000E476B"/>
    <w:rsid w:val="000E5E0F"/>
    <w:rsid w:val="000F0219"/>
    <w:rsid w:val="000F3F81"/>
    <w:rsid w:val="000F55E7"/>
    <w:rsid w:val="000F5E8B"/>
    <w:rsid w:val="000F7DA8"/>
    <w:rsid w:val="001017A5"/>
    <w:rsid w:val="00101E71"/>
    <w:rsid w:val="001023B5"/>
    <w:rsid w:val="0010696B"/>
    <w:rsid w:val="0011659E"/>
    <w:rsid w:val="00120B34"/>
    <w:rsid w:val="00122F6E"/>
    <w:rsid w:val="001231C0"/>
    <w:rsid w:val="00124114"/>
    <w:rsid w:val="00131E10"/>
    <w:rsid w:val="00133B91"/>
    <w:rsid w:val="00141A29"/>
    <w:rsid w:val="00141BFB"/>
    <w:rsid w:val="001422E5"/>
    <w:rsid w:val="00143517"/>
    <w:rsid w:val="00144843"/>
    <w:rsid w:val="00145460"/>
    <w:rsid w:val="0014653D"/>
    <w:rsid w:val="00147699"/>
    <w:rsid w:val="00153F17"/>
    <w:rsid w:val="0015633B"/>
    <w:rsid w:val="00156E54"/>
    <w:rsid w:val="00157B18"/>
    <w:rsid w:val="00157E05"/>
    <w:rsid w:val="001656D9"/>
    <w:rsid w:val="00170B13"/>
    <w:rsid w:val="00172449"/>
    <w:rsid w:val="001768D0"/>
    <w:rsid w:val="00177FC1"/>
    <w:rsid w:val="001805B2"/>
    <w:rsid w:val="00182AD1"/>
    <w:rsid w:val="00184031"/>
    <w:rsid w:val="001857A4"/>
    <w:rsid w:val="001926EC"/>
    <w:rsid w:val="00193AAA"/>
    <w:rsid w:val="00194EB8"/>
    <w:rsid w:val="001A027C"/>
    <w:rsid w:val="001A26E8"/>
    <w:rsid w:val="001B1EC2"/>
    <w:rsid w:val="001B4519"/>
    <w:rsid w:val="001C09E8"/>
    <w:rsid w:val="001D20A5"/>
    <w:rsid w:val="001D49F0"/>
    <w:rsid w:val="001D63AA"/>
    <w:rsid w:val="001D7C89"/>
    <w:rsid w:val="001F0B75"/>
    <w:rsid w:val="001F35A4"/>
    <w:rsid w:val="001F3971"/>
    <w:rsid w:val="001F418A"/>
    <w:rsid w:val="001F722F"/>
    <w:rsid w:val="002034A8"/>
    <w:rsid w:val="0020442C"/>
    <w:rsid w:val="002044A0"/>
    <w:rsid w:val="00204584"/>
    <w:rsid w:val="00206A70"/>
    <w:rsid w:val="00207ECC"/>
    <w:rsid w:val="00210088"/>
    <w:rsid w:val="002131F9"/>
    <w:rsid w:val="00215BF3"/>
    <w:rsid w:val="00215F38"/>
    <w:rsid w:val="0021645B"/>
    <w:rsid w:val="002179F3"/>
    <w:rsid w:val="0022143D"/>
    <w:rsid w:val="00223993"/>
    <w:rsid w:val="002277C8"/>
    <w:rsid w:val="0023261D"/>
    <w:rsid w:val="00235AF9"/>
    <w:rsid w:val="00241752"/>
    <w:rsid w:val="00243270"/>
    <w:rsid w:val="00243F9B"/>
    <w:rsid w:val="0024632A"/>
    <w:rsid w:val="00250413"/>
    <w:rsid w:val="002523FA"/>
    <w:rsid w:val="00254DE1"/>
    <w:rsid w:val="0025626F"/>
    <w:rsid w:val="00257A22"/>
    <w:rsid w:val="00262761"/>
    <w:rsid w:val="00267E1F"/>
    <w:rsid w:val="0027420D"/>
    <w:rsid w:val="00277482"/>
    <w:rsid w:val="00280EFD"/>
    <w:rsid w:val="00283598"/>
    <w:rsid w:val="00287503"/>
    <w:rsid w:val="00292786"/>
    <w:rsid w:val="00293043"/>
    <w:rsid w:val="00294521"/>
    <w:rsid w:val="00295E48"/>
    <w:rsid w:val="002A10D9"/>
    <w:rsid w:val="002A4177"/>
    <w:rsid w:val="002A459C"/>
    <w:rsid w:val="002A59D8"/>
    <w:rsid w:val="002A72E7"/>
    <w:rsid w:val="002A77B1"/>
    <w:rsid w:val="002B1ABF"/>
    <w:rsid w:val="002B2FB1"/>
    <w:rsid w:val="002B5CC8"/>
    <w:rsid w:val="002C09F6"/>
    <w:rsid w:val="002C0A4B"/>
    <w:rsid w:val="002C19B9"/>
    <w:rsid w:val="002C5B0C"/>
    <w:rsid w:val="002C5BC8"/>
    <w:rsid w:val="002C5EFC"/>
    <w:rsid w:val="002D02A9"/>
    <w:rsid w:val="002D0CFD"/>
    <w:rsid w:val="002D154C"/>
    <w:rsid w:val="002D3A1A"/>
    <w:rsid w:val="002D4E61"/>
    <w:rsid w:val="002D5E91"/>
    <w:rsid w:val="002D6008"/>
    <w:rsid w:val="002E748A"/>
    <w:rsid w:val="002F04F7"/>
    <w:rsid w:val="002F1542"/>
    <w:rsid w:val="002F1656"/>
    <w:rsid w:val="002F1CB2"/>
    <w:rsid w:val="002F2848"/>
    <w:rsid w:val="002F3FA4"/>
    <w:rsid w:val="002F4E44"/>
    <w:rsid w:val="002F4F88"/>
    <w:rsid w:val="0030007A"/>
    <w:rsid w:val="00303818"/>
    <w:rsid w:val="0030413D"/>
    <w:rsid w:val="00304B42"/>
    <w:rsid w:val="0030515D"/>
    <w:rsid w:val="00306222"/>
    <w:rsid w:val="00311C4E"/>
    <w:rsid w:val="0031306B"/>
    <w:rsid w:val="00313E1A"/>
    <w:rsid w:val="0032035B"/>
    <w:rsid w:val="003236E9"/>
    <w:rsid w:val="0032394F"/>
    <w:rsid w:val="003368B3"/>
    <w:rsid w:val="003406FF"/>
    <w:rsid w:val="0034383C"/>
    <w:rsid w:val="00347B58"/>
    <w:rsid w:val="003525FF"/>
    <w:rsid w:val="00352AB9"/>
    <w:rsid w:val="0035390C"/>
    <w:rsid w:val="00354C52"/>
    <w:rsid w:val="0035557D"/>
    <w:rsid w:val="00366EF4"/>
    <w:rsid w:val="00367D90"/>
    <w:rsid w:val="00370595"/>
    <w:rsid w:val="00370C3B"/>
    <w:rsid w:val="0037474B"/>
    <w:rsid w:val="003761D1"/>
    <w:rsid w:val="003832B9"/>
    <w:rsid w:val="00390217"/>
    <w:rsid w:val="00391927"/>
    <w:rsid w:val="00391DFC"/>
    <w:rsid w:val="00394752"/>
    <w:rsid w:val="00394BAD"/>
    <w:rsid w:val="003A3CDD"/>
    <w:rsid w:val="003B124D"/>
    <w:rsid w:val="003B3560"/>
    <w:rsid w:val="003B4562"/>
    <w:rsid w:val="003B555A"/>
    <w:rsid w:val="003B7A4C"/>
    <w:rsid w:val="003C1200"/>
    <w:rsid w:val="003C1E9C"/>
    <w:rsid w:val="003D18CD"/>
    <w:rsid w:val="003D2B53"/>
    <w:rsid w:val="003D2ED0"/>
    <w:rsid w:val="003D4F56"/>
    <w:rsid w:val="003D6500"/>
    <w:rsid w:val="003E143F"/>
    <w:rsid w:val="003E3A0E"/>
    <w:rsid w:val="003E3BDE"/>
    <w:rsid w:val="003E487B"/>
    <w:rsid w:val="003E6306"/>
    <w:rsid w:val="003E7CEB"/>
    <w:rsid w:val="003F3919"/>
    <w:rsid w:val="0040106C"/>
    <w:rsid w:val="00401EAE"/>
    <w:rsid w:val="00402F7A"/>
    <w:rsid w:val="00404CA2"/>
    <w:rsid w:val="004062F4"/>
    <w:rsid w:val="00406A92"/>
    <w:rsid w:val="00410BB6"/>
    <w:rsid w:val="0041109F"/>
    <w:rsid w:val="00411890"/>
    <w:rsid w:val="00416007"/>
    <w:rsid w:val="004168C7"/>
    <w:rsid w:val="004255EF"/>
    <w:rsid w:val="00425C0A"/>
    <w:rsid w:val="0042707E"/>
    <w:rsid w:val="0042744F"/>
    <w:rsid w:val="0043023C"/>
    <w:rsid w:val="00431479"/>
    <w:rsid w:val="00431915"/>
    <w:rsid w:val="00431ACA"/>
    <w:rsid w:val="00434304"/>
    <w:rsid w:val="004366B5"/>
    <w:rsid w:val="00437862"/>
    <w:rsid w:val="00437A09"/>
    <w:rsid w:val="00441856"/>
    <w:rsid w:val="00443010"/>
    <w:rsid w:val="00447DEC"/>
    <w:rsid w:val="004550BC"/>
    <w:rsid w:val="00455BB6"/>
    <w:rsid w:val="004573CC"/>
    <w:rsid w:val="00457486"/>
    <w:rsid w:val="004631F9"/>
    <w:rsid w:val="0046685D"/>
    <w:rsid w:val="004723C6"/>
    <w:rsid w:val="0047655B"/>
    <w:rsid w:val="004775AE"/>
    <w:rsid w:val="00482522"/>
    <w:rsid w:val="0048783B"/>
    <w:rsid w:val="00491398"/>
    <w:rsid w:val="0049185F"/>
    <w:rsid w:val="00493447"/>
    <w:rsid w:val="00494490"/>
    <w:rsid w:val="004979A2"/>
    <w:rsid w:val="004A0D19"/>
    <w:rsid w:val="004A2EC7"/>
    <w:rsid w:val="004A7C06"/>
    <w:rsid w:val="004B1E06"/>
    <w:rsid w:val="004B3F60"/>
    <w:rsid w:val="004B76EA"/>
    <w:rsid w:val="004D16A9"/>
    <w:rsid w:val="004D1E0F"/>
    <w:rsid w:val="004D5991"/>
    <w:rsid w:val="004D65B5"/>
    <w:rsid w:val="004D7573"/>
    <w:rsid w:val="004E032C"/>
    <w:rsid w:val="004E2308"/>
    <w:rsid w:val="004E3DBC"/>
    <w:rsid w:val="004E64DF"/>
    <w:rsid w:val="004F24C6"/>
    <w:rsid w:val="004F29B2"/>
    <w:rsid w:val="004F4545"/>
    <w:rsid w:val="004F498E"/>
    <w:rsid w:val="005000A0"/>
    <w:rsid w:val="00500379"/>
    <w:rsid w:val="00506DC7"/>
    <w:rsid w:val="005072D7"/>
    <w:rsid w:val="0051088B"/>
    <w:rsid w:val="005109B3"/>
    <w:rsid w:val="005150E7"/>
    <w:rsid w:val="00517BD4"/>
    <w:rsid w:val="00517EAF"/>
    <w:rsid w:val="00520CDC"/>
    <w:rsid w:val="0052137C"/>
    <w:rsid w:val="00523115"/>
    <w:rsid w:val="00525E49"/>
    <w:rsid w:val="00532A59"/>
    <w:rsid w:val="00533194"/>
    <w:rsid w:val="005412F2"/>
    <w:rsid w:val="0054653C"/>
    <w:rsid w:val="005474AE"/>
    <w:rsid w:val="00555420"/>
    <w:rsid w:val="0055692F"/>
    <w:rsid w:val="00557D88"/>
    <w:rsid w:val="00560E1E"/>
    <w:rsid w:val="00565B0B"/>
    <w:rsid w:val="00572511"/>
    <w:rsid w:val="00573142"/>
    <w:rsid w:val="00576495"/>
    <w:rsid w:val="005841BC"/>
    <w:rsid w:val="00584E93"/>
    <w:rsid w:val="00591527"/>
    <w:rsid w:val="005A15E5"/>
    <w:rsid w:val="005A18AC"/>
    <w:rsid w:val="005A1B54"/>
    <w:rsid w:val="005B6325"/>
    <w:rsid w:val="005B68CC"/>
    <w:rsid w:val="005B71E3"/>
    <w:rsid w:val="005B76A9"/>
    <w:rsid w:val="005B770F"/>
    <w:rsid w:val="005C116E"/>
    <w:rsid w:val="005C213D"/>
    <w:rsid w:val="005D3899"/>
    <w:rsid w:val="005D6344"/>
    <w:rsid w:val="005D7013"/>
    <w:rsid w:val="005E03BE"/>
    <w:rsid w:val="005E03D0"/>
    <w:rsid w:val="005E1531"/>
    <w:rsid w:val="005E242D"/>
    <w:rsid w:val="005E53BB"/>
    <w:rsid w:val="005E7EB5"/>
    <w:rsid w:val="005F398E"/>
    <w:rsid w:val="005F61FF"/>
    <w:rsid w:val="005F6621"/>
    <w:rsid w:val="00604642"/>
    <w:rsid w:val="00606B7D"/>
    <w:rsid w:val="00607D6C"/>
    <w:rsid w:val="00610FF4"/>
    <w:rsid w:val="00612F5B"/>
    <w:rsid w:val="006139EA"/>
    <w:rsid w:val="00614F1B"/>
    <w:rsid w:val="0061514B"/>
    <w:rsid w:val="0061600E"/>
    <w:rsid w:val="00616E2D"/>
    <w:rsid w:val="00623864"/>
    <w:rsid w:val="00623942"/>
    <w:rsid w:val="00634B42"/>
    <w:rsid w:val="00637F9C"/>
    <w:rsid w:val="00647ADD"/>
    <w:rsid w:val="00651DC2"/>
    <w:rsid w:val="00652A77"/>
    <w:rsid w:val="00654F34"/>
    <w:rsid w:val="00656920"/>
    <w:rsid w:val="00656AA9"/>
    <w:rsid w:val="00664635"/>
    <w:rsid w:val="006648E8"/>
    <w:rsid w:val="0066540D"/>
    <w:rsid w:val="00666701"/>
    <w:rsid w:val="0067100E"/>
    <w:rsid w:val="00671D37"/>
    <w:rsid w:val="00675274"/>
    <w:rsid w:val="0067599C"/>
    <w:rsid w:val="0067678D"/>
    <w:rsid w:val="00676F17"/>
    <w:rsid w:val="00677B67"/>
    <w:rsid w:val="0068047F"/>
    <w:rsid w:val="006809D3"/>
    <w:rsid w:val="00681FBC"/>
    <w:rsid w:val="006820AE"/>
    <w:rsid w:val="00683CFF"/>
    <w:rsid w:val="00685C58"/>
    <w:rsid w:val="00691CF0"/>
    <w:rsid w:val="00691F21"/>
    <w:rsid w:val="006A79AB"/>
    <w:rsid w:val="006A7DD3"/>
    <w:rsid w:val="006B521F"/>
    <w:rsid w:val="006B6FD3"/>
    <w:rsid w:val="006C4849"/>
    <w:rsid w:val="006C54D7"/>
    <w:rsid w:val="006C7223"/>
    <w:rsid w:val="006C7CE5"/>
    <w:rsid w:val="006D6642"/>
    <w:rsid w:val="006E29DD"/>
    <w:rsid w:val="006E39E9"/>
    <w:rsid w:val="006E55C9"/>
    <w:rsid w:val="006F2E34"/>
    <w:rsid w:val="006F581F"/>
    <w:rsid w:val="0070034D"/>
    <w:rsid w:val="0070731E"/>
    <w:rsid w:val="00711F65"/>
    <w:rsid w:val="00721BCB"/>
    <w:rsid w:val="00722FB2"/>
    <w:rsid w:val="007325C7"/>
    <w:rsid w:val="007339EB"/>
    <w:rsid w:val="007347B0"/>
    <w:rsid w:val="00737DF5"/>
    <w:rsid w:val="0074333D"/>
    <w:rsid w:val="007456A9"/>
    <w:rsid w:val="0075202A"/>
    <w:rsid w:val="00752AC1"/>
    <w:rsid w:val="007533FB"/>
    <w:rsid w:val="0075386C"/>
    <w:rsid w:val="00755FE9"/>
    <w:rsid w:val="00760AB3"/>
    <w:rsid w:val="00766087"/>
    <w:rsid w:val="00767100"/>
    <w:rsid w:val="00782089"/>
    <w:rsid w:val="00783EC9"/>
    <w:rsid w:val="00784282"/>
    <w:rsid w:val="00785061"/>
    <w:rsid w:val="00786F3F"/>
    <w:rsid w:val="0079054D"/>
    <w:rsid w:val="00792B5B"/>
    <w:rsid w:val="00797F1C"/>
    <w:rsid w:val="007A1307"/>
    <w:rsid w:val="007A153E"/>
    <w:rsid w:val="007A5D44"/>
    <w:rsid w:val="007B28F4"/>
    <w:rsid w:val="007B5903"/>
    <w:rsid w:val="007B5D18"/>
    <w:rsid w:val="007C37C8"/>
    <w:rsid w:val="007D5F2E"/>
    <w:rsid w:val="007E13C0"/>
    <w:rsid w:val="007F28FF"/>
    <w:rsid w:val="007F716D"/>
    <w:rsid w:val="00804157"/>
    <w:rsid w:val="008103E2"/>
    <w:rsid w:val="008221AE"/>
    <w:rsid w:val="00822758"/>
    <w:rsid w:val="0082323B"/>
    <w:rsid w:val="00825BD5"/>
    <w:rsid w:val="008275A8"/>
    <w:rsid w:val="008331BC"/>
    <w:rsid w:val="0083447E"/>
    <w:rsid w:val="00840347"/>
    <w:rsid w:val="00840A88"/>
    <w:rsid w:val="0084417D"/>
    <w:rsid w:val="0084462D"/>
    <w:rsid w:val="008451CC"/>
    <w:rsid w:val="00845B8F"/>
    <w:rsid w:val="00854751"/>
    <w:rsid w:val="00855078"/>
    <w:rsid w:val="008612AD"/>
    <w:rsid w:val="0086273E"/>
    <w:rsid w:val="00863713"/>
    <w:rsid w:val="00866170"/>
    <w:rsid w:val="008704A1"/>
    <w:rsid w:val="0087069A"/>
    <w:rsid w:val="00874CA6"/>
    <w:rsid w:val="008759E2"/>
    <w:rsid w:val="00876590"/>
    <w:rsid w:val="0087677E"/>
    <w:rsid w:val="00881798"/>
    <w:rsid w:val="0088633E"/>
    <w:rsid w:val="0088686F"/>
    <w:rsid w:val="008A073A"/>
    <w:rsid w:val="008A50AC"/>
    <w:rsid w:val="008A5450"/>
    <w:rsid w:val="008A5474"/>
    <w:rsid w:val="008A591F"/>
    <w:rsid w:val="008A615B"/>
    <w:rsid w:val="008A7B60"/>
    <w:rsid w:val="008A7C79"/>
    <w:rsid w:val="008B183B"/>
    <w:rsid w:val="008B220A"/>
    <w:rsid w:val="008B479F"/>
    <w:rsid w:val="008B50B3"/>
    <w:rsid w:val="008B5B75"/>
    <w:rsid w:val="008C401E"/>
    <w:rsid w:val="008C5B25"/>
    <w:rsid w:val="008C7597"/>
    <w:rsid w:val="008D1AEA"/>
    <w:rsid w:val="008D2EF0"/>
    <w:rsid w:val="008D51AC"/>
    <w:rsid w:val="008D6D3E"/>
    <w:rsid w:val="008E3481"/>
    <w:rsid w:val="008E42F8"/>
    <w:rsid w:val="008E6C0C"/>
    <w:rsid w:val="008E6E8D"/>
    <w:rsid w:val="008F480E"/>
    <w:rsid w:val="008F6B16"/>
    <w:rsid w:val="009000AE"/>
    <w:rsid w:val="00901935"/>
    <w:rsid w:val="0090484F"/>
    <w:rsid w:val="00906262"/>
    <w:rsid w:val="0091303B"/>
    <w:rsid w:val="00916324"/>
    <w:rsid w:val="00930E6C"/>
    <w:rsid w:val="00930EB4"/>
    <w:rsid w:val="009340E1"/>
    <w:rsid w:val="00937A3D"/>
    <w:rsid w:val="009412C0"/>
    <w:rsid w:val="009429CB"/>
    <w:rsid w:val="00943212"/>
    <w:rsid w:val="00947FDE"/>
    <w:rsid w:val="0095531B"/>
    <w:rsid w:val="00962826"/>
    <w:rsid w:val="00966600"/>
    <w:rsid w:val="00971366"/>
    <w:rsid w:val="00972725"/>
    <w:rsid w:val="00973BB2"/>
    <w:rsid w:val="009800F9"/>
    <w:rsid w:val="00980B4C"/>
    <w:rsid w:val="009856A6"/>
    <w:rsid w:val="009863EB"/>
    <w:rsid w:val="00986605"/>
    <w:rsid w:val="009879D6"/>
    <w:rsid w:val="009967A1"/>
    <w:rsid w:val="009A02D9"/>
    <w:rsid w:val="009A2FA4"/>
    <w:rsid w:val="009A7D03"/>
    <w:rsid w:val="009B129C"/>
    <w:rsid w:val="009B5FA7"/>
    <w:rsid w:val="009C0F45"/>
    <w:rsid w:val="009C2368"/>
    <w:rsid w:val="009C6581"/>
    <w:rsid w:val="009C6F0F"/>
    <w:rsid w:val="009D1ADE"/>
    <w:rsid w:val="009D1BB3"/>
    <w:rsid w:val="009E22F1"/>
    <w:rsid w:val="009E3EB6"/>
    <w:rsid w:val="009E6AFC"/>
    <w:rsid w:val="009F3B4E"/>
    <w:rsid w:val="009F55F3"/>
    <w:rsid w:val="009F75A7"/>
    <w:rsid w:val="00A05D15"/>
    <w:rsid w:val="00A07B0D"/>
    <w:rsid w:val="00A07D11"/>
    <w:rsid w:val="00A111DF"/>
    <w:rsid w:val="00A11D7E"/>
    <w:rsid w:val="00A124D5"/>
    <w:rsid w:val="00A1399A"/>
    <w:rsid w:val="00A146F8"/>
    <w:rsid w:val="00A21661"/>
    <w:rsid w:val="00A234F2"/>
    <w:rsid w:val="00A244EB"/>
    <w:rsid w:val="00A2606C"/>
    <w:rsid w:val="00A26D61"/>
    <w:rsid w:val="00A3470A"/>
    <w:rsid w:val="00A35EE2"/>
    <w:rsid w:val="00A3662E"/>
    <w:rsid w:val="00A36630"/>
    <w:rsid w:val="00A41C06"/>
    <w:rsid w:val="00A44581"/>
    <w:rsid w:val="00A45281"/>
    <w:rsid w:val="00A45A37"/>
    <w:rsid w:val="00A45F0F"/>
    <w:rsid w:val="00A55631"/>
    <w:rsid w:val="00A55CC3"/>
    <w:rsid w:val="00A55F26"/>
    <w:rsid w:val="00A608D2"/>
    <w:rsid w:val="00A61FF5"/>
    <w:rsid w:val="00A74460"/>
    <w:rsid w:val="00A7477A"/>
    <w:rsid w:val="00A755C0"/>
    <w:rsid w:val="00A7563C"/>
    <w:rsid w:val="00A81350"/>
    <w:rsid w:val="00A81600"/>
    <w:rsid w:val="00A8235A"/>
    <w:rsid w:val="00A87D10"/>
    <w:rsid w:val="00A918E1"/>
    <w:rsid w:val="00A93893"/>
    <w:rsid w:val="00A94FEA"/>
    <w:rsid w:val="00A97B66"/>
    <w:rsid w:val="00AA01F9"/>
    <w:rsid w:val="00AA29F5"/>
    <w:rsid w:val="00AB24DB"/>
    <w:rsid w:val="00AB5F3D"/>
    <w:rsid w:val="00AC2BC6"/>
    <w:rsid w:val="00AC3CDD"/>
    <w:rsid w:val="00AC6DC9"/>
    <w:rsid w:val="00AC7F99"/>
    <w:rsid w:val="00AD10A8"/>
    <w:rsid w:val="00AD4E89"/>
    <w:rsid w:val="00AD534F"/>
    <w:rsid w:val="00AE0248"/>
    <w:rsid w:val="00AE69A8"/>
    <w:rsid w:val="00AF1E5C"/>
    <w:rsid w:val="00AF3A10"/>
    <w:rsid w:val="00AF4A8C"/>
    <w:rsid w:val="00AF5095"/>
    <w:rsid w:val="00AF55D3"/>
    <w:rsid w:val="00B02496"/>
    <w:rsid w:val="00B07A20"/>
    <w:rsid w:val="00B151C5"/>
    <w:rsid w:val="00B1782E"/>
    <w:rsid w:val="00B17F04"/>
    <w:rsid w:val="00B34BB1"/>
    <w:rsid w:val="00B410B0"/>
    <w:rsid w:val="00B42BF4"/>
    <w:rsid w:val="00B53335"/>
    <w:rsid w:val="00B545E1"/>
    <w:rsid w:val="00B567AC"/>
    <w:rsid w:val="00B61A84"/>
    <w:rsid w:val="00B61DE2"/>
    <w:rsid w:val="00B64C6F"/>
    <w:rsid w:val="00B65EBC"/>
    <w:rsid w:val="00B70396"/>
    <w:rsid w:val="00B71168"/>
    <w:rsid w:val="00B74C99"/>
    <w:rsid w:val="00B75633"/>
    <w:rsid w:val="00B77F1B"/>
    <w:rsid w:val="00B807C1"/>
    <w:rsid w:val="00B822A0"/>
    <w:rsid w:val="00B83A5F"/>
    <w:rsid w:val="00B841D1"/>
    <w:rsid w:val="00B84521"/>
    <w:rsid w:val="00B84954"/>
    <w:rsid w:val="00B86817"/>
    <w:rsid w:val="00B910D4"/>
    <w:rsid w:val="00B930F6"/>
    <w:rsid w:val="00B9695E"/>
    <w:rsid w:val="00BA24B7"/>
    <w:rsid w:val="00BA28DA"/>
    <w:rsid w:val="00BA2D7B"/>
    <w:rsid w:val="00BA367D"/>
    <w:rsid w:val="00BA3A92"/>
    <w:rsid w:val="00BA3B06"/>
    <w:rsid w:val="00BA51BB"/>
    <w:rsid w:val="00BA6846"/>
    <w:rsid w:val="00BA7F91"/>
    <w:rsid w:val="00BB0431"/>
    <w:rsid w:val="00BB2E91"/>
    <w:rsid w:val="00BB30B6"/>
    <w:rsid w:val="00BB6054"/>
    <w:rsid w:val="00BB7BF6"/>
    <w:rsid w:val="00BC198A"/>
    <w:rsid w:val="00BC358E"/>
    <w:rsid w:val="00BC3B20"/>
    <w:rsid w:val="00BC79D9"/>
    <w:rsid w:val="00BD4B6C"/>
    <w:rsid w:val="00BD61CD"/>
    <w:rsid w:val="00BD650C"/>
    <w:rsid w:val="00BE003F"/>
    <w:rsid w:val="00BE11B3"/>
    <w:rsid w:val="00BE2826"/>
    <w:rsid w:val="00BE7914"/>
    <w:rsid w:val="00BF1C24"/>
    <w:rsid w:val="00BF2B1E"/>
    <w:rsid w:val="00BF4959"/>
    <w:rsid w:val="00BF513E"/>
    <w:rsid w:val="00BF565D"/>
    <w:rsid w:val="00BF73AE"/>
    <w:rsid w:val="00C0458D"/>
    <w:rsid w:val="00C05DC8"/>
    <w:rsid w:val="00C06D99"/>
    <w:rsid w:val="00C070AD"/>
    <w:rsid w:val="00C113E5"/>
    <w:rsid w:val="00C11FA5"/>
    <w:rsid w:val="00C14A50"/>
    <w:rsid w:val="00C1556C"/>
    <w:rsid w:val="00C23440"/>
    <w:rsid w:val="00C23956"/>
    <w:rsid w:val="00C269DF"/>
    <w:rsid w:val="00C27E91"/>
    <w:rsid w:val="00C40024"/>
    <w:rsid w:val="00C408B9"/>
    <w:rsid w:val="00C43752"/>
    <w:rsid w:val="00C43D04"/>
    <w:rsid w:val="00C4446A"/>
    <w:rsid w:val="00C5131B"/>
    <w:rsid w:val="00C5207E"/>
    <w:rsid w:val="00C551CB"/>
    <w:rsid w:val="00C70ACE"/>
    <w:rsid w:val="00C74A44"/>
    <w:rsid w:val="00C76CCE"/>
    <w:rsid w:val="00C860E5"/>
    <w:rsid w:val="00C86C5A"/>
    <w:rsid w:val="00C90A99"/>
    <w:rsid w:val="00C9649F"/>
    <w:rsid w:val="00CA1734"/>
    <w:rsid w:val="00CA1A01"/>
    <w:rsid w:val="00CA46D4"/>
    <w:rsid w:val="00CA5DEC"/>
    <w:rsid w:val="00CA76B1"/>
    <w:rsid w:val="00CB1624"/>
    <w:rsid w:val="00CB6021"/>
    <w:rsid w:val="00CB6569"/>
    <w:rsid w:val="00CC1459"/>
    <w:rsid w:val="00CC21A8"/>
    <w:rsid w:val="00CC3A1B"/>
    <w:rsid w:val="00CC55E9"/>
    <w:rsid w:val="00CC6996"/>
    <w:rsid w:val="00CC6B7E"/>
    <w:rsid w:val="00CD0ACA"/>
    <w:rsid w:val="00CD1CF2"/>
    <w:rsid w:val="00CD2173"/>
    <w:rsid w:val="00CE10DD"/>
    <w:rsid w:val="00CE26CA"/>
    <w:rsid w:val="00CE3F65"/>
    <w:rsid w:val="00CE5243"/>
    <w:rsid w:val="00CF5A47"/>
    <w:rsid w:val="00D026CB"/>
    <w:rsid w:val="00D052E5"/>
    <w:rsid w:val="00D07F64"/>
    <w:rsid w:val="00D11A99"/>
    <w:rsid w:val="00D16DE1"/>
    <w:rsid w:val="00D20BCD"/>
    <w:rsid w:val="00D21D89"/>
    <w:rsid w:val="00D2237D"/>
    <w:rsid w:val="00D255A3"/>
    <w:rsid w:val="00D25D21"/>
    <w:rsid w:val="00D26019"/>
    <w:rsid w:val="00D313A7"/>
    <w:rsid w:val="00D31DF0"/>
    <w:rsid w:val="00D3237D"/>
    <w:rsid w:val="00D3381E"/>
    <w:rsid w:val="00D3678C"/>
    <w:rsid w:val="00D37118"/>
    <w:rsid w:val="00D41C97"/>
    <w:rsid w:val="00D42C1B"/>
    <w:rsid w:val="00D4609F"/>
    <w:rsid w:val="00D603CA"/>
    <w:rsid w:val="00D610B7"/>
    <w:rsid w:val="00D61696"/>
    <w:rsid w:val="00D61972"/>
    <w:rsid w:val="00D63B17"/>
    <w:rsid w:val="00D63FA9"/>
    <w:rsid w:val="00D666C4"/>
    <w:rsid w:val="00D718D8"/>
    <w:rsid w:val="00D74710"/>
    <w:rsid w:val="00D74A07"/>
    <w:rsid w:val="00D75611"/>
    <w:rsid w:val="00D7742D"/>
    <w:rsid w:val="00D77ACE"/>
    <w:rsid w:val="00D81C90"/>
    <w:rsid w:val="00D8268E"/>
    <w:rsid w:val="00D8414F"/>
    <w:rsid w:val="00D876EC"/>
    <w:rsid w:val="00D90984"/>
    <w:rsid w:val="00D91E64"/>
    <w:rsid w:val="00D95F01"/>
    <w:rsid w:val="00D9750F"/>
    <w:rsid w:val="00DA1A4B"/>
    <w:rsid w:val="00DA1F31"/>
    <w:rsid w:val="00DB062A"/>
    <w:rsid w:val="00DB7CEC"/>
    <w:rsid w:val="00DC002B"/>
    <w:rsid w:val="00DC3429"/>
    <w:rsid w:val="00DC3A98"/>
    <w:rsid w:val="00DD340C"/>
    <w:rsid w:val="00DE1CE8"/>
    <w:rsid w:val="00DE1DCF"/>
    <w:rsid w:val="00DE4FA6"/>
    <w:rsid w:val="00DF2113"/>
    <w:rsid w:val="00DF25DC"/>
    <w:rsid w:val="00DF551F"/>
    <w:rsid w:val="00DF6E9D"/>
    <w:rsid w:val="00E00A65"/>
    <w:rsid w:val="00E0158D"/>
    <w:rsid w:val="00E07BA0"/>
    <w:rsid w:val="00E10776"/>
    <w:rsid w:val="00E10CE6"/>
    <w:rsid w:val="00E11EF8"/>
    <w:rsid w:val="00E1698B"/>
    <w:rsid w:val="00E16BB2"/>
    <w:rsid w:val="00E20D18"/>
    <w:rsid w:val="00E215CF"/>
    <w:rsid w:val="00E237C2"/>
    <w:rsid w:val="00E26482"/>
    <w:rsid w:val="00E32A90"/>
    <w:rsid w:val="00E32B27"/>
    <w:rsid w:val="00E32CD2"/>
    <w:rsid w:val="00E3383E"/>
    <w:rsid w:val="00E33FFF"/>
    <w:rsid w:val="00E343C5"/>
    <w:rsid w:val="00E34BF9"/>
    <w:rsid w:val="00E40977"/>
    <w:rsid w:val="00E42E25"/>
    <w:rsid w:val="00E46240"/>
    <w:rsid w:val="00E47BA3"/>
    <w:rsid w:val="00E51D46"/>
    <w:rsid w:val="00E51DAB"/>
    <w:rsid w:val="00E53F22"/>
    <w:rsid w:val="00E5626C"/>
    <w:rsid w:val="00E57CF4"/>
    <w:rsid w:val="00E621E4"/>
    <w:rsid w:val="00E73809"/>
    <w:rsid w:val="00E75DBD"/>
    <w:rsid w:val="00E76304"/>
    <w:rsid w:val="00E76700"/>
    <w:rsid w:val="00E8137C"/>
    <w:rsid w:val="00E81622"/>
    <w:rsid w:val="00E82417"/>
    <w:rsid w:val="00E90A1B"/>
    <w:rsid w:val="00E90C8D"/>
    <w:rsid w:val="00E94036"/>
    <w:rsid w:val="00EA42E4"/>
    <w:rsid w:val="00EA78B1"/>
    <w:rsid w:val="00EA791F"/>
    <w:rsid w:val="00EA7DCD"/>
    <w:rsid w:val="00EB2078"/>
    <w:rsid w:val="00EB3B59"/>
    <w:rsid w:val="00EB63F6"/>
    <w:rsid w:val="00EB6E14"/>
    <w:rsid w:val="00EB7B70"/>
    <w:rsid w:val="00EC04FA"/>
    <w:rsid w:val="00EC3EDA"/>
    <w:rsid w:val="00EC4877"/>
    <w:rsid w:val="00EC4C02"/>
    <w:rsid w:val="00EC76E1"/>
    <w:rsid w:val="00ED00FB"/>
    <w:rsid w:val="00ED2550"/>
    <w:rsid w:val="00ED5817"/>
    <w:rsid w:val="00ED764C"/>
    <w:rsid w:val="00EE49E1"/>
    <w:rsid w:val="00EE4D90"/>
    <w:rsid w:val="00EE4E2E"/>
    <w:rsid w:val="00EE6CCD"/>
    <w:rsid w:val="00EF02F1"/>
    <w:rsid w:val="00EF09B8"/>
    <w:rsid w:val="00EF4783"/>
    <w:rsid w:val="00EF4ECF"/>
    <w:rsid w:val="00EF78E8"/>
    <w:rsid w:val="00EF7925"/>
    <w:rsid w:val="00F00F93"/>
    <w:rsid w:val="00F02CD0"/>
    <w:rsid w:val="00F0620D"/>
    <w:rsid w:val="00F07712"/>
    <w:rsid w:val="00F145A2"/>
    <w:rsid w:val="00F14724"/>
    <w:rsid w:val="00F14A9D"/>
    <w:rsid w:val="00F17350"/>
    <w:rsid w:val="00F2424B"/>
    <w:rsid w:val="00F2613B"/>
    <w:rsid w:val="00F33ECC"/>
    <w:rsid w:val="00F347F1"/>
    <w:rsid w:val="00F368EA"/>
    <w:rsid w:val="00F375AE"/>
    <w:rsid w:val="00F37D5E"/>
    <w:rsid w:val="00F37EE7"/>
    <w:rsid w:val="00F5018A"/>
    <w:rsid w:val="00F512AE"/>
    <w:rsid w:val="00F53006"/>
    <w:rsid w:val="00F54B0F"/>
    <w:rsid w:val="00F65533"/>
    <w:rsid w:val="00F77403"/>
    <w:rsid w:val="00F80DD6"/>
    <w:rsid w:val="00F81C5F"/>
    <w:rsid w:val="00F8232E"/>
    <w:rsid w:val="00F855A2"/>
    <w:rsid w:val="00F91975"/>
    <w:rsid w:val="00F91F7A"/>
    <w:rsid w:val="00F9316D"/>
    <w:rsid w:val="00F967F5"/>
    <w:rsid w:val="00F96F57"/>
    <w:rsid w:val="00FA6974"/>
    <w:rsid w:val="00FA72F7"/>
    <w:rsid w:val="00FB086A"/>
    <w:rsid w:val="00FB0E02"/>
    <w:rsid w:val="00FB41F7"/>
    <w:rsid w:val="00FB42E5"/>
    <w:rsid w:val="00FC0221"/>
    <w:rsid w:val="00FC1384"/>
    <w:rsid w:val="00FC14FC"/>
    <w:rsid w:val="00FC5E8C"/>
    <w:rsid w:val="00FC63E5"/>
    <w:rsid w:val="00FC7A7E"/>
    <w:rsid w:val="00FD03AF"/>
    <w:rsid w:val="00FD0E6D"/>
    <w:rsid w:val="00FD546C"/>
    <w:rsid w:val="00FE6DB7"/>
    <w:rsid w:val="00FF3A58"/>
    <w:rsid w:val="00FF5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0DC3C9"/>
  <w15:chartTrackingRefBased/>
  <w15:docId w15:val="{7EBDAC31-03DF-44E0-820E-785AB100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C1"/>
    <w:rPr>
      <w:spacing w:val="-3"/>
      <w:sz w:val="24"/>
    </w:rPr>
  </w:style>
  <w:style w:type="paragraph" w:styleId="Heading1">
    <w:name w:val="heading 1"/>
    <w:basedOn w:val="Normal"/>
    <w:next w:val="Normal2"/>
    <w:link w:val="Heading1Char"/>
    <w:autoRedefine/>
    <w:qFormat/>
    <w:rsid w:val="00E47BA3"/>
    <w:pPr>
      <w:keepNext/>
      <w:widowControl w:val="0"/>
      <w:autoSpaceDE w:val="0"/>
      <w:autoSpaceDN w:val="0"/>
      <w:adjustRightInd w:val="0"/>
      <w:spacing w:before="240" w:after="240"/>
      <w:jc w:val="both"/>
      <w:outlineLvl w:val="0"/>
    </w:pPr>
    <w:rPr>
      <w:rFonts w:cs="Arial"/>
      <w:b/>
      <w:bCs/>
      <w:kern w:val="32"/>
      <w:szCs w:val="32"/>
    </w:rPr>
  </w:style>
  <w:style w:type="paragraph" w:styleId="Heading2">
    <w:name w:val="heading 2"/>
    <w:basedOn w:val="Normal"/>
    <w:next w:val="Normal2"/>
    <w:link w:val="Heading2Char"/>
    <w:autoRedefine/>
    <w:qFormat/>
    <w:rsid w:val="000F0219"/>
    <w:pPr>
      <w:keepNext/>
      <w:widowControl w:val="0"/>
      <w:autoSpaceDE w:val="0"/>
      <w:autoSpaceDN w:val="0"/>
      <w:adjustRightInd w:val="0"/>
      <w:spacing w:before="240" w:after="480"/>
      <w:ind w:left="726"/>
      <w:jc w:val="both"/>
      <w:outlineLvl w:val="1"/>
    </w:pPr>
    <w:rPr>
      <w:rFonts w:cs="Arial"/>
      <w:b/>
      <w:bCs/>
      <w:i/>
      <w:iCs/>
      <w:szCs w:val="28"/>
    </w:rPr>
  </w:style>
  <w:style w:type="paragraph" w:styleId="Heading3">
    <w:name w:val="heading 3"/>
    <w:basedOn w:val="Normal"/>
    <w:next w:val="Normal2"/>
    <w:link w:val="Heading3Char"/>
    <w:autoRedefine/>
    <w:qFormat/>
    <w:rsid w:val="004E2308"/>
    <w:pPr>
      <w:keepNext/>
      <w:spacing w:before="240" w:after="240"/>
      <w:ind w:left="1440"/>
      <w:outlineLvl w:val="2"/>
    </w:pPr>
    <w:rPr>
      <w:b/>
    </w:rPr>
  </w:style>
  <w:style w:type="paragraph" w:styleId="Heading4">
    <w:name w:val="heading 4"/>
    <w:basedOn w:val="Normal"/>
    <w:next w:val="Normal2"/>
    <w:link w:val="Heading4Char"/>
    <w:autoRedefine/>
    <w:qFormat/>
    <w:rsid w:val="005A15E5"/>
    <w:pPr>
      <w:keepNext/>
      <w:spacing w:before="120" w:after="120"/>
      <w:ind w:left="2126"/>
      <w:outlineLvl w:val="3"/>
    </w:pPr>
    <w:rPr>
      <w:rFonts w:asciiTheme="minorHAnsi" w:hAnsiTheme="minorHAnsi" w:cstheme="minorBidi"/>
      <w:b/>
      <w:i/>
      <w:szCs w:val="22"/>
    </w:rPr>
  </w:style>
  <w:style w:type="paragraph" w:styleId="Heading5">
    <w:name w:val="heading 5"/>
    <w:basedOn w:val="Normal"/>
    <w:next w:val="Normal"/>
    <w:link w:val="Heading5Char"/>
    <w:qFormat/>
    <w:rsid w:val="004E2308"/>
    <w:pPr>
      <w:numPr>
        <w:ilvl w:val="4"/>
        <w:numId w:val="6"/>
      </w:num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qFormat/>
    <w:rsid w:val="004E2308"/>
    <w:pPr>
      <w:spacing w:before="120" w:after="120"/>
      <w:jc w:val="both"/>
    </w:pPr>
  </w:style>
  <w:style w:type="paragraph" w:customStyle="1" w:styleId="Consult">
    <w:name w:val="Consult"/>
    <w:basedOn w:val="Normal2"/>
    <w:next w:val="Normal2"/>
    <w:rsid w:val="004E2308"/>
    <w:pPr>
      <w:ind w:left="720" w:hanging="720"/>
    </w:pPr>
    <w:rPr>
      <w:rFonts w:ascii="Arial" w:hAnsi="Arial"/>
    </w:rPr>
  </w:style>
  <w:style w:type="paragraph" w:customStyle="1" w:styleId="Consult2">
    <w:name w:val="Consult2"/>
    <w:basedOn w:val="Consult"/>
    <w:next w:val="Normal2"/>
    <w:autoRedefine/>
    <w:rsid w:val="004E2308"/>
    <w:pPr>
      <w:ind w:firstLine="0"/>
    </w:pPr>
    <w:rPr>
      <w:sz w:val="20"/>
    </w:rPr>
  </w:style>
  <w:style w:type="paragraph" w:styleId="Footer">
    <w:name w:val="footer"/>
    <w:basedOn w:val="Normal"/>
    <w:link w:val="FooterChar"/>
    <w:uiPriority w:val="99"/>
    <w:rsid w:val="004E2308"/>
    <w:pPr>
      <w:tabs>
        <w:tab w:val="center" w:pos="4320"/>
        <w:tab w:val="right" w:pos="8640"/>
      </w:tabs>
    </w:pPr>
  </w:style>
  <w:style w:type="character" w:customStyle="1" w:styleId="FooterChar">
    <w:name w:val="Footer Char"/>
    <w:basedOn w:val="DefaultParagraphFont"/>
    <w:link w:val="Footer"/>
    <w:uiPriority w:val="99"/>
    <w:rsid w:val="002C5BC8"/>
    <w:rPr>
      <w:rFonts w:ascii="Times New Roman" w:hAnsi="Times New Roman" w:cs="Times New Roman"/>
      <w:sz w:val="24"/>
      <w:szCs w:val="20"/>
      <w:lang w:eastAsia="en-GB"/>
    </w:rPr>
  </w:style>
  <w:style w:type="paragraph" w:styleId="Header">
    <w:name w:val="header"/>
    <w:basedOn w:val="Normal"/>
    <w:link w:val="HeaderChar"/>
    <w:rsid w:val="004E2308"/>
    <w:pPr>
      <w:tabs>
        <w:tab w:val="center" w:pos="4320"/>
        <w:tab w:val="right" w:pos="8640"/>
      </w:tabs>
    </w:pPr>
  </w:style>
  <w:style w:type="character" w:customStyle="1" w:styleId="HeaderChar">
    <w:name w:val="Header Char"/>
    <w:basedOn w:val="DefaultParagraphFont"/>
    <w:link w:val="Header"/>
    <w:rsid w:val="002C5BC8"/>
    <w:rPr>
      <w:rFonts w:ascii="Times New Roman" w:hAnsi="Times New Roman" w:cs="Times New Roman"/>
      <w:sz w:val="24"/>
      <w:szCs w:val="20"/>
      <w:lang w:eastAsia="en-GB"/>
    </w:rPr>
  </w:style>
  <w:style w:type="character" w:customStyle="1" w:styleId="Heading1Char">
    <w:name w:val="Heading 1 Char"/>
    <w:basedOn w:val="DefaultParagraphFont"/>
    <w:link w:val="Heading1"/>
    <w:rsid w:val="00E47BA3"/>
    <w:rPr>
      <w:rFonts w:cs="Arial"/>
      <w:b/>
      <w:bCs/>
      <w:spacing w:val="-3"/>
      <w:kern w:val="32"/>
      <w:sz w:val="24"/>
      <w:szCs w:val="32"/>
    </w:rPr>
  </w:style>
  <w:style w:type="character" w:customStyle="1" w:styleId="Heading2Char">
    <w:name w:val="Heading 2 Char"/>
    <w:basedOn w:val="DefaultParagraphFont"/>
    <w:link w:val="Heading2"/>
    <w:rsid w:val="000F0219"/>
    <w:rPr>
      <w:rFonts w:cs="Arial"/>
      <w:b/>
      <w:bCs/>
      <w:i/>
      <w:iCs/>
      <w:spacing w:val="-3"/>
      <w:sz w:val="24"/>
      <w:szCs w:val="28"/>
    </w:rPr>
  </w:style>
  <w:style w:type="character" w:customStyle="1" w:styleId="Heading3Char">
    <w:name w:val="Heading 3 Char"/>
    <w:basedOn w:val="DefaultParagraphFont"/>
    <w:link w:val="Heading3"/>
    <w:rsid w:val="002C5BC8"/>
    <w:rPr>
      <w:rFonts w:ascii="Times New Roman" w:hAnsi="Times New Roman" w:cs="Times New Roman"/>
      <w:b/>
      <w:sz w:val="24"/>
      <w:szCs w:val="20"/>
      <w:lang w:eastAsia="en-GB"/>
    </w:rPr>
  </w:style>
  <w:style w:type="character" w:customStyle="1" w:styleId="Heading4Char">
    <w:name w:val="Heading 4 Char"/>
    <w:basedOn w:val="DefaultParagraphFont"/>
    <w:link w:val="Heading4"/>
    <w:rsid w:val="005A15E5"/>
    <w:rPr>
      <w:b/>
      <w:i/>
      <w:sz w:val="24"/>
    </w:rPr>
  </w:style>
  <w:style w:type="character" w:customStyle="1" w:styleId="Heading5Char">
    <w:name w:val="Heading 5 Char"/>
    <w:basedOn w:val="DefaultParagraphFont"/>
    <w:link w:val="Heading5"/>
    <w:rsid w:val="002C5BC8"/>
    <w:rPr>
      <w:rFonts w:ascii="Arial" w:hAnsi="Arial" w:cs="Times New Roman"/>
      <w:szCs w:val="20"/>
      <w:lang w:eastAsia="en-GB"/>
    </w:rPr>
  </w:style>
  <w:style w:type="paragraph" w:customStyle="1" w:styleId="Norm18space">
    <w:name w:val="Norm+18space"/>
    <w:basedOn w:val="Normal"/>
    <w:next w:val="Normal"/>
    <w:rsid w:val="004E2308"/>
    <w:pPr>
      <w:ind w:left="720" w:hanging="720"/>
    </w:pPr>
  </w:style>
  <w:style w:type="paragraph" w:customStyle="1" w:styleId="NormalBk">
    <w:name w:val="Normal_Bk"/>
    <w:basedOn w:val="Normal"/>
    <w:rsid w:val="004E2308"/>
    <w:rPr>
      <w:rFonts w:ascii="Book Antiqua" w:hAnsi="Book Antiqua"/>
    </w:rPr>
  </w:style>
  <w:style w:type="paragraph" w:customStyle="1" w:styleId="NormQuote">
    <w:name w:val="NormQuote"/>
    <w:basedOn w:val="Normal2"/>
    <w:next w:val="Normal2"/>
    <w:autoRedefine/>
    <w:qFormat/>
    <w:rsid w:val="00EF02F1"/>
    <w:pPr>
      <w:spacing w:after="240"/>
      <w:ind w:left="720"/>
    </w:pPr>
    <w:rPr>
      <w:szCs w:val="24"/>
    </w:rPr>
  </w:style>
  <w:style w:type="paragraph" w:customStyle="1" w:styleId="ORDNOQUO">
    <w:name w:val="ORD_NO_QUO"/>
    <w:basedOn w:val="Normal"/>
    <w:rsid w:val="004E2308"/>
    <w:pPr>
      <w:tabs>
        <w:tab w:val="left" w:pos="1440"/>
        <w:tab w:val="left" w:pos="2160"/>
        <w:tab w:val="left" w:pos="2880"/>
        <w:tab w:val="left" w:pos="3600"/>
        <w:tab w:val="left" w:pos="4320"/>
        <w:tab w:val="left" w:pos="5040"/>
        <w:tab w:val="left" w:pos="5760"/>
        <w:tab w:val="left" w:pos="6480"/>
        <w:tab w:val="left" w:pos="7200"/>
        <w:tab w:val="left" w:pos="7920"/>
        <w:tab w:val="right" w:pos="9029"/>
      </w:tabs>
      <w:spacing w:before="120"/>
      <w:ind w:left="1440" w:right="576"/>
      <w:jc w:val="both"/>
    </w:pPr>
  </w:style>
  <w:style w:type="paragraph" w:customStyle="1" w:styleId="ORDINNOSPACE">
    <w:name w:val="ORDIN_NO SPACE"/>
    <w:basedOn w:val="Normal"/>
    <w:rsid w:val="004E230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spacing w:line="480" w:lineRule="auto"/>
      <w:jc w:val="both"/>
    </w:pPr>
  </w:style>
  <w:style w:type="paragraph" w:customStyle="1" w:styleId="ORDINARY">
    <w:name w:val="ORDINARY"/>
    <w:basedOn w:val="Normal"/>
    <w:rsid w:val="004E2308"/>
    <w:pPr>
      <w:tabs>
        <w:tab w:val="left" w:pos="1440"/>
        <w:tab w:val="left" w:pos="2160"/>
        <w:tab w:val="left" w:pos="2880"/>
        <w:tab w:val="left" w:pos="3600"/>
        <w:tab w:val="left" w:pos="4320"/>
        <w:tab w:val="left" w:pos="5040"/>
        <w:tab w:val="left" w:pos="5760"/>
        <w:tab w:val="left" w:pos="6480"/>
        <w:tab w:val="left" w:pos="7200"/>
        <w:tab w:val="left" w:pos="7920"/>
        <w:tab w:val="right" w:pos="9029"/>
      </w:tabs>
      <w:spacing w:before="120" w:after="120" w:line="480" w:lineRule="auto"/>
      <w:jc w:val="both"/>
    </w:pPr>
  </w:style>
  <w:style w:type="paragraph" w:styleId="Title">
    <w:name w:val="Title"/>
    <w:basedOn w:val="Normal"/>
    <w:link w:val="TitleChar"/>
    <w:qFormat/>
    <w:rsid w:val="004E2308"/>
    <w:pPr>
      <w:spacing w:before="180" w:after="180"/>
      <w:jc w:val="center"/>
    </w:pPr>
    <w:rPr>
      <w:rFonts w:ascii="Arial" w:hAnsi="Arial"/>
      <w:b/>
      <w:kern w:val="28"/>
      <w:sz w:val="32"/>
      <w:u w:val="single"/>
    </w:rPr>
  </w:style>
  <w:style w:type="character" w:customStyle="1" w:styleId="TitleChar">
    <w:name w:val="Title Char"/>
    <w:basedOn w:val="DefaultParagraphFont"/>
    <w:link w:val="Title"/>
    <w:rsid w:val="002C5BC8"/>
    <w:rPr>
      <w:rFonts w:ascii="Arial" w:hAnsi="Arial" w:cs="Times New Roman"/>
      <w:b/>
      <w:kern w:val="28"/>
      <w:sz w:val="32"/>
      <w:szCs w:val="20"/>
      <w:u w:val="single"/>
      <w:lang w:eastAsia="en-GB"/>
    </w:rPr>
  </w:style>
  <w:style w:type="paragraph" w:customStyle="1" w:styleId="Title1">
    <w:name w:val="Title1"/>
    <w:basedOn w:val="Normal"/>
    <w:next w:val="Normal"/>
    <w:rsid w:val="004E2308"/>
    <w:pPr>
      <w:tabs>
        <w:tab w:val="right" w:pos="9029"/>
      </w:tabs>
    </w:pPr>
  </w:style>
  <w:style w:type="paragraph" w:styleId="BalloonText">
    <w:name w:val="Balloon Text"/>
    <w:basedOn w:val="Normal"/>
    <w:link w:val="BalloonTextChar"/>
    <w:rsid w:val="004E2308"/>
    <w:rPr>
      <w:rFonts w:ascii="Segoe UI" w:hAnsi="Segoe UI" w:cs="Segoe UI"/>
      <w:sz w:val="18"/>
      <w:szCs w:val="18"/>
    </w:rPr>
  </w:style>
  <w:style w:type="character" w:customStyle="1" w:styleId="BalloonTextChar">
    <w:name w:val="Balloon Text Char"/>
    <w:basedOn w:val="DefaultParagraphFont"/>
    <w:link w:val="BalloonText"/>
    <w:rsid w:val="004E2308"/>
    <w:rPr>
      <w:rFonts w:ascii="Segoe UI" w:hAnsi="Segoe UI" w:cs="Segoe UI"/>
      <w:sz w:val="18"/>
      <w:szCs w:val="18"/>
      <w:lang w:eastAsia="en-GB"/>
    </w:rPr>
  </w:style>
  <w:style w:type="paragraph" w:customStyle="1" w:styleId="CoverDesc">
    <w:name w:val="CoverDesc"/>
    <w:basedOn w:val="Normal"/>
    <w:rsid w:val="004E2308"/>
    <w:pPr>
      <w:jc w:val="center"/>
    </w:pPr>
    <w:rPr>
      <w:b/>
      <w:sz w:val="36"/>
    </w:rPr>
  </w:style>
  <w:style w:type="paragraph" w:customStyle="1" w:styleId="CoverMain">
    <w:name w:val="CoverMain"/>
    <w:basedOn w:val="Normal"/>
    <w:rsid w:val="004E23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u w:val="single"/>
    </w:rPr>
  </w:style>
  <w:style w:type="paragraph" w:customStyle="1" w:styleId="CoverText">
    <w:name w:val="CoverText"/>
    <w:basedOn w:val="Normal"/>
    <w:rsid w:val="004E2308"/>
    <w:pPr>
      <w:jc w:val="right"/>
    </w:pPr>
    <w:rPr>
      <w:u w:val="single"/>
    </w:rPr>
  </w:style>
  <w:style w:type="paragraph" w:customStyle="1" w:styleId="eMailBlock">
    <w:name w:val="eMailBlock"/>
    <w:basedOn w:val="Title"/>
    <w:rsid w:val="004E2308"/>
    <w:rPr>
      <w:sz w:val="26"/>
    </w:rPr>
  </w:style>
  <w:style w:type="character" w:styleId="FootnoteReference">
    <w:name w:val="footnote reference"/>
    <w:basedOn w:val="DefaultParagraphFont"/>
    <w:rsid w:val="004E2308"/>
    <w:rPr>
      <w:vertAlign w:val="superscript"/>
    </w:rPr>
  </w:style>
  <w:style w:type="paragraph" w:styleId="FootnoteText">
    <w:name w:val="footnote text"/>
    <w:basedOn w:val="Normal"/>
    <w:link w:val="FootnoteTextChar"/>
    <w:rsid w:val="004E2308"/>
    <w:rPr>
      <w:sz w:val="20"/>
    </w:rPr>
  </w:style>
  <w:style w:type="character" w:customStyle="1" w:styleId="FootnoteTextChar">
    <w:name w:val="Footnote Text Char"/>
    <w:basedOn w:val="DefaultParagraphFont"/>
    <w:link w:val="FootnoteText"/>
    <w:rsid w:val="004E2308"/>
    <w:rPr>
      <w:rFonts w:ascii="Times New Roman" w:hAnsi="Times New Roman" w:cs="Times New Roman"/>
      <w:sz w:val="20"/>
      <w:szCs w:val="20"/>
      <w:lang w:eastAsia="en-GB"/>
    </w:rPr>
  </w:style>
  <w:style w:type="paragraph" w:customStyle="1" w:styleId="Heading">
    <w:name w:val="Heading"/>
    <w:basedOn w:val="Normal"/>
    <w:next w:val="Heading1"/>
    <w:rsid w:val="004E2308"/>
    <w:pPr>
      <w:keepNext/>
      <w:spacing w:before="240" w:after="240" w:line="480" w:lineRule="auto"/>
    </w:pPr>
  </w:style>
  <w:style w:type="character" w:styleId="Hyperlink">
    <w:name w:val="Hyperlink"/>
    <w:rsid w:val="004E2308"/>
    <w:rPr>
      <w:color w:val="0000FF"/>
      <w:u w:val="single"/>
    </w:rPr>
  </w:style>
  <w:style w:type="paragraph" w:styleId="ListParagraph">
    <w:name w:val="List Paragraph"/>
    <w:basedOn w:val="Normal"/>
    <w:uiPriority w:val="34"/>
    <w:qFormat/>
    <w:rsid w:val="004E2308"/>
    <w:pPr>
      <w:ind w:left="720"/>
      <w:contextualSpacing/>
    </w:pPr>
  </w:style>
  <w:style w:type="paragraph" w:customStyle="1" w:styleId="ParaHeading">
    <w:name w:val="ParaHeading"/>
    <w:basedOn w:val="Normal"/>
    <w:next w:val="Normal"/>
    <w:rsid w:val="004E2308"/>
    <w:pPr>
      <w:keepNext/>
      <w:spacing w:before="240" w:after="240"/>
    </w:pPr>
  </w:style>
  <w:style w:type="paragraph" w:customStyle="1" w:styleId="ParaLevel1">
    <w:name w:val="ParaLevel1"/>
    <w:basedOn w:val="Normal"/>
    <w:rsid w:val="004E2308"/>
    <w:pPr>
      <w:numPr>
        <w:numId w:val="15"/>
      </w:numPr>
      <w:suppressAutoHyphens/>
      <w:spacing w:before="240" w:after="240"/>
      <w:jc w:val="both"/>
      <w:outlineLvl w:val="0"/>
    </w:pPr>
  </w:style>
  <w:style w:type="paragraph" w:customStyle="1" w:styleId="ParaLevel2">
    <w:name w:val="ParaLevel2"/>
    <w:basedOn w:val="Normal"/>
    <w:rsid w:val="004E2308"/>
    <w:pPr>
      <w:numPr>
        <w:ilvl w:val="1"/>
        <w:numId w:val="15"/>
      </w:numPr>
      <w:suppressAutoHyphens/>
      <w:spacing w:before="240" w:after="240"/>
      <w:jc w:val="both"/>
      <w:outlineLvl w:val="1"/>
    </w:pPr>
  </w:style>
  <w:style w:type="paragraph" w:customStyle="1" w:styleId="ParaLevel3">
    <w:name w:val="ParaLevel3"/>
    <w:basedOn w:val="Normal"/>
    <w:rsid w:val="004E2308"/>
    <w:pPr>
      <w:numPr>
        <w:ilvl w:val="2"/>
        <w:numId w:val="15"/>
      </w:numPr>
      <w:suppressAutoHyphens/>
      <w:spacing w:before="240" w:after="240"/>
      <w:jc w:val="both"/>
      <w:outlineLvl w:val="2"/>
    </w:pPr>
  </w:style>
  <w:style w:type="paragraph" w:customStyle="1" w:styleId="ParaLevel4">
    <w:name w:val="ParaLevel4"/>
    <w:basedOn w:val="Normal"/>
    <w:rsid w:val="004E2308"/>
    <w:pPr>
      <w:numPr>
        <w:ilvl w:val="3"/>
        <w:numId w:val="15"/>
      </w:numPr>
      <w:suppressAutoHyphens/>
      <w:spacing w:before="240" w:after="240"/>
      <w:jc w:val="both"/>
      <w:outlineLvl w:val="3"/>
    </w:pPr>
  </w:style>
  <w:style w:type="paragraph" w:customStyle="1" w:styleId="ParaLevel5">
    <w:name w:val="ParaLevel5"/>
    <w:basedOn w:val="Normal"/>
    <w:rsid w:val="004E2308"/>
    <w:pPr>
      <w:numPr>
        <w:ilvl w:val="4"/>
        <w:numId w:val="15"/>
      </w:numPr>
      <w:suppressAutoHyphens/>
      <w:spacing w:before="240" w:after="240"/>
      <w:jc w:val="both"/>
      <w:outlineLvl w:val="4"/>
    </w:pPr>
  </w:style>
  <w:style w:type="paragraph" w:customStyle="1" w:styleId="ParaLevel6">
    <w:name w:val="ParaLevel6"/>
    <w:basedOn w:val="Normal"/>
    <w:rsid w:val="004E2308"/>
    <w:pPr>
      <w:numPr>
        <w:ilvl w:val="5"/>
        <w:numId w:val="15"/>
      </w:numPr>
      <w:suppressAutoHyphens/>
      <w:spacing w:before="240" w:after="240"/>
      <w:jc w:val="both"/>
      <w:outlineLvl w:val="5"/>
    </w:pPr>
  </w:style>
  <w:style w:type="paragraph" w:customStyle="1" w:styleId="ParaLevel7">
    <w:name w:val="ParaLevel7"/>
    <w:basedOn w:val="Normal"/>
    <w:rsid w:val="004E2308"/>
    <w:pPr>
      <w:numPr>
        <w:ilvl w:val="6"/>
        <w:numId w:val="15"/>
      </w:numPr>
      <w:suppressAutoHyphens/>
      <w:spacing w:before="240" w:after="240"/>
      <w:jc w:val="both"/>
      <w:outlineLvl w:val="6"/>
    </w:pPr>
  </w:style>
  <w:style w:type="paragraph" w:customStyle="1" w:styleId="ParaLevel8">
    <w:name w:val="ParaLevel8"/>
    <w:basedOn w:val="Normal"/>
    <w:rsid w:val="004E2308"/>
    <w:pPr>
      <w:numPr>
        <w:ilvl w:val="7"/>
        <w:numId w:val="15"/>
      </w:numPr>
      <w:suppressAutoHyphens/>
      <w:spacing w:before="240" w:after="240"/>
      <w:jc w:val="both"/>
      <w:outlineLvl w:val="7"/>
    </w:pPr>
  </w:style>
  <w:style w:type="paragraph" w:customStyle="1" w:styleId="ParaLevel9">
    <w:name w:val="ParaLevel9"/>
    <w:basedOn w:val="Normal"/>
    <w:rsid w:val="004E2308"/>
    <w:pPr>
      <w:numPr>
        <w:ilvl w:val="8"/>
        <w:numId w:val="15"/>
      </w:numPr>
      <w:suppressAutoHyphens/>
      <w:spacing w:before="240" w:after="240"/>
      <w:jc w:val="both"/>
      <w:outlineLvl w:val="8"/>
    </w:pPr>
  </w:style>
  <w:style w:type="paragraph" w:customStyle="1" w:styleId="ParaNoNumber">
    <w:name w:val="ParaNoNumber"/>
    <w:basedOn w:val="Normal"/>
    <w:next w:val="ParaLevel1"/>
    <w:rsid w:val="004E2308"/>
    <w:pPr>
      <w:spacing w:before="240" w:after="240"/>
      <w:jc w:val="both"/>
    </w:pPr>
  </w:style>
  <w:style w:type="paragraph" w:styleId="Quote">
    <w:name w:val="Quote"/>
    <w:basedOn w:val="Normal"/>
    <w:next w:val="ParaLevel1"/>
    <w:link w:val="QuoteChar"/>
    <w:uiPriority w:val="29"/>
    <w:qFormat/>
    <w:rsid w:val="004E2308"/>
    <w:pPr>
      <w:spacing w:after="240"/>
      <w:ind w:left="1440" w:right="1440"/>
      <w:jc w:val="both"/>
    </w:pPr>
  </w:style>
  <w:style w:type="character" w:customStyle="1" w:styleId="QuoteChar">
    <w:name w:val="Quote Char"/>
    <w:basedOn w:val="DefaultParagraphFont"/>
    <w:link w:val="Quote"/>
    <w:uiPriority w:val="29"/>
    <w:rsid w:val="004E2308"/>
    <w:rPr>
      <w:rFonts w:ascii="Times New Roman" w:hAnsi="Times New Roman" w:cs="Times New Roman"/>
      <w:sz w:val="24"/>
      <w:szCs w:val="20"/>
      <w:lang w:eastAsia="en-GB"/>
    </w:rPr>
  </w:style>
  <w:style w:type="table" w:styleId="TableGrid">
    <w:name w:val="Table Grid"/>
    <w:basedOn w:val="TableNormal"/>
    <w:rsid w:val="004E2308"/>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52AC1"/>
  </w:style>
  <w:style w:type="table" w:styleId="PlainTable3">
    <w:name w:val="Plain Table 3"/>
    <w:basedOn w:val="TableNormal"/>
    <w:uiPriority w:val="43"/>
    <w:rsid w:val="00752AC1"/>
    <w:rPr>
      <w:lang w:eastAsia="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243270"/>
    <w:pPr>
      <w:widowControl w:val="0"/>
      <w:autoSpaceDE w:val="0"/>
      <w:autoSpaceDN w:val="0"/>
    </w:pPr>
    <w:rPr>
      <w:rFonts w:ascii="Calibri" w:eastAsia="Calibri" w:hAnsi="Calibri" w:cs="Calibri"/>
      <w:spacing w:val="0"/>
      <w:sz w:val="22"/>
      <w:szCs w:val="22"/>
      <w:lang w:eastAsia="en-GB" w:bidi="en-GB"/>
    </w:rPr>
  </w:style>
  <w:style w:type="character" w:customStyle="1" w:styleId="BodyTextChar">
    <w:name w:val="Body Text Char"/>
    <w:basedOn w:val="DefaultParagraphFont"/>
    <w:link w:val="BodyText"/>
    <w:uiPriority w:val="1"/>
    <w:rsid w:val="00243270"/>
    <w:rPr>
      <w:rFonts w:ascii="Calibri" w:eastAsia="Calibri" w:hAnsi="Calibri" w:cs="Calibri"/>
      <w:sz w:val="22"/>
      <w:szCs w:val="22"/>
      <w:lang w:eastAsia="en-GB" w:bidi="en-GB"/>
    </w:rPr>
  </w:style>
  <w:style w:type="character" w:styleId="UnresolvedMention">
    <w:name w:val="Unresolved Mention"/>
    <w:basedOn w:val="DefaultParagraphFont"/>
    <w:uiPriority w:val="99"/>
    <w:semiHidden/>
    <w:unhideWhenUsed/>
    <w:rsid w:val="00EB63F6"/>
    <w:rPr>
      <w:color w:val="605E5C"/>
      <w:shd w:val="clear" w:color="auto" w:fill="E1DFDD"/>
    </w:rPr>
  </w:style>
  <w:style w:type="paragraph" w:customStyle="1" w:styleId="Default">
    <w:name w:val="Default"/>
    <w:rsid w:val="00A744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6577">
      <w:bodyDiv w:val="1"/>
      <w:marLeft w:val="0"/>
      <w:marRight w:val="0"/>
      <w:marTop w:val="0"/>
      <w:marBottom w:val="0"/>
      <w:divBdr>
        <w:top w:val="none" w:sz="0" w:space="0" w:color="auto"/>
        <w:left w:val="none" w:sz="0" w:space="0" w:color="auto"/>
        <w:bottom w:val="none" w:sz="0" w:space="0" w:color="auto"/>
        <w:right w:val="none" w:sz="0" w:space="0" w:color="auto"/>
      </w:divBdr>
    </w:div>
    <w:div w:id="1279069917">
      <w:bodyDiv w:val="1"/>
      <w:marLeft w:val="0"/>
      <w:marRight w:val="0"/>
      <w:marTop w:val="0"/>
      <w:marBottom w:val="0"/>
      <w:divBdr>
        <w:top w:val="none" w:sz="0" w:space="0" w:color="auto"/>
        <w:left w:val="none" w:sz="0" w:space="0" w:color="auto"/>
        <w:bottom w:val="none" w:sz="0" w:space="0" w:color="auto"/>
        <w:right w:val="none" w:sz="0" w:space="0" w:color="auto"/>
      </w:divBdr>
    </w:div>
    <w:div w:id="1641417899">
      <w:bodyDiv w:val="1"/>
      <w:marLeft w:val="0"/>
      <w:marRight w:val="0"/>
      <w:marTop w:val="0"/>
      <w:marBottom w:val="0"/>
      <w:divBdr>
        <w:top w:val="none" w:sz="0" w:space="0" w:color="auto"/>
        <w:left w:val="none" w:sz="0" w:space="0" w:color="auto"/>
        <w:bottom w:val="none" w:sz="0" w:space="0" w:color="auto"/>
        <w:right w:val="none" w:sz="0" w:space="0" w:color="auto"/>
      </w:divBdr>
    </w:div>
    <w:div w:id="17312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7286E4BBBDC4EBA12C42111CD2D65" ma:contentTypeVersion="11" ma:contentTypeDescription="Create a new document." ma:contentTypeScope="" ma:versionID="d1cc4dad6aa263840bcaac840c100ca4">
  <xsd:schema xmlns:xsd="http://www.w3.org/2001/XMLSchema" xmlns:xs="http://www.w3.org/2001/XMLSchema" xmlns:p="http://schemas.microsoft.com/office/2006/metadata/properties" xmlns:ns3="39b633de-8679-497d-82ac-99d9b608bae9" xmlns:ns4="4996b26b-7637-40b4-838c-f7b6072afddc" targetNamespace="http://schemas.microsoft.com/office/2006/metadata/properties" ma:root="true" ma:fieldsID="77168b53e2003ac15c1640dd996354b5" ns3:_="" ns4:_="">
    <xsd:import namespace="39b633de-8679-497d-82ac-99d9b608bae9"/>
    <xsd:import namespace="4996b26b-7637-40b4-838c-f7b6072af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633de-8679-497d-82ac-99d9b608ba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96b26b-7637-40b4-838c-f7b6072afdd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73C97C-E1A3-42CD-8D8C-4D91C278D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633de-8679-497d-82ac-99d9b608bae9"/>
    <ds:schemaRef ds:uri="4996b26b-7637-40b4-838c-f7b6072af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D12A5-8BC3-4213-A45B-5EAEAE3F47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2257D7-0FFA-47FC-8BC6-066B5D59DE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3145</Words>
  <Characters>17932</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Behrens</dc:creator>
  <cp:keywords/>
  <dc:description/>
  <cp:lastModifiedBy>Chilver, Lisa</cp:lastModifiedBy>
  <cp:revision>2</cp:revision>
  <cp:lastPrinted>2022-01-26T16:42:00Z</cp:lastPrinted>
  <dcterms:created xsi:type="dcterms:W3CDTF">2022-02-02T08:00:00Z</dcterms:created>
  <dcterms:modified xsi:type="dcterms:W3CDTF">2022-02-02T08:00:00Z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0x010100DFE7286E4BBBDC4EBA12C42111CD2D65</vt:lpwstr>
  </property>
</Properties>
</file>