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A765" w14:textId="77777777" w:rsidR="007A303A" w:rsidRPr="001B0DA9" w:rsidRDefault="007A303A" w:rsidP="007A303A">
      <w:pPr>
        <w:jc w:val="right"/>
        <w:rPr>
          <w:rFonts w:ascii="Book Antiqua" w:hAnsi="Book Antiqua"/>
          <w:b/>
          <w:bCs/>
          <w:color w:val="000000"/>
        </w:rPr>
      </w:pPr>
      <w:r w:rsidRPr="0092322F">
        <w:rPr>
          <w:rFonts w:ascii="Book Antiqua" w:hAnsi="Book Antiqua"/>
          <w:b/>
          <w:bCs/>
          <w:color w:val="000000"/>
        </w:rPr>
        <w:t>[2021] UKUT 0133 (TCC)</w:t>
      </w:r>
    </w:p>
    <w:p w14:paraId="456D0CD0" w14:textId="77777777" w:rsidR="007A303A" w:rsidRDefault="007A303A" w:rsidP="00B057DE">
      <w:pPr>
        <w:tabs>
          <w:tab w:val="center" w:pos="4046"/>
        </w:tabs>
        <w:jc w:val="center"/>
        <w:rPr>
          <w:b/>
          <w:bCs/>
          <w:iCs/>
        </w:rPr>
      </w:pPr>
    </w:p>
    <w:p w14:paraId="538294E5" w14:textId="628C8F94" w:rsidR="00B057DE" w:rsidRDefault="00B057DE" w:rsidP="00B057DE">
      <w:pPr>
        <w:tabs>
          <w:tab w:val="center" w:pos="4046"/>
        </w:tabs>
        <w:jc w:val="center"/>
        <w:rPr>
          <w:b/>
          <w:bCs/>
          <w:iCs/>
        </w:rPr>
      </w:pPr>
      <w:r w:rsidRPr="00E97BBA">
        <w:rPr>
          <w:b/>
          <w:bCs/>
          <w:iCs/>
          <w:noProof/>
        </w:rPr>
        <w:drawing>
          <wp:inline distT="0" distB="0" distL="0" distR="0" wp14:anchorId="3CBFB946" wp14:editId="22339902">
            <wp:extent cx="1441450" cy="1130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1450" cy="1130300"/>
                    </a:xfrm>
                    <a:prstGeom prst="rect">
                      <a:avLst/>
                    </a:prstGeom>
                    <a:noFill/>
                    <a:ln>
                      <a:noFill/>
                    </a:ln>
                  </pic:spPr>
                </pic:pic>
              </a:graphicData>
            </a:graphic>
          </wp:inline>
        </w:drawing>
      </w:r>
    </w:p>
    <w:p w14:paraId="5396EB22" w14:textId="77777777" w:rsidR="00B057DE" w:rsidRDefault="00B057DE" w:rsidP="00B057DE">
      <w:pPr>
        <w:tabs>
          <w:tab w:val="center" w:pos="4046"/>
        </w:tabs>
        <w:jc w:val="right"/>
        <w:rPr>
          <w:b/>
        </w:rPr>
      </w:pPr>
      <w:r>
        <w:rPr>
          <w:b/>
        </w:rPr>
        <w:t>Appeal number:</w:t>
      </w:r>
      <w:r>
        <w:rPr>
          <w:b/>
          <w:szCs w:val="24"/>
        </w:rPr>
        <w:sym w:font="Symbol" w:char="F020"/>
      </w:r>
      <w:r>
        <w:rPr>
          <w:b/>
          <w:szCs w:val="24"/>
        </w:rPr>
        <w:t>UT/2020/</w:t>
      </w:r>
      <w:r>
        <w:rPr>
          <w:b/>
        </w:rPr>
        <w:t>0043</w:t>
      </w:r>
    </w:p>
    <w:p w14:paraId="5FC75E4D" w14:textId="77777777" w:rsidR="00B057DE" w:rsidRDefault="00B057DE" w:rsidP="00B057DE">
      <w:pPr>
        <w:tabs>
          <w:tab w:val="center" w:pos="4046"/>
        </w:tabs>
        <w:jc w:val="right"/>
        <w:rPr>
          <w:b/>
        </w:rPr>
      </w:pPr>
      <w:r>
        <w:rPr>
          <w:b/>
        </w:rPr>
        <w:t xml:space="preserve">        </w:t>
      </w:r>
    </w:p>
    <w:p w14:paraId="7E799FD6" w14:textId="37019AC7" w:rsidR="00B057DE" w:rsidRPr="00F311ED" w:rsidRDefault="00B057DE" w:rsidP="00B057DE">
      <w:pPr>
        <w:tabs>
          <w:tab w:val="center" w:pos="4046"/>
        </w:tabs>
        <w:jc w:val="both"/>
        <w:rPr>
          <w:b/>
          <w:i/>
        </w:rPr>
      </w:pPr>
      <w:r>
        <w:rPr>
          <w:b/>
          <w:i/>
        </w:rPr>
        <w:t>INCOME TAX – CORPORATION TAX – Mixed Partnership Rules – Sections 805A-E Income Tax (Trading and Other Income) Act 2005 – s805C – increase in the profit share of an individual partner by so much of the amount of the corporate partner’s profit share is attrib</w:t>
      </w:r>
      <w:r w:rsidR="001F2FB2">
        <w:rPr>
          <w:b/>
          <w:i/>
        </w:rPr>
        <w:t>utable to the individual</w:t>
      </w:r>
      <w:r>
        <w:rPr>
          <w:b/>
          <w:i/>
        </w:rPr>
        <w:t>’s power to</w:t>
      </w:r>
      <w:r w:rsidR="001F2FB2">
        <w:rPr>
          <w:b/>
          <w:i/>
        </w:rPr>
        <w:t xml:space="preserve"> the enjoy the corporate</w:t>
      </w:r>
      <w:r>
        <w:rPr>
          <w:b/>
          <w:i/>
        </w:rPr>
        <w:t>’s profit share – appeal dismissed</w:t>
      </w:r>
    </w:p>
    <w:p w14:paraId="1AF5DC37" w14:textId="77777777" w:rsidR="00B057DE" w:rsidRDefault="00B057DE" w:rsidP="00B057DE">
      <w:pPr>
        <w:tabs>
          <w:tab w:val="center" w:pos="4046"/>
        </w:tabs>
        <w:jc w:val="center"/>
      </w:pPr>
    </w:p>
    <w:p w14:paraId="650DED0A" w14:textId="77777777" w:rsidR="00B057DE" w:rsidRDefault="00B057DE" w:rsidP="00B057DE">
      <w:pPr>
        <w:tabs>
          <w:tab w:val="center" w:pos="4046"/>
        </w:tabs>
        <w:jc w:val="center"/>
      </w:pPr>
    </w:p>
    <w:p w14:paraId="624B8846" w14:textId="77777777" w:rsidR="00B057DE" w:rsidRPr="008313FB" w:rsidRDefault="00B057DE" w:rsidP="00B057DE">
      <w:pPr>
        <w:rPr>
          <w:b/>
        </w:rPr>
      </w:pPr>
      <w:r>
        <w:rPr>
          <w:b/>
        </w:rPr>
        <w:t xml:space="preserve">UPPER </w:t>
      </w:r>
      <w:r w:rsidRPr="008313FB">
        <w:rPr>
          <w:b/>
        </w:rPr>
        <w:t>TRIBUNAL</w:t>
      </w:r>
    </w:p>
    <w:p w14:paraId="06B7D800" w14:textId="77777777" w:rsidR="00B057DE" w:rsidRPr="003A4C80" w:rsidRDefault="00B057DE" w:rsidP="00B057DE">
      <w:pPr>
        <w:rPr>
          <w:b/>
        </w:rPr>
      </w:pPr>
      <w:r>
        <w:rPr>
          <w:b/>
        </w:rPr>
        <w:t>TAX AND CHANCERY CHAMBER</w:t>
      </w:r>
    </w:p>
    <w:p w14:paraId="55E6210F" w14:textId="77777777" w:rsidR="00B057DE" w:rsidRDefault="00B057DE" w:rsidP="00B057DE"/>
    <w:p w14:paraId="788F2AF7" w14:textId="77777777" w:rsidR="00B057DE" w:rsidRDefault="00B057DE" w:rsidP="00B057DE">
      <w:pPr>
        <w:tabs>
          <w:tab w:val="center" w:pos="4046"/>
        </w:tabs>
      </w:pPr>
    </w:p>
    <w:p w14:paraId="277042DD" w14:textId="77777777" w:rsidR="00B057DE" w:rsidRDefault="00B057DE" w:rsidP="00B057DE">
      <w:pPr>
        <w:tabs>
          <w:tab w:val="center" w:pos="4046"/>
        </w:tabs>
      </w:pPr>
    </w:p>
    <w:tbl>
      <w:tblPr>
        <w:tblW w:w="5000" w:type="pct"/>
        <w:tblLook w:val="01E0" w:firstRow="1" w:lastRow="1" w:firstColumn="1" w:lastColumn="1" w:noHBand="0" w:noVBand="0"/>
      </w:tblPr>
      <w:tblGrid>
        <w:gridCol w:w="1334"/>
        <w:gridCol w:w="5439"/>
        <w:gridCol w:w="1533"/>
      </w:tblGrid>
      <w:tr w:rsidR="00B057DE" w14:paraId="1356B219" w14:textId="77777777" w:rsidTr="003171D0">
        <w:tc>
          <w:tcPr>
            <w:tcW w:w="803" w:type="pct"/>
          </w:tcPr>
          <w:p w14:paraId="18C1D8F3" w14:textId="77777777" w:rsidR="00B057DE" w:rsidRDefault="00B057DE" w:rsidP="003171D0">
            <w:pPr>
              <w:tabs>
                <w:tab w:val="center" w:pos="4046"/>
              </w:tabs>
            </w:pPr>
          </w:p>
        </w:tc>
        <w:tc>
          <w:tcPr>
            <w:tcW w:w="3274" w:type="pct"/>
            <w:noWrap/>
          </w:tcPr>
          <w:p w14:paraId="5FACB2C0" w14:textId="66DCAF48" w:rsidR="00B057DE" w:rsidRPr="00E943B3" w:rsidRDefault="00A82E00" w:rsidP="003171D0">
            <w:pPr>
              <w:tabs>
                <w:tab w:val="center" w:pos="4046"/>
              </w:tabs>
              <w:jc w:val="center"/>
              <w:rPr>
                <w:b/>
              </w:rPr>
            </w:pPr>
            <w:r>
              <w:rPr>
                <w:b/>
              </w:rPr>
              <w:t>NICHOLAS WALEWSKI</w:t>
            </w:r>
          </w:p>
        </w:tc>
        <w:tc>
          <w:tcPr>
            <w:tcW w:w="923" w:type="pct"/>
          </w:tcPr>
          <w:p w14:paraId="7F524CBC" w14:textId="77777777" w:rsidR="00B057DE" w:rsidRPr="00E943B3" w:rsidRDefault="00B057DE" w:rsidP="003171D0">
            <w:pPr>
              <w:tabs>
                <w:tab w:val="center" w:pos="4046"/>
              </w:tabs>
              <w:jc w:val="right"/>
              <w:rPr>
                <w:b/>
              </w:rPr>
            </w:pPr>
            <w:r w:rsidRPr="00E943B3">
              <w:rPr>
                <w:b/>
              </w:rPr>
              <w:t>Appellant</w:t>
            </w:r>
          </w:p>
        </w:tc>
      </w:tr>
      <w:tr w:rsidR="00B057DE" w14:paraId="6703B39B" w14:textId="77777777" w:rsidTr="003171D0">
        <w:tc>
          <w:tcPr>
            <w:tcW w:w="803" w:type="pct"/>
          </w:tcPr>
          <w:p w14:paraId="7FFB2ED6" w14:textId="77777777" w:rsidR="00B057DE" w:rsidRDefault="00B057DE" w:rsidP="003171D0">
            <w:pPr>
              <w:tabs>
                <w:tab w:val="center" w:pos="4046"/>
              </w:tabs>
            </w:pPr>
          </w:p>
        </w:tc>
        <w:tc>
          <w:tcPr>
            <w:tcW w:w="3274" w:type="pct"/>
          </w:tcPr>
          <w:p w14:paraId="6240CC10" w14:textId="77777777" w:rsidR="00B057DE" w:rsidRDefault="00B057DE" w:rsidP="003171D0">
            <w:pPr>
              <w:tabs>
                <w:tab w:val="center" w:pos="4046"/>
              </w:tabs>
              <w:jc w:val="center"/>
            </w:pPr>
          </w:p>
        </w:tc>
        <w:tc>
          <w:tcPr>
            <w:tcW w:w="923" w:type="pct"/>
          </w:tcPr>
          <w:p w14:paraId="6AE1799F" w14:textId="77777777" w:rsidR="00B057DE" w:rsidRDefault="00B057DE" w:rsidP="003171D0">
            <w:pPr>
              <w:tabs>
                <w:tab w:val="center" w:pos="4046"/>
              </w:tabs>
              <w:jc w:val="right"/>
            </w:pPr>
          </w:p>
        </w:tc>
      </w:tr>
      <w:tr w:rsidR="00B057DE" w14:paraId="282F9D99" w14:textId="77777777" w:rsidTr="003171D0">
        <w:tc>
          <w:tcPr>
            <w:tcW w:w="803" w:type="pct"/>
          </w:tcPr>
          <w:p w14:paraId="140E426A" w14:textId="77777777" w:rsidR="00B057DE" w:rsidRDefault="00B057DE" w:rsidP="003171D0">
            <w:pPr>
              <w:tabs>
                <w:tab w:val="center" w:pos="4046"/>
              </w:tabs>
            </w:pPr>
          </w:p>
        </w:tc>
        <w:tc>
          <w:tcPr>
            <w:tcW w:w="3274" w:type="pct"/>
          </w:tcPr>
          <w:p w14:paraId="02168EB7" w14:textId="77777777" w:rsidR="00B057DE" w:rsidRPr="00E943B3" w:rsidRDefault="00B057DE" w:rsidP="003171D0">
            <w:pPr>
              <w:tabs>
                <w:tab w:val="center" w:pos="4046"/>
              </w:tabs>
              <w:jc w:val="center"/>
              <w:rPr>
                <w:b/>
              </w:rPr>
            </w:pPr>
            <w:r w:rsidRPr="00E943B3">
              <w:rPr>
                <w:b/>
              </w:rPr>
              <w:t xml:space="preserve">- and - </w:t>
            </w:r>
          </w:p>
        </w:tc>
        <w:tc>
          <w:tcPr>
            <w:tcW w:w="923" w:type="pct"/>
          </w:tcPr>
          <w:p w14:paraId="366DAA6B" w14:textId="77777777" w:rsidR="00B057DE" w:rsidRDefault="00B057DE" w:rsidP="003171D0">
            <w:pPr>
              <w:tabs>
                <w:tab w:val="center" w:pos="4046"/>
              </w:tabs>
              <w:jc w:val="right"/>
            </w:pPr>
          </w:p>
        </w:tc>
      </w:tr>
      <w:tr w:rsidR="00B057DE" w14:paraId="1B13437B" w14:textId="77777777" w:rsidTr="003171D0">
        <w:tc>
          <w:tcPr>
            <w:tcW w:w="803" w:type="pct"/>
          </w:tcPr>
          <w:p w14:paraId="45BDAF14" w14:textId="77777777" w:rsidR="00B057DE" w:rsidRDefault="00B057DE" w:rsidP="003171D0">
            <w:pPr>
              <w:tabs>
                <w:tab w:val="center" w:pos="4046"/>
              </w:tabs>
            </w:pPr>
          </w:p>
        </w:tc>
        <w:tc>
          <w:tcPr>
            <w:tcW w:w="3274" w:type="pct"/>
          </w:tcPr>
          <w:p w14:paraId="18F26A75" w14:textId="77777777" w:rsidR="00B057DE" w:rsidRDefault="00B057DE" w:rsidP="003171D0">
            <w:pPr>
              <w:tabs>
                <w:tab w:val="center" w:pos="4046"/>
              </w:tabs>
              <w:jc w:val="center"/>
            </w:pPr>
          </w:p>
        </w:tc>
        <w:tc>
          <w:tcPr>
            <w:tcW w:w="923" w:type="pct"/>
          </w:tcPr>
          <w:p w14:paraId="26EADC54" w14:textId="77777777" w:rsidR="00B057DE" w:rsidRDefault="00B057DE" w:rsidP="003171D0">
            <w:pPr>
              <w:tabs>
                <w:tab w:val="center" w:pos="4046"/>
              </w:tabs>
              <w:jc w:val="right"/>
            </w:pPr>
          </w:p>
        </w:tc>
      </w:tr>
      <w:tr w:rsidR="00B057DE" w14:paraId="2D94037C" w14:textId="77777777" w:rsidTr="003171D0">
        <w:tc>
          <w:tcPr>
            <w:tcW w:w="803" w:type="pct"/>
          </w:tcPr>
          <w:p w14:paraId="4D108BAB" w14:textId="77777777" w:rsidR="00B057DE" w:rsidRDefault="00B057DE" w:rsidP="003171D0">
            <w:pPr>
              <w:tabs>
                <w:tab w:val="center" w:pos="4046"/>
              </w:tabs>
            </w:pPr>
          </w:p>
        </w:tc>
        <w:tc>
          <w:tcPr>
            <w:tcW w:w="3274" w:type="pct"/>
          </w:tcPr>
          <w:p w14:paraId="0ECAEBA0" w14:textId="77777777" w:rsidR="00B057DE" w:rsidRPr="00E943B3" w:rsidRDefault="00B057DE" w:rsidP="003171D0">
            <w:pPr>
              <w:tabs>
                <w:tab w:val="center" w:pos="4046"/>
              </w:tabs>
              <w:jc w:val="center"/>
              <w:rPr>
                <w:b/>
              </w:rPr>
            </w:pPr>
            <w:r w:rsidRPr="00E943B3">
              <w:rPr>
                <w:b/>
              </w:rPr>
              <w:t>THE COMMISSIONERS FOR HER MAJESTY’S</w:t>
            </w:r>
          </w:p>
        </w:tc>
        <w:tc>
          <w:tcPr>
            <w:tcW w:w="923" w:type="pct"/>
          </w:tcPr>
          <w:p w14:paraId="19BE1E10" w14:textId="77777777" w:rsidR="00B057DE" w:rsidRPr="00E943B3" w:rsidRDefault="00B057DE" w:rsidP="003171D0">
            <w:pPr>
              <w:tabs>
                <w:tab w:val="center" w:pos="4046"/>
              </w:tabs>
              <w:jc w:val="right"/>
              <w:rPr>
                <w:b/>
              </w:rPr>
            </w:pPr>
            <w:r w:rsidRPr="00E943B3">
              <w:rPr>
                <w:b/>
              </w:rPr>
              <w:t>Respondents</w:t>
            </w:r>
          </w:p>
        </w:tc>
      </w:tr>
      <w:tr w:rsidR="00B057DE" w14:paraId="534D9CC6" w14:textId="77777777" w:rsidTr="003171D0">
        <w:tc>
          <w:tcPr>
            <w:tcW w:w="803" w:type="pct"/>
          </w:tcPr>
          <w:p w14:paraId="22568451" w14:textId="77777777" w:rsidR="00B057DE" w:rsidRDefault="00B057DE" w:rsidP="003171D0">
            <w:pPr>
              <w:tabs>
                <w:tab w:val="center" w:pos="4046"/>
              </w:tabs>
            </w:pPr>
          </w:p>
        </w:tc>
        <w:tc>
          <w:tcPr>
            <w:tcW w:w="3274" w:type="pct"/>
          </w:tcPr>
          <w:p w14:paraId="6C1EC9DA" w14:textId="77777777" w:rsidR="00B057DE" w:rsidRPr="00E943B3" w:rsidRDefault="00B057DE" w:rsidP="003171D0">
            <w:pPr>
              <w:tabs>
                <w:tab w:val="center" w:pos="4046"/>
              </w:tabs>
              <w:jc w:val="center"/>
              <w:rPr>
                <w:b/>
              </w:rPr>
            </w:pPr>
            <w:r w:rsidRPr="00E943B3">
              <w:rPr>
                <w:b/>
              </w:rPr>
              <w:t>REVENUE &amp; CUSTOMS</w:t>
            </w:r>
          </w:p>
        </w:tc>
        <w:tc>
          <w:tcPr>
            <w:tcW w:w="923" w:type="pct"/>
          </w:tcPr>
          <w:p w14:paraId="74329366" w14:textId="77777777" w:rsidR="00B057DE" w:rsidRDefault="00B057DE" w:rsidP="003171D0">
            <w:pPr>
              <w:tabs>
                <w:tab w:val="center" w:pos="4046"/>
              </w:tabs>
              <w:jc w:val="right"/>
            </w:pPr>
          </w:p>
        </w:tc>
      </w:tr>
    </w:tbl>
    <w:p w14:paraId="63844759" w14:textId="77777777" w:rsidR="00B057DE" w:rsidRDefault="00B057DE" w:rsidP="00B057DE">
      <w:pPr>
        <w:tabs>
          <w:tab w:val="center" w:pos="4046"/>
        </w:tabs>
      </w:pPr>
    </w:p>
    <w:p w14:paraId="64B1FEFE" w14:textId="77777777" w:rsidR="00B057DE" w:rsidRDefault="00B057DE" w:rsidP="00B057DE">
      <w:pPr>
        <w:tabs>
          <w:tab w:val="center" w:pos="4046"/>
        </w:tabs>
      </w:pPr>
    </w:p>
    <w:p w14:paraId="1B903210" w14:textId="77777777" w:rsidR="00B057DE" w:rsidRDefault="00B057DE" w:rsidP="00B057DE">
      <w:pPr>
        <w:tabs>
          <w:tab w:val="center" w:pos="4046"/>
        </w:tabs>
      </w:pPr>
    </w:p>
    <w:tbl>
      <w:tblPr>
        <w:tblW w:w="0" w:type="auto"/>
        <w:tblLook w:val="01E0" w:firstRow="1" w:lastRow="1" w:firstColumn="1" w:lastColumn="1" w:noHBand="0" w:noVBand="0"/>
      </w:tblPr>
      <w:tblGrid>
        <w:gridCol w:w="3904"/>
        <w:gridCol w:w="4402"/>
      </w:tblGrid>
      <w:tr w:rsidR="00B057DE" w14:paraId="1ADD20F8" w14:textId="77777777" w:rsidTr="003171D0">
        <w:tc>
          <w:tcPr>
            <w:tcW w:w="4261" w:type="dxa"/>
          </w:tcPr>
          <w:p w14:paraId="05DD56D9" w14:textId="77777777" w:rsidR="00B057DE" w:rsidRPr="00E943B3" w:rsidRDefault="00B057DE" w:rsidP="003171D0">
            <w:pPr>
              <w:tabs>
                <w:tab w:val="center" w:pos="4046"/>
              </w:tabs>
              <w:jc w:val="right"/>
              <w:rPr>
                <w:b/>
              </w:rPr>
            </w:pPr>
            <w:r w:rsidRPr="00E943B3">
              <w:rPr>
                <w:b/>
              </w:rPr>
              <w:t>TRIBUNAL:</w:t>
            </w:r>
          </w:p>
        </w:tc>
        <w:tc>
          <w:tcPr>
            <w:tcW w:w="4919" w:type="dxa"/>
          </w:tcPr>
          <w:p w14:paraId="17597DCE" w14:textId="77777777" w:rsidR="00B057DE" w:rsidRDefault="00B057DE" w:rsidP="003171D0">
            <w:pPr>
              <w:tabs>
                <w:tab w:val="center" w:pos="4046"/>
              </w:tabs>
              <w:rPr>
                <w:b/>
              </w:rPr>
            </w:pPr>
            <w:r>
              <w:rPr>
                <w:b/>
              </w:rPr>
              <w:t xml:space="preserve">Mr Justice Marcus Smith </w:t>
            </w:r>
          </w:p>
          <w:p w14:paraId="5F3BF970" w14:textId="77777777" w:rsidR="00B057DE" w:rsidRPr="00E943B3" w:rsidRDefault="00B057DE" w:rsidP="003171D0">
            <w:pPr>
              <w:tabs>
                <w:tab w:val="center" w:pos="4046"/>
              </w:tabs>
              <w:rPr>
                <w:b/>
              </w:rPr>
            </w:pPr>
            <w:r>
              <w:rPr>
                <w:b/>
              </w:rPr>
              <w:t>Judge Rupert Jones</w:t>
            </w:r>
          </w:p>
        </w:tc>
      </w:tr>
      <w:tr w:rsidR="00B057DE" w14:paraId="6EB4A2C8" w14:textId="77777777" w:rsidTr="003171D0">
        <w:tc>
          <w:tcPr>
            <w:tcW w:w="4261" w:type="dxa"/>
          </w:tcPr>
          <w:p w14:paraId="3046976C" w14:textId="77777777" w:rsidR="00B057DE" w:rsidRDefault="00B057DE" w:rsidP="003171D0">
            <w:pPr>
              <w:tabs>
                <w:tab w:val="center" w:pos="4046"/>
              </w:tabs>
              <w:jc w:val="right"/>
            </w:pPr>
          </w:p>
        </w:tc>
        <w:tc>
          <w:tcPr>
            <w:tcW w:w="4919" w:type="dxa"/>
          </w:tcPr>
          <w:p w14:paraId="1F2BCF19" w14:textId="77777777" w:rsidR="00B057DE" w:rsidRPr="00E943B3" w:rsidRDefault="00B057DE" w:rsidP="003171D0">
            <w:pPr>
              <w:tabs>
                <w:tab w:val="center" w:pos="4046"/>
              </w:tabs>
              <w:rPr>
                <w:b/>
              </w:rPr>
            </w:pPr>
            <w:r w:rsidRPr="00E943B3">
              <w:rPr>
                <w:b/>
              </w:rPr>
              <w:t xml:space="preserve"> </w:t>
            </w:r>
          </w:p>
        </w:tc>
      </w:tr>
    </w:tbl>
    <w:p w14:paraId="22D5D569" w14:textId="77777777" w:rsidR="00B057DE" w:rsidRDefault="00B057DE" w:rsidP="00B057DE">
      <w:pPr>
        <w:jc w:val="both"/>
        <w:rPr>
          <w:b/>
        </w:rPr>
      </w:pPr>
    </w:p>
    <w:p w14:paraId="0068CF47" w14:textId="77777777" w:rsidR="00B057DE" w:rsidRDefault="00B057DE" w:rsidP="00B057DE">
      <w:pPr>
        <w:jc w:val="both"/>
        <w:rPr>
          <w:b/>
        </w:rPr>
      </w:pPr>
    </w:p>
    <w:p w14:paraId="4FE477C3" w14:textId="1A5C4B99" w:rsidR="00B057DE" w:rsidRDefault="00B057DE" w:rsidP="00B057DE">
      <w:pPr>
        <w:rPr>
          <w:b/>
        </w:rPr>
      </w:pPr>
      <w:r>
        <w:rPr>
          <w:b/>
        </w:rPr>
        <w:t xml:space="preserve">Sitting in public by way of remote video Microsoft Teams hearing, treated as taking place in London, </w:t>
      </w:r>
      <w:r w:rsidR="00D61709">
        <w:rPr>
          <w:b/>
        </w:rPr>
        <w:t xml:space="preserve">on </w:t>
      </w:r>
      <w:r>
        <w:rPr>
          <w:b/>
        </w:rPr>
        <w:t>11</w:t>
      </w:r>
      <w:r w:rsidR="006E5BEF">
        <w:rPr>
          <w:b/>
        </w:rPr>
        <w:t xml:space="preserve"> and </w:t>
      </w:r>
      <w:r>
        <w:rPr>
          <w:b/>
        </w:rPr>
        <w:t>12 May 2021</w:t>
      </w:r>
    </w:p>
    <w:p w14:paraId="0AD34AB0" w14:textId="77777777" w:rsidR="00B057DE" w:rsidRDefault="00B057DE" w:rsidP="00B057DE">
      <w:pPr>
        <w:jc w:val="both"/>
        <w:rPr>
          <w:b/>
        </w:rPr>
      </w:pPr>
    </w:p>
    <w:p w14:paraId="66E4F171" w14:textId="2D6F2941" w:rsidR="00B057DE" w:rsidRDefault="00B057DE" w:rsidP="00B057DE">
      <w:pPr>
        <w:jc w:val="both"/>
        <w:rPr>
          <w:b/>
        </w:rPr>
      </w:pPr>
      <w:r>
        <w:rPr>
          <w:b/>
        </w:rPr>
        <w:t xml:space="preserve">Mr Patrick Soares and Mr Imran </w:t>
      </w:r>
      <w:r w:rsidR="00A82E00">
        <w:rPr>
          <w:b/>
        </w:rPr>
        <w:t>Afzal, Counsel, Field Court Tax Chambers</w:t>
      </w:r>
      <w:r>
        <w:rPr>
          <w:b/>
        </w:rPr>
        <w:t>, for the Appellant</w:t>
      </w:r>
    </w:p>
    <w:p w14:paraId="780F5C08" w14:textId="77777777" w:rsidR="00B057DE" w:rsidRDefault="00B057DE" w:rsidP="00B057DE">
      <w:pPr>
        <w:jc w:val="both"/>
        <w:rPr>
          <w:b/>
        </w:rPr>
      </w:pPr>
    </w:p>
    <w:p w14:paraId="004A92E6" w14:textId="2434D9C4" w:rsidR="00B057DE" w:rsidRDefault="006E5BEF" w:rsidP="00B057DE">
      <w:pPr>
        <w:jc w:val="both"/>
        <w:rPr>
          <w:b/>
        </w:rPr>
      </w:pPr>
      <w:r>
        <w:rPr>
          <w:b/>
        </w:rPr>
        <w:t xml:space="preserve">Ms </w:t>
      </w:r>
      <w:r w:rsidR="00B057DE">
        <w:rPr>
          <w:b/>
        </w:rPr>
        <w:t>Aparna Nathan QC, Counsel, instructed by the General Counsel and Solicitor to HM Revenue and Customs, for the Respondents</w:t>
      </w:r>
    </w:p>
    <w:p w14:paraId="47F23BEC" w14:textId="77777777" w:rsidR="00B057DE" w:rsidRDefault="00B057DE" w:rsidP="00B057DE">
      <w:pPr>
        <w:jc w:val="both"/>
        <w:rPr>
          <w:b/>
        </w:rPr>
      </w:pPr>
    </w:p>
    <w:p w14:paraId="32F1B9AF" w14:textId="77777777" w:rsidR="00B057DE" w:rsidRDefault="00B057DE" w:rsidP="00B057DE">
      <w:pPr>
        <w:jc w:val="both"/>
        <w:rPr>
          <w:b/>
        </w:rPr>
      </w:pPr>
    </w:p>
    <w:p w14:paraId="7E6D347B" w14:textId="77777777" w:rsidR="00B057DE" w:rsidRDefault="00B057DE" w:rsidP="00B057DE">
      <w:pPr>
        <w:jc w:val="center"/>
        <w:rPr>
          <w:b/>
        </w:rPr>
      </w:pPr>
    </w:p>
    <w:p w14:paraId="3E833E95" w14:textId="77777777" w:rsidR="00B057DE" w:rsidRDefault="00B057DE" w:rsidP="00B057DE">
      <w:pPr>
        <w:rPr>
          <w:b/>
        </w:rPr>
      </w:pPr>
    </w:p>
    <w:p w14:paraId="4C04A32F" w14:textId="77777777" w:rsidR="00B057DE" w:rsidRDefault="00B057DE" w:rsidP="00B057DE">
      <w:pPr>
        <w:rPr>
          <w:b/>
        </w:rPr>
      </w:pPr>
      <w:r>
        <w:rPr>
          <w:b/>
        </w:rPr>
        <w:t xml:space="preserve">                              © CROWN COPYRIGHT 2021</w:t>
      </w:r>
    </w:p>
    <w:p w14:paraId="68F51FBB" w14:textId="77777777" w:rsidR="00B057DE" w:rsidRDefault="00B057DE" w:rsidP="00B057DE">
      <w:pPr>
        <w:tabs>
          <w:tab w:val="center" w:pos="4046"/>
        </w:tabs>
        <w:jc w:val="center"/>
        <w:sectPr w:rsidR="00B057DE" w:rsidSect="003171D0">
          <w:footerReference w:type="even" r:id="rId12"/>
          <w:footerReference w:type="default" r:id="rId13"/>
          <w:pgSz w:w="11906" w:h="16838" w:code="9"/>
          <w:pgMar w:top="1134" w:right="1440" w:bottom="1418" w:left="2160" w:header="709" w:footer="709" w:gutter="0"/>
          <w:cols w:space="720"/>
          <w:titlePg/>
        </w:sectPr>
      </w:pPr>
    </w:p>
    <w:p w14:paraId="1ECF4B16" w14:textId="77777777" w:rsidR="00B057DE" w:rsidRDefault="00B057DE" w:rsidP="000D5199">
      <w:pPr>
        <w:keepNext/>
        <w:tabs>
          <w:tab w:val="center" w:pos="4046"/>
        </w:tabs>
        <w:spacing w:before="120" w:after="120"/>
        <w:jc w:val="center"/>
      </w:pPr>
      <w:r>
        <w:lastRenderedPageBreak/>
        <w:t>DECISION</w:t>
      </w:r>
    </w:p>
    <w:p w14:paraId="02D79184" w14:textId="430C6DC7" w:rsidR="00B057DE" w:rsidRPr="000E4C0A" w:rsidRDefault="00B057DE" w:rsidP="000D5199">
      <w:pPr>
        <w:pStyle w:val="Bodytexttaxindent"/>
        <w:keepNext/>
        <w:spacing w:before="120"/>
        <w:ind w:left="0"/>
      </w:pPr>
    </w:p>
    <w:p w14:paraId="22F6268F" w14:textId="7A91E4CC" w:rsidR="00B057DE" w:rsidRPr="00D3061D" w:rsidRDefault="0062138B" w:rsidP="00523F00">
      <w:pPr>
        <w:pStyle w:val="Bodytexttax1"/>
        <w:keepNext/>
        <w:numPr>
          <w:ilvl w:val="0"/>
          <w:numId w:val="0"/>
        </w:numPr>
        <w:spacing w:before="120" w:after="120"/>
        <w:rPr>
          <w:b/>
        </w:rPr>
      </w:pPr>
      <w:r>
        <w:rPr>
          <w:b/>
        </w:rPr>
        <w:t>A.</w:t>
      </w:r>
      <w:r>
        <w:rPr>
          <w:b/>
        </w:rPr>
        <w:tab/>
      </w:r>
      <w:r w:rsidR="00E4317B" w:rsidRPr="00D3061D">
        <w:rPr>
          <w:b/>
        </w:rPr>
        <w:t>INTRODUCTION</w:t>
      </w:r>
    </w:p>
    <w:p w14:paraId="5831F8DE" w14:textId="0BDE32AE" w:rsidR="00B057DE" w:rsidRPr="00B057DE" w:rsidRDefault="00B057DE" w:rsidP="00523F00">
      <w:pPr>
        <w:pStyle w:val="Bodytexttax1"/>
        <w:spacing w:before="120" w:after="120"/>
      </w:pPr>
      <w:r w:rsidRPr="00B057DE">
        <w:rPr>
          <w:szCs w:val="24"/>
        </w:rPr>
        <w:t xml:space="preserve">This appeal concerns the interpretation and application of the “mixed partnership” rules contained in sections 850C </w:t>
      </w:r>
      <w:r w:rsidR="000C41F9">
        <w:rPr>
          <w:szCs w:val="24"/>
        </w:rPr>
        <w:t>to</w:t>
      </w:r>
      <w:r w:rsidRPr="00B057DE">
        <w:rPr>
          <w:szCs w:val="24"/>
        </w:rPr>
        <w:t xml:space="preserve"> 850E</w:t>
      </w:r>
      <w:r w:rsidR="0021045E">
        <w:rPr>
          <w:szCs w:val="24"/>
        </w:rPr>
        <w:t xml:space="preserve"> of the</w:t>
      </w:r>
      <w:r w:rsidRPr="00B057DE">
        <w:rPr>
          <w:szCs w:val="24"/>
        </w:rPr>
        <w:t xml:space="preserve"> Income Tax (Trading and Other Income) Act 2005 (“ITTOI</w:t>
      </w:r>
      <w:r w:rsidR="00CA4BFA">
        <w:rPr>
          <w:szCs w:val="24"/>
        </w:rPr>
        <w:t>A</w:t>
      </w:r>
      <w:r w:rsidRPr="00B057DE">
        <w:rPr>
          <w:szCs w:val="24"/>
        </w:rPr>
        <w:t xml:space="preserve">”). A mixed partnership arises where a partnership includes at least one individual partner and one non-individual partner, such as a limited company or other corporate entity.  </w:t>
      </w:r>
    </w:p>
    <w:p w14:paraId="102540FB" w14:textId="7597CC94" w:rsidR="00B057DE" w:rsidRPr="00B057DE" w:rsidRDefault="00B057DE" w:rsidP="00523F00">
      <w:pPr>
        <w:pStyle w:val="Bodytexttax1"/>
        <w:spacing w:before="120" w:after="120"/>
      </w:pPr>
      <w:r w:rsidRPr="00B057DE">
        <w:rPr>
          <w:szCs w:val="24"/>
        </w:rPr>
        <w:t xml:space="preserve">The partnership rules include section 850C. One effect of this provision is to enable </w:t>
      </w:r>
      <w:r w:rsidR="00F40F4F">
        <w:rPr>
          <w:szCs w:val="24"/>
        </w:rPr>
        <w:t>the Commissioners for Her Majesty’s Revenue and Customs (“</w:t>
      </w:r>
      <w:r w:rsidRPr="00B057DE">
        <w:rPr>
          <w:szCs w:val="24"/>
        </w:rPr>
        <w:t>HMRC</w:t>
      </w:r>
      <w:r w:rsidR="00F40F4F">
        <w:rPr>
          <w:szCs w:val="24"/>
        </w:rPr>
        <w:t>”)</w:t>
      </w:r>
      <w:r w:rsidRPr="00B057DE">
        <w:rPr>
          <w:szCs w:val="24"/>
        </w:rPr>
        <w:t xml:space="preserve"> to increase the profit share of an individual partner who has the power to enjoy the profit sh</w:t>
      </w:r>
      <w:r>
        <w:rPr>
          <w:szCs w:val="24"/>
        </w:rPr>
        <w:t>are of the corporate partner</w:t>
      </w:r>
      <w:r w:rsidR="000C41F9">
        <w:rPr>
          <w:szCs w:val="24"/>
        </w:rPr>
        <w:t>,</w:t>
      </w:r>
      <w:r>
        <w:rPr>
          <w:szCs w:val="24"/>
        </w:rPr>
        <w:t xml:space="preserve"> if</w:t>
      </w:r>
      <w:r w:rsidRPr="00B057DE">
        <w:rPr>
          <w:szCs w:val="24"/>
        </w:rPr>
        <w:t xml:space="preserve"> other conditions are satisfied. In these circumstances</w:t>
      </w:r>
      <w:r w:rsidR="000C41F9">
        <w:rPr>
          <w:szCs w:val="24"/>
        </w:rPr>
        <w:t>,</w:t>
      </w:r>
      <w:r w:rsidRPr="00B057DE">
        <w:rPr>
          <w:szCs w:val="24"/>
        </w:rPr>
        <w:t xml:space="preserve"> HMRC is required to reallocate so much of the profit share of the corporate partner to the individual partner</w:t>
      </w:r>
      <w:r w:rsidR="009960FF">
        <w:rPr>
          <w:szCs w:val="24"/>
        </w:rPr>
        <w:t>’s power to enjoy</w:t>
      </w:r>
      <w:r w:rsidRPr="00B057DE">
        <w:rPr>
          <w:szCs w:val="24"/>
        </w:rPr>
        <w:t xml:space="preserve"> to the extent this is just and reasonable.</w:t>
      </w:r>
      <w:r w:rsidRPr="00B057DE">
        <w:rPr>
          <w:i/>
          <w:iCs/>
          <w:szCs w:val="24"/>
        </w:rPr>
        <w:t xml:space="preserve"> </w:t>
      </w:r>
      <w:r w:rsidR="00A82E00">
        <w:rPr>
          <w:iCs/>
          <w:szCs w:val="24"/>
        </w:rPr>
        <w:t xml:space="preserve">The purpose </w:t>
      </w:r>
      <w:r w:rsidR="0021045E">
        <w:rPr>
          <w:iCs/>
          <w:szCs w:val="24"/>
        </w:rPr>
        <w:t xml:space="preserve">of the rule </w:t>
      </w:r>
      <w:r w:rsidR="00A82E00">
        <w:rPr>
          <w:iCs/>
          <w:szCs w:val="24"/>
        </w:rPr>
        <w:t>is to prevent</w:t>
      </w:r>
      <w:r w:rsidR="00A82E00" w:rsidRPr="00B057DE">
        <w:rPr>
          <w:iCs/>
          <w:szCs w:val="24"/>
        </w:rPr>
        <w:t xml:space="preserve"> individual partners making arrangements which seek to accumulate profits in a corporate </w:t>
      </w:r>
      <w:r w:rsidR="00A82E00">
        <w:rPr>
          <w:iCs/>
          <w:szCs w:val="24"/>
        </w:rPr>
        <w:t>partner</w:t>
      </w:r>
      <w:r w:rsidR="00A82E00" w:rsidRPr="00B057DE">
        <w:rPr>
          <w:iCs/>
          <w:szCs w:val="24"/>
        </w:rPr>
        <w:t xml:space="preserve"> at a lower tax rate – fo</w:t>
      </w:r>
      <w:r w:rsidR="00A82E00">
        <w:rPr>
          <w:iCs/>
          <w:szCs w:val="24"/>
        </w:rPr>
        <w:t xml:space="preserve">r example, benefitting from the </w:t>
      </w:r>
      <w:r w:rsidR="00A82E00" w:rsidRPr="00B057DE">
        <w:rPr>
          <w:iCs/>
          <w:szCs w:val="24"/>
        </w:rPr>
        <w:t xml:space="preserve">rate of corporation tax </w:t>
      </w:r>
      <w:r w:rsidR="00A82E00">
        <w:rPr>
          <w:iCs/>
          <w:szCs w:val="24"/>
        </w:rPr>
        <w:t>which is lower than the</w:t>
      </w:r>
      <w:r w:rsidR="00A82E00" w:rsidRPr="00B057DE">
        <w:rPr>
          <w:iCs/>
          <w:szCs w:val="24"/>
        </w:rPr>
        <w:t xml:space="preserve"> higher or additional rate </w:t>
      </w:r>
      <w:r w:rsidR="00A82E00">
        <w:rPr>
          <w:iCs/>
          <w:szCs w:val="24"/>
        </w:rPr>
        <w:t xml:space="preserve">of </w:t>
      </w:r>
      <w:r w:rsidR="00A82E00" w:rsidRPr="00B057DE">
        <w:rPr>
          <w:iCs/>
          <w:szCs w:val="24"/>
        </w:rPr>
        <w:t>income tax</w:t>
      </w:r>
      <w:r w:rsidR="00A82E00">
        <w:rPr>
          <w:iCs/>
          <w:szCs w:val="24"/>
        </w:rPr>
        <w:t>.</w:t>
      </w:r>
    </w:p>
    <w:p w14:paraId="003A98FB" w14:textId="28F7EDDE" w:rsidR="00B057DE" w:rsidRPr="00B057DE" w:rsidRDefault="00B057DE" w:rsidP="00523F00">
      <w:pPr>
        <w:pStyle w:val="Bodytexttax1"/>
        <w:spacing w:before="120" w:after="120"/>
      </w:pPr>
      <w:r w:rsidRPr="00B057DE">
        <w:rPr>
          <w:szCs w:val="24"/>
        </w:rPr>
        <w:t xml:space="preserve">In this case, Mr </w:t>
      </w:r>
      <w:proofErr w:type="spellStart"/>
      <w:r w:rsidRPr="00B057DE">
        <w:rPr>
          <w:szCs w:val="24"/>
        </w:rPr>
        <w:t>Walewski</w:t>
      </w:r>
      <w:proofErr w:type="spellEnd"/>
      <w:r w:rsidRPr="00B057DE">
        <w:rPr>
          <w:szCs w:val="24"/>
        </w:rPr>
        <w:t xml:space="preserve"> (</w:t>
      </w:r>
      <w:r w:rsidR="00C34184">
        <w:rPr>
          <w:szCs w:val="24"/>
        </w:rPr>
        <w:t xml:space="preserve">or </w:t>
      </w:r>
      <w:r w:rsidRPr="00B057DE">
        <w:rPr>
          <w:szCs w:val="24"/>
        </w:rPr>
        <w:t xml:space="preserve">the </w:t>
      </w:r>
      <w:r w:rsidR="00C34184">
        <w:rPr>
          <w:szCs w:val="24"/>
        </w:rPr>
        <w:t>“</w:t>
      </w:r>
      <w:r w:rsidRPr="00B057DE">
        <w:rPr>
          <w:szCs w:val="24"/>
        </w:rPr>
        <w:t xml:space="preserve">Appellant”) and </w:t>
      </w:r>
      <w:proofErr w:type="spellStart"/>
      <w:r w:rsidRPr="00B057DE">
        <w:rPr>
          <w:szCs w:val="24"/>
        </w:rPr>
        <w:t>Walewski</w:t>
      </w:r>
      <w:proofErr w:type="spellEnd"/>
      <w:r w:rsidRPr="00B057DE">
        <w:rPr>
          <w:szCs w:val="24"/>
        </w:rPr>
        <w:t xml:space="preserve"> Limited (“W Ltd”) were both partners in two LLP partnerships: </w:t>
      </w:r>
      <w:proofErr w:type="spellStart"/>
      <w:r w:rsidRPr="00B057DE">
        <w:rPr>
          <w:szCs w:val="24"/>
        </w:rPr>
        <w:t>Alken</w:t>
      </w:r>
      <w:proofErr w:type="spellEnd"/>
      <w:r w:rsidRPr="00B057DE">
        <w:rPr>
          <w:szCs w:val="24"/>
        </w:rPr>
        <w:t xml:space="preserve"> Asset Management LLP (“AAM”) and </w:t>
      </w:r>
      <w:proofErr w:type="spellStart"/>
      <w:r w:rsidRPr="00B057DE">
        <w:rPr>
          <w:szCs w:val="24"/>
        </w:rPr>
        <w:t>Alken</w:t>
      </w:r>
      <w:proofErr w:type="spellEnd"/>
      <w:r w:rsidRPr="00B057DE">
        <w:rPr>
          <w:szCs w:val="24"/>
        </w:rPr>
        <w:t xml:space="preserve"> Finance LLP (“AF”). The Appellant was an individual partner and W Ltd was a non-individual or corporate partner. W Ltd was a UK company of which the Appellant was a sole director and employee. Partners of the LLPs </w:t>
      </w:r>
      <w:r w:rsidR="0018332A">
        <w:rPr>
          <w:szCs w:val="24"/>
        </w:rPr>
        <w:t xml:space="preserve">in this case </w:t>
      </w:r>
      <w:r w:rsidRPr="00B057DE">
        <w:rPr>
          <w:szCs w:val="24"/>
        </w:rPr>
        <w:t>are also referred to as members.</w:t>
      </w:r>
    </w:p>
    <w:p w14:paraId="4C3BD06E" w14:textId="19178691" w:rsidR="00B057DE" w:rsidRPr="007862D0" w:rsidRDefault="00B057DE" w:rsidP="00523F00">
      <w:pPr>
        <w:pStyle w:val="Bodytexttax1"/>
        <w:spacing w:before="120" w:after="120"/>
      </w:pPr>
      <w:r w:rsidRPr="007862D0">
        <w:t>HMRC charged the Appellant to income tax for the 2014-15 tax year under s</w:t>
      </w:r>
      <w:r w:rsidR="0021045E">
        <w:t xml:space="preserve">ection </w:t>
      </w:r>
      <w:r w:rsidRPr="007862D0">
        <w:t xml:space="preserve">850C ITTOIA on the basis that </w:t>
      </w:r>
      <w:r w:rsidR="00024B04" w:rsidRPr="007862D0">
        <w:t>the Appellant</w:t>
      </w:r>
      <w:r w:rsidR="00024B04">
        <w:t>’s</w:t>
      </w:r>
      <w:r w:rsidR="00024B04" w:rsidRPr="007862D0">
        <w:t xml:space="preserve"> </w:t>
      </w:r>
      <w:r w:rsidR="00024B04">
        <w:t>profit share from</w:t>
      </w:r>
      <w:r w:rsidRPr="007862D0">
        <w:t xml:space="preserve"> AAM and AF </w:t>
      </w:r>
      <w:r w:rsidR="00024B04">
        <w:t>should be increased by reference to the whole</w:t>
      </w:r>
      <w:r w:rsidR="0018332A">
        <w:t xml:space="preserve"> of the</w:t>
      </w:r>
      <w:r w:rsidR="00024B04">
        <w:t xml:space="preserve"> profit shares which had originally been</w:t>
      </w:r>
      <w:r w:rsidRPr="007862D0">
        <w:t xml:space="preserve"> allocated to W Lt</w:t>
      </w:r>
      <w:r w:rsidR="00024B04">
        <w:t>d</w:t>
      </w:r>
      <w:r w:rsidRPr="007862D0">
        <w:t>.</w:t>
      </w:r>
    </w:p>
    <w:p w14:paraId="2DB7EBCC" w14:textId="11EE29EC" w:rsidR="00B057DE" w:rsidRPr="007862D0" w:rsidRDefault="00B057DE" w:rsidP="00523F00">
      <w:pPr>
        <w:pStyle w:val="Bodytexttax1"/>
        <w:spacing w:before="120" w:after="120"/>
        <w:rPr>
          <w:szCs w:val="24"/>
        </w:rPr>
      </w:pPr>
      <w:r w:rsidRPr="007862D0">
        <w:rPr>
          <w:szCs w:val="24"/>
        </w:rPr>
        <w:t>The assessments were made by HMRC under s</w:t>
      </w:r>
      <w:r w:rsidR="0021045E">
        <w:rPr>
          <w:szCs w:val="24"/>
        </w:rPr>
        <w:t xml:space="preserve">ection </w:t>
      </w:r>
      <w:r w:rsidRPr="007862D0">
        <w:rPr>
          <w:szCs w:val="24"/>
        </w:rPr>
        <w:t>850C ITTOIA by way of two closure notices</w:t>
      </w:r>
      <w:r w:rsidR="0021045E">
        <w:rPr>
          <w:szCs w:val="24"/>
        </w:rPr>
        <w:t>, each</w:t>
      </w:r>
      <w:r w:rsidRPr="007862D0">
        <w:rPr>
          <w:szCs w:val="24"/>
        </w:rPr>
        <w:t xml:space="preserve"> dated 31 March 2017</w:t>
      </w:r>
      <w:r w:rsidR="0021045E">
        <w:rPr>
          <w:szCs w:val="24"/>
        </w:rPr>
        <w:t>,</w:t>
      </w:r>
      <w:r w:rsidRPr="007862D0">
        <w:rPr>
          <w:szCs w:val="24"/>
        </w:rPr>
        <w:t xml:space="preserve"> in which the pa</w:t>
      </w:r>
      <w:r w:rsidR="00024B04">
        <w:rPr>
          <w:szCs w:val="24"/>
        </w:rPr>
        <w:t>rtnership statements of the LLPs</w:t>
      </w:r>
      <w:r w:rsidRPr="007862D0">
        <w:rPr>
          <w:szCs w:val="24"/>
        </w:rPr>
        <w:t xml:space="preserve"> were amended with the result that:</w:t>
      </w:r>
    </w:p>
    <w:p w14:paraId="03DDB0CD" w14:textId="7118FCBE" w:rsidR="00B057DE" w:rsidRDefault="00B057DE" w:rsidP="00523F00">
      <w:pPr>
        <w:pStyle w:val="Bodytexttax2"/>
        <w:spacing w:before="120"/>
      </w:pPr>
      <w:r w:rsidRPr="007862D0">
        <w:t>£18,088,195 of profits from AAM were reallocated to the Appellant giving rise to total profits chargeable to income tax</w:t>
      </w:r>
      <w:r w:rsidR="0018332A">
        <w:t xml:space="preserve"> in his hands</w:t>
      </w:r>
      <w:r w:rsidRPr="007862D0">
        <w:t xml:space="preserve"> of £18,103,962; and</w:t>
      </w:r>
    </w:p>
    <w:p w14:paraId="6AD46B15" w14:textId="67EB665A" w:rsidR="00B057DE" w:rsidRPr="007862D0" w:rsidRDefault="00B057DE" w:rsidP="00523F00">
      <w:pPr>
        <w:pStyle w:val="Bodytexttax2"/>
        <w:spacing w:before="120"/>
      </w:pPr>
      <w:r w:rsidRPr="007862D0">
        <w:t xml:space="preserve">£1,372,510 of profits from AF were reallocated to the Appellant giving rise to total profits chargeable to income tax </w:t>
      </w:r>
      <w:r w:rsidR="0018332A">
        <w:t xml:space="preserve">in his hands </w:t>
      </w:r>
      <w:r w:rsidRPr="007862D0">
        <w:t>of £1,434,315.</w:t>
      </w:r>
    </w:p>
    <w:p w14:paraId="5B4FB394" w14:textId="4D199645" w:rsidR="00B057DE" w:rsidRPr="007862D0" w:rsidRDefault="00B057DE" w:rsidP="00523F00">
      <w:pPr>
        <w:pStyle w:val="Bodytexttax1"/>
        <w:spacing w:before="120" w:after="120"/>
        <w:rPr>
          <w:szCs w:val="24"/>
        </w:rPr>
      </w:pPr>
      <w:r w:rsidRPr="007862D0">
        <w:rPr>
          <w:szCs w:val="24"/>
        </w:rPr>
        <w:t xml:space="preserve">The Appellant appealed the amendments in the closure notices to the First-tier Tribunal (“FTT”). He </w:t>
      </w:r>
      <w:r w:rsidR="0062138B">
        <w:rPr>
          <w:szCs w:val="24"/>
        </w:rPr>
        <w:t>contended</w:t>
      </w:r>
      <w:r w:rsidR="0062138B" w:rsidRPr="007862D0">
        <w:rPr>
          <w:szCs w:val="24"/>
        </w:rPr>
        <w:t xml:space="preserve"> </w:t>
      </w:r>
      <w:r w:rsidRPr="007862D0">
        <w:rPr>
          <w:szCs w:val="24"/>
        </w:rPr>
        <w:t>that the additional profits of the two partnerships, amounting to £19,460,705</w:t>
      </w:r>
      <w:r w:rsidR="0062138B">
        <w:rPr>
          <w:szCs w:val="24"/>
        </w:rPr>
        <w:t>,</w:t>
      </w:r>
      <w:r w:rsidRPr="007862D0">
        <w:rPr>
          <w:szCs w:val="24"/>
        </w:rPr>
        <w:t xml:space="preserve"> should not be re-allocated to him because they were earned by W Ltd as a corporate partner and not by him in his capacity as an individual partner in AAM or AF. The majority of these profits were allocated to W Ltd from AAM. The remaining, much smaller amount (£1,372,510)</w:t>
      </w:r>
      <w:r w:rsidR="0021045E">
        <w:rPr>
          <w:szCs w:val="24"/>
        </w:rPr>
        <w:t>,</w:t>
      </w:r>
      <w:r w:rsidRPr="007862D0">
        <w:rPr>
          <w:szCs w:val="24"/>
        </w:rPr>
        <w:t> was allocated to W Ltd from AF.</w:t>
      </w:r>
    </w:p>
    <w:p w14:paraId="437EF57E" w14:textId="1FE4CFDA" w:rsidR="00B057DE" w:rsidRPr="0062138B" w:rsidRDefault="00B057DE" w:rsidP="00523F00">
      <w:pPr>
        <w:pStyle w:val="Bodytexttax1"/>
        <w:spacing w:before="120" w:after="120"/>
        <w:rPr>
          <w:szCs w:val="24"/>
        </w:rPr>
      </w:pPr>
      <w:r w:rsidRPr="007862D0">
        <w:rPr>
          <w:szCs w:val="24"/>
        </w:rPr>
        <w:lastRenderedPageBreak/>
        <w:t>The FTT dismissed the Appellant’s appeal in a decision released on 30 January 2020.  An amended decision was released on 21 April 2020</w:t>
      </w:r>
      <w:r w:rsidR="0021045E">
        <w:rPr>
          <w:szCs w:val="24"/>
        </w:rPr>
        <w:t xml:space="preserve"> (the </w:t>
      </w:r>
      <w:r w:rsidR="00C34184">
        <w:rPr>
          <w:szCs w:val="24"/>
        </w:rPr>
        <w:t>“</w:t>
      </w:r>
      <w:r w:rsidR="0021045E">
        <w:rPr>
          <w:szCs w:val="24"/>
        </w:rPr>
        <w:t>Decision”)</w:t>
      </w:r>
      <w:r w:rsidR="0062138B">
        <w:rPr>
          <w:szCs w:val="24"/>
        </w:rPr>
        <w:t xml:space="preserve">. </w:t>
      </w:r>
      <w:r w:rsidRPr="0062138B">
        <w:rPr>
          <w:szCs w:val="24"/>
        </w:rPr>
        <w:t xml:space="preserve">The FTT found that the profit share from the partnerships was not earned by W Ltd but was allocated to W Ltd because of the Appellant’s ability to enjoy those profits via an offshore trust to which W Ltd paid its profits and of which the Appellant’s children were beneficiaries. It found that the whole of W </w:t>
      </w:r>
      <w:proofErr w:type="spellStart"/>
      <w:r w:rsidRPr="0062138B">
        <w:rPr>
          <w:szCs w:val="24"/>
        </w:rPr>
        <w:t>Ltd’s</w:t>
      </w:r>
      <w:proofErr w:type="spellEnd"/>
      <w:r w:rsidRPr="0062138B">
        <w:rPr>
          <w:szCs w:val="24"/>
        </w:rPr>
        <w:t xml:space="preserve"> profit share was attributable to the Appellant’s power to enjoy its profits and </w:t>
      </w:r>
      <w:r w:rsidR="0062138B">
        <w:rPr>
          <w:szCs w:val="24"/>
        </w:rPr>
        <w:t xml:space="preserve">that </w:t>
      </w:r>
      <w:r w:rsidRPr="0062138B">
        <w:rPr>
          <w:szCs w:val="24"/>
        </w:rPr>
        <w:t xml:space="preserve">it was just and reasonable to reallocate all of W </w:t>
      </w:r>
      <w:proofErr w:type="spellStart"/>
      <w:r w:rsidRPr="0062138B">
        <w:rPr>
          <w:szCs w:val="24"/>
        </w:rPr>
        <w:t>Ltd’s</w:t>
      </w:r>
      <w:proofErr w:type="spellEnd"/>
      <w:r w:rsidRPr="0062138B">
        <w:rPr>
          <w:szCs w:val="24"/>
        </w:rPr>
        <w:t xml:space="preserve"> profits to the Appellant.</w:t>
      </w:r>
    </w:p>
    <w:p w14:paraId="789CBDF5" w14:textId="73073D52" w:rsidR="00B057DE" w:rsidRPr="00024B04" w:rsidRDefault="00B057DE" w:rsidP="00523F00">
      <w:pPr>
        <w:pStyle w:val="Bodytexttax1"/>
        <w:spacing w:before="120" w:after="120"/>
        <w:rPr>
          <w:szCs w:val="24"/>
        </w:rPr>
      </w:pPr>
      <w:r w:rsidRPr="007862D0">
        <w:rPr>
          <w:szCs w:val="24"/>
        </w:rPr>
        <w:t xml:space="preserve">The Appellant </w:t>
      </w:r>
      <w:r w:rsidR="0062138B">
        <w:rPr>
          <w:szCs w:val="24"/>
        </w:rPr>
        <w:t xml:space="preserve">sought to </w:t>
      </w:r>
      <w:r w:rsidRPr="007862D0">
        <w:rPr>
          <w:szCs w:val="24"/>
        </w:rPr>
        <w:t>appeal</w:t>
      </w:r>
      <w:r w:rsidR="0062138B">
        <w:rPr>
          <w:szCs w:val="24"/>
        </w:rPr>
        <w:t xml:space="preserve"> the Decision</w:t>
      </w:r>
      <w:r w:rsidRPr="007862D0">
        <w:rPr>
          <w:szCs w:val="24"/>
        </w:rPr>
        <w:t xml:space="preserve"> to the Upper Tribunal on two grounds. On 21 April 2020</w:t>
      </w:r>
      <w:r w:rsidR="0021045E">
        <w:rPr>
          <w:szCs w:val="24"/>
        </w:rPr>
        <w:t>,</w:t>
      </w:r>
      <w:r w:rsidRPr="007862D0">
        <w:rPr>
          <w:szCs w:val="24"/>
        </w:rPr>
        <w:t xml:space="preserve"> the FTT granted the Appellant permission to appeal on the first ground of appeal. On 22 May 2020 the Upper Tribunal granted the Appellant permission to appeal on the second ground.</w:t>
      </w:r>
    </w:p>
    <w:p w14:paraId="4B3AFF2D" w14:textId="5999A2A0" w:rsidR="00B057DE" w:rsidRDefault="00B057DE" w:rsidP="00523F00">
      <w:pPr>
        <w:pStyle w:val="Bodytexttax1"/>
        <w:spacing w:before="120" w:after="120"/>
        <w:rPr>
          <w:szCs w:val="24"/>
        </w:rPr>
      </w:pPr>
      <w:r w:rsidRPr="007862D0">
        <w:rPr>
          <w:szCs w:val="24"/>
        </w:rPr>
        <w:t xml:space="preserve">The first ground of appeal </w:t>
      </w:r>
      <w:r w:rsidR="0021045E" w:rsidRPr="007862D0">
        <w:rPr>
          <w:szCs w:val="24"/>
        </w:rPr>
        <w:t>(</w:t>
      </w:r>
      <w:r w:rsidR="0021045E">
        <w:rPr>
          <w:szCs w:val="24"/>
        </w:rPr>
        <w:t>“G</w:t>
      </w:r>
      <w:r w:rsidR="0021045E" w:rsidRPr="007862D0">
        <w:rPr>
          <w:szCs w:val="24"/>
        </w:rPr>
        <w:t>round 1</w:t>
      </w:r>
      <w:r w:rsidR="0021045E">
        <w:rPr>
          <w:szCs w:val="24"/>
        </w:rPr>
        <w:t>”</w:t>
      </w:r>
      <w:r w:rsidRPr="007862D0">
        <w:rPr>
          <w:szCs w:val="24"/>
        </w:rPr>
        <w:t>) is that</w:t>
      </w:r>
      <w:r w:rsidR="0021045E">
        <w:rPr>
          <w:szCs w:val="24"/>
        </w:rPr>
        <w:t>,</w:t>
      </w:r>
      <w:r w:rsidRPr="007862D0">
        <w:rPr>
          <w:szCs w:val="24"/>
        </w:rPr>
        <w:t xml:space="preserve"> to the extent W </w:t>
      </w:r>
      <w:proofErr w:type="spellStart"/>
      <w:r w:rsidRPr="007862D0">
        <w:rPr>
          <w:szCs w:val="24"/>
        </w:rPr>
        <w:t>Ltd’s</w:t>
      </w:r>
      <w:proofErr w:type="spellEnd"/>
      <w:r w:rsidRPr="007862D0">
        <w:rPr>
          <w:szCs w:val="24"/>
        </w:rPr>
        <w:t xml:space="preserve"> profit share was attributable to the period of time when the Appellant was not a partner of AAM (</w:t>
      </w:r>
      <w:r w:rsidR="0021045E">
        <w:rPr>
          <w:szCs w:val="24"/>
        </w:rPr>
        <w:t xml:space="preserve">which was </w:t>
      </w:r>
      <w:r w:rsidRPr="007862D0">
        <w:rPr>
          <w:szCs w:val="24"/>
        </w:rPr>
        <w:t xml:space="preserve">between August and November 2014), the profits </w:t>
      </w:r>
      <w:r w:rsidR="0021045E">
        <w:rPr>
          <w:szCs w:val="24"/>
        </w:rPr>
        <w:t>could not</w:t>
      </w:r>
      <w:r w:rsidR="0021045E" w:rsidRPr="007862D0">
        <w:rPr>
          <w:szCs w:val="24"/>
        </w:rPr>
        <w:t xml:space="preserve"> </w:t>
      </w:r>
      <w:r w:rsidRPr="007862D0">
        <w:rPr>
          <w:szCs w:val="24"/>
        </w:rPr>
        <w:t xml:space="preserve">have been reallocated to him. It </w:t>
      </w:r>
      <w:r w:rsidR="0021045E">
        <w:rPr>
          <w:szCs w:val="24"/>
        </w:rPr>
        <w:t>wa</w:t>
      </w:r>
      <w:r w:rsidRPr="007862D0">
        <w:rPr>
          <w:szCs w:val="24"/>
        </w:rPr>
        <w:t xml:space="preserve">s submitted that the FTT erred in finding that section 850C </w:t>
      </w:r>
      <w:r w:rsidR="0021045E" w:rsidRPr="00B057DE">
        <w:rPr>
          <w:szCs w:val="24"/>
        </w:rPr>
        <w:t>ITTOI</w:t>
      </w:r>
      <w:r w:rsidR="00384637">
        <w:rPr>
          <w:szCs w:val="24"/>
        </w:rPr>
        <w:t>A</w:t>
      </w:r>
      <w:r w:rsidR="0021045E">
        <w:rPr>
          <w:szCs w:val="24"/>
        </w:rPr>
        <w:t xml:space="preserve"> </w:t>
      </w:r>
      <w:r w:rsidRPr="007862D0">
        <w:rPr>
          <w:szCs w:val="24"/>
        </w:rPr>
        <w:t>could apply to such a time period.</w:t>
      </w:r>
    </w:p>
    <w:p w14:paraId="315C3651" w14:textId="69F9F3FF" w:rsidR="00B057DE" w:rsidRDefault="00B057DE" w:rsidP="00523F00">
      <w:pPr>
        <w:pStyle w:val="Bodytexttax1"/>
        <w:spacing w:before="120" w:after="120"/>
        <w:rPr>
          <w:szCs w:val="24"/>
        </w:rPr>
      </w:pPr>
      <w:r w:rsidRPr="004E0C31">
        <w:rPr>
          <w:szCs w:val="24"/>
        </w:rPr>
        <w:t xml:space="preserve">The second </w:t>
      </w:r>
      <w:r w:rsidR="0018332A">
        <w:rPr>
          <w:szCs w:val="24"/>
        </w:rPr>
        <w:t xml:space="preserve">ground </w:t>
      </w:r>
      <w:r w:rsidRPr="004E0C31">
        <w:rPr>
          <w:szCs w:val="24"/>
        </w:rPr>
        <w:t xml:space="preserve">of appeal </w:t>
      </w:r>
      <w:r w:rsidR="0021045E" w:rsidRPr="004E0C31">
        <w:rPr>
          <w:szCs w:val="24"/>
        </w:rPr>
        <w:t>(</w:t>
      </w:r>
      <w:r w:rsidR="0021045E">
        <w:rPr>
          <w:szCs w:val="24"/>
        </w:rPr>
        <w:t>“G</w:t>
      </w:r>
      <w:r w:rsidR="0021045E" w:rsidRPr="004E0C31">
        <w:rPr>
          <w:szCs w:val="24"/>
        </w:rPr>
        <w:t xml:space="preserve">round </w:t>
      </w:r>
      <w:r w:rsidRPr="004E0C31">
        <w:rPr>
          <w:szCs w:val="24"/>
        </w:rPr>
        <w:t>2</w:t>
      </w:r>
      <w:r w:rsidR="0021045E">
        <w:rPr>
          <w:szCs w:val="24"/>
        </w:rPr>
        <w:t>”</w:t>
      </w:r>
      <w:r w:rsidRPr="004E0C31">
        <w:rPr>
          <w:szCs w:val="24"/>
        </w:rPr>
        <w:t>) is premised on the FTT’s findings at [170]</w:t>
      </w:r>
      <w:r w:rsidR="0062138B">
        <w:rPr>
          <w:szCs w:val="24"/>
        </w:rPr>
        <w:t xml:space="preserve"> to </w:t>
      </w:r>
      <w:r w:rsidRPr="004E0C31">
        <w:rPr>
          <w:szCs w:val="24"/>
        </w:rPr>
        <w:t xml:space="preserve">[172] of the </w:t>
      </w:r>
      <w:r w:rsidR="0021045E">
        <w:rPr>
          <w:szCs w:val="24"/>
        </w:rPr>
        <w:t>D</w:t>
      </w:r>
      <w:r w:rsidRPr="004E0C31">
        <w:rPr>
          <w:szCs w:val="24"/>
        </w:rPr>
        <w:t xml:space="preserve">ecision that the Appellant’s work for W Ltd, AAM and AF was fungible, he was playing only a single role for the benefit of all three entities, and there was “no commercial, physical or temporal separation of [the Appellant’s] activities”. The Appellant submits that the inevitable consequence of these findings is that the FTT erred in allocating all of W </w:t>
      </w:r>
      <w:proofErr w:type="spellStart"/>
      <w:r w:rsidRPr="004E0C31">
        <w:rPr>
          <w:szCs w:val="24"/>
        </w:rPr>
        <w:t>Ltd’s</w:t>
      </w:r>
      <w:proofErr w:type="spellEnd"/>
      <w:r w:rsidRPr="004E0C31">
        <w:rPr>
          <w:szCs w:val="24"/>
        </w:rPr>
        <w:t xml:space="preserve"> profits to the Appellant for the relevant period. There should have been an equal division of W </w:t>
      </w:r>
      <w:proofErr w:type="spellStart"/>
      <w:r w:rsidRPr="004E0C31">
        <w:rPr>
          <w:szCs w:val="24"/>
        </w:rPr>
        <w:t>Ltd’s</w:t>
      </w:r>
      <w:proofErr w:type="spellEnd"/>
      <w:r w:rsidRPr="004E0C31">
        <w:rPr>
          <w:szCs w:val="24"/>
        </w:rPr>
        <w:t xml:space="preserve"> profits (excluding the amounts which could not be reallocated in any case).</w:t>
      </w:r>
    </w:p>
    <w:p w14:paraId="69B9BBFB" w14:textId="6CB66B35" w:rsidR="0062138B" w:rsidRDefault="0062138B" w:rsidP="00523F00">
      <w:pPr>
        <w:pStyle w:val="Bodytexttax1"/>
        <w:spacing w:before="120" w:after="120"/>
        <w:rPr>
          <w:szCs w:val="24"/>
        </w:rPr>
      </w:pPr>
      <w:r>
        <w:rPr>
          <w:szCs w:val="24"/>
        </w:rPr>
        <w:t>We consider these grounds of appeal in turn below</w:t>
      </w:r>
      <w:r w:rsidR="000F43A3">
        <w:rPr>
          <w:szCs w:val="24"/>
        </w:rPr>
        <w:t xml:space="preserve">, in Sections </w:t>
      </w:r>
      <w:r w:rsidR="00D61709">
        <w:rPr>
          <w:szCs w:val="24"/>
        </w:rPr>
        <w:t>D</w:t>
      </w:r>
      <w:r w:rsidR="000F43A3">
        <w:rPr>
          <w:szCs w:val="24"/>
        </w:rPr>
        <w:t xml:space="preserve"> and </w:t>
      </w:r>
      <w:r w:rsidR="00D61709">
        <w:rPr>
          <w:szCs w:val="24"/>
        </w:rPr>
        <w:t>E</w:t>
      </w:r>
      <w:r>
        <w:rPr>
          <w:szCs w:val="24"/>
        </w:rPr>
        <w:t xml:space="preserve">. Before we do so, however, </w:t>
      </w:r>
      <w:r w:rsidR="000F43A3">
        <w:rPr>
          <w:szCs w:val="24"/>
        </w:rPr>
        <w:t xml:space="preserve">it is necessary </w:t>
      </w:r>
      <w:r w:rsidR="009246EF">
        <w:rPr>
          <w:szCs w:val="24"/>
        </w:rPr>
        <w:t>to set out the relevant statutory provisions (which we do in Section B)</w:t>
      </w:r>
      <w:r w:rsidR="00F40F4F">
        <w:rPr>
          <w:szCs w:val="24"/>
        </w:rPr>
        <w:t xml:space="preserve"> and explain how those provisions were applied by </w:t>
      </w:r>
      <w:r w:rsidR="00EE7DF3">
        <w:rPr>
          <w:szCs w:val="24"/>
        </w:rPr>
        <w:t>HMRC and found to apply by the FTT (</w:t>
      </w:r>
      <w:r w:rsidR="00E015FF">
        <w:rPr>
          <w:szCs w:val="24"/>
        </w:rPr>
        <w:t xml:space="preserve">which we do in </w:t>
      </w:r>
      <w:r w:rsidR="00EE7DF3">
        <w:rPr>
          <w:szCs w:val="24"/>
        </w:rPr>
        <w:t>Section C).</w:t>
      </w:r>
      <w:r w:rsidR="00914844">
        <w:rPr>
          <w:szCs w:val="24"/>
        </w:rPr>
        <w:t xml:space="preserve"> In a number of respects, the Appellant accepted the approach of HMRC as considered by the FTT (or at least did not seek to appeal the FTT’s decision in these respects)</w:t>
      </w:r>
      <w:r w:rsidR="009B2EF9">
        <w:rPr>
          <w:szCs w:val="24"/>
        </w:rPr>
        <w:t xml:space="preserve">, but it is </w:t>
      </w:r>
      <w:r w:rsidR="00E015FF">
        <w:rPr>
          <w:szCs w:val="24"/>
        </w:rPr>
        <w:t xml:space="preserve">nevertheless </w:t>
      </w:r>
      <w:r w:rsidR="009B2EF9">
        <w:rPr>
          <w:szCs w:val="24"/>
        </w:rPr>
        <w:t>necessary to understand the overall approach in order properly to understand</w:t>
      </w:r>
      <w:r w:rsidR="00EE7DF3">
        <w:rPr>
          <w:szCs w:val="24"/>
        </w:rPr>
        <w:t xml:space="preserve"> </w:t>
      </w:r>
      <w:r w:rsidR="009B2EF9">
        <w:rPr>
          <w:szCs w:val="24"/>
        </w:rPr>
        <w:t>Ground 1 and Ground 2.</w:t>
      </w:r>
    </w:p>
    <w:p w14:paraId="3105FEC1" w14:textId="67766A57" w:rsidR="009B2EF9" w:rsidRPr="007862D0" w:rsidRDefault="009B2EF9" w:rsidP="00523F00">
      <w:pPr>
        <w:keepNext/>
        <w:tabs>
          <w:tab w:val="left" w:pos="567"/>
        </w:tabs>
        <w:spacing w:before="120" w:after="120"/>
        <w:jc w:val="both"/>
        <w:rPr>
          <w:szCs w:val="24"/>
        </w:rPr>
      </w:pPr>
      <w:r>
        <w:rPr>
          <w:b/>
          <w:bCs/>
          <w:szCs w:val="24"/>
        </w:rPr>
        <w:t>B.</w:t>
      </w:r>
      <w:r>
        <w:rPr>
          <w:b/>
          <w:bCs/>
          <w:szCs w:val="24"/>
        </w:rPr>
        <w:tab/>
      </w:r>
      <w:r w:rsidR="00E4317B" w:rsidRPr="007862D0">
        <w:rPr>
          <w:b/>
          <w:bCs/>
          <w:szCs w:val="24"/>
        </w:rPr>
        <w:t>THE</w:t>
      </w:r>
      <w:r w:rsidR="00E4317B">
        <w:rPr>
          <w:b/>
          <w:bCs/>
          <w:szCs w:val="24"/>
        </w:rPr>
        <w:t xml:space="preserve"> RELEVANT STATUTORY PROVISIONS</w:t>
      </w:r>
    </w:p>
    <w:p w14:paraId="4E0AFEFD" w14:textId="77777777" w:rsidR="009B2EF9" w:rsidRPr="007862D0" w:rsidRDefault="009B2EF9" w:rsidP="00523F00">
      <w:pPr>
        <w:pStyle w:val="Bodytexttax1"/>
        <w:spacing w:before="120" w:after="120"/>
        <w:rPr>
          <w:szCs w:val="24"/>
        </w:rPr>
      </w:pPr>
      <w:r w:rsidRPr="007862D0">
        <w:rPr>
          <w:szCs w:val="24"/>
        </w:rPr>
        <w:t>The profits or losses of an LLP that carries on a business with a view to profit are allocated between the partners according to their agreed partnership interests. Section 849 ITTOIA sets out the basic rule for calculating a partnership’s profit or losses: where, for any period in which a UK resident partner in the trading partnership is chargeable to income tax, the profits and losses of the trade are calculated as if the partnership were a UK resident individual.</w:t>
      </w:r>
    </w:p>
    <w:p w14:paraId="16E517B0" w14:textId="17A7B736" w:rsidR="009B2EF9" w:rsidRPr="007862D0" w:rsidRDefault="009B2EF9" w:rsidP="00523F00">
      <w:pPr>
        <w:pStyle w:val="Bodytexttax1"/>
        <w:spacing w:before="120" w:after="120"/>
        <w:rPr>
          <w:szCs w:val="24"/>
        </w:rPr>
      </w:pPr>
      <w:r w:rsidRPr="007862D0">
        <w:rPr>
          <w:szCs w:val="24"/>
        </w:rPr>
        <w:t>Section 850(1) ITTOIA provides that, for any period of account, a partner</w:t>
      </w:r>
      <w:r>
        <w:rPr>
          <w:szCs w:val="24"/>
        </w:rPr>
        <w:t>’</w:t>
      </w:r>
      <w:r w:rsidRPr="007862D0">
        <w:rPr>
          <w:szCs w:val="24"/>
        </w:rPr>
        <w:t>s share of a profit or loss of a trade carried on by a firm is determined for income tax purposes in accordance with the firm</w:t>
      </w:r>
      <w:r>
        <w:rPr>
          <w:szCs w:val="24"/>
        </w:rPr>
        <w:t>’</w:t>
      </w:r>
      <w:r w:rsidRPr="007862D0">
        <w:rPr>
          <w:szCs w:val="24"/>
        </w:rPr>
        <w:t xml:space="preserve">s profit-sharing arrangements during that period. Section 850(2) defines “profit-sharing arrangements” as “the rights of the partners to share in </w:t>
      </w:r>
      <w:r w:rsidRPr="007862D0">
        <w:rPr>
          <w:szCs w:val="24"/>
        </w:rPr>
        <w:lastRenderedPageBreak/>
        <w:t xml:space="preserve">the profits of the trade and the liabilities of the partners to share in the losses of the trade”. </w:t>
      </w:r>
    </w:p>
    <w:p w14:paraId="6DCA845D" w14:textId="671F4814" w:rsidR="009B2EF9" w:rsidRPr="007862D0" w:rsidRDefault="009B2EF9" w:rsidP="00523F00">
      <w:pPr>
        <w:pStyle w:val="Bodytexttax1"/>
        <w:spacing w:before="120" w:after="120"/>
        <w:rPr>
          <w:szCs w:val="24"/>
        </w:rPr>
      </w:pPr>
      <w:r w:rsidRPr="007862D0">
        <w:rPr>
          <w:szCs w:val="24"/>
        </w:rPr>
        <w:t xml:space="preserve">Section 850 is </w:t>
      </w:r>
      <w:r w:rsidR="001F14EA">
        <w:rPr>
          <w:szCs w:val="24"/>
        </w:rPr>
        <w:t xml:space="preserve">expressly </w:t>
      </w:r>
      <w:r w:rsidR="0090098C">
        <w:rPr>
          <w:szCs w:val="24"/>
        </w:rPr>
        <w:t xml:space="preserve">made </w:t>
      </w:r>
      <w:r w:rsidRPr="007862D0">
        <w:rPr>
          <w:szCs w:val="24"/>
        </w:rPr>
        <w:t xml:space="preserve">subject to </w:t>
      </w:r>
      <w:r w:rsidR="0090098C">
        <w:rPr>
          <w:szCs w:val="24"/>
        </w:rPr>
        <w:t>“</w:t>
      </w:r>
      <w:r w:rsidRPr="007862D0">
        <w:rPr>
          <w:szCs w:val="24"/>
        </w:rPr>
        <w:t>s</w:t>
      </w:r>
      <w:r>
        <w:rPr>
          <w:szCs w:val="24"/>
        </w:rPr>
        <w:t>ection</w:t>
      </w:r>
      <w:r w:rsidR="0090098C">
        <w:rPr>
          <w:szCs w:val="24"/>
        </w:rPr>
        <w:t>s</w:t>
      </w:r>
      <w:r>
        <w:rPr>
          <w:szCs w:val="24"/>
        </w:rPr>
        <w:t xml:space="preserve"> </w:t>
      </w:r>
      <w:r w:rsidRPr="007862D0">
        <w:rPr>
          <w:szCs w:val="24"/>
        </w:rPr>
        <w:t>850</w:t>
      </w:r>
      <w:r w:rsidR="0090098C">
        <w:rPr>
          <w:szCs w:val="24"/>
        </w:rPr>
        <w:t>A to 850D”</w:t>
      </w:r>
      <w:r w:rsidRPr="007862D0">
        <w:rPr>
          <w:szCs w:val="24"/>
        </w:rPr>
        <w:t>.</w:t>
      </w:r>
      <w:r w:rsidR="0090098C">
        <w:rPr>
          <w:szCs w:val="24"/>
        </w:rPr>
        <w:t xml:space="preserve"> For the purposes of this appeal, the critical section is s</w:t>
      </w:r>
      <w:r w:rsidRPr="007862D0">
        <w:rPr>
          <w:szCs w:val="24"/>
        </w:rPr>
        <w:t>ection 850C,</w:t>
      </w:r>
      <w:r w:rsidR="00D14442">
        <w:rPr>
          <w:szCs w:val="24"/>
        </w:rPr>
        <w:t xml:space="preserve"> although the parties did make reference to a number of other provisions of ITTOIA</w:t>
      </w:r>
      <w:r w:rsidR="003A0C3F">
        <w:rPr>
          <w:szCs w:val="24"/>
        </w:rPr>
        <w:t>. S</w:t>
      </w:r>
      <w:r w:rsidRPr="007862D0">
        <w:rPr>
          <w:szCs w:val="24"/>
        </w:rPr>
        <w:t xml:space="preserve">o far as </w:t>
      </w:r>
      <w:r w:rsidR="00FD135A">
        <w:rPr>
          <w:szCs w:val="24"/>
        </w:rPr>
        <w:t>is material</w:t>
      </w:r>
      <w:r w:rsidRPr="007862D0">
        <w:rPr>
          <w:szCs w:val="24"/>
        </w:rPr>
        <w:t xml:space="preserve">, </w:t>
      </w:r>
      <w:r w:rsidR="003A0C3F">
        <w:rPr>
          <w:szCs w:val="24"/>
        </w:rPr>
        <w:t xml:space="preserve">section 850C </w:t>
      </w:r>
      <w:r w:rsidRPr="007862D0">
        <w:rPr>
          <w:szCs w:val="24"/>
        </w:rPr>
        <w:t xml:space="preserve">provides: </w:t>
      </w:r>
    </w:p>
    <w:p w14:paraId="0D44E44A" w14:textId="77777777" w:rsidR="009B2EF9" w:rsidRPr="008B02B3" w:rsidRDefault="009B2EF9" w:rsidP="00523F00">
      <w:pPr>
        <w:spacing w:before="120" w:after="120"/>
        <w:jc w:val="both"/>
        <w:rPr>
          <w:sz w:val="22"/>
          <w:szCs w:val="22"/>
        </w:rPr>
      </w:pPr>
      <w:r w:rsidRPr="008B02B3">
        <w:rPr>
          <w:sz w:val="22"/>
          <w:szCs w:val="22"/>
        </w:rPr>
        <w:t>“(1)</w:t>
      </w:r>
      <w:r>
        <w:rPr>
          <w:sz w:val="22"/>
          <w:szCs w:val="22"/>
        </w:rPr>
        <w:tab/>
      </w:r>
      <w:r w:rsidRPr="008B02B3">
        <w:rPr>
          <w:sz w:val="22"/>
          <w:szCs w:val="22"/>
        </w:rPr>
        <w:t>Subsections (4) and (5) apply if</w:t>
      </w:r>
      <w:r>
        <w:rPr>
          <w:sz w:val="22"/>
          <w:szCs w:val="22"/>
        </w:rPr>
        <w:t xml:space="preserve"> –</w:t>
      </w:r>
    </w:p>
    <w:p w14:paraId="26F6B224" w14:textId="77777777" w:rsidR="009B2EF9"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for a period of account (“the relevant period of account”)</w:t>
      </w:r>
      <w:r>
        <w:rPr>
          <w:sz w:val="22"/>
          <w:szCs w:val="22"/>
        </w:rPr>
        <w:t xml:space="preserve"> – </w:t>
      </w:r>
    </w:p>
    <w:p w14:paraId="611CDEF3" w14:textId="77777777" w:rsidR="009B2EF9" w:rsidRPr="008B02B3" w:rsidRDefault="009B2EF9" w:rsidP="00523F00">
      <w:pPr>
        <w:spacing w:before="120" w:after="120"/>
        <w:ind w:left="2160" w:hanging="720"/>
        <w:jc w:val="both"/>
        <w:rPr>
          <w:sz w:val="22"/>
          <w:szCs w:val="22"/>
        </w:rPr>
      </w:pPr>
      <w:r w:rsidRPr="008B02B3">
        <w:rPr>
          <w:sz w:val="22"/>
          <w:szCs w:val="22"/>
        </w:rPr>
        <w:t>(</w:t>
      </w:r>
      <w:proofErr w:type="spellStart"/>
      <w:r w:rsidRPr="008B02B3">
        <w:rPr>
          <w:sz w:val="22"/>
          <w:szCs w:val="22"/>
        </w:rPr>
        <w:t>i</w:t>
      </w:r>
      <w:proofErr w:type="spellEnd"/>
      <w:r w:rsidRPr="008B02B3">
        <w:rPr>
          <w:sz w:val="22"/>
          <w:szCs w:val="22"/>
        </w:rPr>
        <w:t>)</w:t>
      </w:r>
      <w:r>
        <w:rPr>
          <w:sz w:val="22"/>
          <w:szCs w:val="22"/>
        </w:rPr>
        <w:tab/>
      </w:r>
      <w:r w:rsidRPr="008B02B3">
        <w:rPr>
          <w:sz w:val="22"/>
          <w:szCs w:val="22"/>
        </w:rPr>
        <w:t xml:space="preserve">the calculation under section 849 in relation to an individual partner (“A”) (see subsection (6)) produces a profit for the firm, and </w:t>
      </w:r>
    </w:p>
    <w:p w14:paraId="2BA2023F" w14:textId="77777777" w:rsidR="009B2EF9" w:rsidRPr="008B02B3" w:rsidRDefault="009B2EF9" w:rsidP="00523F00">
      <w:pPr>
        <w:spacing w:before="120" w:after="120"/>
        <w:ind w:left="2160" w:hanging="720"/>
        <w:jc w:val="both"/>
        <w:rPr>
          <w:sz w:val="22"/>
          <w:szCs w:val="22"/>
        </w:rPr>
      </w:pPr>
      <w:r w:rsidRPr="008B02B3">
        <w:rPr>
          <w:sz w:val="22"/>
          <w:szCs w:val="22"/>
        </w:rPr>
        <w:t xml:space="preserve">(ii) </w:t>
      </w:r>
      <w:r>
        <w:rPr>
          <w:sz w:val="22"/>
          <w:szCs w:val="22"/>
        </w:rPr>
        <w:tab/>
      </w:r>
      <w:r w:rsidRPr="008B02B3">
        <w:rPr>
          <w:sz w:val="22"/>
          <w:szCs w:val="22"/>
        </w:rPr>
        <w:t xml:space="preserve">A’s share of that profit determined under section 850 or 850A (“A’s profit share”) is a profit or is neither a profit nor a loss, </w:t>
      </w:r>
    </w:p>
    <w:p w14:paraId="013CE8EE" w14:textId="77777777" w:rsidR="009B2EF9" w:rsidRPr="008B02B3" w:rsidRDefault="009B2EF9" w:rsidP="00523F00">
      <w:pPr>
        <w:spacing w:before="120" w:after="120"/>
        <w:ind w:left="1440" w:hanging="720"/>
        <w:jc w:val="both"/>
        <w:rPr>
          <w:sz w:val="22"/>
          <w:szCs w:val="22"/>
        </w:rPr>
      </w:pPr>
      <w:r w:rsidRPr="008B02B3">
        <w:rPr>
          <w:sz w:val="22"/>
          <w:szCs w:val="22"/>
        </w:rPr>
        <w:t>(b)</w:t>
      </w:r>
      <w:r>
        <w:rPr>
          <w:sz w:val="22"/>
          <w:szCs w:val="22"/>
        </w:rPr>
        <w:tab/>
      </w:r>
      <w:r w:rsidRPr="008B02B3">
        <w:rPr>
          <w:sz w:val="22"/>
          <w:szCs w:val="22"/>
        </w:rPr>
        <w:t>a non-individual partner (“B”) (see subsection (6)) has a share of the profit for the firm mentioned in paragraph (a)(</w:t>
      </w:r>
      <w:proofErr w:type="spellStart"/>
      <w:r w:rsidRPr="008B02B3">
        <w:rPr>
          <w:sz w:val="22"/>
          <w:szCs w:val="22"/>
        </w:rPr>
        <w:t>i</w:t>
      </w:r>
      <w:proofErr w:type="spellEnd"/>
      <w:r w:rsidRPr="008B02B3">
        <w:rPr>
          <w:sz w:val="22"/>
          <w:szCs w:val="22"/>
        </w:rPr>
        <w:t>) (“B’s profit share”) which is a profit (see subsection (7)), and</w:t>
      </w:r>
    </w:p>
    <w:p w14:paraId="18C0B53A" w14:textId="77777777" w:rsidR="009B2EF9" w:rsidRPr="008B02B3" w:rsidRDefault="009B2EF9" w:rsidP="00523F00">
      <w:pPr>
        <w:spacing w:before="120" w:after="120"/>
        <w:ind w:left="1440" w:hanging="720"/>
        <w:jc w:val="both"/>
        <w:rPr>
          <w:sz w:val="22"/>
          <w:szCs w:val="22"/>
        </w:rPr>
      </w:pPr>
      <w:r w:rsidRPr="008B02B3">
        <w:rPr>
          <w:sz w:val="22"/>
          <w:szCs w:val="22"/>
        </w:rPr>
        <w:t xml:space="preserve">(c) condition X or Y is met. </w:t>
      </w:r>
    </w:p>
    <w:p w14:paraId="33F51F7B" w14:textId="129B63AC" w:rsidR="009B2EF9" w:rsidRPr="008B02B3" w:rsidRDefault="009B2EF9" w:rsidP="00523F00">
      <w:pPr>
        <w:spacing w:before="120" w:after="120"/>
        <w:jc w:val="both"/>
        <w:rPr>
          <w:sz w:val="22"/>
          <w:szCs w:val="22"/>
        </w:rPr>
      </w:pPr>
      <w:r w:rsidRPr="008B02B3">
        <w:rPr>
          <w:sz w:val="22"/>
          <w:szCs w:val="22"/>
        </w:rPr>
        <w:t>(2)</w:t>
      </w:r>
      <w:r>
        <w:rPr>
          <w:sz w:val="22"/>
          <w:szCs w:val="22"/>
        </w:rPr>
        <w:tab/>
      </w:r>
      <w:r w:rsidRPr="008B02B3">
        <w:rPr>
          <w:sz w:val="22"/>
          <w:szCs w:val="22"/>
        </w:rPr>
        <w:t xml:space="preserve">Condition </w:t>
      </w:r>
      <w:r w:rsidR="008663EC">
        <w:rPr>
          <w:sz w:val="22"/>
          <w:szCs w:val="22"/>
        </w:rPr>
        <w:t>X</w:t>
      </w:r>
      <w:r w:rsidRPr="008B02B3">
        <w:rPr>
          <w:sz w:val="22"/>
          <w:szCs w:val="22"/>
        </w:rPr>
        <w:t xml:space="preserve"> is that…</w:t>
      </w:r>
    </w:p>
    <w:p w14:paraId="5DC57382" w14:textId="77777777" w:rsidR="009B2EF9" w:rsidRPr="008B02B3" w:rsidRDefault="009B2EF9" w:rsidP="00523F00">
      <w:pPr>
        <w:spacing w:before="120" w:after="120"/>
        <w:jc w:val="both"/>
        <w:rPr>
          <w:sz w:val="22"/>
          <w:szCs w:val="22"/>
        </w:rPr>
      </w:pPr>
      <w:r w:rsidRPr="008B02B3">
        <w:rPr>
          <w:sz w:val="22"/>
          <w:szCs w:val="22"/>
        </w:rPr>
        <w:t>(3)</w:t>
      </w:r>
      <w:r>
        <w:rPr>
          <w:sz w:val="22"/>
          <w:szCs w:val="22"/>
        </w:rPr>
        <w:tab/>
      </w:r>
      <w:r w:rsidRPr="008B02B3">
        <w:rPr>
          <w:sz w:val="22"/>
          <w:szCs w:val="22"/>
        </w:rPr>
        <w:t>Condition Y is that</w:t>
      </w:r>
      <w:r>
        <w:rPr>
          <w:sz w:val="22"/>
          <w:szCs w:val="22"/>
        </w:rPr>
        <w:t xml:space="preserve"> –</w:t>
      </w:r>
    </w:p>
    <w:p w14:paraId="7AED1ECC" w14:textId="77777777" w:rsidR="009B2EF9" w:rsidRPr="008B02B3"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B’s profit share exceeds the appropriate notional profit (see subsections (10) to (17)),</w:t>
      </w:r>
    </w:p>
    <w:p w14:paraId="75C37516"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A has the power to enjoy B’s profit share (“A’s power to enjoy”) (see subsections (18) to (21)), and</w:t>
      </w:r>
    </w:p>
    <w:p w14:paraId="666FCC4B" w14:textId="77777777" w:rsidR="009B2EF9" w:rsidRPr="008B02B3" w:rsidRDefault="009B2EF9" w:rsidP="00523F00">
      <w:pPr>
        <w:spacing w:before="120" w:after="120"/>
        <w:ind w:left="1440" w:hanging="720"/>
        <w:jc w:val="both"/>
        <w:rPr>
          <w:sz w:val="22"/>
          <w:szCs w:val="22"/>
        </w:rPr>
      </w:pPr>
      <w:r w:rsidRPr="008B02B3">
        <w:rPr>
          <w:sz w:val="22"/>
          <w:szCs w:val="22"/>
        </w:rPr>
        <w:t>(c)</w:t>
      </w:r>
      <w:r>
        <w:rPr>
          <w:sz w:val="22"/>
          <w:szCs w:val="22"/>
        </w:rPr>
        <w:tab/>
      </w:r>
      <w:r w:rsidRPr="008B02B3">
        <w:rPr>
          <w:sz w:val="22"/>
          <w:szCs w:val="22"/>
        </w:rPr>
        <w:t>it is reasonable to suppose that</w:t>
      </w:r>
      <w:r>
        <w:rPr>
          <w:sz w:val="22"/>
          <w:szCs w:val="22"/>
        </w:rPr>
        <w:t xml:space="preserve"> –</w:t>
      </w:r>
    </w:p>
    <w:p w14:paraId="69FD4A76" w14:textId="77777777" w:rsidR="009B2EF9" w:rsidRPr="008B02B3" w:rsidRDefault="009B2EF9" w:rsidP="00523F00">
      <w:pPr>
        <w:spacing w:before="120" w:after="120"/>
        <w:ind w:left="2160" w:hanging="720"/>
        <w:jc w:val="both"/>
        <w:rPr>
          <w:sz w:val="22"/>
          <w:szCs w:val="22"/>
        </w:rPr>
      </w:pPr>
      <w:r w:rsidRPr="008B02B3">
        <w:rPr>
          <w:sz w:val="22"/>
          <w:szCs w:val="22"/>
        </w:rPr>
        <w:t>(</w:t>
      </w:r>
      <w:proofErr w:type="spellStart"/>
      <w:r w:rsidRPr="008B02B3">
        <w:rPr>
          <w:sz w:val="22"/>
          <w:szCs w:val="22"/>
        </w:rPr>
        <w:t>i</w:t>
      </w:r>
      <w:proofErr w:type="spellEnd"/>
      <w:r w:rsidRPr="008B02B3">
        <w:rPr>
          <w:sz w:val="22"/>
          <w:szCs w:val="22"/>
        </w:rPr>
        <w:t xml:space="preserve">) </w:t>
      </w:r>
      <w:r>
        <w:rPr>
          <w:sz w:val="22"/>
          <w:szCs w:val="22"/>
        </w:rPr>
        <w:tab/>
      </w:r>
      <w:r w:rsidRPr="008B02B3">
        <w:rPr>
          <w:sz w:val="22"/>
          <w:szCs w:val="22"/>
        </w:rPr>
        <w:t>the whole or any part of B’s profit share is attributable to A’s power to enjoy, and</w:t>
      </w:r>
    </w:p>
    <w:p w14:paraId="351E7C51" w14:textId="77777777" w:rsidR="009B2EF9" w:rsidRPr="008B02B3" w:rsidRDefault="009B2EF9" w:rsidP="00523F00">
      <w:pPr>
        <w:spacing w:before="120" w:after="120"/>
        <w:ind w:left="2160" w:hanging="720"/>
        <w:jc w:val="both"/>
        <w:rPr>
          <w:sz w:val="22"/>
          <w:szCs w:val="22"/>
        </w:rPr>
      </w:pPr>
      <w:r w:rsidRPr="008B02B3">
        <w:rPr>
          <w:sz w:val="22"/>
          <w:szCs w:val="22"/>
        </w:rPr>
        <w:t xml:space="preserve">(ii) </w:t>
      </w:r>
      <w:r>
        <w:rPr>
          <w:sz w:val="22"/>
          <w:szCs w:val="22"/>
        </w:rPr>
        <w:tab/>
      </w:r>
      <w:r w:rsidRPr="008B02B3">
        <w:rPr>
          <w:sz w:val="22"/>
          <w:szCs w:val="22"/>
        </w:rPr>
        <w:t>both A’s profit share and the relevant tax amount (see subsection 9) are lower than they would have been in the absence of A’s power to enjoy.</w:t>
      </w:r>
    </w:p>
    <w:p w14:paraId="6D93F508" w14:textId="77777777" w:rsidR="009B2EF9" w:rsidRPr="008B02B3" w:rsidRDefault="009B2EF9" w:rsidP="00523F00">
      <w:pPr>
        <w:spacing w:before="120" w:after="120"/>
        <w:ind w:left="720" w:hanging="720"/>
        <w:jc w:val="both"/>
        <w:rPr>
          <w:sz w:val="22"/>
          <w:szCs w:val="22"/>
        </w:rPr>
      </w:pPr>
      <w:r w:rsidRPr="008B02B3">
        <w:rPr>
          <w:sz w:val="22"/>
          <w:szCs w:val="22"/>
        </w:rPr>
        <w:t>(4)</w:t>
      </w:r>
      <w:r>
        <w:rPr>
          <w:sz w:val="22"/>
          <w:szCs w:val="22"/>
        </w:rPr>
        <w:tab/>
      </w:r>
      <w:r w:rsidRPr="008B02B3">
        <w:rPr>
          <w:sz w:val="22"/>
          <w:szCs w:val="22"/>
        </w:rPr>
        <w:t>A’s profit share is increased by so much of the amount of B’s profit share as, it is reasonable to suppose, is attributable to</w:t>
      </w:r>
      <w:r>
        <w:rPr>
          <w:sz w:val="22"/>
          <w:szCs w:val="22"/>
        </w:rPr>
        <w:t xml:space="preserve"> – </w:t>
      </w:r>
    </w:p>
    <w:p w14:paraId="602C2A4B" w14:textId="77777777" w:rsidR="009B2EF9" w:rsidRPr="008B02B3"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A’s deferred profit, or</w:t>
      </w:r>
    </w:p>
    <w:p w14:paraId="39DF4A0C" w14:textId="77777777" w:rsidR="00E80562"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 xml:space="preserve">A’s power to enjoy, </w:t>
      </w:r>
    </w:p>
    <w:p w14:paraId="195F58CA" w14:textId="4110BAE9" w:rsidR="009B2EF9" w:rsidRPr="008B02B3" w:rsidRDefault="009B2EF9" w:rsidP="00523F00">
      <w:pPr>
        <w:spacing w:before="120" w:after="120"/>
        <w:ind w:left="1440" w:hanging="720"/>
        <w:jc w:val="both"/>
        <w:rPr>
          <w:sz w:val="22"/>
          <w:szCs w:val="22"/>
        </w:rPr>
      </w:pPr>
      <w:r w:rsidRPr="008B02B3">
        <w:rPr>
          <w:sz w:val="22"/>
          <w:szCs w:val="22"/>
        </w:rPr>
        <w:t>as determined on a just and reasonable basis.</w:t>
      </w:r>
    </w:p>
    <w:p w14:paraId="79DDF32E" w14:textId="77777777" w:rsidR="009B2EF9" w:rsidRPr="008B02B3" w:rsidRDefault="009B2EF9" w:rsidP="00523F00">
      <w:pPr>
        <w:spacing w:before="120" w:after="120"/>
        <w:ind w:left="720"/>
        <w:jc w:val="both"/>
        <w:rPr>
          <w:sz w:val="22"/>
          <w:szCs w:val="22"/>
        </w:rPr>
      </w:pPr>
      <w:r w:rsidRPr="008B02B3">
        <w:rPr>
          <w:sz w:val="22"/>
          <w:szCs w:val="22"/>
        </w:rPr>
        <w:t xml:space="preserve">But any increase by virtue of paragraph (b) is not to exceed the amount of the excess mentioned in subsection (3)(a) after deducting from that amount any increase by virtue of paragraph (a). </w:t>
      </w:r>
    </w:p>
    <w:p w14:paraId="52C71595" w14:textId="77777777" w:rsidR="009B2EF9" w:rsidRPr="008B02B3" w:rsidRDefault="009B2EF9" w:rsidP="00523F00">
      <w:pPr>
        <w:spacing w:before="120" w:after="120"/>
        <w:ind w:left="720" w:hanging="720"/>
        <w:jc w:val="both"/>
        <w:rPr>
          <w:sz w:val="22"/>
          <w:szCs w:val="22"/>
        </w:rPr>
      </w:pPr>
      <w:r w:rsidRPr="008B02B3">
        <w:rPr>
          <w:sz w:val="22"/>
          <w:szCs w:val="22"/>
        </w:rPr>
        <w:t>(5)</w:t>
      </w:r>
      <w:r>
        <w:rPr>
          <w:sz w:val="22"/>
          <w:szCs w:val="22"/>
        </w:rPr>
        <w:tab/>
      </w:r>
      <w:r w:rsidRPr="008B02B3">
        <w:rPr>
          <w:sz w:val="22"/>
          <w:szCs w:val="22"/>
        </w:rPr>
        <w:t xml:space="preserve">… </w:t>
      </w:r>
    </w:p>
    <w:p w14:paraId="3A93E84B" w14:textId="77777777" w:rsidR="009B2EF9" w:rsidRPr="008B02B3" w:rsidRDefault="009B2EF9" w:rsidP="00523F00">
      <w:pPr>
        <w:spacing w:before="120" w:after="120"/>
        <w:ind w:left="720" w:hanging="720"/>
        <w:jc w:val="both"/>
        <w:rPr>
          <w:sz w:val="22"/>
          <w:szCs w:val="22"/>
        </w:rPr>
      </w:pPr>
      <w:r w:rsidRPr="008B02B3">
        <w:rPr>
          <w:sz w:val="22"/>
          <w:szCs w:val="22"/>
        </w:rPr>
        <w:t>(6)</w:t>
      </w:r>
      <w:r>
        <w:rPr>
          <w:sz w:val="22"/>
          <w:szCs w:val="22"/>
        </w:rPr>
        <w:tab/>
      </w:r>
      <w:r w:rsidRPr="008B02B3">
        <w:rPr>
          <w:sz w:val="22"/>
          <w:szCs w:val="22"/>
        </w:rPr>
        <w:t>A partner in a firm is an “individual partner” if the partner is an individual and “non- individual partner” is to be read accordingly; but “non-individual partner” does not include the firm itself where it is treated as a partner under section 863I (allocation of profit to</w:t>
      </w:r>
      <w:r>
        <w:rPr>
          <w:sz w:val="22"/>
          <w:szCs w:val="22"/>
        </w:rPr>
        <w:t xml:space="preserve"> a</w:t>
      </w:r>
      <w:r w:rsidRPr="008B02B3">
        <w:rPr>
          <w:sz w:val="22"/>
          <w:szCs w:val="22"/>
        </w:rPr>
        <w:t xml:space="preserve"> firm).</w:t>
      </w:r>
    </w:p>
    <w:p w14:paraId="5743660D" w14:textId="77777777" w:rsidR="009B2EF9" w:rsidRPr="008B02B3" w:rsidRDefault="009B2EF9" w:rsidP="00523F00">
      <w:pPr>
        <w:spacing w:before="120" w:after="120"/>
        <w:ind w:left="720" w:hanging="720"/>
        <w:jc w:val="both"/>
        <w:rPr>
          <w:sz w:val="22"/>
          <w:szCs w:val="22"/>
        </w:rPr>
      </w:pPr>
      <w:r w:rsidRPr="008B02B3">
        <w:rPr>
          <w:sz w:val="22"/>
          <w:szCs w:val="22"/>
        </w:rPr>
        <w:lastRenderedPageBreak/>
        <w:t xml:space="preserve">(7) </w:t>
      </w:r>
      <w:r>
        <w:rPr>
          <w:sz w:val="22"/>
          <w:szCs w:val="22"/>
        </w:rPr>
        <w:tab/>
      </w:r>
      <w:r w:rsidRPr="008B02B3">
        <w:rPr>
          <w:sz w:val="22"/>
          <w:szCs w:val="22"/>
        </w:rPr>
        <w:t>B’s profit share is to be determined by applying section 850 and, if relevant, section 850A in relation to B for the relevant period of account (whether or not B is chargeable to income tax) on the assumption that the calculation under section 849 in relation to B produces the profit for the firm mentioned in subsection (1)(a)(</w:t>
      </w:r>
      <w:proofErr w:type="spellStart"/>
      <w:r w:rsidRPr="008B02B3">
        <w:rPr>
          <w:sz w:val="22"/>
          <w:szCs w:val="22"/>
        </w:rPr>
        <w:t>i</w:t>
      </w:r>
      <w:proofErr w:type="spellEnd"/>
      <w:r w:rsidRPr="008B02B3">
        <w:rPr>
          <w:sz w:val="22"/>
          <w:szCs w:val="22"/>
        </w:rPr>
        <w:t>).</w:t>
      </w:r>
    </w:p>
    <w:p w14:paraId="4FAEF4A3" w14:textId="77777777" w:rsidR="009B2EF9" w:rsidRPr="008B02B3" w:rsidRDefault="009B2EF9" w:rsidP="00523F00">
      <w:pPr>
        <w:spacing w:before="120" w:after="120"/>
        <w:ind w:left="720" w:hanging="720"/>
        <w:jc w:val="both"/>
        <w:rPr>
          <w:sz w:val="22"/>
          <w:szCs w:val="22"/>
        </w:rPr>
      </w:pPr>
      <w:r w:rsidRPr="008B02B3">
        <w:rPr>
          <w:sz w:val="22"/>
          <w:szCs w:val="22"/>
        </w:rPr>
        <w:t>(8)</w:t>
      </w:r>
      <w:r>
        <w:rPr>
          <w:sz w:val="22"/>
          <w:szCs w:val="22"/>
        </w:rPr>
        <w:tab/>
      </w:r>
      <w:r w:rsidRPr="008B02B3">
        <w:rPr>
          <w:sz w:val="22"/>
          <w:szCs w:val="22"/>
        </w:rPr>
        <w:t>…</w:t>
      </w:r>
    </w:p>
    <w:p w14:paraId="05EBEAFC" w14:textId="77777777" w:rsidR="009B2EF9" w:rsidRPr="008B02B3" w:rsidRDefault="009B2EF9" w:rsidP="00523F00">
      <w:pPr>
        <w:spacing w:before="120" w:after="120"/>
        <w:ind w:left="720" w:hanging="720"/>
        <w:jc w:val="both"/>
        <w:rPr>
          <w:sz w:val="22"/>
          <w:szCs w:val="22"/>
        </w:rPr>
      </w:pPr>
      <w:r w:rsidRPr="008B02B3">
        <w:rPr>
          <w:sz w:val="22"/>
          <w:szCs w:val="22"/>
        </w:rPr>
        <w:t xml:space="preserve">(9) </w:t>
      </w:r>
      <w:r>
        <w:rPr>
          <w:sz w:val="22"/>
          <w:szCs w:val="22"/>
        </w:rPr>
        <w:tab/>
      </w:r>
      <w:r w:rsidRPr="008B02B3">
        <w:rPr>
          <w:sz w:val="22"/>
          <w:szCs w:val="22"/>
        </w:rPr>
        <w:t>“The relevant tax amount” is the total amount of tax which, apart from this section, would be chargeable in respect of A and B’s income as partners in the firm.</w:t>
      </w:r>
    </w:p>
    <w:p w14:paraId="46A269E3" w14:textId="77777777" w:rsidR="009B2EF9" w:rsidRPr="008B02B3" w:rsidRDefault="009B2EF9" w:rsidP="00523F00">
      <w:pPr>
        <w:spacing w:before="120" w:after="120"/>
        <w:ind w:left="720" w:hanging="720"/>
        <w:jc w:val="both"/>
        <w:rPr>
          <w:sz w:val="22"/>
          <w:szCs w:val="22"/>
        </w:rPr>
      </w:pPr>
      <w:r w:rsidRPr="008B02B3">
        <w:rPr>
          <w:sz w:val="22"/>
          <w:szCs w:val="22"/>
        </w:rPr>
        <w:t xml:space="preserve">(10) </w:t>
      </w:r>
      <w:r>
        <w:rPr>
          <w:sz w:val="22"/>
          <w:szCs w:val="22"/>
        </w:rPr>
        <w:tab/>
      </w:r>
      <w:r w:rsidRPr="008B02B3">
        <w:rPr>
          <w:sz w:val="22"/>
          <w:szCs w:val="22"/>
        </w:rPr>
        <w:t>“The appropriate notional profit” is the sum of the appropriate notional return on capital and the appropriate notional consideration for services</w:t>
      </w:r>
      <w:r>
        <w:rPr>
          <w:sz w:val="22"/>
          <w:szCs w:val="22"/>
        </w:rPr>
        <w:t>.</w:t>
      </w:r>
    </w:p>
    <w:p w14:paraId="5FC506F9" w14:textId="77777777" w:rsidR="009B2EF9" w:rsidRDefault="009B2EF9" w:rsidP="00523F00">
      <w:pPr>
        <w:spacing w:before="120" w:after="120"/>
        <w:ind w:left="720" w:hanging="720"/>
        <w:jc w:val="both"/>
        <w:rPr>
          <w:sz w:val="22"/>
          <w:szCs w:val="22"/>
        </w:rPr>
      </w:pPr>
      <w:r w:rsidRPr="008B02B3">
        <w:rPr>
          <w:sz w:val="22"/>
          <w:szCs w:val="22"/>
        </w:rPr>
        <w:t>(11)</w:t>
      </w:r>
      <w:r>
        <w:rPr>
          <w:sz w:val="22"/>
          <w:szCs w:val="22"/>
        </w:rPr>
        <w:tab/>
      </w:r>
      <w:r w:rsidRPr="008B02B3">
        <w:rPr>
          <w:sz w:val="22"/>
          <w:szCs w:val="22"/>
        </w:rPr>
        <w:t>“The appropriate notional return on capital” is</w:t>
      </w:r>
      <w:r>
        <w:rPr>
          <w:sz w:val="22"/>
          <w:szCs w:val="22"/>
        </w:rPr>
        <w:t xml:space="preserve"> – </w:t>
      </w:r>
    </w:p>
    <w:p w14:paraId="24A972AC" w14:textId="77777777" w:rsidR="009B2EF9" w:rsidRPr="008B02B3" w:rsidRDefault="009B2EF9" w:rsidP="00523F00">
      <w:pPr>
        <w:spacing w:before="120" w:after="120"/>
        <w:ind w:left="1440" w:hanging="720"/>
        <w:jc w:val="both"/>
        <w:rPr>
          <w:sz w:val="22"/>
          <w:szCs w:val="22"/>
        </w:rPr>
      </w:pPr>
      <w:r w:rsidRPr="008B02B3">
        <w:rPr>
          <w:sz w:val="22"/>
          <w:szCs w:val="22"/>
        </w:rPr>
        <w:t xml:space="preserve">(a) </w:t>
      </w:r>
      <w:r>
        <w:rPr>
          <w:sz w:val="22"/>
          <w:szCs w:val="22"/>
        </w:rPr>
        <w:tab/>
      </w:r>
      <w:r w:rsidRPr="008B02B3">
        <w:rPr>
          <w:sz w:val="22"/>
          <w:szCs w:val="22"/>
        </w:rPr>
        <w:t>the return which B would receive for the relevant period of account in respect of B’s contribution to the firm were the return to be calculated on the basis mentioned in subsection (12), less</w:t>
      </w:r>
    </w:p>
    <w:p w14:paraId="13A0FFC3"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any return actually received for the relevant period of account in respect of B’s contribution to the firm which is not included in B’s profit share.</w:t>
      </w:r>
    </w:p>
    <w:p w14:paraId="22809610" w14:textId="77777777" w:rsidR="009B2EF9" w:rsidRPr="008B02B3" w:rsidRDefault="009B2EF9" w:rsidP="00523F00">
      <w:pPr>
        <w:spacing w:before="120" w:after="120"/>
        <w:ind w:left="720" w:hanging="720"/>
        <w:jc w:val="both"/>
        <w:rPr>
          <w:sz w:val="22"/>
          <w:szCs w:val="22"/>
        </w:rPr>
      </w:pPr>
      <w:r w:rsidRPr="008B02B3">
        <w:rPr>
          <w:sz w:val="22"/>
          <w:szCs w:val="22"/>
        </w:rPr>
        <w:t>(12)</w:t>
      </w:r>
      <w:r>
        <w:rPr>
          <w:sz w:val="22"/>
          <w:szCs w:val="22"/>
        </w:rPr>
        <w:tab/>
      </w:r>
      <w:r w:rsidRPr="008B02B3">
        <w:rPr>
          <w:sz w:val="22"/>
          <w:szCs w:val="22"/>
        </w:rPr>
        <w:t>The return mentioned in subsection (11)(a) is to be calculated on the basis that it is a return which is</w:t>
      </w:r>
      <w:r>
        <w:rPr>
          <w:sz w:val="22"/>
          <w:szCs w:val="22"/>
        </w:rPr>
        <w:t xml:space="preserve"> –</w:t>
      </w:r>
    </w:p>
    <w:p w14:paraId="3A099C75" w14:textId="77777777" w:rsidR="009B2EF9" w:rsidRPr="008B02B3" w:rsidRDefault="009B2EF9" w:rsidP="00523F00">
      <w:pPr>
        <w:spacing w:before="120" w:after="120"/>
        <w:ind w:left="1440" w:hanging="720"/>
        <w:jc w:val="both"/>
        <w:rPr>
          <w:sz w:val="22"/>
          <w:szCs w:val="22"/>
        </w:rPr>
      </w:pPr>
      <w:r w:rsidRPr="008B02B3">
        <w:rPr>
          <w:sz w:val="22"/>
          <w:szCs w:val="22"/>
        </w:rPr>
        <w:t xml:space="preserve">(a) </w:t>
      </w:r>
      <w:r>
        <w:rPr>
          <w:sz w:val="22"/>
          <w:szCs w:val="22"/>
        </w:rPr>
        <w:tab/>
      </w:r>
      <w:r w:rsidRPr="008B02B3">
        <w:rPr>
          <w:sz w:val="22"/>
          <w:szCs w:val="22"/>
        </w:rPr>
        <w:t>by reference to the time value of an amount of money equal to B’s contribution to the firm, and</w:t>
      </w:r>
    </w:p>
    <w:p w14:paraId="1DC41AA2"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 xml:space="preserve">at a rate which (in all the circumstances) is a commercial rate of interest. </w:t>
      </w:r>
    </w:p>
    <w:p w14:paraId="073E826F" w14:textId="77777777" w:rsidR="009B2EF9" w:rsidRPr="008B02B3" w:rsidRDefault="009B2EF9" w:rsidP="00523F00">
      <w:pPr>
        <w:spacing w:before="120" w:after="120"/>
        <w:ind w:left="720" w:hanging="720"/>
        <w:jc w:val="both"/>
        <w:rPr>
          <w:sz w:val="22"/>
          <w:szCs w:val="22"/>
        </w:rPr>
      </w:pPr>
      <w:r w:rsidRPr="008B02B3">
        <w:rPr>
          <w:sz w:val="22"/>
          <w:szCs w:val="22"/>
        </w:rPr>
        <w:t>(13)</w:t>
      </w:r>
      <w:r>
        <w:rPr>
          <w:sz w:val="22"/>
          <w:szCs w:val="22"/>
        </w:rPr>
        <w:tab/>
      </w:r>
      <w:r w:rsidRPr="008B02B3">
        <w:rPr>
          <w:sz w:val="22"/>
          <w:szCs w:val="22"/>
        </w:rPr>
        <w:t>For the purposes of subsections (11) and (12) B’s contribution to the firm is amount A determined under section 108 of ITA 2007 (meaning of “contribution to the LLP”).</w:t>
      </w:r>
    </w:p>
    <w:p w14:paraId="041E9E0A" w14:textId="77777777" w:rsidR="009B2EF9" w:rsidRDefault="009B2EF9" w:rsidP="00523F00">
      <w:pPr>
        <w:spacing w:before="120" w:after="120"/>
        <w:jc w:val="both"/>
        <w:rPr>
          <w:sz w:val="22"/>
          <w:szCs w:val="22"/>
        </w:rPr>
      </w:pPr>
      <w:r w:rsidRPr="008B02B3">
        <w:rPr>
          <w:sz w:val="22"/>
          <w:szCs w:val="22"/>
        </w:rPr>
        <w:t>(14)</w:t>
      </w:r>
      <w:r>
        <w:rPr>
          <w:sz w:val="22"/>
          <w:szCs w:val="22"/>
        </w:rPr>
        <w:tab/>
      </w:r>
      <w:r w:rsidRPr="008B02B3">
        <w:rPr>
          <w:sz w:val="22"/>
          <w:szCs w:val="22"/>
        </w:rPr>
        <w:t>That section is to be applied</w:t>
      </w:r>
      <w:r>
        <w:rPr>
          <w:sz w:val="22"/>
          <w:szCs w:val="22"/>
        </w:rPr>
        <w:t xml:space="preserve"> – </w:t>
      </w:r>
    </w:p>
    <w:p w14:paraId="25A1A493" w14:textId="77777777" w:rsidR="009B2EF9" w:rsidRPr="008B02B3"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reading references to the individual as references to B and references to the LLP as references to the firm, and</w:t>
      </w:r>
    </w:p>
    <w:p w14:paraId="4533650F"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with the omission of</w:t>
      </w:r>
      <w:r>
        <w:rPr>
          <w:sz w:val="22"/>
          <w:szCs w:val="22"/>
        </w:rPr>
        <w:t xml:space="preserve"> – </w:t>
      </w:r>
    </w:p>
    <w:p w14:paraId="5FB8B921" w14:textId="77777777" w:rsidR="009B2EF9" w:rsidRPr="008B02B3" w:rsidRDefault="009B2EF9" w:rsidP="00523F00">
      <w:pPr>
        <w:spacing w:before="120" w:after="120"/>
        <w:ind w:left="2160" w:hanging="720"/>
        <w:jc w:val="both"/>
        <w:rPr>
          <w:sz w:val="22"/>
          <w:szCs w:val="22"/>
        </w:rPr>
      </w:pPr>
      <w:r w:rsidRPr="008B02B3">
        <w:rPr>
          <w:sz w:val="22"/>
          <w:szCs w:val="22"/>
        </w:rPr>
        <w:t>(</w:t>
      </w:r>
      <w:proofErr w:type="spellStart"/>
      <w:r w:rsidRPr="008B02B3">
        <w:rPr>
          <w:sz w:val="22"/>
          <w:szCs w:val="22"/>
        </w:rPr>
        <w:t>i</w:t>
      </w:r>
      <w:proofErr w:type="spellEnd"/>
      <w:r w:rsidRPr="008B02B3">
        <w:rPr>
          <w:sz w:val="22"/>
          <w:szCs w:val="22"/>
        </w:rPr>
        <w:t>)</w:t>
      </w:r>
      <w:r>
        <w:rPr>
          <w:sz w:val="22"/>
          <w:szCs w:val="22"/>
        </w:rPr>
        <w:tab/>
      </w:r>
      <w:r w:rsidRPr="008B02B3">
        <w:rPr>
          <w:sz w:val="22"/>
          <w:szCs w:val="22"/>
        </w:rPr>
        <w:t>subsections (5)(b) and (9), and</w:t>
      </w:r>
    </w:p>
    <w:p w14:paraId="4CA3082B" w14:textId="77777777" w:rsidR="009B2EF9" w:rsidRPr="008B02B3" w:rsidRDefault="009B2EF9" w:rsidP="00523F00">
      <w:pPr>
        <w:spacing w:before="120" w:after="120"/>
        <w:ind w:left="2160" w:hanging="720"/>
        <w:jc w:val="both"/>
        <w:rPr>
          <w:sz w:val="22"/>
          <w:szCs w:val="22"/>
        </w:rPr>
      </w:pPr>
      <w:r w:rsidRPr="008B02B3">
        <w:rPr>
          <w:sz w:val="22"/>
          <w:szCs w:val="22"/>
        </w:rPr>
        <w:t xml:space="preserve">(ii) </w:t>
      </w:r>
      <w:r>
        <w:rPr>
          <w:sz w:val="22"/>
          <w:szCs w:val="22"/>
        </w:rPr>
        <w:tab/>
      </w:r>
      <w:r w:rsidRPr="008B02B3">
        <w:rPr>
          <w:sz w:val="22"/>
          <w:szCs w:val="22"/>
        </w:rPr>
        <w:t xml:space="preserve">in subsection (6) the words from “but” to the end. </w:t>
      </w:r>
    </w:p>
    <w:p w14:paraId="257D4A04" w14:textId="77777777" w:rsidR="009B2EF9" w:rsidRPr="008B02B3" w:rsidRDefault="009B2EF9" w:rsidP="00523F00">
      <w:pPr>
        <w:spacing w:before="120" w:after="120"/>
        <w:jc w:val="both"/>
        <w:rPr>
          <w:sz w:val="22"/>
          <w:szCs w:val="22"/>
        </w:rPr>
      </w:pPr>
      <w:r w:rsidRPr="008B02B3">
        <w:rPr>
          <w:sz w:val="22"/>
          <w:szCs w:val="22"/>
        </w:rPr>
        <w:t>(15)</w:t>
      </w:r>
      <w:r>
        <w:rPr>
          <w:sz w:val="22"/>
          <w:szCs w:val="22"/>
        </w:rPr>
        <w:tab/>
      </w:r>
      <w:r w:rsidRPr="008B02B3">
        <w:rPr>
          <w:sz w:val="22"/>
          <w:szCs w:val="22"/>
        </w:rPr>
        <w:t>“The appropriate notional consideration for services” i</w:t>
      </w:r>
      <w:r>
        <w:rPr>
          <w:sz w:val="22"/>
          <w:szCs w:val="22"/>
        </w:rPr>
        <w:t xml:space="preserve">s – </w:t>
      </w:r>
    </w:p>
    <w:p w14:paraId="528D409C" w14:textId="77777777" w:rsidR="009B2EF9" w:rsidRPr="008B02B3"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the amount which B would receive in consideration for any services provided to the firm by B during the relevant period of account were the consideration to be calculated on the basis mentioned in subsection (16), less</w:t>
      </w:r>
    </w:p>
    <w:p w14:paraId="0FF4939D"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 xml:space="preserve">any amount actually received in consideration for any such services which is not included in B’s profit share. </w:t>
      </w:r>
    </w:p>
    <w:p w14:paraId="34CFB9F0" w14:textId="77777777" w:rsidR="009B2EF9" w:rsidRPr="008B02B3" w:rsidRDefault="009B2EF9" w:rsidP="00523F00">
      <w:pPr>
        <w:spacing w:before="120" w:after="120"/>
        <w:ind w:left="720" w:hanging="720"/>
        <w:jc w:val="both"/>
        <w:rPr>
          <w:sz w:val="22"/>
          <w:szCs w:val="22"/>
        </w:rPr>
      </w:pPr>
      <w:r w:rsidRPr="008B02B3">
        <w:rPr>
          <w:sz w:val="22"/>
          <w:szCs w:val="22"/>
        </w:rPr>
        <w:t>(16)</w:t>
      </w:r>
      <w:r>
        <w:rPr>
          <w:sz w:val="22"/>
          <w:szCs w:val="22"/>
        </w:rPr>
        <w:tab/>
      </w:r>
      <w:r w:rsidRPr="008B02B3">
        <w:rPr>
          <w:sz w:val="22"/>
          <w:szCs w:val="22"/>
        </w:rPr>
        <w:t>The consideration mentioned in subsection 15(a) is to be calculated on the basis that B is not a partner in the firm and is acting at arm’s length from the firm.</w:t>
      </w:r>
    </w:p>
    <w:p w14:paraId="201D061B" w14:textId="77777777" w:rsidR="009B2EF9" w:rsidRPr="008B02B3" w:rsidRDefault="009B2EF9" w:rsidP="00523F00">
      <w:pPr>
        <w:spacing w:before="120" w:after="120"/>
        <w:ind w:left="720" w:hanging="720"/>
        <w:jc w:val="both"/>
        <w:rPr>
          <w:sz w:val="22"/>
          <w:szCs w:val="22"/>
        </w:rPr>
      </w:pPr>
      <w:r w:rsidRPr="008B02B3">
        <w:rPr>
          <w:sz w:val="22"/>
          <w:szCs w:val="22"/>
        </w:rPr>
        <w:t xml:space="preserve">(17) </w:t>
      </w:r>
      <w:r>
        <w:rPr>
          <w:sz w:val="22"/>
          <w:szCs w:val="22"/>
        </w:rPr>
        <w:tab/>
      </w:r>
      <w:r w:rsidRPr="008B02B3">
        <w:rPr>
          <w:sz w:val="22"/>
          <w:szCs w:val="22"/>
        </w:rPr>
        <w:t>Any services, the provision of which involves any partner in the firm in addition to B, are to be ignored for the purposes of subsection (15).</w:t>
      </w:r>
    </w:p>
    <w:p w14:paraId="147FEC17" w14:textId="77777777" w:rsidR="009B2EF9" w:rsidRPr="008B02B3" w:rsidRDefault="009B2EF9" w:rsidP="00523F00">
      <w:pPr>
        <w:spacing w:before="120" w:after="120"/>
        <w:jc w:val="both"/>
        <w:rPr>
          <w:sz w:val="22"/>
          <w:szCs w:val="22"/>
        </w:rPr>
      </w:pPr>
      <w:r w:rsidRPr="008B02B3">
        <w:rPr>
          <w:sz w:val="22"/>
          <w:szCs w:val="22"/>
        </w:rPr>
        <w:t xml:space="preserve">(18) </w:t>
      </w:r>
      <w:r>
        <w:rPr>
          <w:sz w:val="22"/>
          <w:szCs w:val="22"/>
        </w:rPr>
        <w:tab/>
      </w:r>
      <w:r w:rsidRPr="008B02B3">
        <w:rPr>
          <w:sz w:val="22"/>
          <w:szCs w:val="22"/>
        </w:rPr>
        <w:t>A has the power to enjoy B’s profit share i</w:t>
      </w:r>
      <w:r>
        <w:rPr>
          <w:sz w:val="22"/>
          <w:szCs w:val="22"/>
        </w:rPr>
        <w:t xml:space="preserve">f – </w:t>
      </w:r>
    </w:p>
    <w:p w14:paraId="0A90DD44" w14:textId="77777777" w:rsidR="009B2EF9" w:rsidRPr="008B02B3" w:rsidRDefault="009B2EF9" w:rsidP="00523F00">
      <w:pPr>
        <w:spacing w:before="120" w:after="120"/>
        <w:ind w:left="1440" w:hanging="720"/>
        <w:jc w:val="both"/>
        <w:rPr>
          <w:sz w:val="22"/>
          <w:szCs w:val="22"/>
        </w:rPr>
      </w:pPr>
      <w:r w:rsidRPr="008B02B3">
        <w:rPr>
          <w:sz w:val="22"/>
          <w:szCs w:val="22"/>
        </w:rPr>
        <w:t>(a)</w:t>
      </w:r>
      <w:r>
        <w:rPr>
          <w:sz w:val="22"/>
          <w:szCs w:val="22"/>
        </w:rPr>
        <w:tab/>
      </w:r>
      <w:r w:rsidRPr="008B02B3">
        <w:rPr>
          <w:sz w:val="22"/>
          <w:szCs w:val="22"/>
        </w:rPr>
        <w:t>A is connected with B by virtue of a provision of section 993 of ITA 2007 (meaning of “connected” persons) other than subsection (4) of that section</w:t>
      </w:r>
      <w:r>
        <w:rPr>
          <w:sz w:val="22"/>
          <w:szCs w:val="22"/>
        </w:rPr>
        <w:t>,</w:t>
      </w:r>
    </w:p>
    <w:p w14:paraId="728521F0" w14:textId="77777777" w:rsidR="009B2EF9" w:rsidRPr="008B02B3" w:rsidRDefault="009B2EF9" w:rsidP="00523F00">
      <w:pPr>
        <w:spacing w:before="120" w:after="120"/>
        <w:ind w:left="1440" w:hanging="720"/>
        <w:jc w:val="both"/>
        <w:rPr>
          <w:sz w:val="22"/>
          <w:szCs w:val="22"/>
        </w:rPr>
      </w:pPr>
      <w:r w:rsidRPr="008B02B3">
        <w:rPr>
          <w:sz w:val="22"/>
          <w:szCs w:val="22"/>
        </w:rPr>
        <w:lastRenderedPageBreak/>
        <w:t xml:space="preserve">(b) </w:t>
      </w:r>
      <w:r>
        <w:rPr>
          <w:sz w:val="22"/>
          <w:szCs w:val="22"/>
        </w:rPr>
        <w:tab/>
      </w:r>
      <w:r w:rsidRPr="008B02B3">
        <w:rPr>
          <w:sz w:val="22"/>
          <w:szCs w:val="22"/>
        </w:rPr>
        <w:t>A is a party to arrangements the main purpose, or one of the main purposes, of which is to secure that an amount included in B's profit share</w:t>
      </w:r>
      <w:r>
        <w:rPr>
          <w:sz w:val="22"/>
          <w:szCs w:val="22"/>
        </w:rPr>
        <w:t xml:space="preserve"> – </w:t>
      </w:r>
    </w:p>
    <w:p w14:paraId="7873E2C7" w14:textId="77777777" w:rsidR="009B2EF9" w:rsidRPr="008B02B3" w:rsidRDefault="009B2EF9" w:rsidP="00523F00">
      <w:pPr>
        <w:spacing w:before="120" w:after="120"/>
        <w:ind w:left="2160" w:hanging="720"/>
        <w:jc w:val="both"/>
        <w:rPr>
          <w:sz w:val="22"/>
          <w:szCs w:val="22"/>
        </w:rPr>
      </w:pPr>
      <w:r w:rsidRPr="008B02B3">
        <w:rPr>
          <w:sz w:val="22"/>
          <w:szCs w:val="22"/>
        </w:rPr>
        <w:t>(</w:t>
      </w:r>
      <w:proofErr w:type="spellStart"/>
      <w:r w:rsidRPr="008B02B3">
        <w:rPr>
          <w:sz w:val="22"/>
          <w:szCs w:val="22"/>
        </w:rPr>
        <w:t>i</w:t>
      </w:r>
      <w:proofErr w:type="spellEnd"/>
      <w:r w:rsidRPr="008B02B3">
        <w:rPr>
          <w:sz w:val="22"/>
          <w:szCs w:val="22"/>
        </w:rPr>
        <w:t>)</w:t>
      </w:r>
      <w:r>
        <w:rPr>
          <w:sz w:val="22"/>
          <w:szCs w:val="22"/>
        </w:rPr>
        <w:tab/>
      </w:r>
      <w:r w:rsidRPr="008B02B3">
        <w:rPr>
          <w:sz w:val="22"/>
          <w:szCs w:val="22"/>
        </w:rPr>
        <w:t xml:space="preserve">is charged to corporation tax rather than income tax, or </w:t>
      </w:r>
    </w:p>
    <w:p w14:paraId="10CFF065" w14:textId="77777777" w:rsidR="009B2EF9" w:rsidRPr="008B02B3" w:rsidRDefault="009B2EF9" w:rsidP="00523F00">
      <w:pPr>
        <w:spacing w:before="120" w:after="120"/>
        <w:ind w:left="2160" w:hanging="720"/>
        <w:jc w:val="both"/>
        <w:rPr>
          <w:sz w:val="22"/>
          <w:szCs w:val="22"/>
        </w:rPr>
      </w:pPr>
      <w:r w:rsidRPr="008B02B3">
        <w:rPr>
          <w:sz w:val="22"/>
          <w:szCs w:val="22"/>
        </w:rPr>
        <w:t xml:space="preserve">(ii) </w:t>
      </w:r>
      <w:r>
        <w:rPr>
          <w:sz w:val="22"/>
          <w:szCs w:val="22"/>
        </w:rPr>
        <w:tab/>
      </w:r>
      <w:r w:rsidRPr="008B02B3">
        <w:rPr>
          <w:sz w:val="22"/>
          <w:szCs w:val="22"/>
        </w:rPr>
        <w:t xml:space="preserve">is otherwise subject to the provisions of the Corporation Tax Acts rather than the provisions of the Income Tax Acts, or </w:t>
      </w:r>
    </w:p>
    <w:p w14:paraId="14460F29" w14:textId="77777777" w:rsidR="009B2EF9" w:rsidRPr="008B02B3" w:rsidRDefault="009B2EF9" w:rsidP="00523F00">
      <w:pPr>
        <w:spacing w:before="120" w:after="120"/>
        <w:ind w:left="1440" w:hanging="720"/>
        <w:jc w:val="both"/>
        <w:rPr>
          <w:sz w:val="22"/>
          <w:szCs w:val="22"/>
        </w:rPr>
      </w:pPr>
      <w:r w:rsidRPr="008B02B3">
        <w:rPr>
          <w:sz w:val="22"/>
          <w:szCs w:val="22"/>
        </w:rPr>
        <w:t xml:space="preserve">(c) </w:t>
      </w:r>
      <w:r>
        <w:rPr>
          <w:sz w:val="22"/>
          <w:szCs w:val="22"/>
        </w:rPr>
        <w:tab/>
      </w:r>
      <w:r w:rsidRPr="008B02B3">
        <w:rPr>
          <w:sz w:val="22"/>
          <w:szCs w:val="22"/>
        </w:rPr>
        <w:t xml:space="preserve">any of the enjoyment conditions (see subsection (20)) is met in relation to B’s profit share or any part of B’s profit share. </w:t>
      </w:r>
    </w:p>
    <w:p w14:paraId="5EC061C6" w14:textId="77777777" w:rsidR="009B2EF9" w:rsidRPr="008B02B3" w:rsidRDefault="009B2EF9" w:rsidP="00523F00">
      <w:pPr>
        <w:spacing w:before="120" w:after="120"/>
        <w:ind w:left="720" w:hanging="720"/>
        <w:jc w:val="both"/>
        <w:rPr>
          <w:sz w:val="22"/>
          <w:szCs w:val="22"/>
        </w:rPr>
      </w:pPr>
      <w:r w:rsidRPr="008B02B3">
        <w:rPr>
          <w:sz w:val="22"/>
          <w:szCs w:val="22"/>
        </w:rPr>
        <w:t>(19)</w:t>
      </w:r>
      <w:r>
        <w:rPr>
          <w:sz w:val="22"/>
          <w:szCs w:val="22"/>
        </w:rPr>
        <w:tab/>
      </w:r>
      <w:r w:rsidRPr="008B02B3">
        <w:rPr>
          <w:sz w:val="22"/>
          <w:szCs w:val="22"/>
        </w:rPr>
        <w:t xml:space="preserve">In subsection (18)(b) “arrangements” includes any agreement, understanding, scheme, transaction or series of transactions (whether or not legally enforceable). </w:t>
      </w:r>
    </w:p>
    <w:p w14:paraId="1573C685" w14:textId="77777777" w:rsidR="009B2EF9" w:rsidRPr="008B02B3" w:rsidRDefault="009B2EF9" w:rsidP="00523F00">
      <w:pPr>
        <w:spacing w:before="120" w:after="120"/>
        <w:ind w:left="720" w:hanging="720"/>
        <w:jc w:val="both"/>
        <w:rPr>
          <w:sz w:val="22"/>
          <w:szCs w:val="22"/>
        </w:rPr>
      </w:pPr>
      <w:r w:rsidRPr="008B02B3">
        <w:rPr>
          <w:sz w:val="22"/>
          <w:szCs w:val="22"/>
        </w:rPr>
        <w:t xml:space="preserve">(20) </w:t>
      </w:r>
      <w:r>
        <w:rPr>
          <w:sz w:val="22"/>
          <w:szCs w:val="22"/>
        </w:rPr>
        <w:tab/>
      </w:r>
      <w:r w:rsidRPr="008B02B3">
        <w:rPr>
          <w:sz w:val="22"/>
          <w:szCs w:val="22"/>
        </w:rPr>
        <w:t>The enjoyment conditions are</w:t>
      </w:r>
      <w:r>
        <w:rPr>
          <w:sz w:val="22"/>
          <w:szCs w:val="22"/>
        </w:rPr>
        <w:t xml:space="preserve"> – </w:t>
      </w:r>
    </w:p>
    <w:p w14:paraId="15938AC6" w14:textId="77777777" w:rsidR="009B2EF9" w:rsidRPr="008B02B3" w:rsidRDefault="009B2EF9" w:rsidP="00523F00">
      <w:pPr>
        <w:spacing w:before="120" w:after="120"/>
        <w:ind w:left="1440" w:hanging="720"/>
        <w:jc w:val="both"/>
        <w:rPr>
          <w:sz w:val="22"/>
          <w:szCs w:val="22"/>
        </w:rPr>
      </w:pPr>
      <w:r w:rsidRPr="008B02B3">
        <w:rPr>
          <w:sz w:val="22"/>
          <w:szCs w:val="22"/>
        </w:rPr>
        <w:t xml:space="preserve">(a) </w:t>
      </w:r>
      <w:r>
        <w:rPr>
          <w:sz w:val="22"/>
          <w:szCs w:val="22"/>
        </w:rPr>
        <w:tab/>
      </w:r>
      <w:r w:rsidRPr="008B02B3">
        <w:rPr>
          <w:sz w:val="22"/>
          <w:szCs w:val="22"/>
        </w:rPr>
        <w:t xml:space="preserve">B’s profit share, or the part, is in fact so dealt with by any person as to be calculated at some time to </w:t>
      </w:r>
      <w:proofErr w:type="spellStart"/>
      <w:r w:rsidRPr="008B02B3">
        <w:rPr>
          <w:sz w:val="22"/>
          <w:szCs w:val="22"/>
        </w:rPr>
        <w:t>enure</w:t>
      </w:r>
      <w:proofErr w:type="spellEnd"/>
      <w:r w:rsidRPr="008B02B3">
        <w:rPr>
          <w:sz w:val="22"/>
          <w:szCs w:val="22"/>
        </w:rPr>
        <w:t xml:space="preserve"> for the benefit of A, whether in the form of income or not;</w:t>
      </w:r>
    </w:p>
    <w:p w14:paraId="583F9915" w14:textId="77777777" w:rsidR="009B2EF9" w:rsidRPr="008B02B3" w:rsidRDefault="009B2EF9" w:rsidP="00523F00">
      <w:pPr>
        <w:spacing w:before="120" w:after="120"/>
        <w:ind w:left="1440" w:hanging="720"/>
        <w:jc w:val="both"/>
        <w:rPr>
          <w:sz w:val="22"/>
          <w:szCs w:val="22"/>
        </w:rPr>
      </w:pPr>
      <w:r w:rsidRPr="008B02B3">
        <w:rPr>
          <w:sz w:val="22"/>
          <w:szCs w:val="22"/>
        </w:rPr>
        <w:t xml:space="preserve">(b) </w:t>
      </w:r>
      <w:r>
        <w:rPr>
          <w:sz w:val="22"/>
          <w:szCs w:val="22"/>
        </w:rPr>
        <w:tab/>
      </w:r>
      <w:r w:rsidRPr="008B02B3">
        <w:rPr>
          <w:sz w:val="22"/>
          <w:szCs w:val="22"/>
        </w:rPr>
        <w:t>the receipt or accrual of B’s profit share, or the part, by or to B operates to increase the value to A of any assets held by, or for the benefit of, A;</w:t>
      </w:r>
    </w:p>
    <w:p w14:paraId="1AE09B97" w14:textId="77777777" w:rsidR="009B2EF9" w:rsidRPr="008B02B3" w:rsidRDefault="009B2EF9" w:rsidP="00523F00">
      <w:pPr>
        <w:spacing w:before="120" w:after="120"/>
        <w:ind w:left="1440" w:hanging="720"/>
        <w:jc w:val="both"/>
        <w:rPr>
          <w:sz w:val="22"/>
          <w:szCs w:val="22"/>
        </w:rPr>
      </w:pPr>
      <w:r w:rsidRPr="008B02B3">
        <w:rPr>
          <w:sz w:val="22"/>
          <w:szCs w:val="22"/>
        </w:rPr>
        <w:t xml:space="preserve">(c) </w:t>
      </w:r>
      <w:r>
        <w:rPr>
          <w:sz w:val="22"/>
          <w:szCs w:val="22"/>
        </w:rPr>
        <w:tab/>
      </w:r>
      <w:r w:rsidRPr="008B02B3">
        <w:rPr>
          <w:sz w:val="22"/>
          <w:szCs w:val="22"/>
        </w:rPr>
        <w:t>A receives or is entitled to receive at any time any benefit provided or to be provided (directly or indirectly) out of B’s profit share or the part;</w:t>
      </w:r>
    </w:p>
    <w:p w14:paraId="35BDA4FB" w14:textId="77777777" w:rsidR="009B2EF9" w:rsidRPr="008B02B3" w:rsidRDefault="009B2EF9" w:rsidP="00523F00">
      <w:pPr>
        <w:spacing w:before="120" w:after="120"/>
        <w:ind w:left="1440" w:hanging="720"/>
        <w:jc w:val="both"/>
        <w:rPr>
          <w:sz w:val="22"/>
          <w:szCs w:val="22"/>
        </w:rPr>
      </w:pPr>
      <w:r w:rsidRPr="008B02B3">
        <w:rPr>
          <w:sz w:val="22"/>
          <w:szCs w:val="22"/>
        </w:rPr>
        <w:t xml:space="preserve">(d) </w:t>
      </w:r>
      <w:r>
        <w:rPr>
          <w:sz w:val="22"/>
          <w:szCs w:val="22"/>
        </w:rPr>
        <w:tab/>
      </w:r>
      <w:r w:rsidRPr="008B02B3">
        <w:rPr>
          <w:sz w:val="22"/>
          <w:szCs w:val="22"/>
        </w:rPr>
        <w:t>A may become entitled to the beneficial enjoyment of B’s profit share, or the part, if one or more powers are exercised or successively exercised by any person;</w:t>
      </w:r>
    </w:p>
    <w:p w14:paraId="476F02B5" w14:textId="77777777" w:rsidR="009B2EF9" w:rsidRPr="008B02B3" w:rsidRDefault="009B2EF9" w:rsidP="00523F00">
      <w:pPr>
        <w:spacing w:before="120" w:after="120"/>
        <w:ind w:left="1440" w:hanging="720"/>
        <w:jc w:val="both"/>
        <w:rPr>
          <w:sz w:val="22"/>
          <w:szCs w:val="22"/>
        </w:rPr>
      </w:pPr>
      <w:r w:rsidRPr="008B02B3">
        <w:rPr>
          <w:sz w:val="22"/>
          <w:szCs w:val="22"/>
        </w:rPr>
        <w:t xml:space="preserve">(e) </w:t>
      </w:r>
      <w:r>
        <w:rPr>
          <w:sz w:val="22"/>
          <w:szCs w:val="22"/>
        </w:rPr>
        <w:tab/>
      </w:r>
      <w:r w:rsidRPr="008B02B3">
        <w:rPr>
          <w:sz w:val="22"/>
          <w:szCs w:val="22"/>
        </w:rPr>
        <w:t xml:space="preserve">A is able in any manner to control (directly or indirectly) the application of B’s profit share or the part. </w:t>
      </w:r>
    </w:p>
    <w:p w14:paraId="63976104" w14:textId="21E06420" w:rsidR="009B2EF9" w:rsidRPr="00275850" w:rsidRDefault="009B2EF9" w:rsidP="00523F00">
      <w:pPr>
        <w:spacing w:before="120" w:after="120"/>
        <w:ind w:left="720" w:hanging="720"/>
        <w:jc w:val="both"/>
        <w:rPr>
          <w:szCs w:val="24"/>
        </w:rPr>
      </w:pPr>
      <w:r w:rsidRPr="008B02B3">
        <w:rPr>
          <w:sz w:val="22"/>
          <w:szCs w:val="22"/>
        </w:rPr>
        <w:t xml:space="preserve">(21) </w:t>
      </w:r>
      <w:r>
        <w:rPr>
          <w:sz w:val="22"/>
          <w:szCs w:val="22"/>
        </w:rPr>
        <w:tab/>
      </w:r>
      <w:r w:rsidRPr="008B02B3">
        <w:rPr>
          <w:sz w:val="22"/>
          <w:szCs w:val="22"/>
        </w:rPr>
        <w:t>In subsection (2) references to A include any person connected with A apart from B</w:t>
      </w:r>
      <w:r w:rsidRPr="008B02B3">
        <w:rPr>
          <w:i/>
          <w:iCs/>
          <w:sz w:val="22"/>
          <w:szCs w:val="22"/>
        </w:rPr>
        <w:t>.</w:t>
      </w:r>
      <w:r w:rsidR="00275850">
        <w:rPr>
          <w:sz w:val="22"/>
          <w:szCs w:val="22"/>
        </w:rPr>
        <w:t>”</w:t>
      </w:r>
    </w:p>
    <w:p w14:paraId="2934B2F8" w14:textId="1363E79A" w:rsidR="00832D23" w:rsidRPr="00062F7F" w:rsidRDefault="008663EC" w:rsidP="00523F00">
      <w:pPr>
        <w:pStyle w:val="Bodytexttax1"/>
        <w:keepNext/>
        <w:numPr>
          <w:ilvl w:val="0"/>
          <w:numId w:val="0"/>
        </w:numPr>
        <w:spacing w:before="120" w:after="120"/>
        <w:rPr>
          <w:b/>
          <w:bCs/>
          <w:szCs w:val="24"/>
        </w:rPr>
      </w:pPr>
      <w:r w:rsidRPr="00062F7F">
        <w:rPr>
          <w:b/>
          <w:bCs/>
          <w:szCs w:val="24"/>
        </w:rPr>
        <w:t>C.</w:t>
      </w:r>
      <w:r w:rsidRPr="00062F7F">
        <w:rPr>
          <w:b/>
          <w:bCs/>
          <w:szCs w:val="24"/>
        </w:rPr>
        <w:tab/>
      </w:r>
      <w:r w:rsidR="00ED40F7">
        <w:rPr>
          <w:b/>
          <w:bCs/>
          <w:szCs w:val="24"/>
        </w:rPr>
        <w:t>APPLICATION TO</w:t>
      </w:r>
      <w:r w:rsidR="005B422A" w:rsidRPr="00062F7F">
        <w:rPr>
          <w:b/>
          <w:bCs/>
          <w:szCs w:val="24"/>
        </w:rPr>
        <w:t xml:space="preserve"> THE PRESENT CASE</w:t>
      </w:r>
    </w:p>
    <w:p w14:paraId="70BDA69E" w14:textId="5FC7B2D4" w:rsidR="00BB08F9" w:rsidRPr="00062F7F" w:rsidRDefault="005B422A" w:rsidP="00523F00">
      <w:pPr>
        <w:pStyle w:val="Bodytexttax1"/>
        <w:keepNext/>
        <w:numPr>
          <w:ilvl w:val="0"/>
          <w:numId w:val="0"/>
        </w:numPr>
        <w:spacing w:before="120" w:after="120"/>
        <w:rPr>
          <w:b/>
          <w:bCs/>
          <w:szCs w:val="24"/>
        </w:rPr>
      </w:pPr>
      <w:r w:rsidRPr="00062F7F">
        <w:rPr>
          <w:b/>
          <w:bCs/>
          <w:szCs w:val="24"/>
        </w:rPr>
        <w:t>(1)</w:t>
      </w:r>
      <w:r w:rsidRPr="00062F7F">
        <w:rPr>
          <w:b/>
          <w:bCs/>
          <w:szCs w:val="24"/>
        </w:rPr>
        <w:tab/>
      </w:r>
      <w:r w:rsidR="001978A7">
        <w:rPr>
          <w:b/>
          <w:bCs/>
          <w:szCs w:val="24"/>
        </w:rPr>
        <w:t>Approach</w:t>
      </w:r>
    </w:p>
    <w:p w14:paraId="766E836A" w14:textId="35125C6C" w:rsidR="00832D23" w:rsidRDefault="001978A7" w:rsidP="00523F00">
      <w:pPr>
        <w:pStyle w:val="Bodytexttax1"/>
        <w:spacing w:before="120" w:after="120"/>
        <w:rPr>
          <w:szCs w:val="24"/>
        </w:rPr>
      </w:pPr>
      <w:r>
        <w:rPr>
          <w:szCs w:val="24"/>
        </w:rPr>
        <w:t xml:space="preserve">As we have noted, Ground 1 and Ground 2 can only be assessed in light of the </w:t>
      </w:r>
      <w:r w:rsidR="00E7593C">
        <w:rPr>
          <w:szCs w:val="24"/>
        </w:rPr>
        <w:t>overall statutory schem</w:t>
      </w:r>
      <w:r w:rsidR="009960FF">
        <w:rPr>
          <w:szCs w:val="24"/>
        </w:rPr>
        <w:t>e</w:t>
      </w:r>
      <w:r w:rsidR="00E7593C">
        <w:rPr>
          <w:szCs w:val="24"/>
        </w:rPr>
        <w:t xml:space="preserve"> – for the most part, set out in Section B above – and in light of the FTT’s careful and detailed finding and consideration of the facts in its Decision. </w:t>
      </w:r>
    </w:p>
    <w:p w14:paraId="2D9300FC" w14:textId="31243719" w:rsidR="00832D23" w:rsidRPr="00CA432E" w:rsidRDefault="00832D23" w:rsidP="00523F00">
      <w:pPr>
        <w:pStyle w:val="Bodytexttax1"/>
        <w:tabs>
          <w:tab w:val="clear" w:pos="360"/>
        </w:tabs>
        <w:spacing w:before="120" w:after="120"/>
        <w:rPr>
          <w:szCs w:val="24"/>
        </w:rPr>
      </w:pPr>
      <w:r w:rsidRPr="00E7593C">
        <w:rPr>
          <w:iCs/>
          <w:szCs w:val="24"/>
        </w:rPr>
        <w:t>The FTT</w:t>
      </w:r>
      <w:r w:rsidR="00E7593C">
        <w:rPr>
          <w:iCs/>
          <w:szCs w:val="24"/>
        </w:rPr>
        <w:t>,</w:t>
      </w:r>
      <w:r w:rsidRPr="00E7593C">
        <w:rPr>
          <w:iCs/>
          <w:szCs w:val="24"/>
        </w:rPr>
        <w:t xml:space="preserve"> in a hearing that lasted five days, heard witness evidence of six witnesses and considered voluminous documentary evidence. The </w:t>
      </w:r>
      <w:r w:rsidR="00954A46">
        <w:rPr>
          <w:iCs/>
          <w:szCs w:val="24"/>
        </w:rPr>
        <w:t>D</w:t>
      </w:r>
      <w:r w:rsidRPr="00E7593C">
        <w:rPr>
          <w:iCs/>
          <w:szCs w:val="24"/>
        </w:rPr>
        <w:t>ecision sets out detailed findings of fact and conclusions based on those findings</w:t>
      </w:r>
      <w:r w:rsidR="00954A46">
        <w:rPr>
          <w:iCs/>
          <w:szCs w:val="24"/>
        </w:rPr>
        <w:t xml:space="preserve">. In this section, we set out the background facts (as found by the FTT) in Section C(2), before proceeding to </w:t>
      </w:r>
      <w:r w:rsidR="00C43835">
        <w:rPr>
          <w:iCs/>
          <w:szCs w:val="24"/>
        </w:rPr>
        <w:t>set out</w:t>
      </w:r>
      <w:r w:rsidR="008C271C">
        <w:rPr>
          <w:iCs/>
          <w:szCs w:val="24"/>
        </w:rPr>
        <w:t xml:space="preserve"> (in Section C(3))</w:t>
      </w:r>
      <w:r w:rsidR="00A15291">
        <w:rPr>
          <w:iCs/>
          <w:szCs w:val="24"/>
        </w:rPr>
        <w:t xml:space="preserve"> </w:t>
      </w:r>
      <w:r w:rsidR="00670181">
        <w:rPr>
          <w:iCs/>
          <w:szCs w:val="24"/>
        </w:rPr>
        <w:t>–</w:t>
      </w:r>
      <w:r w:rsidR="00A15291">
        <w:rPr>
          <w:iCs/>
          <w:szCs w:val="24"/>
        </w:rPr>
        <w:t xml:space="preserve"> in a slightly clearer form than the statute – the conditions that needed to be met in order for section </w:t>
      </w:r>
      <w:r w:rsidR="00670181">
        <w:rPr>
          <w:iCs/>
          <w:szCs w:val="24"/>
        </w:rPr>
        <w:t>850C(4) ITTOIA to bit</w:t>
      </w:r>
      <w:r w:rsidR="00D61709">
        <w:rPr>
          <w:iCs/>
          <w:szCs w:val="24"/>
        </w:rPr>
        <w:t>e</w:t>
      </w:r>
      <w:r w:rsidR="00670181">
        <w:rPr>
          <w:iCs/>
          <w:szCs w:val="24"/>
        </w:rPr>
        <w:t xml:space="preserve">. </w:t>
      </w:r>
      <w:r w:rsidR="000C1943">
        <w:rPr>
          <w:iCs/>
          <w:szCs w:val="24"/>
        </w:rPr>
        <w:t xml:space="preserve">Thereafter, we set out – very briefly – the FTT’s conclusions as to the assessments and the </w:t>
      </w:r>
      <w:r w:rsidR="003C446F">
        <w:rPr>
          <w:iCs/>
          <w:szCs w:val="24"/>
        </w:rPr>
        <w:t>application of section 850C(4). We do so briefly because the FTT’s Decision</w:t>
      </w:r>
      <w:r w:rsidR="00954A46">
        <w:rPr>
          <w:iCs/>
          <w:szCs w:val="24"/>
        </w:rPr>
        <w:t xml:space="preserve"> </w:t>
      </w:r>
      <w:r w:rsidR="003C446F">
        <w:rPr>
          <w:iCs/>
          <w:szCs w:val="24"/>
        </w:rPr>
        <w:t xml:space="preserve">is challenged only on the basis of Ground 1 and Ground 2, and </w:t>
      </w:r>
      <w:r w:rsidR="00C01542">
        <w:rPr>
          <w:iCs/>
          <w:szCs w:val="24"/>
        </w:rPr>
        <w:t xml:space="preserve">these are the only matters before us. We consider the Decision more generally only </w:t>
      </w:r>
      <w:r w:rsidR="00CC73B6">
        <w:rPr>
          <w:iCs/>
          <w:szCs w:val="24"/>
        </w:rPr>
        <w:t>in order to provide the context for the consideration of Grounds 1 and 2.</w:t>
      </w:r>
      <w:r w:rsidRPr="00E7593C">
        <w:rPr>
          <w:iCs/>
          <w:szCs w:val="24"/>
        </w:rPr>
        <w:t xml:space="preserve">  </w:t>
      </w:r>
    </w:p>
    <w:p w14:paraId="7288CCCC" w14:textId="79EC48D2" w:rsidR="00832D23" w:rsidRPr="001978A7" w:rsidRDefault="001978A7" w:rsidP="00523F00">
      <w:pPr>
        <w:pStyle w:val="Bodytexttax1"/>
        <w:keepNext/>
        <w:numPr>
          <w:ilvl w:val="0"/>
          <w:numId w:val="0"/>
        </w:numPr>
        <w:spacing w:before="120" w:after="120"/>
        <w:rPr>
          <w:b/>
          <w:bCs/>
          <w:szCs w:val="24"/>
        </w:rPr>
      </w:pPr>
      <w:r>
        <w:rPr>
          <w:b/>
          <w:bCs/>
          <w:szCs w:val="24"/>
        </w:rPr>
        <w:t>(2)</w:t>
      </w:r>
      <w:r>
        <w:rPr>
          <w:b/>
          <w:bCs/>
          <w:szCs w:val="24"/>
        </w:rPr>
        <w:tab/>
        <w:t>The background facts</w:t>
      </w:r>
    </w:p>
    <w:p w14:paraId="47E092AB" w14:textId="24248905" w:rsidR="00B057DE" w:rsidRPr="00062F7F" w:rsidRDefault="00CA432E" w:rsidP="00523F00">
      <w:pPr>
        <w:pStyle w:val="Bodytexttax1"/>
        <w:spacing w:before="120" w:after="120"/>
        <w:rPr>
          <w:szCs w:val="24"/>
        </w:rPr>
      </w:pPr>
      <w:r>
        <w:rPr>
          <w:szCs w:val="24"/>
        </w:rPr>
        <w:t>T</w:t>
      </w:r>
      <w:r w:rsidR="00BB08F9" w:rsidRPr="00062F7F">
        <w:rPr>
          <w:szCs w:val="24"/>
        </w:rPr>
        <w:t xml:space="preserve">he background facts </w:t>
      </w:r>
      <w:r>
        <w:rPr>
          <w:szCs w:val="24"/>
        </w:rPr>
        <w:t>were</w:t>
      </w:r>
      <w:r w:rsidR="00BB08F9" w:rsidRPr="00062F7F">
        <w:rPr>
          <w:szCs w:val="24"/>
        </w:rPr>
        <w:t xml:space="preserve"> stated by the FTT </w:t>
      </w:r>
      <w:r w:rsidR="00E4317B" w:rsidRPr="00062F7F">
        <w:rPr>
          <w:szCs w:val="24"/>
        </w:rPr>
        <w:t>at</w:t>
      </w:r>
      <w:r w:rsidR="00B057DE" w:rsidRPr="00062F7F">
        <w:rPr>
          <w:szCs w:val="24"/>
        </w:rPr>
        <w:t xml:space="preserve"> </w:t>
      </w:r>
      <w:r w:rsidR="0021045E" w:rsidRPr="00062F7F">
        <w:rPr>
          <w:szCs w:val="24"/>
        </w:rPr>
        <w:t>[7] to [16] of the D</w:t>
      </w:r>
      <w:r w:rsidR="00B057DE" w:rsidRPr="00062F7F">
        <w:rPr>
          <w:szCs w:val="24"/>
        </w:rPr>
        <w:t>ecision</w:t>
      </w:r>
      <w:r>
        <w:rPr>
          <w:szCs w:val="24"/>
        </w:rPr>
        <w:t>. They are set out below:</w:t>
      </w:r>
    </w:p>
    <w:p w14:paraId="0D67865C" w14:textId="7C1CDA44" w:rsidR="00B057DE" w:rsidRPr="00024B04" w:rsidRDefault="006E5BEF" w:rsidP="00523F00">
      <w:pPr>
        <w:spacing w:before="120" w:after="120"/>
        <w:ind w:left="720" w:hanging="720"/>
        <w:jc w:val="both"/>
        <w:rPr>
          <w:sz w:val="22"/>
          <w:szCs w:val="22"/>
        </w:rPr>
      </w:pPr>
      <w:r>
        <w:rPr>
          <w:sz w:val="22"/>
          <w:szCs w:val="22"/>
        </w:rPr>
        <w:lastRenderedPageBreak/>
        <w:t>“</w:t>
      </w:r>
      <w:r w:rsidR="00B057DE" w:rsidRPr="00024B04">
        <w:rPr>
          <w:sz w:val="22"/>
          <w:szCs w:val="22"/>
        </w:rPr>
        <w:t>7.</w:t>
      </w:r>
      <w:r w:rsidR="0021045E">
        <w:rPr>
          <w:sz w:val="22"/>
          <w:szCs w:val="22"/>
        </w:rPr>
        <w:tab/>
      </w:r>
      <w:r w:rsidR="00B057DE" w:rsidRPr="00024B04">
        <w:rPr>
          <w:sz w:val="22"/>
          <w:szCs w:val="22"/>
        </w:rPr>
        <w:t xml:space="preserve">Mr </w:t>
      </w:r>
      <w:proofErr w:type="spellStart"/>
      <w:r w:rsidR="00B057DE" w:rsidRPr="00024B04">
        <w:rPr>
          <w:sz w:val="22"/>
          <w:szCs w:val="22"/>
        </w:rPr>
        <w:t>Walewski</w:t>
      </w:r>
      <w:proofErr w:type="spellEnd"/>
      <w:r w:rsidR="00B057DE" w:rsidRPr="00024B04">
        <w:rPr>
          <w:sz w:val="22"/>
          <w:szCs w:val="22"/>
        </w:rPr>
        <w:t xml:space="preserve"> is a successful investment adviser in London. Having managed funds for other people, in 2005 he set up his own equity fund, the </w:t>
      </w:r>
      <w:proofErr w:type="spellStart"/>
      <w:r w:rsidR="00B057DE" w:rsidRPr="00024B04">
        <w:rPr>
          <w:sz w:val="22"/>
          <w:szCs w:val="22"/>
        </w:rPr>
        <w:t>Alken</w:t>
      </w:r>
      <w:proofErr w:type="spellEnd"/>
      <w:r w:rsidR="00B057DE" w:rsidRPr="00024B04">
        <w:rPr>
          <w:sz w:val="22"/>
          <w:szCs w:val="22"/>
        </w:rPr>
        <w:t xml:space="preserve"> Fund, a Luxembourg SICAV (an open-ended vehicle).</w:t>
      </w:r>
    </w:p>
    <w:p w14:paraId="579A41E6" w14:textId="462D7472" w:rsidR="00B057DE" w:rsidRPr="00024B04" w:rsidRDefault="00B057DE" w:rsidP="00523F00">
      <w:pPr>
        <w:spacing w:before="120" w:after="120"/>
        <w:ind w:left="720" w:hanging="720"/>
        <w:jc w:val="both"/>
        <w:rPr>
          <w:sz w:val="22"/>
          <w:szCs w:val="22"/>
        </w:rPr>
      </w:pPr>
      <w:r w:rsidRPr="00024B04">
        <w:rPr>
          <w:sz w:val="22"/>
          <w:szCs w:val="22"/>
        </w:rPr>
        <w:t>8.</w:t>
      </w:r>
      <w:r w:rsidR="006E5BEF">
        <w:rPr>
          <w:sz w:val="22"/>
          <w:szCs w:val="22"/>
        </w:rPr>
        <w:tab/>
      </w:r>
      <w:r w:rsidRPr="00024B04">
        <w:rPr>
          <w:sz w:val="22"/>
          <w:szCs w:val="22"/>
        </w:rPr>
        <w:t>That fund was managed by AAM in the UK which was set up on 5 July 2005. Trade execution was carried out by AF which was set up on 19 November 2010. AAM was a member of AF until 5 December 2011.</w:t>
      </w:r>
    </w:p>
    <w:p w14:paraId="53DF0386" w14:textId="58D90192" w:rsidR="00B057DE" w:rsidRPr="00024B04" w:rsidRDefault="00B057DE" w:rsidP="00523F00">
      <w:pPr>
        <w:spacing w:before="120" w:after="120"/>
        <w:ind w:left="720" w:hanging="720"/>
        <w:jc w:val="both"/>
        <w:rPr>
          <w:sz w:val="22"/>
          <w:szCs w:val="22"/>
        </w:rPr>
      </w:pPr>
      <w:r w:rsidRPr="00024B04">
        <w:rPr>
          <w:sz w:val="22"/>
          <w:szCs w:val="22"/>
        </w:rPr>
        <w:t>9.</w:t>
      </w:r>
      <w:r w:rsidR="006E5BEF">
        <w:rPr>
          <w:sz w:val="22"/>
          <w:szCs w:val="22"/>
        </w:rPr>
        <w:tab/>
      </w:r>
      <w:r w:rsidRPr="00024B04">
        <w:rPr>
          <w:sz w:val="22"/>
          <w:szCs w:val="22"/>
        </w:rPr>
        <w:t>For the relevant years, AAM’s total profits were £19,040,069. AF’s total profits were £3,165,813.</w:t>
      </w:r>
    </w:p>
    <w:p w14:paraId="2D9705E5" w14:textId="181E14CF" w:rsidR="00B057DE" w:rsidRPr="00024B04" w:rsidRDefault="00B057DE" w:rsidP="00523F00">
      <w:pPr>
        <w:spacing w:before="120" w:after="120"/>
        <w:ind w:left="720" w:hanging="720"/>
        <w:jc w:val="both"/>
        <w:rPr>
          <w:sz w:val="22"/>
          <w:szCs w:val="22"/>
        </w:rPr>
      </w:pPr>
      <w:r w:rsidRPr="00024B04">
        <w:rPr>
          <w:sz w:val="22"/>
          <w:szCs w:val="22"/>
        </w:rPr>
        <w:t>10.</w:t>
      </w:r>
      <w:r w:rsidR="006E5BEF">
        <w:rPr>
          <w:sz w:val="22"/>
          <w:szCs w:val="22"/>
        </w:rPr>
        <w:tab/>
      </w:r>
      <w:r w:rsidRPr="00024B04">
        <w:rPr>
          <w:sz w:val="22"/>
          <w:szCs w:val="22"/>
        </w:rPr>
        <w:t xml:space="preserve">Mr </w:t>
      </w:r>
      <w:proofErr w:type="spellStart"/>
      <w:r w:rsidRPr="00024B04">
        <w:rPr>
          <w:sz w:val="22"/>
          <w:szCs w:val="22"/>
        </w:rPr>
        <w:t>Walewski</w:t>
      </w:r>
      <w:proofErr w:type="spellEnd"/>
      <w:r w:rsidRPr="00024B04">
        <w:rPr>
          <w:sz w:val="22"/>
          <w:szCs w:val="22"/>
        </w:rPr>
        <w:t xml:space="preserve"> was a partner in AM and AF and also set up a company, W Ltd, in June 2006 which was a partner of both AAM and AF. Mr </w:t>
      </w:r>
      <w:proofErr w:type="spellStart"/>
      <w:r w:rsidRPr="00024B04">
        <w:rPr>
          <w:sz w:val="22"/>
          <w:szCs w:val="22"/>
        </w:rPr>
        <w:t>Walewski</w:t>
      </w:r>
      <w:proofErr w:type="spellEnd"/>
      <w:r w:rsidRPr="00024B04">
        <w:rPr>
          <w:sz w:val="22"/>
          <w:szCs w:val="22"/>
        </w:rPr>
        <w:t xml:space="preserve"> was W </w:t>
      </w:r>
      <w:proofErr w:type="spellStart"/>
      <w:r w:rsidRPr="00024B04">
        <w:rPr>
          <w:sz w:val="22"/>
          <w:szCs w:val="22"/>
        </w:rPr>
        <w:t>Ltd’s</w:t>
      </w:r>
      <w:proofErr w:type="spellEnd"/>
      <w:r w:rsidRPr="00024B04">
        <w:rPr>
          <w:sz w:val="22"/>
          <w:szCs w:val="22"/>
        </w:rPr>
        <w:t xml:space="preserve"> only director. Mr </w:t>
      </w:r>
      <w:proofErr w:type="spellStart"/>
      <w:r w:rsidRPr="00024B04">
        <w:rPr>
          <w:sz w:val="22"/>
          <w:szCs w:val="22"/>
        </w:rPr>
        <w:t>Walewski</w:t>
      </w:r>
      <w:proofErr w:type="spellEnd"/>
      <w:r w:rsidRPr="00024B04">
        <w:rPr>
          <w:sz w:val="22"/>
          <w:szCs w:val="22"/>
        </w:rPr>
        <w:t xml:space="preserve"> became an employee of W Ltd on 1 April 2007. W Ltd had no other employees or directors.</w:t>
      </w:r>
    </w:p>
    <w:p w14:paraId="15C9F058" w14:textId="551109B6" w:rsidR="00B057DE" w:rsidRPr="00024B04" w:rsidRDefault="00B057DE" w:rsidP="00523F00">
      <w:pPr>
        <w:spacing w:before="120" w:after="120"/>
        <w:ind w:left="720" w:hanging="720"/>
        <w:jc w:val="both"/>
        <w:rPr>
          <w:sz w:val="22"/>
          <w:szCs w:val="22"/>
        </w:rPr>
      </w:pPr>
      <w:r w:rsidRPr="00024B04">
        <w:rPr>
          <w:sz w:val="22"/>
          <w:szCs w:val="22"/>
        </w:rPr>
        <w:t>11.</w:t>
      </w:r>
      <w:r w:rsidR="006E5BEF">
        <w:rPr>
          <w:sz w:val="22"/>
          <w:szCs w:val="22"/>
        </w:rPr>
        <w:tab/>
      </w:r>
      <w:r w:rsidRPr="00024B04">
        <w:rPr>
          <w:sz w:val="22"/>
          <w:szCs w:val="22"/>
        </w:rPr>
        <w:t xml:space="preserve">AAM was a partner in AF until 5 July 2011 and was its managing member. AF’s only other member was Mr </w:t>
      </w:r>
      <w:proofErr w:type="spellStart"/>
      <w:r w:rsidRPr="00024B04">
        <w:rPr>
          <w:sz w:val="22"/>
          <w:szCs w:val="22"/>
        </w:rPr>
        <w:t>Walewski</w:t>
      </w:r>
      <w:proofErr w:type="spellEnd"/>
      <w:r w:rsidRPr="00024B04">
        <w:rPr>
          <w:sz w:val="22"/>
          <w:szCs w:val="22"/>
        </w:rPr>
        <w:t>. W Ltd took over AM’s partnership interest in AF on 5 July 2011.</w:t>
      </w:r>
    </w:p>
    <w:p w14:paraId="7F1624C0" w14:textId="09AE7405" w:rsidR="00B057DE" w:rsidRPr="00024B04" w:rsidRDefault="00B057DE" w:rsidP="00523F00">
      <w:pPr>
        <w:spacing w:before="120" w:after="120"/>
        <w:ind w:left="720" w:hanging="720"/>
        <w:jc w:val="both"/>
        <w:rPr>
          <w:sz w:val="22"/>
          <w:szCs w:val="22"/>
        </w:rPr>
      </w:pPr>
      <w:r w:rsidRPr="00024B04">
        <w:rPr>
          <w:sz w:val="22"/>
          <w:szCs w:val="22"/>
        </w:rPr>
        <w:t>12.</w:t>
      </w:r>
      <w:r w:rsidR="006E5BEF">
        <w:rPr>
          <w:sz w:val="22"/>
          <w:szCs w:val="22"/>
        </w:rPr>
        <w:tab/>
      </w:r>
      <w:r w:rsidRPr="00024B04">
        <w:rPr>
          <w:sz w:val="22"/>
          <w:szCs w:val="22"/>
        </w:rPr>
        <w:t xml:space="preserve">AAM and AF had other employees as well as Mr </w:t>
      </w:r>
      <w:proofErr w:type="spellStart"/>
      <w:r w:rsidRPr="00024B04">
        <w:rPr>
          <w:sz w:val="22"/>
          <w:szCs w:val="22"/>
        </w:rPr>
        <w:t>Walewski</w:t>
      </w:r>
      <w:proofErr w:type="spellEnd"/>
      <w:r w:rsidRPr="00024B04">
        <w:rPr>
          <w:sz w:val="22"/>
          <w:szCs w:val="22"/>
        </w:rPr>
        <w:t xml:space="preserve"> and clients other than the </w:t>
      </w:r>
      <w:proofErr w:type="spellStart"/>
      <w:r w:rsidRPr="00024B04">
        <w:rPr>
          <w:sz w:val="22"/>
          <w:szCs w:val="22"/>
        </w:rPr>
        <w:t>Alken</w:t>
      </w:r>
      <w:proofErr w:type="spellEnd"/>
      <w:r w:rsidRPr="00024B04">
        <w:rPr>
          <w:sz w:val="22"/>
          <w:szCs w:val="22"/>
        </w:rPr>
        <w:t xml:space="preserve"> Fund, but that fund generated more than 80% of AAM’s income for the 2014-15 tax year and Mr </w:t>
      </w:r>
      <w:proofErr w:type="spellStart"/>
      <w:r w:rsidRPr="00024B04">
        <w:rPr>
          <w:sz w:val="22"/>
          <w:szCs w:val="22"/>
        </w:rPr>
        <w:t>Walewski</w:t>
      </w:r>
      <w:proofErr w:type="spellEnd"/>
      <w:r w:rsidRPr="00024B04">
        <w:rPr>
          <w:sz w:val="22"/>
          <w:szCs w:val="22"/>
        </w:rPr>
        <w:t xml:space="preserve"> was the only member of AAM’s management committee.</w:t>
      </w:r>
    </w:p>
    <w:p w14:paraId="0F8CD037" w14:textId="04A5A2AF" w:rsidR="00B057DE" w:rsidRPr="00024B04" w:rsidRDefault="00B057DE" w:rsidP="00523F00">
      <w:pPr>
        <w:spacing w:before="120" w:after="120"/>
        <w:ind w:left="720" w:hanging="720"/>
        <w:jc w:val="both"/>
        <w:rPr>
          <w:sz w:val="22"/>
          <w:szCs w:val="22"/>
        </w:rPr>
      </w:pPr>
      <w:r w:rsidRPr="00024B04">
        <w:rPr>
          <w:sz w:val="22"/>
          <w:szCs w:val="22"/>
        </w:rPr>
        <w:t>13.</w:t>
      </w:r>
      <w:r w:rsidR="006E5BEF">
        <w:rPr>
          <w:sz w:val="22"/>
          <w:szCs w:val="22"/>
        </w:rPr>
        <w:tab/>
      </w:r>
      <w:r w:rsidRPr="00024B04">
        <w:rPr>
          <w:sz w:val="22"/>
          <w:szCs w:val="22"/>
        </w:rPr>
        <w:t>The “mixed partnership” rules are anti-avoidance rules which were introduced in April 2014 having effect for tax years starting from 6 April 2014. They apply to LLPs such as AAM and AF if the partnership includes both individual and non-individual members.</w:t>
      </w:r>
    </w:p>
    <w:p w14:paraId="281C8834" w14:textId="615ED642" w:rsidR="00B057DE" w:rsidRPr="00024B04" w:rsidRDefault="00B057DE" w:rsidP="00523F00">
      <w:pPr>
        <w:spacing w:before="120" w:after="120"/>
        <w:ind w:left="720" w:hanging="720"/>
        <w:jc w:val="both"/>
        <w:rPr>
          <w:sz w:val="22"/>
          <w:szCs w:val="22"/>
        </w:rPr>
      </w:pPr>
      <w:r w:rsidRPr="00024B04">
        <w:rPr>
          <w:sz w:val="22"/>
          <w:szCs w:val="22"/>
        </w:rPr>
        <w:t>14.</w:t>
      </w:r>
      <w:r w:rsidR="006E5BEF">
        <w:rPr>
          <w:sz w:val="22"/>
          <w:szCs w:val="22"/>
        </w:rPr>
        <w:tab/>
      </w:r>
      <w:r w:rsidRPr="00024B04">
        <w:rPr>
          <w:sz w:val="22"/>
          <w:szCs w:val="22"/>
        </w:rPr>
        <w:t xml:space="preserve">The shares in W Ltd are held by an offshore company </w:t>
      </w:r>
      <w:proofErr w:type="spellStart"/>
      <w:r w:rsidRPr="00024B04">
        <w:rPr>
          <w:sz w:val="22"/>
          <w:szCs w:val="22"/>
        </w:rPr>
        <w:t>Molinos</w:t>
      </w:r>
      <w:proofErr w:type="spellEnd"/>
      <w:r w:rsidRPr="00024B04">
        <w:rPr>
          <w:sz w:val="22"/>
          <w:szCs w:val="22"/>
        </w:rPr>
        <w:t xml:space="preserve"> Capital Limited in the British Virgin Islands. Shares in that company are held by a trust, the Kleber Trust, in which Mr </w:t>
      </w:r>
      <w:proofErr w:type="spellStart"/>
      <w:r w:rsidRPr="00024B04">
        <w:rPr>
          <w:sz w:val="22"/>
          <w:szCs w:val="22"/>
        </w:rPr>
        <w:t>Walewski’s</w:t>
      </w:r>
      <w:proofErr w:type="spellEnd"/>
      <w:r w:rsidRPr="00024B04">
        <w:rPr>
          <w:sz w:val="22"/>
          <w:szCs w:val="22"/>
        </w:rPr>
        <w:t xml:space="preserve"> children are named beneficiaries.</w:t>
      </w:r>
    </w:p>
    <w:p w14:paraId="69A1EB89" w14:textId="0E4E9525" w:rsidR="00B057DE" w:rsidRPr="00024B04" w:rsidRDefault="00B057DE" w:rsidP="00523F00">
      <w:pPr>
        <w:spacing w:before="120" w:after="120"/>
        <w:ind w:left="720" w:hanging="720"/>
        <w:jc w:val="both"/>
        <w:rPr>
          <w:sz w:val="22"/>
          <w:szCs w:val="22"/>
        </w:rPr>
      </w:pPr>
      <w:r w:rsidRPr="00024B04">
        <w:rPr>
          <w:sz w:val="22"/>
          <w:szCs w:val="22"/>
        </w:rPr>
        <w:t>15.</w:t>
      </w:r>
      <w:r w:rsidR="006E5BEF">
        <w:rPr>
          <w:sz w:val="22"/>
          <w:szCs w:val="22"/>
        </w:rPr>
        <w:tab/>
      </w:r>
      <w:r w:rsidRPr="00024B04">
        <w:rPr>
          <w:sz w:val="22"/>
          <w:szCs w:val="22"/>
        </w:rPr>
        <w:t xml:space="preserve">During the relevant tax year 2014-15, Mr </w:t>
      </w:r>
      <w:proofErr w:type="spellStart"/>
      <w:r w:rsidRPr="00024B04">
        <w:rPr>
          <w:sz w:val="22"/>
          <w:szCs w:val="22"/>
        </w:rPr>
        <w:t>Walewski’s</w:t>
      </w:r>
      <w:proofErr w:type="spellEnd"/>
      <w:r w:rsidRPr="00024B04">
        <w:rPr>
          <w:sz w:val="22"/>
          <w:szCs w:val="22"/>
        </w:rPr>
        <w:t xml:space="preserve"> role and involvement in AAM, AF and W Ltd changed:</w:t>
      </w:r>
    </w:p>
    <w:p w14:paraId="37CB40C5" w14:textId="1D37B5EC" w:rsidR="006E5BEF" w:rsidRPr="00024B04" w:rsidRDefault="00B057DE" w:rsidP="00523F00">
      <w:pPr>
        <w:spacing w:before="120" w:after="120"/>
        <w:ind w:left="1440" w:hanging="720"/>
        <w:jc w:val="both"/>
        <w:rPr>
          <w:sz w:val="22"/>
          <w:szCs w:val="22"/>
        </w:rPr>
      </w:pPr>
      <w:r w:rsidRPr="00024B04">
        <w:rPr>
          <w:sz w:val="22"/>
          <w:szCs w:val="22"/>
        </w:rPr>
        <w:t>(1)</w:t>
      </w:r>
      <w:r w:rsidR="006E5BEF">
        <w:rPr>
          <w:sz w:val="22"/>
          <w:szCs w:val="22"/>
        </w:rPr>
        <w:tab/>
      </w:r>
      <w:r w:rsidRPr="00024B04">
        <w:rPr>
          <w:sz w:val="22"/>
          <w:szCs w:val="22"/>
        </w:rPr>
        <w:t xml:space="preserve">Mr </w:t>
      </w:r>
      <w:proofErr w:type="spellStart"/>
      <w:r w:rsidRPr="00024B04">
        <w:rPr>
          <w:sz w:val="22"/>
          <w:szCs w:val="22"/>
        </w:rPr>
        <w:t>Walewski</w:t>
      </w:r>
      <w:proofErr w:type="spellEnd"/>
      <w:r w:rsidRPr="00024B04">
        <w:rPr>
          <w:sz w:val="22"/>
          <w:szCs w:val="22"/>
        </w:rPr>
        <w:t xml:space="preserve"> retired as a partner from AAM on 31 July 2014.</w:t>
      </w:r>
    </w:p>
    <w:p w14:paraId="77041F89" w14:textId="4EF89A92" w:rsidR="006E5BEF" w:rsidRPr="00024B04" w:rsidRDefault="00B057DE" w:rsidP="00523F00">
      <w:pPr>
        <w:spacing w:before="120" w:after="120"/>
        <w:ind w:left="1440" w:hanging="720"/>
        <w:jc w:val="both"/>
        <w:rPr>
          <w:sz w:val="22"/>
          <w:szCs w:val="22"/>
        </w:rPr>
      </w:pPr>
      <w:r w:rsidRPr="00024B04">
        <w:rPr>
          <w:sz w:val="22"/>
          <w:szCs w:val="22"/>
        </w:rPr>
        <w:t>(2</w:t>
      </w:r>
      <w:r w:rsidR="006E5BEF" w:rsidRPr="00024B04">
        <w:rPr>
          <w:sz w:val="22"/>
          <w:szCs w:val="22"/>
        </w:rPr>
        <w:t>)</w:t>
      </w:r>
      <w:r w:rsidR="006E5BEF">
        <w:rPr>
          <w:sz w:val="22"/>
          <w:szCs w:val="22"/>
        </w:rPr>
        <w:tab/>
      </w:r>
      <w:r w:rsidRPr="00024B04">
        <w:rPr>
          <w:sz w:val="22"/>
          <w:szCs w:val="22"/>
        </w:rPr>
        <w:t xml:space="preserve">Mr </w:t>
      </w:r>
      <w:proofErr w:type="spellStart"/>
      <w:r w:rsidRPr="00024B04">
        <w:rPr>
          <w:sz w:val="22"/>
          <w:szCs w:val="22"/>
        </w:rPr>
        <w:t>Walewski’s</w:t>
      </w:r>
      <w:proofErr w:type="spellEnd"/>
      <w:r w:rsidRPr="00024B04">
        <w:rPr>
          <w:sz w:val="22"/>
          <w:szCs w:val="22"/>
        </w:rPr>
        <w:t xml:space="preserve"> capital contribution to AAM was taken over by W Ltd effective from 1 August 2014, although no actual repayment was made to Mr </w:t>
      </w:r>
      <w:proofErr w:type="spellStart"/>
      <w:r w:rsidRPr="00024B04">
        <w:rPr>
          <w:sz w:val="22"/>
          <w:szCs w:val="22"/>
        </w:rPr>
        <w:t>Walewski</w:t>
      </w:r>
      <w:proofErr w:type="spellEnd"/>
      <w:r w:rsidRPr="00024B04">
        <w:rPr>
          <w:sz w:val="22"/>
          <w:szCs w:val="22"/>
        </w:rPr>
        <w:t xml:space="preserve"> until 24 November 2014</w:t>
      </w:r>
      <w:r w:rsidR="006E5BEF">
        <w:rPr>
          <w:sz w:val="22"/>
          <w:szCs w:val="22"/>
        </w:rPr>
        <w:t>.</w:t>
      </w:r>
    </w:p>
    <w:p w14:paraId="02B669FF" w14:textId="6B5B75CC" w:rsidR="006E5BEF" w:rsidRPr="00024B04" w:rsidRDefault="00B057DE" w:rsidP="00523F00">
      <w:pPr>
        <w:spacing w:before="120" w:after="120"/>
        <w:ind w:left="1440" w:hanging="720"/>
        <w:jc w:val="both"/>
        <w:rPr>
          <w:sz w:val="22"/>
          <w:szCs w:val="22"/>
        </w:rPr>
      </w:pPr>
      <w:r w:rsidRPr="00024B04">
        <w:rPr>
          <w:sz w:val="22"/>
          <w:szCs w:val="22"/>
        </w:rPr>
        <w:t>(3</w:t>
      </w:r>
      <w:r w:rsidR="006E5BEF" w:rsidRPr="00024B04">
        <w:rPr>
          <w:sz w:val="22"/>
          <w:szCs w:val="22"/>
        </w:rPr>
        <w:t>)</w:t>
      </w:r>
      <w:r w:rsidR="006E5BEF">
        <w:rPr>
          <w:sz w:val="22"/>
          <w:szCs w:val="22"/>
        </w:rPr>
        <w:tab/>
      </w:r>
      <w:r w:rsidRPr="00024B04">
        <w:rPr>
          <w:sz w:val="22"/>
          <w:szCs w:val="22"/>
        </w:rPr>
        <w:t xml:space="preserve">Mr </w:t>
      </w:r>
      <w:proofErr w:type="spellStart"/>
      <w:r w:rsidRPr="00024B04">
        <w:rPr>
          <w:sz w:val="22"/>
          <w:szCs w:val="22"/>
        </w:rPr>
        <w:t>Walewski</w:t>
      </w:r>
      <w:proofErr w:type="spellEnd"/>
      <w:r w:rsidRPr="00024B04">
        <w:rPr>
          <w:sz w:val="22"/>
          <w:szCs w:val="22"/>
        </w:rPr>
        <w:t xml:space="preserve"> became an employee of AAM for the two months from 1 August to 30 September 2014.</w:t>
      </w:r>
    </w:p>
    <w:p w14:paraId="7169356B" w14:textId="233AEC23" w:rsidR="006E5BEF" w:rsidRPr="00024B04" w:rsidRDefault="00B057DE" w:rsidP="00523F00">
      <w:pPr>
        <w:spacing w:before="120" w:after="120"/>
        <w:ind w:left="1440" w:hanging="720"/>
        <w:jc w:val="both"/>
        <w:rPr>
          <w:sz w:val="22"/>
          <w:szCs w:val="22"/>
        </w:rPr>
      </w:pPr>
      <w:r w:rsidRPr="00024B04">
        <w:rPr>
          <w:sz w:val="22"/>
          <w:szCs w:val="22"/>
        </w:rPr>
        <w:t>(4)</w:t>
      </w:r>
      <w:r w:rsidR="006E5BEF">
        <w:rPr>
          <w:sz w:val="22"/>
          <w:szCs w:val="22"/>
        </w:rPr>
        <w:tab/>
      </w:r>
      <w:r w:rsidRPr="00024B04">
        <w:rPr>
          <w:sz w:val="22"/>
          <w:szCs w:val="22"/>
        </w:rPr>
        <w:t xml:space="preserve">Mr </w:t>
      </w:r>
      <w:proofErr w:type="spellStart"/>
      <w:r w:rsidRPr="00024B04">
        <w:rPr>
          <w:sz w:val="22"/>
          <w:szCs w:val="22"/>
        </w:rPr>
        <w:t>Walewski</w:t>
      </w:r>
      <w:proofErr w:type="spellEnd"/>
      <w:r w:rsidRPr="00024B04">
        <w:rPr>
          <w:sz w:val="22"/>
          <w:szCs w:val="22"/>
        </w:rPr>
        <w:t xml:space="preserve"> resigned as an employee of W Ltd at the end of September 2014. Mr </w:t>
      </w:r>
      <w:proofErr w:type="spellStart"/>
      <w:r w:rsidRPr="00024B04">
        <w:rPr>
          <w:sz w:val="22"/>
          <w:szCs w:val="22"/>
        </w:rPr>
        <w:t>Walewski</w:t>
      </w:r>
      <w:proofErr w:type="spellEnd"/>
      <w:r w:rsidRPr="00024B04">
        <w:rPr>
          <w:sz w:val="22"/>
          <w:szCs w:val="22"/>
        </w:rPr>
        <w:t xml:space="preserve"> remained as a director of W Ltd.</w:t>
      </w:r>
    </w:p>
    <w:p w14:paraId="02DF4A94" w14:textId="2681D05C" w:rsidR="00B057DE" w:rsidRPr="00024B04" w:rsidRDefault="00B057DE" w:rsidP="00523F00">
      <w:pPr>
        <w:spacing w:before="120" w:after="120"/>
        <w:ind w:left="1440" w:hanging="720"/>
        <w:jc w:val="both"/>
        <w:rPr>
          <w:sz w:val="22"/>
          <w:szCs w:val="22"/>
        </w:rPr>
      </w:pPr>
      <w:r w:rsidRPr="00024B04">
        <w:rPr>
          <w:sz w:val="22"/>
          <w:szCs w:val="22"/>
        </w:rPr>
        <w:t>(5)</w:t>
      </w:r>
      <w:r w:rsidR="006E5BEF">
        <w:rPr>
          <w:sz w:val="22"/>
          <w:szCs w:val="22"/>
        </w:rPr>
        <w:tab/>
      </w:r>
      <w:r w:rsidRPr="00024B04">
        <w:rPr>
          <w:sz w:val="22"/>
          <w:szCs w:val="22"/>
        </w:rPr>
        <w:t xml:space="preserve">On 29 November 2014 the business of AAM and AAF were incorporated and Mr </w:t>
      </w:r>
      <w:proofErr w:type="spellStart"/>
      <w:r w:rsidRPr="00024B04">
        <w:rPr>
          <w:sz w:val="22"/>
          <w:szCs w:val="22"/>
        </w:rPr>
        <w:t>Walewski</w:t>
      </w:r>
      <w:proofErr w:type="spellEnd"/>
      <w:r w:rsidRPr="00024B04">
        <w:rPr>
          <w:sz w:val="22"/>
          <w:szCs w:val="22"/>
        </w:rPr>
        <w:t xml:space="preserve"> became a director of both of those entities.</w:t>
      </w:r>
    </w:p>
    <w:p w14:paraId="7288B0CF" w14:textId="0BCB61B5" w:rsidR="00B057DE" w:rsidRPr="007862D0" w:rsidRDefault="00B057DE" w:rsidP="00523F00">
      <w:pPr>
        <w:spacing w:before="120" w:after="120"/>
        <w:ind w:left="720" w:hanging="720"/>
        <w:jc w:val="both"/>
        <w:rPr>
          <w:szCs w:val="24"/>
        </w:rPr>
      </w:pPr>
      <w:r w:rsidRPr="00024B04">
        <w:rPr>
          <w:sz w:val="22"/>
          <w:szCs w:val="22"/>
        </w:rPr>
        <w:t>16</w:t>
      </w:r>
      <w:r w:rsidR="006E5BEF">
        <w:rPr>
          <w:sz w:val="22"/>
          <w:szCs w:val="22"/>
        </w:rPr>
        <w:t>.</w:t>
      </w:r>
      <w:r w:rsidR="006E5BEF">
        <w:rPr>
          <w:sz w:val="22"/>
          <w:szCs w:val="22"/>
        </w:rPr>
        <w:tab/>
      </w:r>
      <w:r w:rsidRPr="00024B04">
        <w:rPr>
          <w:sz w:val="22"/>
          <w:szCs w:val="22"/>
        </w:rPr>
        <w:t>The profit allocations with which we are concerned were made on 24 March 2015 for AAM and 28 October 2015 for AF and represented profits for the 2014-15 tax year during which (</w:t>
      </w:r>
      <w:proofErr w:type="spellStart"/>
      <w:r w:rsidRPr="00024B04">
        <w:rPr>
          <w:sz w:val="22"/>
          <w:szCs w:val="22"/>
        </w:rPr>
        <w:t>i</w:t>
      </w:r>
      <w:proofErr w:type="spellEnd"/>
      <w:r w:rsidRPr="00024B04">
        <w:rPr>
          <w:sz w:val="22"/>
          <w:szCs w:val="22"/>
        </w:rPr>
        <w:t xml:space="preserve">) W Ltd was a partner in AAM and AF (until their incorporation in November 2014) and (ii) Mr </w:t>
      </w:r>
      <w:proofErr w:type="spellStart"/>
      <w:r w:rsidRPr="00024B04">
        <w:rPr>
          <w:sz w:val="22"/>
          <w:szCs w:val="22"/>
        </w:rPr>
        <w:t>Walewski</w:t>
      </w:r>
      <w:proofErr w:type="spellEnd"/>
      <w:r w:rsidRPr="00024B04">
        <w:rPr>
          <w:sz w:val="22"/>
          <w:szCs w:val="22"/>
        </w:rPr>
        <w:t xml:space="preserve"> was also a partner, in AAM (from April 2014 until July 2014), and in AF (from April 2014 until November 2014).</w:t>
      </w:r>
      <w:r w:rsidR="006E5BEF">
        <w:rPr>
          <w:sz w:val="22"/>
          <w:szCs w:val="22"/>
        </w:rPr>
        <w:t>”</w:t>
      </w:r>
    </w:p>
    <w:p w14:paraId="6A7837F5" w14:textId="30893B29" w:rsidR="00B057DE" w:rsidRPr="008B02B3" w:rsidRDefault="002F4223" w:rsidP="00523F00">
      <w:pPr>
        <w:keepNext/>
        <w:spacing w:before="120" w:after="120"/>
        <w:ind w:left="567" w:hanging="567"/>
        <w:jc w:val="both"/>
        <w:rPr>
          <w:i/>
          <w:iCs/>
          <w:sz w:val="22"/>
          <w:szCs w:val="22"/>
        </w:rPr>
      </w:pPr>
      <w:r>
        <w:rPr>
          <w:b/>
          <w:bCs/>
          <w:szCs w:val="24"/>
        </w:rPr>
        <w:lastRenderedPageBreak/>
        <w:t>(</w:t>
      </w:r>
      <w:r w:rsidR="006908BA">
        <w:rPr>
          <w:b/>
          <w:bCs/>
          <w:szCs w:val="24"/>
        </w:rPr>
        <w:t>3</w:t>
      </w:r>
      <w:r>
        <w:rPr>
          <w:b/>
          <w:bCs/>
          <w:szCs w:val="24"/>
        </w:rPr>
        <w:t>)</w:t>
      </w:r>
      <w:r>
        <w:rPr>
          <w:b/>
          <w:bCs/>
          <w:szCs w:val="24"/>
        </w:rPr>
        <w:tab/>
      </w:r>
      <w:r w:rsidR="00BC5DA5">
        <w:rPr>
          <w:b/>
          <w:bCs/>
          <w:szCs w:val="24"/>
        </w:rPr>
        <w:t xml:space="preserve">A parsing of the </w:t>
      </w:r>
      <w:r w:rsidR="000E1606">
        <w:rPr>
          <w:b/>
          <w:bCs/>
          <w:szCs w:val="24"/>
        </w:rPr>
        <w:t>relevant provisions</w:t>
      </w:r>
    </w:p>
    <w:p w14:paraId="2F3816BB" w14:textId="7C228C59" w:rsidR="0053135C" w:rsidRDefault="00B057DE" w:rsidP="00523F00">
      <w:pPr>
        <w:pStyle w:val="Bodytexttax1"/>
        <w:spacing w:before="120" w:after="120"/>
        <w:rPr>
          <w:szCs w:val="24"/>
        </w:rPr>
      </w:pPr>
      <w:r w:rsidRPr="007862D0">
        <w:rPr>
          <w:szCs w:val="24"/>
        </w:rPr>
        <w:t xml:space="preserve">The relevant provisions relied upon by the FTT to confirm HMRC’s decision to increase the Appellant’s profit share, and hence income tax liability, are </w:t>
      </w:r>
      <w:r w:rsidR="001E1D91">
        <w:rPr>
          <w:szCs w:val="24"/>
        </w:rPr>
        <w:t xml:space="preserve">set out in Section </w:t>
      </w:r>
      <w:r w:rsidR="00B80DE8">
        <w:rPr>
          <w:szCs w:val="24"/>
        </w:rPr>
        <w:t>B above.</w:t>
      </w:r>
      <w:r w:rsidR="0090089A">
        <w:rPr>
          <w:szCs w:val="24"/>
        </w:rPr>
        <w:t xml:space="preserve"> </w:t>
      </w:r>
      <w:r w:rsidR="000E1606">
        <w:rPr>
          <w:szCs w:val="24"/>
        </w:rPr>
        <w:t xml:space="preserve">The provisions are complex, and it is appropriate to set out the various requirements that have to be met before </w:t>
      </w:r>
      <w:r w:rsidR="00B06E11">
        <w:rPr>
          <w:szCs w:val="24"/>
        </w:rPr>
        <w:t>setting out the FTT’s approach.</w:t>
      </w:r>
    </w:p>
    <w:p w14:paraId="0FB9A362" w14:textId="05CDE7CD" w:rsidR="0053135C" w:rsidRPr="0053135C" w:rsidRDefault="0053135C" w:rsidP="00523F00">
      <w:pPr>
        <w:pStyle w:val="Bodytexttax1"/>
        <w:keepNext/>
        <w:numPr>
          <w:ilvl w:val="0"/>
          <w:numId w:val="0"/>
        </w:numPr>
        <w:spacing w:before="120" w:after="120"/>
        <w:rPr>
          <w:b/>
          <w:bCs/>
          <w:i/>
          <w:iCs/>
          <w:szCs w:val="24"/>
        </w:rPr>
      </w:pPr>
      <w:r>
        <w:rPr>
          <w:b/>
          <w:bCs/>
          <w:i/>
          <w:iCs/>
          <w:szCs w:val="24"/>
        </w:rPr>
        <w:t>(</w:t>
      </w:r>
      <w:proofErr w:type="spellStart"/>
      <w:r>
        <w:rPr>
          <w:b/>
          <w:bCs/>
          <w:i/>
          <w:iCs/>
          <w:szCs w:val="24"/>
        </w:rPr>
        <w:t>i</w:t>
      </w:r>
      <w:proofErr w:type="spellEnd"/>
      <w:r>
        <w:rPr>
          <w:b/>
          <w:bCs/>
          <w:i/>
          <w:iCs/>
          <w:szCs w:val="24"/>
        </w:rPr>
        <w:t>)</w:t>
      </w:r>
      <w:r>
        <w:rPr>
          <w:b/>
          <w:bCs/>
          <w:i/>
          <w:iCs/>
          <w:szCs w:val="24"/>
        </w:rPr>
        <w:tab/>
        <w:t>Section 850C(1)</w:t>
      </w:r>
    </w:p>
    <w:p w14:paraId="1C549C4F" w14:textId="0C9EC932" w:rsidR="00230FB0" w:rsidRPr="00230FB0" w:rsidRDefault="00AE2423" w:rsidP="00523F00">
      <w:pPr>
        <w:pStyle w:val="Bodytexttax1"/>
        <w:tabs>
          <w:tab w:val="clear" w:pos="360"/>
        </w:tabs>
        <w:spacing w:before="120" w:after="120"/>
        <w:rPr>
          <w:szCs w:val="24"/>
        </w:rPr>
      </w:pPr>
      <w:r>
        <w:t>The relevant parts of section 850C</w:t>
      </w:r>
      <w:r w:rsidR="00175990">
        <w:t xml:space="preserve"> – that is, subsections (4) and (5) </w:t>
      </w:r>
      <w:r w:rsidR="00CC41DC">
        <w:t>–</w:t>
      </w:r>
      <w:r w:rsidR="00175990">
        <w:t xml:space="preserve"> </w:t>
      </w:r>
      <w:r w:rsidR="00CC41DC">
        <w:t xml:space="preserve">only apply if the three cumulative conditions in section 850C(1) </w:t>
      </w:r>
      <w:r w:rsidR="00D4544C">
        <w:t xml:space="preserve">are met. </w:t>
      </w:r>
      <w:r w:rsidR="00500BC0">
        <w:t xml:space="preserve">These are stated in </w:t>
      </w:r>
      <w:r w:rsidR="000F4308">
        <w:t>sub-sub-paragraphs (a), (b) and (c)</w:t>
      </w:r>
      <w:r w:rsidR="002514ED">
        <w:t xml:space="preserve"> of section </w:t>
      </w:r>
      <w:r w:rsidR="0032355F">
        <w:t>850C(1)</w:t>
      </w:r>
      <w:r w:rsidR="000F4308">
        <w:t xml:space="preserve">. </w:t>
      </w:r>
      <w:r w:rsidR="00337E13">
        <w:t>We shall refer to these three conditions as “Conditions (a)</w:t>
      </w:r>
      <w:r w:rsidR="00230FB0">
        <w:t>, (b) and (c)”.</w:t>
      </w:r>
    </w:p>
    <w:p w14:paraId="5B697950" w14:textId="77777777" w:rsidR="004D02AB" w:rsidRPr="004D02AB" w:rsidRDefault="004D02AB" w:rsidP="00523F00">
      <w:pPr>
        <w:pStyle w:val="Bodytexttax1"/>
        <w:spacing w:before="120" w:after="120"/>
        <w:rPr>
          <w:szCs w:val="24"/>
        </w:rPr>
      </w:pPr>
      <w:r>
        <w:t>As to these:</w:t>
      </w:r>
    </w:p>
    <w:p w14:paraId="1B2353EF" w14:textId="23097ABD" w:rsidR="004F04A8" w:rsidRDefault="00230FB0" w:rsidP="00523F00">
      <w:pPr>
        <w:pStyle w:val="Bodytexttax2"/>
        <w:spacing w:before="120"/>
        <w:rPr>
          <w:szCs w:val="24"/>
        </w:rPr>
      </w:pPr>
      <w:r>
        <w:rPr>
          <w:i/>
          <w:iCs/>
          <w:szCs w:val="24"/>
        </w:rPr>
        <w:t xml:space="preserve">Condition (a). </w:t>
      </w:r>
      <w:r w:rsidR="00247A92" w:rsidRPr="00BD74EA">
        <w:rPr>
          <w:szCs w:val="24"/>
        </w:rPr>
        <w:t xml:space="preserve">During the relevant period of account, from 6 April 2014, </w:t>
      </w:r>
      <w:r w:rsidR="00D47366">
        <w:rPr>
          <w:szCs w:val="24"/>
        </w:rPr>
        <w:t>“</w:t>
      </w:r>
      <w:r w:rsidR="00247A92" w:rsidRPr="00BD74EA">
        <w:rPr>
          <w:szCs w:val="24"/>
        </w:rPr>
        <w:t>A</w:t>
      </w:r>
      <w:r w:rsidR="00D47366">
        <w:rPr>
          <w:szCs w:val="24"/>
        </w:rPr>
        <w:t>”</w:t>
      </w:r>
      <w:r w:rsidR="00247A92" w:rsidRPr="00BD74EA">
        <w:rPr>
          <w:szCs w:val="24"/>
        </w:rPr>
        <w:t xml:space="preserve"> (</w:t>
      </w:r>
      <w:r w:rsidR="00B10345">
        <w:rPr>
          <w:szCs w:val="24"/>
        </w:rPr>
        <w:t xml:space="preserve">as the statute refers to </w:t>
      </w:r>
      <w:r w:rsidR="00D47366">
        <w:rPr>
          <w:szCs w:val="24"/>
        </w:rPr>
        <w:t xml:space="preserve">persons like </w:t>
      </w:r>
      <w:r w:rsidR="00B10345">
        <w:rPr>
          <w:szCs w:val="24"/>
        </w:rPr>
        <w:t xml:space="preserve">the </w:t>
      </w:r>
      <w:r w:rsidR="00247A92" w:rsidRPr="00BD74EA">
        <w:rPr>
          <w:szCs w:val="24"/>
        </w:rPr>
        <w:t>Appellant) was calculated to receive a profit from the firms, AAM and AF</w:t>
      </w:r>
      <w:r w:rsidR="009106DD">
        <w:rPr>
          <w:szCs w:val="24"/>
        </w:rPr>
        <w:t>,</w:t>
      </w:r>
      <w:r w:rsidR="00247A92" w:rsidRPr="00BD74EA">
        <w:rPr>
          <w:szCs w:val="24"/>
        </w:rPr>
        <w:t xml:space="preserve"> </w:t>
      </w:r>
      <w:r w:rsidR="00B10345">
        <w:rPr>
          <w:szCs w:val="24"/>
        </w:rPr>
        <w:t xml:space="preserve">within the meaning of </w:t>
      </w:r>
      <w:r w:rsidR="00247A92" w:rsidRPr="00BD74EA">
        <w:rPr>
          <w:szCs w:val="24"/>
        </w:rPr>
        <w:t>section 850C(1)(a).</w:t>
      </w:r>
    </w:p>
    <w:p w14:paraId="6A4AEE8A" w14:textId="02FF60D2" w:rsidR="009106DD" w:rsidRDefault="00230FB0" w:rsidP="00523F00">
      <w:pPr>
        <w:pStyle w:val="Bodytexttax2"/>
        <w:spacing w:before="120"/>
        <w:rPr>
          <w:szCs w:val="24"/>
        </w:rPr>
      </w:pPr>
      <w:r>
        <w:rPr>
          <w:i/>
          <w:iCs/>
          <w:szCs w:val="24"/>
        </w:rPr>
        <w:t xml:space="preserve">Condition (b). </w:t>
      </w:r>
      <w:r w:rsidR="00247A92" w:rsidRPr="00BD74EA">
        <w:rPr>
          <w:szCs w:val="24"/>
        </w:rPr>
        <w:t xml:space="preserve">In addition, </w:t>
      </w:r>
      <w:r w:rsidR="009106DD">
        <w:rPr>
          <w:szCs w:val="24"/>
        </w:rPr>
        <w:t>“</w:t>
      </w:r>
      <w:r w:rsidR="00247A92" w:rsidRPr="00BD74EA">
        <w:rPr>
          <w:szCs w:val="24"/>
        </w:rPr>
        <w:t>B</w:t>
      </w:r>
      <w:r w:rsidR="009106DD">
        <w:rPr>
          <w:szCs w:val="24"/>
        </w:rPr>
        <w:t>”</w:t>
      </w:r>
      <w:r w:rsidR="00247A92" w:rsidRPr="00BD74EA">
        <w:rPr>
          <w:szCs w:val="24"/>
        </w:rPr>
        <w:t xml:space="preserve"> (</w:t>
      </w:r>
      <w:r w:rsidR="004F04A8">
        <w:rPr>
          <w:szCs w:val="24"/>
        </w:rPr>
        <w:t xml:space="preserve">as the statute refers to </w:t>
      </w:r>
      <w:r w:rsidR="009106DD">
        <w:rPr>
          <w:szCs w:val="24"/>
        </w:rPr>
        <w:t xml:space="preserve">persons in the position of </w:t>
      </w:r>
      <w:r w:rsidR="00247A92" w:rsidRPr="00BD74EA">
        <w:rPr>
          <w:szCs w:val="24"/>
        </w:rPr>
        <w:t>W Ltd) had a share of the profit from the firms (the LLPs)</w:t>
      </w:r>
      <w:r w:rsidR="009106DD">
        <w:rPr>
          <w:szCs w:val="24"/>
        </w:rPr>
        <w:t>,</w:t>
      </w:r>
      <w:r w:rsidR="00247A92" w:rsidRPr="00BD74EA">
        <w:rPr>
          <w:szCs w:val="24"/>
        </w:rPr>
        <w:t xml:space="preserve"> so that section 850C(1)(b) was satisfied.  </w:t>
      </w:r>
    </w:p>
    <w:p w14:paraId="26DEA998" w14:textId="10E5A878" w:rsidR="00B057DE" w:rsidRPr="00A82B1F" w:rsidRDefault="00230FB0" w:rsidP="00523F00">
      <w:pPr>
        <w:pStyle w:val="Bodytexttax2"/>
        <w:spacing w:before="120"/>
      </w:pPr>
      <w:r>
        <w:rPr>
          <w:i/>
          <w:iCs/>
          <w:szCs w:val="24"/>
        </w:rPr>
        <w:t xml:space="preserve">Condition (c). </w:t>
      </w:r>
      <w:r w:rsidR="00A82B1F" w:rsidRPr="00A82B1F">
        <w:rPr>
          <w:szCs w:val="24"/>
        </w:rPr>
        <w:t>C</w:t>
      </w:r>
      <w:r w:rsidR="00B057DE" w:rsidRPr="00A82B1F">
        <w:rPr>
          <w:szCs w:val="24"/>
        </w:rPr>
        <w:t xml:space="preserve">ondition X or Y must also be </w:t>
      </w:r>
      <w:r w:rsidR="009E3B59">
        <w:rPr>
          <w:szCs w:val="24"/>
        </w:rPr>
        <w:t xml:space="preserve">met. </w:t>
      </w:r>
      <w:r w:rsidR="009E3B59" w:rsidRPr="007862D0">
        <w:rPr>
          <w:szCs w:val="24"/>
        </w:rPr>
        <w:t xml:space="preserve">In this case </w:t>
      </w:r>
      <w:r w:rsidR="00DE2C5D">
        <w:rPr>
          <w:szCs w:val="24"/>
        </w:rPr>
        <w:t>c</w:t>
      </w:r>
      <w:r w:rsidR="009E3B59" w:rsidRPr="007862D0">
        <w:rPr>
          <w:szCs w:val="24"/>
        </w:rPr>
        <w:t>ondition Y was relied upon by HMRC</w:t>
      </w:r>
      <w:r w:rsidR="009E3B59">
        <w:rPr>
          <w:szCs w:val="24"/>
        </w:rPr>
        <w:t xml:space="preserve">. </w:t>
      </w:r>
      <w:r w:rsidR="00B5782B">
        <w:rPr>
          <w:szCs w:val="24"/>
        </w:rPr>
        <w:t>It w</w:t>
      </w:r>
      <w:r w:rsidR="00F324D0">
        <w:rPr>
          <w:szCs w:val="24"/>
        </w:rPr>
        <w:t xml:space="preserve">ill be necessary </w:t>
      </w:r>
      <w:r w:rsidR="00DE2C5D">
        <w:rPr>
          <w:szCs w:val="24"/>
        </w:rPr>
        <w:t>to consider condition Y is greater detail. Condition X is immaterial for present purposes.</w:t>
      </w:r>
    </w:p>
    <w:p w14:paraId="5860B714" w14:textId="169D74CE" w:rsidR="00DE2C5D" w:rsidRPr="00DE2C5D" w:rsidRDefault="00DE2C5D" w:rsidP="00523F00">
      <w:pPr>
        <w:pStyle w:val="Bodytexttax1"/>
        <w:numPr>
          <w:ilvl w:val="0"/>
          <w:numId w:val="0"/>
        </w:numPr>
        <w:spacing w:before="120" w:after="120"/>
        <w:rPr>
          <w:b/>
          <w:bCs/>
          <w:i/>
          <w:iCs/>
          <w:szCs w:val="24"/>
        </w:rPr>
      </w:pPr>
      <w:r>
        <w:rPr>
          <w:b/>
          <w:bCs/>
          <w:i/>
          <w:iCs/>
          <w:szCs w:val="24"/>
        </w:rPr>
        <w:t>(ii)</w:t>
      </w:r>
      <w:r>
        <w:rPr>
          <w:b/>
          <w:bCs/>
          <w:i/>
          <w:iCs/>
          <w:szCs w:val="24"/>
        </w:rPr>
        <w:tab/>
        <w:t>Condition Y</w:t>
      </w:r>
    </w:p>
    <w:p w14:paraId="3A87B849" w14:textId="136DB341" w:rsidR="00B057DE" w:rsidRDefault="00EE0500" w:rsidP="00523F00">
      <w:pPr>
        <w:pStyle w:val="Bodytexttax1"/>
        <w:spacing w:before="120" w:after="120"/>
        <w:rPr>
          <w:szCs w:val="24"/>
        </w:rPr>
      </w:pPr>
      <w:r>
        <w:rPr>
          <w:szCs w:val="24"/>
        </w:rPr>
        <w:t>The nature of c</w:t>
      </w:r>
      <w:r w:rsidR="00B057DE" w:rsidRPr="007862D0">
        <w:rPr>
          <w:szCs w:val="24"/>
        </w:rPr>
        <w:t xml:space="preserve">ondition Y </w:t>
      </w:r>
      <w:r>
        <w:rPr>
          <w:szCs w:val="24"/>
        </w:rPr>
        <w:t xml:space="preserve">is specified in </w:t>
      </w:r>
      <w:r w:rsidR="00B057DE" w:rsidRPr="007862D0">
        <w:rPr>
          <w:szCs w:val="24"/>
        </w:rPr>
        <w:t xml:space="preserve">section 850C(3). The subsection provides four requirements which must be satisfied in order for HMRC to increase the Appellant’s profit share. </w:t>
      </w:r>
      <w:r w:rsidR="00CE1438">
        <w:rPr>
          <w:szCs w:val="24"/>
        </w:rPr>
        <w:t>These requirements are as follow:</w:t>
      </w:r>
    </w:p>
    <w:p w14:paraId="12B3171E" w14:textId="4D77FEDF" w:rsidR="00CE1438" w:rsidRDefault="002D1841" w:rsidP="00523F00">
      <w:pPr>
        <w:pStyle w:val="Bodytexttax2"/>
        <w:spacing w:before="120"/>
      </w:pPr>
      <w:r>
        <w:rPr>
          <w:i/>
          <w:iCs/>
        </w:rPr>
        <w:t>The first requirement</w:t>
      </w:r>
      <w:r w:rsidR="009A62E3">
        <w:rPr>
          <w:i/>
          <w:iCs/>
        </w:rPr>
        <w:t xml:space="preserve"> (“</w:t>
      </w:r>
      <w:r w:rsidR="00040C66">
        <w:rPr>
          <w:i/>
          <w:iCs/>
        </w:rPr>
        <w:t>Y(1)”</w:t>
      </w:r>
      <w:r w:rsidR="009A62E3">
        <w:rPr>
          <w:i/>
          <w:iCs/>
        </w:rPr>
        <w:t>)</w:t>
      </w:r>
      <w:r>
        <w:rPr>
          <w:i/>
          <w:iCs/>
        </w:rPr>
        <w:t xml:space="preserve">. </w:t>
      </w:r>
      <w:r w:rsidR="0070781E">
        <w:t xml:space="preserve">B’s profit share – that is, the profit share of W Ltd </w:t>
      </w:r>
      <w:r w:rsidR="00EA5876">
        <w:t>–</w:t>
      </w:r>
      <w:r w:rsidR="0070781E">
        <w:t xml:space="preserve"> </w:t>
      </w:r>
      <w:r w:rsidR="00EA5876">
        <w:t>must exceed the “</w:t>
      </w:r>
      <w:r w:rsidR="00DA2341">
        <w:t xml:space="preserve">appropriate notional profit”: section </w:t>
      </w:r>
      <w:r>
        <w:t>850C(3)(a).</w:t>
      </w:r>
    </w:p>
    <w:p w14:paraId="3266AEB2" w14:textId="556B0C3A" w:rsidR="004B13CF" w:rsidRDefault="00C555DF" w:rsidP="00523F00">
      <w:pPr>
        <w:pStyle w:val="Bodytexttax2"/>
        <w:spacing w:before="120"/>
      </w:pPr>
      <w:r>
        <w:rPr>
          <w:i/>
          <w:iCs/>
        </w:rPr>
        <w:t xml:space="preserve">The second </w:t>
      </w:r>
      <w:r w:rsidR="00652885">
        <w:rPr>
          <w:i/>
          <w:iCs/>
        </w:rPr>
        <w:t>requirement (</w:t>
      </w:r>
      <w:r w:rsidR="001C4578">
        <w:rPr>
          <w:i/>
          <w:iCs/>
        </w:rPr>
        <w:t>“Y(2)”).</w:t>
      </w:r>
      <w:r w:rsidR="00FA6F98">
        <w:t xml:space="preserve"> A – that is</w:t>
      </w:r>
      <w:r w:rsidR="00A91CF4">
        <w:t xml:space="preserve">, the Appellant – must have the power to enjoy B’s (W </w:t>
      </w:r>
      <w:proofErr w:type="spellStart"/>
      <w:r w:rsidR="00A91CF4">
        <w:t>Ltd’s</w:t>
      </w:r>
      <w:proofErr w:type="spellEnd"/>
      <w:r w:rsidR="00A91CF4">
        <w:t>) profit share</w:t>
      </w:r>
      <w:r w:rsidR="00A72B8E">
        <w:t>: section 850</w:t>
      </w:r>
      <w:r w:rsidR="00206E58">
        <w:t>C</w:t>
      </w:r>
      <w:r w:rsidR="00A72B8E">
        <w:t>(3)(b).</w:t>
      </w:r>
    </w:p>
    <w:p w14:paraId="17307B38" w14:textId="08AF6A9A" w:rsidR="00A72B8E" w:rsidRDefault="00A72B8E" w:rsidP="00523F00">
      <w:pPr>
        <w:pStyle w:val="Bodytexttax2"/>
        <w:spacing w:before="120"/>
      </w:pPr>
      <w:r>
        <w:rPr>
          <w:i/>
          <w:iCs/>
        </w:rPr>
        <w:t>The third requirement (“Y3”).</w:t>
      </w:r>
      <w:r>
        <w:t xml:space="preserve"> </w:t>
      </w:r>
      <w:r w:rsidR="00020D25">
        <w:t xml:space="preserve">It is reasonable to suppose </w:t>
      </w:r>
      <w:r w:rsidR="00076D4A">
        <w:t xml:space="preserve">that the whole or any part of B’s profit share </w:t>
      </w:r>
      <w:r w:rsidR="00206E58">
        <w:t>is attributable to A’s power to enjoy: section 850C(</w:t>
      </w:r>
      <w:r w:rsidR="009F2C4C">
        <w:t>3)(c)(</w:t>
      </w:r>
      <w:proofErr w:type="spellStart"/>
      <w:r w:rsidR="009F2C4C">
        <w:t>i</w:t>
      </w:r>
      <w:proofErr w:type="spellEnd"/>
      <w:r w:rsidR="009F2C4C">
        <w:t>).</w:t>
      </w:r>
    </w:p>
    <w:p w14:paraId="5BE33106" w14:textId="6E81E6E2" w:rsidR="009F2C4C" w:rsidRPr="00D22EAB" w:rsidRDefault="009F2C4C" w:rsidP="00523F00">
      <w:pPr>
        <w:pStyle w:val="Bodytexttax2"/>
        <w:spacing w:before="120"/>
      </w:pPr>
      <w:r>
        <w:rPr>
          <w:i/>
          <w:iCs/>
        </w:rPr>
        <w:t>The fourth requirement (“Y4”).</w:t>
      </w:r>
      <w:r w:rsidR="008A39A7">
        <w:t xml:space="preserve"> Both A’s profit share </w:t>
      </w:r>
      <w:r w:rsidR="0034017C">
        <w:t>and the relevant tax amount</w:t>
      </w:r>
      <w:r w:rsidR="004A405B">
        <w:t xml:space="preserve"> (being, essentially, the tax that would be paid otherwise tha</w:t>
      </w:r>
      <w:r w:rsidR="006743D9">
        <w:t>n by virtue of section 850C)</w:t>
      </w:r>
      <w:r w:rsidR="00A777DC">
        <w:t xml:space="preserve"> are lower </w:t>
      </w:r>
      <w:r w:rsidR="00184FD9">
        <w:t>than they would have been in the absence of A’s power to enjoy: section 850(3)(c)(ii).</w:t>
      </w:r>
    </w:p>
    <w:p w14:paraId="774D5144" w14:textId="4B032991" w:rsidR="000473A4" w:rsidRPr="000473A4" w:rsidRDefault="000473A4" w:rsidP="00523F00">
      <w:pPr>
        <w:pStyle w:val="Bodytexttax1"/>
        <w:numPr>
          <w:ilvl w:val="0"/>
          <w:numId w:val="0"/>
        </w:numPr>
        <w:spacing w:before="120" w:after="120"/>
        <w:rPr>
          <w:b/>
          <w:bCs/>
          <w:i/>
          <w:iCs/>
          <w:szCs w:val="24"/>
        </w:rPr>
      </w:pPr>
      <w:r>
        <w:rPr>
          <w:b/>
          <w:bCs/>
          <w:i/>
          <w:iCs/>
          <w:szCs w:val="24"/>
        </w:rPr>
        <w:t>(iii)</w:t>
      </w:r>
      <w:r>
        <w:rPr>
          <w:b/>
          <w:bCs/>
          <w:i/>
          <w:iCs/>
          <w:szCs w:val="24"/>
        </w:rPr>
        <w:tab/>
        <w:t xml:space="preserve">Section </w:t>
      </w:r>
      <w:r w:rsidR="00EF4C0E">
        <w:rPr>
          <w:b/>
          <w:bCs/>
          <w:i/>
          <w:iCs/>
          <w:szCs w:val="24"/>
        </w:rPr>
        <w:t>850C(4)</w:t>
      </w:r>
    </w:p>
    <w:p w14:paraId="597B8F37" w14:textId="7AB8BE1B" w:rsidR="00DA085D" w:rsidRDefault="00DA085D" w:rsidP="00523F00">
      <w:pPr>
        <w:pStyle w:val="Bodytexttax1"/>
        <w:spacing w:before="120" w:after="120"/>
        <w:rPr>
          <w:szCs w:val="24"/>
        </w:rPr>
      </w:pPr>
      <w:r>
        <w:rPr>
          <w:szCs w:val="24"/>
        </w:rPr>
        <w:t xml:space="preserve">Assuming </w:t>
      </w:r>
      <w:r w:rsidR="00DE1240">
        <w:rPr>
          <w:szCs w:val="24"/>
        </w:rPr>
        <w:t>that conditions (a), (b) and (c) are met</w:t>
      </w:r>
      <w:r w:rsidR="004F5133">
        <w:rPr>
          <w:szCs w:val="24"/>
        </w:rPr>
        <w:t xml:space="preserve">, sections 850C(4) </w:t>
      </w:r>
      <w:r w:rsidR="00EE1596">
        <w:rPr>
          <w:szCs w:val="24"/>
        </w:rPr>
        <w:t>and (5) apply. Section 850C(5) is not material for the present appeal, and is not considered further.</w:t>
      </w:r>
    </w:p>
    <w:p w14:paraId="30B34470" w14:textId="76DCDED7" w:rsidR="004E13F1" w:rsidRPr="004E13F1" w:rsidRDefault="006D47FB" w:rsidP="00523F00">
      <w:pPr>
        <w:pStyle w:val="Bodytexttax1"/>
        <w:spacing w:before="120" w:after="120"/>
        <w:rPr>
          <w:szCs w:val="24"/>
        </w:rPr>
      </w:pPr>
      <w:r w:rsidRPr="007862D0">
        <w:rPr>
          <w:iCs/>
          <w:szCs w:val="24"/>
        </w:rPr>
        <w:lastRenderedPageBreak/>
        <w:t xml:space="preserve">Section 850C(4) provides for the amount by which an individual </w:t>
      </w:r>
      <w:r>
        <w:rPr>
          <w:iCs/>
          <w:szCs w:val="24"/>
        </w:rPr>
        <w:t>partn</w:t>
      </w:r>
      <w:r w:rsidRPr="007862D0">
        <w:rPr>
          <w:iCs/>
          <w:szCs w:val="24"/>
        </w:rPr>
        <w:t xml:space="preserve">er’s profit share is to be increased in the event that profit is attributable to the individual </w:t>
      </w:r>
      <w:r>
        <w:rPr>
          <w:iCs/>
          <w:szCs w:val="24"/>
        </w:rPr>
        <w:t>partn</w:t>
      </w:r>
      <w:r w:rsidRPr="007862D0">
        <w:rPr>
          <w:iCs/>
          <w:szCs w:val="24"/>
        </w:rPr>
        <w:t xml:space="preserve">er’s power to enjoy that profit. In that situation, the profit that is to be reallocated to the individual </w:t>
      </w:r>
      <w:r>
        <w:rPr>
          <w:iCs/>
          <w:szCs w:val="24"/>
        </w:rPr>
        <w:t>partn</w:t>
      </w:r>
      <w:r w:rsidRPr="007862D0">
        <w:rPr>
          <w:iCs/>
          <w:szCs w:val="24"/>
        </w:rPr>
        <w:t>er is so much of B’s profit share</w:t>
      </w:r>
      <w:r w:rsidR="009960FF">
        <w:rPr>
          <w:iCs/>
          <w:szCs w:val="24"/>
        </w:rPr>
        <w:t xml:space="preserve"> as is attributable to the power to enjoy</w:t>
      </w:r>
      <w:r w:rsidRPr="007862D0">
        <w:rPr>
          <w:iCs/>
          <w:szCs w:val="24"/>
        </w:rPr>
        <w:t xml:space="preserve"> </w:t>
      </w:r>
      <w:r>
        <w:rPr>
          <w:iCs/>
          <w:szCs w:val="24"/>
        </w:rPr>
        <w:t xml:space="preserve">as </w:t>
      </w:r>
      <w:r w:rsidRPr="007862D0">
        <w:rPr>
          <w:iCs/>
          <w:szCs w:val="24"/>
        </w:rPr>
        <w:t>determined on a “just a</w:t>
      </w:r>
      <w:r>
        <w:rPr>
          <w:iCs/>
          <w:szCs w:val="24"/>
        </w:rPr>
        <w:t>nd reasonable basis”</w:t>
      </w:r>
      <w:r w:rsidRPr="007862D0">
        <w:rPr>
          <w:iCs/>
          <w:szCs w:val="24"/>
        </w:rPr>
        <w:t xml:space="preserve">. </w:t>
      </w:r>
    </w:p>
    <w:p w14:paraId="4945C9F7" w14:textId="21F7A42C" w:rsidR="006D47FB" w:rsidRPr="006908BA" w:rsidRDefault="006D47FB" w:rsidP="00523F00">
      <w:pPr>
        <w:pStyle w:val="Bodytexttax1"/>
        <w:spacing w:before="120" w:after="120"/>
        <w:rPr>
          <w:szCs w:val="24"/>
        </w:rPr>
      </w:pPr>
      <w:r w:rsidRPr="007862D0">
        <w:rPr>
          <w:iCs/>
          <w:szCs w:val="24"/>
        </w:rPr>
        <w:t xml:space="preserve">It is to be noted that the subsection is expressed in mandatory terms </w:t>
      </w:r>
      <w:r w:rsidR="00535C22">
        <w:rPr>
          <w:iCs/>
          <w:szCs w:val="24"/>
        </w:rPr>
        <w:t>–</w:t>
      </w:r>
      <w:r w:rsidR="004E13F1">
        <w:rPr>
          <w:iCs/>
          <w:szCs w:val="24"/>
        </w:rPr>
        <w:t xml:space="preserve"> </w:t>
      </w:r>
      <w:r w:rsidR="00535C22">
        <w:rPr>
          <w:iCs/>
          <w:szCs w:val="24"/>
        </w:rPr>
        <w:t xml:space="preserve">“A’s profit share </w:t>
      </w:r>
      <w:r w:rsidR="00535C22" w:rsidRPr="00535C22">
        <w:rPr>
          <w:iCs/>
          <w:szCs w:val="24"/>
          <w:u w:val="single"/>
        </w:rPr>
        <w:t>is increased</w:t>
      </w:r>
      <w:r w:rsidR="00535C22">
        <w:rPr>
          <w:iCs/>
          <w:szCs w:val="24"/>
        </w:rPr>
        <w:t xml:space="preserve"> </w:t>
      </w:r>
      <w:r w:rsidR="00FB0679">
        <w:rPr>
          <w:iCs/>
          <w:szCs w:val="24"/>
        </w:rPr>
        <w:t xml:space="preserve">by so much of the amount of B’s </w:t>
      </w:r>
      <w:r w:rsidR="00710C4F">
        <w:rPr>
          <w:iCs/>
          <w:szCs w:val="24"/>
        </w:rPr>
        <w:t>profit share…”</w:t>
      </w:r>
      <w:r w:rsidR="00A30600">
        <w:rPr>
          <w:iCs/>
          <w:szCs w:val="24"/>
        </w:rPr>
        <w:t xml:space="preserve"> – but subject always to </w:t>
      </w:r>
      <w:r w:rsidR="007631F8">
        <w:rPr>
          <w:iCs/>
          <w:szCs w:val="24"/>
        </w:rPr>
        <w:t>a determination on a “</w:t>
      </w:r>
      <w:r w:rsidRPr="007862D0">
        <w:rPr>
          <w:iCs/>
          <w:szCs w:val="24"/>
        </w:rPr>
        <w:t>just and reasonable</w:t>
      </w:r>
      <w:r w:rsidR="007631F8">
        <w:rPr>
          <w:iCs/>
          <w:szCs w:val="24"/>
        </w:rPr>
        <w:t>” basis</w:t>
      </w:r>
      <w:r w:rsidRPr="007862D0">
        <w:rPr>
          <w:iCs/>
          <w:szCs w:val="24"/>
        </w:rPr>
        <w:t>.</w:t>
      </w:r>
    </w:p>
    <w:p w14:paraId="7CC9C75B" w14:textId="5E72E646" w:rsidR="006908BA" w:rsidRPr="006908BA" w:rsidRDefault="006908BA" w:rsidP="00523F00">
      <w:pPr>
        <w:pStyle w:val="Bodytexttax1"/>
        <w:numPr>
          <w:ilvl w:val="0"/>
          <w:numId w:val="0"/>
        </w:numPr>
        <w:spacing w:before="120" w:after="120"/>
        <w:rPr>
          <w:b/>
          <w:bCs/>
          <w:szCs w:val="24"/>
        </w:rPr>
      </w:pPr>
      <w:r>
        <w:rPr>
          <w:b/>
          <w:bCs/>
          <w:iCs/>
          <w:szCs w:val="24"/>
        </w:rPr>
        <w:t>(4)</w:t>
      </w:r>
      <w:r>
        <w:rPr>
          <w:b/>
          <w:bCs/>
          <w:iCs/>
          <w:szCs w:val="24"/>
        </w:rPr>
        <w:tab/>
        <w:t>The FTT’s consideration</w:t>
      </w:r>
      <w:r w:rsidR="005369CA">
        <w:rPr>
          <w:b/>
          <w:bCs/>
          <w:iCs/>
          <w:szCs w:val="24"/>
        </w:rPr>
        <w:t xml:space="preserve"> and the grounds of appeal</w:t>
      </w:r>
    </w:p>
    <w:p w14:paraId="1223AD55" w14:textId="1FFD9A73" w:rsidR="0075362F" w:rsidRDefault="0075362F" w:rsidP="00523F00">
      <w:pPr>
        <w:pStyle w:val="Bodytexttax1"/>
        <w:spacing w:before="120" w:after="120"/>
        <w:rPr>
          <w:szCs w:val="24"/>
        </w:rPr>
      </w:pPr>
      <w:r>
        <w:rPr>
          <w:szCs w:val="24"/>
        </w:rPr>
        <w:t xml:space="preserve">As we have described, </w:t>
      </w:r>
      <w:r w:rsidR="005F6452">
        <w:rPr>
          <w:szCs w:val="24"/>
        </w:rPr>
        <w:t xml:space="preserve">and for the reasons given in the Decision, </w:t>
      </w:r>
      <w:r>
        <w:rPr>
          <w:szCs w:val="24"/>
        </w:rPr>
        <w:t>the FTT</w:t>
      </w:r>
      <w:r w:rsidR="002C1FCA">
        <w:rPr>
          <w:szCs w:val="24"/>
        </w:rPr>
        <w:t xml:space="preserve"> dismissed the Appellant’s appeal against the </w:t>
      </w:r>
      <w:r w:rsidR="0018332A">
        <w:rPr>
          <w:szCs w:val="24"/>
        </w:rPr>
        <w:t>closure notices</w:t>
      </w:r>
      <w:r w:rsidR="00126B91">
        <w:rPr>
          <w:szCs w:val="24"/>
        </w:rPr>
        <w:t xml:space="preserve">, and found  </w:t>
      </w:r>
      <w:r w:rsidR="008F6D5F">
        <w:rPr>
          <w:szCs w:val="24"/>
        </w:rPr>
        <w:t>the adjustment</w:t>
      </w:r>
      <w:r w:rsidR="0018332A">
        <w:rPr>
          <w:szCs w:val="24"/>
        </w:rPr>
        <w:t>s</w:t>
      </w:r>
      <w:r w:rsidR="008F6D5F">
        <w:rPr>
          <w:szCs w:val="24"/>
        </w:rPr>
        <w:t xml:space="preserve"> pursuant to </w:t>
      </w:r>
      <w:r w:rsidR="001D61AC">
        <w:rPr>
          <w:szCs w:val="24"/>
        </w:rPr>
        <w:t xml:space="preserve">section 850C(4) </w:t>
      </w:r>
      <w:r w:rsidR="0018332A">
        <w:rPr>
          <w:szCs w:val="24"/>
        </w:rPr>
        <w:t xml:space="preserve">to be </w:t>
      </w:r>
      <w:r w:rsidR="00E9601C">
        <w:rPr>
          <w:szCs w:val="24"/>
        </w:rPr>
        <w:t xml:space="preserve">proper. </w:t>
      </w:r>
      <w:r w:rsidR="005F6452">
        <w:rPr>
          <w:szCs w:val="24"/>
        </w:rPr>
        <w:t>More specifically:</w:t>
      </w:r>
    </w:p>
    <w:p w14:paraId="5387F0DF" w14:textId="718E14F5" w:rsidR="00E9601C" w:rsidRDefault="00DD2DB9" w:rsidP="00523F00">
      <w:pPr>
        <w:pStyle w:val="Bodytexttax2"/>
        <w:spacing w:before="120"/>
      </w:pPr>
      <w:r>
        <w:t xml:space="preserve">Conditions (a) and (b) </w:t>
      </w:r>
      <w:r w:rsidR="000B4D9B">
        <w:t>were not in issue before the FTT, and are not relevant for the purposes of this appeal. It was common ground that those conditions were met.</w:t>
      </w:r>
    </w:p>
    <w:p w14:paraId="3078C1DC" w14:textId="6C192E3C" w:rsidR="000B4D9B" w:rsidRDefault="00EB0C74" w:rsidP="00523F00">
      <w:pPr>
        <w:pStyle w:val="Bodytexttax2"/>
        <w:spacing w:before="120"/>
      </w:pPr>
      <w:r>
        <w:t xml:space="preserve">As to condition (c), this turned on whether the various requirements of condition Y were met. </w:t>
      </w:r>
      <w:r w:rsidR="0045698A">
        <w:t xml:space="preserve">These requirements – as described – are in essence fourfold, comprising </w:t>
      </w:r>
      <w:r w:rsidR="00E6415B">
        <w:t>Y(1), Y(2), Y(3) and Y(4).</w:t>
      </w:r>
      <w:r w:rsidR="00343204">
        <w:t xml:space="preserve"> The FTT found those requirements to be met.</w:t>
      </w:r>
    </w:p>
    <w:p w14:paraId="1D0FAB63" w14:textId="273755A8" w:rsidR="00343204" w:rsidRDefault="00343204" w:rsidP="00523F00">
      <w:pPr>
        <w:pStyle w:val="Bodytexttax2"/>
        <w:spacing w:before="120"/>
      </w:pPr>
      <w:r>
        <w:t xml:space="preserve">Accordingly, </w:t>
      </w:r>
      <w:r w:rsidR="003D4C4B">
        <w:t>the FTT proceeded to a consideration of section 850C(4)</w:t>
      </w:r>
      <w:r w:rsidR="009D60D0">
        <w:t xml:space="preserve"> and found that the adjustments made </w:t>
      </w:r>
      <w:r w:rsidR="0018332A">
        <w:t>to</w:t>
      </w:r>
      <w:r w:rsidR="009D60D0">
        <w:t xml:space="preserve"> the profit shares </w:t>
      </w:r>
      <w:r w:rsidR="00190B1C">
        <w:t xml:space="preserve">of the Appellant and W Ltd </w:t>
      </w:r>
      <w:r w:rsidR="009D60D0">
        <w:t xml:space="preserve">by HMRC in the </w:t>
      </w:r>
      <w:r w:rsidR="0018332A">
        <w:t xml:space="preserve">closure notices </w:t>
      </w:r>
      <w:r w:rsidR="009D60D0">
        <w:t>to be just and reasonable</w:t>
      </w:r>
      <w:r w:rsidR="00190B1C">
        <w:t>.</w:t>
      </w:r>
    </w:p>
    <w:p w14:paraId="5254C018" w14:textId="10DDC8C7" w:rsidR="007B047D" w:rsidRDefault="00190B1C" w:rsidP="00523F00">
      <w:pPr>
        <w:pStyle w:val="Bodytexttax1"/>
        <w:spacing w:before="120" w:after="120"/>
      </w:pPr>
      <w:r>
        <w:t>As we have noted,</w:t>
      </w:r>
      <w:r w:rsidR="00B91398">
        <w:t xml:space="preserve"> most of these requirements were either not challenged b</w:t>
      </w:r>
      <w:r w:rsidR="0018332A">
        <w:t>efore</w:t>
      </w:r>
      <w:r w:rsidR="00B91398">
        <w:t xml:space="preserve"> the FTT or – having been dealt with by the FTT</w:t>
      </w:r>
      <w:r w:rsidR="0040621F">
        <w:t xml:space="preserve"> – are not the subject of this appeal. The specific portions of the Decision that are under attack </w:t>
      </w:r>
      <w:r w:rsidR="007B047D">
        <w:t>in this appeal are</w:t>
      </w:r>
      <w:r w:rsidR="00523F00">
        <w:t xml:space="preserve"> Grounds 1 and 2, to which we now turn.</w:t>
      </w:r>
    </w:p>
    <w:p w14:paraId="257E1D3D" w14:textId="72A6A511" w:rsidR="00523F00" w:rsidRPr="00523F00" w:rsidRDefault="00523F00" w:rsidP="00523F00">
      <w:pPr>
        <w:pStyle w:val="Bodytexttax1"/>
        <w:numPr>
          <w:ilvl w:val="0"/>
          <w:numId w:val="0"/>
        </w:numPr>
        <w:spacing w:before="120" w:after="120"/>
        <w:rPr>
          <w:b/>
          <w:bCs/>
        </w:rPr>
      </w:pPr>
      <w:r>
        <w:rPr>
          <w:b/>
          <w:bCs/>
        </w:rPr>
        <w:t>D.</w:t>
      </w:r>
      <w:r>
        <w:rPr>
          <w:b/>
          <w:bCs/>
        </w:rPr>
        <w:tab/>
        <w:t>GROUND 1</w:t>
      </w:r>
    </w:p>
    <w:p w14:paraId="69528B15" w14:textId="6F1DD5D2" w:rsidR="00B057DE" w:rsidRPr="00523F00" w:rsidRDefault="00523F00" w:rsidP="00523F00">
      <w:pPr>
        <w:pStyle w:val="Bodytexttax1"/>
        <w:spacing w:before="120" w:after="120"/>
      </w:pPr>
      <w:r>
        <w:rPr>
          <w:szCs w:val="24"/>
        </w:rPr>
        <w:t xml:space="preserve">The Appellant contended that, </w:t>
      </w:r>
      <w:r w:rsidR="00B057DE" w:rsidRPr="00523F00">
        <w:rPr>
          <w:szCs w:val="24"/>
        </w:rPr>
        <w:t xml:space="preserve">to the extent </w:t>
      </w:r>
      <w:r>
        <w:rPr>
          <w:szCs w:val="24"/>
        </w:rPr>
        <w:t xml:space="preserve">that </w:t>
      </w:r>
      <w:r w:rsidR="00B057DE" w:rsidRPr="00523F00">
        <w:rPr>
          <w:szCs w:val="24"/>
        </w:rPr>
        <w:t xml:space="preserve">W </w:t>
      </w:r>
      <w:proofErr w:type="spellStart"/>
      <w:r w:rsidR="00B057DE" w:rsidRPr="00523F00">
        <w:rPr>
          <w:szCs w:val="24"/>
        </w:rPr>
        <w:t>Ltd’s</w:t>
      </w:r>
      <w:proofErr w:type="spellEnd"/>
      <w:r w:rsidR="00B057DE" w:rsidRPr="00523F00">
        <w:rPr>
          <w:szCs w:val="24"/>
        </w:rPr>
        <w:t xml:space="preserve"> profit share was attributable to the period of time when the Appellant</w:t>
      </w:r>
      <w:r>
        <w:rPr>
          <w:szCs w:val="24"/>
        </w:rPr>
        <w:t xml:space="preserve"> himself</w:t>
      </w:r>
      <w:r w:rsidR="00B057DE" w:rsidRPr="00523F00">
        <w:rPr>
          <w:szCs w:val="24"/>
        </w:rPr>
        <w:t xml:space="preserve"> was </w:t>
      </w:r>
      <w:r w:rsidR="00B057DE" w:rsidRPr="00523F00">
        <w:rPr>
          <w:szCs w:val="24"/>
          <w:u w:val="single"/>
        </w:rPr>
        <w:t>not</w:t>
      </w:r>
      <w:r w:rsidR="00B057DE" w:rsidRPr="00523F00">
        <w:rPr>
          <w:szCs w:val="24"/>
        </w:rPr>
        <w:t xml:space="preserve"> a partner of AAM, the profits </w:t>
      </w:r>
      <w:r>
        <w:rPr>
          <w:szCs w:val="24"/>
        </w:rPr>
        <w:t>of W Ltd earned during that period c</w:t>
      </w:r>
      <w:r w:rsidR="00B057DE" w:rsidRPr="00523F00">
        <w:rPr>
          <w:szCs w:val="24"/>
        </w:rPr>
        <w:t>ould not be reallocated to him</w:t>
      </w:r>
      <w:r>
        <w:rPr>
          <w:szCs w:val="24"/>
        </w:rPr>
        <w:t xml:space="preserve"> as a matter of statutory construction</w:t>
      </w:r>
      <w:r w:rsidR="00B057DE" w:rsidRPr="00523F00">
        <w:rPr>
          <w:szCs w:val="24"/>
        </w:rPr>
        <w:t xml:space="preserve">. </w:t>
      </w:r>
      <w:r>
        <w:rPr>
          <w:szCs w:val="24"/>
        </w:rPr>
        <w:t xml:space="preserve">Essentially, the contention was that, </w:t>
      </w:r>
      <w:r w:rsidR="00B057DE" w:rsidRPr="00523F00">
        <w:rPr>
          <w:szCs w:val="24"/>
        </w:rPr>
        <w:t xml:space="preserve">on a proper analysis of </w:t>
      </w:r>
      <w:r>
        <w:rPr>
          <w:szCs w:val="24"/>
        </w:rPr>
        <w:t xml:space="preserve">section </w:t>
      </w:r>
      <w:r w:rsidR="00B057DE" w:rsidRPr="00523F00">
        <w:rPr>
          <w:szCs w:val="24"/>
        </w:rPr>
        <w:t>850C</w:t>
      </w:r>
      <w:r>
        <w:rPr>
          <w:szCs w:val="24"/>
        </w:rPr>
        <w:t>,</w:t>
      </w:r>
      <w:r w:rsidR="00B057DE" w:rsidRPr="00523F00">
        <w:rPr>
          <w:szCs w:val="24"/>
        </w:rPr>
        <w:t xml:space="preserve"> the power to reallocate profit share to the Appellant could </w:t>
      </w:r>
      <w:r w:rsidR="00B057DE" w:rsidRPr="00523F00">
        <w:rPr>
          <w:szCs w:val="24"/>
          <w:u w:val="single"/>
        </w:rPr>
        <w:t>only</w:t>
      </w:r>
      <w:r w:rsidR="00B057DE" w:rsidRPr="00523F00">
        <w:rPr>
          <w:szCs w:val="24"/>
        </w:rPr>
        <w:t xml:space="preserve"> arise in respect of a time period during which he</w:t>
      </w:r>
      <w:r>
        <w:rPr>
          <w:szCs w:val="24"/>
        </w:rPr>
        <w:t xml:space="preserve"> (and W Ltd)</w:t>
      </w:r>
      <w:r w:rsidR="00B057DE" w:rsidRPr="00523F00">
        <w:rPr>
          <w:szCs w:val="24"/>
        </w:rPr>
        <w:t xml:space="preserve"> </w:t>
      </w:r>
      <w:r>
        <w:rPr>
          <w:szCs w:val="24"/>
        </w:rPr>
        <w:t xml:space="preserve">were </w:t>
      </w:r>
      <w:r w:rsidRPr="00523F00">
        <w:rPr>
          <w:szCs w:val="24"/>
          <w:u w:val="single"/>
        </w:rPr>
        <w:t>both</w:t>
      </w:r>
      <w:r w:rsidR="00B057DE" w:rsidRPr="00523F00">
        <w:rPr>
          <w:szCs w:val="24"/>
        </w:rPr>
        <w:t xml:space="preserve"> partner</w:t>
      </w:r>
      <w:r>
        <w:rPr>
          <w:szCs w:val="24"/>
        </w:rPr>
        <w:t>s</w:t>
      </w:r>
      <w:r w:rsidR="00B057DE" w:rsidRPr="00523F00">
        <w:rPr>
          <w:szCs w:val="24"/>
        </w:rPr>
        <w:t xml:space="preserve"> of AAM.</w:t>
      </w:r>
    </w:p>
    <w:p w14:paraId="0ED15974" w14:textId="77777777" w:rsidR="00523F00" w:rsidRDefault="00523F00" w:rsidP="00523F00">
      <w:pPr>
        <w:pStyle w:val="Bodytexttax1"/>
        <w:spacing w:before="120" w:after="120"/>
      </w:pPr>
      <w:r>
        <w:rPr>
          <w:szCs w:val="24"/>
        </w:rPr>
        <w:t>Paragraph 11 of the Appellant’s written submissions put the point thus:</w:t>
      </w:r>
    </w:p>
    <w:p w14:paraId="41EC8060" w14:textId="220C8AB6" w:rsidR="00523F00" w:rsidRPr="00523F00" w:rsidRDefault="00523F00" w:rsidP="00523F00">
      <w:pPr>
        <w:pStyle w:val="Bodytexttax1"/>
        <w:numPr>
          <w:ilvl w:val="0"/>
          <w:numId w:val="0"/>
        </w:numPr>
        <w:spacing w:before="120" w:after="120"/>
        <w:rPr>
          <w:sz w:val="22"/>
          <w:szCs w:val="22"/>
        </w:rPr>
      </w:pPr>
      <w:r w:rsidRPr="00523F00">
        <w:rPr>
          <w:sz w:val="22"/>
          <w:szCs w:val="22"/>
        </w:rPr>
        <w:t>“</w:t>
      </w:r>
      <w:r w:rsidRPr="00523F00">
        <w:rPr>
          <w:rFonts w:eastAsiaTheme="minorHAnsi"/>
          <w:sz w:val="22"/>
          <w:szCs w:val="22"/>
        </w:rPr>
        <w:t xml:space="preserve">Under Ground 1 the Appellant contends that to the extent W </w:t>
      </w:r>
      <w:proofErr w:type="spellStart"/>
      <w:r w:rsidRPr="00523F00">
        <w:rPr>
          <w:rFonts w:eastAsiaTheme="minorHAnsi"/>
          <w:sz w:val="22"/>
          <w:szCs w:val="22"/>
        </w:rPr>
        <w:t>Ltd’s</w:t>
      </w:r>
      <w:proofErr w:type="spellEnd"/>
      <w:r w:rsidRPr="00523F00">
        <w:rPr>
          <w:rFonts w:eastAsiaTheme="minorHAnsi"/>
          <w:sz w:val="22"/>
          <w:szCs w:val="22"/>
        </w:rPr>
        <w:t xml:space="preserve"> profit share was</w:t>
      </w:r>
      <w:r w:rsidRPr="00523F00">
        <w:rPr>
          <w:sz w:val="22"/>
          <w:szCs w:val="22"/>
        </w:rPr>
        <w:t xml:space="preserve"> </w:t>
      </w:r>
      <w:r w:rsidRPr="00523F00">
        <w:rPr>
          <w:rFonts w:eastAsiaTheme="minorHAnsi"/>
          <w:sz w:val="22"/>
          <w:szCs w:val="22"/>
        </w:rPr>
        <w:t>attributable to the period of time when the Appellant was not a partner of AAM, the profits</w:t>
      </w:r>
      <w:r w:rsidRPr="00523F00">
        <w:rPr>
          <w:sz w:val="22"/>
          <w:szCs w:val="22"/>
        </w:rPr>
        <w:t xml:space="preserve"> </w:t>
      </w:r>
      <w:r w:rsidRPr="00523F00">
        <w:rPr>
          <w:rFonts w:eastAsiaTheme="minorHAnsi"/>
          <w:sz w:val="22"/>
          <w:szCs w:val="22"/>
        </w:rPr>
        <w:t>cannot have been reallocated to him. Section 850C envisages cases where individual</w:t>
      </w:r>
      <w:r w:rsidRPr="00523F00">
        <w:rPr>
          <w:sz w:val="22"/>
          <w:szCs w:val="22"/>
        </w:rPr>
        <w:t xml:space="preserve"> </w:t>
      </w:r>
      <w:r w:rsidRPr="00523F00">
        <w:rPr>
          <w:rFonts w:eastAsiaTheme="minorHAnsi"/>
          <w:sz w:val="22"/>
          <w:szCs w:val="22"/>
        </w:rPr>
        <w:t>partners divert their share of profits arising from an LLP to a partner that is a company, and</w:t>
      </w:r>
      <w:r w:rsidRPr="00523F00">
        <w:rPr>
          <w:sz w:val="22"/>
          <w:szCs w:val="22"/>
        </w:rPr>
        <w:t xml:space="preserve"> </w:t>
      </w:r>
      <w:r w:rsidRPr="00523F00">
        <w:rPr>
          <w:rFonts w:eastAsiaTheme="minorHAnsi"/>
          <w:sz w:val="22"/>
          <w:szCs w:val="22"/>
        </w:rPr>
        <w:t>this is relevant because an individual cannot divert that which he does not have to divert in</w:t>
      </w:r>
      <w:r w:rsidRPr="00523F00">
        <w:rPr>
          <w:sz w:val="22"/>
          <w:szCs w:val="22"/>
        </w:rPr>
        <w:t xml:space="preserve"> </w:t>
      </w:r>
      <w:r w:rsidRPr="00523F00">
        <w:rPr>
          <w:rFonts w:eastAsiaTheme="minorHAnsi"/>
          <w:sz w:val="22"/>
          <w:szCs w:val="22"/>
        </w:rPr>
        <w:t xml:space="preserve">the first place. In other words, to the extent that W </w:t>
      </w:r>
      <w:proofErr w:type="spellStart"/>
      <w:r w:rsidRPr="00523F00">
        <w:rPr>
          <w:rFonts w:eastAsiaTheme="minorHAnsi"/>
          <w:sz w:val="22"/>
          <w:szCs w:val="22"/>
        </w:rPr>
        <w:t>Ltd’s</w:t>
      </w:r>
      <w:proofErr w:type="spellEnd"/>
      <w:r w:rsidRPr="00523F00">
        <w:rPr>
          <w:rFonts w:eastAsiaTheme="minorHAnsi"/>
          <w:sz w:val="22"/>
          <w:szCs w:val="22"/>
        </w:rPr>
        <w:t xml:space="preserve"> profit share relates to the period</w:t>
      </w:r>
      <w:r w:rsidRPr="00523F00">
        <w:rPr>
          <w:sz w:val="22"/>
          <w:szCs w:val="22"/>
        </w:rPr>
        <w:t xml:space="preserve"> </w:t>
      </w:r>
      <w:r w:rsidRPr="00523F00">
        <w:rPr>
          <w:rFonts w:eastAsiaTheme="minorHAnsi"/>
          <w:sz w:val="22"/>
          <w:szCs w:val="22"/>
        </w:rPr>
        <w:t>when the Appellant was not a member of AAM, the profits were those of the then member (i.e. excluding the Appellant) and thus they could not have been diverted by the Appellant</w:t>
      </w:r>
      <w:r w:rsidRPr="00523F00">
        <w:rPr>
          <w:sz w:val="22"/>
          <w:szCs w:val="22"/>
        </w:rPr>
        <w:t xml:space="preserve"> </w:t>
      </w:r>
      <w:r w:rsidRPr="00523F00">
        <w:rPr>
          <w:rFonts w:eastAsiaTheme="minorHAnsi"/>
          <w:sz w:val="22"/>
          <w:szCs w:val="22"/>
        </w:rPr>
        <w:t>to W Ltd. The FTT should either have held (a) that the legislation simply did not apply to</w:t>
      </w:r>
      <w:r w:rsidRPr="00523F00">
        <w:rPr>
          <w:sz w:val="22"/>
          <w:szCs w:val="22"/>
        </w:rPr>
        <w:t xml:space="preserve"> </w:t>
      </w:r>
      <w:r w:rsidRPr="00523F00">
        <w:rPr>
          <w:rFonts w:eastAsiaTheme="minorHAnsi"/>
          <w:sz w:val="22"/>
          <w:szCs w:val="22"/>
        </w:rPr>
        <w:t>such profits, or alternatively (b) that such profits could not be reallocated pursuant to</w:t>
      </w:r>
      <w:r w:rsidRPr="00523F00">
        <w:rPr>
          <w:sz w:val="22"/>
          <w:szCs w:val="22"/>
        </w:rPr>
        <w:t xml:space="preserve"> </w:t>
      </w:r>
      <w:r w:rsidRPr="00523F00">
        <w:rPr>
          <w:rFonts w:eastAsiaTheme="minorHAnsi"/>
          <w:sz w:val="22"/>
          <w:szCs w:val="22"/>
        </w:rPr>
        <w:t>section 850C(4).”</w:t>
      </w:r>
    </w:p>
    <w:p w14:paraId="6771FD5B" w14:textId="01E711B2" w:rsidR="00523F00" w:rsidRDefault="00523F00" w:rsidP="00523F00">
      <w:pPr>
        <w:pStyle w:val="Bodytexttax1"/>
        <w:spacing w:before="120" w:after="120"/>
        <w:rPr>
          <w:szCs w:val="24"/>
        </w:rPr>
      </w:pPr>
      <w:r>
        <w:rPr>
          <w:szCs w:val="24"/>
        </w:rPr>
        <w:lastRenderedPageBreak/>
        <w:t>The difficulty with this contention is that is assumes a direct correlation between a person’s status as partner and the allocation to that person of the profits in the partnership. In short, the underlying assumption is that there is a direct relationship between the time spent by a person as a partner and the profit share accruing to that partner.</w:t>
      </w:r>
    </w:p>
    <w:p w14:paraId="189E9B61" w14:textId="57932AE2" w:rsidR="00523F00" w:rsidRDefault="00523F00" w:rsidP="00523F00">
      <w:pPr>
        <w:pStyle w:val="Bodytexttax1"/>
        <w:spacing w:before="120" w:after="120"/>
        <w:rPr>
          <w:szCs w:val="24"/>
        </w:rPr>
      </w:pPr>
      <w:r>
        <w:rPr>
          <w:szCs w:val="24"/>
        </w:rPr>
        <w:t>There is, we consider, no such correlation. Indeed, that was demonstrated by the various different measures that Mr Soares, on behalf of the Appellant, articulated as to how the profits of AAM might be split as between the Appellant and W Ltd based purely on their time of service as partners during the relevant accounting period.</w:t>
      </w:r>
    </w:p>
    <w:p w14:paraId="43E10CF9" w14:textId="19932962" w:rsidR="00523F00" w:rsidRDefault="00523F00" w:rsidP="00523F00">
      <w:pPr>
        <w:pStyle w:val="Bodytexttax1"/>
        <w:spacing w:before="120" w:after="120"/>
        <w:rPr>
          <w:szCs w:val="24"/>
        </w:rPr>
      </w:pPr>
      <w:r>
        <w:rPr>
          <w:szCs w:val="24"/>
        </w:rPr>
        <w:t>We consider that there is no necessary correlation between profit share and time served, and that – absent very clear wording in the statute – the proposition advanced by Mr Soares is an untenable one. Indeed, it would open the way to a clear ability to divert partnership profits and undermine the purpose of section 850C by appropriately timing the entry and exit of partners.</w:t>
      </w:r>
    </w:p>
    <w:p w14:paraId="3C559E06" w14:textId="77777777" w:rsidR="00523F00" w:rsidRDefault="00523F00" w:rsidP="00523F00">
      <w:pPr>
        <w:pStyle w:val="Bodytexttax1"/>
        <w:spacing w:before="120" w:after="120"/>
        <w:rPr>
          <w:szCs w:val="24"/>
        </w:rPr>
      </w:pPr>
      <w:r>
        <w:rPr>
          <w:szCs w:val="24"/>
        </w:rPr>
        <w:t xml:space="preserve">We accordingly reject Ground 1. It represents </w:t>
      </w:r>
      <w:r w:rsidRPr="007862D0">
        <w:rPr>
          <w:iCs/>
          <w:szCs w:val="24"/>
        </w:rPr>
        <w:t>both a misunderstanding and misinterpretation of section 850C</w:t>
      </w:r>
      <w:r>
        <w:rPr>
          <w:iCs/>
          <w:szCs w:val="24"/>
        </w:rPr>
        <w:t xml:space="preserve">, is contrary </w:t>
      </w:r>
      <w:r w:rsidRPr="007862D0">
        <w:rPr>
          <w:szCs w:val="24"/>
        </w:rPr>
        <w:t>to the clear language of the provision, not supported by any authority and inconsistent wit</w:t>
      </w:r>
      <w:r>
        <w:rPr>
          <w:szCs w:val="24"/>
        </w:rPr>
        <w:t xml:space="preserve">h the statutory scheme under section </w:t>
      </w:r>
      <w:r w:rsidRPr="007862D0">
        <w:rPr>
          <w:szCs w:val="24"/>
        </w:rPr>
        <w:t>850C.</w:t>
      </w:r>
      <w:r>
        <w:rPr>
          <w:szCs w:val="24"/>
        </w:rPr>
        <w:t xml:space="preserve"> More specifically:</w:t>
      </w:r>
    </w:p>
    <w:p w14:paraId="14D50C19" w14:textId="77777777" w:rsidR="00523F00" w:rsidRDefault="00523F00" w:rsidP="00523F00">
      <w:pPr>
        <w:pStyle w:val="Bodytexttax2"/>
        <w:spacing w:before="120"/>
        <w:rPr>
          <w:szCs w:val="24"/>
        </w:rPr>
      </w:pPr>
      <w:r>
        <w:t xml:space="preserve">The construction contended for would involve </w:t>
      </w:r>
      <w:r w:rsidRPr="00523F00">
        <w:rPr>
          <w:szCs w:val="24"/>
        </w:rPr>
        <w:t>doing violence to the clear language of s</w:t>
      </w:r>
      <w:r>
        <w:rPr>
          <w:szCs w:val="24"/>
        </w:rPr>
        <w:t xml:space="preserve">ection </w:t>
      </w:r>
      <w:r w:rsidRPr="00523F00">
        <w:rPr>
          <w:szCs w:val="24"/>
        </w:rPr>
        <w:t xml:space="preserve">850C </w:t>
      </w:r>
      <w:r>
        <w:rPr>
          <w:szCs w:val="24"/>
        </w:rPr>
        <w:t>and/</w:t>
      </w:r>
      <w:r w:rsidRPr="00523F00">
        <w:rPr>
          <w:szCs w:val="24"/>
        </w:rPr>
        <w:t>or inserting further words</w:t>
      </w:r>
      <w:r w:rsidRPr="00523F00">
        <w:rPr>
          <w:iCs/>
          <w:szCs w:val="24"/>
        </w:rPr>
        <w:t xml:space="preserve">. </w:t>
      </w:r>
      <w:r>
        <w:rPr>
          <w:iCs/>
          <w:szCs w:val="24"/>
        </w:rPr>
        <w:t xml:space="preserve">On its face, </w:t>
      </w:r>
      <w:r>
        <w:rPr>
          <w:szCs w:val="24"/>
        </w:rPr>
        <w:t>s</w:t>
      </w:r>
      <w:r w:rsidRPr="00523F00">
        <w:rPr>
          <w:szCs w:val="24"/>
        </w:rPr>
        <w:t xml:space="preserve">ection 850C does not have the meaning for which the Appellant contends. </w:t>
      </w:r>
    </w:p>
    <w:p w14:paraId="689C3F07" w14:textId="77777777" w:rsidR="00523F00" w:rsidRDefault="00523F00" w:rsidP="00523F00">
      <w:pPr>
        <w:pStyle w:val="Bodytexttax2"/>
        <w:spacing w:before="120"/>
        <w:rPr>
          <w:szCs w:val="24"/>
        </w:rPr>
      </w:pPr>
      <w:r w:rsidRPr="00523F00">
        <w:rPr>
          <w:iCs/>
          <w:szCs w:val="24"/>
        </w:rPr>
        <w:t>S</w:t>
      </w:r>
      <w:r w:rsidRPr="00523F00">
        <w:rPr>
          <w:szCs w:val="24"/>
        </w:rPr>
        <w:t xml:space="preserve">ection 850C applies “for a period of account” (see subsection (1)(a)). Absent any words of limitation, it applies if the </w:t>
      </w:r>
      <w:r>
        <w:rPr>
          <w:szCs w:val="24"/>
        </w:rPr>
        <w:t xml:space="preserve">various </w:t>
      </w:r>
      <w:r w:rsidRPr="00523F00">
        <w:rPr>
          <w:szCs w:val="24"/>
        </w:rPr>
        <w:t>conditions are met at any point in the period of account. As a matter of construction, there is no requirement that A be a partner for more than a moment of time within the relevant period of account for the purposes of s</w:t>
      </w:r>
      <w:r>
        <w:rPr>
          <w:szCs w:val="24"/>
        </w:rPr>
        <w:t xml:space="preserve">ection </w:t>
      </w:r>
      <w:r w:rsidRPr="00523F00">
        <w:rPr>
          <w:szCs w:val="24"/>
        </w:rPr>
        <w:t>850C</w:t>
      </w:r>
      <w:r>
        <w:rPr>
          <w:szCs w:val="24"/>
        </w:rPr>
        <w:t>,</w:t>
      </w:r>
      <w:r w:rsidRPr="00523F00">
        <w:rPr>
          <w:szCs w:val="24"/>
        </w:rPr>
        <w:t xml:space="preserve"> so long as A receives a share of some profit (see subsection (1)(a)(ii)). </w:t>
      </w:r>
    </w:p>
    <w:p w14:paraId="6056ADAA" w14:textId="276C3D5B" w:rsidR="00523F00" w:rsidRDefault="00523F00" w:rsidP="00523F00">
      <w:pPr>
        <w:pStyle w:val="Bodytexttax2"/>
        <w:spacing w:before="120"/>
        <w:rPr>
          <w:szCs w:val="24"/>
        </w:rPr>
      </w:pPr>
      <w:r w:rsidRPr="00523F00">
        <w:rPr>
          <w:szCs w:val="24"/>
        </w:rPr>
        <w:t>This is consistent with the scheme of the legislation: s</w:t>
      </w:r>
      <w:r>
        <w:rPr>
          <w:szCs w:val="24"/>
        </w:rPr>
        <w:t xml:space="preserve">ection </w:t>
      </w:r>
      <w:r w:rsidRPr="00523F00">
        <w:rPr>
          <w:szCs w:val="24"/>
        </w:rPr>
        <w:t>850</w:t>
      </w:r>
      <w:r w:rsidR="0018332A">
        <w:rPr>
          <w:szCs w:val="24"/>
        </w:rPr>
        <w:t>(1)</w:t>
      </w:r>
      <w:r w:rsidRPr="00523F00">
        <w:rPr>
          <w:szCs w:val="24"/>
        </w:rPr>
        <w:t xml:space="preserve"> (allocating a firm’s share of profits (or losses) between partners) is subject to s</w:t>
      </w:r>
      <w:r>
        <w:rPr>
          <w:szCs w:val="24"/>
        </w:rPr>
        <w:t xml:space="preserve">ection </w:t>
      </w:r>
      <w:r w:rsidRPr="00523F00">
        <w:rPr>
          <w:szCs w:val="24"/>
        </w:rPr>
        <w:t>850C</w:t>
      </w:r>
      <w:r>
        <w:rPr>
          <w:szCs w:val="24"/>
        </w:rPr>
        <w:t xml:space="preserve">. Section </w:t>
      </w:r>
      <w:r w:rsidRPr="00523F00">
        <w:rPr>
          <w:szCs w:val="24"/>
        </w:rPr>
        <w:t>850A applies for a “period of account”</w:t>
      </w:r>
      <w:r>
        <w:rPr>
          <w:szCs w:val="24"/>
        </w:rPr>
        <w:t>. It is</w:t>
      </w:r>
      <w:r w:rsidRPr="00523F00">
        <w:rPr>
          <w:szCs w:val="24"/>
        </w:rPr>
        <w:t xml:space="preserve"> therefore consistent for s</w:t>
      </w:r>
      <w:r>
        <w:rPr>
          <w:szCs w:val="24"/>
        </w:rPr>
        <w:t xml:space="preserve">ection </w:t>
      </w:r>
      <w:r w:rsidRPr="00523F00">
        <w:rPr>
          <w:szCs w:val="24"/>
        </w:rPr>
        <w:t xml:space="preserve">850C to apply for that same period of account, in this case from 6 April 2014 </w:t>
      </w:r>
      <w:r>
        <w:rPr>
          <w:szCs w:val="24"/>
        </w:rPr>
        <w:t xml:space="preserve">until </w:t>
      </w:r>
      <w:r w:rsidRPr="00523F00">
        <w:rPr>
          <w:szCs w:val="24"/>
        </w:rPr>
        <w:t>the dissolution of the partnership on 29 November 2014.</w:t>
      </w:r>
    </w:p>
    <w:p w14:paraId="71507964" w14:textId="484CF80B" w:rsidR="00523F00" w:rsidRPr="00523F00" w:rsidRDefault="00523F00" w:rsidP="00523F00">
      <w:pPr>
        <w:pStyle w:val="Bodytexttax2"/>
        <w:spacing w:before="120"/>
        <w:rPr>
          <w:szCs w:val="24"/>
        </w:rPr>
      </w:pPr>
      <w:r w:rsidRPr="00523F00">
        <w:rPr>
          <w:szCs w:val="24"/>
        </w:rPr>
        <w:t>This approach is also consistent with the scheme of section 850C itself, which is concerned with the inappropriate diversion of profit shares. The</w:t>
      </w:r>
      <w:r w:rsidRPr="00523F00">
        <w:rPr>
          <w:iCs/>
          <w:szCs w:val="24"/>
        </w:rPr>
        <w:t xml:space="preserve"> intended purpose of the </w:t>
      </w:r>
      <w:r>
        <w:rPr>
          <w:iCs/>
          <w:szCs w:val="24"/>
        </w:rPr>
        <w:t>section is</w:t>
      </w:r>
      <w:r w:rsidRPr="00523F00">
        <w:rPr>
          <w:iCs/>
          <w:szCs w:val="24"/>
        </w:rPr>
        <w:t xml:space="preserve"> to reallocate profits of a partnership to an individual partner where the requirements of </w:t>
      </w:r>
      <w:r>
        <w:rPr>
          <w:iCs/>
          <w:szCs w:val="24"/>
        </w:rPr>
        <w:t xml:space="preserve">the section are met, and to impose </w:t>
      </w:r>
      <w:r w:rsidRPr="00523F00">
        <w:rPr>
          <w:iCs/>
          <w:szCs w:val="24"/>
          <w:u w:val="single"/>
        </w:rPr>
        <w:t>additional</w:t>
      </w:r>
      <w:r>
        <w:rPr>
          <w:iCs/>
          <w:szCs w:val="24"/>
        </w:rPr>
        <w:t xml:space="preserve"> requirements not present in the statutory wording and not necessary for its operation is not permissible.</w:t>
      </w:r>
      <w:r w:rsidRPr="00523F00">
        <w:rPr>
          <w:iCs/>
          <w:szCs w:val="24"/>
        </w:rPr>
        <w:t xml:space="preserve"> </w:t>
      </w:r>
    </w:p>
    <w:p w14:paraId="1BDFAD07" w14:textId="4330A5B4" w:rsidR="00523F00" w:rsidRPr="00C813BC" w:rsidRDefault="00523F00" w:rsidP="00523F00">
      <w:pPr>
        <w:pStyle w:val="Bodytexttax1"/>
        <w:spacing w:before="120" w:after="120"/>
        <w:rPr>
          <w:szCs w:val="24"/>
        </w:rPr>
      </w:pPr>
      <w:r w:rsidRPr="007862D0">
        <w:rPr>
          <w:iCs/>
          <w:szCs w:val="24"/>
        </w:rPr>
        <w:t>Mr Soares also submitted that the FTT erred at [213]</w:t>
      </w:r>
      <w:r>
        <w:rPr>
          <w:iCs/>
          <w:szCs w:val="24"/>
        </w:rPr>
        <w:t xml:space="preserve"> to </w:t>
      </w:r>
      <w:r w:rsidRPr="007862D0">
        <w:rPr>
          <w:iCs/>
          <w:szCs w:val="24"/>
        </w:rPr>
        <w:t xml:space="preserve">[216] of the </w:t>
      </w:r>
      <w:r>
        <w:rPr>
          <w:iCs/>
          <w:szCs w:val="24"/>
        </w:rPr>
        <w:t>D</w:t>
      </w:r>
      <w:r w:rsidRPr="007862D0">
        <w:rPr>
          <w:iCs/>
          <w:szCs w:val="24"/>
        </w:rPr>
        <w:t xml:space="preserve">ecision in not exercising its discretion to reduce the reallocation of the profit share in respect of the four months that the Appellant was not a partner in AAM. He submitted that the FTT might have apportioned this on a time basis – reducing the reallocation by 50% because he was a partner for four months and a non-partner for four months.  Alternatively, he </w:t>
      </w:r>
      <w:r w:rsidRPr="007862D0">
        <w:rPr>
          <w:iCs/>
          <w:szCs w:val="24"/>
        </w:rPr>
        <w:lastRenderedPageBreak/>
        <w:t xml:space="preserve">suggested that the reallocation should be apportioned according to the proportion of turnover generated by AAM in the period while the Appellant was a partner.  </w:t>
      </w:r>
    </w:p>
    <w:p w14:paraId="6EFD96EB" w14:textId="54D5B7CD" w:rsidR="00523F00" w:rsidRPr="00C02A6C" w:rsidRDefault="00523F00" w:rsidP="00523F00">
      <w:pPr>
        <w:pStyle w:val="Bodytexttax1"/>
        <w:spacing w:before="120" w:after="120"/>
        <w:rPr>
          <w:szCs w:val="24"/>
        </w:rPr>
      </w:pPr>
      <w:r>
        <w:rPr>
          <w:szCs w:val="24"/>
        </w:rPr>
        <w:t xml:space="preserve">We are satisfied that this aspect of Ground 1 </w:t>
      </w:r>
      <w:r w:rsidRPr="007862D0">
        <w:rPr>
          <w:szCs w:val="24"/>
        </w:rPr>
        <w:t xml:space="preserve">is no more than a challenge to the FTT’s findings </w:t>
      </w:r>
      <w:r>
        <w:rPr>
          <w:szCs w:val="24"/>
        </w:rPr>
        <w:t>and a submission that</w:t>
      </w:r>
      <w:r w:rsidRPr="007862D0">
        <w:rPr>
          <w:szCs w:val="24"/>
        </w:rPr>
        <w:t xml:space="preserve"> the FTT erred in </w:t>
      </w:r>
      <w:r>
        <w:rPr>
          <w:szCs w:val="24"/>
        </w:rPr>
        <w:t>determin</w:t>
      </w:r>
      <w:r w:rsidRPr="007862D0">
        <w:rPr>
          <w:szCs w:val="24"/>
        </w:rPr>
        <w:t xml:space="preserve">ing it just and reasonable to increase the Appellant’s </w:t>
      </w:r>
      <w:r>
        <w:rPr>
          <w:szCs w:val="24"/>
        </w:rPr>
        <w:t xml:space="preserve">profit </w:t>
      </w:r>
      <w:r w:rsidRPr="007862D0">
        <w:rPr>
          <w:szCs w:val="24"/>
        </w:rPr>
        <w:t xml:space="preserve">to the full extent of W </w:t>
      </w:r>
      <w:proofErr w:type="spellStart"/>
      <w:r w:rsidRPr="007862D0">
        <w:rPr>
          <w:szCs w:val="24"/>
        </w:rPr>
        <w:t>Ltd’s</w:t>
      </w:r>
      <w:proofErr w:type="spellEnd"/>
      <w:r w:rsidRPr="007862D0">
        <w:rPr>
          <w:szCs w:val="24"/>
        </w:rPr>
        <w:t xml:space="preserve"> profits. </w:t>
      </w:r>
      <w:r>
        <w:rPr>
          <w:szCs w:val="24"/>
        </w:rPr>
        <w:t>This, as it seems to us, is an impermissible attempt to argue primary points of discretion, and absent a contention that the FTT erred as a matter of law, the FTT’s Decision must stand. Having rejected the error of law contended for by the Appellant – namely that the FTT had misconstrued section 850C in the manner we have described – we consider that the Appellant has not articulated, in Ground 1, any further basis for contending that the FTT had erred as a matter of law.</w:t>
      </w:r>
    </w:p>
    <w:p w14:paraId="413DBFD2" w14:textId="2AB0DE02" w:rsidR="00523F00" w:rsidRPr="00523F00" w:rsidRDefault="00523F00" w:rsidP="00523F00">
      <w:pPr>
        <w:pStyle w:val="Bodytexttax1"/>
        <w:numPr>
          <w:ilvl w:val="0"/>
          <w:numId w:val="0"/>
        </w:numPr>
        <w:spacing w:before="120" w:after="120"/>
        <w:rPr>
          <w:b/>
          <w:bCs/>
        </w:rPr>
      </w:pPr>
      <w:r>
        <w:rPr>
          <w:b/>
          <w:bCs/>
        </w:rPr>
        <w:t>E.</w:t>
      </w:r>
      <w:r>
        <w:rPr>
          <w:b/>
          <w:bCs/>
        </w:rPr>
        <w:tab/>
        <w:t>GROUND 2</w:t>
      </w:r>
    </w:p>
    <w:p w14:paraId="2688402B" w14:textId="77777777" w:rsidR="00523F00" w:rsidRDefault="00523F00" w:rsidP="00523F00">
      <w:pPr>
        <w:pStyle w:val="Bodytexttax1"/>
        <w:spacing w:before="120" w:after="120"/>
        <w:rPr>
          <w:szCs w:val="24"/>
        </w:rPr>
      </w:pPr>
      <w:r>
        <w:t xml:space="preserve">The basis upon which Ground 2 was articulated rested upon </w:t>
      </w:r>
      <w:r w:rsidR="00B057DE">
        <w:rPr>
          <w:szCs w:val="24"/>
        </w:rPr>
        <w:t>the</w:t>
      </w:r>
      <w:r w:rsidR="00B057DE" w:rsidRPr="007862D0">
        <w:rPr>
          <w:szCs w:val="24"/>
        </w:rPr>
        <w:t xml:space="preserve"> FTT’s </w:t>
      </w:r>
      <w:r>
        <w:rPr>
          <w:szCs w:val="24"/>
        </w:rPr>
        <w:t>“</w:t>
      </w:r>
      <w:r w:rsidR="00B057DE">
        <w:rPr>
          <w:szCs w:val="24"/>
        </w:rPr>
        <w:t>overall conclusion</w:t>
      </w:r>
      <w:r>
        <w:rPr>
          <w:szCs w:val="24"/>
        </w:rPr>
        <w:t>”</w:t>
      </w:r>
      <w:r w:rsidR="00B057DE">
        <w:rPr>
          <w:szCs w:val="24"/>
        </w:rPr>
        <w:t xml:space="preserve"> at [170]</w:t>
      </w:r>
      <w:r>
        <w:rPr>
          <w:szCs w:val="24"/>
        </w:rPr>
        <w:t xml:space="preserve"> to </w:t>
      </w:r>
      <w:r w:rsidR="00B057DE">
        <w:rPr>
          <w:szCs w:val="24"/>
        </w:rPr>
        <w:t xml:space="preserve">[172] </w:t>
      </w:r>
      <w:r>
        <w:rPr>
          <w:szCs w:val="24"/>
        </w:rPr>
        <w:t xml:space="preserve">of the Decision </w:t>
      </w:r>
      <w:r w:rsidR="00B057DE" w:rsidRPr="007862D0">
        <w:rPr>
          <w:szCs w:val="24"/>
        </w:rPr>
        <w:t xml:space="preserve">that the Appellant’s services </w:t>
      </w:r>
      <w:r w:rsidR="00B057DE">
        <w:rPr>
          <w:szCs w:val="24"/>
        </w:rPr>
        <w:t>to AAM, AF</w:t>
      </w:r>
      <w:r w:rsidR="00B057DE" w:rsidRPr="007862D0">
        <w:rPr>
          <w:szCs w:val="24"/>
        </w:rPr>
        <w:t xml:space="preserve"> </w:t>
      </w:r>
      <w:r w:rsidR="00B057DE">
        <w:rPr>
          <w:szCs w:val="24"/>
        </w:rPr>
        <w:t xml:space="preserve">and W Ltd were </w:t>
      </w:r>
      <w:r>
        <w:rPr>
          <w:szCs w:val="24"/>
        </w:rPr>
        <w:t>“</w:t>
      </w:r>
      <w:r w:rsidR="00B057DE">
        <w:rPr>
          <w:szCs w:val="24"/>
        </w:rPr>
        <w:t>fungible</w:t>
      </w:r>
      <w:r>
        <w:rPr>
          <w:szCs w:val="24"/>
        </w:rPr>
        <w:t>”</w:t>
      </w:r>
      <w:r w:rsidR="00B057DE">
        <w:rPr>
          <w:szCs w:val="24"/>
        </w:rPr>
        <w:t xml:space="preserve">. </w:t>
      </w:r>
    </w:p>
    <w:p w14:paraId="7E0B2087" w14:textId="77777777" w:rsidR="00523F00" w:rsidRDefault="00523F00" w:rsidP="00523F00">
      <w:pPr>
        <w:pStyle w:val="Bodytexttax1"/>
        <w:spacing w:before="120" w:after="120"/>
        <w:rPr>
          <w:szCs w:val="24"/>
        </w:rPr>
      </w:pPr>
      <w:r w:rsidRPr="00523F00">
        <w:rPr>
          <w:szCs w:val="24"/>
        </w:rPr>
        <w:t>It is appropriate to set out the relevant paragraphs of the Decision:</w:t>
      </w:r>
    </w:p>
    <w:p w14:paraId="2A32A812" w14:textId="77777777" w:rsidR="00523F00" w:rsidRPr="00523F00" w:rsidRDefault="00523F00" w:rsidP="00523F00">
      <w:pPr>
        <w:pStyle w:val="Bodytexttax1"/>
        <w:numPr>
          <w:ilvl w:val="0"/>
          <w:numId w:val="0"/>
        </w:numPr>
        <w:spacing w:before="120" w:after="120"/>
        <w:ind w:left="567" w:hanging="567"/>
        <w:rPr>
          <w:sz w:val="22"/>
          <w:szCs w:val="22"/>
        </w:rPr>
      </w:pPr>
      <w:r w:rsidRPr="00523F00">
        <w:rPr>
          <w:sz w:val="22"/>
          <w:szCs w:val="22"/>
        </w:rPr>
        <w:t>“</w:t>
      </w:r>
      <w:r w:rsidRPr="00523F00">
        <w:rPr>
          <w:rFonts w:eastAsiaTheme="minorHAnsi"/>
          <w:sz w:val="22"/>
          <w:szCs w:val="22"/>
        </w:rPr>
        <w:t>170.</w:t>
      </w:r>
      <w:r w:rsidRPr="00523F00">
        <w:rPr>
          <w:rFonts w:eastAsiaTheme="minorHAnsi"/>
          <w:sz w:val="22"/>
          <w:szCs w:val="22"/>
        </w:rPr>
        <w:tab/>
        <w:t xml:space="preserve">Our overall conclusion, based on these findings of fact, is that Mr </w:t>
      </w:r>
      <w:proofErr w:type="spellStart"/>
      <w:r w:rsidRPr="00523F00">
        <w:rPr>
          <w:rFonts w:eastAsiaTheme="minorHAnsi"/>
          <w:sz w:val="22"/>
          <w:szCs w:val="22"/>
        </w:rPr>
        <w:t>Walewski's</w:t>
      </w:r>
      <w:proofErr w:type="spellEnd"/>
      <w:r w:rsidRPr="00523F00">
        <w:rPr>
          <w:rFonts w:eastAsiaTheme="minorHAnsi"/>
          <w:sz w:val="22"/>
          <w:szCs w:val="22"/>
        </w:rPr>
        <w:t xml:space="preserve"> work for</w:t>
      </w:r>
      <w:r w:rsidRPr="00523F00">
        <w:rPr>
          <w:sz w:val="22"/>
          <w:szCs w:val="22"/>
        </w:rPr>
        <w:t xml:space="preserve"> </w:t>
      </w:r>
      <w:r w:rsidRPr="00523F00">
        <w:rPr>
          <w:rFonts w:eastAsiaTheme="minorHAnsi"/>
          <w:sz w:val="22"/>
          <w:szCs w:val="22"/>
        </w:rPr>
        <w:t>W Ltd, AAM and AF was fungible; it is not possible on the basis of any evidence which we</w:t>
      </w:r>
      <w:r w:rsidRPr="00523F00">
        <w:rPr>
          <w:sz w:val="22"/>
          <w:szCs w:val="22"/>
        </w:rPr>
        <w:t xml:space="preserve"> </w:t>
      </w:r>
      <w:r w:rsidRPr="00523F00">
        <w:rPr>
          <w:rFonts w:eastAsiaTheme="minorHAnsi"/>
          <w:sz w:val="22"/>
          <w:szCs w:val="22"/>
        </w:rPr>
        <w:t>saw, to separate his role into discrete components; his work for one was his work for each and</w:t>
      </w:r>
      <w:r w:rsidRPr="00523F00">
        <w:rPr>
          <w:sz w:val="22"/>
          <w:szCs w:val="22"/>
        </w:rPr>
        <w:t xml:space="preserve"> </w:t>
      </w:r>
      <w:r w:rsidRPr="00523F00">
        <w:rPr>
          <w:rFonts w:eastAsiaTheme="minorHAnsi"/>
          <w:sz w:val="22"/>
          <w:szCs w:val="22"/>
        </w:rPr>
        <w:t xml:space="preserve">all of those entities. Mr </w:t>
      </w:r>
      <w:proofErr w:type="spellStart"/>
      <w:r w:rsidRPr="00523F00">
        <w:rPr>
          <w:rFonts w:eastAsiaTheme="minorHAnsi"/>
          <w:sz w:val="22"/>
          <w:szCs w:val="22"/>
        </w:rPr>
        <w:t>Tsatsaris</w:t>
      </w:r>
      <w:proofErr w:type="spellEnd"/>
      <w:r w:rsidRPr="00523F00">
        <w:rPr>
          <w:rFonts w:eastAsiaTheme="minorHAnsi"/>
          <w:sz w:val="22"/>
          <w:szCs w:val="22"/>
        </w:rPr>
        <w:t xml:space="preserve"> described Mr </w:t>
      </w:r>
      <w:proofErr w:type="spellStart"/>
      <w:r w:rsidRPr="00523F00">
        <w:rPr>
          <w:rFonts w:eastAsiaTheme="minorHAnsi"/>
          <w:sz w:val="22"/>
          <w:szCs w:val="22"/>
        </w:rPr>
        <w:t>Walewski's</w:t>
      </w:r>
      <w:proofErr w:type="spellEnd"/>
      <w:r w:rsidRPr="00523F00">
        <w:rPr>
          <w:rFonts w:eastAsiaTheme="minorHAnsi"/>
          <w:sz w:val="22"/>
          <w:szCs w:val="22"/>
        </w:rPr>
        <w:t xml:space="preserve"> roles for the three entities as “very</w:t>
      </w:r>
      <w:r w:rsidRPr="00523F00">
        <w:rPr>
          <w:sz w:val="22"/>
          <w:szCs w:val="22"/>
        </w:rPr>
        <w:t xml:space="preserve"> </w:t>
      </w:r>
      <w:r w:rsidRPr="00523F00">
        <w:rPr>
          <w:rFonts w:eastAsiaTheme="minorHAnsi"/>
          <w:sz w:val="22"/>
          <w:szCs w:val="22"/>
        </w:rPr>
        <w:t xml:space="preserve">interlinked”, we think they were more than interlinked, we think Mr </w:t>
      </w:r>
      <w:proofErr w:type="spellStart"/>
      <w:r w:rsidRPr="00523F00">
        <w:rPr>
          <w:rFonts w:eastAsiaTheme="minorHAnsi"/>
          <w:sz w:val="22"/>
          <w:szCs w:val="22"/>
        </w:rPr>
        <w:t>Walewski</w:t>
      </w:r>
      <w:proofErr w:type="spellEnd"/>
      <w:r w:rsidRPr="00523F00">
        <w:rPr>
          <w:rFonts w:eastAsiaTheme="minorHAnsi"/>
          <w:sz w:val="22"/>
          <w:szCs w:val="22"/>
        </w:rPr>
        <w:t xml:space="preserve"> was essentially</w:t>
      </w:r>
      <w:r w:rsidRPr="00523F00">
        <w:rPr>
          <w:sz w:val="22"/>
          <w:szCs w:val="22"/>
        </w:rPr>
        <w:t xml:space="preserve"> </w:t>
      </w:r>
      <w:r w:rsidRPr="00523F00">
        <w:rPr>
          <w:rFonts w:eastAsiaTheme="minorHAnsi"/>
          <w:sz w:val="22"/>
          <w:szCs w:val="22"/>
        </w:rPr>
        <w:t>playing only a single role, but for the benefit of all three entities.</w:t>
      </w:r>
    </w:p>
    <w:p w14:paraId="083A9895" w14:textId="4C74C6F5" w:rsidR="00523F00" w:rsidRPr="00523F00" w:rsidRDefault="00523F00" w:rsidP="00523F00">
      <w:pPr>
        <w:pStyle w:val="Bodytexttax1"/>
        <w:numPr>
          <w:ilvl w:val="0"/>
          <w:numId w:val="0"/>
        </w:numPr>
        <w:spacing w:before="120" w:after="120"/>
        <w:ind w:left="567" w:hanging="567"/>
        <w:rPr>
          <w:sz w:val="22"/>
          <w:szCs w:val="22"/>
        </w:rPr>
      </w:pPr>
      <w:r w:rsidRPr="00523F00">
        <w:rPr>
          <w:rFonts w:eastAsiaTheme="minorHAnsi"/>
          <w:sz w:val="22"/>
          <w:szCs w:val="22"/>
        </w:rPr>
        <w:t xml:space="preserve">171. </w:t>
      </w:r>
      <w:r>
        <w:rPr>
          <w:rFonts w:eastAsiaTheme="minorHAnsi"/>
          <w:sz w:val="22"/>
          <w:szCs w:val="22"/>
        </w:rPr>
        <w:tab/>
      </w:r>
      <w:r w:rsidRPr="00523F00">
        <w:rPr>
          <w:rFonts w:eastAsiaTheme="minorHAnsi"/>
          <w:sz w:val="22"/>
          <w:szCs w:val="22"/>
        </w:rPr>
        <w:t xml:space="preserve">Mr </w:t>
      </w:r>
      <w:proofErr w:type="spellStart"/>
      <w:r w:rsidRPr="00523F00">
        <w:rPr>
          <w:rFonts w:eastAsiaTheme="minorHAnsi"/>
          <w:sz w:val="22"/>
          <w:szCs w:val="22"/>
        </w:rPr>
        <w:t>Walewski</w:t>
      </w:r>
      <w:proofErr w:type="spellEnd"/>
      <w:r w:rsidRPr="00523F00">
        <w:rPr>
          <w:rFonts w:eastAsiaTheme="minorHAnsi"/>
          <w:sz w:val="22"/>
          <w:szCs w:val="22"/>
        </w:rPr>
        <w:t xml:space="preserve"> was described as '”wearing a number of hats”, again, in our view this does</w:t>
      </w:r>
      <w:r w:rsidRPr="00523F00">
        <w:rPr>
          <w:sz w:val="22"/>
          <w:szCs w:val="22"/>
        </w:rPr>
        <w:t xml:space="preserve"> </w:t>
      </w:r>
      <w:r w:rsidRPr="00523F00">
        <w:rPr>
          <w:rFonts w:eastAsiaTheme="minorHAnsi"/>
          <w:sz w:val="22"/>
          <w:szCs w:val="22"/>
        </w:rPr>
        <w:t>not do justice to the truly fungible nature of his activities for these entities, all of whose</w:t>
      </w:r>
      <w:r w:rsidRPr="00523F00">
        <w:rPr>
          <w:sz w:val="22"/>
          <w:szCs w:val="22"/>
        </w:rPr>
        <w:t xml:space="preserve"> </w:t>
      </w:r>
      <w:r w:rsidRPr="00523F00">
        <w:rPr>
          <w:rFonts w:eastAsiaTheme="minorHAnsi"/>
          <w:sz w:val="22"/>
          <w:szCs w:val="22"/>
        </w:rPr>
        <w:t xml:space="preserve">decisions and strategies began and ended with Mr </w:t>
      </w:r>
      <w:proofErr w:type="spellStart"/>
      <w:r w:rsidRPr="00523F00">
        <w:rPr>
          <w:rFonts w:eastAsiaTheme="minorHAnsi"/>
          <w:sz w:val="22"/>
          <w:szCs w:val="22"/>
        </w:rPr>
        <w:t>Walewski</w:t>
      </w:r>
      <w:proofErr w:type="spellEnd"/>
      <w:r w:rsidRPr="00523F00">
        <w:rPr>
          <w:rFonts w:eastAsiaTheme="minorHAnsi"/>
          <w:sz w:val="22"/>
          <w:szCs w:val="22"/>
        </w:rPr>
        <w:t>, as the only director and employee</w:t>
      </w:r>
      <w:r w:rsidRPr="00523F00">
        <w:rPr>
          <w:sz w:val="22"/>
          <w:szCs w:val="22"/>
        </w:rPr>
        <w:t xml:space="preserve"> </w:t>
      </w:r>
      <w:r w:rsidRPr="00523F00">
        <w:rPr>
          <w:rFonts w:eastAsiaTheme="minorHAnsi"/>
          <w:sz w:val="22"/>
          <w:szCs w:val="22"/>
        </w:rPr>
        <w:t>of W Ltd, as a member of AAM and only member of its management committee and as an</w:t>
      </w:r>
      <w:r w:rsidRPr="00523F00">
        <w:rPr>
          <w:sz w:val="22"/>
          <w:szCs w:val="22"/>
        </w:rPr>
        <w:t xml:space="preserve"> </w:t>
      </w:r>
      <w:r w:rsidRPr="00523F00">
        <w:rPr>
          <w:rFonts w:eastAsiaTheme="minorHAnsi"/>
          <w:sz w:val="22"/>
          <w:szCs w:val="22"/>
        </w:rPr>
        <w:t>employee and member of AF.</w:t>
      </w:r>
    </w:p>
    <w:p w14:paraId="560F86BC" w14:textId="37017BE2" w:rsidR="00523F00" w:rsidRDefault="00523F00" w:rsidP="00523F00">
      <w:pPr>
        <w:pStyle w:val="Bodytexttax1"/>
        <w:numPr>
          <w:ilvl w:val="0"/>
          <w:numId w:val="0"/>
        </w:numPr>
        <w:spacing w:before="120" w:after="120"/>
        <w:ind w:left="567" w:hanging="567"/>
        <w:rPr>
          <w:szCs w:val="24"/>
        </w:rPr>
      </w:pPr>
      <w:r w:rsidRPr="00523F00">
        <w:rPr>
          <w:rFonts w:eastAsiaTheme="minorHAnsi"/>
          <w:sz w:val="22"/>
          <w:szCs w:val="22"/>
        </w:rPr>
        <w:t xml:space="preserve">172. </w:t>
      </w:r>
      <w:r>
        <w:rPr>
          <w:rFonts w:eastAsiaTheme="minorHAnsi"/>
          <w:sz w:val="22"/>
          <w:szCs w:val="22"/>
        </w:rPr>
        <w:tab/>
      </w:r>
      <w:r w:rsidRPr="00523F00">
        <w:rPr>
          <w:rFonts w:eastAsiaTheme="minorHAnsi"/>
          <w:sz w:val="22"/>
          <w:szCs w:val="22"/>
        </w:rPr>
        <w:t xml:space="preserve">There was no commercial, physical or temporal separation of Mr </w:t>
      </w:r>
      <w:proofErr w:type="spellStart"/>
      <w:r w:rsidRPr="00523F00">
        <w:rPr>
          <w:rFonts w:eastAsiaTheme="minorHAnsi"/>
          <w:sz w:val="22"/>
          <w:szCs w:val="22"/>
        </w:rPr>
        <w:t>Walewski's</w:t>
      </w:r>
      <w:proofErr w:type="spellEnd"/>
      <w:r w:rsidRPr="00523F00">
        <w:rPr>
          <w:rFonts w:eastAsiaTheme="minorHAnsi"/>
          <w:sz w:val="22"/>
          <w:szCs w:val="22"/>
        </w:rPr>
        <w:t xml:space="preserve"> activities.</w:t>
      </w:r>
      <w:r w:rsidRPr="00523F00">
        <w:rPr>
          <w:sz w:val="22"/>
          <w:szCs w:val="22"/>
        </w:rPr>
        <w:t xml:space="preserve"> </w:t>
      </w:r>
      <w:r w:rsidRPr="00523F00">
        <w:rPr>
          <w:rFonts w:eastAsiaTheme="minorHAnsi"/>
          <w:sz w:val="22"/>
          <w:szCs w:val="22"/>
        </w:rPr>
        <w:t xml:space="preserve">A more accurate description of Mr </w:t>
      </w:r>
      <w:proofErr w:type="spellStart"/>
      <w:r w:rsidRPr="00523F00">
        <w:rPr>
          <w:rFonts w:eastAsiaTheme="minorHAnsi"/>
          <w:sz w:val="22"/>
          <w:szCs w:val="22"/>
        </w:rPr>
        <w:t>Walewski</w:t>
      </w:r>
      <w:proofErr w:type="spellEnd"/>
      <w:r w:rsidRPr="00523F00">
        <w:rPr>
          <w:rFonts w:eastAsiaTheme="minorHAnsi"/>
          <w:sz w:val="22"/>
          <w:szCs w:val="22"/>
        </w:rPr>
        <w:t xml:space="preserve"> would be to say that he wore one hat in many</w:t>
      </w:r>
      <w:r w:rsidRPr="00523F00">
        <w:rPr>
          <w:sz w:val="22"/>
          <w:szCs w:val="22"/>
        </w:rPr>
        <w:t xml:space="preserve"> </w:t>
      </w:r>
      <w:r w:rsidRPr="00523F00">
        <w:rPr>
          <w:rFonts w:eastAsiaTheme="minorHAnsi"/>
          <w:sz w:val="22"/>
          <w:szCs w:val="22"/>
        </w:rPr>
        <w:t>places. The entity on whose behalf he wore that hat was essentially irrelevant.</w:t>
      </w:r>
      <w:r>
        <w:rPr>
          <w:rFonts w:eastAsiaTheme="minorHAnsi"/>
          <w:sz w:val="22"/>
          <w:szCs w:val="22"/>
        </w:rPr>
        <w:t>”</w:t>
      </w:r>
    </w:p>
    <w:p w14:paraId="2A7F8D5F" w14:textId="4213346B" w:rsidR="00B057DE" w:rsidRDefault="00523F00" w:rsidP="00523F00">
      <w:pPr>
        <w:pStyle w:val="Bodytexttax1"/>
        <w:tabs>
          <w:tab w:val="clear" w:pos="360"/>
        </w:tabs>
        <w:spacing w:before="120" w:after="120"/>
        <w:rPr>
          <w:szCs w:val="24"/>
        </w:rPr>
      </w:pPr>
      <w:r>
        <w:rPr>
          <w:szCs w:val="24"/>
        </w:rPr>
        <w:t xml:space="preserve">On behalf of the Appellant it was </w:t>
      </w:r>
      <w:r w:rsidR="00B057DE" w:rsidRPr="00523F00">
        <w:rPr>
          <w:szCs w:val="24"/>
        </w:rPr>
        <w:t>submitted that</w:t>
      </w:r>
      <w:r>
        <w:rPr>
          <w:szCs w:val="24"/>
        </w:rPr>
        <w:t>,</w:t>
      </w:r>
      <w:r w:rsidR="00B057DE" w:rsidRPr="00523F00">
        <w:rPr>
          <w:szCs w:val="24"/>
        </w:rPr>
        <w:t xml:space="preserve"> given that the FTT found the Appellant was playing a single role for the benefit of all three entities, it </w:t>
      </w:r>
      <w:r>
        <w:rPr>
          <w:szCs w:val="24"/>
        </w:rPr>
        <w:t xml:space="preserve">had </w:t>
      </w:r>
      <w:r w:rsidR="00B057DE" w:rsidRPr="00523F00">
        <w:rPr>
          <w:szCs w:val="24"/>
        </w:rPr>
        <w:t xml:space="preserve">accepted </w:t>
      </w:r>
      <w:r>
        <w:rPr>
          <w:szCs w:val="24"/>
        </w:rPr>
        <w:t xml:space="preserve">that </w:t>
      </w:r>
      <w:r w:rsidR="00B057DE" w:rsidRPr="00523F00">
        <w:rPr>
          <w:szCs w:val="24"/>
        </w:rPr>
        <w:t>the Appellant was providing half of his time or half of his services through W Ltd to the partnerships</w:t>
      </w:r>
      <w:r w:rsidR="003171D0" w:rsidRPr="00523F00">
        <w:rPr>
          <w:szCs w:val="24"/>
        </w:rPr>
        <w:t xml:space="preserve"> and their clients. W Ltd </w:t>
      </w:r>
      <w:r>
        <w:rPr>
          <w:szCs w:val="24"/>
        </w:rPr>
        <w:t xml:space="preserve">had, therefore, </w:t>
      </w:r>
      <w:r w:rsidR="003171D0" w:rsidRPr="00523F00">
        <w:rPr>
          <w:szCs w:val="24"/>
        </w:rPr>
        <w:t>earned that</w:t>
      </w:r>
      <w:r w:rsidR="00B057DE" w:rsidRPr="00523F00">
        <w:rPr>
          <w:szCs w:val="24"/>
        </w:rPr>
        <w:t xml:space="preserve"> </w:t>
      </w:r>
      <w:r w:rsidR="003171D0" w:rsidRPr="00523F00">
        <w:rPr>
          <w:szCs w:val="24"/>
        </w:rPr>
        <w:t>half</w:t>
      </w:r>
      <w:r w:rsidR="00B057DE" w:rsidRPr="00523F00">
        <w:rPr>
          <w:szCs w:val="24"/>
        </w:rPr>
        <w:t xml:space="preserve"> of its profit share from the partnerships as a corporate partner. The increase in the Appellant’s profit share should take account of the time and services </w:t>
      </w:r>
      <w:r w:rsidR="003171D0" w:rsidRPr="00523F00">
        <w:rPr>
          <w:szCs w:val="24"/>
        </w:rPr>
        <w:t>t</w:t>
      </w:r>
      <w:r w:rsidR="00B057DE" w:rsidRPr="00523F00">
        <w:rPr>
          <w:szCs w:val="24"/>
        </w:rPr>
        <w:t>he</w:t>
      </w:r>
      <w:r w:rsidR="003171D0" w:rsidRPr="00523F00">
        <w:rPr>
          <w:szCs w:val="24"/>
        </w:rPr>
        <w:t xml:space="preserve"> Appellant</w:t>
      </w:r>
      <w:r w:rsidR="00B057DE" w:rsidRPr="00523F00">
        <w:rPr>
          <w:szCs w:val="24"/>
        </w:rPr>
        <w:t xml:space="preserve"> provided through W Ltd to the partnerships</w:t>
      </w:r>
      <w:r w:rsidR="003171D0" w:rsidRPr="00523F00">
        <w:rPr>
          <w:szCs w:val="24"/>
        </w:rPr>
        <w:t xml:space="preserve"> and their clients</w:t>
      </w:r>
      <w:r w:rsidR="00B057DE" w:rsidRPr="00523F00">
        <w:rPr>
          <w:szCs w:val="24"/>
        </w:rPr>
        <w:t>.</w:t>
      </w:r>
    </w:p>
    <w:p w14:paraId="75CEC7E8" w14:textId="5AD04570" w:rsidR="00523F00" w:rsidRPr="00523F00" w:rsidRDefault="00523F00" w:rsidP="00523F00">
      <w:pPr>
        <w:pStyle w:val="Bodytexttax1"/>
        <w:tabs>
          <w:tab w:val="clear" w:pos="360"/>
        </w:tabs>
        <w:spacing w:before="120" w:after="120"/>
        <w:rPr>
          <w:szCs w:val="24"/>
        </w:rPr>
      </w:pPr>
      <w:r>
        <w:rPr>
          <w:szCs w:val="24"/>
        </w:rPr>
        <w:t xml:space="preserve">We confess that we have some difficulty in seeing the error of law alleged by the Appellant in Ground 2. It is trite that the terms of a decision or judgment should not be read as if a statute, and – particularly where an appeal is confined to points of law – an appellate court must be particularly careful when considering the manner in which the court below has expressed itself. Here, quite clearly, the FTT was holding that the manner in which Mr </w:t>
      </w:r>
      <w:proofErr w:type="spellStart"/>
      <w:r>
        <w:rPr>
          <w:szCs w:val="24"/>
        </w:rPr>
        <w:t>Walewski</w:t>
      </w:r>
      <w:proofErr w:type="spellEnd"/>
      <w:r>
        <w:rPr>
          <w:szCs w:val="24"/>
        </w:rPr>
        <w:t xml:space="preserve"> provided his services was utterly fluid and essentially unknowable. The fact is that W Ltd was nothing more than a corporate </w:t>
      </w:r>
      <w:r>
        <w:rPr>
          <w:i/>
          <w:iCs/>
          <w:szCs w:val="24"/>
        </w:rPr>
        <w:t>alter ego</w:t>
      </w:r>
      <w:r>
        <w:rPr>
          <w:szCs w:val="24"/>
        </w:rPr>
        <w:t xml:space="preserve"> to Mr </w:t>
      </w:r>
      <w:proofErr w:type="spellStart"/>
      <w:r>
        <w:rPr>
          <w:szCs w:val="24"/>
        </w:rPr>
        <w:lastRenderedPageBreak/>
        <w:t>Walewski</w:t>
      </w:r>
      <w:proofErr w:type="spellEnd"/>
      <w:r>
        <w:rPr>
          <w:szCs w:val="24"/>
        </w:rPr>
        <w:t xml:space="preserve"> and it seems to us that the conclusion reached by the FTT is entirely consistent with that finding. </w:t>
      </w:r>
    </w:p>
    <w:p w14:paraId="6AC0CDFA" w14:textId="77777777" w:rsidR="00523F00" w:rsidRDefault="00523F00" w:rsidP="00523F00">
      <w:pPr>
        <w:pStyle w:val="Bodytexttax1"/>
        <w:spacing w:before="120" w:after="120"/>
        <w:rPr>
          <w:szCs w:val="24"/>
        </w:rPr>
      </w:pPr>
      <w:r>
        <w:rPr>
          <w:szCs w:val="24"/>
        </w:rPr>
        <w:t>In short, w</w:t>
      </w:r>
      <w:r w:rsidR="00B057DE">
        <w:rPr>
          <w:szCs w:val="24"/>
        </w:rPr>
        <w:t>e are satisfied t</w:t>
      </w:r>
      <w:r w:rsidR="00A660EC">
        <w:rPr>
          <w:szCs w:val="24"/>
        </w:rPr>
        <w:t xml:space="preserve">hat </w:t>
      </w:r>
      <w:r>
        <w:rPr>
          <w:szCs w:val="24"/>
        </w:rPr>
        <w:t>Ground 2</w:t>
      </w:r>
      <w:r w:rsidR="00A660EC">
        <w:rPr>
          <w:szCs w:val="24"/>
        </w:rPr>
        <w:t xml:space="preserve"> is</w:t>
      </w:r>
      <w:r w:rsidR="00B057DE">
        <w:rPr>
          <w:szCs w:val="24"/>
        </w:rPr>
        <w:t xml:space="preserve"> no</w:t>
      </w:r>
      <w:r>
        <w:rPr>
          <w:szCs w:val="24"/>
        </w:rPr>
        <w:t>thing</w:t>
      </w:r>
      <w:r w:rsidR="00B057DE">
        <w:rPr>
          <w:szCs w:val="24"/>
        </w:rPr>
        <w:t xml:space="preserve"> more than </w:t>
      </w:r>
      <w:r>
        <w:rPr>
          <w:szCs w:val="24"/>
        </w:rPr>
        <w:t xml:space="preserve">a </w:t>
      </w:r>
      <w:r w:rsidR="00B057DE">
        <w:rPr>
          <w:szCs w:val="24"/>
        </w:rPr>
        <w:t xml:space="preserve">challenge either to the factual findings of the FTT as to whether the statutory requirements were satisfied or </w:t>
      </w:r>
      <w:r>
        <w:rPr>
          <w:szCs w:val="24"/>
        </w:rPr>
        <w:t xml:space="preserve">to </w:t>
      </w:r>
      <w:r w:rsidR="00B057DE">
        <w:rPr>
          <w:szCs w:val="24"/>
        </w:rPr>
        <w:t xml:space="preserve">its </w:t>
      </w:r>
      <w:r w:rsidR="00A660EC">
        <w:rPr>
          <w:szCs w:val="24"/>
        </w:rPr>
        <w:t xml:space="preserve">determination </w:t>
      </w:r>
      <w:r w:rsidR="00B057DE">
        <w:rPr>
          <w:szCs w:val="24"/>
        </w:rPr>
        <w:t xml:space="preserve">as to what was </w:t>
      </w:r>
      <w:r>
        <w:rPr>
          <w:szCs w:val="24"/>
        </w:rPr>
        <w:t>“</w:t>
      </w:r>
      <w:r w:rsidR="00B057DE">
        <w:rPr>
          <w:szCs w:val="24"/>
        </w:rPr>
        <w:t>just and reasonable</w:t>
      </w:r>
      <w:r>
        <w:rPr>
          <w:szCs w:val="24"/>
        </w:rPr>
        <w:t>”</w:t>
      </w:r>
      <w:r w:rsidR="00B057DE">
        <w:rPr>
          <w:szCs w:val="24"/>
        </w:rPr>
        <w:t xml:space="preserve"> on the facts it had found.</w:t>
      </w:r>
      <w:r>
        <w:rPr>
          <w:szCs w:val="24"/>
        </w:rPr>
        <w:t xml:space="preserve"> Neither, as it seems to us, can amount to an error of law, whether as articulated in Ground 2 or otherwise.</w:t>
      </w:r>
    </w:p>
    <w:p w14:paraId="11045ECC" w14:textId="2BFA2DB4" w:rsidR="00B057DE" w:rsidRPr="00523F00" w:rsidRDefault="00523F00" w:rsidP="00523F00">
      <w:pPr>
        <w:pStyle w:val="Bodytexttax1"/>
        <w:spacing w:before="120" w:after="120"/>
        <w:rPr>
          <w:szCs w:val="24"/>
        </w:rPr>
      </w:pPr>
      <w:r w:rsidRPr="00523F00">
        <w:rPr>
          <w:szCs w:val="24"/>
        </w:rPr>
        <w:t>T</w:t>
      </w:r>
      <w:r w:rsidR="00B057DE" w:rsidRPr="00523F00">
        <w:rPr>
          <w:szCs w:val="24"/>
        </w:rPr>
        <w:t xml:space="preserve">he FTT </w:t>
      </w:r>
      <w:r>
        <w:rPr>
          <w:szCs w:val="24"/>
        </w:rPr>
        <w:t xml:space="preserve">properly and carefully </w:t>
      </w:r>
      <w:r w:rsidR="00B057DE" w:rsidRPr="00523F00">
        <w:rPr>
          <w:szCs w:val="24"/>
        </w:rPr>
        <w:t xml:space="preserve">followed each </w:t>
      </w:r>
      <w:r>
        <w:rPr>
          <w:szCs w:val="24"/>
        </w:rPr>
        <w:t xml:space="preserve">stage in the series of statutory requirements imposed by section 850C </w:t>
      </w:r>
      <w:r w:rsidR="00B057DE" w:rsidRPr="00523F00">
        <w:rPr>
          <w:szCs w:val="24"/>
        </w:rPr>
        <w:t>and</w:t>
      </w:r>
      <w:r w:rsidR="00F529C3" w:rsidRPr="00523F00">
        <w:rPr>
          <w:szCs w:val="24"/>
        </w:rPr>
        <w:t>, where in dispute,</w:t>
      </w:r>
      <w:r w:rsidR="00B057DE" w:rsidRPr="00523F00">
        <w:rPr>
          <w:szCs w:val="24"/>
        </w:rPr>
        <w:t xml:space="preserve"> made findings that </w:t>
      </w:r>
      <w:r>
        <w:rPr>
          <w:szCs w:val="24"/>
        </w:rPr>
        <w:t>these</w:t>
      </w:r>
      <w:r w:rsidR="00B057DE" w:rsidRPr="00523F00">
        <w:rPr>
          <w:szCs w:val="24"/>
        </w:rPr>
        <w:t xml:space="preserve"> statutory </w:t>
      </w:r>
      <w:r w:rsidR="00F529C3" w:rsidRPr="00523F00">
        <w:rPr>
          <w:szCs w:val="24"/>
        </w:rPr>
        <w:t>requirements</w:t>
      </w:r>
      <w:r>
        <w:rPr>
          <w:szCs w:val="24"/>
        </w:rPr>
        <w:t xml:space="preserve"> were</w:t>
      </w:r>
      <w:r w:rsidR="00B057DE" w:rsidRPr="00523F00">
        <w:rPr>
          <w:szCs w:val="24"/>
        </w:rPr>
        <w:t xml:space="preserve"> satisfied. Its findings on each</w:t>
      </w:r>
      <w:r w:rsidR="00F529C3" w:rsidRPr="00523F00">
        <w:rPr>
          <w:szCs w:val="24"/>
        </w:rPr>
        <w:t xml:space="preserve"> requirement</w:t>
      </w:r>
      <w:r w:rsidR="00B057DE" w:rsidRPr="00523F00">
        <w:rPr>
          <w:szCs w:val="24"/>
        </w:rPr>
        <w:t xml:space="preserve">, including on the extent of W </w:t>
      </w:r>
      <w:proofErr w:type="spellStart"/>
      <w:r w:rsidR="00B057DE" w:rsidRPr="00523F00">
        <w:rPr>
          <w:szCs w:val="24"/>
        </w:rPr>
        <w:t>Ltd’s</w:t>
      </w:r>
      <w:proofErr w:type="spellEnd"/>
      <w:r w:rsidR="00B057DE" w:rsidRPr="00523F00">
        <w:rPr>
          <w:szCs w:val="24"/>
        </w:rPr>
        <w:t xml:space="preserve"> excess profits, were rational and available to it to make on the evidence it received</w:t>
      </w:r>
      <w:r>
        <w:rPr>
          <w:szCs w:val="24"/>
        </w:rPr>
        <w:t>.</w:t>
      </w:r>
      <w:r w:rsidR="00F529C3" w:rsidRPr="00523F00">
        <w:rPr>
          <w:szCs w:val="24"/>
        </w:rPr>
        <w:t xml:space="preserve"> We are satisfied that the findings</w:t>
      </w:r>
      <w:r w:rsidR="00B057DE" w:rsidRPr="00523F00">
        <w:rPr>
          <w:szCs w:val="24"/>
        </w:rPr>
        <w:t xml:space="preserve"> were </w:t>
      </w:r>
      <w:r>
        <w:rPr>
          <w:szCs w:val="24"/>
        </w:rPr>
        <w:t>neither</w:t>
      </w:r>
      <w:r w:rsidR="00B057DE" w:rsidRPr="00523F00">
        <w:rPr>
          <w:szCs w:val="24"/>
        </w:rPr>
        <w:t xml:space="preserve"> perverse nor irrational. There is no sustainable challenge that can be made to any of the factual findings or inferences that could be drawn from them.  </w:t>
      </w:r>
    </w:p>
    <w:p w14:paraId="6FB5637E" w14:textId="2193CD86" w:rsidR="00B057DE" w:rsidRPr="00523F00" w:rsidRDefault="00B057DE" w:rsidP="00523F00">
      <w:pPr>
        <w:pStyle w:val="Bodytexttax1"/>
        <w:spacing w:before="120" w:after="120"/>
        <w:rPr>
          <w:szCs w:val="24"/>
        </w:rPr>
      </w:pPr>
      <w:r w:rsidRPr="007862D0">
        <w:rPr>
          <w:szCs w:val="24"/>
        </w:rPr>
        <w:t>Lik</w:t>
      </w:r>
      <w:r w:rsidR="00F529C3">
        <w:rPr>
          <w:szCs w:val="24"/>
        </w:rPr>
        <w:t>ewise it cannot be said that the FTT’s</w:t>
      </w:r>
      <w:r w:rsidRPr="007862D0">
        <w:rPr>
          <w:szCs w:val="24"/>
        </w:rPr>
        <w:t xml:space="preserve"> determination as to what was </w:t>
      </w:r>
      <w:r w:rsidR="00523F00">
        <w:rPr>
          <w:szCs w:val="24"/>
        </w:rPr>
        <w:t>“</w:t>
      </w:r>
      <w:r w:rsidRPr="007862D0">
        <w:rPr>
          <w:szCs w:val="24"/>
        </w:rPr>
        <w:t>just and reasonable</w:t>
      </w:r>
      <w:r w:rsidR="00523F00">
        <w:rPr>
          <w:szCs w:val="24"/>
        </w:rPr>
        <w:t>”</w:t>
      </w:r>
      <w:r w:rsidRPr="007862D0">
        <w:rPr>
          <w:szCs w:val="24"/>
        </w:rPr>
        <w:t xml:space="preserve"> for the purposes of section 850C(4) was </w:t>
      </w:r>
      <w:r w:rsidR="00523F00">
        <w:rPr>
          <w:szCs w:val="24"/>
        </w:rPr>
        <w:t>“</w:t>
      </w:r>
      <w:r w:rsidRPr="007862D0">
        <w:rPr>
          <w:szCs w:val="24"/>
        </w:rPr>
        <w:t>plainly wrong</w:t>
      </w:r>
      <w:r w:rsidR="00523F00">
        <w:rPr>
          <w:szCs w:val="24"/>
        </w:rPr>
        <w:t>”</w:t>
      </w:r>
      <w:r w:rsidRPr="007862D0">
        <w:rPr>
          <w:szCs w:val="24"/>
        </w:rPr>
        <w:t>.</w:t>
      </w:r>
      <w:r>
        <w:rPr>
          <w:szCs w:val="24"/>
        </w:rPr>
        <w:t xml:space="preserve">  While t</w:t>
      </w:r>
      <w:r w:rsidRPr="002D160E">
        <w:rPr>
          <w:szCs w:val="24"/>
        </w:rPr>
        <w:t>his is not an exerci</w:t>
      </w:r>
      <w:r>
        <w:rPr>
          <w:szCs w:val="24"/>
        </w:rPr>
        <w:t>se of judicial discretion but a judicial</w:t>
      </w:r>
      <w:r w:rsidRPr="002D160E">
        <w:rPr>
          <w:szCs w:val="24"/>
        </w:rPr>
        <w:t xml:space="preserve"> </w:t>
      </w:r>
      <w:r w:rsidR="00F529C3">
        <w:rPr>
          <w:szCs w:val="24"/>
        </w:rPr>
        <w:t>determination</w:t>
      </w:r>
      <w:r>
        <w:rPr>
          <w:szCs w:val="24"/>
        </w:rPr>
        <w:t>,</w:t>
      </w:r>
      <w:r w:rsidRPr="002D160E">
        <w:rPr>
          <w:szCs w:val="24"/>
        </w:rPr>
        <w:t xml:space="preserve"> we should n</w:t>
      </w:r>
      <w:r>
        <w:rPr>
          <w:szCs w:val="24"/>
        </w:rPr>
        <w:t xml:space="preserve">ot interfere with it unless we are satisfied </w:t>
      </w:r>
      <w:r w:rsidR="00523F00">
        <w:rPr>
          <w:szCs w:val="24"/>
        </w:rPr>
        <w:t xml:space="preserve">that </w:t>
      </w:r>
      <w:r>
        <w:rPr>
          <w:szCs w:val="24"/>
        </w:rPr>
        <w:t>the</w:t>
      </w:r>
      <w:r w:rsidRPr="002D160E">
        <w:rPr>
          <w:szCs w:val="24"/>
        </w:rPr>
        <w:t xml:space="preserve"> high hurdle </w:t>
      </w:r>
      <w:r>
        <w:rPr>
          <w:szCs w:val="24"/>
        </w:rPr>
        <w:t xml:space="preserve">expounded in </w:t>
      </w:r>
      <w:proofErr w:type="spellStart"/>
      <w:r w:rsidRPr="002361F9">
        <w:rPr>
          <w:i/>
          <w:iCs/>
          <w:szCs w:val="24"/>
        </w:rPr>
        <w:t>Piglowska</w:t>
      </w:r>
      <w:proofErr w:type="spellEnd"/>
      <w:r w:rsidRPr="002361F9">
        <w:rPr>
          <w:i/>
          <w:iCs/>
          <w:szCs w:val="24"/>
        </w:rPr>
        <w:t xml:space="preserve"> v. </w:t>
      </w:r>
      <w:proofErr w:type="spellStart"/>
      <w:r w:rsidRPr="002361F9">
        <w:rPr>
          <w:i/>
          <w:iCs/>
          <w:szCs w:val="24"/>
        </w:rPr>
        <w:t>Piglowski</w:t>
      </w:r>
      <w:proofErr w:type="spellEnd"/>
      <w:r w:rsidR="00523F00">
        <w:rPr>
          <w:szCs w:val="24"/>
        </w:rPr>
        <w:t>,</w:t>
      </w:r>
      <w:r w:rsidRPr="002361F9">
        <w:rPr>
          <w:i/>
          <w:iCs/>
          <w:szCs w:val="24"/>
        </w:rPr>
        <w:t xml:space="preserve"> </w:t>
      </w:r>
      <w:r w:rsidRPr="00523F00">
        <w:rPr>
          <w:szCs w:val="24"/>
        </w:rPr>
        <w:t>[1999] 1WLR 1360</w:t>
      </w:r>
      <w:r w:rsidR="00523F00">
        <w:rPr>
          <w:szCs w:val="24"/>
        </w:rPr>
        <w:t xml:space="preserve"> is met. </w:t>
      </w:r>
    </w:p>
    <w:p w14:paraId="7A79993F" w14:textId="77777777" w:rsidR="00523F00" w:rsidRDefault="00523F00" w:rsidP="00523F00">
      <w:pPr>
        <w:pStyle w:val="Bodytexttax1"/>
        <w:spacing w:before="120" w:after="120"/>
        <w:rPr>
          <w:szCs w:val="24"/>
        </w:rPr>
      </w:pPr>
      <w:r>
        <w:rPr>
          <w:szCs w:val="24"/>
        </w:rPr>
        <w:t>In this case, t</w:t>
      </w:r>
      <w:r w:rsidR="00B057DE">
        <w:rPr>
          <w:szCs w:val="24"/>
        </w:rPr>
        <w:t xml:space="preserve">he FTT came to three key conclusions when determining that section 850C(3) was satisfied and </w:t>
      </w:r>
      <w:r>
        <w:rPr>
          <w:szCs w:val="24"/>
        </w:rPr>
        <w:t xml:space="preserve">when </w:t>
      </w:r>
      <w:r w:rsidR="00B057DE">
        <w:rPr>
          <w:szCs w:val="24"/>
        </w:rPr>
        <w:t>considering the application of s</w:t>
      </w:r>
      <w:r>
        <w:rPr>
          <w:szCs w:val="24"/>
        </w:rPr>
        <w:t xml:space="preserve">ection </w:t>
      </w:r>
      <w:r w:rsidR="00B057DE">
        <w:rPr>
          <w:szCs w:val="24"/>
        </w:rPr>
        <w:t>85</w:t>
      </w:r>
      <w:r>
        <w:rPr>
          <w:szCs w:val="24"/>
        </w:rPr>
        <w:t>0</w:t>
      </w:r>
      <w:r w:rsidR="00B057DE">
        <w:rPr>
          <w:szCs w:val="24"/>
        </w:rPr>
        <w:t>C(4):</w:t>
      </w:r>
    </w:p>
    <w:p w14:paraId="7C20F353" w14:textId="1C6216BC" w:rsidR="00523F00" w:rsidRDefault="00523F00" w:rsidP="00523F00">
      <w:pPr>
        <w:pStyle w:val="Bodytexttax2"/>
        <w:spacing w:before="120"/>
      </w:pPr>
      <w:r>
        <w:t>E</w:t>
      </w:r>
      <w:r w:rsidR="00B057DE" w:rsidRPr="00523F00">
        <w:t>ach of W Ltd, AAM and AF were creatures of the Appellant who controlled them</w:t>
      </w:r>
      <w:r>
        <w:t>: Decision at</w:t>
      </w:r>
      <w:r w:rsidR="00B057DE" w:rsidRPr="00523F00">
        <w:t xml:space="preserve"> [198]</w:t>
      </w:r>
      <w:r>
        <w:t>.</w:t>
      </w:r>
    </w:p>
    <w:p w14:paraId="054D8642" w14:textId="055BB55C" w:rsidR="00523F00" w:rsidRPr="00523F00" w:rsidRDefault="00523F00" w:rsidP="00523F00">
      <w:pPr>
        <w:pStyle w:val="Bodytexttax2"/>
        <w:spacing w:before="120"/>
      </w:pPr>
      <w:r>
        <w:t>N</w:t>
      </w:r>
      <w:r w:rsidR="00B057DE" w:rsidRPr="00523F00">
        <w:rPr>
          <w:szCs w:val="24"/>
        </w:rPr>
        <w:t>one of the profits allocated to W Ltd can be said to have been earned by that entity through the Appellant’s activities or services provided as an employee (</w:t>
      </w:r>
      <w:r>
        <w:rPr>
          <w:szCs w:val="24"/>
        </w:rPr>
        <w:t xml:space="preserve">Decision at </w:t>
      </w:r>
      <w:r w:rsidR="00B057DE" w:rsidRPr="00523F00">
        <w:rPr>
          <w:szCs w:val="24"/>
        </w:rPr>
        <w:t>[200] and [202]</w:t>
      </w:r>
      <w:r w:rsidR="009960FF">
        <w:rPr>
          <w:szCs w:val="24"/>
        </w:rPr>
        <w:t>)</w:t>
      </w:r>
      <w:r>
        <w:rPr>
          <w:szCs w:val="24"/>
        </w:rPr>
        <w:t xml:space="preserve">. In other words, all of </w:t>
      </w:r>
      <w:r w:rsidR="00C97AD3" w:rsidRPr="00523F00">
        <w:rPr>
          <w:szCs w:val="24"/>
        </w:rPr>
        <w:t>its profits were excess profits</w:t>
      </w:r>
      <w:r>
        <w:rPr>
          <w:szCs w:val="24"/>
        </w:rPr>
        <w:t>.</w:t>
      </w:r>
    </w:p>
    <w:p w14:paraId="302C7617" w14:textId="502471F5" w:rsidR="00B057DE" w:rsidRPr="00523F00" w:rsidRDefault="00523F00" w:rsidP="00523F00">
      <w:pPr>
        <w:pStyle w:val="Bodytexttax2"/>
        <w:spacing w:before="120"/>
      </w:pPr>
      <w:r>
        <w:rPr>
          <w:szCs w:val="24"/>
        </w:rPr>
        <w:t>A</w:t>
      </w:r>
      <w:r w:rsidR="00B057DE" w:rsidRPr="00523F00">
        <w:rPr>
          <w:szCs w:val="24"/>
        </w:rPr>
        <w:t xml:space="preserve">ll of W </w:t>
      </w:r>
      <w:proofErr w:type="spellStart"/>
      <w:r w:rsidR="00B057DE" w:rsidRPr="00523F00">
        <w:rPr>
          <w:szCs w:val="24"/>
        </w:rPr>
        <w:t>Ltd’s</w:t>
      </w:r>
      <w:proofErr w:type="spellEnd"/>
      <w:r w:rsidR="00B057DE" w:rsidRPr="00523F00">
        <w:rPr>
          <w:szCs w:val="24"/>
        </w:rPr>
        <w:t xml:space="preserve"> profits were attributable to the Appellant’s power to enjoy (</w:t>
      </w:r>
      <w:r>
        <w:rPr>
          <w:szCs w:val="24"/>
        </w:rPr>
        <w:t xml:space="preserve">Decision at </w:t>
      </w:r>
      <w:r w:rsidR="00B057DE" w:rsidRPr="00523F00">
        <w:rPr>
          <w:szCs w:val="24"/>
        </w:rPr>
        <w:t xml:space="preserve">[205]).  </w:t>
      </w:r>
    </w:p>
    <w:p w14:paraId="34BB1D62" w14:textId="53664555" w:rsidR="00B057DE" w:rsidRDefault="00B057DE" w:rsidP="00523F00">
      <w:pPr>
        <w:pStyle w:val="Bodytexttax1"/>
        <w:spacing w:before="120" w:after="120"/>
        <w:rPr>
          <w:szCs w:val="24"/>
        </w:rPr>
      </w:pPr>
      <w:r>
        <w:rPr>
          <w:szCs w:val="24"/>
        </w:rPr>
        <w:t>Each of the three key conclusions, and the factual findings supporting them, were rational and available to the FTT on the evidence it received</w:t>
      </w:r>
      <w:r w:rsidR="00523F00">
        <w:rPr>
          <w:szCs w:val="24"/>
        </w:rPr>
        <w:t>, and we see no basis for challenging the FTT’s conclusions in this regard</w:t>
      </w:r>
      <w:r>
        <w:rPr>
          <w:szCs w:val="24"/>
        </w:rPr>
        <w:t>.</w:t>
      </w:r>
      <w:r w:rsidR="00523F00">
        <w:rPr>
          <w:szCs w:val="24"/>
        </w:rPr>
        <w:t xml:space="preserve"> Accordingly, we reject Ground 2.</w:t>
      </w:r>
    </w:p>
    <w:p w14:paraId="3B44D09B" w14:textId="5387B3C8" w:rsidR="00B057DE" w:rsidRPr="005A518E" w:rsidRDefault="00523F00" w:rsidP="00523F00">
      <w:pPr>
        <w:spacing w:before="120" w:after="120"/>
        <w:jc w:val="both"/>
        <w:rPr>
          <w:b/>
          <w:szCs w:val="24"/>
        </w:rPr>
      </w:pPr>
      <w:r>
        <w:rPr>
          <w:b/>
          <w:szCs w:val="24"/>
        </w:rPr>
        <w:t>F.</w:t>
      </w:r>
      <w:r>
        <w:rPr>
          <w:b/>
          <w:szCs w:val="24"/>
        </w:rPr>
        <w:tab/>
        <w:t>DISPOSITION</w:t>
      </w:r>
    </w:p>
    <w:p w14:paraId="5A03B00F" w14:textId="650D4D56" w:rsidR="00B057DE" w:rsidRDefault="00523F00" w:rsidP="00523F00">
      <w:pPr>
        <w:pStyle w:val="Bodytexttax1"/>
        <w:spacing w:before="120" w:after="120"/>
        <w:rPr>
          <w:szCs w:val="24"/>
        </w:rPr>
      </w:pPr>
      <w:r>
        <w:rPr>
          <w:szCs w:val="24"/>
        </w:rPr>
        <w:t xml:space="preserve">For the reasons we have given, Grounds 1 and 2 both fail and this </w:t>
      </w:r>
      <w:r w:rsidR="00B057DE">
        <w:rPr>
          <w:szCs w:val="24"/>
        </w:rPr>
        <w:t xml:space="preserve">appeal </w:t>
      </w:r>
      <w:r>
        <w:rPr>
          <w:szCs w:val="24"/>
        </w:rPr>
        <w:t>must be</w:t>
      </w:r>
      <w:r w:rsidR="00B057DE">
        <w:rPr>
          <w:szCs w:val="24"/>
        </w:rPr>
        <w:t xml:space="preserve"> dismissed.</w:t>
      </w:r>
      <w:r w:rsidR="00E015FF">
        <w:rPr>
          <w:szCs w:val="24"/>
        </w:rPr>
        <w:t xml:space="preserve"> HMRC did file a respondent’s </w:t>
      </w:r>
      <w:proofErr w:type="gramStart"/>
      <w:r w:rsidR="00E015FF">
        <w:rPr>
          <w:szCs w:val="24"/>
        </w:rPr>
        <w:t>notice, but</w:t>
      </w:r>
      <w:proofErr w:type="gramEnd"/>
      <w:r w:rsidR="00E015FF">
        <w:rPr>
          <w:szCs w:val="24"/>
        </w:rPr>
        <w:t xml:space="preserve"> given the nature of our conclusions in relation to Grounds 1 and 2 it is unnecessary to consider this further.</w:t>
      </w:r>
    </w:p>
    <w:p w14:paraId="7117D987" w14:textId="77777777" w:rsidR="0032026B" w:rsidRDefault="0032026B" w:rsidP="0032026B">
      <w:pPr>
        <w:pStyle w:val="Heading4"/>
        <w:tabs>
          <w:tab w:val="clear" w:pos="4050"/>
          <w:tab w:val="clear" w:pos="5760"/>
          <w:tab w:val="clear" w:pos="8190"/>
          <w:tab w:val="center" w:pos="4253"/>
          <w:tab w:val="left" w:pos="8306"/>
        </w:tabs>
        <w:spacing w:before="120" w:after="120"/>
        <w:ind w:right="-58"/>
        <w:jc w:val="left"/>
      </w:pPr>
      <w:r>
        <w:rPr>
          <w:noProof/>
          <w:color w:val="000000"/>
          <w:szCs w:val="24"/>
        </w:rPr>
        <w:lastRenderedPageBreak/>
        <w:t xml:space="preserve"> </w:t>
      </w:r>
      <w:r>
        <w:tab/>
      </w:r>
    </w:p>
    <w:p w14:paraId="43683D74" w14:textId="38DFEECD" w:rsidR="0032026B" w:rsidRDefault="007A303A" w:rsidP="0032026B">
      <w:pPr>
        <w:pStyle w:val="Heading4"/>
        <w:tabs>
          <w:tab w:val="clear" w:pos="4050"/>
          <w:tab w:val="clear" w:pos="5760"/>
          <w:tab w:val="clear" w:pos="8190"/>
          <w:tab w:val="left" w:pos="4965"/>
        </w:tabs>
        <w:spacing w:before="120" w:after="120"/>
        <w:ind w:right="-58"/>
        <w:jc w:val="left"/>
        <w:rPr>
          <w:noProof/>
          <w:color w:val="000000"/>
          <w:szCs w:val="24"/>
        </w:rPr>
      </w:pPr>
      <w:r>
        <w:rPr>
          <w:noProof/>
          <w:color w:val="000000"/>
          <w:szCs w:val="24"/>
        </w:rPr>
        <w:drawing>
          <wp:anchor distT="0" distB="0" distL="114300" distR="114300" simplePos="0" relativeHeight="251658240" behindDoc="0" locked="0" layoutInCell="1" allowOverlap="1" wp14:anchorId="763B155A" wp14:editId="08846DB3">
            <wp:simplePos x="1371600" y="1166813"/>
            <wp:positionH relativeFrom="column">
              <wp:align>left</wp:align>
            </wp:positionH>
            <wp:positionV relativeFrom="paragraph">
              <wp:align>top</wp:align>
            </wp:positionV>
            <wp:extent cx="961390" cy="448207"/>
            <wp:effectExtent l="0" t="0" r="0" b="9525"/>
            <wp:wrapSquare wrapText="bothSides"/>
            <wp:docPr id="2" name="Picture 2" descr="cid:de8f8f55-17d0-4a87-9704-dd98b3b124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e8f8f55-17d0-4a87-9704-dd98b3b124b9"/>
                    <pic:cNvPicPr>
                      <a:picLocks noChangeAspect="1" noChangeArrowheads="1"/>
                    </pic:cNvPicPr>
                  </pic:nvPicPr>
                  <pic:blipFill rotWithShape="1">
                    <a:blip r:embed="rId14" r:link="rId15" cstate="print">
                      <a:extLst>
                        <a:ext uri="{28A0092B-C50C-407E-A947-70E740481C1C}">
                          <a14:useLocalDpi xmlns:a14="http://schemas.microsoft.com/office/drawing/2010/main" val="0"/>
                        </a:ext>
                      </a:extLst>
                    </a:blip>
                    <a:srcRect l="1097" t="21104" r="32404" b="39994"/>
                    <a:stretch/>
                  </pic:blipFill>
                  <pic:spPr bwMode="auto">
                    <a:xfrm>
                      <a:off x="0" y="0"/>
                      <a:ext cx="961390" cy="448207"/>
                    </a:xfrm>
                    <a:prstGeom prst="rect">
                      <a:avLst/>
                    </a:prstGeom>
                    <a:noFill/>
                    <a:ln>
                      <a:noFill/>
                    </a:ln>
                    <a:extLst>
                      <a:ext uri="{53640926-AAD7-44D8-BBD7-CCE9431645EC}">
                        <a14:shadowObscured xmlns:a14="http://schemas.microsoft.com/office/drawing/2010/main"/>
                      </a:ext>
                    </a:extLst>
                  </pic:spPr>
                </pic:pic>
              </a:graphicData>
            </a:graphic>
          </wp:anchor>
        </w:drawing>
      </w:r>
      <w:r w:rsidR="0032026B">
        <w:rPr>
          <w:noProof/>
          <w:color w:val="000000"/>
          <w:szCs w:val="24"/>
        </w:rPr>
        <w:tab/>
        <w:t xml:space="preserve">     </w:t>
      </w:r>
      <w:bookmarkStart w:id="0" w:name="_GoBack"/>
      <w:bookmarkEnd w:id="0"/>
      <w:r w:rsidR="0032026B">
        <w:rPr>
          <w:noProof/>
          <w:color w:val="000000"/>
          <w:szCs w:val="24"/>
        </w:rPr>
        <w:drawing>
          <wp:inline distT="0" distB="0" distL="0" distR="0" wp14:anchorId="3BF2B263" wp14:editId="265F9514">
            <wp:extent cx="1538288" cy="50393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4717" cy="509320"/>
                    </a:xfrm>
                    <a:prstGeom prst="rect">
                      <a:avLst/>
                    </a:prstGeom>
                    <a:noFill/>
                  </pic:spPr>
                </pic:pic>
              </a:graphicData>
            </a:graphic>
          </wp:inline>
        </w:drawing>
      </w:r>
    </w:p>
    <w:p w14:paraId="447EA209" w14:textId="491B4C9F" w:rsidR="00B057DE" w:rsidRDefault="0032026B" w:rsidP="0032026B">
      <w:pPr>
        <w:pStyle w:val="Heading4"/>
        <w:tabs>
          <w:tab w:val="clear" w:pos="4050"/>
          <w:tab w:val="clear" w:pos="5760"/>
          <w:tab w:val="clear" w:pos="8190"/>
          <w:tab w:val="left" w:pos="5550"/>
        </w:tabs>
        <w:spacing w:before="120" w:after="120"/>
        <w:ind w:right="-58"/>
        <w:jc w:val="left"/>
      </w:pPr>
      <w:r>
        <w:rPr>
          <w:noProof/>
          <w:color w:val="000000"/>
          <w:szCs w:val="24"/>
        </w:rPr>
        <w:tab/>
      </w:r>
      <w:r>
        <w:rPr>
          <w:noProof/>
          <w:color w:val="000000"/>
          <w:szCs w:val="24"/>
        </w:rPr>
        <w:br w:type="textWrapping" w:clear="all"/>
      </w:r>
      <w:r w:rsidR="00B057DE">
        <w:t>MR JUSTICE MARCUS SMITH                               JUDGE RUPERT JONES</w:t>
      </w:r>
    </w:p>
    <w:p w14:paraId="491B0218" w14:textId="77777777" w:rsidR="00B057DE" w:rsidRDefault="00B057DE" w:rsidP="007A303A">
      <w:pPr>
        <w:tabs>
          <w:tab w:val="center" w:pos="4253"/>
          <w:tab w:val="left" w:pos="8306"/>
        </w:tabs>
        <w:spacing w:before="120" w:after="120"/>
        <w:ind w:right="-58"/>
        <w:jc w:val="center"/>
      </w:pPr>
    </w:p>
    <w:p w14:paraId="2C2C2FDB" w14:textId="22F11FC1" w:rsidR="00B057DE" w:rsidRDefault="00B057DE" w:rsidP="007A303A">
      <w:pPr>
        <w:pStyle w:val="Heading4"/>
        <w:tabs>
          <w:tab w:val="clear" w:pos="4050"/>
          <w:tab w:val="center" w:pos="4253"/>
          <w:tab w:val="left" w:pos="8306"/>
        </w:tabs>
        <w:spacing w:before="120" w:after="120"/>
        <w:ind w:right="-58"/>
      </w:pPr>
      <w:r>
        <w:t>UPPER TRIBUNAL JUDGES</w:t>
      </w:r>
    </w:p>
    <w:p w14:paraId="34D49B51" w14:textId="175BEDC2" w:rsidR="00B057DE" w:rsidRPr="00523F00" w:rsidRDefault="00B057DE" w:rsidP="007A303A">
      <w:pPr>
        <w:pStyle w:val="Heading4"/>
        <w:tabs>
          <w:tab w:val="clear" w:pos="4050"/>
          <w:tab w:val="center" w:pos="4253"/>
          <w:tab w:val="left" w:pos="8306"/>
        </w:tabs>
        <w:spacing w:before="120" w:after="120"/>
        <w:ind w:right="-58"/>
      </w:pPr>
      <w:r>
        <w:t>RELEASE DATE:</w:t>
      </w:r>
      <w:r w:rsidR="007A303A">
        <w:t xml:space="preserve"> 15 June 2021</w:t>
      </w:r>
    </w:p>
    <w:p w14:paraId="5B573CAE" w14:textId="77777777" w:rsidR="008C6C05" w:rsidRDefault="008C6C05" w:rsidP="00523F00">
      <w:pPr>
        <w:spacing w:before="120" w:after="120"/>
      </w:pPr>
    </w:p>
    <w:sectPr w:rsidR="008C6C05" w:rsidSect="0032026B">
      <w:footerReference w:type="default" r:id="rId17"/>
      <w:pgSz w:w="11906" w:h="16838" w:code="9"/>
      <w:pgMar w:top="1440" w:right="1440" w:bottom="2160" w:left="216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80EB8" w14:textId="77777777" w:rsidR="007A18D8" w:rsidRDefault="007A18D8" w:rsidP="00B057DE">
      <w:r>
        <w:separator/>
      </w:r>
    </w:p>
  </w:endnote>
  <w:endnote w:type="continuationSeparator" w:id="0">
    <w:p w14:paraId="5335329F" w14:textId="77777777" w:rsidR="007A18D8" w:rsidRDefault="007A18D8" w:rsidP="00B057DE">
      <w:r>
        <w:continuationSeparator/>
      </w:r>
    </w:p>
  </w:endnote>
  <w:endnote w:type="continuationNotice" w:id="1">
    <w:p w14:paraId="54D55DF5" w14:textId="77777777" w:rsidR="007A18D8" w:rsidRDefault="007A1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6CB" w14:textId="77777777" w:rsidR="008D4E32" w:rsidRDefault="008D4E32" w:rsidP="003171D0">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EDBED4" w14:textId="77777777" w:rsidR="008D4E32" w:rsidRDefault="008D4E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85740" w14:textId="77777777" w:rsidR="008D4E32" w:rsidRDefault="008D4E32" w:rsidP="003171D0">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77EBF2" w14:textId="77777777" w:rsidR="008D4E32" w:rsidRDefault="008D4E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92D7" w14:textId="62879560" w:rsidR="008D4E32" w:rsidRDefault="008D4E32" w:rsidP="003171D0">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64C4">
      <w:rPr>
        <w:rStyle w:val="PageNumber"/>
        <w:noProof/>
      </w:rPr>
      <w:t>4</w:t>
    </w:r>
    <w:r>
      <w:rPr>
        <w:rStyle w:val="PageNumber"/>
      </w:rPr>
      <w:fldChar w:fldCharType="end"/>
    </w:r>
  </w:p>
  <w:p w14:paraId="680A090F" w14:textId="77777777" w:rsidR="008D4E32" w:rsidRDefault="008D4E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AEE3C" w14:textId="77777777" w:rsidR="007A18D8" w:rsidRDefault="007A18D8" w:rsidP="00B057DE">
      <w:r>
        <w:separator/>
      </w:r>
    </w:p>
  </w:footnote>
  <w:footnote w:type="continuationSeparator" w:id="0">
    <w:p w14:paraId="47EEF7A1" w14:textId="77777777" w:rsidR="007A18D8" w:rsidRDefault="007A18D8" w:rsidP="00B057DE">
      <w:r>
        <w:continuationSeparator/>
      </w:r>
    </w:p>
  </w:footnote>
  <w:footnote w:type="continuationNotice" w:id="1">
    <w:p w14:paraId="2351B831" w14:textId="77777777" w:rsidR="007A18D8" w:rsidRDefault="007A18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9BBE1E"/>
    <w:multiLevelType w:val="hybridMultilevel"/>
    <w:tmpl w:val="7DDEF7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8D625"/>
    <w:multiLevelType w:val="hybridMultilevel"/>
    <w:tmpl w:val="C5E289D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4E4D4C"/>
    <w:multiLevelType w:val="hybridMultilevel"/>
    <w:tmpl w:val="BE797B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CF3E56"/>
    <w:multiLevelType w:val="hybridMultilevel"/>
    <w:tmpl w:val="9F0AC56E"/>
    <w:lvl w:ilvl="0" w:tplc="A5D68944">
      <w:start w:val="1"/>
      <w:numFmt w:val="decimal"/>
      <w:lvlText w:val="(%1)"/>
      <w:lvlJc w:val="left"/>
      <w:pPr>
        <w:ind w:left="1840" w:hanging="820"/>
      </w:pPr>
      <w:rPr>
        <w:rFonts w:hint="default"/>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4" w15:restartNumberingAfterBreak="0">
    <w:nsid w:val="338EAF85"/>
    <w:multiLevelType w:val="hybridMultilevel"/>
    <w:tmpl w:val="20BCD9D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3F0176"/>
    <w:multiLevelType w:val="hybridMultilevel"/>
    <w:tmpl w:val="54D842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3E5F1B"/>
    <w:multiLevelType w:val="hybridMultilevel"/>
    <w:tmpl w:val="0952D4CE"/>
    <w:lvl w:ilvl="0" w:tplc="9386E38C">
      <w:start w:val="1"/>
      <w:numFmt w:val="decimal"/>
      <w:lvlText w:val="(%1)"/>
      <w:lvlJc w:val="left"/>
      <w:pPr>
        <w:ind w:left="1380" w:hanging="360"/>
      </w:pPr>
      <w:rPr>
        <w:rFonts w:hint="default"/>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7" w15:restartNumberingAfterBreak="0">
    <w:nsid w:val="3F314A98"/>
    <w:multiLevelType w:val="hybridMultilevel"/>
    <w:tmpl w:val="4AE347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28817C1"/>
    <w:multiLevelType w:val="multilevel"/>
    <w:tmpl w:val="D4E61018"/>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7350EC4"/>
    <w:multiLevelType w:val="hybridMultilevel"/>
    <w:tmpl w:val="27CAF0F6"/>
    <w:lvl w:ilvl="0" w:tplc="EBA6D260">
      <w:start w:val="1"/>
      <w:numFmt w:val="decimal"/>
      <w:lvlText w:val="%1."/>
      <w:lvlJc w:val="left"/>
      <w:pPr>
        <w:ind w:left="1020" w:hanging="6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046D9F"/>
    <w:multiLevelType w:val="hybridMultilevel"/>
    <w:tmpl w:val="27CAF0F6"/>
    <w:lvl w:ilvl="0" w:tplc="EBA6D260">
      <w:start w:val="1"/>
      <w:numFmt w:val="decimal"/>
      <w:lvlText w:val="%1."/>
      <w:lvlJc w:val="left"/>
      <w:pPr>
        <w:ind w:left="1020" w:hanging="6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B045C4"/>
    <w:multiLevelType w:val="multilevel"/>
    <w:tmpl w:val="AF3C182E"/>
    <w:lvl w:ilvl="0">
      <w:start w:val="1"/>
      <w:numFmt w:val="decimal"/>
      <w:pStyle w:val="Bodytexttax1"/>
      <w:lvlText w:val="%1."/>
      <w:lvlJc w:val="left"/>
      <w:pPr>
        <w:tabs>
          <w:tab w:val="num" w:pos="360"/>
        </w:tabs>
      </w:pPr>
      <w:rPr>
        <w:rFonts w:ascii="Times New Roman" w:hAnsi="Times New Roman"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1">
      <w:start w:val="1"/>
      <w:numFmt w:val="decimal"/>
      <w:pStyle w:val="Bodytexttax2"/>
      <w:lvlText w:val="(%2)"/>
      <w:lvlJc w:val="left"/>
      <w:pPr>
        <w:tabs>
          <w:tab w:val="num" w:pos="1440"/>
        </w:tabs>
        <w:ind w:left="1080"/>
      </w:pPr>
      <w:rPr>
        <w:rFonts w:cs="Times New Roman" w:hint="default"/>
      </w:rPr>
    </w:lvl>
    <w:lvl w:ilvl="2">
      <w:start w:val="1"/>
      <w:numFmt w:val="lowerLetter"/>
      <w:pStyle w:val="Bodytexttax4"/>
      <w:lvlText w:val="(%3)"/>
      <w:lvlJc w:val="left"/>
      <w:pPr>
        <w:tabs>
          <w:tab w:val="num" w:pos="2520"/>
        </w:tabs>
        <w:ind w:left="2160"/>
      </w:pPr>
      <w:rPr>
        <w:rFonts w:cs="Times New Roman" w:hint="default"/>
      </w:rPr>
    </w:lvl>
    <w:lvl w:ilvl="3">
      <w:start w:val="1"/>
      <w:numFmt w:val="lowerLetter"/>
      <w:lvlText w:val="(%4)"/>
      <w:lvlJc w:val="left"/>
      <w:pPr>
        <w:tabs>
          <w:tab w:val="num" w:pos="4320"/>
        </w:tabs>
        <w:ind w:left="4320" w:hanging="720"/>
      </w:pPr>
      <w:rPr>
        <w:rFonts w:cs="Times New Roman" w:hint="default"/>
      </w:rPr>
    </w:lvl>
    <w:lvl w:ilvl="4">
      <w:start w:val="1"/>
      <w:numFmt w:val="lowerRoman"/>
      <w:lvlText w:val="(%5)"/>
      <w:lvlJc w:val="left"/>
      <w:pPr>
        <w:tabs>
          <w:tab w:val="num" w:pos="5040"/>
        </w:tabs>
        <w:ind w:left="5040" w:hanging="720"/>
      </w:pPr>
      <w:rPr>
        <w:rFonts w:cs="Times New Roman" w:hint="default"/>
      </w:rPr>
    </w:lvl>
    <w:lvl w:ilvl="5">
      <w:start w:val="1"/>
      <w:numFmt w:val="lowerRoman"/>
      <w:lvlText w:val="(%6)"/>
      <w:lvlJc w:val="left"/>
      <w:pPr>
        <w:tabs>
          <w:tab w:val="num" w:pos="3600"/>
        </w:tabs>
        <w:ind w:left="3600" w:hanging="360"/>
      </w:pPr>
      <w:rPr>
        <w:rFonts w:cs="Times New Roman" w:hint="default"/>
      </w:rPr>
    </w:lvl>
    <w:lvl w:ilvl="6">
      <w:start w:val="1"/>
      <w:numFmt w:val="decimal"/>
      <w:lvlText w:val="%7."/>
      <w:lvlJc w:val="left"/>
      <w:pPr>
        <w:tabs>
          <w:tab w:val="num" w:pos="3960"/>
        </w:tabs>
        <w:ind w:left="3960" w:hanging="360"/>
      </w:pPr>
      <w:rPr>
        <w:rFonts w:cs="Times New Roman" w:hint="default"/>
      </w:rPr>
    </w:lvl>
    <w:lvl w:ilvl="7">
      <w:start w:val="1"/>
      <w:numFmt w:val="lowerLetter"/>
      <w:lvlText w:val="%8."/>
      <w:lvlJc w:val="left"/>
      <w:pPr>
        <w:tabs>
          <w:tab w:val="num" w:pos="4320"/>
        </w:tabs>
        <w:ind w:left="4320" w:hanging="360"/>
      </w:pPr>
      <w:rPr>
        <w:rFonts w:cs="Times New Roman" w:hint="default"/>
      </w:rPr>
    </w:lvl>
    <w:lvl w:ilvl="8">
      <w:start w:val="1"/>
      <w:numFmt w:val="lowerRoman"/>
      <w:lvlText w:val="%9."/>
      <w:lvlJc w:val="left"/>
      <w:pPr>
        <w:tabs>
          <w:tab w:val="num" w:pos="4680"/>
        </w:tabs>
        <w:ind w:left="4680" w:hanging="360"/>
      </w:pPr>
      <w:rPr>
        <w:rFonts w:cs="Times New Roman" w:hint="default"/>
      </w:rPr>
    </w:lvl>
  </w:abstractNum>
  <w:abstractNum w:abstractNumId="12" w15:restartNumberingAfterBreak="0">
    <w:nsid w:val="5407C25B"/>
    <w:multiLevelType w:val="hybridMultilevel"/>
    <w:tmpl w:val="0575AC5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D4423C6"/>
    <w:multiLevelType w:val="hybridMultilevel"/>
    <w:tmpl w:val="6DD4C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0"/>
  </w:num>
  <w:num w:numId="5">
    <w:abstractNumId w:val="7"/>
  </w:num>
  <w:num w:numId="6">
    <w:abstractNumId w:val="2"/>
  </w:num>
  <w:num w:numId="7">
    <w:abstractNumId w:val="12"/>
  </w:num>
  <w:num w:numId="8">
    <w:abstractNumId w:val="4"/>
  </w:num>
  <w:num w:numId="9">
    <w:abstractNumId w:val="3"/>
  </w:num>
  <w:num w:numId="10">
    <w:abstractNumId w:val="5"/>
  </w:num>
  <w:num w:numId="11">
    <w:abstractNumId w:val="13"/>
  </w:num>
  <w:num w:numId="12">
    <w:abstractNumId w:val="6"/>
  </w:num>
  <w:num w:numId="13">
    <w:abstractNumId w:val="8"/>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1"/>
  </w:num>
  <w:num w:numId="17">
    <w:abstractNumId w:val="11"/>
  </w:num>
  <w:num w:numId="18">
    <w:abstractNumId w:val="1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DE"/>
    <w:rsid w:val="0000326B"/>
    <w:rsid w:val="00012CD2"/>
    <w:rsid w:val="00020D25"/>
    <w:rsid w:val="00022416"/>
    <w:rsid w:val="00024B04"/>
    <w:rsid w:val="00040C66"/>
    <w:rsid w:val="00046578"/>
    <w:rsid w:val="000473A4"/>
    <w:rsid w:val="000475B7"/>
    <w:rsid w:val="00051EED"/>
    <w:rsid w:val="00057288"/>
    <w:rsid w:val="00062F7F"/>
    <w:rsid w:val="00076D4A"/>
    <w:rsid w:val="000A55F5"/>
    <w:rsid w:val="000B4D9B"/>
    <w:rsid w:val="000B623E"/>
    <w:rsid w:val="000C1943"/>
    <w:rsid w:val="000C41F9"/>
    <w:rsid w:val="000D5199"/>
    <w:rsid w:val="000E1606"/>
    <w:rsid w:val="000E4724"/>
    <w:rsid w:val="000E5DB1"/>
    <w:rsid w:val="000E6F76"/>
    <w:rsid w:val="000F4308"/>
    <w:rsid w:val="000F43A3"/>
    <w:rsid w:val="00124B81"/>
    <w:rsid w:val="00124E64"/>
    <w:rsid w:val="00126B91"/>
    <w:rsid w:val="00171A19"/>
    <w:rsid w:val="00175990"/>
    <w:rsid w:val="0018332A"/>
    <w:rsid w:val="00184FD9"/>
    <w:rsid w:val="00190A81"/>
    <w:rsid w:val="00190B1C"/>
    <w:rsid w:val="001978A7"/>
    <w:rsid w:val="001A51DE"/>
    <w:rsid w:val="001B7219"/>
    <w:rsid w:val="001C4578"/>
    <w:rsid w:val="001D61AC"/>
    <w:rsid w:val="001E1D91"/>
    <w:rsid w:val="001F14EA"/>
    <w:rsid w:val="001F2FB2"/>
    <w:rsid w:val="00206E58"/>
    <w:rsid w:val="0021045E"/>
    <w:rsid w:val="00215DC2"/>
    <w:rsid w:val="00230FB0"/>
    <w:rsid w:val="0023714B"/>
    <w:rsid w:val="00240C09"/>
    <w:rsid w:val="00247A92"/>
    <w:rsid w:val="00250E47"/>
    <w:rsid w:val="002514ED"/>
    <w:rsid w:val="00255CCA"/>
    <w:rsid w:val="00275850"/>
    <w:rsid w:val="002C1FCA"/>
    <w:rsid w:val="002D1841"/>
    <w:rsid w:val="002F4223"/>
    <w:rsid w:val="002F4A18"/>
    <w:rsid w:val="003171D0"/>
    <w:rsid w:val="0032026B"/>
    <w:rsid w:val="00320B94"/>
    <w:rsid w:val="00320E28"/>
    <w:rsid w:val="0032355F"/>
    <w:rsid w:val="00337E13"/>
    <w:rsid w:val="0034017C"/>
    <w:rsid w:val="00343204"/>
    <w:rsid w:val="00384637"/>
    <w:rsid w:val="00397AF5"/>
    <w:rsid w:val="003A0C3F"/>
    <w:rsid w:val="003A1BF2"/>
    <w:rsid w:val="003A4BB7"/>
    <w:rsid w:val="003C366D"/>
    <w:rsid w:val="003C446F"/>
    <w:rsid w:val="003D4C4B"/>
    <w:rsid w:val="003D60B6"/>
    <w:rsid w:val="0040621F"/>
    <w:rsid w:val="0042059D"/>
    <w:rsid w:val="00421153"/>
    <w:rsid w:val="00423665"/>
    <w:rsid w:val="00447CE2"/>
    <w:rsid w:val="004501AC"/>
    <w:rsid w:val="0045698A"/>
    <w:rsid w:val="00484CC1"/>
    <w:rsid w:val="00485979"/>
    <w:rsid w:val="004927BA"/>
    <w:rsid w:val="00497813"/>
    <w:rsid w:val="004A405B"/>
    <w:rsid w:val="004B13CF"/>
    <w:rsid w:val="004D02AB"/>
    <w:rsid w:val="004E13F1"/>
    <w:rsid w:val="004E3661"/>
    <w:rsid w:val="004F04A8"/>
    <w:rsid w:val="004F5133"/>
    <w:rsid w:val="00500BC0"/>
    <w:rsid w:val="00523F00"/>
    <w:rsid w:val="0053135C"/>
    <w:rsid w:val="00535C22"/>
    <w:rsid w:val="005369CA"/>
    <w:rsid w:val="00577019"/>
    <w:rsid w:val="00580585"/>
    <w:rsid w:val="005B422A"/>
    <w:rsid w:val="005C1585"/>
    <w:rsid w:val="005F6452"/>
    <w:rsid w:val="00600AAB"/>
    <w:rsid w:val="006150AB"/>
    <w:rsid w:val="0062138B"/>
    <w:rsid w:val="006327ED"/>
    <w:rsid w:val="00652885"/>
    <w:rsid w:val="00670181"/>
    <w:rsid w:val="006743D9"/>
    <w:rsid w:val="00685B92"/>
    <w:rsid w:val="006908BA"/>
    <w:rsid w:val="00691739"/>
    <w:rsid w:val="00691E58"/>
    <w:rsid w:val="006938A4"/>
    <w:rsid w:val="006A7E4D"/>
    <w:rsid w:val="006C19F1"/>
    <w:rsid w:val="006D47FB"/>
    <w:rsid w:val="006E5BEF"/>
    <w:rsid w:val="0070781E"/>
    <w:rsid w:val="00710C4F"/>
    <w:rsid w:val="007279CF"/>
    <w:rsid w:val="007525BB"/>
    <w:rsid w:val="0075362F"/>
    <w:rsid w:val="007631F8"/>
    <w:rsid w:val="00780516"/>
    <w:rsid w:val="007A18D8"/>
    <w:rsid w:val="007A303A"/>
    <w:rsid w:val="007B047D"/>
    <w:rsid w:val="00816394"/>
    <w:rsid w:val="008262A9"/>
    <w:rsid w:val="00832D23"/>
    <w:rsid w:val="008663EC"/>
    <w:rsid w:val="008A39A7"/>
    <w:rsid w:val="008B02B3"/>
    <w:rsid w:val="008C271C"/>
    <w:rsid w:val="008C6C05"/>
    <w:rsid w:val="008D4E32"/>
    <w:rsid w:val="008D6507"/>
    <w:rsid w:val="008F6D5F"/>
    <w:rsid w:val="0090089A"/>
    <w:rsid w:val="0090098C"/>
    <w:rsid w:val="009106DD"/>
    <w:rsid w:val="00914844"/>
    <w:rsid w:val="0092131C"/>
    <w:rsid w:val="009246EF"/>
    <w:rsid w:val="009325DF"/>
    <w:rsid w:val="00936041"/>
    <w:rsid w:val="00954A46"/>
    <w:rsid w:val="009960FF"/>
    <w:rsid w:val="009A62E3"/>
    <w:rsid w:val="009B2EF9"/>
    <w:rsid w:val="009C4A8A"/>
    <w:rsid w:val="009D60D0"/>
    <w:rsid w:val="009E3B59"/>
    <w:rsid w:val="009F2C4C"/>
    <w:rsid w:val="00A0248D"/>
    <w:rsid w:val="00A057BC"/>
    <w:rsid w:val="00A15291"/>
    <w:rsid w:val="00A30600"/>
    <w:rsid w:val="00A647A4"/>
    <w:rsid w:val="00A660EC"/>
    <w:rsid w:val="00A72B8E"/>
    <w:rsid w:val="00A777DC"/>
    <w:rsid w:val="00A82B1F"/>
    <w:rsid w:val="00A82E00"/>
    <w:rsid w:val="00A91CF4"/>
    <w:rsid w:val="00AD20B2"/>
    <w:rsid w:val="00AE2423"/>
    <w:rsid w:val="00AE7F70"/>
    <w:rsid w:val="00B057DE"/>
    <w:rsid w:val="00B06E11"/>
    <w:rsid w:val="00B10345"/>
    <w:rsid w:val="00B1245C"/>
    <w:rsid w:val="00B23D17"/>
    <w:rsid w:val="00B32400"/>
    <w:rsid w:val="00B5782B"/>
    <w:rsid w:val="00B80C17"/>
    <w:rsid w:val="00B80DE8"/>
    <w:rsid w:val="00B91398"/>
    <w:rsid w:val="00B9615F"/>
    <w:rsid w:val="00B97D78"/>
    <w:rsid w:val="00BA005A"/>
    <w:rsid w:val="00BB08F9"/>
    <w:rsid w:val="00BC5DA5"/>
    <w:rsid w:val="00BD74EA"/>
    <w:rsid w:val="00BE01D3"/>
    <w:rsid w:val="00BF7019"/>
    <w:rsid w:val="00C01542"/>
    <w:rsid w:val="00C337CE"/>
    <w:rsid w:val="00C34184"/>
    <w:rsid w:val="00C43835"/>
    <w:rsid w:val="00C555DF"/>
    <w:rsid w:val="00C879D7"/>
    <w:rsid w:val="00C97AD3"/>
    <w:rsid w:val="00CA432E"/>
    <w:rsid w:val="00CA4BFA"/>
    <w:rsid w:val="00CB5CF3"/>
    <w:rsid w:val="00CC41DC"/>
    <w:rsid w:val="00CC73B6"/>
    <w:rsid w:val="00CE1438"/>
    <w:rsid w:val="00D0724F"/>
    <w:rsid w:val="00D14442"/>
    <w:rsid w:val="00D14DA5"/>
    <w:rsid w:val="00D22EAB"/>
    <w:rsid w:val="00D30A27"/>
    <w:rsid w:val="00D4544C"/>
    <w:rsid w:val="00D47366"/>
    <w:rsid w:val="00D53BEB"/>
    <w:rsid w:val="00D61709"/>
    <w:rsid w:val="00D674BB"/>
    <w:rsid w:val="00D805C1"/>
    <w:rsid w:val="00DA085D"/>
    <w:rsid w:val="00DA19E7"/>
    <w:rsid w:val="00DA2341"/>
    <w:rsid w:val="00DB64C4"/>
    <w:rsid w:val="00DD2DB9"/>
    <w:rsid w:val="00DE1240"/>
    <w:rsid w:val="00DE2C5D"/>
    <w:rsid w:val="00DE363D"/>
    <w:rsid w:val="00E015FF"/>
    <w:rsid w:val="00E4058C"/>
    <w:rsid w:val="00E4317B"/>
    <w:rsid w:val="00E6415B"/>
    <w:rsid w:val="00E7593C"/>
    <w:rsid w:val="00E8017C"/>
    <w:rsid w:val="00E80562"/>
    <w:rsid w:val="00E9601C"/>
    <w:rsid w:val="00EA5876"/>
    <w:rsid w:val="00EB0C74"/>
    <w:rsid w:val="00EC7684"/>
    <w:rsid w:val="00ED40F7"/>
    <w:rsid w:val="00EE0500"/>
    <w:rsid w:val="00EE1596"/>
    <w:rsid w:val="00EE7DF3"/>
    <w:rsid w:val="00EF4C0E"/>
    <w:rsid w:val="00F01DE7"/>
    <w:rsid w:val="00F06847"/>
    <w:rsid w:val="00F0758F"/>
    <w:rsid w:val="00F21909"/>
    <w:rsid w:val="00F324D0"/>
    <w:rsid w:val="00F40F4F"/>
    <w:rsid w:val="00F46DBD"/>
    <w:rsid w:val="00F529C3"/>
    <w:rsid w:val="00F56FD6"/>
    <w:rsid w:val="00F72F18"/>
    <w:rsid w:val="00F86426"/>
    <w:rsid w:val="00F948BC"/>
    <w:rsid w:val="00FA36F0"/>
    <w:rsid w:val="00FA6F98"/>
    <w:rsid w:val="00FB0679"/>
    <w:rsid w:val="00FB3AB3"/>
    <w:rsid w:val="00FD135A"/>
    <w:rsid w:val="00FE7022"/>
    <w:rsid w:val="00FF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6B5465"/>
  <w15:chartTrackingRefBased/>
  <w15:docId w15:val="{0DF7A90D-150F-42D5-BF34-D62DC429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DE"/>
    <w:pPr>
      <w:spacing w:after="0" w:line="240" w:lineRule="auto"/>
    </w:pPr>
    <w:rPr>
      <w:rFonts w:ascii="Times New Roman" w:eastAsia="Times New Roman" w:hAnsi="Times New Roman" w:cs="Times New Roman"/>
      <w:sz w:val="24"/>
      <w:szCs w:val="20"/>
    </w:rPr>
  </w:style>
  <w:style w:type="paragraph" w:styleId="Heading4">
    <w:name w:val="heading 4"/>
    <w:basedOn w:val="Normal"/>
    <w:next w:val="Normal"/>
    <w:link w:val="Heading4Char"/>
    <w:uiPriority w:val="9"/>
    <w:qFormat/>
    <w:rsid w:val="00B057DE"/>
    <w:pPr>
      <w:keepNext/>
      <w:tabs>
        <w:tab w:val="center" w:pos="4050"/>
        <w:tab w:val="right" w:pos="5760"/>
        <w:tab w:val="right" w:pos="8190"/>
      </w:tabs>
      <w:ind w:right="793"/>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57DE"/>
    <w:rPr>
      <w:rFonts w:ascii="Times New Roman" w:eastAsia="Times New Roman" w:hAnsi="Times New Roman" w:cs="Times New Roman"/>
      <w:b/>
      <w:sz w:val="24"/>
      <w:szCs w:val="20"/>
    </w:rPr>
  </w:style>
  <w:style w:type="paragraph" w:customStyle="1" w:styleId="Bodytexttax2">
    <w:name w:val="Body text tax 2"/>
    <w:basedOn w:val="Normal"/>
    <w:rsid w:val="00B057DE"/>
    <w:pPr>
      <w:numPr>
        <w:ilvl w:val="1"/>
        <w:numId w:val="1"/>
      </w:numPr>
      <w:tabs>
        <w:tab w:val="left" w:pos="1134"/>
      </w:tabs>
      <w:spacing w:after="120"/>
      <w:jc w:val="both"/>
    </w:pPr>
  </w:style>
  <w:style w:type="paragraph" w:customStyle="1" w:styleId="Bodytexttaxindent">
    <w:name w:val="Body text tax indent"/>
    <w:basedOn w:val="Normal"/>
    <w:link w:val="BodytexttaxindentChar"/>
    <w:rsid w:val="00B057DE"/>
    <w:pPr>
      <w:spacing w:after="120"/>
      <w:ind w:left="1440" w:right="567"/>
      <w:jc w:val="both"/>
    </w:pPr>
    <w:rPr>
      <w:sz w:val="22"/>
    </w:rPr>
  </w:style>
  <w:style w:type="paragraph" w:customStyle="1" w:styleId="Bodytexttax4">
    <w:name w:val="Body text tax 4"/>
    <w:basedOn w:val="Normal"/>
    <w:rsid w:val="00B057DE"/>
    <w:pPr>
      <w:numPr>
        <w:ilvl w:val="2"/>
        <w:numId w:val="1"/>
      </w:numPr>
      <w:tabs>
        <w:tab w:val="left" w:pos="1701"/>
      </w:tabs>
      <w:spacing w:after="120"/>
      <w:ind w:left="1134"/>
      <w:jc w:val="both"/>
    </w:pPr>
  </w:style>
  <w:style w:type="character" w:styleId="PageNumber">
    <w:name w:val="page number"/>
    <w:uiPriority w:val="99"/>
    <w:rsid w:val="00B057DE"/>
    <w:rPr>
      <w:rFonts w:cs="Times New Roman"/>
    </w:rPr>
  </w:style>
  <w:style w:type="character" w:customStyle="1" w:styleId="BodytexttaxindentChar">
    <w:name w:val="Body text tax indent Char"/>
    <w:link w:val="Bodytexttaxindent"/>
    <w:locked/>
    <w:rsid w:val="00B057DE"/>
    <w:rPr>
      <w:rFonts w:ascii="Times New Roman" w:eastAsia="Times New Roman" w:hAnsi="Times New Roman" w:cs="Times New Roman"/>
      <w:szCs w:val="20"/>
    </w:rPr>
  </w:style>
  <w:style w:type="paragraph" w:customStyle="1" w:styleId="Bodytexttax1">
    <w:name w:val="Body text tax 1"/>
    <w:basedOn w:val="Normal"/>
    <w:rsid w:val="00B057DE"/>
    <w:pPr>
      <w:numPr>
        <w:numId w:val="1"/>
      </w:numPr>
      <w:tabs>
        <w:tab w:val="left" w:pos="567"/>
      </w:tabs>
      <w:spacing w:after="240"/>
      <w:jc w:val="both"/>
    </w:pPr>
  </w:style>
  <w:style w:type="character" w:styleId="LineNumber">
    <w:name w:val="line number"/>
    <w:basedOn w:val="DefaultParagraphFont"/>
    <w:uiPriority w:val="99"/>
    <w:semiHidden/>
    <w:unhideWhenUsed/>
    <w:rsid w:val="00B057DE"/>
  </w:style>
  <w:style w:type="character" w:styleId="FootnoteReference">
    <w:name w:val="footnote reference"/>
    <w:basedOn w:val="DefaultParagraphFont"/>
    <w:uiPriority w:val="99"/>
    <w:semiHidden/>
    <w:unhideWhenUsed/>
    <w:rsid w:val="00B057DE"/>
  </w:style>
  <w:style w:type="paragraph" w:styleId="ListParagraph">
    <w:name w:val="List Paragraph"/>
    <w:basedOn w:val="Normal"/>
    <w:uiPriority w:val="34"/>
    <w:qFormat/>
    <w:rsid w:val="00B057DE"/>
    <w:pPr>
      <w:spacing w:after="160" w:line="259"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B057DE"/>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B057DE"/>
    <w:rPr>
      <w:sz w:val="20"/>
      <w:szCs w:val="20"/>
    </w:rPr>
  </w:style>
  <w:style w:type="character" w:styleId="Hyperlink">
    <w:name w:val="Hyperlink"/>
    <w:uiPriority w:val="99"/>
    <w:rsid w:val="00B057DE"/>
    <w:rPr>
      <w:rFonts w:ascii="Arial" w:hAnsi="Arial" w:cs="Times New Roman"/>
      <w:color w:val="0000FF"/>
      <w:sz w:val="22"/>
      <w:u w:val="single"/>
    </w:rPr>
  </w:style>
  <w:style w:type="paragraph" w:styleId="Revision">
    <w:name w:val="Revision"/>
    <w:hidden/>
    <w:uiPriority w:val="99"/>
    <w:semiHidden/>
    <w:rsid w:val="00AD20B2"/>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691739"/>
    <w:pPr>
      <w:tabs>
        <w:tab w:val="center" w:pos="4513"/>
        <w:tab w:val="right" w:pos="9026"/>
      </w:tabs>
    </w:pPr>
  </w:style>
  <w:style w:type="character" w:customStyle="1" w:styleId="HeaderChar">
    <w:name w:val="Header Char"/>
    <w:basedOn w:val="DefaultParagraphFont"/>
    <w:link w:val="Header"/>
    <w:uiPriority w:val="99"/>
    <w:rsid w:val="0069173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1739"/>
    <w:pPr>
      <w:tabs>
        <w:tab w:val="center" w:pos="4513"/>
        <w:tab w:val="right" w:pos="9026"/>
      </w:tabs>
    </w:pPr>
  </w:style>
  <w:style w:type="character" w:customStyle="1" w:styleId="FooterChar">
    <w:name w:val="Footer Char"/>
    <w:basedOn w:val="DefaultParagraphFont"/>
    <w:link w:val="Footer"/>
    <w:uiPriority w:val="99"/>
    <w:rsid w:val="00691739"/>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8D4E32"/>
    <w:rPr>
      <w:sz w:val="16"/>
      <w:szCs w:val="16"/>
    </w:rPr>
  </w:style>
  <w:style w:type="paragraph" w:styleId="CommentText">
    <w:name w:val="annotation text"/>
    <w:basedOn w:val="Normal"/>
    <w:link w:val="CommentTextChar"/>
    <w:uiPriority w:val="99"/>
    <w:semiHidden/>
    <w:unhideWhenUsed/>
    <w:rsid w:val="008D4E32"/>
    <w:rPr>
      <w:sz w:val="20"/>
    </w:rPr>
  </w:style>
  <w:style w:type="character" w:customStyle="1" w:styleId="CommentTextChar">
    <w:name w:val="Comment Text Char"/>
    <w:basedOn w:val="DefaultParagraphFont"/>
    <w:link w:val="CommentText"/>
    <w:uiPriority w:val="99"/>
    <w:semiHidden/>
    <w:rsid w:val="008D4E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4E32"/>
    <w:rPr>
      <w:b/>
      <w:bCs/>
    </w:rPr>
  </w:style>
  <w:style w:type="character" w:customStyle="1" w:styleId="CommentSubjectChar">
    <w:name w:val="Comment Subject Char"/>
    <w:basedOn w:val="CommentTextChar"/>
    <w:link w:val="CommentSubject"/>
    <w:uiPriority w:val="99"/>
    <w:semiHidden/>
    <w:rsid w:val="008D4E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4E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E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cid:de8f8f55-17d0-4a87-9704-dd98b3b124b9"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57B4AF99DB0942B713A35E41D106AE" ma:contentTypeVersion="13" ma:contentTypeDescription="Create a new document." ma:contentTypeScope="" ma:versionID="0605a418075d6d277a2346649fb20833">
  <xsd:schema xmlns:xsd="http://www.w3.org/2001/XMLSchema" xmlns:xs="http://www.w3.org/2001/XMLSchema" xmlns:p="http://schemas.microsoft.com/office/2006/metadata/properties" xmlns:ns3="99bdf527-5e1f-4744-8e3e-fb3d6b6d3fca" xmlns:ns4="077fc601-16d7-40e5-bd47-afeb4f84a194" targetNamespace="http://schemas.microsoft.com/office/2006/metadata/properties" ma:root="true" ma:fieldsID="39d7a28e37d2e22d2ce40b00c6769de2" ns3:_="" ns4:_="">
    <xsd:import namespace="99bdf527-5e1f-4744-8e3e-fb3d6b6d3fca"/>
    <xsd:import namespace="077fc601-16d7-40e5-bd47-afeb4f84a1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df527-5e1f-4744-8e3e-fb3d6b6d3f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7fc601-16d7-40e5-bd47-afeb4f84a19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6E59-77CE-407C-AD84-04F6BEC1A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df527-5e1f-4744-8e3e-fb3d6b6d3fca"/>
    <ds:schemaRef ds:uri="077fc601-16d7-40e5-bd47-afeb4f84a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57973-C7A0-4DCB-AA85-7B88B49762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9474DF-05AE-4FB9-A30A-718AC7D2F652}">
  <ds:schemaRefs>
    <ds:schemaRef ds:uri="http://schemas.microsoft.com/sharepoint/v3/contenttype/forms"/>
  </ds:schemaRefs>
</ds:datastoreItem>
</file>

<file path=customXml/itemProps4.xml><?xml version="1.0" encoding="utf-8"?>
<ds:datastoreItem xmlns:ds="http://schemas.openxmlformats.org/officeDocument/2006/customXml" ds:itemID="{EE6EE1B5-815F-41BF-9A7D-F668F56E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4938</Words>
  <Characters>28151</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UpperTribunalJudge</dc:creator>
  <cp:keywords/>
  <dc:description/>
  <cp:lastModifiedBy>Saiyed, Adil</cp:lastModifiedBy>
  <cp:revision>2</cp:revision>
  <dcterms:created xsi:type="dcterms:W3CDTF">2021-06-15T11:25:00Z</dcterms:created>
  <dcterms:modified xsi:type="dcterms:W3CDTF">2021-06-15T11:25:00Z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0x0101003857B4AF99DB0942B713A35E41D106AE</vt:lpwstr>
  </property>
</Properties>
</file>