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C9D7D" w14:textId="0F6F082F" w:rsidR="005E2342" w:rsidRDefault="00EF2FE7" w:rsidP="00EF2FE7">
      <w:pPr>
        <w:jc w:val="center"/>
      </w:pPr>
      <w:bookmarkStart w:id="0" w:name="_GoBack"/>
      <w:bookmarkEnd w:id="0"/>
      <w:r w:rsidRPr="00EF2FE7">
        <w:rPr>
          <w:noProof/>
          <w:lang w:eastAsia="en-GB"/>
        </w:rPr>
        <w:drawing>
          <wp:inline distT="0" distB="0" distL="0" distR="0" wp14:anchorId="3199BD7B" wp14:editId="70CDE3CF">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7B546F63" w14:textId="77777777" w:rsidR="00EF2FE7" w:rsidRDefault="00EF2FE7">
      <w:pPr>
        <w:jc w:val="center"/>
      </w:pPr>
    </w:p>
    <w:p w14:paraId="56F2A750" w14:textId="59D37492" w:rsidR="005E2342" w:rsidRDefault="005E2342">
      <w:pPr>
        <w:pStyle w:val="CoverText"/>
        <w:jc w:val="left"/>
        <w:rPr>
          <w:bCs/>
          <w:sz w:val="20"/>
          <w:u w:val="none"/>
        </w:rPr>
      </w:pPr>
      <w:r>
        <w:rPr>
          <w:bCs/>
        </w:rPr>
        <w:t xml:space="preserve">Neutral Citation Number: </w:t>
      </w:r>
      <w:r w:rsidR="00104B40">
        <w:rPr>
          <w:bCs/>
        </w:rPr>
        <w:t>[2022] EWHC 935 (Comm)</w:t>
      </w:r>
      <w:r>
        <w:rPr>
          <w:bCs/>
        </w:rPr>
        <w:br/>
      </w:r>
    </w:p>
    <w:p w14:paraId="36099F46" w14:textId="23977CDE" w:rsidR="005E2342" w:rsidRDefault="005E2342">
      <w:pPr>
        <w:pStyle w:val="CoverText"/>
        <w:rPr>
          <w:b/>
          <w:spacing w:val="-3"/>
        </w:rPr>
      </w:pPr>
      <w:r>
        <w:t xml:space="preserve">Case No: </w:t>
      </w:r>
      <w:r w:rsidR="00851C76">
        <w:t>LM-2020-000172</w:t>
      </w:r>
    </w:p>
    <w:p w14:paraId="2A3019E5"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125E3B63" w14:textId="407AADE1" w:rsidR="005E2342" w:rsidRDefault="00851C76">
      <w:pPr>
        <w:suppressAutoHyphens/>
        <w:rPr>
          <w:b/>
          <w:spacing w:val="-3"/>
          <w:u w:val="single"/>
        </w:rPr>
      </w:pPr>
      <w:r>
        <w:rPr>
          <w:b/>
          <w:spacing w:val="-3"/>
          <w:u w:val="single"/>
        </w:rPr>
        <w:t>BUSINESS &amp; PROPERTY COURTS OF ENGLAND AND WALES</w:t>
      </w:r>
    </w:p>
    <w:p w14:paraId="3D6D62EF" w14:textId="42CA4554" w:rsidR="00851C76" w:rsidRDefault="00851C76">
      <w:pPr>
        <w:suppressAutoHyphens/>
        <w:rPr>
          <w:b/>
          <w:spacing w:val="-3"/>
          <w:u w:val="single"/>
        </w:rPr>
      </w:pPr>
      <w:r>
        <w:rPr>
          <w:b/>
          <w:spacing w:val="-3"/>
          <w:u w:val="single"/>
        </w:rPr>
        <w:t>LONDON CIRCUIT COMMERCIAL COURT</w:t>
      </w:r>
      <w:r w:rsidR="00F23578">
        <w:rPr>
          <w:b/>
          <w:spacing w:val="-3"/>
          <w:u w:val="single"/>
        </w:rPr>
        <w:t xml:space="preserve"> (QBD)</w:t>
      </w:r>
    </w:p>
    <w:p w14:paraId="44190C99" w14:textId="77777777" w:rsidR="005E2342" w:rsidRDefault="005E2342">
      <w:pPr>
        <w:suppressAutoHyphens/>
        <w:rPr>
          <w:b/>
          <w:spacing w:val="-3"/>
          <w:u w:val="single"/>
        </w:rPr>
      </w:pPr>
    </w:p>
    <w:p w14:paraId="100515F0" w14:textId="68DFDAC2" w:rsidR="005E2342" w:rsidRDefault="005E2342">
      <w:pPr>
        <w:pStyle w:val="CoverText"/>
      </w:pPr>
      <w:r>
        <w:t>Ro</w:t>
      </w:r>
      <w:r w:rsidR="00851C76">
        <w:t>lls Buildings</w:t>
      </w:r>
    </w:p>
    <w:p w14:paraId="4124428C" w14:textId="77777777" w:rsidR="00851C76" w:rsidRDefault="00851C76" w:rsidP="00851C76">
      <w:pPr>
        <w:pStyle w:val="CoverText"/>
      </w:pPr>
      <w:r>
        <w:t>Fetter Lane</w:t>
      </w:r>
    </w:p>
    <w:p w14:paraId="2719BF0A" w14:textId="77777777" w:rsidR="00851C76" w:rsidRDefault="00851C76" w:rsidP="00851C76">
      <w:pPr>
        <w:pStyle w:val="CoverText"/>
      </w:pPr>
      <w:r>
        <w:t xml:space="preserve">London </w:t>
      </w:r>
    </w:p>
    <w:p w14:paraId="2E274F30" w14:textId="21C2B5BB" w:rsidR="005E2342" w:rsidRDefault="00851C76" w:rsidP="00851C76">
      <w:pPr>
        <w:pStyle w:val="CoverText"/>
      </w:pPr>
      <w:r>
        <w:t>EC4A 1NL</w:t>
      </w:r>
    </w:p>
    <w:p w14:paraId="3515A45A" w14:textId="77777777" w:rsidR="005E2342" w:rsidRDefault="005E2342">
      <w:pPr>
        <w:suppressAutoHyphens/>
        <w:jc w:val="right"/>
        <w:rPr>
          <w:spacing w:val="-3"/>
          <w:u w:val="single"/>
        </w:rPr>
      </w:pPr>
    </w:p>
    <w:p w14:paraId="1A4EE837" w14:textId="7B2D59FA" w:rsidR="005E2342" w:rsidRDefault="005E2342">
      <w:pPr>
        <w:pStyle w:val="CoverText"/>
        <w:rPr>
          <w:b/>
        </w:rPr>
      </w:pPr>
      <w:r>
        <w:t xml:space="preserve">Date: </w:t>
      </w:r>
      <w:r w:rsidR="00FF0D9C">
        <w:t>29/04/2022</w:t>
      </w:r>
    </w:p>
    <w:p w14:paraId="602F3F73" w14:textId="77777777" w:rsidR="005E2342" w:rsidRDefault="005E2342">
      <w:pPr>
        <w:suppressAutoHyphens/>
        <w:rPr>
          <w:spacing w:val="-3"/>
        </w:rPr>
      </w:pPr>
    </w:p>
    <w:p w14:paraId="0FA204D5" w14:textId="5B71321A" w:rsidR="005E2342" w:rsidRDefault="005E2342">
      <w:pPr>
        <w:suppressAutoHyphens/>
        <w:jc w:val="center"/>
        <w:rPr>
          <w:spacing w:val="-3"/>
        </w:rPr>
      </w:pPr>
      <w:r>
        <w:rPr>
          <w:b/>
          <w:spacing w:val="-3"/>
        </w:rPr>
        <w:t>Before</w:t>
      </w:r>
      <w:r>
        <w:rPr>
          <w:spacing w:val="-3"/>
        </w:rPr>
        <w:t>:</w:t>
      </w:r>
    </w:p>
    <w:p w14:paraId="55A021FD" w14:textId="77777777" w:rsidR="005E2342" w:rsidRDefault="005E2342">
      <w:pPr>
        <w:suppressAutoHyphens/>
        <w:jc w:val="center"/>
        <w:rPr>
          <w:spacing w:val="-3"/>
        </w:rPr>
      </w:pPr>
    </w:p>
    <w:p w14:paraId="7B44D31A" w14:textId="3A61E6E4" w:rsidR="005E2342" w:rsidRDefault="00851C7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HHJ Russen QC</w:t>
      </w:r>
    </w:p>
    <w:p w14:paraId="58E390DE" w14:textId="2D397EE6" w:rsidR="00851C76" w:rsidRDefault="00851C7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11C606C3" w14:textId="6EFB57EF" w:rsidR="00851C76" w:rsidRPr="00851C76" w:rsidRDefault="00851C7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u w:val="none"/>
        </w:rPr>
      </w:pPr>
      <w:r>
        <w:rPr>
          <w:u w:val="none"/>
        </w:rPr>
        <w:t>(Sitting as a Judge of the High Court)</w:t>
      </w:r>
    </w:p>
    <w:p w14:paraId="1A6397BD" w14:textId="77777777" w:rsidR="005E2342" w:rsidRDefault="005E2342">
      <w:pPr>
        <w:suppressAutoHyphens/>
        <w:jc w:val="center"/>
        <w:rPr>
          <w:spacing w:val="-3"/>
        </w:rPr>
      </w:pPr>
      <w:r>
        <w:rPr>
          <w:spacing w:val="-3"/>
        </w:rPr>
        <w:t>- - - - - - - - - - - - - - - - - - - - -</w:t>
      </w:r>
    </w:p>
    <w:p w14:paraId="79C0FAE8" w14:textId="77777777" w:rsidR="005E2342" w:rsidRDefault="005E2342">
      <w:pPr>
        <w:suppressAutoHyphens/>
        <w:jc w:val="center"/>
        <w:rPr>
          <w:b/>
          <w:spacing w:val="-3"/>
        </w:rPr>
      </w:pPr>
      <w:r>
        <w:rPr>
          <w:b/>
          <w:spacing w:val="-3"/>
        </w:rPr>
        <w:t>Between :</w:t>
      </w:r>
    </w:p>
    <w:p w14:paraId="7B66A0E5"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61550884" w14:textId="77777777">
        <w:trPr>
          <w:jc w:val="center"/>
        </w:trPr>
        <w:tc>
          <w:tcPr>
            <w:tcW w:w="1701" w:type="dxa"/>
          </w:tcPr>
          <w:p w14:paraId="2B3772E5" w14:textId="77777777" w:rsidR="005E2342" w:rsidRDefault="005E2342">
            <w:pPr>
              <w:suppressAutoHyphens/>
              <w:rPr>
                <w:b/>
                <w:spacing w:val="-3"/>
              </w:rPr>
            </w:pPr>
          </w:p>
        </w:tc>
        <w:tc>
          <w:tcPr>
            <w:tcW w:w="5333" w:type="dxa"/>
          </w:tcPr>
          <w:p w14:paraId="569276F6" w14:textId="77777777" w:rsidR="005E2342" w:rsidRDefault="00851C76" w:rsidP="00851C76">
            <w:pPr>
              <w:numPr>
                <w:ilvl w:val="0"/>
                <w:numId w:val="11"/>
              </w:numPr>
              <w:suppressAutoHyphens/>
              <w:jc w:val="center"/>
              <w:rPr>
                <w:b/>
                <w:spacing w:val="-3"/>
              </w:rPr>
            </w:pPr>
            <w:r>
              <w:rPr>
                <w:b/>
                <w:spacing w:val="-3"/>
              </w:rPr>
              <w:t>PAUL  RICHARDS</w:t>
            </w:r>
          </w:p>
          <w:p w14:paraId="30799A4C" w14:textId="77777777" w:rsidR="00851C76" w:rsidRDefault="00851C76" w:rsidP="00851C76">
            <w:pPr>
              <w:numPr>
                <w:ilvl w:val="0"/>
                <w:numId w:val="11"/>
              </w:numPr>
              <w:suppressAutoHyphens/>
              <w:jc w:val="center"/>
              <w:rPr>
                <w:b/>
                <w:spacing w:val="-3"/>
              </w:rPr>
            </w:pPr>
            <w:r>
              <w:rPr>
                <w:b/>
                <w:spacing w:val="-3"/>
              </w:rPr>
              <w:t>KEITH  PURVES</w:t>
            </w:r>
          </w:p>
          <w:p w14:paraId="093F7EDB" w14:textId="1B0BD867" w:rsidR="00851C76" w:rsidRDefault="00851C76" w:rsidP="00851C76">
            <w:pPr>
              <w:suppressAutoHyphens/>
              <w:ind w:left="720"/>
              <w:rPr>
                <w:b/>
                <w:spacing w:val="-3"/>
              </w:rPr>
            </w:pPr>
          </w:p>
        </w:tc>
        <w:tc>
          <w:tcPr>
            <w:tcW w:w="1707" w:type="dxa"/>
          </w:tcPr>
          <w:p w14:paraId="63F24BDB" w14:textId="15ECA874" w:rsidR="005E2342" w:rsidRDefault="00851C7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Claimants</w:t>
            </w:r>
          </w:p>
        </w:tc>
      </w:tr>
      <w:tr w:rsidR="005E2342" w14:paraId="3948E875" w14:textId="77777777">
        <w:trPr>
          <w:jc w:val="center"/>
        </w:trPr>
        <w:tc>
          <w:tcPr>
            <w:tcW w:w="1701" w:type="dxa"/>
          </w:tcPr>
          <w:p w14:paraId="1634A8BE" w14:textId="77777777" w:rsidR="005E2342" w:rsidRDefault="005E2342">
            <w:pPr>
              <w:suppressAutoHyphens/>
              <w:rPr>
                <w:b/>
                <w:spacing w:val="-3"/>
              </w:rPr>
            </w:pPr>
          </w:p>
        </w:tc>
        <w:tc>
          <w:tcPr>
            <w:tcW w:w="5333" w:type="dxa"/>
          </w:tcPr>
          <w:p w14:paraId="7D3A2D01" w14:textId="77777777" w:rsidR="005E2342" w:rsidRDefault="005E2342">
            <w:pPr>
              <w:suppressAutoHyphens/>
              <w:jc w:val="center"/>
              <w:rPr>
                <w:b/>
                <w:spacing w:val="-3"/>
              </w:rPr>
            </w:pPr>
            <w:r>
              <w:rPr>
                <w:b/>
                <w:spacing w:val="-3"/>
              </w:rPr>
              <w:t>- and -</w:t>
            </w:r>
          </w:p>
        </w:tc>
        <w:tc>
          <w:tcPr>
            <w:tcW w:w="1707" w:type="dxa"/>
          </w:tcPr>
          <w:p w14:paraId="3BDD711B"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70D0C809" w14:textId="77777777">
        <w:trPr>
          <w:jc w:val="center"/>
        </w:trPr>
        <w:tc>
          <w:tcPr>
            <w:tcW w:w="1701" w:type="dxa"/>
          </w:tcPr>
          <w:p w14:paraId="3D0AAD91" w14:textId="77777777" w:rsidR="005E2342" w:rsidRDefault="005E2342">
            <w:pPr>
              <w:suppressAutoHyphens/>
              <w:rPr>
                <w:b/>
                <w:spacing w:val="-3"/>
              </w:rPr>
            </w:pPr>
          </w:p>
        </w:tc>
        <w:tc>
          <w:tcPr>
            <w:tcW w:w="5333" w:type="dxa"/>
          </w:tcPr>
          <w:p w14:paraId="6E4988CF" w14:textId="77777777" w:rsidR="005E2342" w:rsidRDefault="00851C76" w:rsidP="00851C76">
            <w:pPr>
              <w:numPr>
                <w:ilvl w:val="0"/>
                <w:numId w:val="12"/>
              </w:numPr>
              <w:suppressAutoHyphens/>
              <w:jc w:val="center"/>
              <w:rPr>
                <w:b/>
                <w:spacing w:val="-3"/>
              </w:rPr>
            </w:pPr>
            <w:r>
              <w:rPr>
                <w:b/>
                <w:spacing w:val="-3"/>
              </w:rPr>
              <w:t>SPEECHLY  BIRCHAM  LLP</w:t>
            </w:r>
          </w:p>
          <w:p w14:paraId="5DB15E14" w14:textId="034DC1BA" w:rsidR="00851C76" w:rsidRDefault="00851C76" w:rsidP="00851C76">
            <w:pPr>
              <w:numPr>
                <w:ilvl w:val="0"/>
                <w:numId w:val="12"/>
              </w:numPr>
              <w:suppressAutoHyphens/>
              <w:jc w:val="center"/>
              <w:rPr>
                <w:b/>
                <w:spacing w:val="-3"/>
              </w:rPr>
            </w:pPr>
            <w:r>
              <w:rPr>
                <w:b/>
                <w:spacing w:val="-3"/>
              </w:rPr>
              <w:t>CHARLES  RUSSELL SPEECHLYS  LLP</w:t>
            </w:r>
          </w:p>
        </w:tc>
        <w:tc>
          <w:tcPr>
            <w:tcW w:w="1707" w:type="dxa"/>
          </w:tcPr>
          <w:p w14:paraId="78730D43" w14:textId="33072BB4" w:rsidR="005E2342" w:rsidRDefault="00851C7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Defendants</w:t>
            </w:r>
          </w:p>
        </w:tc>
      </w:tr>
    </w:tbl>
    <w:p w14:paraId="1496F57C" w14:textId="77777777" w:rsidR="005E2342" w:rsidRDefault="005E2342">
      <w:pPr>
        <w:suppressAutoHyphens/>
        <w:rPr>
          <w:b/>
          <w:spacing w:val="-3"/>
        </w:rPr>
      </w:pPr>
    </w:p>
    <w:p w14:paraId="7E546564" w14:textId="77777777" w:rsidR="005E2342" w:rsidRDefault="005E2342">
      <w:pPr>
        <w:suppressAutoHyphens/>
        <w:jc w:val="center"/>
        <w:rPr>
          <w:spacing w:val="-3"/>
        </w:rPr>
      </w:pPr>
      <w:r>
        <w:rPr>
          <w:spacing w:val="-3"/>
        </w:rPr>
        <w:t>- - - - - - - - - - - - - - - - - - - - -</w:t>
      </w:r>
    </w:p>
    <w:p w14:paraId="06C2BB3F" w14:textId="7F2CF6C0" w:rsidR="005E2342" w:rsidRDefault="005E2342">
      <w:pPr>
        <w:suppressAutoHyphens/>
        <w:jc w:val="center"/>
        <w:rPr>
          <w:spacing w:val="-3"/>
        </w:rPr>
      </w:pPr>
      <w:r>
        <w:rPr>
          <w:spacing w:val="-3"/>
        </w:rPr>
        <w:t>- - - - - - - - - - - - - - - - - - - - -</w:t>
      </w:r>
    </w:p>
    <w:p w14:paraId="7796148F" w14:textId="77777777" w:rsidR="005E2342" w:rsidRDefault="005E2342">
      <w:pPr>
        <w:suppressAutoHyphens/>
        <w:jc w:val="center"/>
        <w:rPr>
          <w:spacing w:val="-3"/>
        </w:rPr>
      </w:pPr>
    </w:p>
    <w:p w14:paraId="539FA663" w14:textId="2564DD70" w:rsidR="005E2342" w:rsidRDefault="00851C76">
      <w:pPr>
        <w:suppressAutoHyphens/>
        <w:jc w:val="center"/>
        <w:rPr>
          <w:b/>
          <w:spacing w:val="-3"/>
        </w:rPr>
      </w:pPr>
      <w:r>
        <w:rPr>
          <w:b/>
          <w:spacing w:val="-3"/>
        </w:rPr>
        <w:t>Richard Leiper QC</w:t>
      </w:r>
      <w:r w:rsidR="005E2342">
        <w:rPr>
          <w:b/>
          <w:spacing w:val="-3"/>
        </w:rPr>
        <w:t xml:space="preserve"> </w:t>
      </w:r>
      <w:r w:rsidR="005E2342">
        <w:rPr>
          <w:bCs/>
          <w:spacing w:val="-3"/>
        </w:rPr>
        <w:t>(instructed by</w:t>
      </w:r>
      <w:r w:rsidR="005E2342">
        <w:rPr>
          <w:b/>
          <w:spacing w:val="-3"/>
        </w:rPr>
        <w:t xml:space="preserve"> </w:t>
      </w:r>
      <w:r w:rsidR="0010663D">
        <w:rPr>
          <w:b/>
          <w:spacing w:val="-3"/>
        </w:rPr>
        <w:t>Cardium Law Limited</w:t>
      </w:r>
      <w:r w:rsidR="005E2342">
        <w:rPr>
          <w:bCs/>
          <w:spacing w:val="-3"/>
        </w:rPr>
        <w:t>) for the</w:t>
      </w:r>
      <w:r w:rsidR="0010663D">
        <w:rPr>
          <w:b/>
          <w:bCs/>
          <w:spacing w:val="-3"/>
        </w:rPr>
        <w:t xml:space="preserve"> Claimants</w:t>
      </w:r>
    </w:p>
    <w:p w14:paraId="2EBF084C" w14:textId="6AC9C996" w:rsidR="005E2342" w:rsidRDefault="00851C76">
      <w:pPr>
        <w:suppressAutoHyphens/>
        <w:jc w:val="center"/>
        <w:rPr>
          <w:bCs/>
          <w:spacing w:val="-3"/>
        </w:rPr>
      </w:pPr>
      <w:r>
        <w:rPr>
          <w:b/>
          <w:spacing w:val="-3"/>
        </w:rPr>
        <w:t xml:space="preserve">Nigel Tozzi QC </w:t>
      </w:r>
      <w:r>
        <w:rPr>
          <w:bCs/>
          <w:spacing w:val="-3"/>
        </w:rPr>
        <w:t xml:space="preserve">and </w:t>
      </w:r>
      <w:r>
        <w:rPr>
          <w:b/>
          <w:spacing w:val="-3"/>
        </w:rPr>
        <w:t>Alexander Wright</w:t>
      </w:r>
      <w:r w:rsidR="005E2342">
        <w:rPr>
          <w:bCs/>
          <w:spacing w:val="-3"/>
        </w:rPr>
        <w:t xml:space="preserve"> </w:t>
      </w:r>
      <w:r w:rsidR="00B30E47" w:rsidRPr="00B30E47">
        <w:rPr>
          <w:b/>
          <w:spacing w:val="-3"/>
        </w:rPr>
        <w:t>QC</w:t>
      </w:r>
      <w:r w:rsidR="00B30E47">
        <w:rPr>
          <w:b/>
          <w:spacing w:val="-3"/>
        </w:rPr>
        <w:t xml:space="preserve"> </w:t>
      </w:r>
      <w:r w:rsidR="005E2342">
        <w:rPr>
          <w:bCs/>
          <w:spacing w:val="-3"/>
        </w:rPr>
        <w:t xml:space="preserve">(instructed by </w:t>
      </w:r>
      <w:r w:rsidR="001712D6">
        <w:rPr>
          <w:b/>
          <w:spacing w:val="-3"/>
        </w:rPr>
        <w:t>Norton Rose Fullbright LLP</w:t>
      </w:r>
      <w:r w:rsidR="005E2342">
        <w:rPr>
          <w:bCs/>
          <w:spacing w:val="-3"/>
        </w:rPr>
        <w:t xml:space="preserve">) for the </w:t>
      </w:r>
      <w:r w:rsidR="0010663D">
        <w:rPr>
          <w:b/>
          <w:spacing w:val="-3"/>
        </w:rPr>
        <w:t>Defendants</w:t>
      </w:r>
      <w:r w:rsidR="00B30E47">
        <w:rPr>
          <w:b/>
          <w:spacing w:val="-3"/>
        </w:rPr>
        <w:t xml:space="preserve"> </w:t>
      </w:r>
    </w:p>
    <w:p w14:paraId="71AE0766" w14:textId="77777777" w:rsidR="005E2342" w:rsidRDefault="005E2342">
      <w:pPr>
        <w:suppressAutoHyphens/>
        <w:jc w:val="center"/>
        <w:rPr>
          <w:b/>
          <w:spacing w:val="-3"/>
        </w:rPr>
      </w:pPr>
    </w:p>
    <w:p w14:paraId="3C5ED24F" w14:textId="08341B54" w:rsidR="005E2342" w:rsidRDefault="005E2342">
      <w:pPr>
        <w:suppressAutoHyphens/>
        <w:jc w:val="center"/>
        <w:rPr>
          <w:spacing w:val="-3"/>
        </w:rPr>
      </w:pPr>
      <w:r>
        <w:rPr>
          <w:spacing w:val="-3"/>
        </w:rPr>
        <w:t xml:space="preserve">Hearing dates: </w:t>
      </w:r>
      <w:r w:rsidR="00E55C34">
        <w:rPr>
          <w:spacing w:val="-3"/>
        </w:rPr>
        <w:t>8</w:t>
      </w:r>
      <w:r w:rsidR="0032447F" w:rsidRPr="0032447F">
        <w:rPr>
          <w:spacing w:val="-3"/>
          <w:vertAlign w:val="superscript"/>
        </w:rPr>
        <w:t>th</w:t>
      </w:r>
      <w:r w:rsidR="0032447F">
        <w:rPr>
          <w:spacing w:val="-3"/>
        </w:rPr>
        <w:t>-10</w:t>
      </w:r>
      <w:r w:rsidR="0032447F" w:rsidRPr="0032447F">
        <w:rPr>
          <w:spacing w:val="-3"/>
          <w:vertAlign w:val="superscript"/>
        </w:rPr>
        <w:t>th</w:t>
      </w:r>
      <w:r w:rsidR="0032447F">
        <w:rPr>
          <w:spacing w:val="-3"/>
        </w:rPr>
        <w:t xml:space="preserve"> and 14</w:t>
      </w:r>
      <w:r w:rsidR="0032447F" w:rsidRPr="0032447F">
        <w:rPr>
          <w:spacing w:val="-3"/>
          <w:vertAlign w:val="superscript"/>
        </w:rPr>
        <w:t>th</w:t>
      </w:r>
      <w:r w:rsidR="0032447F">
        <w:rPr>
          <w:spacing w:val="-3"/>
        </w:rPr>
        <w:t>-16</w:t>
      </w:r>
      <w:r w:rsidR="0032447F" w:rsidRPr="0032447F">
        <w:rPr>
          <w:spacing w:val="-3"/>
          <w:vertAlign w:val="superscript"/>
        </w:rPr>
        <w:t>th</w:t>
      </w:r>
      <w:r w:rsidR="0032447F">
        <w:rPr>
          <w:spacing w:val="-3"/>
        </w:rPr>
        <w:t xml:space="preserve"> March 2022</w:t>
      </w:r>
    </w:p>
    <w:p w14:paraId="1CB6FD17" w14:textId="77777777" w:rsidR="005E2342" w:rsidRDefault="005E2342">
      <w:pPr>
        <w:suppressAutoHyphens/>
        <w:jc w:val="center"/>
        <w:rPr>
          <w:spacing w:val="-3"/>
        </w:rPr>
      </w:pPr>
      <w:r>
        <w:rPr>
          <w:spacing w:val="-3"/>
        </w:rPr>
        <w:t>- - - - - - - - - - - - - - - - - - - - -</w:t>
      </w:r>
    </w:p>
    <w:p w14:paraId="33180D69" w14:textId="4C27C023" w:rsidR="005E2342" w:rsidRDefault="00EF2FE7" w:rsidP="00EF2FE7">
      <w:pPr>
        <w:pStyle w:val="CoverDesc"/>
      </w:pPr>
      <w:r>
        <w:t>Approved Judgment</w:t>
      </w:r>
    </w:p>
    <w:p w14:paraId="407B293C" w14:textId="77777777" w:rsidR="00EF2FE7" w:rsidRDefault="00EF2FE7" w:rsidP="00EF2FE7">
      <w:pPr>
        <w:jc w:val="center"/>
      </w:pPr>
      <w:r>
        <w:t>I direct that pursuant to CPR PD 39A para 6.1 no official shorthand note shall be taken of this Judgment and that copies of this version as handed down may be treated as authentic.</w:t>
      </w:r>
    </w:p>
    <w:p w14:paraId="5715E972" w14:textId="77777777" w:rsidR="00EF2FE7" w:rsidRDefault="00EF2FE7" w:rsidP="00EF2FE7">
      <w:pPr>
        <w:jc w:val="center"/>
      </w:pPr>
    </w:p>
    <w:p w14:paraId="4D3E758A" w14:textId="77777777" w:rsidR="00EF2FE7" w:rsidRDefault="00EF2FE7" w:rsidP="00EF2FE7">
      <w:pPr>
        <w:jc w:val="center"/>
      </w:pPr>
    </w:p>
    <w:p w14:paraId="7F72F781" w14:textId="77777777" w:rsidR="00EF2FE7" w:rsidRDefault="00EF2FE7" w:rsidP="00EF2FE7">
      <w:pPr>
        <w:jc w:val="center"/>
      </w:pPr>
      <w:r>
        <w:t>.............................</w:t>
      </w:r>
    </w:p>
    <w:p w14:paraId="7A4DCD7A" w14:textId="77777777" w:rsidR="00EF2FE7" w:rsidRDefault="00EF2FE7" w:rsidP="00EF2FE7">
      <w:pPr>
        <w:jc w:val="center"/>
      </w:pPr>
    </w:p>
    <w:p w14:paraId="2C02CE5D" w14:textId="15D0A9D9" w:rsidR="00EF2FE7" w:rsidRPr="00EF2FE7" w:rsidRDefault="00EF2FE7" w:rsidP="00EF2FE7">
      <w:pPr>
        <w:jc w:val="center"/>
      </w:pPr>
      <w:r>
        <w:t>HH JUDGE RUSSEN QC</w:t>
      </w:r>
    </w:p>
    <w:p w14:paraId="3CC73582" w14:textId="77777777" w:rsidR="005E2342" w:rsidRDefault="005E2342">
      <w:pPr>
        <w:pStyle w:val="CoverDesc"/>
        <w:rPr>
          <w:sz w:val="24"/>
        </w:rPr>
      </w:pPr>
    </w:p>
    <w:p w14:paraId="44202195" w14:textId="338A0D88" w:rsidR="005E2342" w:rsidRDefault="005E2342" w:rsidP="0010663D">
      <w:pPr>
        <w:sectPr w:rsidR="005E2342">
          <w:headerReference w:type="even" r:id="rId11"/>
          <w:headerReference w:type="default" r:id="rId12"/>
          <w:footerReference w:type="even" r:id="rId13"/>
          <w:footerReference w:type="default" r:id="rId14"/>
          <w:headerReference w:type="first" r:id="rId15"/>
          <w:footerReference w:type="first" r:id="rId16"/>
          <w:pgSz w:w="11909" w:h="16834" w:code="9"/>
          <w:pgMar w:top="720" w:right="1440" w:bottom="720" w:left="1440" w:header="720" w:footer="720" w:gutter="0"/>
          <w:pgNumType w:start="1"/>
          <w:cols w:space="720"/>
        </w:sectPr>
      </w:pPr>
    </w:p>
    <w:p w14:paraId="1FB524FA" w14:textId="7CA880FE" w:rsidR="005E2342" w:rsidRDefault="00EF2FE7">
      <w:pPr>
        <w:spacing w:after="240"/>
      </w:pPr>
      <w:r>
        <w:rPr>
          <w:b/>
        </w:rPr>
        <w:lastRenderedPageBreak/>
        <w:t>HHJ Russen QC</w:t>
      </w:r>
      <w:r w:rsidR="005E2342">
        <w:rPr>
          <w:b/>
        </w:rPr>
        <w:t xml:space="preserve"> :</w:t>
      </w:r>
      <w:r w:rsidR="005E2342">
        <w:t xml:space="preserve"> </w:t>
      </w:r>
    </w:p>
    <w:p w14:paraId="25D88FCA" w14:textId="5856B514" w:rsidR="00A25A83" w:rsidRDefault="00A25A83">
      <w:pPr>
        <w:spacing w:after="240"/>
      </w:pPr>
    </w:p>
    <w:p w14:paraId="116DB3E2" w14:textId="77777777" w:rsidR="00885F0D" w:rsidRDefault="00885F0D">
      <w:pPr>
        <w:spacing w:after="240"/>
      </w:pPr>
    </w:p>
    <w:p w14:paraId="0358481E" w14:textId="77777777" w:rsidR="005E2342" w:rsidRDefault="005E2342">
      <w:pPr>
        <w:pStyle w:val="ParaHeading"/>
        <w:sectPr w:rsidR="005E2342">
          <w:headerReference w:type="default" r:id="rId17"/>
          <w:footerReference w:type="default" r:id="rId18"/>
          <w:pgSz w:w="11909" w:h="16834" w:code="9"/>
          <w:pgMar w:top="1440" w:right="1440" w:bottom="1440" w:left="1440" w:header="709" w:footer="709" w:gutter="0"/>
          <w:cols w:space="720"/>
          <w:formProt w:val="0"/>
        </w:sectPr>
      </w:pPr>
    </w:p>
    <w:p w14:paraId="43297839" w14:textId="312DEB21" w:rsidR="00234EBF" w:rsidRDefault="00234EBF" w:rsidP="00EF2FE7">
      <w:pPr>
        <w:pStyle w:val="ParaLevel1"/>
      </w:pPr>
      <w:r>
        <w:t xml:space="preserve">The </w:t>
      </w:r>
      <w:r w:rsidR="007B5BCF">
        <w:t xml:space="preserve">structure of </w:t>
      </w:r>
      <w:r w:rsidR="000D4C6A">
        <w:t xml:space="preserve">this </w:t>
      </w:r>
      <w:r w:rsidR="007B5BCF">
        <w:t>judgment is as follows:</w:t>
      </w:r>
    </w:p>
    <w:p w14:paraId="5BDD9E37" w14:textId="0F9D34C5" w:rsidR="00DA2C2C" w:rsidRPr="00284D4E" w:rsidRDefault="00DA2C2C" w:rsidP="00EF2FE7">
      <w:pPr>
        <w:pStyle w:val="ParaLevel1"/>
        <w:numPr>
          <w:ilvl w:val="0"/>
          <w:numId w:val="0"/>
        </w:numPr>
        <w:ind w:left="720"/>
        <w:rPr>
          <w:b/>
          <w:bCs/>
          <w:u w:val="single"/>
        </w:rPr>
      </w:pPr>
      <w:r w:rsidRPr="00284D4E">
        <w:rPr>
          <w:b/>
          <w:bCs/>
          <w:u w:val="single"/>
        </w:rPr>
        <w:t>CONT</w:t>
      </w:r>
      <w:r w:rsidR="00870FDB">
        <w:rPr>
          <w:b/>
          <w:bCs/>
          <w:u w:val="single"/>
        </w:rPr>
        <w:t>ENT</w:t>
      </w:r>
      <w:r>
        <w:tab/>
      </w:r>
      <w:r>
        <w:tab/>
      </w:r>
      <w:r>
        <w:tab/>
      </w:r>
      <w:r>
        <w:tab/>
      </w:r>
      <w:r>
        <w:tab/>
      </w:r>
      <w:r w:rsidR="00E16A0B">
        <w:tab/>
      </w:r>
      <w:r w:rsidR="0052021E" w:rsidRPr="0052021E">
        <w:rPr>
          <w:b/>
          <w:bCs/>
          <w:u w:val="single"/>
        </w:rPr>
        <w:t xml:space="preserve">OPENING </w:t>
      </w:r>
      <w:r w:rsidRPr="0052021E">
        <w:rPr>
          <w:b/>
          <w:bCs/>
          <w:u w:val="single"/>
        </w:rPr>
        <w:t>PARAGRAPH</w:t>
      </w:r>
    </w:p>
    <w:p w14:paraId="23484425" w14:textId="088678C0" w:rsidR="00F268C8" w:rsidRDefault="008106B4" w:rsidP="00EF2FE7">
      <w:pPr>
        <w:pStyle w:val="ParaLevel1"/>
        <w:numPr>
          <w:ilvl w:val="0"/>
          <w:numId w:val="0"/>
        </w:numPr>
        <w:ind w:left="720"/>
      </w:pPr>
      <w:r>
        <w:t>A</w:t>
      </w:r>
      <w:r w:rsidR="00F268C8">
        <w:t>.</w:t>
      </w:r>
      <w:r w:rsidR="00480C81">
        <w:tab/>
      </w:r>
      <w:r w:rsidR="00F268C8">
        <w:t>I</w:t>
      </w:r>
      <w:r w:rsidR="00870FDB">
        <w:t>ntroduction</w:t>
      </w:r>
      <w:r w:rsidR="00F268C8">
        <w:t xml:space="preserve"> </w:t>
      </w:r>
      <w:r w:rsidR="00B72935">
        <w:tab/>
      </w:r>
      <w:r w:rsidR="00B72935">
        <w:tab/>
      </w:r>
      <w:r w:rsidR="00B72935">
        <w:tab/>
      </w:r>
      <w:r w:rsidR="00B72935">
        <w:tab/>
      </w:r>
      <w:r w:rsidR="00B72935">
        <w:tab/>
      </w:r>
      <w:r w:rsidR="00B72935">
        <w:tab/>
      </w:r>
      <w:r w:rsidR="00B72935">
        <w:tab/>
      </w:r>
      <w:r w:rsidR="00B72935">
        <w:tab/>
      </w:r>
      <w:r w:rsidR="00B72935">
        <w:tab/>
        <w:t>2</w:t>
      </w:r>
    </w:p>
    <w:p w14:paraId="266AFEFC" w14:textId="6AB2AC43" w:rsidR="00F268C8" w:rsidRDefault="00F268C8" w:rsidP="00EF2FE7">
      <w:pPr>
        <w:pStyle w:val="ParaLevel1"/>
        <w:numPr>
          <w:ilvl w:val="0"/>
          <w:numId w:val="0"/>
        </w:numPr>
        <w:ind w:left="720"/>
      </w:pPr>
      <w:r>
        <w:t>B.</w:t>
      </w:r>
      <w:r w:rsidR="00480C81">
        <w:tab/>
      </w:r>
      <w:r w:rsidR="00870FDB" w:rsidRPr="00870FDB">
        <w:t>T</w:t>
      </w:r>
      <w:r w:rsidR="00870FDB">
        <w:t>he Background to the Transaction</w:t>
      </w:r>
      <w:r w:rsidR="00B72935">
        <w:tab/>
      </w:r>
      <w:r w:rsidR="00B72935">
        <w:tab/>
      </w:r>
      <w:r w:rsidR="00B72935">
        <w:tab/>
      </w:r>
      <w:r w:rsidR="00B72935">
        <w:tab/>
      </w:r>
      <w:r w:rsidR="006E4408">
        <w:tab/>
      </w:r>
      <w:r w:rsidR="006E4408">
        <w:tab/>
        <w:t>15</w:t>
      </w:r>
      <w:r w:rsidR="00B72935">
        <w:tab/>
      </w:r>
    </w:p>
    <w:p w14:paraId="32695CBF" w14:textId="7096D007" w:rsidR="007B5BCF" w:rsidRDefault="00F268C8" w:rsidP="00EF2FE7">
      <w:pPr>
        <w:pStyle w:val="ParaLevel1"/>
        <w:numPr>
          <w:ilvl w:val="0"/>
          <w:numId w:val="0"/>
        </w:numPr>
        <w:ind w:left="720"/>
      </w:pPr>
      <w:r>
        <w:t>C.</w:t>
      </w:r>
      <w:r w:rsidR="00480C81">
        <w:tab/>
      </w:r>
      <w:r w:rsidR="00AA6ADD">
        <w:t>The Key Terms of the Transaction</w:t>
      </w:r>
      <w:r w:rsidR="00500FB8">
        <w:tab/>
      </w:r>
      <w:r w:rsidR="00500FB8">
        <w:tab/>
      </w:r>
      <w:r w:rsidR="00D87B1D">
        <w:tab/>
      </w:r>
      <w:r w:rsidR="00D87B1D">
        <w:tab/>
      </w:r>
      <w:r w:rsidR="00D87B1D">
        <w:tab/>
      </w:r>
      <w:r w:rsidR="00D87B1D">
        <w:tab/>
        <w:t>34</w:t>
      </w:r>
      <w:r w:rsidR="00500FB8">
        <w:tab/>
      </w:r>
      <w:r w:rsidR="00500FB8">
        <w:tab/>
      </w:r>
    </w:p>
    <w:p w14:paraId="1D8DE818" w14:textId="06A52E2A" w:rsidR="00AA6ADD" w:rsidRDefault="00AA6ADD" w:rsidP="00EF2FE7">
      <w:pPr>
        <w:pStyle w:val="ParaLevel1"/>
        <w:numPr>
          <w:ilvl w:val="0"/>
          <w:numId w:val="16"/>
        </w:numPr>
      </w:pPr>
      <w:r>
        <w:t>The RPP</w:t>
      </w:r>
      <w:r w:rsidR="00727F1F">
        <w:tab/>
      </w:r>
      <w:r w:rsidR="00727F1F">
        <w:tab/>
      </w:r>
      <w:r w:rsidR="00727F1F">
        <w:tab/>
      </w:r>
      <w:r w:rsidR="00727F1F">
        <w:tab/>
      </w:r>
      <w:r w:rsidR="00727F1F">
        <w:tab/>
      </w:r>
      <w:r w:rsidR="00727F1F">
        <w:tab/>
      </w:r>
      <w:r w:rsidR="00727F1F">
        <w:tab/>
      </w:r>
      <w:r w:rsidR="00727F1F">
        <w:tab/>
      </w:r>
      <w:r w:rsidR="00727F1F">
        <w:tab/>
        <w:t>35</w:t>
      </w:r>
    </w:p>
    <w:p w14:paraId="3B369EC9" w14:textId="09BEF95F" w:rsidR="00AA6ADD" w:rsidRDefault="00056A64" w:rsidP="00EF2FE7">
      <w:pPr>
        <w:pStyle w:val="ParaLevel1"/>
        <w:numPr>
          <w:ilvl w:val="0"/>
          <w:numId w:val="16"/>
        </w:numPr>
      </w:pPr>
      <w:r>
        <w:t>The Leaver Provisions</w:t>
      </w:r>
      <w:r w:rsidR="00727F1F">
        <w:tab/>
      </w:r>
      <w:r w:rsidR="00727F1F">
        <w:tab/>
      </w:r>
      <w:r w:rsidR="00727F1F">
        <w:tab/>
      </w:r>
      <w:r w:rsidR="00727F1F">
        <w:tab/>
      </w:r>
      <w:r w:rsidR="00727F1F">
        <w:tab/>
      </w:r>
      <w:r w:rsidR="00727F1F">
        <w:tab/>
      </w:r>
      <w:r w:rsidR="00727F1F">
        <w:tab/>
        <w:t>42</w:t>
      </w:r>
    </w:p>
    <w:p w14:paraId="2A113DB8" w14:textId="148E16E7" w:rsidR="00AA6ADD" w:rsidRDefault="00AA6ADD" w:rsidP="00EF2FE7">
      <w:pPr>
        <w:pStyle w:val="ParaLevel1"/>
        <w:numPr>
          <w:ilvl w:val="0"/>
          <w:numId w:val="0"/>
        </w:numPr>
        <w:ind w:left="720"/>
      </w:pPr>
      <w:r>
        <w:t>D.</w:t>
      </w:r>
      <w:r w:rsidR="00480C81">
        <w:tab/>
      </w:r>
      <w:r w:rsidR="00056A64">
        <w:t xml:space="preserve">Events Giving Rise to the Leaver </w:t>
      </w:r>
      <w:r w:rsidR="00776C55">
        <w:t>Litigation</w:t>
      </w:r>
      <w:r w:rsidR="00727F1F">
        <w:tab/>
      </w:r>
      <w:r w:rsidR="00727F1F">
        <w:tab/>
      </w:r>
      <w:r w:rsidR="00727F1F">
        <w:tab/>
      </w:r>
      <w:r w:rsidR="00727F1F">
        <w:tab/>
      </w:r>
      <w:r w:rsidR="002D5C51">
        <w:t>55</w:t>
      </w:r>
    </w:p>
    <w:p w14:paraId="51E5AA00" w14:textId="6295E889" w:rsidR="002F4ECB" w:rsidRDefault="002F4ECB" w:rsidP="00EF2FE7">
      <w:pPr>
        <w:pStyle w:val="ParaLevel1"/>
        <w:numPr>
          <w:ilvl w:val="0"/>
          <w:numId w:val="0"/>
        </w:numPr>
        <w:ind w:left="720"/>
      </w:pPr>
      <w:r>
        <w:t xml:space="preserve">E. </w:t>
      </w:r>
      <w:r w:rsidR="00480C81">
        <w:tab/>
      </w:r>
      <w:r>
        <w:t>The Leaver Litigation and the Quantum Judgment</w:t>
      </w:r>
      <w:r w:rsidR="002D5C51">
        <w:tab/>
      </w:r>
      <w:r w:rsidR="002D5C51">
        <w:tab/>
      </w:r>
      <w:r w:rsidR="002D5C51">
        <w:tab/>
        <w:t>63</w:t>
      </w:r>
    </w:p>
    <w:p w14:paraId="447D8BED" w14:textId="23B0AD2C" w:rsidR="00941DB4" w:rsidRDefault="00941DB4" w:rsidP="00EF2FE7">
      <w:pPr>
        <w:pStyle w:val="ParaLevel1"/>
        <w:numPr>
          <w:ilvl w:val="0"/>
          <w:numId w:val="0"/>
        </w:numPr>
        <w:ind w:left="720"/>
      </w:pPr>
      <w:r>
        <w:t>F.</w:t>
      </w:r>
      <w:r w:rsidR="00480C81">
        <w:tab/>
        <w:t>The Pleaded Cases</w:t>
      </w:r>
      <w:r w:rsidR="002D5C51">
        <w:tab/>
      </w:r>
      <w:r w:rsidR="002D5C51">
        <w:tab/>
      </w:r>
      <w:r w:rsidR="002D5C51">
        <w:tab/>
      </w:r>
      <w:r w:rsidR="002D5C51">
        <w:tab/>
      </w:r>
      <w:r w:rsidR="002D5C51">
        <w:tab/>
      </w:r>
      <w:r w:rsidR="002D5C51">
        <w:tab/>
      </w:r>
      <w:r w:rsidR="002D5C51">
        <w:tab/>
      </w:r>
      <w:r w:rsidR="002D5C51">
        <w:tab/>
        <w:t>87</w:t>
      </w:r>
    </w:p>
    <w:p w14:paraId="4D7FD66D" w14:textId="3E2CE675" w:rsidR="009F2D63" w:rsidRDefault="009F2D63" w:rsidP="00EF2FE7">
      <w:pPr>
        <w:pStyle w:val="ParaLevel1"/>
        <w:numPr>
          <w:ilvl w:val="0"/>
          <w:numId w:val="17"/>
        </w:numPr>
      </w:pPr>
      <w:r>
        <w:t>The Particulars of Claim</w:t>
      </w:r>
      <w:r w:rsidR="002D5C51">
        <w:tab/>
      </w:r>
      <w:r w:rsidR="002D5C51">
        <w:tab/>
      </w:r>
      <w:r w:rsidR="002D5C51">
        <w:tab/>
      </w:r>
      <w:r w:rsidR="002D5C51">
        <w:tab/>
      </w:r>
      <w:r w:rsidR="002D5C51">
        <w:tab/>
      </w:r>
      <w:r w:rsidR="002D5C51">
        <w:tab/>
      </w:r>
      <w:r w:rsidR="002D5C51">
        <w:tab/>
        <w:t>89</w:t>
      </w:r>
    </w:p>
    <w:p w14:paraId="0E7767F6" w14:textId="627663CD" w:rsidR="009F2D63" w:rsidRDefault="009F2D63" w:rsidP="00EF2FE7">
      <w:pPr>
        <w:pStyle w:val="ParaLevel1"/>
        <w:numPr>
          <w:ilvl w:val="0"/>
          <w:numId w:val="17"/>
        </w:numPr>
      </w:pPr>
      <w:r>
        <w:t>The Defence</w:t>
      </w:r>
      <w:r w:rsidR="002D5C51">
        <w:tab/>
      </w:r>
      <w:r w:rsidR="002D5C51">
        <w:tab/>
      </w:r>
      <w:r w:rsidR="002D5C51">
        <w:tab/>
      </w:r>
      <w:r w:rsidR="002D5C51">
        <w:tab/>
      </w:r>
      <w:r w:rsidR="002D5C51">
        <w:tab/>
      </w:r>
      <w:r w:rsidR="002D5C51">
        <w:tab/>
      </w:r>
      <w:r w:rsidR="002D5C51">
        <w:tab/>
      </w:r>
      <w:r w:rsidR="002D5C51">
        <w:tab/>
      </w:r>
      <w:r w:rsidR="002D5C51">
        <w:tab/>
      </w:r>
      <w:r w:rsidR="003A244E">
        <w:t>93</w:t>
      </w:r>
    </w:p>
    <w:p w14:paraId="0BB1671E" w14:textId="7829F58E" w:rsidR="00480C81" w:rsidRDefault="00480C81" w:rsidP="00EF2FE7">
      <w:pPr>
        <w:pStyle w:val="ParaLevel1"/>
        <w:numPr>
          <w:ilvl w:val="0"/>
          <w:numId w:val="0"/>
        </w:numPr>
        <w:ind w:left="720"/>
      </w:pPr>
      <w:r>
        <w:t>G.</w:t>
      </w:r>
      <w:r>
        <w:tab/>
        <w:t>Observations upon the Pleaded Cases</w:t>
      </w:r>
      <w:r w:rsidR="003A244E">
        <w:tab/>
      </w:r>
      <w:r w:rsidR="003A244E">
        <w:tab/>
      </w:r>
      <w:r w:rsidR="003A244E">
        <w:tab/>
      </w:r>
      <w:r w:rsidR="003A244E">
        <w:tab/>
      </w:r>
      <w:r w:rsidR="003A244E">
        <w:tab/>
        <w:t>100</w:t>
      </w:r>
    </w:p>
    <w:p w14:paraId="2A0A45D3" w14:textId="02A92132" w:rsidR="009F2D63" w:rsidRDefault="009F2D63" w:rsidP="00EF2FE7">
      <w:pPr>
        <w:pStyle w:val="ParaLevel1"/>
        <w:numPr>
          <w:ilvl w:val="0"/>
          <w:numId w:val="18"/>
        </w:numPr>
      </w:pPr>
      <w:r>
        <w:t>Complexity</w:t>
      </w:r>
      <w:r w:rsidR="0045464F">
        <w:tab/>
      </w:r>
      <w:r w:rsidR="0045464F">
        <w:tab/>
      </w:r>
      <w:r w:rsidR="0045464F">
        <w:tab/>
      </w:r>
      <w:r w:rsidR="0045464F">
        <w:tab/>
      </w:r>
      <w:r w:rsidR="0045464F">
        <w:tab/>
      </w:r>
      <w:r w:rsidR="0045464F">
        <w:tab/>
      </w:r>
      <w:r w:rsidR="0045464F">
        <w:tab/>
      </w:r>
      <w:r w:rsidR="0045464F">
        <w:tab/>
      </w:r>
      <w:r w:rsidR="0045464F">
        <w:tab/>
      </w:r>
      <w:r w:rsidR="00E13004">
        <w:t>101</w:t>
      </w:r>
    </w:p>
    <w:p w14:paraId="7DFA5A44" w14:textId="37EF7683" w:rsidR="00AB5393" w:rsidRDefault="00521AB8" w:rsidP="00EF2FE7">
      <w:pPr>
        <w:pStyle w:val="ParaLevel1"/>
        <w:numPr>
          <w:ilvl w:val="0"/>
          <w:numId w:val="18"/>
        </w:numPr>
      </w:pPr>
      <w:r>
        <w:t>Tensions Generated by Article 18.4.1</w:t>
      </w:r>
      <w:r w:rsidR="00E13004">
        <w:tab/>
      </w:r>
      <w:r w:rsidR="00E13004">
        <w:tab/>
      </w:r>
      <w:r w:rsidR="00E13004">
        <w:tab/>
      </w:r>
      <w:r w:rsidR="00E13004">
        <w:tab/>
      </w:r>
      <w:r w:rsidR="00E13004">
        <w:tab/>
        <w:t>105</w:t>
      </w:r>
    </w:p>
    <w:p w14:paraId="55FB80A8" w14:textId="5574C543" w:rsidR="00521AB8" w:rsidRDefault="00521AB8" w:rsidP="00EF2FE7">
      <w:pPr>
        <w:pStyle w:val="ParaLevel1"/>
        <w:numPr>
          <w:ilvl w:val="0"/>
          <w:numId w:val="18"/>
        </w:numPr>
      </w:pPr>
      <w:r>
        <w:t>Scenarios 1 and 2</w:t>
      </w:r>
      <w:r w:rsidR="00E13004">
        <w:tab/>
      </w:r>
      <w:r w:rsidR="00E13004">
        <w:tab/>
      </w:r>
      <w:r w:rsidR="00E13004">
        <w:tab/>
      </w:r>
      <w:r w:rsidR="00E13004">
        <w:tab/>
      </w:r>
      <w:r w:rsidR="00E13004">
        <w:tab/>
      </w:r>
      <w:r w:rsidR="00E13004">
        <w:tab/>
      </w:r>
      <w:r w:rsidR="00E13004">
        <w:tab/>
      </w:r>
      <w:r w:rsidR="00E13004">
        <w:tab/>
        <w:t>112</w:t>
      </w:r>
    </w:p>
    <w:p w14:paraId="1F05BD50" w14:textId="4195EFE6" w:rsidR="009F2D63" w:rsidRDefault="009F2D63" w:rsidP="00EF2FE7">
      <w:pPr>
        <w:pStyle w:val="ParaLevel1"/>
        <w:numPr>
          <w:ilvl w:val="0"/>
          <w:numId w:val="0"/>
        </w:numPr>
        <w:ind w:left="720"/>
      </w:pPr>
      <w:r>
        <w:t>H.</w:t>
      </w:r>
      <w:r>
        <w:tab/>
      </w:r>
      <w:r w:rsidR="009F26F5">
        <w:t>Legal Principles</w:t>
      </w:r>
      <w:r w:rsidR="00E13004">
        <w:tab/>
      </w:r>
      <w:r w:rsidR="00E13004">
        <w:tab/>
      </w:r>
      <w:r w:rsidR="00E13004">
        <w:tab/>
      </w:r>
      <w:r w:rsidR="00E13004">
        <w:tab/>
      </w:r>
      <w:r w:rsidR="00E13004">
        <w:tab/>
      </w:r>
      <w:r w:rsidR="00E13004">
        <w:tab/>
      </w:r>
      <w:r w:rsidR="00E13004">
        <w:tab/>
      </w:r>
      <w:r w:rsidR="00E13004">
        <w:tab/>
      </w:r>
      <w:r w:rsidR="00E13004">
        <w:tab/>
        <w:t>115</w:t>
      </w:r>
    </w:p>
    <w:p w14:paraId="6215AC89" w14:textId="151A75B8" w:rsidR="003711A0" w:rsidRDefault="003711A0" w:rsidP="00EF2FE7">
      <w:pPr>
        <w:pStyle w:val="ParaLevel1"/>
        <w:numPr>
          <w:ilvl w:val="0"/>
          <w:numId w:val="20"/>
        </w:numPr>
      </w:pPr>
      <w:r>
        <w:t>Duty/Standard of Care</w:t>
      </w:r>
      <w:r w:rsidR="00E13004">
        <w:tab/>
      </w:r>
      <w:r w:rsidR="00E13004">
        <w:tab/>
      </w:r>
      <w:r w:rsidR="00E13004">
        <w:tab/>
      </w:r>
      <w:r w:rsidR="00E13004">
        <w:tab/>
      </w:r>
      <w:r w:rsidR="00E13004">
        <w:tab/>
      </w:r>
      <w:r w:rsidR="00E13004">
        <w:tab/>
      </w:r>
      <w:r w:rsidR="00E13004">
        <w:tab/>
      </w:r>
      <w:r w:rsidR="009026D1">
        <w:t>116</w:t>
      </w:r>
    </w:p>
    <w:p w14:paraId="341AEC71" w14:textId="2B176AB0" w:rsidR="003711A0" w:rsidRDefault="003711A0" w:rsidP="00EF2FE7">
      <w:pPr>
        <w:pStyle w:val="ParaLevel1"/>
        <w:numPr>
          <w:ilvl w:val="0"/>
          <w:numId w:val="20"/>
        </w:numPr>
      </w:pPr>
      <w:r>
        <w:t>Causation</w:t>
      </w:r>
      <w:r w:rsidR="009026D1">
        <w:tab/>
      </w:r>
      <w:r w:rsidR="009026D1">
        <w:tab/>
      </w:r>
      <w:r w:rsidR="009026D1">
        <w:tab/>
      </w:r>
      <w:r w:rsidR="009026D1">
        <w:tab/>
      </w:r>
      <w:r w:rsidR="009026D1">
        <w:tab/>
      </w:r>
      <w:r w:rsidR="009026D1">
        <w:tab/>
      </w:r>
      <w:r w:rsidR="009026D1">
        <w:tab/>
      </w:r>
      <w:r w:rsidR="009026D1">
        <w:tab/>
      </w:r>
      <w:r w:rsidR="009026D1">
        <w:tab/>
        <w:t>126</w:t>
      </w:r>
    </w:p>
    <w:p w14:paraId="04B393CB" w14:textId="2C2439D5" w:rsidR="003711A0" w:rsidRDefault="003711A0" w:rsidP="00EF2FE7">
      <w:pPr>
        <w:pStyle w:val="ParaLevel1"/>
        <w:numPr>
          <w:ilvl w:val="0"/>
          <w:numId w:val="20"/>
        </w:numPr>
      </w:pPr>
      <w:r>
        <w:t>Loss of a Chance</w:t>
      </w:r>
      <w:r w:rsidR="009026D1">
        <w:tab/>
      </w:r>
      <w:r w:rsidR="009026D1">
        <w:tab/>
      </w:r>
      <w:r w:rsidR="009026D1">
        <w:tab/>
      </w:r>
      <w:r w:rsidR="009026D1">
        <w:tab/>
      </w:r>
      <w:r w:rsidR="009026D1">
        <w:tab/>
      </w:r>
      <w:r w:rsidR="009026D1">
        <w:tab/>
      </w:r>
      <w:r w:rsidR="009026D1">
        <w:tab/>
      </w:r>
      <w:r w:rsidR="009026D1">
        <w:tab/>
        <w:t>128</w:t>
      </w:r>
    </w:p>
    <w:p w14:paraId="65A74AA7" w14:textId="2668748E" w:rsidR="005333E9" w:rsidRDefault="005333E9" w:rsidP="00EF2FE7">
      <w:pPr>
        <w:pStyle w:val="ParaLevel1"/>
        <w:numPr>
          <w:ilvl w:val="0"/>
          <w:numId w:val="20"/>
        </w:numPr>
      </w:pPr>
      <w:r>
        <w:t>Contributory Fault</w:t>
      </w:r>
      <w:r>
        <w:tab/>
      </w:r>
      <w:r>
        <w:tab/>
      </w:r>
      <w:r>
        <w:tab/>
      </w:r>
      <w:r>
        <w:tab/>
      </w:r>
      <w:r>
        <w:tab/>
      </w:r>
      <w:r>
        <w:tab/>
      </w:r>
      <w:r>
        <w:tab/>
      </w:r>
      <w:r>
        <w:tab/>
        <w:t>133</w:t>
      </w:r>
    </w:p>
    <w:p w14:paraId="30CC56BD" w14:textId="6798A2B8" w:rsidR="009F26F5" w:rsidRDefault="009F26F5" w:rsidP="00EF2FE7">
      <w:pPr>
        <w:pStyle w:val="ParaLevel1"/>
        <w:numPr>
          <w:ilvl w:val="0"/>
          <w:numId w:val="0"/>
        </w:numPr>
        <w:ind w:left="720"/>
      </w:pPr>
      <w:r>
        <w:t>I.</w:t>
      </w:r>
      <w:r>
        <w:tab/>
      </w:r>
      <w:r w:rsidR="0052021E">
        <w:t>The Evidence</w:t>
      </w:r>
      <w:r w:rsidR="009026D1">
        <w:tab/>
      </w:r>
      <w:r w:rsidR="009026D1">
        <w:tab/>
      </w:r>
      <w:r w:rsidR="009026D1">
        <w:tab/>
      </w:r>
      <w:r w:rsidR="009026D1">
        <w:tab/>
      </w:r>
      <w:r w:rsidR="009026D1">
        <w:tab/>
      </w:r>
      <w:r w:rsidR="009026D1">
        <w:tab/>
      </w:r>
      <w:r w:rsidR="009026D1">
        <w:tab/>
      </w:r>
      <w:r w:rsidR="009026D1">
        <w:tab/>
      </w:r>
    </w:p>
    <w:p w14:paraId="2D665429" w14:textId="28FD8224" w:rsidR="0052021E" w:rsidRDefault="0052021E" w:rsidP="00EF2FE7">
      <w:pPr>
        <w:pStyle w:val="ParaLevel1"/>
        <w:numPr>
          <w:ilvl w:val="0"/>
          <w:numId w:val="19"/>
        </w:numPr>
      </w:pPr>
      <w:r>
        <w:t>The Factual Evidence</w:t>
      </w:r>
      <w:r w:rsidR="009026D1">
        <w:tab/>
      </w:r>
      <w:r w:rsidR="005333E9">
        <w:tab/>
      </w:r>
      <w:r w:rsidR="005333E9">
        <w:tab/>
      </w:r>
      <w:r w:rsidR="005333E9">
        <w:tab/>
      </w:r>
      <w:r w:rsidR="005333E9">
        <w:tab/>
      </w:r>
      <w:r w:rsidR="005333E9">
        <w:tab/>
      </w:r>
      <w:r w:rsidR="005333E9">
        <w:tab/>
      </w:r>
      <w:r w:rsidR="00767E03">
        <w:t>139</w:t>
      </w:r>
      <w:r w:rsidR="009026D1">
        <w:tab/>
      </w:r>
      <w:r w:rsidR="009026D1">
        <w:tab/>
      </w:r>
      <w:r w:rsidR="009026D1">
        <w:tab/>
      </w:r>
      <w:r w:rsidR="009026D1">
        <w:tab/>
      </w:r>
      <w:r w:rsidR="009026D1">
        <w:tab/>
      </w:r>
      <w:r w:rsidR="009026D1">
        <w:tab/>
      </w:r>
    </w:p>
    <w:p w14:paraId="584FE967" w14:textId="3D6BD93E" w:rsidR="00C92497" w:rsidRDefault="00C92497" w:rsidP="00EF2FE7">
      <w:pPr>
        <w:pStyle w:val="ParaLevel1"/>
        <w:numPr>
          <w:ilvl w:val="1"/>
          <w:numId w:val="19"/>
        </w:numPr>
      </w:pPr>
      <w:r>
        <w:lastRenderedPageBreak/>
        <w:t>Mr Richards</w:t>
      </w:r>
      <w:r w:rsidR="00767E03">
        <w:tab/>
      </w:r>
      <w:r w:rsidR="00767E03">
        <w:tab/>
      </w:r>
      <w:r w:rsidR="00767E03">
        <w:tab/>
      </w:r>
      <w:r w:rsidR="00767E03">
        <w:tab/>
      </w:r>
      <w:r w:rsidR="00767E03">
        <w:tab/>
      </w:r>
      <w:r w:rsidR="00767E03">
        <w:tab/>
      </w:r>
      <w:r w:rsidR="00767E03">
        <w:tab/>
      </w:r>
      <w:r w:rsidR="00767E03">
        <w:tab/>
        <w:t>148</w:t>
      </w:r>
    </w:p>
    <w:p w14:paraId="54FDB27A" w14:textId="76514E35" w:rsidR="00C92497" w:rsidRDefault="00C92497" w:rsidP="00EF2FE7">
      <w:pPr>
        <w:pStyle w:val="ParaLevel1"/>
        <w:numPr>
          <w:ilvl w:val="1"/>
          <w:numId w:val="19"/>
        </w:numPr>
      </w:pPr>
      <w:r>
        <w:t>Mr Purves</w:t>
      </w:r>
      <w:r w:rsidR="00767E03">
        <w:tab/>
      </w:r>
      <w:r w:rsidR="00767E03">
        <w:tab/>
      </w:r>
      <w:r w:rsidR="00767E03">
        <w:tab/>
      </w:r>
      <w:r w:rsidR="00767E03">
        <w:tab/>
      </w:r>
      <w:r w:rsidR="00767E03">
        <w:tab/>
      </w:r>
      <w:r w:rsidR="00767E03">
        <w:tab/>
      </w:r>
      <w:r w:rsidR="00767E03">
        <w:tab/>
      </w:r>
      <w:r w:rsidR="00767E03">
        <w:tab/>
        <w:t>158</w:t>
      </w:r>
    </w:p>
    <w:p w14:paraId="0BFB4C0F" w14:textId="272051DF" w:rsidR="00C92497" w:rsidRDefault="00C92497" w:rsidP="00EF2FE7">
      <w:pPr>
        <w:pStyle w:val="ParaLevel1"/>
        <w:numPr>
          <w:ilvl w:val="1"/>
          <w:numId w:val="19"/>
        </w:numPr>
      </w:pPr>
      <w:r>
        <w:t>Mr Billingham</w:t>
      </w:r>
      <w:r w:rsidR="00767E03">
        <w:tab/>
      </w:r>
      <w:r w:rsidR="00767E03">
        <w:tab/>
      </w:r>
      <w:r w:rsidR="00767E03">
        <w:tab/>
      </w:r>
      <w:r w:rsidR="00767E03">
        <w:tab/>
      </w:r>
      <w:r w:rsidR="00767E03">
        <w:tab/>
      </w:r>
      <w:r w:rsidR="00767E03">
        <w:tab/>
      </w:r>
      <w:r w:rsidR="00767E03">
        <w:tab/>
        <w:t>167</w:t>
      </w:r>
    </w:p>
    <w:p w14:paraId="6292B805" w14:textId="3FDF58C7" w:rsidR="00C92497" w:rsidRDefault="00C92497" w:rsidP="00EF2FE7">
      <w:pPr>
        <w:pStyle w:val="ParaLevel1"/>
        <w:numPr>
          <w:ilvl w:val="0"/>
          <w:numId w:val="19"/>
        </w:numPr>
      </w:pPr>
      <w:r>
        <w:t>The Expert Evidence</w:t>
      </w:r>
      <w:r w:rsidR="00767E03">
        <w:tab/>
      </w:r>
      <w:r w:rsidR="00767E03">
        <w:tab/>
      </w:r>
      <w:r w:rsidR="00767E03">
        <w:tab/>
      </w:r>
      <w:r w:rsidR="00767E03">
        <w:tab/>
      </w:r>
      <w:r w:rsidR="00767E03">
        <w:tab/>
      </w:r>
      <w:r w:rsidR="00767E03">
        <w:tab/>
      </w:r>
      <w:r w:rsidR="00767E03">
        <w:tab/>
        <w:t>191</w:t>
      </w:r>
    </w:p>
    <w:p w14:paraId="26F26149" w14:textId="548D1731" w:rsidR="00C92497" w:rsidRDefault="00C92497" w:rsidP="00EF2FE7">
      <w:pPr>
        <w:pStyle w:val="ParaLevel1"/>
        <w:numPr>
          <w:ilvl w:val="1"/>
          <w:numId w:val="19"/>
        </w:numPr>
      </w:pPr>
      <w:r>
        <w:t>A Summary of the Experts’ Disagreement</w:t>
      </w:r>
      <w:r w:rsidR="00767E03">
        <w:tab/>
      </w:r>
      <w:r w:rsidR="00767E03">
        <w:tab/>
      </w:r>
      <w:r w:rsidR="00767E03">
        <w:tab/>
      </w:r>
      <w:r w:rsidR="00470848">
        <w:t>207</w:t>
      </w:r>
    </w:p>
    <w:p w14:paraId="39725A8F" w14:textId="215ECE9A" w:rsidR="00DA737E" w:rsidRDefault="00DA737E" w:rsidP="00EF2FE7">
      <w:pPr>
        <w:pStyle w:val="ParaLevel1"/>
        <w:numPr>
          <w:ilvl w:val="1"/>
          <w:numId w:val="19"/>
        </w:numPr>
      </w:pPr>
      <w:r>
        <w:t>Criticisms of Mr Skeels’ Approach</w:t>
      </w:r>
      <w:r w:rsidR="00470848">
        <w:tab/>
      </w:r>
      <w:r w:rsidR="00470848">
        <w:tab/>
      </w:r>
      <w:r w:rsidR="00470848">
        <w:tab/>
      </w:r>
      <w:r w:rsidR="00470848">
        <w:tab/>
      </w:r>
      <w:r w:rsidR="00375E70">
        <w:t>217</w:t>
      </w:r>
    </w:p>
    <w:p w14:paraId="0649018D" w14:textId="7BBC2F11" w:rsidR="00DA737E" w:rsidRDefault="00E35AC9" w:rsidP="00EF2FE7">
      <w:pPr>
        <w:pStyle w:val="ParaLevel1"/>
        <w:numPr>
          <w:ilvl w:val="1"/>
          <w:numId w:val="19"/>
        </w:numPr>
      </w:pPr>
      <w:r>
        <w:t>Criticisms of Mr Taylor’s Approach</w:t>
      </w:r>
      <w:r w:rsidR="00375E70">
        <w:tab/>
      </w:r>
      <w:r w:rsidR="00375E70">
        <w:tab/>
      </w:r>
      <w:r w:rsidR="00375E70">
        <w:tab/>
      </w:r>
      <w:r w:rsidR="00375E70">
        <w:tab/>
      </w:r>
      <w:r w:rsidR="00C650AC">
        <w:t>219</w:t>
      </w:r>
    </w:p>
    <w:p w14:paraId="09C41683" w14:textId="1E6CB884" w:rsidR="00E35AC9" w:rsidRDefault="00443043" w:rsidP="00EF2FE7">
      <w:pPr>
        <w:pStyle w:val="ParaLevel1"/>
        <w:numPr>
          <w:ilvl w:val="0"/>
          <w:numId w:val="19"/>
        </w:numPr>
      </w:pPr>
      <w:r>
        <w:t>The Expert Evidence: Conclusions and Reasoning</w:t>
      </w:r>
      <w:r w:rsidR="00C650AC">
        <w:tab/>
      </w:r>
      <w:r w:rsidR="00C650AC">
        <w:tab/>
        <w:t>223</w:t>
      </w:r>
    </w:p>
    <w:p w14:paraId="54F89E04" w14:textId="257731F1" w:rsidR="00443043" w:rsidRDefault="00443043" w:rsidP="00EF2FE7">
      <w:pPr>
        <w:pStyle w:val="ParaLevel1"/>
        <w:numPr>
          <w:ilvl w:val="1"/>
          <w:numId w:val="19"/>
        </w:numPr>
      </w:pPr>
      <w:r>
        <w:t>Conclusions</w:t>
      </w:r>
      <w:r w:rsidR="00C650AC">
        <w:tab/>
      </w:r>
      <w:r w:rsidR="00C650AC">
        <w:tab/>
      </w:r>
      <w:r w:rsidR="00C650AC">
        <w:tab/>
      </w:r>
      <w:r w:rsidR="00C650AC">
        <w:tab/>
      </w:r>
      <w:r w:rsidR="00C650AC">
        <w:tab/>
      </w:r>
      <w:r w:rsidR="00C650AC">
        <w:tab/>
      </w:r>
      <w:r w:rsidR="00C650AC">
        <w:tab/>
      </w:r>
      <w:r w:rsidR="00C650AC">
        <w:tab/>
        <w:t>226</w:t>
      </w:r>
    </w:p>
    <w:p w14:paraId="25BC75F0" w14:textId="6A126EE3" w:rsidR="00443043" w:rsidRDefault="00443043" w:rsidP="00EF2FE7">
      <w:pPr>
        <w:pStyle w:val="ParaLevel1"/>
        <w:numPr>
          <w:ilvl w:val="1"/>
          <w:numId w:val="19"/>
        </w:numPr>
      </w:pPr>
      <w:r>
        <w:t>Reasons</w:t>
      </w:r>
      <w:r w:rsidR="00C650AC">
        <w:tab/>
      </w:r>
      <w:r w:rsidR="00C650AC">
        <w:tab/>
      </w:r>
      <w:r w:rsidR="00C650AC">
        <w:tab/>
      </w:r>
      <w:r w:rsidR="00C650AC">
        <w:tab/>
      </w:r>
      <w:r w:rsidR="00C650AC">
        <w:tab/>
      </w:r>
      <w:r w:rsidR="00C650AC">
        <w:tab/>
      </w:r>
      <w:r w:rsidR="00C650AC">
        <w:tab/>
      </w:r>
      <w:r w:rsidR="00C650AC">
        <w:tab/>
      </w:r>
      <w:r w:rsidR="00D05597">
        <w:t>231</w:t>
      </w:r>
    </w:p>
    <w:p w14:paraId="4331E3B4" w14:textId="484C2297" w:rsidR="00C92497" w:rsidRDefault="00DD2EF8" w:rsidP="00EF2FE7">
      <w:pPr>
        <w:pStyle w:val="ParaLevel1"/>
        <w:numPr>
          <w:ilvl w:val="0"/>
          <w:numId w:val="0"/>
        </w:numPr>
        <w:ind w:left="567"/>
      </w:pPr>
      <w:r>
        <w:t>J.</w:t>
      </w:r>
      <w:r>
        <w:tab/>
        <w:t>The Interpretation of Article 18.4.1</w:t>
      </w:r>
      <w:r w:rsidR="00D05597">
        <w:tab/>
      </w:r>
      <w:r w:rsidR="00D05597">
        <w:tab/>
      </w:r>
      <w:r w:rsidR="00D05597">
        <w:tab/>
      </w:r>
      <w:r w:rsidR="00D05597">
        <w:tab/>
      </w:r>
      <w:r w:rsidR="00D05597">
        <w:tab/>
      </w:r>
      <w:r w:rsidR="00D05597">
        <w:tab/>
        <w:t>326</w:t>
      </w:r>
    </w:p>
    <w:p w14:paraId="4601BF2C" w14:textId="37572219" w:rsidR="00E364D5" w:rsidRDefault="00E364D5" w:rsidP="00EF2FE7">
      <w:pPr>
        <w:pStyle w:val="ParaLevel1"/>
        <w:numPr>
          <w:ilvl w:val="0"/>
          <w:numId w:val="0"/>
        </w:numPr>
        <w:ind w:left="567"/>
      </w:pPr>
      <w:r>
        <w:t>K.</w:t>
      </w:r>
      <w:r>
        <w:tab/>
        <w:t>Findings on Liability</w:t>
      </w:r>
      <w:r w:rsidR="00D05597">
        <w:tab/>
      </w:r>
      <w:r w:rsidR="00D05597">
        <w:tab/>
      </w:r>
      <w:r w:rsidR="00D05597">
        <w:tab/>
      </w:r>
      <w:r w:rsidR="00D05597">
        <w:tab/>
      </w:r>
      <w:r w:rsidR="00D05597">
        <w:tab/>
      </w:r>
      <w:r w:rsidR="00D05597">
        <w:tab/>
      </w:r>
      <w:r w:rsidR="00D05597">
        <w:tab/>
      </w:r>
      <w:r w:rsidR="00D05597">
        <w:tab/>
        <w:t>356</w:t>
      </w:r>
    </w:p>
    <w:p w14:paraId="41DBEC3E" w14:textId="2E77DF15" w:rsidR="00E364D5" w:rsidRDefault="00E364D5" w:rsidP="00EF2FE7">
      <w:pPr>
        <w:pStyle w:val="ParaLevel1"/>
        <w:numPr>
          <w:ilvl w:val="0"/>
          <w:numId w:val="21"/>
        </w:numPr>
      </w:pPr>
      <w:r>
        <w:t>Conclusion</w:t>
      </w:r>
      <w:r w:rsidR="00D05597">
        <w:tab/>
      </w:r>
      <w:r w:rsidR="00D05597">
        <w:tab/>
      </w:r>
      <w:r w:rsidR="00D05597">
        <w:tab/>
      </w:r>
      <w:r w:rsidR="00D05597">
        <w:tab/>
      </w:r>
      <w:r w:rsidR="00D05597">
        <w:tab/>
      </w:r>
      <w:r w:rsidR="00D05597">
        <w:tab/>
      </w:r>
      <w:r w:rsidR="00D05597">
        <w:tab/>
      </w:r>
      <w:r w:rsidR="00D05597">
        <w:tab/>
      </w:r>
      <w:r w:rsidR="00D05597">
        <w:tab/>
      </w:r>
      <w:r w:rsidR="006F71E6">
        <w:t>387</w:t>
      </w:r>
    </w:p>
    <w:p w14:paraId="351DE3F9" w14:textId="2F8578CD" w:rsidR="00540E1A" w:rsidRDefault="00540E1A" w:rsidP="00EF2FE7">
      <w:pPr>
        <w:pStyle w:val="ParaLevel1"/>
        <w:numPr>
          <w:ilvl w:val="0"/>
          <w:numId w:val="0"/>
        </w:numPr>
        <w:tabs>
          <w:tab w:val="left" w:pos="1134"/>
        </w:tabs>
        <w:ind w:left="1287" w:hanging="720"/>
      </w:pPr>
      <w:r>
        <w:t>L.</w:t>
      </w:r>
      <w:r>
        <w:tab/>
        <w:t>Causation</w:t>
      </w:r>
      <w:r w:rsidR="006F71E6">
        <w:tab/>
      </w:r>
      <w:r w:rsidR="006F71E6">
        <w:tab/>
      </w:r>
      <w:r w:rsidR="006F71E6">
        <w:tab/>
      </w:r>
      <w:r w:rsidR="006F71E6">
        <w:tab/>
      </w:r>
      <w:r w:rsidR="006F71E6">
        <w:tab/>
      </w:r>
      <w:r w:rsidR="006F71E6">
        <w:tab/>
      </w:r>
      <w:r w:rsidR="006F71E6">
        <w:tab/>
      </w:r>
      <w:r w:rsidR="006F71E6">
        <w:tab/>
      </w:r>
      <w:r w:rsidR="006F71E6">
        <w:tab/>
      </w:r>
      <w:r w:rsidR="006F71E6">
        <w:tab/>
        <w:t>394</w:t>
      </w:r>
    </w:p>
    <w:p w14:paraId="59CD8621" w14:textId="17938FC8" w:rsidR="001660FF" w:rsidRDefault="001660FF" w:rsidP="00EF2FE7">
      <w:pPr>
        <w:pStyle w:val="ParaLevel1"/>
        <w:numPr>
          <w:ilvl w:val="0"/>
          <w:numId w:val="21"/>
        </w:numPr>
        <w:tabs>
          <w:tab w:val="left" w:pos="1134"/>
        </w:tabs>
      </w:pPr>
      <w:r>
        <w:t>Scenarios 1 and 2</w:t>
      </w:r>
      <w:r w:rsidR="006F71E6">
        <w:tab/>
      </w:r>
      <w:r w:rsidR="006F71E6">
        <w:tab/>
      </w:r>
      <w:r w:rsidR="006F71E6">
        <w:tab/>
      </w:r>
      <w:r w:rsidR="006F71E6">
        <w:tab/>
      </w:r>
      <w:r w:rsidR="006F71E6">
        <w:tab/>
      </w:r>
      <w:r w:rsidR="006F71E6">
        <w:tab/>
      </w:r>
      <w:r w:rsidR="006F71E6">
        <w:tab/>
      </w:r>
      <w:r w:rsidR="006F71E6">
        <w:tab/>
      </w:r>
      <w:r w:rsidR="001E6F2D">
        <w:t>398</w:t>
      </w:r>
    </w:p>
    <w:p w14:paraId="00FEF8B1" w14:textId="3E55D158" w:rsidR="00426E8F" w:rsidRDefault="00426E8F" w:rsidP="00EF2FE7">
      <w:pPr>
        <w:pStyle w:val="ParaLevel1"/>
        <w:numPr>
          <w:ilvl w:val="0"/>
          <w:numId w:val="21"/>
        </w:numPr>
        <w:tabs>
          <w:tab w:val="left" w:pos="1134"/>
        </w:tabs>
      </w:pPr>
      <w:r>
        <w:t xml:space="preserve">Evaluation of </w:t>
      </w:r>
      <w:r w:rsidR="00235E1B">
        <w:t>Scenario 2</w:t>
      </w:r>
      <w:r w:rsidR="001E6F2D">
        <w:tab/>
      </w:r>
      <w:r w:rsidR="001E6F2D">
        <w:tab/>
      </w:r>
      <w:r w:rsidR="001E6F2D">
        <w:tab/>
      </w:r>
      <w:r w:rsidR="001E6F2D">
        <w:tab/>
      </w:r>
      <w:r w:rsidR="001E6F2D">
        <w:tab/>
      </w:r>
      <w:r w:rsidR="001E6F2D">
        <w:tab/>
      </w:r>
      <w:r w:rsidR="001E6F2D">
        <w:tab/>
        <w:t>417</w:t>
      </w:r>
    </w:p>
    <w:p w14:paraId="28AE4311" w14:textId="3F427FB0" w:rsidR="00426E8F" w:rsidRDefault="00B14400" w:rsidP="00EF2FE7">
      <w:pPr>
        <w:pStyle w:val="ParaLevel1"/>
        <w:numPr>
          <w:ilvl w:val="0"/>
          <w:numId w:val="21"/>
        </w:numPr>
        <w:tabs>
          <w:tab w:val="left" w:pos="1134"/>
        </w:tabs>
      </w:pPr>
      <w:r>
        <w:t>Legal Fees</w:t>
      </w:r>
      <w:r w:rsidR="001E6F2D">
        <w:tab/>
      </w:r>
      <w:r w:rsidR="001E6F2D">
        <w:tab/>
      </w:r>
      <w:r w:rsidR="001E6F2D">
        <w:tab/>
      </w:r>
      <w:r w:rsidR="001E6F2D">
        <w:tab/>
      </w:r>
      <w:r w:rsidR="001E6F2D">
        <w:tab/>
      </w:r>
      <w:r w:rsidR="001E6F2D">
        <w:tab/>
      </w:r>
      <w:r w:rsidR="001E6F2D">
        <w:tab/>
      </w:r>
      <w:r w:rsidR="001E6F2D">
        <w:tab/>
      </w:r>
      <w:r w:rsidR="001E6F2D">
        <w:tab/>
        <w:t>451</w:t>
      </w:r>
    </w:p>
    <w:p w14:paraId="55F2FEE0" w14:textId="16636593" w:rsidR="00B14400" w:rsidRDefault="00B14400" w:rsidP="00EF2FE7">
      <w:pPr>
        <w:pStyle w:val="ParaLevel1"/>
        <w:numPr>
          <w:ilvl w:val="0"/>
          <w:numId w:val="0"/>
        </w:numPr>
        <w:tabs>
          <w:tab w:val="left" w:pos="1134"/>
        </w:tabs>
        <w:ind w:left="1287" w:hanging="720"/>
      </w:pPr>
      <w:r>
        <w:t>M.</w:t>
      </w:r>
      <w:r>
        <w:tab/>
      </w:r>
      <w:r w:rsidR="005F6204">
        <w:t xml:space="preserve">Quantification of </w:t>
      </w:r>
      <w:r>
        <w:t>Loss</w:t>
      </w:r>
      <w:r w:rsidR="001E6F2D">
        <w:tab/>
      </w:r>
      <w:r w:rsidR="001E6F2D">
        <w:tab/>
      </w:r>
      <w:r w:rsidR="001E6F2D">
        <w:tab/>
      </w:r>
      <w:r w:rsidR="001E6F2D">
        <w:tab/>
      </w:r>
      <w:r w:rsidR="001E6F2D">
        <w:tab/>
      </w:r>
      <w:r w:rsidR="001E6F2D">
        <w:tab/>
      </w:r>
      <w:r w:rsidR="001E6F2D">
        <w:tab/>
      </w:r>
      <w:r w:rsidR="001E6F2D">
        <w:tab/>
        <w:t>476</w:t>
      </w:r>
    </w:p>
    <w:p w14:paraId="4229C1E1" w14:textId="35520FA6" w:rsidR="00BA3BF4" w:rsidRDefault="00BA3BF4" w:rsidP="00EF2FE7">
      <w:pPr>
        <w:pStyle w:val="ParaLevel1"/>
        <w:numPr>
          <w:ilvl w:val="0"/>
          <w:numId w:val="22"/>
        </w:numPr>
        <w:tabs>
          <w:tab w:val="left" w:pos="1134"/>
        </w:tabs>
      </w:pPr>
      <w:r>
        <w:t>Scenario 1</w:t>
      </w:r>
      <w:r w:rsidR="001E6F2D">
        <w:tab/>
      </w:r>
      <w:r w:rsidR="001E6F2D">
        <w:tab/>
      </w:r>
      <w:r w:rsidR="001E6F2D">
        <w:tab/>
      </w:r>
      <w:r w:rsidR="001E6F2D">
        <w:tab/>
      </w:r>
      <w:r w:rsidR="001E6F2D">
        <w:tab/>
      </w:r>
      <w:r w:rsidR="001E6F2D">
        <w:tab/>
      </w:r>
      <w:r w:rsidR="001E6F2D">
        <w:tab/>
      </w:r>
      <w:r w:rsidR="001E6F2D">
        <w:tab/>
      </w:r>
      <w:r w:rsidR="001E6F2D">
        <w:tab/>
      </w:r>
      <w:r w:rsidR="008F2477">
        <w:t>477</w:t>
      </w:r>
    </w:p>
    <w:p w14:paraId="2F386AE5" w14:textId="34C036AC" w:rsidR="00BA3BF4" w:rsidRDefault="00BA3BF4" w:rsidP="00EF2FE7">
      <w:pPr>
        <w:pStyle w:val="ParaLevel1"/>
        <w:numPr>
          <w:ilvl w:val="0"/>
          <w:numId w:val="22"/>
        </w:numPr>
        <w:tabs>
          <w:tab w:val="left" w:pos="1134"/>
        </w:tabs>
      </w:pPr>
      <w:r>
        <w:t>Scenario 2</w:t>
      </w:r>
      <w:r w:rsidR="008F2477">
        <w:tab/>
      </w:r>
      <w:r w:rsidR="008F2477">
        <w:tab/>
      </w:r>
      <w:r w:rsidR="008F2477">
        <w:tab/>
      </w:r>
      <w:r w:rsidR="008F2477">
        <w:tab/>
      </w:r>
      <w:r w:rsidR="008F2477">
        <w:tab/>
      </w:r>
      <w:r w:rsidR="008F2477">
        <w:tab/>
      </w:r>
      <w:r w:rsidR="008F2477">
        <w:tab/>
      </w:r>
      <w:r w:rsidR="008F2477">
        <w:tab/>
      </w:r>
      <w:r w:rsidR="008F2477">
        <w:tab/>
        <w:t>478</w:t>
      </w:r>
    </w:p>
    <w:p w14:paraId="4CFE461E" w14:textId="722CF0DF" w:rsidR="005B57E5" w:rsidRDefault="00DD7B7A" w:rsidP="00EF2FE7">
      <w:pPr>
        <w:pStyle w:val="ParaLevel1"/>
        <w:numPr>
          <w:ilvl w:val="0"/>
          <w:numId w:val="22"/>
        </w:numPr>
        <w:tabs>
          <w:tab w:val="left" w:pos="1134"/>
        </w:tabs>
      </w:pPr>
      <w:r>
        <w:t>Legal Fees</w:t>
      </w:r>
      <w:r>
        <w:tab/>
      </w:r>
      <w:r>
        <w:tab/>
      </w:r>
      <w:r>
        <w:tab/>
      </w:r>
      <w:r>
        <w:tab/>
      </w:r>
      <w:r>
        <w:tab/>
      </w:r>
      <w:r>
        <w:tab/>
      </w:r>
      <w:r>
        <w:tab/>
      </w:r>
      <w:r>
        <w:tab/>
      </w:r>
      <w:r>
        <w:tab/>
        <w:t>479</w:t>
      </w:r>
    </w:p>
    <w:p w14:paraId="134EF16A" w14:textId="1840CBC7" w:rsidR="00BA3BF4" w:rsidRDefault="00BA3BF4" w:rsidP="00EF2FE7">
      <w:pPr>
        <w:pStyle w:val="ParaLevel1"/>
        <w:numPr>
          <w:ilvl w:val="0"/>
          <w:numId w:val="22"/>
        </w:numPr>
        <w:tabs>
          <w:tab w:val="left" w:pos="1134"/>
        </w:tabs>
      </w:pPr>
      <w:r>
        <w:t>Credits</w:t>
      </w:r>
      <w:r w:rsidR="008F2477">
        <w:tab/>
      </w:r>
      <w:r w:rsidR="008F2477">
        <w:tab/>
      </w:r>
      <w:r w:rsidR="008F2477">
        <w:tab/>
      </w:r>
      <w:r w:rsidR="008F2477">
        <w:tab/>
      </w:r>
      <w:r w:rsidR="008F2477">
        <w:tab/>
      </w:r>
      <w:r w:rsidR="008F2477">
        <w:tab/>
      </w:r>
      <w:r w:rsidR="008F2477">
        <w:tab/>
      </w:r>
      <w:r w:rsidR="008F2477">
        <w:tab/>
      </w:r>
      <w:r w:rsidR="008F2477">
        <w:tab/>
      </w:r>
      <w:r w:rsidR="008F2477">
        <w:tab/>
        <w:t>480</w:t>
      </w:r>
    </w:p>
    <w:p w14:paraId="0DE2193D" w14:textId="16F6AB99" w:rsidR="00A976BF" w:rsidRDefault="00A976BF" w:rsidP="00EF2FE7">
      <w:pPr>
        <w:pStyle w:val="ParaLevel1"/>
        <w:numPr>
          <w:ilvl w:val="0"/>
          <w:numId w:val="0"/>
        </w:numPr>
        <w:tabs>
          <w:tab w:val="left" w:pos="1134"/>
        </w:tabs>
        <w:ind w:left="720" w:hanging="720"/>
      </w:pPr>
      <w:r>
        <w:tab/>
        <w:t>N.</w:t>
      </w:r>
      <w:r>
        <w:tab/>
        <w:t xml:space="preserve">Contributory </w:t>
      </w:r>
      <w:r w:rsidR="00D92ECA">
        <w:t>Fault</w:t>
      </w:r>
      <w:r w:rsidR="00DD7B7A">
        <w:tab/>
      </w:r>
      <w:r w:rsidR="00DD7B7A">
        <w:tab/>
      </w:r>
      <w:r w:rsidR="00DD7B7A">
        <w:tab/>
      </w:r>
      <w:r w:rsidR="00DD7B7A">
        <w:tab/>
      </w:r>
      <w:r w:rsidR="00DD7B7A">
        <w:tab/>
      </w:r>
      <w:r w:rsidR="00DD7B7A">
        <w:tab/>
      </w:r>
      <w:r w:rsidR="00DD7B7A">
        <w:tab/>
      </w:r>
      <w:r w:rsidR="00DD7B7A">
        <w:tab/>
        <w:t>495</w:t>
      </w:r>
    </w:p>
    <w:p w14:paraId="0B6C37DC" w14:textId="4F44DC05" w:rsidR="00A976BF" w:rsidRDefault="00A976BF" w:rsidP="00EF2FE7">
      <w:pPr>
        <w:pStyle w:val="ParaLevel1"/>
        <w:numPr>
          <w:ilvl w:val="0"/>
          <w:numId w:val="0"/>
        </w:numPr>
        <w:tabs>
          <w:tab w:val="left" w:pos="1134"/>
        </w:tabs>
        <w:ind w:left="720" w:hanging="720"/>
      </w:pPr>
      <w:r>
        <w:tab/>
        <w:t>O.</w:t>
      </w:r>
      <w:r>
        <w:tab/>
        <w:t>Disposal</w:t>
      </w:r>
      <w:r w:rsidR="00D47E6C">
        <w:tab/>
      </w:r>
      <w:r w:rsidR="00D47E6C">
        <w:tab/>
      </w:r>
      <w:r w:rsidR="00D47E6C">
        <w:tab/>
      </w:r>
      <w:r w:rsidR="00D47E6C">
        <w:tab/>
      </w:r>
      <w:r w:rsidR="00D47E6C">
        <w:tab/>
      </w:r>
      <w:r w:rsidR="00D47E6C">
        <w:tab/>
      </w:r>
      <w:r w:rsidR="00D47E6C">
        <w:tab/>
      </w:r>
      <w:r w:rsidR="00D47E6C">
        <w:tab/>
      </w:r>
      <w:r w:rsidR="00D47E6C">
        <w:tab/>
      </w:r>
      <w:r w:rsidR="00D47E6C">
        <w:tab/>
      </w:r>
      <w:r w:rsidR="00321780">
        <w:t>514</w:t>
      </w:r>
    </w:p>
    <w:p w14:paraId="4078A150" w14:textId="6ED161B0" w:rsidR="008506C5" w:rsidRDefault="008506C5" w:rsidP="00EF2FE7">
      <w:pPr>
        <w:pStyle w:val="ParaLevel1"/>
        <w:numPr>
          <w:ilvl w:val="0"/>
          <w:numId w:val="0"/>
        </w:numPr>
        <w:tabs>
          <w:tab w:val="left" w:pos="1134"/>
        </w:tabs>
        <w:ind w:left="1287" w:hanging="720"/>
      </w:pPr>
      <w:r>
        <w:tab/>
      </w:r>
    </w:p>
    <w:p w14:paraId="11B570BF" w14:textId="77777777" w:rsidR="00540E1A" w:rsidRDefault="00540E1A" w:rsidP="00EF2FE7">
      <w:pPr>
        <w:pStyle w:val="ParaLevel1"/>
        <w:numPr>
          <w:ilvl w:val="0"/>
          <w:numId w:val="0"/>
        </w:numPr>
        <w:ind w:left="1287" w:hanging="720"/>
      </w:pPr>
    </w:p>
    <w:p w14:paraId="2EE2CFFC" w14:textId="77777777" w:rsidR="002F4ECB" w:rsidRDefault="002F4ECB" w:rsidP="00EF2FE7">
      <w:pPr>
        <w:pStyle w:val="ParaLevel1"/>
        <w:numPr>
          <w:ilvl w:val="0"/>
          <w:numId w:val="0"/>
        </w:numPr>
        <w:ind w:left="720"/>
      </w:pPr>
    </w:p>
    <w:p w14:paraId="7D8AB3B0" w14:textId="5622EF82" w:rsidR="00234EBF" w:rsidRPr="00234EBF" w:rsidRDefault="00284D4E" w:rsidP="00EF2FE7">
      <w:pPr>
        <w:pStyle w:val="ParaLevel1"/>
        <w:numPr>
          <w:ilvl w:val="0"/>
          <w:numId w:val="0"/>
        </w:numPr>
        <w:rPr>
          <w:b/>
          <w:bCs/>
          <w:u w:val="single"/>
        </w:rPr>
      </w:pPr>
      <w:r>
        <w:rPr>
          <w:b/>
          <w:bCs/>
          <w:u w:val="single"/>
        </w:rPr>
        <w:t>A.</w:t>
      </w:r>
      <w:r w:rsidR="007B41CF">
        <w:rPr>
          <w:b/>
          <w:bCs/>
          <w:u w:val="single"/>
        </w:rPr>
        <w:tab/>
      </w:r>
      <w:r w:rsidR="00234EBF" w:rsidRPr="00234EBF">
        <w:rPr>
          <w:b/>
          <w:bCs/>
          <w:u w:val="single"/>
        </w:rPr>
        <w:t>INTRODUCTION</w:t>
      </w:r>
    </w:p>
    <w:p w14:paraId="6CD34A56" w14:textId="28F5ECD0" w:rsidR="005E2342" w:rsidRDefault="00643ADF" w:rsidP="00EF2FE7">
      <w:pPr>
        <w:pStyle w:val="ParaLevel1"/>
      </w:pPr>
      <w:r>
        <w:t xml:space="preserve">This is my judgment following a trial of a professional negligence claim which was heard over </w:t>
      </w:r>
      <w:r w:rsidR="00993525">
        <w:t xml:space="preserve">6 </w:t>
      </w:r>
      <w:r>
        <w:t xml:space="preserve">days in March </w:t>
      </w:r>
      <w:r w:rsidR="00380CA3">
        <w:t>2022.</w:t>
      </w:r>
    </w:p>
    <w:p w14:paraId="1ADF262E" w14:textId="54329957" w:rsidR="00380CA3" w:rsidRDefault="00380CA3" w:rsidP="00EF2FE7">
      <w:pPr>
        <w:pStyle w:val="ParaLevel1"/>
      </w:pPr>
      <w:r>
        <w:t xml:space="preserve">The Claimants (respectively </w:t>
      </w:r>
      <w:r w:rsidRPr="00DD68DD">
        <w:rPr>
          <w:b/>
          <w:bCs/>
        </w:rPr>
        <w:t>Mr Richards</w:t>
      </w:r>
      <w:r>
        <w:t xml:space="preserve"> and </w:t>
      </w:r>
      <w:r w:rsidRPr="00DD68DD">
        <w:rPr>
          <w:b/>
          <w:bCs/>
        </w:rPr>
        <w:t>Mr Purves</w:t>
      </w:r>
      <w:r w:rsidR="00DD68DD">
        <w:t>) sue the Defendants (</w:t>
      </w:r>
      <w:r w:rsidR="00914F6B">
        <w:rPr>
          <w:b/>
          <w:bCs/>
        </w:rPr>
        <w:t>the Firm</w:t>
      </w:r>
      <w:r w:rsidR="00EA5804">
        <w:t xml:space="preserve">, </w:t>
      </w:r>
      <w:r w:rsidR="00914F6B">
        <w:t xml:space="preserve">following </w:t>
      </w:r>
      <w:r w:rsidR="00495E32">
        <w:t>the merger on 1 November 2014, during the course of the Claimant</w:t>
      </w:r>
      <w:r w:rsidR="00357617">
        <w:t xml:space="preserve">s’ retainer, </w:t>
      </w:r>
      <w:r w:rsidR="004E36AE">
        <w:t xml:space="preserve">of the </w:t>
      </w:r>
      <w:r w:rsidR="0040158D">
        <w:t xml:space="preserve">First Defendant </w:t>
      </w:r>
      <w:r w:rsidR="00357617">
        <w:t>with another firm</w:t>
      </w:r>
      <w:r w:rsidR="00297BF6">
        <w:t xml:space="preserve"> so as to form the Second Defendant</w:t>
      </w:r>
      <w:r w:rsidR="00357617">
        <w:t>) in respect of loss</w:t>
      </w:r>
      <w:r w:rsidR="008764F2">
        <w:t>es</w:t>
      </w:r>
      <w:r w:rsidR="00357617">
        <w:t xml:space="preserve"> said to have been suffered by them </w:t>
      </w:r>
      <w:r w:rsidR="00BA0164">
        <w:t>on the sale of their</w:t>
      </w:r>
      <w:r w:rsidR="00BA0164" w:rsidRPr="00BA0164">
        <w:t xml:space="preserve"> respective 42.95% </w:t>
      </w:r>
      <w:r w:rsidR="001D7B0A">
        <w:t xml:space="preserve">equity </w:t>
      </w:r>
      <w:r w:rsidR="00BA0164" w:rsidRPr="00BA0164">
        <w:t>stakes in a cloud-based communications technology company, IP Solutions UK Limited (“</w:t>
      </w:r>
      <w:r w:rsidR="00BA0164" w:rsidRPr="00E23CEB">
        <w:rPr>
          <w:b/>
          <w:bCs/>
        </w:rPr>
        <w:t>IPS UK</w:t>
      </w:r>
      <w:r w:rsidR="00BA0164" w:rsidRPr="00BA0164">
        <w:t>”)</w:t>
      </w:r>
      <w:r w:rsidR="00E23CEB">
        <w:t xml:space="preserve"> in December 2014</w:t>
      </w:r>
      <w:r w:rsidR="00297ADC">
        <w:t xml:space="preserve"> (“</w:t>
      </w:r>
      <w:r w:rsidR="00297ADC" w:rsidRPr="00297ADC">
        <w:rPr>
          <w:b/>
          <w:bCs/>
        </w:rPr>
        <w:t>the Transaction</w:t>
      </w:r>
      <w:r w:rsidR="00297ADC">
        <w:t>”)</w:t>
      </w:r>
      <w:r w:rsidR="00F14619">
        <w:t>.</w:t>
      </w:r>
      <w:r w:rsidR="008764F2">
        <w:t xml:space="preserve">  </w:t>
      </w:r>
    </w:p>
    <w:p w14:paraId="3F663333" w14:textId="09D71738" w:rsidR="00AF50FD" w:rsidRDefault="006958B9" w:rsidP="00EF2FE7">
      <w:pPr>
        <w:pStyle w:val="ParaLevel1"/>
      </w:pPr>
      <w:r>
        <w:t xml:space="preserve">The </w:t>
      </w:r>
      <w:r w:rsidR="00331535">
        <w:t xml:space="preserve">Firm acted for the </w:t>
      </w:r>
      <w:r w:rsidR="00D84DCF">
        <w:t>Claimants on th</w:t>
      </w:r>
      <w:r w:rsidR="00297ADC">
        <w:t>e T</w:t>
      </w:r>
      <w:r w:rsidR="00D84DCF">
        <w:t xml:space="preserve">ransaction.  The </w:t>
      </w:r>
      <w:r>
        <w:t xml:space="preserve">Claimants allege that the </w:t>
      </w:r>
      <w:r w:rsidR="0059240A">
        <w:t xml:space="preserve">Firm was </w:t>
      </w:r>
      <w:r w:rsidR="00E23CEB">
        <w:t xml:space="preserve">negligent </w:t>
      </w:r>
      <w:r w:rsidR="00F50C58">
        <w:t xml:space="preserve">in failing to advise them in relation to their financial exposure </w:t>
      </w:r>
      <w:r w:rsidR="00570FE6">
        <w:t xml:space="preserve">in the event of them subsequently leaving the employment of </w:t>
      </w:r>
      <w:r w:rsidR="006801EB">
        <w:t>IP Solutions Group Limited (“</w:t>
      </w:r>
      <w:r w:rsidR="00271E6E" w:rsidRPr="00271E6E">
        <w:rPr>
          <w:b/>
          <w:bCs/>
        </w:rPr>
        <w:t>the Company</w:t>
      </w:r>
      <w:r w:rsidR="006801EB">
        <w:t>”</w:t>
      </w:r>
      <w:r w:rsidR="00D52CF6">
        <w:t xml:space="preserve">), the newly incorporated </w:t>
      </w:r>
      <w:r w:rsidR="00781C9B">
        <w:t>company which acquired their shareholdings in IPS UK and</w:t>
      </w:r>
      <w:r w:rsidR="00625588">
        <w:t xml:space="preserve"> in which they each acquired a 30% holding of </w:t>
      </w:r>
      <w:r w:rsidR="006E053D">
        <w:t xml:space="preserve">C Class </w:t>
      </w:r>
      <w:r w:rsidR="00625588">
        <w:t xml:space="preserve">Shares and </w:t>
      </w:r>
      <w:r w:rsidR="008C5A3C">
        <w:t xml:space="preserve">became </w:t>
      </w:r>
      <w:r w:rsidR="001A1817">
        <w:t xml:space="preserve">the Company’s </w:t>
      </w:r>
      <w:r w:rsidR="00240901">
        <w:t>CEO</w:t>
      </w:r>
      <w:r w:rsidR="008C5A3C">
        <w:t xml:space="preserve"> </w:t>
      </w:r>
      <w:r w:rsidR="000D37EF">
        <w:t>and Sales Director respectively.</w:t>
      </w:r>
    </w:p>
    <w:p w14:paraId="3432E22C" w14:textId="5F87A7D3" w:rsidR="00AF69C1" w:rsidRDefault="00AF50FD" w:rsidP="00EF2FE7">
      <w:pPr>
        <w:pStyle w:val="ParaLevel1"/>
      </w:pPr>
      <w:r w:rsidRPr="00AF50FD">
        <w:t>The</w:t>
      </w:r>
      <w:r>
        <w:t xml:space="preserve">ir </w:t>
      </w:r>
      <w:r w:rsidRPr="00AF50FD">
        <w:t xml:space="preserve">principal </w:t>
      </w:r>
      <w:r w:rsidR="00832968">
        <w:t>complaint is</w:t>
      </w:r>
      <w:r w:rsidRPr="00AF50FD">
        <w:t xml:space="preserve"> that the </w:t>
      </w:r>
      <w:r>
        <w:t>Firm</w:t>
      </w:r>
      <w:r w:rsidRPr="00AF50FD">
        <w:t xml:space="preserve"> failed to warn them that the </w:t>
      </w:r>
      <w:r w:rsidR="0011621F">
        <w:t xml:space="preserve">terms of the </w:t>
      </w:r>
      <w:r w:rsidR="00963BE3">
        <w:t>T</w:t>
      </w:r>
      <w:r w:rsidR="000D37EF">
        <w:t xml:space="preserve">ransaction were such that </w:t>
      </w:r>
      <w:r w:rsidR="00AA41BA">
        <w:t>even if they were subsequently wrong</w:t>
      </w:r>
      <w:r w:rsidR="007759F8">
        <w:t>full</w:t>
      </w:r>
      <w:r w:rsidR="00AA41BA">
        <w:t xml:space="preserve">y dismissed from </w:t>
      </w:r>
      <w:r w:rsidR="00412737">
        <w:t xml:space="preserve">their employment by </w:t>
      </w:r>
      <w:r w:rsidR="00271E6E">
        <w:t>the Company</w:t>
      </w:r>
      <w:r w:rsidR="00412737">
        <w:t>, so that they would be cla</w:t>
      </w:r>
      <w:r w:rsidRPr="00AF50FD">
        <w:t xml:space="preserve">ssed as </w:t>
      </w:r>
      <w:r w:rsidR="00412737">
        <w:t>“</w:t>
      </w:r>
      <w:r w:rsidRPr="00AF50FD">
        <w:t>Good Leavers</w:t>
      </w:r>
      <w:r w:rsidR="00412737">
        <w:t>”</w:t>
      </w:r>
      <w:r w:rsidRPr="00AF50FD">
        <w:t xml:space="preserve"> </w:t>
      </w:r>
      <w:r w:rsidR="00C16C71">
        <w:t xml:space="preserve">for the purposes of the </w:t>
      </w:r>
      <w:r w:rsidR="008A4DA4">
        <w:t xml:space="preserve">resulting </w:t>
      </w:r>
      <w:r w:rsidR="00C16C71">
        <w:t>sale of the</w:t>
      </w:r>
      <w:r w:rsidR="008A4DA4">
        <w:t>ir</w:t>
      </w:r>
      <w:r w:rsidR="00C16C71">
        <w:t xml:space="preserve"> shareholdings in the </w:t>
      </w:r>
      <w:r w:rsidR="00271E6E">
        <w:t>C</w:t>
      </w:r>
      <w:r w:rsidR="00C16C71">
        <w:t xml:space="preserve">ompany, they would </w:t>
      </w:r>
      <w:r w:rsidRPr="00AF50FD">
        <w:t xml:space="preserve">receive no or </w:t>
      </w:r>
      <w:r w:rsidR="00C16C71">
        <w:t xml:space="preserve">only </w:t>
      </w:r>
      <w:r w:rsidRPr="00AF50FD">
        <w:t>nominal value for their shareholding</w:t>
      </w:r>
      <w:r w:rsidR="000B364C">
        <w:t>.</w:t>
      </w:r>
      <w:r w:rsidRPr="00AF50FD">
        <w:t xml:space="preserve">   </w:t>
      </w:r>
      <w:r w:rsidR="006F574F">
        <w:t xml:space="preserve">That is because of the impact of something called the </w:t>
      </w:r>
      <w:r w:rsidR="005C6A3C">
        <w:t>R</w:t>
      </w:r>
      <w:r w:rsidR="001C3C8C" w:rsidRPr="001C3C8C">
        <w:t xml:space="preserve">edemption </w:t>
      </w:r>
      <w:r w:rsidR="005C6A3C">
        <w:t>P</w:t>
      </w:r>
      <w:r w:rsidR="001C3C8C" w:rsidRPr="001C3C8C">
        <w:t xml:space="preserve">remium </w:t>
      </w:r>
      <w:r w:rsidR="005C6A3C">
        <w:t>P</w:t>
      </w:r>
      <w:r w:rsidR="001C3C8C" w:rsidRPr="001C3C8C">
        <w:t>rovision (“</w:t>
      </w:r>
      <w:r w:rsidR="001C3C8C" w:rsidRPr="00AB43A0">
        <w:rPr>
          <w:b/>
          <w:bCs/>
        </w:rPr>
        <w:t>the RPP</w:t>
      </w:r>
      <w:r w:rsidR="001C3C8C" w:rsidRPr="001C3C8C">
        <w:t xml:space="preserve">”) </w:t>
      </w:r>
      <w:r w:rsidR="00480B09">
        <w:t>on</w:t>
      </w:r>
      <w:r w:rsidR="00907A64">
        <w:t xml:space="preserve"> the determination of the “Market Value” of their shareholdings, upon them leaving the Company, </w:t>
      </w:r>
      <w:r w:rsidR="00AB43A0">
        <w:t xml:space="preserve">in accordance with </w:t>
      </w:r>
      <w:r w:rsidR="001C3C8C" w:rsidRPr="001C3C8C">
        <w:t xml:space="preserve">the </w:t>
      </w:r>
      <w:r w:rsidR="000B364C">
        <w:t xml:space="preserve">Company’s </w:t>
      </w:r>
      <w:r w:rsidR="001C3C8C" w:rsidRPr="001C3C8C">
        <w:t>Articles</w:t>
      </w:r>
      <w:r w:rsidR="00907A64">
        <w:t xml:space="preserve">. </w:t>
      </w:r>
      <w:r w:rsidR="00CE2106">
        <w:t xml:space="preserve"> Their pleaded case is that</w:t>
      </w:r>
      <w:r w:rsidR="00226C7D">
        <w:t xml:space="preserve">, had they been </w:t>
      </w:r>
      <w:r w:rsidR="00ED31C8">
        <w:t xml:space="preserve">made </w:t>
      </w:r>
      <w:r w:rsidR="00226C7D">
        <w:t>aware of th</w:t>
      </w:r>
      <w:r w:rsidR="004872F2">
        <w:t xml:space="preserve">is risk, they would have sought to </w:t>
      </w:r>
      <w:r w:rsidR="00D42D96">
        <w:t xml:space="preserve">have negotiated a care-out of the RPP from </w:t>
      </w:r>
      <w:r w:rsidR="00ED31C8">
        <w:t>the determination of Market Value.</w:t>
      </w:r>
      <w:r w:rsidR="00907A64">
        <w:t xml:space="preserve"> The true construction of the relevant article was key to the decision of the High Court in the litigation between the Claimants and the Company, mentioned next, and it is now central to the </w:t>
      </w:r>
      <w:r w:rsidR="00E9609A">
        <w:t>present proceedings between the Claimants and the Firm</w:t>
      </w:r>
      <w:r w:rsidR="00A8325C">
        <w:t>.  The Claimants s</w:t>
      </w:r>
      <w:r w:rsidRPr="00AF50FD">
        <w:t>ay that</w:t>
      </w:r>
      <w:r w:rsidR="00E9609A">
        <w:t>,</w:t>
      </w:r>
      <w:r w:rsidRPr="00AF50FD">
        <w:t xml:space="preserve"> had they </w:t>
      </w:r>
      <w:r w:rsidR="00E9609A">
        <w:t xml:space="preserve">been </w:t>
      </w:r>
      <w:r w:rsidRPr="00AF50FD">
        <w:t>warned</w:t>
      </w:r>
      <w:r w:rsidR="00E9609A">
        <w:t xml:space="preserve"> that the RPP would or could have had that impact</w:t>
      </w:r>
      <w:r w:rsidRPr="00AF50FD">
        <w:t xml:space="preserve">, </w:t>
      </w:r>
      <w:r w:rsidR="00E9609A">
        <w:t xml:space="preserve">then </w:t>
      </w:r>
      <w:r w:rsidRPr="00AF50FD">
        <w:t>they would either (1) have negotiated a carve-out in the Articles, such that the RPP did not apply to</w:t>
      </w:r>
      <w:r w:rsidR="00907A64">
        <w:t xml:space="preserve"> the </w:t>
      </w:r>
      <w:r w:rsidR="00E9609A">
        <w:t>determination of Market Value (“</w:t>
      </w:r>
      <w:r w:rsidR="00E9609A" w:rsidRPr="00E9609A">
        <w:rPr>
          <w:b/>
          <w:bCs/>
        </w:rPr>
        <w:t>Scenario 1</w:t>
      </w:r>
      <w:r w:rsidR="00E9609A">
        <w:t>”);</w:t>
      </w:r>
      <w:r w:rsidRPr="00AF50FD">
        <w:t xml:space="preserve"> or (2) concluded an agreement with </w:t>
      </w:r>
      <w:r w:rsidR="00DA05FE">
        <w:t xml:space="preserve">an </w:t>
      </w:r>
      <w:r w:rsidRPr="00AF50FD">
        <w:t>alternative investor</w:t>
      </w:r>
      <w:r w:rsidR="00E9609A">
        <w:t xml:space="preserve"> (“</w:t>
      </w:r>
      <w:r w:rsidR="00E9609A" w:rsidRPr="00E9609A">
        <w:rPr>
          <w:b/>
          <w:bCs/>
        </w:rPr>
        <w:t>Scenario 2</w:t>
      </w:r>
      <w:r w:rsidR="00E9609A">
        <w:t>”)</w:t>
      </w:r>
      <w:r w:rsidRPr="00AF50FD">
        <w:t>.  Either way, they say that they have each suffered a loss of between £1.7 and £1.9 million</w:t>
      </w:r>
      <w:r w:rsidR="00A8325C">
        <w:t xml:space="preserve">.  </w:t>
      </w:r>
    </w:p>
    <w:p w14:paraId="53784627" w14:textId="77B849BE" w:rsidR="0018078B" w:rsidRDefault="00A8325C" w:rsidP="00EF2FE7">
      <w:pPr>
        <w:pStyle w:val="ParaLevel1"/>
      </w:pPr>
      <w:r>
        <w:t>In addition</w:t>
      </w:r>
      <w:r w:rsidR="00AF69C1">
        <w:t xml:space="preserve">, </w:t>
      </w:r>
      <w:r w:rsidR="00AF50FD" w:rsidRPr="00AF50FD">
        <w:t>the</w:t>
      </w:r>
      <w:r w:rsidR="00AF69C1">
        <w:t>y seek to recover the costs of what has been described as “</w:t>
      </w:r>
      <w:r w:rsidR="00AF69C1" w:rsidRPr="00B9194C">
        <w:rPr>
          <w:b/>
          <w:bCs/>
        </w:rPr>
        <w:t xml:space="preserve">the </w:t>
      </w:r>
      <w:r w:rsidR="00AF50FD" w:rsidRPr="00B9194C">
        <w:rPr>
          <w:b/>
          <w:bCs/>
        </w:rPr>
        <w:t>Leaver Litigation</w:t>
      </w:r>
      <w:r w:rsidR="00AF69C1">
        <w:t xml:space="preserve">” in the sum of </w:t>
      </w:r>
      <w:r w:rsidR="00AF50FD" w:rsidRPr="00AF50FD">
        <w:t xml:space="preserve">£895,141.63. </w:t>
      </w:r>
      <w:r w:rsidR="007226FE">
        <w:t xml:space="preserve">The Leaver Litigation </w:t>
      </w:r>
      <w:r w:rsidR="003D0742">
        <w:t xml:space="preserve">arose out of the dismissal of Mr </w:t>
      </w:r>
      <w:r w:rsidR="007235DF">
        <w:t xml:space="preserve">Richards and Mr </w:t>
      </w:r>
      <w:r w:rsidR="003D0742">
        <w:t xml:space="preserve">Purves </w:t>
      </w:r>
      <w:r w:rsidR="00586AD1">
        <w:t xml:space="preserve">from their employment by </w:t>
      </w:r>
      <w:r w:rsidR="000B364C">
        <w:t xml:space="preserve">the Company </w:t>
      </w:r>
      <w:r w:rsidR="00586AD1">
        <w:t xml:space="preserve">in July 2015.  </w:t>
      </w:r>
      <w:r w:rsidR="00664D0B">
        <w:t xml:space="preserve">They were </w:t>
      </w:r>
      <w:r w:rsidR="00AE1C79">
        <w:t xml:space="preserve">categorised </w:t>
      </w:r>
      <w:r w:rsidR="00664D0B">
        <w:t xml:space="preserve">by their </w:t>
      </w:r>
      <w:r w:rsidR="00A83E92">
        <w:t>employer as “</w:t>
      </w:r>
      <w:r w:rsidR="00AE1C79">
        <w:t>Bad Leavers</w:t>
      </w:r>
      <w:r w:rsidR="00A83E92">
        <w:t>”</w:t>
      </w:r>
      <w:r w:rsidR="00AE1C79">
        <w:t xml:space="preserve"> </w:t>
      </w:r>
      <w:r w:rsidR="00A83E92">
        <w:t xml:space="preserve">for the purposes of the </w:t>
      </w:r>
      <w:r w:rsidR="000F61C3">
        <w:t>resulting sale of their shareholding</w:t>
      </w:r>
      <w:r w:rsidR="00D64043">
        <w:t>s</w:t>
      </w:r>
      <w:r w:rsidR="005D12C3">
        <w:t xml:space="preserve">, which, if a correct </w:t>
      </w:r>
      <w:r w:rsidR="005A17A9">
        <w:t xml:space="preserve">categorisation, </w:t>
      </w:r>
      <w:r w:rsidR="00E9609A">
        <w:t>meant that under the Articles each shareholding was only worth £1</w:t>
      </w:r>
      <w:r w:rsidR="00D64043">
        <w:t xml:space="preserve">.  </w:t>
      </w:r>
      <w:r w:rsidR="004C5B94">
        <w:t xml:space="preserve">They challenged that categorisation in the Leaver Litigation </w:t>
      </w:r>
      <w:r w:rsidR="00E6585D">
        <w:t xml:space="preserve">brought against </w:t>
      </w:r>
      <w:r w:rsidR="005D12C3">
        <w:t>the Company</w:t>
      </w:r>
      <w:r w:rsidR="00AE1C79">
        <w:t xml:space="preserve">. </w:t>
      </w:r>
      <w:r w:rsidR="00E6585D">
        <w:t xml:space="preserve"> Following a trial</w:t>
      </w:r>
      <w:r w:rsidR="00783933">
        <w:t xml:space="preserve"> earlier that month</w:t>
      </w:r>
      <w:r w:rsidR="00E6585D">
        <w:t xml:space="preserve">, by her judgment dated 22 July </w:t>
      </w:r>
      <w:r w:rsidR="0050043D">
        <w:t xml:space="preserve">2016, </w:t>
      </w:r>
      <w:r w:rsidR="00E6585D">
        <w:t>M</w:t>
      </w:r>
      <w:r w:rsidR="00AE1C79">
        <w:t>rs Justice May DBE, determined that they had been wrongfully dismissed (</w:t>
      </w:r>
      <w:r w:rsidR="0050043D">
        <w:t>“</w:t>
      </w:r>
      <w:r w:rsidR="00AE1C79" w:rsidRPr="00B9194C">
        <w:rPr>
          <w:b/>
          <w:bCs/>
        </w:rPr>
        <w:t>the Liability Judgment</w:t>
      </w:r>
      <w:r w:rsidR="0050043D">
        <w:t>”</w:t>
      </w:r>
      <w:r w:rsidR="003527BB">
        <w:t xml:space="preserve">: </w:t>
      </w:r>
      <w:r w:rsidR="003527BB" w:rsidRPr="003527BB">
        <w:t>[2016] EWHC 1835 (QB)</w:t>
      </w:r>
      <w:r w:rsidR="00AE1C79">
        <w:t>). Th</w:t>
      </w:r>
      <w:r w:rsidR="0050043D">
        <w:t xml:space="preserve">e result </w:t>
      </w:r>
      <w:r w:rsidR="00AE1C79">
        <w:t xml:space="preserve">meant that </w:t>
      </w:r>
      <w:r w:rsidR="008A0D01">
        <w:t xml:space="preserve">the Claimants </w:t>
      </w:r>
      <w:r w:rsidR="00AE1C79">
        <w:t>ought to have been categorised as</w:t>
      </w:r>
      <w:r w:rsidR="008A0D01">
        <w:t xml:space="preserve"> </w:t>
      </w:r>
      <w:r w:rsidR="00AE1C79">
        <w:t>Good Leavers</w:t>
      </w:r>
      <w:r w:rsidR="008A0D01">
        <w:t xml:space="preserve">.  On that basis they claimed to be entitled to </w:t>
      </w:r>
      <w:r w:rsidR="00AE1C79">
        <w:t>receive "Market Value" for their shares.</w:t>
      </w:r>
    </w:p>
    <w:p w14:paraId="31CB4003" w14:textId="2BB13A34" w:rsidR="006801EB" w:rsidRDefault="0018078B" w:rsidP="00EF2FE7">
      <w:pPr>
        <w:pStyle w:val="ParaLevel1"/>
      </w:pPr>
      <w:r>
        <w:t>H</w:t>
      </w:r>
      <w:r w:rsidR="00AE1C79">
        <w:t xml:space="preserve">owever, </w:t>
      </w:r>
      <w:r w:rsidR="008A0D01">
        <w:t xml:space="preserve">by </w:t>
      </w:r>
      <w:r w:rsidR="00EE12DE">
        <w:t>a further judgment dated 30 November 2016 (“</w:t>
      </w:r>
      <w:r w:rsidR="00EE12DE" w:rsidRPr="00B9194C">
        <w:rPr>
          <w:b/>
          <w:bCs/>
        </w:rPr>
        <w:t>the Quantum Judgment</w:t>
      </w:r>
      <w:r w:rsidR="00EE12DE">
        <w:t>”</w:t>
      </w:r>
      <w:r w:rsidR="008B6CAF">
        <w:t xml:space="preserve">: </w:t>
      </w:r>
      <w:r w:rsidR="000209EA" w:rsidRPr="000209EA">
        <w:t>[2016] EWHC 2599 (QB)</w:t>
      </w:r>
      <w:r w:rsidR="00B9194C">
        <w:t xml:space="preserve">), </w:t>
      </w:r>
      <w:r w:rsidR="004B60A9">
        <w:t xml:space="preserve">following a hearing </w:t>
      </w:r>
      <w:r w:rsidR="003667B0">
        <w:t xml:space="preserve">on 5 September 2016 and further written submissions thereafter, </w:t>
      </w:r>
      <w:r w:rsidR="00AE1C79">
        <w:t>May J</w:t>
      </w:r>
      <w:r w:rsidR="00B9194C">
        <w:t xml:space="preserve"> </w:t>
      </w:r>
      <w:r w:rsidR="00AE1C79">
        <w:t xml:space="preserve">ruled that they were </w:t>
      </w:r>
      <w:r w:rsidR="00B9194C">
        <w:t xml:space="preserve">only </w:t>
      </w:r>
      <w:r w:rsidR="00AE1C79">
        <w:t>entitled to receive a nominal sum for their shares. This was</w:t>
      </w:r>
      <w:r w:rsidR="00B9194C">
        <w:t xml:space="preserve"> </w:t>
      </w:r>
      <w:r w:rsidR="00AE1C79">
        <w:t>because of</w:t>
      </w:r>
      <w:r w:rsidR="009D737F">
        <w:t xml:space="preserve"> what the judge held to be</w:t>
      </w:r>
      <w:r w:rsidR="00AE1C79">
        <w:t xml:space="preserve"> the application of </w:t>
      </w:r>
      <w:r w:rsidR="005C6A3C">
        <w:t xml:space="preserve">the </w:t>
      </w:r>
      <w:r w:rsidR="00AE1C79">
        <w:t>RPP</w:t>
      </w:r>
      <w:r w:rsidR="00EB7B51">
        <w:t xml:space="preserve"> to their disposal</w:t>
      </w:r>
      <w:r w:rsidR="00B9194C">
        <w:t>.</w:t>
      </w:r>
      <w:r w:rsidR="00E9609A">
        <w:t xml:space="preserve">  As a result, their shares were denuded of value just as if they had been Bad Leavers.</w:t>
      </w:r>
      <w:r w:rsidR="00B9194C">
        <w:t xml:space="preserve"> </w:t>
      </w:r>
    </w:p>
    <w:p w14:paraId="072CAFA2" w14:textId="57CE4819" w:rsidR="005C6A3C" w:rsidRDefault="001D1431" w:rsidP="00EF2FE7">
      <w:pPr>
        <w:pStyle w:val="ParaLevel1"/>
      </w:pPr>
      <w:r>
        <w:t xml:space="preserve">The Company </w:t>
      </w:r>
      <w:r w:rsidR="007F59EF">
        <w:t xml:space="preserve">sought to </w:t>
      </w:r>
      <w:r>
        <w:t>appeal the Liability Judgment</w:t>
      </w:r>
      <w:r w:rsidR="007F59EF">
        <w:t xml:space="preserve"> </w:t>
      </w:r>
      <w:r w:rsidR="007352DD">
        <w:t xml:space="preserve">but its </w:t>
      </w:r>
      <w:r w:rsidR="00FC5899">
        <w:t xml:space="preserve">paper </w:t>
      </w:r>
      <w:r w:rsidR="00B20005">
        <w:t xml:space="preserve">application for permission </w:t>
      </w:r>
      <w:r w:rsidR="00FC5899">
        <w:t>was unsuccessful</w:t>
      </w:r>
      <w:r w:rsidR="00B20005">
        <w:t xml:space="preserve">. </w:t>
      </w:r>
      <w:r>
        <w:t xml:space="preserve">The </w:t>
      </w:r>
      <w:r w:rsidR="00692329">
        <w:t>Claimants obtained p</w:t>
      </w:r>
      <w:r>
        <w:t xml:space="preserve">ermission to appeal </w:t>
      </w:r>
      <w:r w:rsidR="00692329">
        <w:t>the Quantum Judgment</w:t>
      </w:r>
      <w:r w:rsidR="00544A41">
        <w:t xml:space="preserve">.  </w:t>
      </w:r>
      <w:r>
        <w:t>However, the</w:t>
      </w:r>
      <w:r w:rsidR="0039090B">
        <w:t>ir appeal and the Company’s renewed</w:t>
      </w:r>
      <w:r w:rsidR="008C4F41">
        <w:t>, oral application for permission to appeal the Liability Judgment were</w:t>
      </w:r>
      <w:r w:rsidR="00277D9D">
        <w:t xml:space="preserve"> both</w:t>
      </w:r>
      <w:r w:rsidR="000A34A5">
        <w:t xml:space="preserve"> </w:t>
      </w:r>
      <w:r>
        <w:t>compromise</w:t>
      </w:r>
      <w:r w:rsidR="000A34A5">
        <w:t xml:space="preserve">d </w:t>
      </w:r>
      <w:r w:rsidR="00BF0DA3">
        <w:t xml:space="preserve">on 15 </w:t>
      </w:r>
      <w:r w:rsidR="00387951">
        <w:t xml:space="preserve">January 2018 </w:t>
      </w:r>
      <w:r>
        <w:t xml:space="preserve">and by consent both </w:t>
      </w:r>
      <w:r w:rsidR="00277D9D">
        <w:t xml:space="preserve">intended </w:t>
      </w:r>
      <w:r>
        <w:t>appeals were</w:t>
      </w:r>
      <w:r w:rsidR="00544A41">
        <w:t xml:space="preserve"> </w:t>
      </w:r>
      <w:r>
        <w:t>dismissed</w:t>
      </w:r>
      <w:r w:rsidR="00005EFE">
        <w:t>.  The Claimants were each</w:t>
      </w:r>
      <w:r>
        <w:t xml:space="preserve"> paid the sum of £87,500 </w:t>
      </w:r>
      <w:r w:rsidR="00005EFE">
        <w:t>under the compromise.</w:t>
      </w:r>
    </w:p>
    <w:p w14:paraId="2B3F7EB8" w14:textId="5A6EB8CC" w:rsidR="00D313EE" w:rsidRDefault="008F5358" w:rsidP="00EF2FE7">
      <w:pPr>
        <w:pStyle w:val="ParaLevel1"/>
      </w:pPr>
      <w:r>
        <w:t xml:space="preserve">After the Claimants had </w:t>
      </w:r>
      <w:r w:rsidR="00A047F5">
        <w:t xml:space="preserve">completely </w:t>
      </w:r>
      <w:r>
        <w:t xml:space="preserve">severed their connection with </w:t>
      </w:r>
      <w:r w:rsidR="00F825F9">
        <w:t xml:space="preserve">it </w:t>
      </w:r>
      <w:r w:rsidR="00FE25AF">
        <w:t xml:space="preserve">by that compromise, the Company was </w:t>
      </w:r>
      <w:r w:rsidR="004E23A7">
        <w:t>p</w:t>
      </w:r>
      <w:r w:rsidR="0054284E">
        <w:t xml:space="preserve">ut into liquidation on 19 December 2018 and dissolved on 19 October 2019. </w:t>
      </w:r>
      <w:r w:rsidR="005A6C52">
        <w:t xml:space="preserve"> It was insolvent and there was no distribution to its </w:t>
      </w:r>
      <w:r w:rsidR="000735F9">
        <w:t>members.</w:t>
      </w:r>
    </w:p>
    <w:p w14:paraId="414BF477" w14:textId="6453FA69" w:rsidR="009319AB" w:rsidRDefault="00BC228D" w:rsidP="00EF2FE7">
      <w:pPr>
        <w:pStyle w:val="ParaLevel1"/>
      </w:pPr>
      <w:r>
        <w:t xml:space="preserve">The Firm </w:t>
      </w:r>
      <w:r w:rsidR="001474DF">
        <w:t>defend</w:t>
      </w:r>
      <w:r w:rsidR="00A325A0">
        <w:t>ed</w:t>
      </w:r>
      <w:r w:rsidR="001474DF">
        <w:t xml:space="preserve"> the negligence claim by reference to </w:t>
      </w:r>
      <w:r w:rsidR="009319AB">
        <w:t xml:space="preserve">liability, causation, and quantum.  </w:t>
      </w:r>
      <w:r w:rsidR="007A6B0B">
        <w:t xml:space="preserve">Part of </w:t>
      </w:r>
      <w:r w:rsidR="00E463E9">
        <w:t>its</w:t>
      </w:r>
      <w:r w:rsidR="007A6B0B">
        <w:t xml:space="preserve"> defence rests upon </w:t>
      </w:r>
      <w:r w:rsidR="000355B0">
        <w:t xml:space="preserve">the contention that </w:t>
      </w:r>
      <w:r w:rsidR="007C4227">
        <w:t>the Quantum Judgment was wrong as</w:t>
      </w:r>
      <w:r w:rsidR="009319AB">
        <w:t xml:space="preserve"> the RPP d</w:t>
      </w:r>
      <w:r w:rsidR="000407ED">
        <w:t>id</w:t>
      </w:r>
      <w:r w:rsidR="009319AB">
        <w:t xml:space="preserve"> not apply in a Good Leaver scenario.  </w:t>
      </w:r>
      <w:r w:rsidR="00542C5B">
        <w:t>The Firm sa</w:t>
      </w:r>
      <w:r w:rsidR="000C7960">
        <w:t>id</w:t>
      </w:r>
      <w:r w:rsidR="00542C5B">
        <w:t xml:space="preserve"> that</w:t>
      </w:r>
      <w:r w:rsidR="009319AB">
        <w:t xml:space="preserve"> May J </w:t>
      </w:r>
      <w:r w:rsidR="00E96D83">
        <w:t>e</w:t>
      </w:r>
      <w:r w:rsidR="009319AB">
        <w:t xml:space="preserve">rred </w:t>
      </w:r>
      <w:r w:rsidR="00E96D83">
        <w:t xml:space="preserve">in reaching the conclusion she did and may have done so </w:t>
      </w:r>
      <w:r w:rsidR="009319AB">
        <w:t>because of an incorrect concession made by the Claimants that a forced transfer constituted a “</w:t>
      </w:r>
      <w:r w:rsidR="009319AB" w:rsidRPr="009454BC">
        <w:rPr>
          <w:i/>
          <w:iCs/>
        </w:rPr>
        <w:t>Share Sale</w:t>
      </w:r>
      <w:r w:rsidR="009319AB">
        <w:t xml:space="preserve">” for the purposes of </w:t>
      </w:r>
      <w:r w:rsidR="00C04F8C">
        <w:t>a</w:t>
      </w:r>
      <w:r w:rsidR="009319AB">
        <w:t xml:space="preserve">rticle 13.3.  </w:t>
      </w:r>
    </w:p>
    <w:p w14:paraId="044ECD01" w14:textId="18D0A926" w:rsidR="007F7913" w:rsidRDefault="007F7913" w:rsidP="00EF2FE7">
      <w:pPr>
        <w:pStyle w:val="ParaLevel1"/>
      </w:pPr>
      <w:r>
        <w:t xml:space="preserve">The other main points relied upon in </w:t>
      </w:r>
      <w:r w:rsidR="00437E0B">
        <w:t xml:space="preserve">defence of the claim </w:t>
      </w:r>
      <w:r w:rsidR="000C7960">
        <w:t>were</w:t>
      </w:r>
      <w:r>
        <w:t xml:space="preserve"> as follows:</w:t>
      </w:r>
    </w:p>
    <w:p w14:paraId="61B0F3BB" w14:textId="0A61EE1D" w:rsidR="00991BA8" w:rsidRDefault="009E3FC4" w:rsidP="00EF2FE7">
      <w:pPr>
        <w:pStyle w:val="ParaLevel2"/>
      </w:pPr>
      <w:r>
        <w:t>I</w:t>
      </w:r>
      <w:r w:rsidR="00DC1BFC">
        <w:t xml:space="preserve">n relation to </w:t>
      </w:r>
      <w:r w:rsidR="00146BB2">
        <w:t xml:space="preserve">the Firm’s duty of care, </w:t>
      </w:r>
      <w:r w:rsidR="003B2845">
        <w:t>that t</w:t>
      </w:r>
      <w:r w:rsidR="009319AB">
        <w:t xml:space="preserve">he risk against which it is alleged </w:t>
      </w:r>
      <w:r w:rsidR="003B2845">
        <w:t>Firm</w:t>
      </w:r>
      <w:r w:rsidR="009319AB">
        <w:t xml:space="preserve"> should have warned was not a substantial one</w:t>
      </w:r>
      <w:r w:rsidR="004E2E45">
        <w:t xml:space="preserve"> requiring such a warning</w:t>
      </w:r>
      <w:r w:rsidR="009319AB">
        <w:t xml:space="preserve">.  It </w:t>
      </w:r>
      <w:r w:rsidR="00F34FF1">
        <w:t xml:space="preserve">is said to </w:t>
      </w:r>
      <w:r w:rsidR="004E2E45">
        <w:t xml:space="preserve">be a risk which </w:t>
      </w:r>
      <w:r w:rsidR="009319AB">
        <w:t>eventuated only because of a most unlikely combination of factors</w:t>
      </w:r>
      <w:r w:rsidR="00D94E51">
        <w:t>:</w:t>
      </w:r>
      <w:r w:rsidR="00621B85">
        <w:t xml:space="preserve"> </w:t>
      </w:r>
      <w:r w:rsidR="009319AB">
        <w:t>a situation in which (</w:t>
      </w:r>
      <w:r w:rsidR="00621B85">
        <w:t>a</w:t>
      </w:r>
      <w:r w:rsidR="009319AB">
        <w:t xml:space="preserve">) both </w:t>
      </w:r>
      <w:r w:rsidR="008232F3">
        <w:t xml:space="preserve">the private equity house behind the </w:t>
      </w:r>
      <w:r w:rsidR="002C55F3">
        <w:t xml:space="preserve">December 2014 </w:t>
      </w:r>
      <w:r w:rsidR="00DD7583">
        <w:t>purchase (“</w:t>
      </w:r>
      <w:r w:rsidR="009319AB" w:rsidRPr="00991BA8">
        <w:rPr>
          <w:b/>
          <w:bCs/>
        </w:rPr>
        <w:t>Livingbridge</w:t>
      </w:r>
      <w:r w:rsidR="00DD7583">
        <w:t>”)</w:t>
      </w:r>
      <w:r w:rsidR="009319AB">
        <w:t xml:space="preserve"> and the independent Chairman, Mr </w:t>
      </w:r>
      <w:r w:rsidR="004F61F3">
        <w:t xml:space="preserve">Andrew </w:t>
      </w:r>
      <w:r w:rsidR="009319AB">
        <w:t>Lockwood</w:t>
      </w:r>
      <w:r w:rsidR="00261606">
        <w:t xml:space="preserve"> </w:t>
      </w:r>
      <w:r w:rsidR="00CD0993">
        <w:t>(“</w:t>
      </w:r>
      <w:r w:rsidR="00CD0993" w:rsidRPr="00CD0993">
        <w:rPr>
          <w:b/>
          <w:bCs/>
        </w:rPr>
        <w:t>Mr Lockwood</w:t>
      </w:r>
      <w:r w:rsidR="00CD0993">
        <w:t>”)</w:t>
      </w:r>
      <w:r w:rsidR="009319AB">
        <w:t xml:space="preserve"> decided they should summarily dismiss the Claimants</w:t>
      </w:r>
      <w:r w:rsidR="00D94E51">
        <w:t xml:space="preserve"> on what they considered to be justified grounds; </w:t>
      </w:r>
      <w:r w:rsidR="009319AB">
        <w:t>(</w:t>
      </w:r>
      <w:r w:rsidR="007674CC">
        <w:t>b</w:t>
      </w:r>
      <w:r w:rsidR="009319AB">
        <w:t xml:space="preserve">) the Claimants were then held </w:t>
      </w:r>
      <w:r w:rsidR="00D94E51">
        <w:t xml:space="preserve">by May J </w:t>
      </w:r>
      <w:r w:rsidR="009319AB">
        <w:t>to be Good Leavers</w:t>
      </w:r>
      <w:r w:rsidR="00BF125C">
        <w:t>;</w:t>
      </w:r>
      <w:r w:rsidR="009319AB">
        <w:t xml:space="preserve"> (</w:t>
      </w:r>
      <w:r w:rsidR="007674CC">
        <w:t>c</w:t>
      </w:r>
      <w:r w:rsidR="009319AB">
        <w:t xml:space="preserve">) the </w:t>
      </w:r>
      <w:r w:rsidR="00132571">
        <w:t>c</w:t>
      </w:r>
      <w:r w:rsidR="009319AB">
        <w:t xml:space="preserve">ourt construed the </w:t>
      </w:r>
      <w:r w:rsidR="007674CC">
        <w:t xml:space="preserve">Company’s </w:t>
      </w:r>
      <w:r w:rsidR="009319AB">
        <w:t>Articles incorrectly</w:t>
      </w:r>
      <w:r w:rsidR="007674CC">
        <w:t>; and</w:t>
      </w:r>
      <w:r w:rsidR="009319AB">
        <w:t xml:space="preserve"> (</w:t>
      </w:r>
      <w:r w:rsidR="007674CC">
        <w:t>d</w:t>
      </w:r>
      <w:r w:rsidR="009319AB">
        <w:t xml:space="preserve">) the value of </w:t>
      </w:r>
      <w:r w:rsidR="00DA58C8">
        <w:t>the Company (</w:t>
      </w:r>
      <w:r w:rsidR="009319AB">
        <w:t>on the Claimants’ case) was such that it would have made a material difference</w:t>
      </w:r>
      <w:r w:rsidR="005430E2">
        <w:t xml:space="preserve"> to </w:t>
      </w:r>
      <w:r w:rsidR="00E75118">
        <w:t>the price received by them</w:t>
      </w:r>
      <w:r w:rsidR="009319AB">
        <w:t>.  Th</w:t>
      </w:r>
      <w:r w:rsidR="00026D6F">
        <w:t>e Firm says tha</w:t>
      </w:r>
      <w:r w:rsidR="009319AB">
        <w:t>t chain of events was not one that could have been foreseen during the negotiation of the Transaction.</w:t>
      </w:r>
    </w:p>
    <w:p w14:paraId="67EA0BAE" w14:textId="5C22D208" w:rsidR="009319AB" w:rsidRDefault="00991BA8" w:rsidP="00EF2FE7">
      <w:pPr>
        <w:pStyle w:val="ParaLevel2"/>
      </w:pPr>
      <w:r>
        <w:t>Further, and i</w:t>
      </w:r>
      <w:r w:rsidR="009319AB">
        <w:t>n any event, any such risk was the result of commercial negotiations between the Claimants and their corporate finance advisers Knight Corporate Finance Limited (“</w:t>
      </w:r>
      <w:r w:rsidR="009319AB" w:rsidRPr="00991BA8">
        <w:rPr>
          <w:b/>
          <w:bCs/>
        </w:rPr>
        <w:t>Knight</w:t>
      </w:r>
      <w:r w:rsidR="009319AB">
        <w:t xml:space="preserve">”) and Livingbridge in September 2014.  The </w:t>
      </w:r>
      <w:r>
        <w:t>Firm was</w:t>
      </w:r>
      <w:r w:rsidR="009319AB">
        <w:t xml:space="preserve"> not party to those discussions and w</w:t>
      </w:r>
      <w:r>
        <w:t>as</w:t>
      </w:r>
      <w:r w:rsidR="009319AB">
        <w:t xml:space="preserve"> neither asked nor required to advise on the commercial desirability of the deal.</w:t>
      </w:r>
      <w:r w:rsidR="000F3803">
        <w:t xml:space="preserve">  </w:t>
      </w:r>
      <w:r w:rsidR="0032355C">
        <w:t xml:space="preserve">It says that the commercial </w:t>
      </w:r>
      <w:r w:rsidR="001858EE">
        <w:t xml:space="preserve">aspects were addressed by </w:t>
      </w:r>
      <w:r w:rsidR="000A1A01">
        <w:t xml:space="preserve">the Claimants with the assistance of </w:t>
      </w:r>
      <w:r w:rsidR="001858EE">
        <w:t>Mr Paul Billingham (“</w:t>
      </w:r>
      <w:r w:rsidR="001858EE" w:rsidRPr="00BB1673">
        <w:rPr>
          <w:b/>
          <w:bCs/>
        </w:rPr>
        <w:t>Mr Billingham</w:t>
      </w:r>
      <w:r w:rsidR="00BB1673">
        <w:t xml:space="preserve">”) and </w:t>
      </w:r>
      <w:r w:rsidR="000A1A01">
        <w:t xml:space="preserve">Ms Laura Cockburn </w:t>
      </w:r>
      <w:r w:rsidR="00DB67A4">
        <w:t>(</w:t>
      </w:r>
      <w:r w:rsidR="002F5168">
        <w:t>“</w:t>
      </w:r>
      <w:r w:rsidR="00DB67A4" w:rsidRPr="002F5168">
        <w:rPr>
          <w:b/>
          <w:bCs/>
        </w:rPr>
        <w:t>Ms Cock</w:t>
      </w:r>
      <w:r w:rsidR="002F5168" w:rsidRPr="002F5168">
        <w:rPr>
          <w:b/>
          <w:bCs/>
        </w:rPr>
        <w:t>burn</w:t>
      </w:r>
      <w:r w:rsidR="002F5168">
        <w:t xml:space="preserve">”) </w:t>
      </w:r>
      <w:r w:rsidR="000A1A01">
        <w:t>of Knight.</w:t>
      </w:r>
    </w:p>
    <w:p w14:paraId="5DFB36F4" w14:textId="101A6503" w:rsidR="00A43F5C" w:rsidRDefault="00DD24BA" w:rsidP="00EF2FE7">
      <w:pPr>
        <w:pStyle w:val="ParaLevel2"/>
      </w:pPr>
      <w:r>
        <w:t xml:space="preserve">In relation to </w:t>
      </w:r>
      <w:r w:rsidR="009319AB">
        <w:t>causation and quantum</w:t>
      </w:r>
      <w:r>
        <w:t>, t</w:t>
      </w:r>
      <w:r w:rsidR="009319AB">
        <w:t xml:space="preserve">here was no real or substantial chance that Livingbridge would have agreed to carve out the RPP from a Good Leaver scenario.  </w:t>
      </w:r>
      <w:r w:rsidR="00A43F5C">
        <w:t>T</w:t>
      </w:r>
      <w:r w:rsidR="009319AB">
        <w:t xml:space="preserve">he Claimants would most likely have done the same deal with Livingbridge as </w:t>
      </w:r>
      <w:r w:rsidR="00B832FC">
        <w:t xml:space="preserve">the one </w:t>
      </w:r>
      <w:r w:rsidR="009319AB">
        <w:t>they actual</w:t>
      </w:r>
      <w:r w:rsidR="00B832FC">
        <w:t>ly did conclude</w:t>
      </w:r>
      <w:r w:rsidR="009319AB">
        <w:t>.</w:t>
      </w:r>
    </w:p>
    <w:p w14:paraId="7AF38ED0" w14:textId="60D5E702" w:rsidR="009319AB" w:rsidRDefault="009319AB" w:rsidP="00EF2FE7">
      <w:pPr>
        <w:pStyle w:val="ParaLevel2"/>
      </w:pPr>
      <w:r>
        <w:t>Alternatively</w:t>
      </w:r>
      <w:r w:rsidR="00A43F5C">
        <w:t>, i</w:t>
      </w:r>
      <w:r>
        <w:t>f Livingbridge had been prepared to agree to the proposed carve out (</w:t>
      </w:r>
      <w:r w:rsidRPr="00E9609A">
        <w:t>Scenario 1</w:t>
      </w:r>
      <w:r>
        <w:t>), it would have made no difference, both because (</w:t>
      </w:r>
      <w:r w:rsidR="009A4878">
        <w:t>a</w:t>
      </w:r>
      <w:r>
        <w:t xml:space="preserve">) the Market Value of the Claimants’ shareholdings in </w:t>
      </w:r>
      <w:r w:rsidR="00E60759">
        <w:t xml:space="preserve">the Company </w:t>
      </w:r>
      <w:r>
        <w:t>as at 29 July 2015 was zero, and (</w:t>
      </w:r>
      <w:r w:rsidR="009A4878">
        <w:t>b)</w:t>
      </w:r>
      <w:r>
        <w:t xml:space="preserve"> even if the Claimants had obtained a judgment against </w:t>
      </w:r>
      <w:r w:rsidR="009A4878">
        <w:t>the Company</w:t>
      </w:r>
      <w:r>
        <w:t xml:space="preserve">, they would not have recovered more than they did under the </w:t>
      </w:r>
      <w:r w:rsidR="00087895">
        <w:t xml:space="preserve">compromise of the appeals in the Leaver Litigation </w:t>
      </w:r>
      <w:r>
        <w:t>because</w:t>
      </w:r>
      <w:r w:rsidR="00517BCB">
        <w:t>,</w:t>
      </w:r>
      <w:r>
        <w:t xml:space="preserve"> by the conclusion of th</w:t>
      </w:r>
      <w:r w:rsidR="00517BCB">
        <w:t>at</w:t>
      </w:r>
      <w:r>
        <w:t xml:space="preserve"> </w:t>
      </w:r>
      <w:r w:rsidR="00517BCB">
        <w:t xml:space="preserve">litigation, the Company </w:t>
      </w:r>
      <w:r>
        <w:t xml:space="preserve">was effectively insolvent.  </w:t>
      </w:r>
      <w:r w:rsidR="006F7A4F">
        <w:t xml:space="preserve">On </w:t>
      </w:r>
      <w:r w:rsidR="00A4627D">
        <w:t>the scenario of</w:t>
      </w:r>
      <w:r>
        <w:t xml:space="preserve"> the Claimants </w:t>
      </w:r>
      <w:r w:rsidR="00A4627D">
        <w:t>walking</w:t>
      </w:r>
      <w:r>
        <w:t xml:space="preserve"> away from the </w:t>
      </w:r>
      <w:r w:rsidR="00963BE3">
        <w:t>T</w:t>
      </w:r>
      <w:r>
        <w:t xml:space="preserve">ransaction </w:t>
      </w:r>
      <w:r w:rsidR="00E83CE9">
        <w:t xml:space="preserve">had they been warned of the risk </w:t>
      </w:r>
      <w:r>
        <w:t>(</w:t>
      </w:r>
      <w:r w:rsidRPr="00E9609A">
        <w:t>Scenario 2</w:t>
      </w:r>
      <w:r>
        <w:t>)</w:t>
      </w:r>
      <w:r w:rsidR="00E83CE9">
        <w:t xml:space="preserve"> then </w:t>
      </w:r>
      <w:r>
        <w:t>(</w:t>
      </w:r>
      <w:r w:rsidR="00E83CE9">
        <w:t>a</w:t>
      </w:r>
      <w:r>
        <w:t>) the chance of them concluding a deal with an alternative investor was low, and (</w:t>
      </w:r>
      <w:r w:rsidR="00E83CE9">
        <w:t>b)</w:t>
      </w:r>
      <w:r>
        <w:t xml:space="preserve"> the amount that they would have received would not have exceeded the cash consideration that they received from the</w:t>
      </w:r>
      <w:r w:rsidR="00506C0E">
        <w:t xml:space="preserve"> T</w:t>
      </w:r>
      <w:r>
        <w:t>ransaction</w:t>
      </w:r>
      <w:r w:rsidR="00506C0E">
        <w:t xml:space="preserve">, </w:t>
      </w:r>
      <w:r>
        <w:t>s</w:t>
      </w:r>
      <w:r w:rsidR="00506C0E">
        <w:t>o</w:t>
      </w:r>
      <w:r>
        <w:t xml:space="preserve"> that they suffered no loss. </w:t>
      </w:r>
    </w:p>
    <w:p w14:paraId="6C5587F0" w14:textId="77777777" w:rsidR="00D27571" w:rsidRDefault="009319AB" w:rsidP="00EF2FE7">
      <w:pPr>
        <w:pStyle w:val="ParaLevel2"/>
      </w:pPr>
      <w:bookmarkStart w:id="1" w:name="_Hlk99716783"/>
      <w:r>
        <w:t xml:space="preserve">The claim for the costs of the Leaver Litigation </w:t>
      </w:r>
      <w:r w:rsidR="00706163">
        <w:t>overlooks the point that th</w:t>
      </w:r>
      <w:r>
        <w:t xml:space="preserve">e main issue in that litigation was whether or not the Claimants were Bad Leavers.  That </w:t>
      </w:r>
      <w:r w:rsidR="00706163">
        <w:t xml:space="preserve">issue </w:t>
      </w:r>
      <w:r>
        <w:t xml:space="preserve">had nothing to do with the alleged breaches of duty by the </w:t>
      </w:r>
      <w:r w:rsidR="00706163">
        <w:t>Firm</w:t>
      </w:r>
      <w:r>
        <w:t xml:space="preserve"> and/or was outside the scope of any such duty.  Further, most of those costs were recovered from </w:t>
      </w:r>
      <w:r w:rsidR="00706163">
        <w:t>the Company</w:t>
      </w:r>
      <w:r w:rsidR="00F44B6A">
        <w:t xml:space="preserve">, so even </w:t>
      </w:r>
      <w:r>
        <w:t xml:space="preserve">if the </w:t>
      </w:r>
      <w:r w:rsidR="00F44B6A">
        <w:t>claim was otherwise good</w:t>
      </w:r>
      <w:r w:rsidR="00D27571">
        <w:t xml:space="preserve"> </w:t>
      </w:r>
      <w:r>
        <w:t xml:space="preserve">only a small fraction of the costs </w:t>
      </w:r>
      <w:r w:rsidR="00F44B6A">
        <w:t xml:space="preserve">would therefore </w:t>
      </w:r>
      <w:r>
        <w:t xml:space="preserve">be recoverable. </w:t>
      </w:r>
    </w:p>
    <w:p w14:paraId="72928261" w14:textId="7E2D990F" w:rsidR="00993525" w:rsidRDefault="00AE5997" w:rsidP="00EF2FE7">
      <w:pPr>
        <w:pStyle w:val="ParaLevel2"/>
      </w:pPr>
      <w:r>
        <w:t>The Claimants have been contribu</w:t>
      </w:r>
      <w:r w:rsidR="00D12BBE">
        <w:t>torily negligent and failed</w:t>
      </w:r>
      <w:r w:rsidR="009319AB">
        <w:t xml:space="preserve"> to mitigate.  The </w:t>
      </w:r>
      <w:r w:rsidR="00D12BBE">
        <w:t xml:space="preserve">Firm says they </w:t>
      </w:r>
      <w:r w:rsidR="009319AB">
        <w:t xml:space="preserve">caused or contributed to their own losses both as regards their conduct vis-à-vis </w:t>
      </w:r>
      <w:r w:rsidR="00D12BBE">
        <w:t xml:space="preserve">the Company </w:t>
      </w:r>
      <w:r w:rsidR="009319AB">
        <w:t>post-completion</w:t>
      </w:r>
      <w:r w:rsidR="009955E3">
        <w:t xml:space="preserve"> </w:t>
      </w:r>
      <w:r w:rsidR="00D051C7">
        <w:t xml:space="preserve">of the Transaction </w:t>
      </w:r>
      <w:r w:rsidR="009319AB">
        <w:t>and by reason of the incorrect concession made as to the proper construction of the Articles before May J.</w:t>
      </w:r>
    </w:p>
    <w:bookmarkEnd w:id="1"/>
    <w:p w14:paraId="5BF9DE45" w14:textId="7E972D84" w:rsidR="00D52509" w:rsidRDefault="00993525" w:rsidP="00EF2FE7">
      <w:pPr>
        <w:pStyle w:val="ParaLevel1"/>
      </w:pPr>
      <w:r>
        <w:t>It will be noted</w:t>
      </w:r>
      <w:r w:rsidR="00E9609A">
        <w:t xml:space="preserve"> </w:t>
      </w:r>
      <w:r>
        <w:t xml:space="preserve">that </w:t>
      </w:r>
      <w:r w:rsidR="004A054A">
        <w:t xml:space="preserve">included within </w:t>
      </w:r>
      <w:r>
        <w:t xml:space="preserve">the Firm’s defence </w:t>
      </w:r>
      <w:r w:rsidR="004A054A">
        <w:t>is</w:t>
      </w:r>
      <w:r>
        <w:t xml:space="preserve"> the proposition that a solicitor </w:t>
      </w:r>
      <w:r w:rsidR="004A054A">
        <w:t xml:space="preserve">should not be held to have been </w:t>
      </w:r>
      <w:r>
        <w:t xml:space="preserve">negligent in failing to </w:t>
      </w:r>
      <w:r w:rsidR="004A054A">
        <w:t xml:space="preserve">anticipate </w:t>
      </w:r>
      <w:r>
        <w:t xml:space="preserve">the risk that a judge may reach </w:t>
      </w:r>
      <w:r w:rsidR="004A054A">
        <w:t>(</w:t>
      </w:r>
      <w:r w:rsidR="00B854A4">
        <w:t xml:space="preserve">what the Firm </w:t>
      </w:r>
      <w:r w:rsidR="00850788">
        <w:t>argue</w:t>
      </w:r>
      <w:r w:rsidR="00EE4F9E">
        <w:t>d</w:t>
      </w:r>
      <w:r w:rsidR="00850788">
        <w:t xml:space="preserve"> before me </w:t>
      </w:r>
      <w:r w:rsidR="00AA2178">
        <w:t>was</w:t>
      </w:r>
      <w:r w:rsidR="004A054A">
        <w:t>)</w:t>
      </w:r>
      <w:r w:rsidR="00AA2178">
        <w:t xml:space="preserve"> </w:t>
      </w:r>
      <w:r w:rsidR="00850788">
        <w:t>a</w:t>
      </w:r>
      <w:r w:rsidR="00B854A4">
        <w:t xml:space="preserve"> </w:t>
      </w:r>
      <w:r w:rsidR="00850788">
        <w:t>plainly</w:t>
      </w:r>
      <w:r w:rsidR="005C2191">
        <w:t xml:space="preserve"> </w:t>
      </w:r>
      <w:r>
        <w:t>erroneous conclusion as to the meaning of legal documents which are the subject matter of the solicitor’</w:t>
      </w:r>
      <w:r w:rsidR="00DF2B65">
        <w:t>s</w:t>
      </w:r>
      <w:r>
        <w:t xml:space="preserve"> retainer.</w:t>
      </w:r>
      <w:r w:rsidR="009319AB">
        <w:t xml:space="preserve">  </w:t>
      </w:r>
      <w:r w:rsidR="00832987">
        <w:t xml:space="preserve">The Firm says that </w:t>
      </w:r>
      <w:r w:rsidR="00A74CD2">
        <w:t xml:space="preserve">the </w:t>
      </w:r>
      <w:r w:rsidR="004A054A">
        <w:t xml:space="preserve">court’s </w:t>
      </w:r>
      <w:r w:rsidR="00F7340F">
        <w:t xml:space="preserve">earlier misinterpretation of </w:t>
      </w:r>
      <w:r w:rsidR="0028186D">
        <w:t xml:space="preserve">the Company’s Articles </w:t>
      </w:r>
      <w:r w:rsidR="00B507A8">
        <w:t xml:space="preserve">in 2016 </w:t>
      </w:r>
      <w:r w:rsidR="004A054A">
        <w:t xml:space="preserve">presented a risk which should not be regarded as </w:t>
      </w:r>
      <w:r w:rsidR="00447951">
        <w:t>a material or significant one when viewed from the perspective of the Firm performing its retainer in 2014.</w:t>
      </w:r>
    </w:p>
    <w:p w14:paraId="2D7D2CEA" w14:textId="2A1BF7E0" w:rsidR="00FE4401" w:rsidRPr="00FE4401" w:rsidRDefault="00FE4401" w:rsidP="00EF2FE7">
      <w:pPr>
        <w:pStyle w:val="ParaLevel1"/>
      </w:pPr>
      <w:r w:rsidRPr="00FE4401">
        <w:t xml:space="preserve">I explain the parties’ pleaded cases in a little more detail in </w:t>
      </w:r>
      <w:r w:rsidR="008008B2">
        <w:t>Section F below.</w:t>
      </w:r>
    </w:p>
    <w:p w14:paraId="698B3038" w14:textId="58B4DEA7" w:rsidR="00FE4401" w:rsidRDefault="00961BD8" w:rsidP="00EF2FE7">
      <w:pPr>
        <w:pStyle w:val="ParaLevel1"/>
      </w:pPr>
      <w:r>
        <w:t xml:space="preserve">Those cases were presented at the trial by Mr Richard Leiper QC on behalf of the Claimants </w:t>
      </w:r>
      <w:r w:rsidR="00032DE0">
        <w:t xml:space="preserve">and Mr Nigel Tozzi QC and Mr Alexander Wright </w:t>
      </w:r>
      <w:r w:rsidR="005559D9">
        <w:t xml:space="preserve">(now QC) </w:t>
      </w:r>
      <w:r w:rsidR="00032DE0">
        <w:t>for the Firm.  I am grateful to counsel and their instructing solicitors for the</w:t>
      </w:r>
      <w:r w:rsidR="006658A5">
        <w:t xml:space="preserve"> considerable effort th</w:t>
      </w:r>
      <w:r w:rsidR="00786A2C">
        <w:t xml:space="preserve">at has gone into an orderly and skilful presentation of the </w:t>
      </w:r>
      <w:r w:rsidR="008C76F6">
        <w:t xml:space="preserve">numerous </w:t>
      </w:r>
      <w:r w:rsidR="00EE6757">
        <w:t xml:space="preserve">issues </w:t>
      </w:r>
      <w:r w:rsidR="008C76F6">
        <w:t>in th</w:t>
      </w:r>
      <w:r w:rsidR="00366321">
        <w:t>is</w:t>
      </w:r>
      <w:r w:rsidR="008C76F6">
        <w:t xml:space="preserve"> </w:t>
      </w:r>
      <w:r w:rsidR="00366321">
        <w:t xml:space="preserve">litigation </w:t>
      </w:r>
      <w:r w:rsidR="00EE6757">
        <w:t xml:space="preserve">and the </w:t>
      </w:r>
      <w:r w:rsidR="00A27959">
        <w:t xml:space="preserve">voluminous </w:t>
      </w:r>
      <w:r w:rsidR="00EE6757">
        <w:t xml:space="preserve">evidence </w:t>
      </w:r>
      <w:r w:rsidR="00366321">
        <w:t>which relates to them.</w:t>
      </w:r>
      <w:r w:rsidR="006A0732">
        <w:t xml:space="preserve"> </w:t>
      </w:r>
    </w:p>
    <w:p w14:paraId="20687C77" w14:textId="77777777" w:rsidR="00F61193" w:rsidRDefault="00F61193" w:rsidP="00EF2FE7">
      <w:pPr>
        <w:pStyle w:val="ParaLevel2"/>
        <w:numPr>
          <w:ilvl w:val="0"/>
          <w:numId w:val="0"/>
        </w:numPr>
      </w:pPr>
    </w:p>
    <w:p w14:paraId="7000310E" w14:textId="4D0991AA" w:rsidR="00D41F7A" w:rsidRPr="00F61193" w:rsidRDefault="00046C00" w:rsidP="00EF2FE7">
      <w:pPr>
        <w:pStyle w:val="ParaLevel2"/>
        <w:numPr>
          <w:ilvl w:val="0"/>
          <w:numId w:val="0"/>
        </w:numPr>
        <w:rPr>
          <w:b/>
          <w:bCs/>
          <w:u w:val="single"/>
        </w:rPr>
      </w:pPr>
      <w:r>
        <w:rPr>
          <w:b/>
          <w:bCs/>
          <w:u w:val="single"/>
        </w:rPr>
        <w:t>B.</w:t>
      </w:r>
      <w:r>
        <w:rPr>
          <w:b/>
          <w:bCs/>
          <w:u w:val="single"/>
        </w:rPr>
        <w:tab/>
      </w:r>
      <w:r w:rsidR="00EF2DD5">
        <w:rPr>
          <w:b/>
          <w:bCs/>
          <w:u w:val="single"/>
        </w:rPr>
        <w:t>T</w:t>
      </w:r>
      <w:r w:rsidR="00202A16">
        <w:rPr>
          <w:b/>
          <w:bCs/>
          <w:u w:val="single"/>
        </w:rPr>
        <w:t>HE BACKGROUND TO THE TRANSACTION</w:t>
      </w:r>
    </w:p>
    <w:p w14:paraId="7CAD4D58" w14:textId="1FB0CD10" w:rsidR="00490590" w:rsidRDefault="00EB0D3A" w:rsidP="00EF2FE7">
      <w:pPr>
        <w:pStyle w:val="ParaLevel1"/>
      </w:pPr>
      <w:r>
        <w:t>The business of IP</w:t>
      </w:r>
      <w:r w:rsidR="00244F29">
        <w:t xml:space="preserve"> </w:t>
      </w:r>
      <w:r w:rsidR="00C81FB0">
        <w:t>Solutions w</w:t>
      </w:r>
      <w:r>
        <w:t xml:space="preserve">as started by </w:t>
      </w:r>
      <w:r w:rsidR="00FD68B9">
        <w:t>Mr Richards and Mr Purves in 2001.</w:t>
      </w:r>
      <w:r w:rsidR="00C674E8">
        <w:t xml:space="preserve">  </w:t>
      </w:r>
      <w:r w:rsidR="00B74C93">
        <w:t xml:space="preserve">It sold </w:t>
      </w:r>
      <w:r w:rsidR="00C674E8">
        <w:t>a range of communication technologies such as</w:t>
      </w:r>
      <w:r w:rsidR="00B74C93">
        <w:t xml:space="preserve"> </w:t>
      </w:r>
      <w:r w:rsidR="00C674E8">
        <w:t>mobile services, wired communication services, broadband and conferencing services via a</w:t>
      </w:r>
      <w:r w:rsidR="00B74C93">
        <w:t xml:space="preserve"> </w:t>
      </w:r>
      <w:r w:rsidR="00C674E8">
        <w:t>hosted cloud platform. The business was originally that of a “reseller”, taking a commission</w:t>
      </w:r>
      <w:r w:rsidR="00B74C93">
        <w:t xml:space="preserve"> </w:t>
      </w:r>
      <w:r w:rsidR="00C674E8">
        <w:t>on sales but with no ongoing customer relationship.</w:t>
      </w:r>
      <w:r w:rsidR="00244F29">
        <w:t xml:space="preserve">  </w:t>
      </w:r>
    </w:p>
    <w:p w14:paraId="717AE2D4" w14:textId="5CB79A74" w:rsidR="00C674E8" w:rsidRDefault="00244F29" w:rsidP="00EF2FE7">
      <w:pPr>
        <w:pStyle w:val="ParaLevel1"/>
      </w:pPr>
      <w:r>
        <w:t>In</w:t>
      </w:r>
      <w:r w:rsidR="00C674E8">
        <w:t xml:space="preserve"> 2010, </w:t>
      </w:r>
      <w:r w:rsidR="00C81FB0">
        <w:t xml:space="preserve">the </w:t>
      </w:r>
      <w:r w:rsidR="00C674E8">
        <w:t xml:space="preserve">business model </w:t>
      </w:r>
      <w:r w:rsidR="00C81FB0">
        <w:t xml:space="preserve">changed </w:t>
      </w:r>
      <w:r w:rsidR="00C674E8">
        <w:t>from that of a reseller into a</w:t>
      </w:r>
      <w:r w:rsidR="003B5E7F">
        <w:t xml:space="preserve"> </w:t>
      </w:r>
      <w:r w:rsidR="00C674E8">
        <w:t xml:space="preserve">unified communications </w:t>
      </w:r>
      <w:r w:rsidR="003B5E7F">
        <w:t>(“</w:t>
      </w:r>
      <w:r w:rsidR="003B5E7F" w:rsidRPr="000A0541">
        <w:rPr>
          <w:b/>
          <w:bCs/>
        </w:rPr>
        <w:t>UC</w:t>
      </w:r>
      <w:r w:rsidR="003B5E7F">
        <w:t xml:space="preserve">”) </w:t>
      </w:r>
      <w:r w:rsidR="00C674E8">
        <w:t>provider</w:t>
      </w:r>
      <w:r w:rsidR="003B5E7F">
        <w:t xml:space="preserve">.  </w:t>
      </w:r>
      <w:r w:rsidR="00490590">
        <w:t xml:space="preserve">This involved </w:t>
      </w:r>
      <w:r w:rsidR="00943999">
        <w:t xml:space="preserve">IP Solutions </w:t>
      </w:r>
      <w:r w:rsidR="00C674E8">
        <w:t xml:space="preserve">partnering with established </w:t>
      </w:r>
      <w:r w:rsidR="007D0D33">
        <w:t>seller</w:t>
      </w:r>
      <w:r w:rsidR="00A12D0B">
        <w:t>s</w:t>
      </w:r>
      <w:r w:rsidR="007D0D33">
        <w:t xml:space="preserve"> of </w:t>
      </w:r>
      <w:r w:rsidR="00C674E8">
        <w:t xml:space="preserve">technology to </w:t>
      </w:r>
      <w:r w:rsidR="00B27D95">
        <w:t xml:space="preserve">enable </w:t>
      </w:r>
      <w:r w:rsidR="00943999">
        <w:t xml:space="preserve">the business to </w:t>
      </w:r>
      <w:r w:rsidR="00C674E8">
        <w:t>deliver</w:t>
      </w:r>
      <w:r w:rsidR="00B27D95">
        <w:t xml:space="preserve"> to</w:t>
      </w:r>
      <w:r w:rsidR="007D0D33">
        <w:t xml:space="preserve"> </w:t>
      </w:r>
      <w:r w:rsidR="00C674E8">
        <w:t>its clients</w:t>
      </w:r>
      <w:r w:rsidR="00B27D95">
        <w:t xml:space="preserve"> </w:t>
      </w:r>
      <w:r w:rsidR="00943999">
        <w:t>a</w:t>
      </w:r>
      <w:r w:rsidR="00B27D95">
        <w:t xml:space="preserve"> </w:t>
      </w:r>
      <w:r w:rsidR="00C674E8">
        <w:t xml:space="preserve">managed service </w:t>
      </w:r>
      <w:r w:rsidR="005C6029">
        <w:t xml:space="preserve">and </w:t>
      </w:r>
      <w:r w:rsidR="00B27D95">
        <w:t xml:space="preserve">providing them with </w:t>
      </w:r>
      <w:r w:rsidR="00C674E8">
        <w:t xml:space="preserve">a single </w:t>
      </w:r>
      <w:r w:rsidR="00B27D95">
        <w:t xml:space="preserve">point of </w:t>
      </w:r>
      <w:r w:rsidR="00C674E8">
        <w:t>contact</w:t>
      </w:r>
      <w:r w:rsidR="00B27D95">
        <w:t xml:space="preserve">.  </w:t>
      </w:r>
      <w:r w:rsidR="00280ADB" w:rsidRPr="00280ADB">
        <w:t>Th</w:t>
      </w:r>
      <w:r w:rsidR="00F442D5">
        <w:t>e</w:t>
      </w:r>
      <w:r w:rsidR="00280ADB" w:rsidRPr="00280ADB">
        <w:t xml:space="preserve"> cloud-based technology offered communication services and IT solutions on a business-to-business basis</w:t>
      </w:r>
      <w:r w:rsidR="005C6029">
        <w:t xml:space="preserve">.  </w:t>
      </w:r>
      <w:r w:rsidR="002E3A83">
        <w:t>The</w:t>
      </w:r>
      <w:r w:rsidR="00C674E8">
        <w:t xml:space="preserve"> model</w:t>
      </w:r>
      <w:r w:rsidR="002E3A83">
        <w:t xml:space="preserve"> </w:t>
      </w:r>
      <w:r w:rsidR="00C674E8">
        <w:t>focused on the SME market and operated entirely in the UK</w:t>
      </w:r>
      <w:r w:rsidR="002E3A83">
        <w:t xml:space="preserve">.  </w:t>
      </w:r>
    </w:p>
    <w:p w14:paraId="01CE3E7A" w14:textId="3E4A0C9D" w:rsidR="00FD68B9" w:rsidRDefault="00FD68B9" w:rsidP="00EF2FE7">
      <w:pPr>
        <w:pStyle w:val="ParaLevel1"/>
      </w:pPr>
      <w:r>
        <w:t>By 2014</w:t>
      </w:r>
      <w:r w:rsidR="00E674C4">
        <w:t xml:space="preserve"> th</w:t>
      </w:r>
      <w:r w:rsidR="001F6B5B">
        <w:t xml:space="preserve">is successful </w:t>
      </w:r>
      <w:r w:rsidR="00E674C4">
        <w:t>business was owned by</w:t>
      </w:r>
      <w:r w:rsidR="004D3178">
        <w:t xml:space="preserve"> IPS</w:t>
      </w:r>
      <w:r w:rsidR="00B832FC">
        <w:t xml:space="preserve"> </w:t>
      </w:r>
      <w:r w:rsidR="004D3178">
        <w:t>UK</w:t>
      </w:r>
      <w:r w:rsidR="001F6B5B">
        <w:t>.  It had</w:t>
      </w:r>
      <w:r>
        <w:t xml:space="preserve"> a turnover of some £7 million</w:t>
      </w:r>
      <w:r w:rsidR="001F6B5B">
        <w:t xml:space="preserve"> and </w:t>
      </w:r>
      <w:r>
        <w:t>employ</w:t>
      </w:r>
      <w:r w:rsidR="001F6B5B">
        <w:t xml:space="preserve">ed around </w:t>
      </w:r>
      <w:r>
        <w:t>30 people, garnering a number of awards and being listed in the Sunday Times 'Tech</w:t>
      </w:r>
      <w:r w:rsidR="001F6B5B">
        <w:t xml:space="preserve"> </w:t>
      </w:r>
      <w:r>
        <w:t>Track' as the fastest growing telecoms reseller in 2014.</w:t>
      </w:r>
    </w:p>
    <w:p w14:paraId="7F6340C8" w14:textId="2D65FE68" w:rsidR="00FD68B9" w:rsidRDefault="008A2BA6" w:rsidP="00EF2FE7">
      <w:pPr>
        <w:pStyle w:val="ParaLevel1"/>
      </w:pPr>
      <w:r>
        <w:t xml:space="preserve">Mr Richards and Mr Purves each held a </w:t>
      </w:r>
      <w:r w:rsidR="003945DC">
        <w:t>4</w:t>
      </w:r>
      <w:r w:rsidR="00F63BD3">
        <w:t>2</w:t>
      </w:r>
      <w:r w:rsidR="003945DC">
        <w:t xml:space="preserve">.95% equity stake in IPS UK, </w:t>
      </w:r>
      <w:r w:rsidR="00FD68B9">
        <w:t>holding all of the A shares and almost all of the B shares.</w:t>
      </w:r>
      <w:r w:rsidR="005A00BC">
        <w:t xml:space="preserve">  One of the two minority shareholders was Mr </w:t>
      </w:r>
      <w:r w:rsidR="00257E6B">
        <w:t xml:space="preserve">Andrew Lindsell </w:t>
      </w:r>
      <w:r w:rsidR="00325A09">
        <w:t>(</w:t>
      </w:r>
      <w:r w:rsidR="00DA6059">
        <w:t>“</w:t>
      </w:r>
      <w:r w:rsidR="00325A09" w:rsidRPr="00DA6059">
        <w:rPr>
          <w:b/>
          <w:bCs/>
        </w:rPr>
        <w:t>Mr Lindsell</w:t>
      </w:r>
      <w:r w:rsidR="00DA6059">
        <w:t>”</w:t>
      </w:r>
      <w:r w:rsidR="00325A09">
        <w:t xml:space="preserve">) </w:t>
      </w:r>
      <w:r w:rsidR="00382CC2">
        <w:t>who held a 10</w:t>
      </w:r>
      <w:r w:rsidR="00325A09">
        <w:t>.1</w:t>
      </w:r>
      <w:r w:rsidR="00382CC2">
        <w:t xml:space="preserve">% stake. </w:t>
      </w:r>
    </w:p>
    <w:p w14:paraId="512B37BD" w14:textId="5C66A843" w:rsidR="00EE4FCA" w:rsidRPr="00EE4FCA" w:rsidRDefault="00FD68B9" w:rsidP="00EF2FE7">
      <w:pPr>
        <w:pStyle w:val="ParaLevel1"/>
      </w:pPr>
      <w:r>
        <w:t>In late 2013</w:t>
      </w:r>
      <w:r w:rsidR="00672C58">
        <w:t xml:space="preserve"> or </w:t>
      </w:r>
      <w:r>
        <w:t>early 2014 the</w:t>
      </w:r>
      <w:r w:rsidR="00A65D55">
        <w:t xml:space="preserve">y decided </w:t>
      </w:r>
      <w:r>
        <w:t>to evaluate their options</w:t>
      </w:r>
      <w:r w:rsidR="00A65D55">
        <w:t xml:space="preserve"> going forward</w:t>
      </w:r>
      <w:r>
        <w:t xml:space="preserve">: </w:t>
      </w:r>
      <w:r w:rsidR="00C70BCD">
        <w:t xml:space="preserve">either </w:t>
      </w:r>
      <w:r>
        <w:t xml:space="preserve">to exit the business </w:t>
      </w:r>
      <w:r w:rsidR="00A46E5E">
        <w:t xml:space="preserve">completely </w:t>
      </w:r>
      <w:r>
        <w:t>or to take on external investment in order to</w:t>
      </w:r>
      <w:r w:rsidR="0006184B">
        <w:t xml:space="preserve"> </w:t>
      </w:r>
      <w:r>
        <w:t xml:space="preserve">grow the business </w:t>
      </w:r>
      <w:r w:rsidR="00894D78">
        <w:t xml:space="preserve">with them retaining </w:t>
      </w:r>
      <w:r w:rsidR="00A46E5E" w:rsidRPr="00A46E5E">
        <w:t>both shares and management positions in the business</w:t>
      </w:r>
      <w:r w:rsidR="00F96EF9">
        <w:t xml:space="preserve">, </w:t>
      </w:r>
      <w:r w:rsidR="00894D78">
        <w:t xml:space="preserve">whilst </w:t>
      </w:r>
      <w:r w:rsidR="00894D78" w:rsidRPr="00894D78">
        <w:t>at the same time reducing their risk exposure by realising some capital</w:t>
      </w:r>
      <w:r>
        <w:t xml:space="preserve">. </w:t>
      </w:r>
      <w:r w:rsidR="00EE4FCA" w:rsidRPr="00EE4FCA">
        <w:t>The second option would involve seeking a capital injection, together with the experience and guidance necessary to put in place some of the corporate structures which would allow the business to grow to the next level.</w:t>
      </w:r>
    </w:p>
    <w:p w14:paraId="6F01BCB1" w14:textId="7B91AA49" w:rsidR="000A6C3F" w:rsidRPr="000A6C3F" w:rsidRDefault="00D57277" w:rsidP="00EF2FE7">
      <w:pPr>
        <w:pStyle w:val="ParaLevel1"/>
      </w:pPr>
      <w:r w:rsidRPr="00D57277">
        <w:t xml:space="preserve">In January 2014 they appointed </w:t>
      </w:r>
      <w:r w:rsidR="007455F3">
        <w:t>K</w:t>
      </w:r>
      <w:r w:rsidRPr="00D57277">
        <w:t>night</w:t>
      </w:r>
      <w:r w:rsidR="007455F3">
        <w:t xml:space="preserve"> </w:t>
      </w:r>
      <w:r w:rsidRPr="00D57277">
        <w:t xml:space="preserve">to advise them on their options. </w:t>
      </w:r>
      <w:r w:rsidR="00F96EF9">
        <w:t xml:space="preserve"> </w:t>
      </w:r>
      <w:r w:rsidR="003A7813">
        <w:t>At the same time they</w:t>
      </w:r>
      <w:r w:rsidR="000A6C3F">
        <w:t xml:space="preserve"> </w:t>
      </w:r>
      <w:r w:rsidR="000A6C3F" w:rsidRPr="000A6C3F">
        <w:t>also appointed Simon Howitt</w:t>
      </w:r>
      <w:r w:rsidR="002B7CB6">
        <w:t xml:space="preserve"> (“</w:t>
      </w:r>
      <w:r w:rsidR="002B7CB6" w:rsidRPr="002B7CB6">
        <w:rPr>
          <w:b/>
          <w:bCs/>
        </w:rPr>
        <w:t>Mr Howitt</w:t>
      </w:r>
      <w:r w:rsidR="002B7CB6">
        <w:t>”)</w:t>
      </w:r>
      <w:r w:rsidR="000A6C3F" w:rsidRPr="000A6C3F">
        <w:t>, of Show Consulting Limited, as chairman of IPS UK with a remit that included advising on the potential</w:t>
      </w:r>
      <w:r w:rsidR="00B73895">
        <w:t>s of an outright</w:t>
      </w:r>
      <w:r w:rsidR="000A6C3F" w:rsidRPr="000A6C3F">
        <w:t xml:space="preserve"> sale of the business, institutional investment or </w:t>
      </w:r>
      <w:r w:rsidR="00D879F0">
        <w:t xml:space="preserve">some form of </w:t>
      </w:r>
      <w:r w:rsidR="000A6C3F" w:rsidRPr="000A6C3F">
        <w:t>strategic partnership.</w:t>
      </w:r>
    </w:p>
    <w:p w14:paraId="2A850F01" w14:textId="72EC1698" w:rsidR="009A65C0" w:rsidRDefault="00A67910" w:rsidP="00EF2FE7">
      <w:pPr>
        <w:pStyle w:val="ParaLevel1"/>
      </w:pPr>
      <w:r>
        <w:t>The</w:t>
      </w:r>
      <w:r w:rsidR="00CE4852">
        <w:t xml:space="preserve"> Claimants </w:t>
      </w:r>
      <w:r>
        <w:t>decided to go with the second</w:t>
      </w:r>
      <w:r w:rsidR="00CE4852">
        <w:t xml:space="preserve"> option</w:t>
      </w:r>
      <w:r>
        <w:t>, the p</w:t>
      </w:r>
      <w:r w:rsidR="00F96EF9" w:rsidRPr="00F96EF9">
        <w:t xml:space="preserve">ursuit of </w:t>
      </w:r>
      <w:r>
        <w:t xml:space="preserve">which </w:t>
      </w:r>
      <w:r w:rsidR="00F96EF9" w:rsidRPr="00F96EF9">
        <w:t>became known as ‘</w:t>
      </w:r>
      <w:r w:rsidR="00F96EF9" w:rsidRPr="00BB47A9">
        <w:rPr>
          <w:b/>
          <w:bCs/>
        </w:rPr>
        <w:t>Project Spur</w:t>
      </w:r>
      <w:r w:rsidR="00F96EF9" w:rsidRPr="00F96EF9">
        <w:t>’.</w:t>
      </w:r>
      <w:r w:rsidR="00BB47A9">
        <w:t xml:space="preserve">  </w:t>
      </w:r>
      <w:r w:rsidR="00886C0D">
        <w:t>Mr</w:t>
      </w:r>
      <w:r w:rsidR="00D57277" w:rsidRPr="00D57277">
        <w:t xml:space="preserve"> Billingham</w:t>
      </w:r>
      <w:r w:rsidR="00886C0D">
        <w:t xml:space="preserve"> and Ms Cockburn of K</w:t>
      </w:r>
      <w:r w:rsidR="00D57277" w:rsidRPr="00D57277">
        <w:t>night</w:t>
      </w:r>
      <w:r w:rsidR="00886C0D">
        <w:t xml:space="preserve"> were</w:t>
      </w:r>
      <w:r w:rsidR="00D57277" w:rsidRPr="00D57277">
        <w:t xml:space="preserve"> </w:t>
      </w:r>
      <w:r w:rsidR="00EE4FCA">
        <w:t xml:space="preserve">responsible </w:t>
      </w:r>
      <w:r w:rsidR="00751D85">
        <w:t xml:space="preserve">for </w:t>
      </w:r>
      <w:r w:rsidR="00C41CCD">
        <w:t>c</w:t>
      </w:r>
      <w:r w:rsidR="009A65C0">
        <w:t>onducting the sale</w:t>
      </w:r>
      <w:r w:rsidR="00C41CCD">
        <w:t xml:space="preserve"> </w:t>
      </w:r>
      <w:r w:rsidR="009A65C0">
        <w:t>process and advising on the key commercial terms of the proposed transaction</w:t>
      </w:r>
      <w:r>
        <w:t xml:space="preserve">. </w:t>
      </w:r>
    </w:p>
    <w:p w14:paraId="7E72B4F7" w14:textId="63A5A201" w:rsidR="00005EFE" w:rsidRDefault="00BB47A9" w:rsidP="00EF2FE7">
      <w:pPr>
        <w:pStyle w:val="ParaLevel1"/>
      </w:pPr>
      <w:r>
        <w:t xml:space="preserve">The formal sale process was commenced in February 2014. </w:t>
      </w:r>
      <w:r w:rsidR="00D46EBF">
        <w:t xml:space="preserve"> </w:t>
      </w:r>
      <w:r>
        <w:t xml:space="preserve">A number of parties expressed interest and </w:t>
      </w:r>
      <w:r w:rsidR="00C57450">
        <w:t xml:space="preserve">12 of them </w:t>
      </w:r>
      <w:r>
        <w:t xml:space="preserve">signed non-disclosure agreements.  These comprised </w:t>
      </w:r>
      <w:r w:rsidR="00B50D87">
        <w:t>7</w:t>
      </w:r>
      <w:r>
        <w:t xml:space="preserve"> trade buyers and 5 private equity houses. A more</w:t>
      </w:r>
      <w:r w:rsidR="00E0426F">
        <w:t xml:space="preserve"> </w:t>
      </w:r>
      <w:r>
        <w:t>detailed Information Memorandum was issued by Knight in March 2014, following which 7</w:t>
      </w:r>
      <w:r w:rsidR="00E0426F">
        <w:t xml:space="preserve"> </w:t>
      </w:r>
      <w:r>
        <w:t xml:space="preserve">parties expressed firmer interest and meetings followed. </w:t>
      </w:r>
      <w:r w:rsidR="00A238FA">
        <w:t xml:space="preserve"> Indicative </w:t>
      </w:r>
      <w:r>
        <w:t>offers were then received from</w:t>
      </w:r>
      <w:r w:rsidR="000B13CB">
        <w:t xml:space="preserve"> </w:t>
      </w:r>
      <w:r w:rsidR="00637122">
        <w:t xml:space="preserve">6 </w:t>
      </w:r>
      <w:r>
        <w:t>parties</w:t>
      </w:r>
      <w:r w:rsidR="00CE2906">
        <w:t xml:space="preserve">: </w:t>
      </w:r>
      <w:r w:rsidR="008642EE">
        <w:t>4</w:t>
      </w:r>
      <w:r>
        <w:t xml:space="preserve"> trade buyers</w:t>
      </w:r>
      <w:r w:rsidR="00496AB2">
        <w:t xml:space="preserve">, </w:t>
      </w:r>
      <w:r w:rsidR="008D036C">
        <w:t xml:space="preserve">Livingbridge </w:t>
      </w:r>
      <w:r w:rsidR="00AF4A58">
        <w:t>(</w:t>
      </w:r>
      <w:r w:rsidR="008D036C">
        <w:t xml:space="preserve">which at the time was </w:t>
      </w:r>
      <w:r>
        <w:t>called ISIS EP LLP</w:t>
      </w:r>
      <w:r w:rsidR="00CE2906">
        <w:t xml:space="preserve"> </w:t>
      </w:r>
      <w:r>
        <w:t>but later c</w:t>
      </w:r>
      <w:r w:rsidR="00CE2906">
        <w:t>hanged its name</w:t>
      </w:r>
      <w:r w:rsidR="00A238FA">
        <w:t xml:space="preserve"> </w:t>
      </w:r>
      <w:r w:rsidR="00CE2906">
        <w:t xml:space="preserve">to </w:t>
      </w:r>
      <w:r>
        <w:t>Livingbridge</w:t>
      </w:r>
      <w:r w:rsidR="00CE2906">
        <w:t xml:space="preserve"> </w:t>
      </w:r>
      <w:r>
        <w:t>EP LLP</w:t>
      </w:r>
      <w:r w:rsidR="00AF4A58">
        <w:t>)</w:t>
      </w:r>
      <w:r w:rsidR="00496AB2">
        <w:t xml:space="preserve"> and</w:t>
      </w:r>
      <w:r w:rsidR="00D67FE5">
        <w:t xml:space="preserve"> </w:t>
      </w:r>
      <w:r w:rsidR="00496AB2">
        <w:t xml:space="preserve">Maven </w:t>
      </w:r>
      <w:r w:rsidR="006C17E1" w:rsidRPr="006C17E1">
        <w:t>Capital Partners UK Plc (</w:t>
      </w:r>
      <w:r w:rsidR="005A3BF0">
        <w:t>“</w:t>
      </w:r>
      <w:r w:rsidR="005A3BF0" w:rsidRPr="005A3BF0">
        <w:rPr>
          <w:b/>
          <w:bCs/>
        </w:rPr>
        <w:t>Maven</w:t>
      </w:r>
      <w:r w:rsidR="005A3BF0">
        <w:t xml:space="preserve">”, </w:t>
      </w:r>
      <w:r w:rsidR="006C17E1" w:rsidRPr="006C17E1">
        <w:t>another private equity firm).</w:t>
      </w:r>
      <w:r w:rsidR="00AD62EE">
        <w:t xml:space="preserve"> </w:t>
      </w:r>
      <w:r w:rsidR="00450BC1">
        <w:t>However, it appears that b</w:t>
      </w:r>
      <w:r w:rsidR="00FD526D" w:rsidRPr="00FD526D">
        <w:t>y June 2014</w:t>
      </w:r>
      <w:r w:rsidR="00450BC1">
        <w:t xml:space="preserve"> only one </w:t>
      </w:r>
      <w:r w:rsidR="00A238FA">
        <w:t xml:space="preserve">of the </w:t>
      </w:r>
      <w:r w:rsidR="00FD526D" w:rsidRPr="00FD526D">
        <w:t>trade buyer</w:t>
      </w:r>
      <w:r w:rsidR="00A238FA">
        <w:t>s</w:t>
      </w:r>
      <w:r w:rsidR="00A078A3">
        <w:t xml:space="preserve">, </w:t>
      </w:r>
      <w:r w:rsidR="008A1D59">
        <w:t>GCI Telecom Group Limited</w:t>
      </w:r>
      <w:r w:rsidR="00FD526D" w:rsidRPr="00FD526D">
        <w:t xml:space="preserve"> </w:t>
      </w:r>
      <w:r w:rsidR="009D038E">
        <w:t>(</w:t>
      </w:r>
      <w:r w:rsidR="00D61021" w:rsidRPr="00D61021">
        <w:t>“</w:t>
      </w:r>
      <w:r w:rsidR="00987755" w:rsidRPr="00987755">
        <w:rPr>
          <w:b/>
          <w:bCs/>
        </w:rPr>
        <w:t>GCI</w:t>
      </w:r>
      <w:r w:rsidR="00D61021">
        <w:t>”</w:t>
      </w:r>
      <w:r w:rsidR="00987755">
        <w:t xml:space="preserve">) </w:t>
      </w:r>
      <w:r w:rsidR="00450BC1">
        <w:t xml:space="preserve">was </w:t>
      </w:r>
      <w:r w:rsidR="00FD526D" w:rsidRPr="00FD526D">
        <w:t xml:space="preserve">left in contention, </w:t>
      </w:r>
      <w:r w:rsidR="003A7B66">
        <w:t xml:space="preserve">alongside Livingbridge, </w:t>
      </w:r>
      <w:r w:rsidR="00F27C14">
        <w:t xml:space="preserve">though Knight were expressing </w:t>
      </w:r>
      <w:r w:rsidR="002A5D47">
        <w:t xml:space="preserve">some </w:t>
      </w:r>
      <w:r w:rsidR="00F27C14">
        <w:t>doubt</w:t>
      </w:r>
      <w:r w:rsidR="00326940">
        <w:t xml:space="preserve"> over the credibility of </w:t>
      </w:r>
      <w:r w:rsidR="002A5D47">
        <w:t>thei</w:t>
      </w:r>
      <w:r w:rsidR="009C3985">
        <w:t>r contemplated purchase</w:t>
      </w:r>
      <w:r w:rsidR="00750BF4">
        <w:t>.</w:t>
      </w:r>
      <w:r w:rsidR="00A238FA">
        <w:t xml:space="preserve">  I return below to the offers which had been made by GCI and the other potential buyers – </w:t>
      </w:r>
      <w:r w:rsidR="007F1293">
        <w:t xml:space="preserve">Coms, </w:t>
      </w:r>
      <w:r w:rsidR="00AD62EE">
        <w:t xml:space="preserve">Maven, </w:t>
      </w:r>
      <w:r w:rsidR="00A238FA">
        <w:t>Intercity</w:t>
      </w:r>
      <w:r w:rsidR="00E5598A">
        <w:t xml:space="preserve"> and </w:t>
      </w:r>
      <w:r w:rsidR="00A238FA">
        <w:t xml:space="preserve">Adept </w:t>
      </w:r>
      <w:r w:rsidR="00E5598A">
        <w:t xml:space="preserve">(a further potential </w:t>
      </w:r>
      <w:r w:rsidR="007A5EF7">
        <w:t xml:space="preserve">trade buyer, </w:t>
      </w:r>
      <w:r w:rsidR="00A238FA">
        <w:t>Node 4</w:t>
      </w:r>
      <w:r w:rsidR="007A5EF7">
        <w:t xml:space="preserve">, having made </w:t>
      </w:r>
      <w:r w:rsidR="00017B2F">
        <w:t>an outline offer during a telephone call</w:t>
      </w:r>
      <w:r w:rsidR="007A5EF7">
        <w:t xml:space="preserve"> </w:t>
      </w:r>
      <w:r w:rsidR="00D2358A">
        <w:t>with Mr Billingham</w:t>
      </w:r>
      <w:r w:rsidR="00C863F3">
        <w:t>, in April 2014,</w:t>
      </w:r>
      <w:r w:rsidR="00D2358A">
        <w:t xml:space="preserve"> on which it did not follow up</w:t>
      </w:r>
      <w:r w:rsidR="00017B2F">
        <w:t xml:space="preserve">) </w:t>
      </w:r>
      <w:r w:rsidR="00A238FA">
        <w:t xml:space="preserve">– in the context of </w:t>
      </w:r>
      <w:r w:rsidR="00876893">
        <w:t xml:space="preserve">evaluating </w:t>
      </w:r>
      <w:r w:rsidR="00A238FA">
        <w:t xml:space="preserve">the Claimants’ </w:t>
      </w:r>
      <w:r w:rsidR="00D2358A">
        <w:t xml:space="preserve">loss of a chance </w:t>
      </w:r>
      <w:r w:rsidR="00AC285D">
        <w:t>under Scenario 2.</w:t>
      </w:r>
      <w:r w:rsidR="00A238FA">
        <w:t xml:space="preserve"> </w:t>
      </w:r>
      <w:r w:rsidR="00750BF4">
        <w:t xml:space="preserve"> </w:t>
      </w:r>
    </w:p>
    <w:p w14:paraId="20E98B95" w14:textId="570305D6" w:rsidR="00CE2906" w:rsidRDefault="001C1D8B" w:rsidP="00EF2FE7">
      <w:pPr>
        <w:pStyle w:val="ParaLevel1"/>
      </w:pPr>
      <w:r>
        <w:t>Mr Richards and Mr Purves decided to p</w:t>
      </w:r>
      <w:r w:rsidR="00D23D67">
        <w:t>ursue</w:t>
      </w:r>
      <w:r>
        <w:t xml:space="preserve"> the outline offer with Livingbridge. This would </w:t>
      </w:r>
      <w:r w:rsidR="00EA2A42">
        <w:t xml:space="preserve">provide them with </w:t>
      </w:r>
      <w:r>
        <w:t>three key elements:</w:t>
      </w:r>
      <w:r w:rsidR="00EA2A42">
        <w:t xml:space="preserve"> </w:t>
      </w:r>
      <w:r>
        <w:t xml:space="preserve">(a) </w:t>
      </w:r>
      <w:r w:rsidR="006557C6">
        <w:t>a</w:t>
      </w:r>
      <w:r>
        <w:t>n initial cash payment;</w:t>
      </w:r>
      <w:r w:rsidR="00EA2A42">
        <w:t xml:space="preserve"> </w:t>
      </w:r>
      <w:r>
        <w:t xml:space="preserve">(b) </w:t>
      </w:r>
      <w:r w:rsidR="00240901">
        <w:t>a</w:t>
      </w:r>
      <w:r>
        <w:t>n exit at 3-5 years following anticipated continued growth in light of the expertise offered</w:t>
      </w:r>
      <w:r w:rsidR="00EA2A42">
        <w:t xml:space="preserve"> </w:t>
      </w:r>
      <w:r>
        <w:t>by Livingbridge</w:t>
      </w:r>
      <w:r w:rsidR="00B552C7">
        <w:t xml:space="preserve"> from </w:t>
      </w:r>
      <w:r w:rsidR="00107AC5">
        <w:t>which the value of their rollover equity would benefit</w:t>
      </w:r>
      <w:r>
        <w:t>;</w:t>
      </w:r>
      <w:r w:rsidR="00EA2A42">
        <w:t xml:space="preserve"> and </w:t>
      </w:r>
      <w:r>
        <w:t xml:space="preserve">(c) </w:t>
      </w:r>
      <w:r w:rsidR="00240901">
        <w:t>c</w:t>
      </w:r>
      <w:r>
        <w:t>ontinued earnings until exit (with Mr Richards as CEO and Mr Purves as Sales Director).</w:t>
      </w:r>
    </w:p>
    <w:p w14:paraId="7FBCDA22" w14:textId="4169AA07" w:rsidR="002F6391" w:rsidRDefault="002F6391" w:rsidP="00EF2FE7">
      <w:pPr>
        <w:pStyle w:val="ParaLevel1"/>
      </w:pPr>
      <w:r>
        <w:t xml:space="preserve">Livingbridge made an indicative offer on 25 March 2014 </w:t>
      </w:r>
      <w:r w:rsidR="00FE4461">
        <w:t xml:space="preserve">with revised </w:t>
      </w:r>
      <w:r>
        <w:t xml:space="preserve">proposals </w:t>
      </w:r>
      <w:r w:rsidR="00FE4461">
        <w:t xml:space="preserve">following </w:t>
      </w:r>
      <w:r>
        <w:t xml:space="preserve">on 19 May 2014 and 25 June 2014.  </w:t>
      </w:r>
      <w:r w:rsidR="00F650BD" w:rsidRPr="00F650BD">
        <w:t xml:space="preserve">Livingbridge acted principally through </w:t>
      </w:r>
      <w:r w:rsidR="00F650BD">
        <w:t xml:space="preserve">Mr </w:t>
      </w:r>
      <w:r w:rsidR="00F650BD" w:rsidRPr="00F650BD">
        <w:t>Paul Morris</w:t>
      </w:r>
      <w:r w:rsidR="00F650BD">
        <w:t xml:space="preserve"> (“</w:t>
      </w:r>
      <w:r w:rsidR="00F650BD" w:rsidRPr="00F650BD">
        <w:rPr>
          <w:b/>
          <w:bCs/>
        </w:rPr>
        <w:t>Mr Morris</w:t>
      </w:r>
      <w:r w:rsidR="00F650BD">
        <w:t>”).</w:t>
      </w:r>
    </w:p>
    <w:p w14:paraId="0B0946F6" w14:textId="150BC9A1" w:rsidR="002F6391" w:rsidRDefault="002F6391" w:rsidP="00EF2FE7">
      <w:pPr>
        <w:pStyle w:val="ParaLevel1"/>
      </w:pPr>
      <w:r>
        <w:t>Livingbridge’s offer of 25 June 2014 enclosed certain “</w:t>
      </w:r>
      <w:r w:rsidRPr="000F2C51">
        <w:rPr>
          <w:i/>
          <w:iCs/>
        </w:rPr>
        <w:t>Key Points</w:t>
      </w:r>
      <w:r>
        <w:t>” for the “</w:t>
      </w:r>
      <w:r w:rsidRPr="000F2C51">
        <w:rPr>
          <w:i/>
          <w:iCs/>
        </w:rPr>
        <w:t>Legal Documents</w:t>
      </w:r>
      <w:r>
        <w:t>”, including terms as to what would happen to any rollover equity should the Claimants</w:t>
      </w:r>
      <w:r w:rsidR="00C703F0">
        <w:t>,</w:t>
      </w:r>
      <w:r>
        <w:t xml:space="preserve"> or Mr Lindsell</w:t>
      </w:r>
      <w:r w:rsidR="00C703F0">
        <w:t>,</w:t>
      </w:r>
      <w:r>
        <w:t xml:space="preserve"> leave the business (“</w:t>
      </w:r>
      <w:r w:rsidRPr="00DB3A80">
        <w:rPr>
          <w:b/>
          <w:bCs/>
        </w:rPr>
        <w:t>the Leaver Provisions</w:t>
      </w:r>
      <w:r>
        <w:t>”).  This would depend upon the “class” of Leaver.  For example, a person wrongfully dismissed would be a “</w:t>
      </w:r>
      <w:r w:rsidRPr="000F2C51">
        <w:rPr>
          <w:i/>
          <w:iCs/>
        </w:rPr>
        <w:t>Good Leaver</w:t>
      </w:r>
      <w:r>
        <w:t>” and receive Market Value for their shares.  A person who resigned who was a “</w:t>
      </w:r>
      <w:r w:rsidRPr="00E63679">
        <w:rPr>
          <w:i/>
          <w:iCs/>
        </w:rPr>
        <w:t>Bad Leaver</w:t>
      </w:r>
      <w:r>
        <w:t>” would receive only £1.  An intermediate category of “</w:t>
      </w:r>
      <w:r w:rsidRPr="007A01B5">
        <w:rPr>
          <w:i/>
          <w:iCs/>
        </w:rPr>
        <w:t>Other Leaver</w:t>
      </w:r>
      <w:r>
        <w:t>”, including those dismissed on notice, would receive</w:t>
      </w:r>
      <w:r w:rsidR="008F4785">
        <w:t xml:space="preserve"> </w:t>
      </w:r>
      <w:r w:rsidR="00B13EB7">
        <w:t>his</w:t>
      </w:r>
      <w:r w:rsidR="00335AF5">
        <w:t xml:space="preserve"> so-called</w:t>
      </w:r>
      <w:r>
        <w:t xml:space="preserve"> </w:t>
      </w:r>
      <w:r w:rsidR="00DE1300">
        <w:t>‘</w:t>
      </w:r>
      <w:r>
        <w:t>vesting rights</w:t>
      </w:r>
      <w:r w:rsidR="00DE1300">
        <w:t>’</w:t>
      </w:r>
      <w:r>
        <w:t xml:space="preserve"> </w:t>
      </w:r>
      <w:r w:rsidR="00AD0D28">
        <w:t xml:space="preserve">(of value) </w:t>
      </w:r>
      <w:r>
        <w:t>over time.</w:t>
      </w:r>
    </w:p>
    <w:p w14:paraId="43D6965B" w14:textId="4002CF11" w:rsidR="00C650C3" w:rsidRPr="00C650C3" w:rsidRDefault="00C650C3" w:rsidP="00EF2FE7">
      <w:pPr>
        <w:pStyle w:val="ParaLevel1"/>
      </w:pPr>
      <w:r w:rsidRPr="00C650C3">
        <w:t xml:space="preserve">Livingbridge made a revised offer on 11 July 2014.  </w:t>
      </w:r>
      <w:r>
        <w:t>Amongst other matters</w:t>
      </w:r>
      <w:r w:rsidRPr="00C650C3">
        <w:t>, this improved the vesting rights for</w:t>
      </w:r>
      <w:r w:rsidR="00D30F10">
        <w:t xml:space="preserve"> an</w:t>
      </w:r>
      <w:r w:rsidRPr="00C650C3">
        <w:t xml:space="preserve"> Other Leaver.  </w:t>
      </w:r>
    </w:p>
    <w:p w14:paraId="41C8CFBF" w14:textId="617D7A05" w:rsidR="006D1ED1" w:rsidRPr="006D1ED1" w:rsidRDefault="006D1ED1" w:rsidP="00EF2FE7">
      <w:pPr>
        <w:pStyle w:val="ParaLevel1"/>
      </w:pPr>
      <w:r w:rsidRPr="006D1ED1">
        <w:t>On 18 July 2014, Mr Billingham forwarded Livingbridge’s offer of 11 July 2014 to the Fir</w:t>
      </w:r>
      <w:r w:rsidR="005F7EBC">
        <w:t>m (then the First Defendant)</w:t>
      </w:r>
      <w:r w:rsidRPr="006D1ED1">
        <w:t xml:space="preserve"> to act for the Claimants</w:t>
      </w:r>
      <w:r w:rsidR="00B44541">
        <w:t>.</w:t>
      </w:r>
      <w:r w:rsidRPr="006D1ED1">
        <w:t xml:space="preserve">  Indicative fees and a proposed scope of work w</w:t>
      </w:r>
      <w:r w:rsidR="001D71E8">
        <w:t>ere</w:t>
      </w:r>
      <w:r w:rsidRPr="006D1ED1">
        <w:t xml:space="preserve"> set out </w:t>
      </w:r>
      <w:r w:rsidR="001D71E8">
        <w:t xml:space="preserve">by the Firm </w:t>
      </w:r>
      <w:r w:rsidRPr="006D1ED1">
        <w:t xml:space="preserve">on 21 July 2014.  </w:t>
      </w:r>
      <w:r w:rsidR="001D71E8">
        <w:t xml:space="preserve">The following day Livinbridge </w:t>
      </w:r>
      <w:r w:rsidR="00E33669">
        <w:t xml:space="preserve">sent draft Heads of Terms to Knight and, in late July and </w:t>
      </w:r>
      <w:r w:rsidR="003C2ADE">
        <w:t xml:space="preserve">in the context of the Claimants confirming the Firm would be instructed but before </w:t>
      </w:r>
      <w:r w:rsidR="00A317F6">
        <w:t xml:space="preserve">it had been formally retained, </w:t>
      </w:r>
      <w:r w:rsidR="00C71C5C">
        <w:t>Mr Adam Crossley of the Firm (“</w:t>
      </w:r>
      <w:r w:rsidR="00C71C5C" w:rsidRPr="00C71C5C">
        <w:rPr>
          <w:b/>
          <w:bCs/>
        </w:rPr>
        <w:t>Mr Crossley</w:t>
      </w:r>
      <w:r w:rsidR="00C71C5C">
        <w:t xml:space="preserve">”) </w:t>
      </w:r>
      <w:r w:rsidR="006F4A8D">
        <w:t xml:space="preserve">had </w:t>
      </w:r>
      <w:r w:rsidR="00A977BF">
        <w:t xml:space="preserve">provided some advice on the leaver provisions in the draft terms.  </w:t>
      </w:r>
      <w:r w:rsidRPr="006D1ED1">
        <w:t xml:space="preserve">The </w:t>
      </w:r>
      <w:r w:rsidR="001248CF">
        <w:t xml:space="preserve">Firm’s </w:t>
      </w:r>
      <w:r w:rsidR="00A317F6">
        <w:t>r</w:t>
      </w:r>
      <w:r w:rsidRPr="006D1ED1">
        <w:t xml:space="preserve">etainer </w:t>
      </w:r>
      <w:r w:rsidR="00A317F6">
        <w:t xml:space="preserve">letter </w:t>
      </w:r>
      <w:r w:rsidRPr="006D1ED1">
        <w:t xml:space="preserve">was in due course issued on 19 August 2014.  </w:t>
      </w:r>
    </w:p>
    <w:p w14:paraId="1CE3DA18" w14:textId="723E7AB5" w:rsidR="006D1ED1" w:rsidRDefault="001F751D" w:rsidP="00EF2FE7">
      <w:pPr>
        <w:pStyle w:val="ParaLevel1"/>
      </w:pPr>
      <w:r w:rsidRPr="001F751D">
        <w:t xml:space="preserve">The </w:t>
      </w:r>
      <w:r w:rsidR="00751DA9">
        <w:t xml:space="preserve">Firm’s </w:t>
      </w:r>
      <w:r w:rsidRPr="001F751D">
        <w:t xml:space="preserve">team on the </w:t>
      </w:r>
      <w:r w:rsidR="00506C0E">
        <w:t>T</w:t>
      </w:r>
      <w:r w:rsidRPr="001F751D">
        <w:t>ransaction was led by Mr Crossley</w:t>
      </w:r>
      <w:r w:rsidR="006F4A8D">
        <w:t xml:space="preserve"> who was</w:t>
      </w:r>
      <w:r w:rsidRPr="001F751D">
        <w:t xml:space="preserve"> an experienced private equity lawyer.  </w:t>
      </w:r>
      <w:r w:rsidR="00A62666">
        <w:t>Mr Crossley</w:t>
      </w:r>
      <w:r w:rsidR="00A62666" w:rsidRPr="00A62666">
        <w:t xml:space="preserve"> was assisted </w:t>
      </w:r>
      <w:r w:rsidR="007221F4">
        <w:t xml:space="preserve">principally </w:t>
      </w:r>
      <w:r w:rsidR="00A62666" w:rsidRPr="00A62666">
        <w:t>by</w:t>
      </w:r>
      <w:r w:rsidR="001B74CA">
        <w:t xml:space="preserve"> </w:t>
      </w:r>
      <w:r w:rsidR="005A00BC">
        <w:t xml:space="preserve">Mr </w:t>
      </w:r>
      <w:r w:rsidR="00A62666" w:rsidRPr="00A62666">
        <w:t>Richard Coleman (</w:t>
      </w:r>
      <w:r w:rsidR="001B74CA">
        <w:t xml:space="preserve">a </w:t>
      </w:r>
      <w:r w:rsidR="00A62666" w:rsidRPr="00A62666">
        <w:t xml:space="preserve">senior associate, private equity), </w:t>
      </w:r>
      <w:r w:rsidR="001B74CA">
        <w:t xml:space="preserve">Mr </w:t>
      </w:r>
      <w:r w:rsidR="00A62666" w:rsidRPr="00A62666">
        <w:t>Jamie Crawford (</w:t>
      </w:r>
      <w:r w:rsidR="001B74CA">
        <w:t xml:space="preserve">an </w:t>
      </w:r>
      <w:r w:rsidR="00A62666" w:rsidRPr="00A62666">
        <w:t>associate, tax)</w:t>
      </w:r>
      <w:r w:rsidR="00BD05F2">
        <w:t xml:space="preserve"> and </w:t>
      </w:r>
      <w:r w:rsidR="001B74CA">
        <w:t xml:space="preserve">Mr </w:t>
      </w:r>
      <w:r w:rsidR="0026568C">
        <w:t xml:space="preserve">Lee </w:t>
      </w:r>
      <w:r w:rsidR="00A62666" w:rsidRPr="00A62666">
        <w:t>Holland (</w:t>
      </w:r>
      <w:r w:rsidR="001B74CA">
        <w:t xml:space="preserve">a </w:t>
      </w:r>
      <w:r w:rsidR="00A62666" w:rsidRPr="00A62666">
        <w:t xml:space="preserve">junior associate, private equity).  Discrete advice was provided by </w:t>
      </w:r>
      <w:r w:rsidR="001B74CA">
        <w:t xml:space="preserve">Ms </w:t>
      </w:r>
      <w:r w:rsidR="00A62666" w:rsidRPr="00A62666">
        <w:t>Kirsti Laird, an employment lawyer</w:t>
      </w:r>
      <w:r w:rsidR="003304FB">
        <w:t>.</w:t>
      </w:r>
    </w:p>
    <w:p w14:paraId="0FAA40A1" w14:textId="3F1C58CA" w:rsidR="003304FB" w:rsidRDefault="00E8322E" w:rsidP="00EF2FE7">
      <w:pPr>
        <w:pStyle w:val="ParaLevel1"/>
      </w:pPr>
      <w:r w:rsidRPr="00E8322E">
        <w:t xml:space="preserve">The circumstances in which the terms </w:t>
      </w:r>
      <w:r>
        <w:t xml:space="preserve">of the </w:t>
      </w:r>
      <w:r w:rsidR="00F85C03">
        <w:t>Transaction</w:t>
      </w:r>
      <w:r>
        <w:t xml:space="preserve"> </w:t>
      </w:r>
      <w:r w:rsidRPr="00E8322E">
        <w:t>were negotiated</w:t>
      </w:r>
      <w:r w:rsidR="00635202">
        <w:t>, during the period of the Firm’s retainer,</w:t>
      </w:r>
      <w:r w:rsidRPr="00E8322E">
        <w:t xml:space="preserve"> are obviously of central importance to the allegation of negligence on the part of the Firm and I return </w:t>
      </w:r>
      <w:r w:rsidR="00635202">
        <w:t xml:space="preserve">below, in later sections of this judgment, </w:t>
      </w:r>
      <w:r w:rsidRPr="00E8322E">
        <w:t>to the more significant aspects of the negotiations when considering, first, the evidence about them and then the substance of the allegation.</w:t>
      </w:r>
    </w:p>
    <w:p w14:paraId="1EDBCE6C" w14:textId="63BFB7D5" w:rsidR="00706C4B" w:rsidRDefault="005C18AD" w:rsidP="00EF2FE7">
      <w:pPr>
        <w:pStyle w:val="ParaLevel1"/>
      </w:pPr>
      <w:r>
        <w:t xml:space="preserve">The </w:t>
      </w:r>
      <w:r w:rsidR="00F85C03">
        <w:t>T</w:t>
      </w:r>
      <w:r>
        <w:t>ransaction completed on 3 December 2014</w:t>
      </w:r>
      <w:r w:rsidR="00F85C03">
        <w:t xml:space="preserve">.  </w:t>
      </w:r>
      <w:r>
        <w:t xml:space="preserve">It </w:t>
      </w:r>
      <w:r w:rsidR="0011536B">
        <w:t>involved the following</w:t>
      </w:r>
      <w:r w:rsidR="00A77FDC">
        <w:t>:</w:t>
      </w:r>
    </w:p>
    <w:p w14:paraId="4128F720" w14:textId="24EEF23C" w:rsidR="00355540" w:rsidRDefault="00355540" w:rsidP="00EF2FE7">
      <w:pPr>
        <w:pStyle w:val="ParaLevel2"/>
      </w:pPr>
      <w:r>
        <w:t>A</w:t>
      </w:r>
      <w:r w:rsidR="005C18AD">
        <w:t xml:space="preserve"> Share Purchase Agreement by which the shares in IPS UK were</w:t>
      </w:r>
      <w:r w:rsidR="0011536B">
        <w:t xml:space="preserve"> </w:t>
      </w:r>
      <w:r w:rsidR="005C18AD">
        <w:t xml:space="preserve">acquired by </w:t>
      </w:r>
      <w:r w:rsidR="0011536B">
        <w:t>C</w:t>
      </w:r>
      <w:r w:rsidR="005C18AD">
        <w:t>ompany (</w:t>
      </w:r>
      <w:r w:rsidR="0039465A">
        <w:t xml:space="preserve">then </w:t>
      </w:r>
      <w:r w:rsidR="005C18AD">
        <w:t>Newincco 1315 Ltd</w:t>
      </w:r>
      <w:r w:rsidR="0039465A">
        <w:t>)</w:t>
      </w:r>
      <w:r>
        <w:t>.</w:t>
      </w:r>
    </w:p>
    <w:p w14:paraId="762BCDA7" w14:textId="1ECFDB1E" w:rsidR="005C18AD" w:rsidRDefault="005C18AD" w:rsidP="00EF2FE7">
      <w:pPr>
        <w:pStyle w:val="ParaLevel2"/>
      </w:pPr>
      <w:r>
        <w:t xml:space="preserve">An Investment Agreement through which investment was made into </w:t>
      </w:r>
      <w:r w:rsidR="00B9094E">
        <w:t xml:space="preserve">the Company </w:t>
      </w:r>
      <w:r>
        <w:t>by a group of investors (</w:t>
      </w:r>
      <w:r w:rsidR="004360CE">
        <w:t>“</w:t>
      </w:r>
      <w:r w:rsidRPr="004360CE">
        <w:rPr>
          <w:b/>
          <w:bCs/>
        </w:rPr>
        <w:t>the Livingbridge Investors</w:t>
      </w:r>
      <w:r w:rsidR="004360CE">
        <w:t>”</w:t>
      </w:r>
      <w:r>
        <w:t>) and by which the</w:t>
      </w:r>
      <w:r w:rsidR="00B9094E">
        <w:t xml:space="preserve"> </w:t>
      </w:r>
      <w:r>
        <w:t>shareholdings in that company were established</w:t>
      </w:r>
      <w:r w:rsidR="007668AC">
        <w:t xml:space="preserve">; </w:t>
      </w:r>
      <w:r>
        <w:t xml:space="preserve">the </w:t>
      </w:r>
      <w:r w:rsidR="00CF04AA">
        <w:t>Livingbridge I</w:t>
      </w:r>
      <w:r>
        <w:t>nvestors holding the A and B shares,</w:t>
      </w:r>
      <w:r w:rsidR="000528BA">
        <w:t xml:space="preserve"> and the Claimants holding</w:t>
      </w:r>
      <w:r>
        <w:t xml:space="preserve"> the C shares.</w:t>
      </w:r>
      <w:r w:rsidR="006808AC">
        <w:t xml:space="preserve">  </w:t>
      </w:r>
      <w:r w:rsidR="001712D6">
        <w:t xml:space="preserve">The effect of the Investment Agreement was that </w:t>
      </w:r>
      <w:r w:rsidR="00914AB2">
        <w:t xml:space="preserve">the </w:t>
      </w:r>
      <w:r w:rsidR="00B2774E" w:rsidRPr="00B2774E">
        <w:t xml:space="preserve">equity </w:t>
      </w:r>
      <w:r w:rsidR="00914AB2">
        <w:t>was held as to 30% by each of the Claimant</w:t>
      </w:r>
      <w:r w:rsidR="00496BD1">
        <w:t xml:space="preserve">s, 5% by Mr Lindsell and </w:t>
      </w:r>
      <w:r w:rsidR="00B2774E" w:rsidRPr="00B2774E">
        <w:t>35% by Livingbridge</w:t>
      </w:r>
      <w:r w:rsidR="00496BD1">
        <w:t xml:space="preserve">. </w:t>
      </w:r>
      <w:r w:rsidR="00E05F9D">
        <w:t xml:space="preserve">  </w:t>
      </w:r>
      <w:r w:rsidR="0047208E">
        <w:t xml:space="preserve">The Livingbridge equity was subject to potential </w:t>
      </w:r>
      <w:r w:rsidR="00410C10">
        <w:t xml:space="preserve">dilution through the </w:t>
      </w:r>
      <w:r w:rsidR="000E1824">
        <w:t xml:space="preserve">later </w:t>
      </w:r>
      <w:r w:rsidR="00410C10">
        <w:t>issue of so</w:t>
      </w:r>
      <w:r w:rsidR="00191196">
        <w:t xml:space="preserve">-called “sweet equity” </w:t>
      </w:r>
      <w:r w:rsidR="009E2D57">
        <w:t xml:space="preserve">in favour of </w:t>
      </w:r>
      <w:r w:rsidR="000E1824">
        <w:t>others.</w:t>
      </w:r>
    </w:p>
    <w:p w14:paraId="097D75AF" w14:textId="3F2F0475" w:rsidR="005C18AD" w:rsidRDefault="005C18AD" w:rsidP="00EF2FE7">
      <w:pPr>
        <w:pStyle w:val="ParaLevel2"/>
      </w:pPr>
      <w:r>
        <w:t xml:space="preserve">Articles of Association </w:t>
      </w:r>
      <w:r w:rsidR="00677C7A">
        <w:t xml:space="preserve">of </w:t>
      </w:r>
      <w:r w:rsidR="007668AC">
        <w:t>the Company (“</w:t>
      </w:r>
      <w:r w:rsidRPr="007668AC">
        <w:rPr>
          <w:b/>
          <w:bCs/>
        </w:rPr>
        <w:t>the Articles</w:t>
      </w:r>
      <w:r w:rsidR="007668AC">
        <w:t>”</w:t>
      </w:r>
      <w:r>
        <w:t>).</w:t>
      </w:r>
    </w:p>
    <w:p w14:paraId="2D187159" w14:textId="7D970615" w:rsidR="005C18AD" w:rsidRDefault="005C18AD" w:rsidP="00EF2FE7">
      <w:pPr>
        <w:pStyle w:val="ParaLevel2"/>
      </w:pPr>
      <w:r>
        <w:t>Service Agreements for each of Mr Richards and Mr Purves</w:t>
      </w:r>
      <w:r w:rsidR="00195764">
        <w:t>.</w:t>
      </w:r>
    </w:p>
    <w:p w14:paraId="1383D86C" w14:textId="4A1E0908" w:rsidR="00750BF4" w:rsidRDefault="005C18AD" w:rsidP="00EF2FE7">
      <w:pPr>
        <w:pStyle w:val="ParaLevel2"/>
      </w:pPr>
      <w:r>
        <w:t>A Loan Stock Instrument</w:t>
      </w:r>
      <w:r w:rsidR="00C35C71">
        <w:t xml:space="preserve"> in respect of £5</w:t>
      </w:r>
      <w:r w:rsidR="00C86C15">
        <w:t>,</w:t>
      </w:r>
      <w:r w:rsidR="00C35C71">
        <w:t>151,811 of loan stock held by Livingbridge</w:t>
      </w:r>
      <w:r w:rsidR="00963086">
        <w:t xml:space="preserve">. </w:t>
      </w:r>
    </w:p>
    <w:p w14:paraId="6DDA8747" w14:textId="02890D27" w:rsidR="00985A10" w:rsidRDefault="00FA75BF" w:rsidP="00EF2FE7">
      <w:pPr>
        <w:pStyle w:val="ParaLevel1"/>
      </w:pPr>
      <w:r>
        <w:t xml:space="preserve">In addition to </w:t>
      </w:r>
      <w:r w:rsidR="005F77AB">
        <w:t>their 30% shareholdings in the Company, t</w:t>
      </w:r>
      <w:r w:rsidR="00981EB7">
        <w:t xml:space="preserve">he Claimants </w:t>
      </w:r>
      <w:r w:rsidR="00981EB7" w:rsidRPr="00981EB7">
        <w:t>each received £2,297,950 in cash</w:t>
      </w:r>
      <w:r w:rsidR="00B47EA8">
        <w:t xml:space="preserve"> on the sale of their shares in IPS UK.  </w:t>
      </w:r>
      <w:r w:rsidR="00A57EA7">
        <w:t xml:space="preserve">This was the greater part of the cash </w:t>
      </w:r>
      <w:r w:rsidR="00070764">
        <w:t xml:space="preserve">sum of </w:t>
      </w:r>
      <w:r w:rsidR="00A57EA7">
        <w:t>£4.7 million, before adjustments for net debt and deferred tax assets,</w:t>
      </w:r>
      <w:r w:rsidR="00070764">
        <w:t xml:space="preserve"> </w:t>
      </w:r>
      <w:r w:rsidR="00A57EA7">
        <w:t>which was split between the former shareholders</w:t>
      </w:r>
      <w:r w:rsidR="00070764">
        <w:t xml:space="preserve"> of IPS UK</w:t>
      </w:r>
      <w:r w:rsidR="007D6BBF">
        <w:t>, which also included</w:t>
      </w:r>
      <w:r w:rsidR="00070764">
        <w:t xml:space="preserve"> </w:t>
      </w:r>
      <w:r w:rsidR="00F5769C">
        <w:t>Mr Lindsell</w:t>
      </w:r>
      <w:r w:rsidR="000651E0">
        <w:t>,</w:t>
      </w:r>
      <w:r w:rsidR="00F5769C">
        <w:t xml:space="preserve"> who held 10</w:t>
      </w:r>
      <w:r w:rsidR="006044D6">
        <w:t>.1</w:t>
      </w:r>
      <w:r w:rsidR="00F5769C">
        <w:t>%</w:t>
      </w:r>
      <w:r w:rsidR="000651E0">
        <w:t>,</w:t>
      </w:r>
      <w:r w:rsidR="00F5769C">
        <w:t xml:space="preserve"> and </w:t>
      </w:r>
      <w:r w:rsidR="00070764">
        <w:t xml:space="preserve">Mr </w:t>
      </w:r>
      <w:r w:rsidR="00C13C0B">
        <w:t xml:space="preserve">Scott </w:t>
      </w:r>
      <w:r w:rsidR="00070764">
        <w:t xml:space="preserve">Fawcett </w:t>
      </w:r>
      <w:r w:rsidR="00F5769C">
        <w:t xml:space="preserve">who held 4%.  </w:t>
      </w:r>
      <w:r w:rsidR="006044D6">
        <w:t xml:space="preserve"> </w:t>
      </w:r>
      <w:r w:rsidR="00733FB8">
        <w:t xml:space="preserve">Mr Lindsell received </w:t>
      </w:r>
      <w:r w:rsidR="006044D6">
        <w:t>£546,543</w:t>
      </w:r>
      <w:r w:rsidR="00E315DC">
        <w:t xml:space="preserve"> </w:t>
      </w:r>
      <w:r w:rsidR="00733FB8">
        <w:t xml:space="preserve">for his shares together with </w:t>
      </w:r>
      <w:r w:rsidR="006044D6">
        <w:t>a 5%</w:t>
      </w:r>
      <w:r w:rsidR="00733FB8">
        <w:t xml:space="preserve"> </w:t>
      </w:r>
      <w:r w:rsidR="006044D6">
        <w:t xml:space="preserve">shareholding </w:t>
      </w:r>
      <w:r w:rsidR="00FC5899">
        <w:t xml:space="preserve">of </w:t>
      </w:r>
      <w:r w:rsidR="003E2A5F">
        <w:t xml:space="preserve">D Shares in the </w:t>
      </w:r>
      <w:r w:rsidR="006044D6">
        <w:t>Company</w:t>
      </w:r>
      <w:r w:rsidR="003E2A5F">
        <w:t xml:space="preserve">.  </w:t>
      </w:r>
      <w:r w:rsidR="006044D6">
        <w:t xml:space="preserve">Mr Fawcett sold his </w:t>
      </w:r>
      <w:r w:rsidR="003E2A5F">
        <w:t>shares</w:t>
      </w:r>
      <w:r w:rsidR="006044D6">
        <w:t xml:space="preserve"> for £127,603</w:t>
      </w:r>
      <w:r w:rsidR="00EB7BA4">
        <w:t xml:space="preserve"> and acquired no shares in the Company</w:t>
      </w:r>
      <w:r w:rsidR="0010567B">
        <w:t>.</w:t>
      </w:r>
    </w:p>
    <w:p w14:paraId="68431E4E" w14:textId="5736D6C7" w:rsidR="00981EB7" w:rsidRDefault="00B47EA8" w:rsidP="00EF2FE7">
      <w:pPr>
        <w:pStyle w:val="ParaLevel1"/>
      </w:pPr>
      <w:r>
        <w:t>The</w:t>
      </w:r>
      <w:r w:rsidR="00F5769C">
        <w:t xml:space="preserve"> Claimants</w:t>
      </w:r>
      <w:r>
        <w:t xml:space="preserve"> became employed by the Company as CEO </w:t>
      </w:r>
      <w:r w:rsidR="00981EB7">
        <w:t>and Sales Director</w:t>
      </w:r>
      <w:r w:rsidR="00AE0287">
        <w:t xml:space="preserve">, respectively, </w:t>
      </w:r>
      <w:r w:rsidR="00981EB7">
        <w:t>with salaries of £200,000 per annum and performance-related bonuses of up to £131,000</w:t>
      </w:r>
      <w:r w:rsidR="00AE0287">
        <w:t xml:space="preserve"> p.a..</w:t>
      </w:r>
      <w:r w:rsidR="00981EB7">
        <w:t xml:space="preserve">     </w:t>
      </w:r>
    </w:p>
    <w:p w14:paraId="37F133F8" w14:textId="73DDC77E" w:rsidR="0041784B" w:rsidRDefault="00981EB7" w:rsidP="00EF2FE7">
      <w:pPr>
        <w:pStyle w:val="ParaLevel1"/>
      </w:pPr>
      <w:r>
        <w:t xml:space="preserve">Both the Claimants and Livingbridge had originally intended that </w:t>
      </w:r>
      <w:r w:rsidR="00CF6A4A">
        <w:t xml:space="preserve">the Company </w:t>
      </w:r>
      <w:r>
        <w:t xml:space="preserve">would trade for about 3 </w:t>
      </w:r>
      <w:r w:rsidR="00AE0287">
        <w:t xml:space="preserve">to </w:t>
      </w:r>
      <w:r>
        <w:t>5 years, before being sold to a trade buyer</w:t>
      </w:r>
      <w:r w:rsidR="00DD3D67">
        <w:t>.</w:t>
      </w:r>
    </w:p>
    <w:p w14:paraId="322571B8" w14:textId="51699C79" w:rsidR="000856E9" w:rsidRDefault="000856E9" w:rsidP="00EF2FE7">
      <w:pPr>
        <w:pStyle w:val="ParaLevel2"/>
        <w:numPr>
          <w:ilvl w:val="0"/>
          <w:numId w:val="0"/>
        </w:numPr>
      </w:pPr>
    </w:p>
    <w:p w14:paraId="5BA4A5FF" w14:textId="186C8AAB" w:rsidR="00505E1A" w:rsidRPr="00505E1A" w:rsidRDefault="00796788" w:rsidP="00EF2FE7">
      <w:pPr>
        <w:pStyle w:val="ParaLevel2"/>
        <w:numPr>
          <w:ilvl w:val="0"/>
          <w:numId w:val="0"/>
        </w:numPr>
        <w:rPr>
          <w:b/>
          <w:bCs/>
          <w:u w:val="single"/>
        </w:rPr>
      </w:pPr>
      <w:r>
        <w:rPr>
          <w:b/>
          <w:bCs/>
          <w:u w:val="single"/>
        </w:rPr>
        <w:t>C.</w:t>
      </w:r>
      <w:r>
        <w:rPr>
          <w:b/>
          <w:bCs/>
          <w:u w:val="single"/>
        </w:rPr>
        <w:tab/>
      </w:r>
      <w:r w:rsidR="00202A16">
        <w:rPr>
          <w:b/>
          <w:bCs/>
          <w:u w:val="single"/>
        </w:rPr>
        <w:t>THE  KEY TERMS OF THE TRANSACTION</w:t>
      </w:r>
    </w:p>
    <w:p w14:paraId="240444A5" w14:textId="07CD6CC4" w:rsidR="00B166EB" w:rsidRDefault="0033043D" w:rsidP="00EF2FE7">
      <w:pPr>
        <w:pStyle w:val="ParaLevel1"/>
      </w:pPr>
      <w:r>
        <w:t xml:space="preserve">I now turn to </w:t>
      </w:r>
      <w:r w:rsidR="002B6388">
        <w:t xml:space="preserve">certain key provisions of the </w:t>
      </w:r>
      <w:r w:rsidR="00F85C03">
        <w:t>T</w:t>
      </w:r>
      <w:r w:rsidR="002B6388">
        <w:t xml:space="preserve">ransaction which </w:t>
      </w:r>
      <w:r w:rsidR="00F4523E">
        <w:t xml:space="preserve">were central to the Leaver Litigation and, </w:t>
      </w:r>
      <w:r w:rsidR="00E87D42">
        <w:t>given the outcome of that litigation, are also central to t</w:t>
      </w:r>
      <w:r w:rsidR="00C97496">
        <w:t xml:space="preserve">he present </w:t>
      </w:r>
      <w:r w:rsidR="006F31B3">
        <w:t xml:space="preserve">claim.  </w:t>
      </w:r>
    </w:p>
    <w:p w14:paraId="1B7F7C59" w14:textId="195A0FC1" w:rsidR="00FB1EE7" w:rsidRPr="005900EB" w:rsidRDefault="00FB1EE7" w:rsidP="00EF2FE7">
      <w:pPr>
        <w:pStyle w:val="ParaLevel1"/>
        <w:numPr>
          <w:ilvl w:val="0"/>
          <w:numId w:val="0"/>
        </w:numPr>
        <w:rPr>
          <w:b/>
          <w:bCs/>
          <w:u w:val="single"/>
        </w:rPr>
      </w:pPr>
      <w:r w:rsidRPr="005900EB">
        <w:rPr>
          <w:b/>
          <w:bCs/>
          <w:u w:val="single"/>
        </w:rPr>
        <w:t>The RPP</w:t>
      </w:r>
    </w:p>
    <w:p w14:paraId="1814E3D3" w14:textId="3073BE76" w:rsidR="005D6D4B" w:rsidRDefault="00AF1BD7" w:rsidP="00EF2FE7">
      <w:pPr>
        <w:pStyle w:val="ParaLevel1"/>
      </w:pPr>
      <w:r w:rsidRPr="00AF1BD7">
        <w:t xml:space="preserve">Final </w:t>
      </w:r>
      <w:r w:rsidR="00040F3B">
        <w:t>h</w:t>
      </w:r>
      <w:r w:rsidRPr="00AF1BD7">
        <w:t xml:space="preserve">eads of </w:t>
      </w:r>
      <w:r w:rsidR="00040F3B">
        <w:t>t</w:t>
      </w:r>
      <w:r w:rsidRPr="00AF1BD7">
        <w:t xml:space="preserve">erms </w:t>
      </w:r>
      <w:r w:rsidR="00A77FDC">
        <w:t xml:space="preserve">preceding the execution of the </w:t>
      </w:r>
      <w:r w:rsidR="00397898">
        <w:t xml:space="preserve">contractual documentation referred to in paragraph </w:t>
      </w:r>
      <w:r w:rsidR="00EB7BA4">
        <w:t>30</w:t>
      </w:r>
      <w:r w:rsidR="00397898">
        <w:t xml:space="preserve"> above were signed by the Claimants and </w:t>
      </w:r>
      <w:r w:rsidR="005D6D4B">
        <w:t>Livingb</w:t>
      </w:r>
      <w:r w:rsidR="00207377">
        <w:t>r</w:t>
      </w:r>
      <w:r w:rsidR="005D6D4B">
        <w:t xml:space="preserve">idge on </w:t>
      </w:r>
      <w:r w:rsidRPr="00AF1BD7">
        <w:t>5 September 2014</w:t>
      </w:r>
      <w:r w:rsidR="00040F3B">
        <w:t xml:space="preserve"> (“</w:t>
      </w:r>
      <w:r w:rsidR="00040F3B" w:rsidRPr="00040F3B">
        <w:rPr>
          <w:b/>
          <w:bCs/>
        </w:rPr>
        <w:t>the Heads of Terms</w:t>
      </w:r>
      <w:r w:rsidR="00040F3B">
        <w:t>”)</w:t>
      </w:r>
      <w:r w:rsidRPr="00AF1BD7">
        <w:t>.</w:t>
      </w:r>
    </w:p>
    <w:p w14:paraId="5542953F" w14:textId="455CB04B" w:rsidR="00757870" w:rsidRDefault="00AF1BD7" w:rsidP="00EF2FE7">
      <w:pPr>
        <w:pStyle w:val="ParaLevel1"/>
      </w:pPr>
      <w:r w:rsidRPr="00AF1BD7">
        <w:t xml:space="preserve"> </w:t>
      </w:r>
      <w:r w:rsidR="0079683C">
        <w:t xml:space="preserve">The Heads of Terms had </w:t>
      </w:r>
      <w:r w:rsidR="00757870">
        <w:t xml:space="preserve">provided for a share option scheme by which a further 7% of </w:t>
      </w:r>
      <w:r w:rsidR="00713553">
        <w:t>‘</w:t>
      </w:r>
      <w:r w:rsidR="00757870">
        <w:t>sweet equity</w:t>
      </w:r>
      <w:r w:rsidR="009808CD">
        <w:t>’</w:t>
      </w:r>
      <w:r w:rsidR="00757870">
        <w:t xml:space="preserve"> in the new company above a </w:t>
      </w:r>
      <w:r w:rsidR="009808CD">
        <w:t>‘</w:t>
      </w:r>
      <w:r w:rsidR="00757870">
        <w:t>hurdle</w:t>
      </w:r>
      <w:r w:rsidR="009808CD">
        <w:t>’</w:t>
      </w:r>
      <w:r w:rsidR="00757870">
        <w:t xml:space="preserve"> (</w:t>
      </w:r>
      <w:r w:rsidR="00FA463F">
        <w:t>set a</w:t>
      </w:r>
      <w:r w:rsidR="00757870">
        <w:t xml:space="preserve">t a level </w:t>
      </w:r>
      <w:r w:rsidR="00FA463F">
        <w:t xml:space="preserve">yet to </w:t>
      </w:r>
      <w:r w:rsidR="00757870">
        <w:t xml:space="preserve">be agreed) would be made available to key employees.  That sweet equity would come </w:t>
      </w:r>
      <w:r w:rsidR="0076667F">
        <w:t>at</w:t>
      </w:r>
      <w:r w:rsidR="00757870">
        <w:t xml:space="preserve"> the</w:t>
      </w:r>
      <w:r w:rsidR="0076667F">
        <w:t xml:space="preserve"> expense of the</w:t>
      </w:r>
      <w:r w:rsidR="00757870">
        <w:t xml:space="preserve"> Claimants’ </w:t>
      </w:r>
      <w:r w:rsidR="0076667F">
        <w:t xml:space="preserve">share of the </w:t>
      </w:r>
      <w:r w:rsidR="00757870">
        <w:t xml:space="preserve">equity.  They were to hold 30% equity </w:t>
      </w:r>
      <w:r w:rsidR="009808CD">
        <w:t>‘</w:t>
      </w:r>
      <w:r w:rsidR="00757870">
        <w:t>below hurdle</w:t>
      </w:r>
      <w:r w:rsidR="009808CD">
        <w:t>’</w:t>
      </w:r>
      <w:r w:rsidR="00757870">
        <w:t xml:space="preserve"> and 26.5% equity </w:t>
      </w:r>
      <w:r w:rsidR="009808CD">
        <w:t>‘</w:t>
      </w:r>
      <w:r w:rsidR="00757870">
        <w:t>above hurdle</w:t>
      </w:r>
      <w:r w:rsidR="009808CD">
        <w:t>’</w:t>
      </w:r>
      <w:r w:rsidR="00757870">
        <w:t xml:space="preserve"> in IPS Group.  The remaining equity would be held 35% by Livingbridge and 5% by Mr Lindsell.  </w:t>
      </w:r>
    </w:p>
    <w:p w14:paraId="54B04792" w14:textId="269B1783" w:rsidR="00AF1BD7" w:rsidRDefault="00A036C0" w:rsidP="00EF2FE7">
      <w:pPr>
        <w:pStyle w:val="ParaLevel1"/>
      </w:pPr>
      <w:r>
        <w:t>However, f</w:t>
      </w:r>
      <w:r w:rsidR="00757870">
        <w:t xml:space="preserve">ixing the “hurdle” </w:t>
      </w:r>
      <w:r>
        <w:t>proved to be</w:t>
      </w:r>
      <w:r w:rsidR="00757870">
        <w:t xml:space="preserve"> contentious, and the Claimants were dissatisfied at </w:t>
      </w:r>
      <w:r>
        <w:t xml:space="preserve">the prospect of </w:t>
      </w:r>
      <w:r w:rsidR="00757870">
        <w:t xml:space="preserve">having less equity than Livingbridge.  Accordingly, the parties agreed that instead of the Claimants’ equity being reduced above the hurdle, there would be a </w:t>
      </w:r>
      <w:r w:rsidR="009808CD">
        <w:t>‘</w:t>
      </w:r>
      <w:r w:rsidR="00757870">
        <w:t>ratchet</w:t>
      </w:r>
      <w:r w:rsidR="009808CD">
        <w:t>’</w:t>
      </w:r>
      <w:r w:rsidR="00757870">
        <w:t xml:space="preserve"> whereby Livingbridge would receive a preferential distribution below a multiple of its investment</w:t>
      </w:r>
      <w:r w:rsidR="00F07D74">
        <w:t>.</w:t>
      </w:r>
      <w:r w:rsidR="00B821D7" w:rsidRPr="00B821D7">
        <w:t xml:space="preserve"> In short, the agreement was that the Livingbridge loan notes would carry a variable “redemption premium” such that</w:t>
      </w:r>
      <w:r w:rsidR="008A2A44">
        <w:t xml:space="preserve">, on a qualifying sale </w:t>
      </w:r>
      <w:r w:rsidR="00232397">
        <w:t xml:space="preserve">of shares in the Company which led to the purchaser acquiring more than 50% of the shareholding voting rights, </w:t>
      </w:r>
      <w:r w:rsidR="00B821D7" w:rsidRPr="00B821D7">
        <w:t xml:space="preserve">Livingbridge would receive a minimum of twice its initial investment in priority to other equity shareholders.  </w:t>
      </w:r>
    </w:p>
    <w:p w14:paraId="28CFFAEC" w14:textId="2A7BABE5" w:rsidR="00F07D74" w:rsidRDefault="00377FC9" w:rsidP="00EF2FE7">
      <w:pPr>
        <w:pStyle w:val="ParaLevel1"/>
      </w:pPr>
      <w:r>
        <w:t xml:space="preserve">It was this agreement which resulted in the RPP.  </w:t>
      </w:r>
    </w:p>
    <w:p w14:paraId="657E36EC" w14:textId="7B98045E" w:rsidR="00340AC7" w:rsidRDefault="00685AF2" w:rsidP="00EF2FE7">
      <w:pPr>
        <w:pStyle w:val="ParaLevel1"/>
      </w:pPr>
      <w:r>
        <w:t xml:space="preserve">The RPP is </w:t>
      </w:r>
      <w:r w:rsidR="00150B66">
        <w:t>contained within article 13</w:t>
      </w:r>
      <w:r w:rsidR="0099126E">
        <w:t xml:space="preserve"> </w:t>
      </w:r>
      <w:r w:rsidR="00150B66">
        <w:t xml:space="preserve">of the </w:t>
      </w:r>
      <w:r>
        <w:t>Article</w:t>
      </w:r>
      <w:r w:rsidR="00150B66">
        <w:t>s</w:t>
      </w:r>
      <w:r w:rsidR="00CC1FA8">
        <w:t xml:space="preserve"> </w:t>
      </w:r>
      <w:r w:rsidR="005E397E">
        <w:t xml:space="preserve">(headed </w:t>
      </w:r>
      <w:r w:rsidR="002E6ED9">
        <w:t>“</w:t>
      </w:r>
      <w:r w:rsidR="002E6ED9" w:rsidRPr="00476E9B">
        <w:rPr>
          <w:i/>
          <w:iCs/>
        </w:rPr>
        <w:t>Exit provisions</w:t>
      </w:r>
      <w:r w:rsidR="002E6ED9">
        <w:t>”</w:t>
      </w:r>
      <w:r w:rsidR="00476E9B">
        <w:t xml:space="preserve">) </w:t>
      </w:r>
      <w:r w:rsidR="00CC1FA8">
        <w:t>which provides</w:t>
      </w:r>
      <w:r w:rsidR="00DC5AB7">
        <w:t>:</w:t>
      </w:r>
    </w:p>
    <w:p w14:paraId="607240D9" w14:textId="57C79DE2" w:rsidR="00CC1FA8" w:rsidRPr="00476E9B" w:rsidRDefault="00CC1FA8" w:rsidP="00EF2FE7">
      <w:pPr>
        <w:pStyle w:val="ParaLevel1"/>
        <w:numPr>
          <w:ilvl w:val="0"/>
          <w:numId w:val="0"/>
        </w:numPr>
        <w:ind w:left="720"/>
        <w:rPr>
          <w:i/>
          <w:iCs/>
        </w:rPr>
      </w:pPr>
      <w:r>
        <w:t>“</w:t>
      </w:r>
      <w:r w:rsidR="0099126E" w:rsidRPr="00476E9B">
        <w:rPr>
          <w:i/>
          <w:iCs/>
        </w:rPr>
        <w:t>13.3</w:t>
      </w:r>
      <w:r w:rsidR="0099126E" w:rsidRPr="00476E9B">
        <w:rPr>
          <w:i/>
          <w:iCs/>
        </w:rPr>
        <w:tab/>
      </w:r>
      <w:r w:rsidRPr="00476E9B">
        <w:rPr>
          <w:i/>
          <w:iCs/>
        </w:rPr>
        <w:t>On a Share Sale the Proceeds of Sale shall be distributed in the order of priority set out in Article 13.2 unless the aggregate Proceeds of Sale distributed to the Living Bridge Investors is less than two times the Living Bridge Investment Amount in which case:</w:t>
      </w:r>
    </w:p>
    <w:p w14:paraId="1A2EA50B" w14:textId="77777777" w:rsidR="00CC1FA8" w:rsidRPr="00476E9B" w:rsidRDefault="00CC1FA8" w:rsidP="00EF2FE7">
      <w:pPr>
        <w:pStyle w:val="ParaLevel1"/>
        <w:numPr>
          <w:ilvl w:val="0"/>
          <w:numId w:val="0"/>
        </w:numPr>
        <w:ind w:left="1134"/>
        <w:rPr>
          <w:i/>
          <w:iCs/>
        </w:rPr>
      </w:pPr>
      <w:r w:rsidRPr="00476E9B">
        <w:rPr>
          <w:i/>
          <w:iCs/>
        </w:rPr>
        <w:t>13.3.1 the holders of the A Ordinary Shares shall be paid the Issue Price of each such Share, together with a sum equal to any arrears or accruals of any dividends calculated down to and including the date of actual payment (the “A Share Proceeds”);</w:t>
      </w:r>
    </w:p>
    <w:p w14:paraId="0A7E532B" w14:textId="77777777" w:rsidR="00CC1FA8" w:rsidRPr="00476E9B" w:rsidRDefault="00CC1FA8" w:rsidP="00EF2FE7">
      <w:pPr>
        <w:pStyle w:val="ParaLevel1"/>
        <w:numPr>
          <w:ilvl w:val="0"/>
          <w:numId w:val="0"/>
        </w:numPr>
        <w:ind w:left="1134"/>
        <w:rPr>
          <w:i/>
          <w:iCs/>
        </w:rPr>
      </w:pPr>
      <w:r w:rsidRPr="00476E9B">
        <w:rPr>
          <w:i/>
          <w:iCs/>
        </w:rPr>
        <w:t>13.3.2 the holders of the B Ordinary Shares shall be paid the B Share Price of each such Share, together with a sum equal to any arrears or accruals of any dividends calculated down to and including the date of actual payment (the “B Share Proceeds”) plus an additional amount (the “Additional B Share Proceeds”) such that the A Share Proceeds, the B Share Proceeds and the Additional B Share Proceeds plus the Previous Distributions Amount in aggregate equal two times the Living Bridge Investment Amount; and</w:t>
      </w:r>
    </w:p>
    <w:p w14:paraId="52094DC6" w14:textId="682950B5" w:rsidR="00CC1FA8" w:rsidRPr="00476E9B" w:rsidRDefault="00CC1FA8" w:rsidP="00EF2FE7">
      <w:pPr>
        <w:pStyle w:val="ParaLevel1"/>
        <w:numPr>
          <w:ilvl w:val="0"/>
          <w:numId w:val="0"/>
        </w:numPr>
        <w:ind w:left="1134"/>
        <w:rPr>
          <w:i/>
          <w:iCs/>
        </w:rPr>
      </w:pPr>
      <w:r w:rsidRPr="00476E9B">
        <w:rPr>
          <w:i/>
          <w:iCs/>
        </w:rPr>
        <w:t>13.3.3 the balance of such assets shall be distributed amongst the holders of all the Equity Shares (other than the A Ordinary Shares) in proportion to their respective nominal values by reference to the total nominal values of those Equity Shares in aggregate…”</w:t>
      </w:r>
    </w:p>
    <w:p w14:paraId="140A1A88" w14:textId="77777777" w:rsidR="006455DB" w:rsidRDefault="006455DB" w:rsidP="00EF2FE7">
      <w:pPr>
        <w:pStyle w:val="ParaLevel1"/>
        <w:numPr>
          <w:ilvl w:val="0"/>
          <w:numId w:val="0"/>
        </w:numPr>
        <w:ind w:left="720" w:hanging="720"/>
      </w:pPr>
    </w:p>
    <w:p w14:paraId="711E1CF1" w14:textId="4247A86F" w:rsidR="005843E9" w:rsidRDefault="0045263A" w:rsidP="00EF2FE7">
      <w:pPr>
        <w:pStyle w:val="ParaLevel1"/>
      </w:pPr>
      <w:r>
        <w:t xml:space="preserve">Article 13.2 </w:t>
      </w:r>
      <w:r w:rsidR="00091AA2">
        <w:t xml:space="preserve">regulated </w:t>
      </w:r>
      <w:r w:rsidR="003C598F">
        <w:t>the distribution of the Company’s surplus asse</w:t>
      </w:r>
      <w:r w:rsidR="006A0240">
        <w:t>ts on “</w:t>
      </w:r>
      <w:r w:rsidR="003C598F" w:rsidRPr="00476E9B">
        <w:rPr>
          <w:i/>
          <w:iCs/>
        </w:rPr>
        <w:t>a return of assets on liquidation or capital reduction or otherwise</w:t>
      </w:r>
      <w:r w:rsidR="006A0240">
        <w:t xml:space="preserve">”.  </w:t>
      </w:r>
      <w:r w:rsidR="00476E9B">
        <w:t xml:space="preserve">It </w:t>
      </w:r>
      <w:r w:rsidR="00A53B39">
        <w:t xml:space="preserve">was to the effect that </w:t>
      </w:r>
      <w:r w:rsidR="00971BE2">
        <w:t>(allowing also for the payment of any accrued dividend on the B Shares) all classes of share in the Company would</w:t>
      </w:r>
      <w:r w:rsidR="007C2C7F">
        <w:t xml:space="preserve">, for that purpose, be treated </w:t>
      </w:r>
      <w:r w:rsidR="00634065" w:rsidRPr="00702133">
        <w:rPr>
          <w:i/>
          <w:iCs/>
        </w:rPr>
        <w:t>pari passu</w:t>
      </w:r>
      <w:r w:rsidR="00634065">
        <w:t xml:space="preserve"> as if they comprised one class of share and </w:t>
      </w:r>
      <w:r w:rsidR="001B3B8B">
        <w:t xml:space="preserve">each </w:t>
      </w:r>
      <w:r w:rsidR="00FB45AA">
        <w:t>had a nominal value of 0.1 pence</w:t>
      </w:r>
      <w:r w:rsidR="00A66CC7">
        <w:t xml:space="preserve">.  </w:t>
      </w:r>
      <w:r w:rsidR="00B41333">
        <w:t>Essentially</w:t>
      </w:r>
      <w:r w:rsidR="000160A5">
        <w:t xml:space="preserve">, the </w:t>
      </w:r>
      <w:r w:rsidR="00DD0C81">
        <w:t xml:space="preserve">RPP </w:t>
      </w:r>
      <w:r w:rsidR="00A66CC7">
        <w:t xml:space="preserve">in </w:t>
      </w:r>
      <w:r w:rsidR="00AC6E08">
        <w:t>a</w:t>
      </w:r>
      <w:r w:rsidR="00A66CC7">
        <w:t xml:space="preserve">rticle 13.3 </w:t>
      </w:r>
      <w:r w:rsidR="00DD0C81">
        <w:t xml:space="preserve">provided that </w:t>
      </w:r>
      <w:r w:rsidR="00D61985">
        <w:t>on an “</w:t>
      </w:r>
      <w:r w:rsidR="00D61985" w:rsidRPr="00D61985">
        <w:rPr>
          <w:i/>
          <w:iCs/>
        </w:rPr>
        <w:t>Exit</w:t>
      </w:r>
      <w:r w:rsidR="00D61985">
        <w:t xml:space="preserve">” </w:t>
      </w:r>
      <w:r w:rsidR="00DD0C81">
        <w:t xml:space="preserve">the </w:t>
      </w:r>
      <w:r w:rsidR="000160A5">
        <w:t>Livingbridge Investors were to receive the Proceeds of Sale up to the value of two times the Livingbridge Investment Amount (the other</w:t>
      </w:r>
      <w:r w:rsidR="006455DB">
        <w:t xml:space="preserve"> </w:t>
      </w:r>
      <w:r w:rsidR="000160A5">
        <w:t>shareholders receiving value for their shares – to the extent any was left – thereafter)</w:t>
      </w:r>
      <w:r w:rsidR="001B3B8B">
        <w:t>.</w:t>
      </w:r>
      <w:r w:rsidR="00BE5EA8">
        <w:t xml:space="preserve">  </w:t>
      </w:r>
      <w:r w:rsidR="00357FA8">
        <w:t xml:space="preserve">If the Proceeds of Sale were </w:t>
      </w:r>
      <w:r w:rsidR="00231E45">
        <w:t xml:space="preserve">significantly </w:t>
      </w:r>
      <w:r w:rsidR="00357FA8">
        <w:t xml:space="preserve">in excess of </w:t>
      </w:r>
      <w:r w:rsidR="00371C25">
        <w:t xml:space="preserve">that </w:t>
      </w:r>
      <w:r w:rsidR="002F653B">
        <w:t>value</w:t>
      </w:r>
      <w:r w:rsidR="00371C25">
        <w:t xml:space="preserve"> then</w:t>
      </w:r>
      <w:r w:rsidR="00BE5EA8" w:rsidRPr="00BE5EA8">
        <w:t xml:space="preserve">, </w:t>
      </w:r>
      <w:r w:rsidR="00371C25">
        <w:t xml:space="preserve">as holders of the C Shares, the Claimants would stand to benefit </w:t>
      </w:r>
      <w:r w:rsidR="00C76179">
        <w:t>from a</w:t>
      </w:r>
      <w:r w:rsidR="00BE5EA8" w:rsidRPr="00BE5EA8">
        <w:t xml:space="preserve"> greater share of </w:t>
      </w:r>
      <w:r w:rsidR="00AC6E08">
        <w:t>those proceeds</w:t>
      </w:r>
      <w:r w:rsidR="00C7604C">
        <w:t xml:space="preserve"> </w:t>
      </w:r>
      <w:r w:rsidR="00AC6E08">
        <w:t>under article 13</w:t>
      </w:r>
      <w:r w:rsidR="00231E45">
        <w:t>.</w:t>
      </w:r>
      <w:r w:rsidR="00C7604C">
        <w:t>2</w:t>
      </w:r>
      <w:r w:rsidR="00231E45">
        <w:t>.</w:t>
      </w:r>
      <w:r w:rsidR="00D37443">
        <w:t xml:space="preserve">  </w:t>
      </w:r>
    </w:p>
    <w:p w14:paraId="74E4B256" w14:textId="7682390D" w:rsidR="00E67516" w:rsidRDefault="00B0333C" w:rsidP="00EF2FE7">
      <w:pPr>
        <w:pStyle w:val="ParaLevel1"/>
      </w:pPr>
      <w:r>
        <w:t xml:space="preserve">By agreeing the RPP they also avoided the </w:t>
      </w:r>
      <w:r w:rsidR="006D3057">
        <w:t xml:space="preserve">risk of </w:t>
      </w:r>
      <w:r>
        <w:t>dilution of their shareholdings through the</w:t>
      </w:r>
      <w:r w:rsidR="003B3A0B">
        <w:t xml:space="preserve"> later </w:t>
      </w:r>
      <w:r w:rsidR="006D3057">
        <w:t>issue of sweet equity</w:t>
      </w:r>
      <w:r w:rsidR="005843E9">
        <w:t xml:space="preserve"> and also stood to gain under article 13.3.3 once the RPP fell away</w:t>
      </w:r>
      <w:r w:rsidR="006D3057">
        <w:t>.</w:t>
      </w:r>
      <w:r w:rsidR="005843E9">
        <w:t xml:space="preserve">  However, the RPP effectively meant that the first £11.5m odd in value of the Company belonged to Livingbridge.</w:t>
      </w:r>
      <w:r>
        <w:t xml:space="preserve"> </w:t>
      </w:r>
    </w:p>
    <w:p w14:paraId="1F926B81" w14:textId="77777777" w:rsidR="00A079F5" w:rsidRDefault="00A079F5" w:rsidP="00EF2FE7">
      <w:pPr>
        <w:pStyle w:val="ParaLevel1"/>
        <w:numPr>
          <w:ilvl w:val="0"/>
          <w:numId w:val="0"/>
        </w:numPr>
        <w:ind w:left="720"/>
      </w:pPr>
    </w:p>
    <w:p w14:paraId="4583CA2F" w14:textId="3C6B33D9" w:rsidR="000160A5" w:rsidRPr="00202A16" w:rsidRDefault="00400A5A" w:rsidP="00EF2FE7">
      <w:pPr>
        <w:pStyle w:val="ParaLevel1"/>
        <w:numPr>
          <w:ilvl w:val="0"/>
          <w:numId w:val="0"/>
        </w:numPr>
        <w:rPr>
          <w:b/>
          <w:bCs/>
          <w:u w:val="single"/>
        </w:rPr>
      </w:pPr>
      <w:r w:rsidRPr="00202A16">
        <w:rPr>
          <w:b/>
          <w:bCs/>
          <w:u w:val="single"/>
        </w:rPr>
        <w:t xml:space="preserve">The </w:t>
      </w:r>
      <w:r w:rsidR="00A079F5" w:rsidRPr="00202A16">
        <w:rPr>
          <w:b/>
          <w:bCs/>
          <w:u w:val="single"/>
        </w:rPr>
        <w:t>Leaver Provisions</w:t>
      </w:r>
      <w:r w:rsidR="00AC6E08" w:rsidRPr="00202A16">
        <w:rPr>
          <w:b/>
          <w:bCs/>
          <w:u w:val="single"/>
        </w:rPr>
        <w:t xml:space="preserve"> </w:t>
      </w:r>
    </w:p>
    <w:p w14:paraId="7E106306" w14:textId="15158F3F" w:rsidR="001B3B8B" w:rsidRDefault="009919CF" w:rsidP="00EF2FE7">
      <w:pPr>
        <w:pStyle w:val="ParaLevel1"/>
      </w:pPr>
      <w:r>
        <w:t xml:space="preserve">I have already mentioned in </w:t>
      </w:r>
      <w:r w:rsidR="00DE6E82">
        <w:t>Section A</w:t>
      </w:r>
      <w:r>
        <w:t xml:space="preserve"> </w:t>
      </w:r>
      <w:r w:rsidR="00001EA8">
        <w:t xml:space="preserve">above the litigation which arose over whether or the Claimants should have been categorised </w:t>
      </w:r>
      <w:r w:rsidR="00AE0DAB">
        <w:t>as Bad Leavers or Good Leavers when they were dismissed from the Company’s employment in July 2015.</w:t>
      </w:r>
    </w:p>
    <w:p w14:paraId="6E148D50" w14:textId="5CFA3C08" w:rsidR="004E5269" w:rsidRDefault="005203BB" w:rsidP="00EF2FE7">
      <w:pPr>
        <w:pStyle w:val="ParaLevel1"/>
      </w:pPr>
      <w:r>
        <w:t xml:space="preserve">A </w:t>
      </w:r>
      <w:r w:rsidRPr="00FC70A7">
        <w:t>Good Leaver</w:t>
      </w:r>
      <w:r>
        <w:t xml:space="preserve"> was defined </w:t>
      </w:r>
      <w:r w:rsidR="00407452">
        <w:t xml:space="preserve">by the Articles </w:t>
      </w:r>
      <w:r>
        <w:t xml:space="preserve">so as to include an employee </w:t>
      </w:r>
      <w:r w:rsidR="0010089E">
        <w:t xml:space="preserve">(not being a </w:t>
      </w:r>
      <w:r w:rsidR="0010089E" w:rsidRPr="00FC70A7">
        <w:t>Bad Leaver</w:t>
      </w:r>
      <w:r w:rsidR="0010089E">
        <w:t xml:space="preserve">) who ceased to be an employee in a </w:t>
      </w:r>
      <w:r w:rsidR="003846D7">
        <w:t xml:space="preserve">number of defined </w:t>
      </w:r>
      <w:r w:rsidR="00D11CD0">
        <w:t>situations</w:t>
      </w:r>
      <w:r w:rsidR="003846D7">
        <w:t xml:space="preserve">, one of which was </w:t>
      </w:r>
      <w:r w:rsidR="00D11CD0">
        <w:t xml:space="preserve">termination of employment in circumstances amounting to wrongful dismissal.  </w:t>
      </w:r>
      <w:r w:rsidR="008C5D2D">
        <w:t>Death or permanent incapacity to continue with employment and</w:t>
      </w:r>
      <w:r w:rsidR="008F090B">
        <w:t>/</w:t>
      </w:r>
      <w:r w:rsidR="008C5D2D">
        <w:t>or the Board’s agreement (with “</w:t>
      </w:r>
      <w:r w:rsidR="008C5D2D" w:rsidRPr="008F090B">
        <w:rPr>
          <w:i/>
          <w:iCs/>
        </w:rPr>
        <w:t>Investor Consent</w:t>
      </w:r>
      <w:r w:rsidR="008C5D2D">
        <w:t xml:space="preserve">”) upon Good Leaver status were other such situations. </w:t>
      </w:r>
      <w:r w:rsidR="00E77622">
        <w:t xml:space="preserve">A </w:t>
      </w:r>
      <w:r w:rsidR="00E77622" w:rsidRPr="00D94BAC">
        <w:t>Bad Leaver</w:t>
      </w:r>
      <w:r w:rsidR="00E77622">
        <w:t xml:space="preserve"> </w:t>
      </w:r>
      <w:r w:rsidR="0095569A">
        <w:t>include</w:t>
      </w:r>
      <w:r w:rsidR="001806B4">
        <w:t>d</w:t>
      </w:r>
      <w:r w:rsidR="000C04DD">
        <w:t xml:space="preserve"> (b</w:t>
      </w:r>
      <w:r w:rsidR="00277305">
        <w:t>u</w:t>
      </w:r>
      <w:r w:rsidR="000C04DD">
        <w:t>t was not limited to)</w:t>
      </w:r>
      <w:r w:rsidR="0095569A">
        <w:t xml:space="preserve"> an employee </w:t>
      </w:r>
      <w:r w:rsidR="001E6E9E">
        <w:t xml:space="preserve">who </w:t>
      </w:r>
      <w:r w:rsidR="0095569A">
        <w:t xml:space="preserve">terminated his contract of employment other than in circumstances which would constitute him a Good </w:t>
      </w:r>
      <w:r w:rsidR="00436B6F">
        <w:t>Leaver</w:t>
      </w:r>
      <w:r w:rsidR="0043067E">
        <w:t xml:space="preserve"> </w:t>
      </w:r>
      <w:r w:rsidR="00452EB8">
        <w:t>(</w:t>
      </w:r>
      <w:r w:rsidR="00C60C3D">
        <w:t xml:space="preserve">though there was an express disapplication of this limb to Mr </w:t>
      </w:r>
      <w:r w:rsidR="0095569A">
        <w:t>Richards</w:t>
      </w:r>
      <w:r w:rsidR="00A03E86">
        <w:t xml:space="preserve">, Mr </w:t>
      </w:r>
      <w:r w:rsidR="0095569A">
        <w:t>Purves and</w:t>
      </w:r>
      <w:r w:rsidR="00A03E86">
        <w:t xml:space="preserve"> Mr </w:t>
      </w:r>
      <w:r w:rsidR="0095569A">
        <w:t>Lindsell</w:t>
      </w:r>
      <w:r w:rsidR="00452EB8">
        <w:t>)</w:t>
      </w:r>
      <w:r w:rsidR="005A284B">
        <w:t xml:space="preserve"> </w:t>
      </w:r>
      <w:r w:rsidR="001E6E9E">
        <w:t xml:space="preserve">or where </w:t>
      </w:r>
      <w:r w:rsidR="009E6536">
        <w:t xml:space="preserve">the termination was in circumstances </w:t>
      </w:r>
      <w:r w:rsidR="00E26383">
        <w:t>of dismissal</w:t>
      </w:r>
      <w:r w:rsidR="0095569A">
        <w:t xml:space="preserve">, or </w:t>
      </w:r>
      <w:r w:rsidR="00B151BD">
        <w:t xml:space="preserve">an entitlement in the Company </w:t>
      </w:r>
      <w:r w:rsidR="0095569A">
        <w:t>to dismiss</w:t>
      </w:r>
      <w:r w:rsidR="00A5094C">
        <w:t xml:space="preserve">, </w:t>
      </w:r>
      <w:r w:rsidR="0095569A">
        <w:t xml:space="preserve">for a reason justifying </w:t>
      </w:r>
      <w:r w:rsidR="00A5094C">
        <w:t xml:space="preserve">the employee’s </w:t>
      </w:r>
      <w:r w:rsidR="0095569A">
        <w:t>summary dismissal</w:t>
      </w:r>
      <w:r w:rsidR="00A5094C">
        <w:t>.</w:t>
      </w:r>
      <w:r w:rsidR="008C5D2D">
        <w:t xml:space="preserve"> </w:t>
      </w:r>
      <w:r w:rsidR="003703A7">
        <w:t xml:space="preserve">The category of </w:t>
      </w:r>
      <w:r w:rsidR="00107BD7">
        <w:t>"</w:t>
      </w:r>
      <w:r w:rsidR="00107BD7" w:rsidRPr="00080D00">
        <w:rPr>
          <w:i/>
          <w:iCs/>
        </w:rPr>
        <w:t>Resignation Leaver</w:t>
      </w:r>
      <w:r w:rsidR="00107BD7">
        <w:t xml:space="preserve">" </w:t>
      </w:r>
      <w:r w:rsidR="003703A7">
        <w:t xml:space="preserve">was created for Mr </w:t>
      </w:r>
      <w:r w:rsidR="00107BD7">
        <w:t>Richards</w:t>
      </w:r>
      <w:r w:rsidR="003703A7">
        <w:t xml:space="preserve">, Mr </w:t>
      </w:r>
      <w:r w:rsidR="00107BD7">
        <w:t>Purves and</w:t>
      </w:r>
      <w:r w:rsidR="003703A7">
        <w:t xml:space="preserve"> Mr </w:t>
      </w:r>
      <w:r w:rsidR="00107BD7">
        <w:t xml:space="preserve">Lindsell </w:t>
      </w:r>
      <w:r w:rsidR="00D50F07">
        <w:t xml:space="preserve">to cover the situation of any of them terminating </w:t>
      </w:r>
      <w:r w:rsidR="00080D00">
        <w:t xml:space="preserve">his </w:t>
      </w:r>
      <w:r w:rsidR="00107BD7">
        <w:t>employ</w:t>
      </w:r>
      <w:r w:rsidR="00080D00">
        <w:t xml:space="preserve">ment other </w:t>
      </w:r>
      <w:r w:rsidR="00107BD7">
        <w:t>than in circumstances constituting him a Good Leaver</w:t>
      </w:r>
      <w:r w:rsidR="002B738A">
        <w:t xml:space="preserve">.  The </w:t>
      </w:r>
      <w:r w:rsidR="00196D78">
        <w:t xml:space="preserve">provisions of </w:t>
      </w:r>
      <w:r w:rsidR="00294366">
        <w:t xml:space="preserve">article 18.3.4 (mentioned below) provided a financial disincentive to them </w:t>
      </w:r>
      <w:r w:rsidR="00622980">
        <w:t xml:space="preserve">giving notice </w:t>
      </w:r>
      <w:r w:rsidR="00C0629A">
        <w:t xml:space="preserve">of termination of their employment within the first two years. </w:t>
      </w:r>
      <w:r w:rsidR="008C5D2D" w:rsidRPr="008C5D2D">
        <w:t xml:space="preserve"> </w:t>
      </w:r>
      <w:r w:rsidR="008C5D2D">
        <w:t xml:space="preserve"> </w:t>
      </w:r>
    </w:p>
    <w:p w14:paraId="1C5A2356" w14:textId="06C5DF9B" w:rsidR="00D433AF" w:rsidRDefault="00722F04" w:rsidP="00EF2FE7">
      <w:pPr>
        <w:pStyle w:val="ParaLevel1"/>
      </w:pPr>
      <w:r>
        <w:t xml:space="preserve">The Articles made </w:t>
      </w:r>
      <w:r w:rsidR="00675C33">
        <w:t xml:space="preserve">provision for </w:t>
      </w:r>
      <w:r w:rsidR="00B87031">
        <w:t>the transfer of a “</w:t>
      </w:r>
      <w:r w:rsidR="00B87031" w:rsidRPr="00F123DF">
        <w:rPr>
          <w:i/>
          <w:iCs/>
        </w:rPr>
        <w:t>Leaver’s Shares</w:t>
      </w:r>
      <w:r w:rsidR="00B87031">
        <w:t xml:space="preserve">” upon </w:t>
      </w:r>
      <w:r w:rsidR="00C87FC1">
        <w:t xml:space="preserve">him leaving </w:t>
      </w:r>
      <w:r w:rsidR="00AC7C58">
        <w:t xml:space="preserve">the Company’s </w:t>
      </w:r>
      <w:r w:rsidR="00C87FC1">
        <w:t>employment</w:t>
      </w:r>
      <w:r w:rsidR="006858DE">
        <w:t>.</w:t>
      </w:r>
      <w:r w:rsidR="00C87FC1">
        <w:t xml:space="preserve"> </w:t>
      </w:r>
      <w:r w:rsidR="009919CF">
        <w:t>Article 17.3 (“</w:t>
      </w:r>
      <w:r w:rsidR="00D433AF" w:rsidRPr="00F123DF">
        <w:rPr>
          <w:i/>
          <w:iCs/>
        </w:rPr>
        <w:t>Transfers in respect of Leavers</w:t>
      </w:r>
      <w:r w:rsidR="009919CF">
        <w:t>”)</w:t>
      </w:r>
      <w:r w:rsidR="00027255">
        <w:t xml:space="preserve"> provide</w:t>
      </w:r>
      <w:r w:rsidR="004715A0">
        <w:t>d</w:t>
      </w:r>
      <w:r w:rsidR="00027255">
        <w:t xml:space="preserve"> as follows:</w:t>
      </w:r>
    </w:p>
    <w:p w14:paraId="53D97D0F" w14:textId="40E45950" w:rsidR="00D433AF" w:rsidRDefault="00BB6E09" w:rsidP="00EF2FE7">
      <w:pPr>
        <w:pStyle w:val="ParaLevel1"/>
        <w:numPr>
          <w:ilvl w:val="0"/>
          <w:numId w:val="0"/>
        </w:numPr>
        <w:ind w:left="1134"/>
        <w:rPr>
          <w:i/>
          <w:iCs/>
        </w:rPr>
      </w:pPr>
      <w:r>
        <w:t>“</w:t>
      </w:r>
      <w:r w:rsidR="00D433AF" w:rsidRPr="009278FC">
        <w:rPr>
          <w:i/>
          <w:iCs/>
        </w:rPr>
        <w:t>Within the period commencing on the relevant Leaving Date and expiring at midnight on</w:t>
      </w:r>
      <w:r w:rsidR="00B45F3D" w:rsidRPr="009278FC">
        <w:rPr>
          <w:i/>
          <w:iCs/>
        </w:rPr>
        <w:t xml:space="preserve"> </w:t>
      </w:r>
      <w:r w:rsidR="00D433AF" w:rsidRPr="009278FC">
        <w:rPr>
          <w:i/>
          <w:iCs/>
        </w:rPr>
        <w:t>the date falling 9 months after such date, the Investors may direct the Company by an</w:t>
      </w:r>
      <w:r w:rsidR="00B45F3D" w:rsidRPr="009278FC">
        <w:rPr>
          <w:i/>
          <w:iCs/>
        </w:rPr>
        <w:t xml:space="preserve"> </w:t>
      </w:r>
      <w:r w:rsidR="00D433AF" w:rsidRPr="009278FC">
        <w:rPr>
          <w:i/>
          <w:iCs/>
        </w:rPr>
        <w:t>Investor Direction immediately to serve a written notice on a Leaver notifying him that he</w:t>
      </w:r>
      <w:r w:rsidR="00B45F3D" w:rsidRPr="009278FC">
        <w:rPr>
          <w:i/>
          <w:iCs/>
        </w:rPr>
        <w:t xml:space="preserve"> </w:t>
      </w:r>
      <w:r w:rsidR="00D433AF" w:rsidRPr="009278FC">
        <w:rPr>
          <w:i/>
          <w:iCs/>
        </w:rPr>
        <w:t>is, with immediate effect, deemed to have served one or more Transfer Notices in respect</w:t>
      </w:r>
      <w:r w:rsidR="00B45F3D" w:rsidRPr="009278FC">
        <w:rPr>
          <w:i/>
          <w:iCs/>
        </w:rPr>
        <w:t xml:space="preserve"> </w:t>
      </w:r>
      <w:r w:rsidR="00D433AF" w:rsidRPr="009278FC">
        <w:rPr>
          <w:i/>
          <w:iCs/>
        </w:rPr>
        <w:t>of such number and class of his Leaver's Shares as is specified in the Investor Direction</w:t>
      </w:r>
      <w:r w:rsidRPr="009278FC">
        <w:rPr>
          <w:i/>
          <w:iCs/>
        </w:rPr>
        <w:t xml:space="preserve"> </w:t>
      </w:r>
      <w:r w:rsidR="00D433AF" w:rsidRPr="009278FC">
        <w:rPr>
          <w:i/>
          <w:iCs/>
        </w:rPr>
        <w:t>(the "Sale Shares").</w:t>
      </w:r>
      <w:r w:rsidR="00FC5899">
        <w:rPr>
          <w:i/>
          <w:iCs/>
        </w:rPr>
        <w:t>”</w:t>
      </w:r>
    </w:p>
    <w:p w14:paraId="4E771762" w14:textId="7AE5A365" w:rsidR="009F78D4" w:rsidRDefault="00967827" w:rsidP="00EF2FE7">
      <w:pPr>
        <w:pStyle w:val="ParaLevel1"/>
      </w:pPr>
      <w:r>
        <w:t xml:space="preserve">An </w:t>
      </w:r>
      <w:r w:rsidRPr="004F7D0F">
        <w:t>Investor Direction</w:t>
      </w:r>
      <w:r>
        <w:t xml:space="preserve"> </w:t>
      </w:r>
      <w:r w:rsidR="00F167C9">
        <w:t>wa</w:t>
      </w:r>
      <w:r w:rsidR="009D20FE">
        <w:t>s one given by those holding a majority of the A Shares</w:t>
      </w:r>
      <w:r w:rsidR="00452EB8">
        <w:t xml:space="preserve"> </w:t>
      </w:r>
      <w:r w:rsidR="004E5133">
        <w:t>(the Livingbridge Investors)</w:t>
      </w:r>
      <w:r w:rsidR="009D20FE">
        <w:t xml:space="preserve">.  </w:t>
      </w:r>
      <w:r w:rsidR="009F78D4">
        <w:t xml:space="preserve">In the event </w:t>
      </w:r>
      <w:r w:rsidR="005A7096">
        <w:t>of a shareholder being</w:t>
      </w:r>
      <w:r w:rsidR="009F78D4">
        <w:t xml:space="preserve"> deemed to have served a Transfer Notice, </w:t>
      </w:r>
      <w:r w:rsidR="005A7096">
        <w:t>article 18.1 provided that</w:t>
      </w:r>
      <w:r w:rsidR="00AE5562">
        <w:t xml:space="preserve"> the pre-emption rights </w:t>
      </w:r>
      <w:r w:rsidR="00E241C6">
        <w:t>contained in</w:t>
      </w:r>
      <w:r w:rsidR="005A7096">
        <w:t xml:space="preserve"> </w:t>
      </w:r>
      <w:r w:rsidR="007F2089">
        <w:t>a</w:t>
      </w:r>
      <w:r w:rsidR="009F78D4">
        <w:t xml:space="preserve">rticle 19 </w:t>
      </w:r>
      <w:r w:rsidR="00B02BD7">
        <w:t>would</w:t>
      </w:r>
      <w:r w:rsidR="009F78D4">
        <w:t xml:space="preserve"> apply to the Sale Shares </w:t>
      </w:r>
      <w:r w:rsidR="00B02BD7">
        <w:t xml:space="preserve">so that </w:t>
      </w:r>
      <w:r w:rsidR="00E241C6">
        <w:t>t</w:t>
      </w:r>
      <w:r w:rsidR="00124DF0">
        <w:t xml:space="preserve">he shareholder would </w:t>
      </w:r>
      <w:r w:rsidR="00E241C6">
        <w:t xml:space="preserve">be </w:t>
      </w:r>
      <w:r w:rsidR="009F78D4">
        <w:t xml:space="preserve">obliged to transfer </w:t>
      </w:r>
      <w:r w:rsidR="00124DF0">
        <w:t>his s</w:t>
      </w:r>
      <w:r w:rsidR="009F78D4">
        <w:t xml:space="preserve">hares in accordance with </w:t>
      </w:r>
      <w:r w:rsidR="00AE5562">
        <w:t xml:space="preserve">those rights </w:t>
      </w:r>
      <w:r w:rsidR="009F78D4">
        <w:t xml:space="preserve">at a price </w:t>
      </w:r>
      <w:r w:rsidR="00BA5F1A">
        <w:t>(“</w:t>
      </w:r>
      <w:r w:rsidR="00BA5F1A" w:rsidRPr="00BA5F1A">
        <w:rPr>
          <w:i/>
          <w:iCs/>
        </w:rPr>
        <w:t>the Sale Price</w:t>
      </w:r>
      <w:r w:rsidR="00BA5F1A">
        <w:t xml:space="preserve">”) </w:t>
      </w:r>
      <w:r w:rsidR="009F78D4">
        <w:t>determined in</w:t>
      </w:r>
      <w:r w:rsidR="00597AFD">
        <w:t xml:space="preserve"> </w:t>
      </w:r>
      <w:r w:rsidR="009F78D4">
        <w:t xml:space="preserve">accordance with </w:t>
      </w:r>
      <w:r w:rsidR="00780A5C">
        <w:t xml:space="preserve">article 18.  </w:t>
      </w:r>
    </w:p>
    <w:p w14:paraId="3419EAFE" w14:textId="552707F9" w:rsidR="00835019" w:rsidRDefault="00390E9F" w:rsidP="00EF2FE7">
      <w:pPr>
        <w:pStyle w:val="ParaLevel1"/>
      </w:pPr>
      <w:r>
        <w:t xml:space="preserve">Skipping over </w:t>
      </w:r>
      <w:r w:rsidR="001C1321">
        <w:t xml:space="preserve">its further </w:t>
      </w:r>
      <w:r w:rsidR="00FA1FAD">
        <w:t xml:space="preserve">terms </w:t>
      </w:r>
      <w:r w:rsidR="001C1321">
        <w:t xml:space="preserve">in relation to </w:t>
      </w:r>
      <w:r w:rsidR="00972A46">
        <w:t xml:space="preserve">a transfer by an </w:t>
      </w:r>
      <w:r w:rsidR="001E5C4D" w:rsidRPr="00F60E86">
        <w:t>Other Leaver</w:t>
      </w:r>
      <w:r w:rsidR="00AD1377">
        <w:t xml:space="preserve"> </w:t>
      </w:r>
      <w:r w:rsidR="00895B45" w:rsidRPr="00895B45">
        <w:t>further addressed in article 18.</w:t>
      </w:r>
      <w:r w:rsidR="00FD7F6B">
        <w:t>3</w:t>
      </w:r>
      <w:r w:rsidR="00895B45" w:rsidRPr="00895B45">
        <w:t xml:space="preserve">.3 </w:t>
      </w:r>
      <w:r w:rsidR="00AD1377">
        <w:t xml:space="preserve">(and </w:t>
      </w:r>
      <w:r w:rsidR="00FB4C26">
        <w:t xml:space="preserve">also </w:t>
      </w:r>
      <w:r w:rsidR="00FD7F6B">
        <w:t xml:space="preserve">the provision for </w:t>
      </w:r>
      <w:r w:rsidR="001E6CFE">
        <w:t>Mr Lindsell’s holding of D shares)</w:t>
      </w:r>
      <w:r w:rsidR="001E5C4D">
        <w:t xml:space="preserve"> </w:t>
      </w:r>
      <w:r w:rsidR="00972A46">
        <w:t>a</w:t>
      </w:r>
      <w:r w:rsidR="00835019" w:rsidRPr="00835019">
        <w:t>rticle 18</w:t>
      </w:r>
      <w:r w:rsidR="00972A46">
        <w:t xml:space="preserve"> provide</w:t>
      </w:r>
      <w:r w:rsidR="00F60E86">
        <w:t>d</w:t>
      </w:r>
      <w:r w:rsidR="00972A46">
        <w:t>:</w:t>
      </w:r>
    </w:p>
    <w:p w14:paraId="34391B70" w14:textId="18B9DB49" w:rsidR="00972A46" w:rsidRPr="00FC1891" w:rsidRDefault="00FC1891" w:rsidP="00EF2FE7">
      <w:pPr>
        <w:pStyle w:val="ParaLevel1"/>
        <w:numPr>
          <w:ilvl w:val="0"/>
          <w:numId w:val="0"/>
        </w:numPr>
        <w:ind w:left="1134"/>
        <w:rPr>
          <w:i/>
          <w:iCs/>
        </w:rPr>
      </w:pPr>
      <w:r>
        <w:rPr>
          <w:i/>
          <w:iCs/>
        </w:rPr>
        <w:t>“</w:t>
      </w:r>
      <w:r w:rsidR="00972A46" w:rsidRPr="00FC1891">
        <w:rPr>
          <w:i/>
          <w:iCs/>
        </w:rPr>
        <w:t>Save as otherwise set out in these Articles the Sale Price shall be:</w:t>
      </w:r>
    </w:p>
    <w:p w14:paraId="0DDE74FA" w14:textId="3E9A14A5" w:rsidR="00972A46" w:rsidRPr="00FC1891" w:rsidRDefault="00972A46" w:rsidP="00EF2FE7">
      <w:pPr>
        <w:pStyle w:val="ParaLevel1"/>
        <w:numPr>
          <w:ilvl w:val="0"/>
          <w:numId w:val="0"/>
        </w:numPr>
        <w:ind w:left="1134"/>
        <w:rPr>
          <w:i/>
          <w:iCs/>
        </w:rPr>
      </w:pPr>
      <w:r w:rsidRPr="00FC1891">
        <w:rPr>
          <w:i/>
          <w:iCs/>
        </w:rPr>
        <w:t xml:space="preserve">18.3.1 </w:t>
      </w:r>
      <w:r w:rsidR="00AD1377">
        <w:rPr>
          <w:i/>
          <w:iCs/>
        </w:rPr>
        <w:t>I</w:t>
      </w:r>
      <w:r w:rsidRPr="00FC1891">
        <w:rPr>
          <w:i/>
          <w:iCs/>
        </w:rPr>
        <w:t>n the case of a Good Leaver, the Market Value;</w:t>
      </w:r>
    </w:p>
    <w:p w14:paraId="358DEBA4" w14:textId="24418AF9" w:rsidR="007E7D1B" w:rsidRDefault="00972A46" w:rsidP="00EF2FE7">
      <w:pPr>
        <w:pStyle w:val="ParaLevel1"/>
        <w:numPr>
          <w:ilvl w:val="0"/>
          <w:numId w:val="0"/>
        </w:numPr>
        <w:ind w:left="1134"/>
        <w:rPr>
          <w:i/>
          <w:iCs/>
        </w:rPr>
      </w:pPr>
      <w:r w:rsidRPr="00FC1891">
        <w:rPr>
          <w:i/>
          <w:iCs/>
        </w:rPr>
        <w:t xml:space="preserve">18.3.2 </w:t>
      </w:r>
      <w:r w:rsidR="00AD1377">
        <w:rPr>
          <w:i/>
          <w:iCs/>
        </w:rPr>
        <w:t>I</w:t>
      </w:r>
      <w:r w:rsidRPr="00FC1891">
        <w:rPr>
          <w:i/>
          <w:iCs/>
        </w:rPr>
        <w:t>n the case of a Bad Leaver, £1 in aggregate for all the Sale Shares;</w:t>
      </w:r>
      <w:r w:rsidR="00FC1891">
        <w:rPr>
          <w:i/>
          <w:iCs/>
        </w:rPr>
        <w:t>”</w:t>
      </w:r>
      <w:r w:rsidRPr="00FC1891">
        <w:rPr>
          <w:i/>
          <w:iCs/>
        </w:rPr>
        <w:t xml:space="preserve"> </w:t>
      </w:r>
    </w:p>
    <w:p w14:paraId="59588117" w14:textId="2CA78DF4" w:rsidR="00972A46" w:rsidRDefault="00FC1891" w:rsidP="00EF2FE7">
      <w:pPr>
        <w:pStyle w:val="ParaLevel1"/>
        <w:numPr>
          <w:ilvl w:val="0"/>
          <w:numId w:val="0"/>
        </w:numPr>
        <w:ind w:left="1134"/>
        <w:rPr>
          <w:i/>
          <w:iCs/>
        </w:rPr>
      </w:pPr>
      <w:r w:rsidRPr="00FC1891">
        <w:rPr>
          <w:i/>
          <w:iCs/>
        </w:rPr>
        <w:t>……</w:t>
      </w:r>
    </w:p>
    <w:p w14:paraId="32FDA4C1" w14:textId="6D802985" w:rsidR="002C4C4E" w:rsidRDefault="002C4C4E" w:rsidP="00EF2FE7">
      <w:pPr>
        <w:pStyle w:val="ParaLevel1"/>
        <w:numPr>
          <w:ilvl w:val="0"/>
          <w:numId w:val="0"/>
        </w:numPr>
        <w:ind w:left="1134"/>
        <w:rPr>
          <w:i/>
          <w:iCs/>
        </w:rPr>
      </w:pPr>
      <w:r>
        <w:rPr>
          <w:i/>
          <w:iCs/>
        </w:rPr>
        <w:t xml:space="preserve">18.3.4 </w:t>
      </w:r>
      <w:r w:rsidR="00AD1377">
        <w:rPr>
          <w:i/>
          <w:iCs/>
        </w:rPr>
        <w:t>In the case of a Resignation Leaver, the Sale Price shall be determined as follows whether the price per share of each share shall be paid by any purchaser shall be the average price calculated in accordance the table below.</w:t>
      </w:r>
    </w:p>
    <w:tbl>
      <w:tblPr>
        <w:tblStyle w:val="TableGrid"/>
        <w:tblW w:w="0" w:type="auto"/>
        <w:tblInd w:w="1134" w:type="dxa"/>
        <w:tblLook w:val="04A0" w:firstRow="1" w:lastRow="0" w:firstColumn="1" w:lastColumn="0" w:noHBand="0" w:noVBand="1"/>
      </w:tblPr>
      <w:tblGrid>
        <w:gridCol w:w="2647"/>
        <w:gridCol w:w="2627"/>
        <w:gridCol w:w="2611"/>
      </w:tblGrid>
      <w:tr w:rsidR="00F12F33" w14:paraId="160FC785" w14:textId="77777777" w:rsidTr="00417C3A">
        <w:trPr>
          <w:trHeight w:val="385"/>
        </w:trPr>
        <w:tc>
          <w:tcPr>
            <w:tcW w:w="2766" w:type="dxa"/>
          </w:tcPr>
          <w:p w14:paraId="70376CB1" w14:textId="73CFF059" w:rsidR="00417C3A" w:rsidRPr="00672AA9" w:rsidRDefault="00672AA9" w:rsidP="00EF2FE7">
            <w:pPr>
              <w:pStyle w:val="ParaLevel1"/>
              <w:numPr>
                <w:ilvl w:val="0"/>
                <w:numId w:val="0"/>
              </w:numPr>
              <w:rPr>
                <w:b/>
                <w:bCs/>
                <w:i/>
                <w:iCs/>
              </w:rPr>
            </w:pPr>
            <w:r>
              <w:rPr>
                <w:b/>
                <w:bCs/>
                <w:i/>
                <w:iCs/>
              </w:rPr>
              <w:t>Leaving Date</w:t>
            </w:r>
          </w:p>
        </w:tc>
        <w:tc>
          <w:tcPr>
            <w:tcW w:w="2766" w:type="dxa"/>
          </w:tcPr>
          <w:p w14:paraId="1951A822" w14:textId="5A6A8E0F" w:rsidR="00417C3A" w:rsidRPr="00672AA9" w:rsidRDefault="00672AA9" w:rsidP="00EF2FE7">
            <w:pPr>
              <w:pStyle w:val="ParaLevel1"/>
              <w:numPr>
                <w:ilvl w:val="0"/>
                <w:numId w:val="0"/>
              </w:numPr>
              <w:rPr>
                <w:b/>
                <w:bCs/>
                <w:i/>
                <w:iCs/>
              </w:rPr>
            </w:pPr>
            <w:r w:rsidRPr="00672AA9">
              <w:rPr>
                <w:b/>
                <w:bCs/>
                <w:i/>
                <w:iCs/>
              </w:rPr>
              <w:t>Class of Share</w:t>
            </w:r>
          </w:p>
        </w:tc>
        <w:tc>
          <w:tcPr>
            <w:tcW w:w="2767" w:type="dxa"/>
          </w:tcPr>
          <w:p w14:paraId="6CABCE21" w14:textId="27F16077" w:rsidR="00417C3A" w:rsidRPr="00672AA9" w:rsidRDefault="00672AA9" w:rsidP="00EF2FE7">
            <w:pPr>
              <w:pStyle w:val="ParaLevel1"/>
              <w:numPr>
                <w:ilvl w:val="0"/>
                <w:numId w:val="0"/>
              </w:numPr>
              <w:rPr>
                <w:b/>
                <w:bCs/>
                <w:i/>
                <w:iCs/>
              </w:rPr>
            </w:pPr>
            <w:r w:rsidRPr="00672AA9">
              <w:rPr>
                <w:b/>
                <w:bCs/>
                <w:i/>
                <w:iCs/>
              </w:rPr>
              <w:t>Sale Price</w:t>
            </w:r>
          </w:p>
        </w:tc>
      </w:tr>
      <w:tr w:rsidR="00F12F33" w14:paraId="7E594386" w14:textId="77777777" w:rsidTr="00417C3A">
        <w:tc>
          <w:tcPr>
            <w:tcW w:w="2766" w:type="dxa"/>
          </w:tcPr>
          <w:p w14:paraId="7665F2C9" w14:textId="7A453342" w:rsidR="00417C3A" w:rsidRDefault="00484D4A" w:rsidP="00EF2FE7">
            <w:pPr>
              <w:pStyle w:val="ParaLevel1"/>
              <w:numPr>
                <w:ilvl w:val="0"/>
                <w:numId w:val="0"/>
              </w:numPr>
              <w:rPr>
                <w:i/>
                <w:iCs/>
              </w:rPr>
            </w:pPr>
            <w:r>
              <w:rPr>
                <w:i/>
                <w:iCs/>
              </w:rPr>
              <w:t>Up to and including the first anniversary of the Acquisition Date</w:t>
            </w:r>
          </w:p>
        </w:tc>
        <w:tc>
          <w:tcPr>
            <w:tcW w:w="2766" w:type="dxa"/>
          </w:tcPr>
          <w:p w14:paraId="401FEF12" w14:textId="1DB5A8F1" w:rsidR="00417C3A" w:rsidRDefault="00F12F33" w:rsidP="00EF2FE7">
            <w:pPr>
              <w:pStyle w:val="ParaLevel1"/>
              <w:numPr>
                <w:ilvl w:val="0"/>
                <w:numId w:val="0"/>
              </w:numPr>
              <w:rPr>
                <w:i/>
                <w:iCs/>
              </w:rPr>
            </w:pPr>
            <w:r>
              <w:rPr>
                <w:i/>
                <w:iCs/>
              </w:rPr>
              <w:t>C  Ordinary Share</w:t>
            </w:r>
          </w:p>
        </w:tc>
        <w:tc>
          <w:tcPr>
            <w:tcW w:w="2767" w:type="dxa"/>
          </w:tcPr>
          <w:p w14:paraId="24236EAA" w14:textId="204B4999" w:rsidR="00417C3A" w:rsidRDefault="00F12F33" w:rsidP="00EF2FE7">
            <w:pPr>
              <w:pStyle w:val="ParaLevel1"/>
              <w:numPr>
                <w:ilvl w:val="0"/>
                <w:numId w:val="0"/>
              </w:numPr>
              <w:rPr>
                <w:i/>
                <w:iCs/>
              </w:rPr>
            </w:pPr>
            <w:r>
              <w:rPr>
                <w:i/>
                <w:iCs/>
              </w:rPr>
              <w:t>Two thirds at 0.01p per share and one third at the Market Value</w:t>
            </w:r>
          </w:p>
        </w:tc>
      </w:tr>
      <w:tr w:rsidR="00F12F33" w14:paraId="60D8389C" w14:textId="77777777" w:rsidTr="00417C3A">
        <w:tc>
          <w:tcPr>
            <w:tcW w:w="2766" w:type="dxa"/>
          </w:tcPr>
          <w:p w14:paraId="41806EBB" w14:textId="2C10E58A" w:rsidR="00417C3A" w:rsidRDefault="00C12CB6" w:rsidP="00EF2FE7">
            <w:pPr>
              <w:pStyle w:val="ParaLevel1"/>
              <w:numPr>
                <w:ilvl w:val="0"/>
                <w:numId w:val="0"/>
              </w:numPr>
              <w:rPr>
                <w:i/>
                <w:iCs/>
              </w:rPr>
            </w:pPr>
            <w:r>
              <w:rPr>
                <w:i/>
                <w:iCs/>
              </w:rPr>
              <w:t>After the first anniversary of the Acquisition Date</w:t>
            </w:r>
          </w:p>
        </w:tc>
        <w:tc>
          <w:tcPr>
            <w:tcW w:w="2766" w:type="dxa"/>
          </w:tcPr>
          <w:p w14:paraId="7724C9EE" w14:textId="544A00A1" w:rsidR="00417C3A" w:rsidRDefault="00AF34D3" w:rsidP="00EF2FE7">
            <w:pPr>
              <w:pStyle w:val="ParaLevel1"/>
              <w:numPr>
                <w:ilvl w:val="0"/>
                <w:numId w:val="0"/>
              </w:numPr>
              <w:rPr>
                <w:i/>
                <w:iCs/>
              </w:rPr>
            </w:pPr>
            <w:r w:rsidRPr="00AF34D3">
              <w:rPr>
                <w:i/>
                <w:iCs/>
              </w:rPr>
              <w:t>C  Ordinary Share</w:t>
            </w:r>
          </w:p>
        </w:tc>
        <w:tc>
          <w:tcPr>
            <w:tcW w:w="2767" w:type="dxa"/>
          </w:tcPr>
          <w:p w14:paraId="5963B309" w14:textId="6C03D86A" w:rsidR="00417C3A" w:rsidRDefault="00AF34D3" w:rsidP="00EF2FE7">
            <w:pPr>
              <w:pStyle w:val="ParaLevel1"/>
              <w:numPr>
                <w:ilvl w:val="0"/>
                <w:numId w:val="0"/>
              </w:numPr>
              <w:rPr>
                <w:i/>
                <w:iCs/>
              </w:rPr>
            </w:pPr>
            <w:r>
              <w:rPr>
                <w:i/>
                <w:iCs/>
              </w:rPr>
              <w:t>One</w:t>
            </w:r>
            <w:r w:rsidRPr="00AF34D3">
              <w:rPr>
                <w:i/>
                <w:iCs/>
              </w:rPr>
              <w:t xml:space="preserve"> third at 0.01p per share and </w:t>
            </w:r>
            <w:r>
              <w:rPr>
                <w:i/>
                <w:iCs/>
              </w:rPr>
              <w:t>two</w:t>
            </w:r>
            <w:r w:rsidRPr="00AF34D3">
              <w:rPr>
                <w:i/>
                <w:iCs/>
              </w:rPr>
              <w:t xml:space="preserve"> third</w:t>
            </w:r>
            <w:r>
              <w:rPr>
                <w:i/>
                <w:iCs/>
              </w:rPr>
              <w:t>s</w:t>
            </w:r>
            <w:r w:rsidRPr="00AF34D3">
              <w:rPr>
                <w:i/>
                <w:iCs/>
              </w:rPr>
              <w:t xml:space="preserve"> at the Market Value</w:t>
            </w:r>
          </w:p>
        </w:tc>
      </w:tr>
    </w:tbl>
    <w:p w14:paraId="0FB28532" w14:textId="77777777" w:rsidR="007F0C72" w:rsidRDefault="007F0C72" w:rsidP="00EF2FE7">
      <w:pPr>
        <w:pStyle w:val="ParaLevel1"/>
        <w:numPr>
          <w:ilvl w:val="0"/>
          <w:numId w:val="0"/>
        </w:numPr>
        <w:ind w:left="1134"/>
        <w:rPr>
          <w:i/>
          <w:iCs/>
        </w:rPr>
      </w:pPr>
    </w:p>
    <w:p w14:paraId="17A4D52E" w14:textId="566DDD19" w:rsidR="00CD2DA5" w:rsidRDefault="00CD2DA5" w:rsidP="00EF2FE7">
      <w:pPr>
        <w:pStyle w:val="ParaLevel1"/>
      </w:pPr>
      <w:r>
        <w:t xml:space="preserve">This meant that, if the Claimants resigned, they would forfeit at least one-third of Market Value.  </w:t>
      </w:r>
    </w:p>
    <w:p w14:paraId="2BB577F7" w14:textId="2C6C1872" w:rsidR="00437579" w:rsidRDefault="00810CF8" w:rsidP="00EF2FE7">
      <w:pPr>
        <w:pStyle w:val="ParaLevel1"/>
      </w:pPr>
      <w:r>
        <w:t xml:space="preserve">The definition of </w:t>
      </w:r>
      <w:r w:rsidR="00437579" w:rsidRPr="008B5F74">
        <w:t>Other Leaver</w:t>
      </w:r>
      <w:r w:rsidR="00437579">
        <w:t xml:space="preserve"> mean</w:t>
      </w:r>
      <w:r w:rsidR="005309DB">
        <w:t>t</w:t>
      </w:r>
      <w:r w:rsidR="00437579">
        <w:t xml:space="preserve"> a person who ceases to be an Employee other than in</w:t>
      </w:r>
      <w:r>
        <w:t xml:space="preserve"> </w:t>
      </w:r>
      <w:r w:rsidR="00437579">
        <w:t>circumstances constituting him a Good Leaver or a Bad Leaver or a Resignation Leaver;</w:t>
      </w:r>
      <w:r>
        <w:t xml:space="preserve"> and </w:t>
      </w:r>
      <w:r w:rsidR="009A5BB9">
        <w:t>article 18.3.</w:t>
      </w:r>
      <w:r w:rsidR="00D353CC">
        <w:t xml:space="preserve">3 </w:t>
      </w:r>
      <w:r w:rsidR="00DE6963">
        <w:t xml:space="preserve">made similar provision in relation to the Claimants’ C Shares </w:t>
      </w:r>
      <w:r w:rsidR="00273A3E">
        <w:t>over the first two years but said they should receive Market Value thereafter.</w:t>
      </w:r>
      <w:r w:rsidR="00A6589C">
        <w:t xml:space="preserve">  </w:t>
      </w:r>
    </w:p>
    <w:p w14:paraId="144AC3F9" w14:textId="3B67127B" w:rsidR="00466EFB" w:rsidRDefault="001A6567" w:rsidP="00EF2FE7">
      <w:pPr>
        <w:pStyle w:val="ParaLevel1"/>
      </w:pPr>
      <w:r>
        <w:t xml:space="preserve">The concept of </w:t>
      </w:r>
      <w:r w:rsidR="009107A3">
        <w:t>“</w:t>
      </w:r>
      <w:r w:rsidR="00466EFB" w:rsidRPr="009107A3">
        <w:rPr>
          <w:i/>
          <w:iCs/>
        </w:rPr>
        <w:t>Market Value</w:t>
      </w:r>
      <w:r w:rsidR="009107A3">
        <w:t>”</w:t>
      </w:r>
      <w:r w:rsidR="00466EFB">
        <w:t xml:space="preserve"> </w:t>
      </w:r>
      <w:r>
        <w:t>therefore</w:t>
      </w:r>
      <w:r w:rsidR="00CE7BFE">
        <w:t xml:space="preserve"> either determined or partly determined the Claimants’ entitlement in the event of</w:t>
      </w:r>
      <w:r w:rsidR="001B30B3">
        <w:t xml:space="preserve"> them (or either of them) becoming a Good </w:t>
      </w:r>
      <w:r w:rsidR="000637B4">
        <w:t xml:space="preserve">Leaver, a Resignation Leaver or Other Leaver and </w:t>
      </w:r>
      <w:r w:rsidR="002B7A5A">
        <w:t xml:space="preserve">then receiving </w:t>
      </w:r>
      <w:r w:rsidR="000637B4">
        <w:t xml:space="preserve">an article 17.3 Investor Direction.  </w:t>
      </w:r>
      <w:r w:rsidR="008520FF">
        <w:t xml:space="preserve"> </w:t>
      </w:r>
    </w:p>
    <w:p w14:paraId="47080A52" w14:textId="4550E5BF" w:rsidR="00972A46" w:rsidRDefault="00FC1891" w:rsidP="00EF2FE7">
      <w:pPr>
        <w:pStyle w:val="ParaLevel1"/>
      </w:pPr>
      <w:r>
        <w:t xml:space="preserve">The Articles defined </w:t>
      </w:r>
      <w:r w:rsidR="00FA1FAD" w:rsidRPr="009107A3">
        <w:t>Market Value</w:t>
      </w:r>
      <w:r w:rsidR="00FA1FAD">
        <w:t xml:space="preserve"> as</w:t>
      </w:r>
      <w:r w:rsidR="00B02E9C">
        <w:t xml:space="preserve"> follows</w:t>
      </w:r>
      <w:r w:rsidR="00FA1FAD">
        <w:t>:</w:t>
      </w:r>
    </w:p>
    <w:p w14:paraId="7F970C99" w14:textId="2664F0E1" w:rsidR="00B02E9C" w:rsidRPr="00B02E9C" w:rsidRDefault="00FC5899" w:rsidP="00EF2FE7">
      <w:pPr>
        <w:pStyle w:val="ParaLevel1"/>
        <w:numPr>
          <w:ilvl w:val="0"/>
          <w:numId w:val="0"/>
        </w:numPr>
        <w:ind w:left="1134"/>
        <w:rPr>
          <w:i/>
          <w:iCs/>
        </w:rPr>
      </w:pPr>
      <w:r>
        <w:rPr>
          <w:i/>
          <w:iCs/>
        </w:rPr>
        <w:t>“</w:t>
      </w:r>
      <w:r w:rsidR="00B02E9C" w:rsidRPr="00B02E9C">
        <w:rPr>
          <w:i/>
          <w:iCs/>
        </w:rPr>
        <w:t xml:space="preserve">"Market Value" means such value as the transferor and (with Investor Consent) the Company shall agree within ten days after the date of the relevant Transfer Notice (or such longer period as shall be agreed between the transferor and (with Investor Consent) the Company) or, failing such </w:t>
      </w:r>
      <w:r w:rsidR="002C7EC8">
        <w:rPr>
          <w:i/>
          <w:iCs/>
        </w:rPr>
        <w:t xml:space="preserve">  </w:t>
      </w:r>
      <w:r w:rsidR="00B02E9C" w:rsidRPr="00B02E9C">
        <w:rPr>
          <w:i/>
          <w:iCs/>
        </w:rPr>
        <w:t>agreement, such value as the Independent Expert shall determine pursuant to Article 18.3.4.”</w:t>
      </w:r>
    </w:p>
    <w:p w14:paraId="13612666" w14:textId="3F3D8903" w:rsidR="00C832F3" w:rsidRDefault="00C832F3" w:rsidP="00EF2FE7">
      <w:pPr>
        <w:pStyle w:val="ParaLevel1"/>
      </w:pPr>
      <w:r>
        <w:t xml:space="preserve">Under </w:t>
      </w:r>
      <w:r w:rsidR="00BA20EF">
        <w:t>a</w:t>
      </w:r>
      <w:r>
        <w:t>rticle 18.4</w:t>
      </w:r>
      <w:r w:rsidR="00904EC4">
        <w:t>.1</w:t>
      </w:r>
      <w:r w:rsidR="00FA1602">
        <w:t xml:space="preserve"> </w:t>
      </w:r>
      <w:r w:rsidR="00874549">
        <w:t xml:space="preserve">(not </w:t>
      </w:r>
      <w:r w:rsidR="00BA20EF">
        <w:t>18.3.4)</w:t>
      </w:r>
      <w:r>
        <w:t xml:space="preserve">, </w:t>
      </w:r>
      <w:r w:rsidR="00BA20EF">
        <w:t xml:space="preserve">where </w:t>
      </w:r>
      <w:r>
        <w:t xml:space="preserve">Market Value fell to be determined by the Independent Expert </w:t>
      </w:r>
      <w:r w:rsidR="00861463">
        <w:t xml:space="preserve">that </w:t>
      </w:r>
      <w:r w:rsidR="00DF1A74">
        <w:t xml:space="preserve">determination would be </w:t>
      </w:r>
      <w:r>
        <w:t>final and binding in the absence of manifest error</w:t>
      </w:r>
      <w:r w:rsidR="00DF1A74">
        <w:t xml:space="preserve"> and would be</w:t>
      </w:r>
      <w:r>
        <w:t>:</w:t>
      </w:r>
    </w:p>
    <w:p w14:paraId="4A8CC8BB" w14:textId="31DA3DDD" w:rsidR="00FA1FAD" w:rsidRDefault="00C832F3" w:rsidP="00EF2FE7">
      <w:pPr>
        <w:pStyle w:val="ParaLevel1"/>
        <w:numPr>
          <w:ilvl w:val="0"/>
          <w:numId w:val="0"/>
        </w:numPr>
        <w:ind w:left="1134"/>
        <w:rPr>
          <w:i/>
          <w:iCs/>
        </w:rPr>
      </w:pPr>
      <w:r w:rsidRPr="00DF1A74">
        <w:rPr>
          <w:i/>
          <w:iCs/>
        </w:rPr>
        <w:t>… on the basis which, in the Independent Expert’s opinion, represents</w:t>
      </w:r>
      <w:r w:rsidR="00DF1A74" w:rsidRPr="00DF1A74">
        <w:rPr>
          <w:i/>
          <w:iCs/>
        </w:rPr>
        <w:t xml:space="preserve"> </w:t>
      </w:r>
      <w:r w:rsidRPr="00DF1A74">
        <w:rPr>
          <w:i/>
          <w:iCs/>
        </w:rPr>
        <w:t>the market value of the Leaver’s Shares at the Leaving Date as between</w:t>
      </w:r>
      <w:r w:rsidR="00DF1A74" w:rsidRPr="00DF1A74">
        <w:rPr>
          <w:i/>
          <w:iCs/>
        </w:rPr>
        <w:t xml:space="preserve"> </w:t>
      </w:r>
      <w:r w:rsidRPr="00DF1A74">
        <w:rPr>
          <w:i/>
          <w:iCs/>
        </w:rPr>
        <w:t>a willing seller and a willing buyer as if the entire issued share capital of</w:t>
      </w:r>
      <w:r w:rsidR="00DF1A74" w:rsidRPr="00DF1A74">
        <w:rPr>
          <w:i/>
          <w:iCs/>
        </w:rPr>
        <w:t xml:space="preserve"> </w:t>
      </w:r>
      <w:r w:rsidRPr="00DF1A74">
        <w:rPr>
          <w:i/>
          <w:iCs/>
        </w:rPr>
        <w:t>the Company were being sold in accordance with these Articles and, in</w:t>
      </w:r>
      <w:r w:rsidR="00DF1A74" w:rsidRPr="00DF1A74">
        <w:rPr>
          <w:i/>
          <w:iCs/>
        </w:rPr>
        <w:t xml:space="preserve"> </w:t>
      </w:r>
      <w:r w:rsidRPr="00DF1A74">
        <w:rPr>
          <w:i/>
          <w:iCs/>
        </w:rPr>
        <w:t>making such determination, the Independent Expert shall ignore the fact</w:t>
      </w:r>
      <w:r w:rsidR="00DF1A74" w:rsidRPr="00DF1A74">
        <w:rPr>
          <w:i/>
          <w:iCs/>
        </w:rPr>
        <w:t xml:space="preserve"> </w:t>
      </w:r>
      <w:r w:rsidRPr="00DF1A74">
        <w:rPr>
          <w:i/>
          <w:iCs/>
        </w:rPr>
        <w:t>that such Leaver’s Shares may represent a minority interest and may be</w:t>
      </w:r>
      <w:r w:rsidR="00DF1A74" w:rsidRPr="00DF1A74">
        <w:rPr>
          <w:i/>
          <w:iCs/>
        </w:rPr>
        <w:t xml:space="preserve"> </w:t>
      </w:r>
      <w:r w:rsidRPr="00DF1A74">
        <w:rPr>
          <w:i/>
          <w:iCs/>
        </w:rPr>
        <w:t>subject to the compulsory transfer requirements of Articles 17</w:t>
      </w:r>
      <w:r w:rsidR="00DF1A74" w:rsidRPr="00DF1A74">
        <w:rPr>
          <w:i/>
          <w:iCs/>
        </w:rPr>
        <w:t xml:space="preserve"> </w:t>
      </w:r>
      <w:r w:rsidRPr="00DF1A74">
        <w:rPr>
          <w:i/>
          <w:iCs/>
        </w:rPr>
        <w:t>(Transfers of Shares) and 20 (Tag Along and Come Along)).</w:t>
      </w:r>
      <w:r w:rsidR="00611CE3" w:rsidRPr="00DF1A74">
        <w:rPr>
          <w:i/>
          <w:iCs/>
        </w:rPr>
        <w:t>”</w:t>
      </w:r>
    </w:p>
    <w:p w14:paraId="1C842300" w14:textId="77777777" w:rsidR="009B3750" w:rsidRPr="00DF1A74" w:rsidRDefault="009B3750" w:rsidP="00EF2FE7">
      <w:pPr>
        <w:pStyle w:val="ParaLevel1"/>
        <w:numPr>
          <w:ilvl w:val="0"/>
          <w:numId w:val="0"/>
        </w:numPr>
        <w:ind w:left="1134"/>
        <w:rPr>
          <w:i/>
          <w:iCs/>
        </w:rPr>
      </w:pPr>
    </w:p>
    <w:p w14:paraId="092C1A52" w14:textId="14FFD30B" w:rsidR="00E17778" w:rsidRDefault="002A10A7" w:rsidP="00EF2FE7">
      <w:pPr>
        <w:pStyle w:val="ParaLevel1"/>
      </w:pPr>
      <w:r>
        <w:t xml:space="preserve">Article </w:t>
      </w:r>
      <w:r w:rsidR="00DE217E">
        <w:t>18.4.1 therefore postulated a hypothetical sale of the leaver’s shares (</w:t>
      </w:r>
      <w:r w:rsidR="002F42D1">
        <w:t>with the t</w:t>
      </w:r>
      <w:r w:rsidR="00153D7E">
        <w:t>hree</w:t>
      </w:r>
      <w:r w:rsidR="002F42D1">
        <w:t xml:space="preserve"> </w:t>
      </w:r>
      <w:r w:rsidR="00BC37DA">
        <w:t>“</w:t>
      </w:r>
      <w:r w:rsidR="002F42D1">
        <w:t>disregards</w:t>
      </w:r>
      <w:r w:rsidR="00BC37DA">
        <w:t>”</w:t>
      </w:r>
      <w:r w:rsidR="002F42D1">
        <w:t xml:space="preserve"> directed by </w:t>
      </w:r>
      <w:r w:rsidR="00BC37DA">
        <w:t xml:space="preserve">its </w:t>
      </w:r>
      <w:r w:rsidR="002F42D1">
        <w:t>final clause)</w:t>
      </w:r>
      <w:r w:rsidR="003E5CCF">
        <w:t xml:space="preserve">.  </w:t>
      </w:r>
    </w:p>
    <w:p w14:paraId="7AD20D2A" w14:textId="4402E613" w:rsidR="00D066F2" w:rsidRDefault="003E5CCF" w:rsidP="00EF2FE7">
      <w:pPr>
        <w:pStyle w:val="ParaLevel1"/>
      </w:pPr>
      <w:r>
        <w:t xml:space="preserve">The Articles </w:t>
      </w:r>
      <w:r w:rsidR="001251A5">
        <w:t>defi</w:t>
      </w:r>
      <w:r w:rsidR="00ED295B">
        <w:t>n</w:t>
      </w:r>
      <w:r w:rsidR="001251A5">
        <w:t xml:space="preserve">ed </w:t>
      </w:r>
      <w:r w:rsidR="009B3750">
        <w:t xml:space="preserve">a </w:t>
      </w:r>
      <w:r w:rsidR="0027434E">
        <w:t>"</w:t>
      </w:r>
      <w:r w:rsidR="0027434E" w:rsidRPr="009B3750">
        <w:rPr>
          <w:i/>
          <w:iCs/>
        </w:rPr>
        <w:t>Share Sale</w:t>
      </w:r>
      <w:r w:rsidR="0027434E">
        <w:t xml:space="preserve">" </w:t>
      </w:r>
      <w:r w:rsidR="009B3750">
        <w:t xml:space="preserve">(the term used in the RPP </w:t>
      </w:r>
      <w:r w:rsidR="00FE591C">
        <w:t>provision of article 13.3</w:t>
      </w:r>
      <w:r w:rsidR="00E2044F">
        <w:t xml:space="preserve"> though not in </w:t>
      </w:r>
      <w:r w:rsidR="00DC3078">
        <w:t>article 18.4.1</w:t>
      </w:r>
      <w:r w:rsidR="00FE591C">
        <w:t xml:space="preserve">) to </w:t>
      </w:r>
      <w:r w:rsidR="0027434E">
        <w:t>mean</w:t>
      </w:r>
      <w:r w:rsidR="00D066F2">
        <w:t xml:space="preserve">: </w:t>
      </w:r>
    </w:p>
    <w:p w14:paraId="783B84EF" w14:textId="7B514A3D" w:rsidR="00DE217E" w:rsidRDefault="00BE4415" w:rsidP="00EF2FE7">
      <w:pPr>
        <w:pStyle w:val="ParaLevel1"/>
        <w:numPr>
          <w:ilvl w:val="0"/>
          <w:numId w:val="0"/>
        </w:numPr>
        <w:ind w:left="1134"/>
      </w:pPr>
      <w:r w:rsidRPr="00BE4415">
        <w:rPr>
          <w:i/>
          <w:iCs/>
        </w:rPr>
        <w:t xml:space="preserve">“….. </w:t>
      </w:r>
      <w:r w:rsidR="0027434E" w:rsidRPr="00BE4415">
        <w:rPr>
          <w:i/>
          <w:iCs/>
        </w:rPr>
        <w:t>the completion of any sale of any interest in any Shares (whether in</w:t>
      </w:r>
      <w:r w:rsidR="00D066F2" w:rsidRPr="00BE4415">
        <w:rPr>
          <w:i/>
          <w:iCs/>
        </w:rPr>
        <w:t xml:space="preserve"> </w:t>
      </w:r>
      <w:r w:rsidR="0027434E" w:rsidRPr="00BE4415">
        <w:rPr>
          <w:i/>
          <w:iCs/>
        </w:rPr>
        <w:t>one transaction or a series of related transactions) resulting in the transferee (either alone</w:t>
      </w:r>
      <w:r w:rsidR="00D066F2" w:rsidRPr="00BE4415">
        <w:rPr>
          <w:i/>
          <w:iCs/>
        </w:rPr>
        <w:t xml:space="preserve"> </w:t>
      </w:r>
      <w:r w:rsidR="0027434E" w:rsidRPr="00BE4415">
        <w:rPr>
          <w:i/>
          <w:iCs/>
        </w:rPr>
        <w:t>or together with its Connected Persons) holding a Controlling Interest in the Company</w:t>
      </w:r>
      <w:r>
        <w:t>”</w:t>
      </w:r>
    </w:p>
    <w:p w14:paraId="2B7D5C71" w14:textId="61295F10" w:rsidR="00BD5882" w:rsidRDefault="00627667" w:rsidP="00EF2FE7">
      <w:pPr>
        <w:pStyle w:val="ParaLevel1"/>
      </w:pPr>
      <w:r>
        <w:t>The</w:t>
      </w:r>
      <w:r w:rsidR="001D00E8">
        <w:t>y</w:t>
      </w:r>
      <w:r>
        <w:t xml:space="preserve"> defined the term </w:t>
      </w:r>
      <w:r w:rsidR="00140F29">
        <w:t>“</w:t>
      </w:r>
      <w:r w:rsidR="00140F29" w:rsidRPr="00627667">
        <w:rPr>
          <w:i/>
          <w:iCs/>
        </w:rPr>
        <w:t>Controlling Interest</w:t>
      </w:r>
      <w:r w:rsidR="00140F29">
        <w:t xml:space="preserve">” </w:t>
      </w:r>
      <w:r>
        <w:t>to mean</w:t>
      </w:r>
      <w:r w:rsidR="00BD5882">
        <w:t>:</w:t>
      </w:r>
    </w:p>
    <w:p w14:paraId="0D6C26C3" w14:textId="275B5D6E" w:rsidR="00D13E73" w:rsidRDefault="00BD5882" w:rsidP="00EF2FE7">
      <w:pPr>
        <w:pStyle w:val="ParaLevel1"/>
        <w:numPr>
          <w:ilvl w:val="0"/>
          <w:numId w:val="0"/>
        </w:numPr>
        <w:ind w:left="1134"/>
        <w:rPr>
          <w:i/>
          <w:iCs/>
        </w:rPr>
      </w:pPr>
      <w:r w:rsidRPr="00BD5882">
        <w:rPr>
          <w:i/>
          <w:iCs/>
        </w:rPr>
        <w:t xml:space="preserve">“………. </w:t>
      </w:r>
      <w:r w:rsidR="00140F29" w:rsidRPr="00BD5882">
        <w:rPr>
          <w:i/>
          <w:iCs/>
        </w:rPr>
        <w:t>an interest in shares in a company</w:t>
      </w:r>
      <w:r w:rsidRPr="00BD5882">
        <w:rPr>
          <w:i/>
          <w:iCs/>
        </w:rPr>
        <w:t xml:space="preserve"> </w:t>
      </w:r>
      <w:r w:rsidR="00140F29" w:rsidRPr="00BD5882">
        <w:rPr>
          <w:i/>
          <w:iCs/>
        </w:rPr>
        <w:t>conferring in aggregate more than 50% of the total voting rights</w:t>
      </w:r>
      <w:r w:rsidRPr="00BD5882">
        <w:rPr>
          <w:i/>
          <w:iCs/>
        </w:rPr>
        <w:t xml:space="preserve"> </w:t>
      </w:r>
      <w:r w:rsidR="00140F29" w:rsidRPr="00BD5882">
        <w:rPr>
          <w:i/>
          <w:iCs/>
        </w:rPr>
        <w:t>conferred by all the issued shares in that company, taking account at the</w:t>
      </w:r>
      <w:r w:rsidRPr="00BD5882">
        <w:rPr>
          <w:i/>
          <w:iCs/>
        </w:rPr>
        <w:t xml:space="preserve"> </w:t>
      </w:r>
      <w:r w:rsidR="00140F29" w:rsidRPr="00BD5882">
        <w:rPr>
          <w:i/>
          <w:iCs/>
        </w:rPr>
        <w:t>relevant time of provisions regarding voting rights contained in the</w:t>
      </w:r>
      <w:r w:rsidRPr="00BD5882">
        <w:rPr>
          <w:i/>
          <w:iCs/>
        </w:rPr>
        <w:t xml:space="preserve"> </w:t>
      </w:r>
      <w:r w:rsidR="00140F29" w:rsidRPr="00BD5882">
        <w:rPr>
          <w:i/>
          <w:iCs/>
        </w:rPr>
        <w:t>articles of association of that company</w:t>
      </w:r>
      <w:r w:rsidRPr="00BD5882">
        <w:rPr>
          <w:i/>
          <w:iCs/>
        </w:rPr>
        <w:t>”</w:t>
      </w:r>
    </w:p>
    <w:p w14:paraId="771BFDD4" w14:textId="77777777" w:rsidR="00923439" w:rsidRPr="00BD5882" w:rsidRDefault="00923439" w:rsidP="00EF2FE7">
      <w:pPr>
        <w:pStyle w:val="ParaLevel1"/>
        <w:numPr>
          <w:ilvl w:val="0"/>
          <w:numId w:val="0"/>
        </w:numPr>
        <w:ind w:left="1134"/>
        <w:rPr>
          <w:i/>
          <w:iCs/>
        </w:rPr>
      </w:pPr>
    </w:p>
    <w:p w14:paraId="70C34B08" w14:textId="270C69AB" w:rsidR="00D13E73" w:rsidRPr="00D13E73" w:rsidRDefault="004A73CD" w:rsidP="00EF2FE7">
      <w:pPr>
        <w:pStyle w:val="ParaLevel1"/>
        <w:numPr>
          <w:ilvl w:val="0"/>
          <w:numId w:val="0"/>
        </w:numPr>
        <w:rPr>
          <w:b/>
          <w:bCs/>
          <w:u w:val="single"/>
        </w:rPr>
      </w:pPr>
      <w:r>
        <w:rPr>
          <w:b/>
          <w:bCs/>
          <w:u w:val="single"/>
        </w:rPr>
        <w:t>D.</w:t>
      </w:r>
      <w:r>
        <w:rPr>
          <w:b/>
          <w:bCs/>
          <w:u w:val="single"/>
        </w:rPr>
        <w:tab/>
      </w:r>
      <w:r w:rsidR="00D13E73" w:rsidRPr="00D13E73">
        <w:rPr>
          <w:b/>
          <w:bCs/>
          <w:u w:val="single"/>
        </w:rPr>
        <w:t>E</w:t>
      </w:r>
      <w:r w:rsidR="00FE695E">
        <w:rPr>
          <w:b/>
          <w:bCs/>
          <w:u w:val="single"/>
        </w:rPr>
        <w:t>VENTS GIVING RISE TO THE LEAVER LITIGATION</w:t>
      </w:r>
    </w:p>
    <w:p w14:paraId="4088A68C" w14:textId="1B2DE248" w:rsidR="009269A0" w:rsidRDefault="00F6751C" w:rsidP="00EF2FE7">
      <w:pPr>
        <w:pStyle w:val="ParaLevel1"/>
      </w:pPr>
      <w:r w:rsidRPr="00F6751C">
        <w:t>Following completion</w:t>
      </w:r>
      <w:r w:rsidR="00F20C44">
        <w:t xml:space="preserve"> of the </w:t>
      </w:r>
      <w:r w:rsidR="00F85C03">
        <w:t>T</w:t>
      </w:r>
      <w:r w:rsidR="00F20C44">
        <w:t>ransaction</w:t>
      </w:r>
      <w:r w:rsidRPr="00F6751C">
        <w:t xml:space="preserve"> the Claimants were engaged by </w:t>
      </w:r>
      <w:r w:rsidR="00F20C44">
        <w:t xml:space="preserve">the Company as </w:t>
      </w:r>
      <w:r w:rsidR="001D00E8">
        <w:t>CEO</w:t>
      </w:r>
      <w:r w:rsidR="00A722C0">
        <w:t xml:space="preserve"> </w:t>
      </w:r>
      <w:r w:rsidR="00F20C44">
        <w:t>and</w:t>
      </w:r>
      <w:r w:rsidRPr="00F6751C">
        <w:t xml:space="preserve"> Sales Director respectively, in accordance with the terms of the Service Agreements.  Mr Morris and</w:t>
      </w:r>
      <w:r w:rsidR="00272C0C">
        <w:t xml:space="preserve"> (</w:t>
      </w:r>
      <w:r w:rsidRPr="00F6751C">
        <w:t>on 29 July 2015,</w:t>
      </w:r>
      <w:r w:rsidR="00C0750B">
        <w:t xml:space="preserve"> the date of the Claimant</w:t>
      </w:r>
      <w:r w:rsidR="00272C0C">
        <w:t>s</w:t>
      </w:r>
      <w:r w:rsidR="00D81D48">
        <w:t>’</w:t>
      </w:r>
      <w:r w:rsidR="00272C0C">
        <w:t xml:space="preserve"> later dismissal from employment</w:t>
      </w:r>
      <w:r w:rsidR="00DE7757">
        <w:t>) M</w:t>
      </w:r>
      <w:r w:rsidRPr="00F6751C">
        <w:t>s Yateman-Smith were appointed as Investor Directors.  Mr Lockwood was unanimously agreed as an independent Chairman</w:t>
      </w:r>
      <w:r w:rsidR="0035365C">
        <w:t xml:space="preserve"> and</w:t>
      </w:r>
      <w:r w:rsidRPr="00F6751C">
        <w:t xml:space="preserve"> appointed with effect from 30 April 2015</w:t>
      </w:r>
      <w:r w:rsidR="0055236D">
        <w:t>.</w:t>
      </w:r>
    </w:p>
    <w:p w14:paraId="43355F20" w14:textId="69D23D6C" w:rsidR="0072565E" w:rsidRPr="0072565E" w:rsidRDefault="0072565E" w:rsidP="00EF2FE7">
      <w:pPr>
        <w:pStyle w:val="ParaLevel1"/>
      </w:pPr>
      <w:r w:rsidRPr="0072565E">
        <w:t>Clause 6.2 of the</w:t>
      </w:r>
      <w:r w:rsidR="00D00A14">
        <w:t xml:space="preserve"> Claimants’</w:t>
      </w:r>
      <w:r w:rsidRPr="0072565E">
        <w:t xml:space="preserve"> Service Agreements  provided that the</w:t>
      </w:r>
      <w:r w:rsidR="00D00A14">
        <w:t xml:space="preserve">y were each </w:t>
      </w:r>
      <w:r w:rsidRPr="0072565E">
        <w:t xml:space="preserve"> entitled to the payment of performance-related bonuses, provided that £100,000 in </w:t>
      </w:r>
      <w:r w:rsidR="00223E30">
        <w:t>“</w:t>
      </w:r>
      <w:r w:rsidRPr="0072565E">
        <w:t>Surplus Cash</w:t>
      </w:r>
      <w:r w:rsidR="00223E30">
        <w:t>”</w:t>
      </w:r>
      <w:r w:rsidRPr="0072565E">
        <w:t xml:space="preserve"> was generated each quarter, as calculated by a detailed spreadsheet model that had been </w:t>
      </w:r>
      <w:r w:rsidR="007F28C9">
        <w:t xml:space="preserve">repeatedly </w:t>
      </w:r>
      <w:r w:rsidR="00AF6CD5">
        <w:t>re-</w:t>
      </w:r>
      <w:r w:rsidRPr="0072565E">
        <w:t>negotiated</w:t>
      </w:r>
      <w:r w:rsidR="00223E30">
        <w:t xml:space="preserve"> as part of Project Spur</w:t>
      </w:r>
      <w:r w:rsidRPr="0072565E">
        <w:t>.  The final iteration of the spreadsheet was v57</w:t>
      </w:r>
      <w:r w:rsidR="00D81328">
        <w:t xml:space="preserve"> and i</w:t>
      </w:r>
      <w:r w:rsidRPr="0072565E">
        <w:t>n the Leaver Litigation</w:t>
      </w:r>
      <w:r w:rsidR="00D81328">
        <w:t xml:space="preserve"> it</w:t>
      </w:r>
      <w:r w:rsidRPr="0072565E">
        <w:t xml:space="preserve"> became known as “</w:t>
      </w:r>
      <w:r w:rsidRPr="004124BE">
        <w:rPr>
          <w:b/>
          <w:bCs/>
        </w:rPr>
        <w:t>Spur 57</w:t>
      </w:r>
      <w:r w:rsidRPr="0072565E">
        <w:t xml:space="preserve">”.  </w:t>
      </w:r>
      <w:r w:rsidR="00237B85">
        <w:t>Spur 57 wa</w:t>
      </w:r>
      <w:r w:rsidR="00741A3A">
        <w:t xml:space="preserve">s </w:t>
      </w:r>
      <w:r w:rsidR="00237B85" w:rsidRPr="00237B85">
        <w:t>prepared by Oakley Capital Corporate Finance (“</w:t>
      </w:r>
      <w:r w:rsidR="00237B85" w:rsidRPr="00741A3A">
        <w:rPr>
          <w:b/>
          <w:bCs/>
        </w:rPr>
        <w:t>Oakley</w:t>
      </w:r>
      <w:r w:rsidR="00237B85" w:rsidRPr="00237B85">
        <w:t>”)</w:t>
      </w:r>
      <w:r w:rsidR="00741A3A">
        <w:t xml:space="preserve"> and </w:t>
      </w:r>
      <w:r w:rsidR="00741A3A" w:rsidRPr="00741A3A">
        <w:t>dated 3 December 2014</w:t>
      </w:r>
      <w:r w:rsidR="00550334">
        <w:t>.</w:t>
      </w:r>
    </w:p>
    <w:p w14:paraId="03630F3E" w14:textId="13F0184E" w:rsidR="0055236D" w:rsidRDefault="00526103" w:rsidP="00EF2FE7">
      <w:pPr>
        <w:pStyle w:val="ParaLevel1"/>
      </w:pPr>
      <w:r>
        <w:t>As May J noted in the Liability Judgment, t</w:t>
      </w:r>
      <w:r w:rsidR="008A1313">
        <w:t>he correct operation of</w:t>
      </w:r>
      <w:r w:rsidR="00AF6CD5">
        <w:t xml:space="preserve"> </w:t>
      </w:r>
      <w:r w:rsidR="008A1313">
        <w:t>Spur 57 was critical not only in setting</w:t>
      </w:r>
      <w:r>
        <w:t xml:space="preserve"> </w:t>
      </w:r>
      <w:r w:rsidR="008A1313">
        <w:t>expectations for performance and growth of the Company, but also in establishing</w:t>
      </w:r>
      <w:r>
        <w:t xml:space="preserve"> </w:t>
      </w:r>
      <w:r w:rsidR="008A1313">
        <w:t>whether or not there was sufficient free cash within the business to permit a bonus to</w:t>
      </w:r>
      <w:r>
        <w:t xml:space="preserve"> </w:t>
      </w:r>
      <w:r w:rsidR="008A1313">
        <w:t>be paid in any quarterly period</w:t>
      </w:r>
      <w:r>
        <w:t>.</w:t>
      </w:r>
    </w:p>
    <w:p w14:paraId="175BCF44" w14:textId="7096306C" w:rsidR="00526103" w:rsidRDefault="00D620DE" w:rsidP="00EF2FE7">
      <w:pPr>
        <w:pStyle w:val="ParaLevel1"/>
      </w:pPr>
      <w:r>
        <w:t xml:space="preserve">The first quarter </w:t>
      </w:r>
      <w:r w:rsidR="005C4898">
        <w:t>(“</w:t>
      </w:r>
      <w:r w:rsidR="005C4898" w:rsidRPr="00636D4C">
        <w:rPr>
          <w:b/>
          <w:bCs/>
        </w:rPr>
        <w:t>Q1</w:t>
      </w:r>
      <w:r w:rsidR="005C4898">
        <w:t xml:space="preserve">”) </w:t>
      </w:r>
      <w:r>
        <w:t xml:space="preserve">following the </w:t>
      </w:r>
      <w:r w:rsidR="00DD20E7">
        <w:t>Transaction</w:t>
      </w:r>
      <w:r w:rsidR="003A426C">
        <w:t xml:space="preserve"> was</w:t>
      </w:r>
      <w:r>
        <w:t xml:space="preserve"> the period December 2014 to</w:t>
      </w:r>
      <w:r w:rsidR="003A426C">
        <w:t xml:space="preserve"> </w:t>
      </w:r>
      <w:r>
        <w:t>February 2015.</w:t>
      </w:r>
      <w:r w:rsidR="003A426C">
        <w:t xml:space="preserve">  </w:t>
      </w:r>
      <w:r w:rsidR="005C4898">
        <w:t xml:space="preserve">In the Liability Judgment, the judge explained how the Claimants were paid their Q1 bonus </w:t>
      </w:r>
      <w:r w:rsidR="00BF66DA">
        <w:t>through</w:t>
      </w:r>
      <w:r w:rsidR="005C4898">
        <w:t xml:space="preserve"> the March 2015 payroll.  </w:t>
      </w:r>
      <w:r w:rsidR="00BF66DA">
        <w:t xml:space="preserve">However, at a Board Meeting on 30 April 2015 the Finance Director was asked to prepare a cash flow extract to be attached to the minutes recording the payment of the Q1 bonuses. There followed a protracted period during which </w:t>
      </w:r>
      <w:r w:rsidR="00636D4C">
        <w:t>his</w:t>
      </w:r>
      <w:r w:rsidR="00BF66DA">
        <w:t xml:space="preserve"> work on </w:t>
      </w:r>
      <w:r w:rsidR="00D25E8B">
        <w:t>Spur 57</w:t>
      </w:r>
      <w:r w:rsidR="00BF66DA">
        <w:t xml:space="preserve"> generated a number of different results. However, by 9 June 2015</w:t>
      </w:r>
      <w:r w:rsidR="00122D72">
        <w:t xml:space="preserve">, and </w:t>
      </w:r>
      <w:r w:rsidR="003B1566">
        <w:t>although he</w:t>
      </w:r>
      <w:r w:rsidR="00636D4C">
        <w:t xml:space="preserve"> </w:t>
      </w:r>
      <w:r w:rsidR="00BF66DA">
        <w:t xml:space="preserve">was continuing to make adjustments to the figures, </w:t>
      </w:r>
      <w:r w:rsidR="00122D72">
        <w:t xml:space="preserve">his calculations </w:t>
      </w:r>
      <w:r w:rsidR="00BF66DA">
        <w:t>confirmed that the bonus test run</w:t>
      </w:r>
      <w:r w:rsidR="00636D4C">
        <w:t xml:space="preserve"> </w:t>
      </w:r>
      <w:r w:rsidR="00BF66DA">
        <w:t>in accordance with Spur 57 had not, after all, been met for Q1.</w:t>
      </w:r>
    </w:p>
    <w:p w14:paraId="686A8F7A" w14:textId="51E80218" w:rsidR="00D13B24" w:rsidRDefault="009509EB" w:rsidP="00EF2FE7">
      <w:pPr>
        <w:pStyle w:val="ParaLevel1"/>
      </w:pPr>
      <w:r>
        <w:t xml:space="preserve">The </w:t>
      </w:r>
      <w:r w:rsidR="004677B6">
        <w:t xml:space="preserve">judge described the position at that </w:t>
      </w:r>
      <w:r w:rsidR="00F551B0">
        <w:t xml:space="preserve">point in time </w:t>
      </w:r>
      <w:r w:rsidR="004677B6">
        <w:t>at paragraph 16 of the Liability Judgment:</w:t>
      </w:r>
    </w:p>
    <w:p w14:paraId="3D3F76F9" w14:textId="0BD5C22D" w:rsidR="004677B6" w:rsidRPr="0010499F" w:rsidRDefault="00872C23" w:rsidP="00EF2FE7">
      <w:pPr>
        <w:pStyle w:val="ParaLevel1"/>
        <w:numPr>
          <w:ilvl w:val="0"/>
          <w:numId w:val="0"/>
        </w:numPr>
        <w:ind w:left="1134"/>
        <w:rPr>
          <w:i/>
          <w:iCs/>
        </w:rPr>
      </w:pPr>
      <w:r>
        <w:rPr>
          <w:i/>
          <w:iCs/>
        </w:rPr>
        <w:t>“</w:t>
      </w:r>
      <w:r w:rsidR="004677B6" w:rsidRPr="0010499F">
        <w:rPr>
          <w:i/>
          <w:iCs/>
        </w:rPr>
        <w:t>In the meantime</w:t>
      </w:r>
      <w:r>
        <w:rPr>
          <w:i/>
          <w:iCs/>
        </w:rPr>
        <w:t>, [Mr Morris]</w:t>
      </w:r>
      <w:r w:rsidR="004677B6" w:rsidRPr="0010499F">
        <w:rPr>
          <w:i/>
          <w:iCs/>
        </w:rPr>
        <w:t xml:space="preserve"> and </w:t>
      </w:r>
      <w:r>
        <w:rPr>
          <w:i/>
          <w:iCs/>
        </w:rPr>
        <w:t xml:space="preserve">[Livingbridge] </w:t>
      </w:r>
      <w:r w:rsidR="004677B6" w:rsidRPr="0010499F">
        <w:rPr>
          <w:i/>
          <w:iCs/>
        </w:rPr>
        <w:t xml:space="preserve">were becoming concerned at the performance of the business against the Spur 57 model predictions. The revenue targets which the model had forecast at the time of the sale were not being met. It had become necessary to embark on a re-forecasting exercise. Internal emails within </w:t>
      </w:r>
      <w:r>
        <w:rPr>
          <w:i/>
          <w:iCs/>
        </w:rPr>
        <w:t>[Livingbridge]</w:t>
      </w:r>
      <w:r w:rsidR="004677B6" w:rsidRPr="0010499F">
        <w:rPr>
          <w:i/>
          <w:iCs/>
        </w:rPr>
        <w:t xml:space="preserve"> reveal that there was dissatisfaction with the founder directors, particularly PR. The new non-executive chairman, </w:t>
      </w:r>
      <w:r>
        <w:rPr>
          <w:i/>
          <w:iCs/>
        </w:rPr>
        <w:t>[Mr L</w:t>
      </w:r>
      <w:r w:rsidR="000D34D7">
        <w:rPr>
          <w:i/>
          <w:iCs/>
        </w:rPr>
        <w:t>ockwood</w:t>
      </w:r>
      <w:r>
        <w:rPr>
          <w:i/>
          <w:iCs/>
        </w:rPr>
        <w:t>]</w:t>
      </w:r>
      <w:r w:rsidR="004677B6" w:rsidRPr="0010499F">
        <w:rPr>
          <w:i/>
          <w:iCs/>
        </w:rPr>
        <w:t xml:space="preserve">, met with some resistance from </w:t>
      </w:r>
      <w:r>
        <w:rPr>
          <w:i/>
          <w:iCs/>
        </w:rPr>
        <w:t>[Mr Richards]</w:t>
      </w:r>
      <w:r w:rsidR="004677B6" w:rsidRPr="0010499F">
        <w:rPr>
          <w:i/>
          <w:iCs/>
        </w:rPr>
        <w:t xml:space="preserve"> and </w:t>
      </w:r>
      <w:r>
        <w:rPr>
          <w:i/>
          <w:iCs/>
        </w:rPr>
        <w:t>[Mr Purves]</w:t>
      </w:r>
      <w:r w:rsidR="004677B6" w:rsidRPr="0010499F">
        <w:rPr>
          <w:i/>
          <w:iCs/>
        </w:rPr>
        <w:t xml:space="preserve"> to his interventions in, and suggestions for, the management of the business. </w:t>
      </w:r>
      <w:r>
        <w:rPr>
          <w:i/>
          <w:iCs/>
        </w:rPr>
        <w:t>[Mr Richards]</w:t>
      </w:r>
      <w:r w:rsidR="004677B6" w:rsidRPr="0010499F">
        <w:rPr>
          <w:i/>
          <w:iCs/>
        </w:rPr>
        <w:t xml:space="preserve"> and </w:t>
      </w:r>
      <w:r>
        <w:rPr>
          <w:i/>
          <w:iCs/>
        </w:rPr>
        <w:t xml:space="preserve">[Mr </w:t>
      </w:r>
      <w:r w:rsidR="00371E63">
        <w:rPr>
          <w:i/>
          <w:iCs/>
        </w:rPr>
        <w:t>Purves]</w:t>
      </w:r>
      <w:r w:rsidR="004677B6" w:rsidRPr="0010499F">
        <w:rPr>
          <w:i/>
          <w:iCs/>
        </w:rPr>
        <w:t>, on the other hand, saw encouraging sales figures developing in the business, with a growing book of new customers, and were increasingly concerned that the application of the Spur 57 model appeared to be denying them a reward for their efforts in the form of a bonus</w:t>
      </w:r>
      <w:r w:rsidR="00371E63">
        <w:rPr>
          <w:i/>
          <w:iCs/>
        </w:rPr>
        <w:t>”</w:t>
      </w:r>
      <w:r w:rsidR="004677B6" w:rsidRPr="0010499F">
        <w:rPr>
          <w:i/>
          <w:iCs/>
        </w:rPr>
        <w:t xml:space="preserve">. </w:t>
      </w:r>
    </w:p>
    <w:p w14:paraId="27FF2C85" w14:textId="6CBEB3DD" w:rsidR="005B47BE" w:rsidRDefault="005B47BE" w:rsidP="00EF2FE7">
      <w:pPr>
        <w:pStyle w:val="ParaLevel1"/>
      </w:pPr>
      <w:r>
        <w:t xml:space="preserve">May J went on to explain that the first meeting </w:t>
      </w:r>
      <w:r w:rsidR="00F635E4">
        <w:t xml:space="preserve">of the Company’s </w:t>
      </w:r>
      <w:r>
        <w:t xml:space="preserve">Remuneration Committee </w:t>
      </w:r>
      <w:r w:rsidR="00F635E4">
        <w:t xml:space="preserve">took place on 1 July 2015 and to note that </w:t>
      </w:r>
      <w:r w:rsidR="005A3BF6">
        <w:t xml:space="preserve">there was a factual dispute before her about whether </w:t>
      </w:r>
      <w:r w:rsidR="00A913F0">
        <w:t xml:space="preserve">or not the Claimants had by that time </w:t>
      </w:r>
      <w:r w:rsidR="005A3BF6">
        <w:t>made any offers regarding</w:t>
      </w:r>
      <w:r w:rsidR="00A913F0">
        <w:t xml:space="preserve"> </w:t>
      </w:r>
      <w:r w:rsidR="005A3BF6">
        <w:t>repayment or off-setting of their Q1 bonuses</w:t>
      </w:r>
      <w:r>
        <w:t>.</w:t>
      </w:r>
      <w:r w:rsidR="000837B8">
        <w:t xml:space="preserve">  </w:t>
      </w:r>
      <w:r w:rsidR="002C26B7">
        <w:t>At paragraph 19 of the Liability Judgment she said:</w:t>
      </w:r>
    </w:p>
    <w:p w14:paraId="6B0715C0" w14:textId="10FE4EC8" w:rsidR="002C26B7" w:rsidRPr="00A0415A" w:rsidRDefault="00A0415A" w:rsidP="00EF2FE7">
      <w:pPr>
        <w:pStyle w:val="ParaLevel1"/>
        <w:numPr>
          <w:ilvl w:val="0"/>
          <w:numId w:val="0"/>
        </w:numPr>
        <w:ind w:left="1134"/>
        <w:rPr>
          <w:i/>
          <w:iCs/>
        </w:rPr>
      </w:pPr>
      <w:r>
        <w:t>“</w:t>
      </w:r>
      <w:r>
        <w:rPr>
          <w:i/>
          <w:iCs/>
        </w:rPr>
        <w:t>[Mr Richards]</w:t>
      </w:r>
      <w:r w:rsidR="002C26B7" w:rsidRPr="00A0415A">
        <w:rPr>
          <w:i/>
          <w:iCs/>
        </w:rPr>
        <w:t xml:space="preserve"> in particular</w:t>
      </w:r>
      <w:r w:rsidR="008F03C7">
        <w:rPr>
          <w:i/>
          <w:iCs/>
        </w:rPr>
        <w:t xml:space="preserve"> </w:t>
      </w:r>
      <w:r w:rsidR="002C26B7" w:rsidRPr="00A0415A">
        <w:rPr>
          <w:i/>
          <w:iCs/>
        </w:rPr>
        <w:t xml:space="preserve">continued to view the surplus cash/bonus issue as a matter needing resolution; throughout June and July he regularly pressed for further discussion </w:t>
      </w:r>
      <w:r w:rsidR="000470A1" w:rsidRPr="00A0415A">
        <w:rPr>
          <w:i/>
          <w:iCs/>
        </w:rPr>
        <w:t xml:space="preserve">concerning the operation of the Spur 57 model. Within </w:t>
      </w:r>
      <w:r w:rsidR="00F3236C">
        <w:rPr>
          <w:i/>
          <w:iCs/>
        </w:rPr>
        <w:t>[Livingbridge]</w:t>
      </w:r>
      <w:r w:rsidR="000470A1" w:rsidRPr="00A0415A">
        <w:rPr>
          <w:i/>
          <w:iCs/>
        </w:rPr>
        <w:t xml:space="preserve">, however, plans were being progressed to remove </w:t>
      </w:r>
      <w:r w:rsidR="00F3236C">
        <w:rPr>
          <w:i/>
          <w:iCs/>
        </w:rPr>
        <w:t>[Mr Richards]</w:t>
      </w:r>
      <w:r w:rsidR="000470A1" w:rsidRPr="00A0415A">
        <w:rPr>
          <w:i/>
          <w:iCs/>
        </w:rPr>
        <w:t xml:space="preserve">, and later also </w:t>
      </w:r>
      <w:r w:rsidR="00F3236C">
        <w:rPr>
          <w:i/>
          <w:iCs/>
        </w:rPr>
        <w:t>[Mr Purves]</w:t>
      </w:r>
      <w:r w:rsidR="000470A1" w:rsidRPr="00A0415A">
        <w:rPr>
          <w:i/>
          <w:iCs/>
        </w:rPr>
        <w:t>, from the business</w:t>
      </w:r>
      <w:r w:rsidRPr="00A0415A">
        <w:rPr>
          <w:i/>
          <w:iCs/>
        </w:rPr>
        <w:t>.”</w:t>
      </w:r>
    </w:p>
    <w:p w14:paraId="473D355A" w14:textId="2297684A" w:rsidR="00A913F0" w:rsidRDefault="00F04A72" w:rsidP="00EF2FE7">
      <w:pPr>
        <w:pStyle w:val="ParaLevel1"/>
      </w:pPr>
      <w:r>
        <w:t xml:space="preserve">The </w:t>
      </w:r>
      <w:r w:rsidR="00054B7E">
        <w:t xml:space="preserve">judge referred to </w:t>
      </w:r>
      <w:r w:rsidR="00F26BD4">
        <w:t>Mr Morris, Ms Yateman-Smith and Mr L</w:t>
      </w:r>
      <w:r w:rsidR="00A912F6">
        <w:t>ockwood</w:t>
      </w:r>
      <w:r w:rsidR="00F26BD4">
        <w:t xml:space="preserve"> planning ahead for the Claimants’ dismissal from employment.  In her later findings she said</w:t>
      </w:r>
      <w:r w:rsidR="00B42EF6">
        <w:t xml:space="preserve"> </w:t>
      </w:r>
      <w:r w:rsidR="0092000C">
        <w:t xml:space="preserve">that </w:t>
      </w:r>
      <w:r w:rsidR="00D26F43" w:rsidRPr="00A261C5">
        <w:rPr>
          <w:i/>
          <w:iCs/>
        </w:rPr>
        <w:t>“[</w:t>
      </w:r>
      <w:r w:rsidR="0092000C" w:rsidRPr="00A261C5">
        <w:rPr>
          <w:i/>
          <w:iCs/>
        </w:rPr>
        <w:t>C</w:t>
      </w:r>
      <w:r w:rsidR="00D26F43" w:rsidRPr="00A261C5">
        <w:rPr>
          <w:i/>
          <w:iCs/>
        </w:rPr>
        <w:t>]</w:t>
      </w:r>
      <w:r w:rsidR="0092000C" w:rsidRPr="00A261C5">
        <w:rPr>
          <w:i/>
          <w:iCs/>
        </w:rPr>
        <w:t>ertainly by mid-June 2015, and probably as</w:t>
      </w:r>
      <w:r w:rsidR="00D26F43" w:rsidRPr="00A261C5">
        <w:rPr>
          <w:i/>
          <w:iCs/>
        </w:rPr>
        <w:t xml:space="preserve"> </w:t>
      </w:r>
      <w:r w:rsidR="0092000C" w:rsidRPr="00A261C5">
        <w:rPr>
          <w:i/>
          <w:iCs/>
        </w:rPr>
        <w:t xml:space="preserve">early as April, </w:t>
      </w:r>
      <w:r w:rsidR="00D26F43" w:rsidRPr="00A261C5">
        <w:rPr>
          <w:i/>
          <w:iCs/>
        </w:rPr>
        <w:t xml:space="preserve">[Livingbridge] </w:t>
      </w:r>
      <w:r w:rsidR="0092000C" w:rsidRPr="00A261C5">
        <w:rPr>
          <w:i/>
          <w:iCs/>
        </w:rPr>
        <w:t>had resolved to remove the founder directors from the Company.</w:t>
      </w:r>
      <w:r w:rsidR="00A378D5" w:rsidRPr="00A261C5">
        <w:rPr>
          <w:i/>
          <w:iCs/>
        </w:rPr>
        <w:t xml:space="preserve"> [Mr Morris] and [Ms Yateman-Smith] </w:t>
      </w:r>
      <w:r w:rsidR="0092000C" w:rsidRPr="00A261C5">
        <w:rPr>
          <w:i/>
          <w:iCs/>
        </w:rPr>
        <w:t>consulted lawyers in May and continued to consult them regularly up to</w:t>
      </w:r>
      <w:r w:rsidR="00A378D5" w:rsidRPr="00A261C5">
        <w:rPr>
          <w:i/>
          <w:iCs/>
        </w:rPr>
        <w:t xml:space="preserve"> </w:t>
      </w:r>
      <w:r w:rsidR="0092000C" w:rsidRPr="00A261C5">
        <w:rPr>
          <w:i/>
          <w:iCs/>
        </w:rPr>
        <w:t>the dismissal in July</w:t>
      </w:r>
      <w:r w:rsidR="0092000C">
        <w:t>.</w:t>
      </w:r>
      <w:r w:rsidR="00A378D5">
        <w:t>”</w:t>
      </w:r>
      <w:r w:rsidR="00354BE7">
        <w:t xml:space="preserve"> She </w:t>
      </w:r>
      <w:r w:rsidR="00685B1A">
        <w:t>said there was no evidence of a “</w:t>
      </w:r>
      <w:r w:rsidR="00685B1A" w:rsidRPr="000D34D7">
        <w:rPr>
          <w:i/>
          <w:iCs/>
        </w:rPr>
        <w:t>bear trap</w:t>
      </w:r>
      <w:r w:rsidR="00685B1A">
        <w:t xml:space="preserve">” having been laid for the Claimants but </w:t>
      </w:r>
      <w:r w:rsidR="00EA1D90">
        <w:t xml:space="preserve">concluded that </w:t>
      </w:r>
      <w:r w:rsidR="00685B1A">
        <w:t>once the removal of one or more of the</w:t>
      </w:r>
      <w:r w:rsidR="00EA1D90">
        <w:t xml:space="preserve"> Claimants was</w:t>
      </w:r>
      <w:r w:rsidR="00685B1A">
        <w:t xml:space="preserve"> on the agenda</w:t>
      </w:r>
      <w:r w:rsidR="004535AB">
        <w:t xml:space="preserve"> “</w:t>
      </w:r>
      <w:r w:rsidR="004535AB" w:rsidRPr="000D34D7">
        <w:rPr>
          <w:i/>
          <w:iCs/>
        </w:rPr>
        <w:t>[Mr Morris], [Ms Yateman-Smith] and</w:t>
      </w:r>
      <w:r w:rsidR="00685B1A" w:rsidRPr="000D34D7">
        <w:rPr>
          <w:i/>
          <w:iCs/>
        </w:rPr>
        <w:t xml:space="preserve">, in the end </w:t>
      </w:r>
      <w:r w:rsidR="004535AB" w:rsidRPr="000D34D7">
        <w:rPr>
          <w:i/>
          <w:iCs/>
        </w:rPr>
        <w:t>[Mr L</w:t>
      </w:r>
      <w:r w:rsidR="00A261C5" w:rsidRPr="000D34D7">
        <w:rPr>
          <w:i/>
          <w:iCs/>
        </w:rPr>
        <w:t>ockwood</w:t>
      </w:r>
      <w:r w:rsidR="004535AB" w:rsidRPr="000D34D7">
        <w:rPr>
          <w:i/>
          <w:iCs/>
        </w:rPr>
        <w:t>] a</w:t>
      </w:r>
      <w:r w:rsidR="00685B1A" w:rsidRPr="000D34D7">
        <w:rPr>
          <w:i/>
          <w:iCs/>
        </w:rPr>
        <w:t>lso, perceived</w:t>
      </w:r>
      <w:r w:rsidR="004535AB" w:rsidRPr="000D34D7">
        <w:rPr>
          <w:i/>
          <w:iCs/>
        </w:rPr>
        <w:t xml:space="preserve"> </w:t>
      </w:r>
      <w:r w:rsidR="00685B1A" w:rsidRPr="000D34D7">
        <w:rPr>
          <w:i/>
          <w:iCs/>
        </w:rPr>
        <w:t>events through that lens, unconsciously becoming increasingly ready to see and</w:t>
      </w:r>
      <w:r w:rsidR="00A261C5" w:rsidRPr="000D34D7">
        <w:rPr>
          <w:i/>
          <w:iCs/>
        </w:rPr>
        <w:t xml:space="preserve"> </w:t>
      </w:r>
      <w:r w:rsidR="00685B1A" w:rsidRPr="000D34D7">
        <w:rPr>
          <w:i/>
          <w:iCs/>
        </w:rPr>
        <w:t>interpret statements and actions in an adverse light</w:t>
      </w:r>
      <w:r w:rsidR="00685B1A">
        <w:t>.</w:t>
      </w:r>
      <w:r w:rsidR="00A261C5">
        <w:t>”</w:t>
      </w:r>
    </w:p>
    <w:p w14:paraId="05F90A8B" w14:textId="5EBEB428" w:rsidR="00910DE3" w:rsidRDefault="00572B4C" w:rsidP="00EF2FE7">
      <w:pPr>
        <w:pStyle w:val="ParaLevel1"/>
      </w:pPr>
      <w:r>
        <w:t>A</w:t>
      </w:r>
      <w:r w:rsidRPr="00572B4C">
        <w:t>t a Board meeting on 29 July 2015</w:t>
      </w:r>
      <w:r w:rsidR="00B52208">
        <w:t xml:space="preserve"> </w:t>
      </w:r>
      <w:r w:rsidR="00551CF6">
        <w:t xml:space="preserve">it was </w:t>
      </w:r>
      <w:r w:rsidRPr="00572B4C">
        <w:t>resolved (by a vote of 3</w:t>
      </w:r>
      <w:r w:rsidR="00A46751">
        <w:t>:</w:t>
      </w:r>
      <w:r w:rsidRPr="00572B4C">
        <w:t xml:space="preserve">2) </w:t>
      </w:r>
      <w:r w:rsidR="00551CF6">
        <w:t xml:space="preserve">that Mr </w:t>
      </w:r>
      <w:r w:rsidR="00376432">
        <w:t xml:space="preserve">Richards and Mr Purves should each be </w:t>
      </w:r>
      <w:r w:rsidRPr="00572B4C">
        <w:t>summarily dismiss</w:t>
      </w:r>
      <w:r w:rsidR="00376432">
        <w:t xml:space="preserve">ed from the Company’s employment.  </w:t>
      </w:r>
      <w:r w:rsidR="001B3B67">
        <w:t xml:space="preserve">The deciding vote was cast by </w:t>
      </w:r>
      <w:r w:rsidR="00071291">
        <w:t xml:space="preserve">Mr </w:t>
      </w:r>
      <w:r w:rsidRPr="00572B4C">
        <w:t>Lockwood</w:t>
      </w:r>
      <w:r w:rsidR="00071291">
        <w:t>.</w:t>
      </w:r>
    </w:p>
    <w:p w14:paraId="0234234B" w14:textId="77777777" w:rsidR="001B3B67" w:rsidRDefault="001B3B67" w:rsidP="00EF2FE7">
      <w:pPr>
        <w:pStyle w:val="ParaLevel1"/>
        <w:numPr>
          <w:ilvl w:val="0"/>
          <w:numId w:val="0"/>
        </w:numPr>
        <w:ind w:left="720"/>
      </w:pPr>
    </w:p>
    <w:p w14:paraId="0C80C2CC" w14:textId="5EE074E1" w:rsidR="001B3B67" w:rsidRPr="001B3B67" w:rsidRDefault="00BB7F21" w:rsidP="00EF2FE7">
      <w:pPr>
        <w:pStyle w:val="ParaLevel1"/>
        <w:numPr>
          <w:ilvl w:val="0"/>
          <w:numId w:val="0"/>
        </w:numPr>
        <w:rPr>
          <w:b/>
          <w:bCs/>
          <w:u w:val="single"/>
        </w:rPr>
      </w:pPr>
      <w:r>
        <w:rPr>
          <w:b/>
          <w:bCs/>
          <w:u w:val="single"/>
        </w:rPr>
        <w:t>E.</w:t>
      </w:r>
      <w:r>
        <w:rPr>
          <w:b/>
          <w:bCs/>
          <w:u w:val="single"/>
        </w:rPr>
        <w:tab/>
      </w:r>
      <w:r w:rsidR="001B3B67" w:rsidRPr="001B3B67">
        <w:rPr>
          <w:b/>
          <w:bCs/>
          <w:u w:val="single"/>
        </w:rPr>
        <w:t>T</w:t>
      </w:r>
      <w:r w:rsidR="00FE695E">
        <w:rPr>
          <w:b/>
          <w:bCs/>
          <w:u w:val="single"/>
        </w:rPr>
        <w:t>HE LEAVER  LITIGATION AND THE QUANTUM JUDGMENT</w:t>
      </w:r>
    </w:p>
    <w:p w14:paraId="1B9450AE" w14:textId="77777777" w:rsidR="00684B9E" w:rsidRDefault="0073688A" w:rsidP="00EF2FE7">
      <w:pPr>
        <w:pStyle w:val="ParaLevel1"/>
      </w:pPr>
      <w:r w:rsidRPr="0073688A">
        <w:t>The Claimants issued their claim in the Leaver Litigation on 23 October 2015</w:t>
      </w:r>
      <w:r>
        <w:t xml:space="preserve">.  They sought </w:t>
      </w:r>
      <w:r w:rsidRPr="0073688A">
        <w:t xml:space="preserve">declarations and damages concerning their wrongful dismissal. </w:t>
      </w:r>
    </w:p>
    <w:p w14:paraId="3B55A36A" w14:textId="5F24BBA1" w:rsidR="00287F0A" w:rsidRPr="00287F0A" w:rsidRDefault="00684B9E" w:rsidP="00EF2FE7">
      <w:pPr>
        <w:pStyle w:val="ParaLevel1"/>
      </w:pPr>
      <w:r>
        <w:t>The Company’s c</w:t>
      </w:r>
      <w:r w:rsidR="0073688A" w:rsidRPr="0073688A">
        <w:t xml:space="preserve">ase in the Leaver Litigation was that it </w:t>
      </w:r>
      <w:r>
        <w:t xml:space="preserve">had been </w:t>
      </w:r>
      <w:r w:rsidR="0073688A" w:rsidRPr="0073688A">
        <w:t>entitled to summarily dismiss the Claimants.</w:t>
      </w:r>
      <w:r>
        <w:t xml:space="preserve">  </w:t>
      </w:r>
      <w:r w:rsidR="00696934">
        <w:t>Written</w:t>
      </w:r>
      <w:r w:rsidR="00532C38" w:rsidRPr="00532C38">
        <w:t xml:space="preserve"> notice</w:t>
      </w:r>
      <w:r w:rsidR="006277F5">
        <w:t>s were</w:t>
      </w:r>
      <w:r w:rsidR="00532C38" w:rsidRPr="00532C38">
        <w:t xml:space="preserve"> served upon </w:t>
      </w:r>
      <w:r w:rsidR="0036727D">
        <w:t xml:space="preserve">each of </w:t>
      </w:r>
      <w:r w:rsidR="00532C38" w:rsidRPr="00532C38">
        <w:t xml:space="preserve">the Claimants on </w:t>
      </w:r>
      <w:r w:rsidR="00D22827">
        <w:t>13</w:t>
      </w:r>
      <w:r w:rsidR="00900DF3">
        <w:t xml:space="preserve"> and 14</w:t>
      </w:r>
      <w:r w:rsidR="0036727D">
        <w:t xml:space="preserve"> </w:t>
      </w:r>
      <w:r w:rsidR="00532C38" w:rsidRPr="00532C38">
        <w:t>January 2016</w:t>
      </w:r>
      <w:r w:rsidR="00861C3E">
        <w:t xml:space="preserve">, </w:t>
      </w:r>
      <w:r w:rsidR="001C2A93">
        <w:t xml:space="preserve">operating as deemed Transfer Notices </w:t>
      </w:r>
      <w:r w:rsidR="00861C3E">
        <w:t>in respect of the entirety of their respective shareholdings,</w:t>
      </w:r>
      <w:r w:rsidR="0036727D">
        <w:t xml:space="preserve"> in accordance with article 17.3</w:t>
      </w:r>
      <w:r w:rsidR="00532C38" w:rsidRPr="00532C38">
        <w:t>.</w:t>
      </w:r>
      <w:r w:rsidR="00287F0A" w:rsidRPr="00287F0A">
        <w:t xml:space="preserve"> </w:t>
      </w:r>
      <w:r w:rsidR="00287F0A">
        <w:t>As the Company</w:t>
      </w:r>
      <w:r w:rsidR="00287F0A" w:rsidRPr="00287F0A">
        <w:t xml:space="preserve"> considered them to be Bad Leavers, they were </w:t>
      </w:r>
      <w:r w:rsidR="006720CF">
        <w:t xml:space="preserve">each </w:t>
      </w:r>
      <w:r w:rsidR="00287F0A" w:rsidRPr="00287F0A">
        <w:t xml:space="preserve">required to </w:t>
      </w:r>
      <w:r w:rsidR="006720CF">
        <w:t xml:space="preserve">sell </w:t>
      </w:r>
      <w:r w:rsidR="00287F0A" w:rsidRPr="00287F0A">
        <w:t xml:space="preserve">for £1.  </w:t>
      </w:r>
    </w:p>
    <w:p w14:paraId="6B0C0327" w14:textId="018A042E" w:rsidR="00532C38" w:rsidRDefault="001D6E44" w:rsidP="00EF2FE7">
      <w:pPr>
        <w:pStyle w:val="ParaLevel1"/>
      </w:pPr>
      <w:r w:rsidRPr="001D6E44">
        <w:t xml:space="preserve">The </w:t>
      </w:r>
      <w:r>
        <w:t xml:space="preserve">service of the </w:t>
      </w:r>
      <w:r w:rsidR="00B30951">
        <w:t xml:space="preserve">transfer notices </w:t>
      </w:r>
      <w:r w:rsidRPr="001D6E44">
        <w:t xml:space="preserve">led the Claimants </w:t>
      </w:r>
      <w:r w:rsidR="00B30951">
        <w:t xml:space="preserve">to </w:t>
      </w:r>
      <w:r w:rsidRPr="001D6E44">
        <w:t xml:space="preserve">amend their claim to aver that they were entitled to be paid the Market Value of their shares as Good Leavers.  </w:t>
      </w:r>
      <w:r w:rsidR="00B45CF8">
        <w:t xml:space="preserve">In response, the Company’s </w:t>
      </w:r>
      <w:r w:rsidRPr="001D6E44">
        <w:t>Amended Defence</w:t>
      </w:r>
      <w:r w:rsidR="00B45CF8">
        <w:t xml:space="preserve"> said that ignored the impact of the RPP</w:t>
      </w:r>
      <w:r w:rsidR="00590A7F">
        <w:t>.</w:t>
      </w:r>
    </w:p>
    <w:p w14:paraId="3FAA62E8" w14:textId="07B6CDE7" w:rsidR="004C0374" w:rsidRDefault="004C0374" w:rsidP="00EF2FE7">
      <w:pPr>
        <w:pStyle w:val="ParaLevel1"/>
      </w:pPr>
      <w:r>
        <w:t>The Company’s case that it had been entitled to summarily dismiss the Claimants was based on three grounds:</w:t>
      </w:r>
    </w:p>
    <w:p w14:paraId="06A12C49" w14:textId="63D97B45" w:rsidR="004C0374" w:rsidRDefault="004C0374" w:rsidP="00EF2FE7">
      <w:pPr>
        <w:pStyle w:val="ParaLevel1"/>
        <w:numPr>
          <w:ilvl w:val="0"/>
          <w:numId w:val="0"/>
        </w:numPr>
        <w:ind w:left="1134"/>
      </w:pPr>
      <w:r>
        <w:t xml:space="preserve">(a) </w:t>
      </w:r>
      <w:r w:rsidR="00D053E0">
        <w:t>t</w:t>
      </w:r>
      <w:r>
        <w:t>heir receipt and retention of a Q1 bonus payment made in March 2015;</w:t>
      </w:r>
    </w:p>
    <w:p w14:paraId="7B84257C" w14:textId="1F1B8FA5" w:rsidR="004C0374" w:rsidRDefault="004C0374" w:rsidP="00EF2FE7">
      <w:pPr>
        <w:pStyle w:val="ParaLevel1"/>
        <w:numPr>
          <w:ilvl w:val="0"/>
          <w:numId w:val="0"/>
        </w:numPr>
        <w:ind w:left="1134"/>
      </w:pPr>
      <w:r>
        <w:t xml:space="preserve">(b) </w:t>
      </w:r>
      <w:r w:rsidR="00D053E0">
        <w:t>m</w:t>
      </w:r>
      <w:r>
        <w:t>aking threats to favour their own short-term interest in obtaining a bonus over the longer-term interests of the Company and its shareholders; and/or</w:t>
      </w:r>
    </w:p>
    <w:p w14:paraId="6F683B25" w14:textId="7D8F69BA" w:rsidR="00B45CF8" w:rsidRDefault="004C0374" w:rsidP="00EF2FE7">
      <w:pPr>
        <w:pStyle w:val="ParaLevel1"/>
        <w:numPr>
          <w:ilvl w:val="0"/>
          <w:numId w:val="0"/>
        </w:numPr>
        <w:ind w:left="1134"/>
      </w:pPr>
      <w:r>
        <w:t xml:space="preserve">(c) </w:t>
      </w:r>
      <w:r w:rsidR="00D053E0">
        <w:t>c</w:t>
      </w:r>
      <w:r>
        <w:t>laiming expenses for personal expenditure.</w:t>
      </w:r>
    </w:p>
    <w:p w14:paraId="0A708776" w14:textId="18303E91" w:rsidR="0042336C" w:rsidRDefault="007A263D" w:rsidP="00EF2FE7">
      <w:pPr>
        <w:pStyle w:val="ParaLevel1"/>
      </w:pPr>
      <w:r w:rsidRPr="007A263D">
        <w:t xml:space="preserve">The </w:t>
      </w:r>
      <w:r w:rsidR="007A54F8">
        <w:t xml:space="preserve">resulting </w:t>
      </w:r>
      <w:r w:rsidRPr="007A263D">
        <w:t xml:space="preserve">issue as to whether the Claimants were Good </w:t>
      </w:r>
      <w:r w:rsidR="007A54F8">
        <w:t xml:space="preserve">Leavers </w:t>
      </w:r>
      <w:r w:rsidRPr="007A263D">
        <w:t xml:space="preserve">or Bad Leavers was tried before </w:t>
      </w:r>
      <w:r w:rsidR="007A54F8">
        <w:t>Mrs Justice May</w:t>
      </w:r>
      <w:r w:rsidRPr="007A263D">
        <w:t xml:space="preserve"> over five days in early July 2016.  </w:t>
      </w:r>
      <w:r w:rsidR="007A54F8">
        <w:t>The Liability Judgment w</w:t>
      </w:r>
      <w:r w:rsidRPr="007A263D">
        <w:t xml:space="preserve">as handed down on 22 July 2016.  The Claimants </w:t>
      </w:r>
      <w:r w:rsidR="006A7529">
        <w:t xml:space="preserve">had </w:t>
      </w:r>
      <w:r w:rsidRPr="007A263D">
        <w:t xml:space="preserve">conceded that their conduct in relation to the bonuses and expenses were breaches of duties owed </w:t>
      </w:r>
      <w:r w:rsidR="00CF4EA3">
        <w:t>to the Company</w:t>
      </w:r>
      <w:r w:rsidRPr="007A263D">
        <w:t xml:space="preserve">.  </w:t>
      </w:r>
      <w:r w:rsidR="004739FE">
        <w:t xml:space="preserve">However, the complexity of </w:t>
      </w:r>
      <w:r w:rsidR="00371951">
        <w:t xml:space="preserve">Spur 57 </w:t>
      </w:r>
      <w:r w:rsidR="00CF4EA3">
        <w:t xml:space="preserve">meant that </w:t>
      </w:r>
      <w:r w:rsidR="00F2185E">
        <w:t xml:space="preserve">their breach in relation to the Q1 bonus was an unwitting one.  </w:t>
      </w:r>
      <w:r w:rsidR="00103293">
        <w:t xml:space="preserve">In relation to </w:t>
      </w:r>
      <w:r w:rsidR="002C4EAB">
        <w:t xml:space="preserve">expenses, </w:t>
      </w:r>
      <w:r w:rsidR="004E07A8">
        <w:t>there had again be</w:t>
      </w:r>
      <w:r w:rsidR="00DE7DA8">
        <w:t xml:space="preserve">en a breach but </w:t>
      </w:r>
      <w:r w:rsidR="002C4EAB">
        <w:t xml:space="preserve">there was no question of dishonesty or bad faith and </w:t>
      </w:r>
      <w:r w:rsidR="0042336C">
        <w:t>t</w:t>
      </w:r>
      <w:r w:rsidR="008A3DF2" w:rsidRPr="008A3DF2">
        <w:t>hat they had acted inadvertently was not even contested</w:t>
      </w:r>
      <w:r w:rsidR="00103293">
        <w:t xml:space="preserve">.   </w:t>
      </w:r>
      <w:r w:rsidR="00AF7624">
        <w:t xml:space="preserve">The judge </w:t>
      </w:r>
      <w:r w:rsidR="0042336C">
        <w:t>therefore</w:t>
      </w:r>
      <w:r w:rsidR="00AF7624">
        <w:t xml:space="preserve"> </w:t>
      </w:r>
      <w:r w:rsidRPr="007A263D">
        <w:t>held that those breaches were “…</w:t>
      </w:r>
      <w:r w:rsidRPr="00DE7DA8">
        <w:rPr>
          <w:i/>
          <w:iCs/>
        </w:rPr>
        <w:t>not so significant</w:t>
      </w:r>
      <w:r w:rsidRPr="007A263D">
        <w:t>…” as to amount to gross misconduct or otherwise justify summary dismissal</w:t>
      </w:r>
      <w:r w:rsidR="0042336C">
        <w:t xml:space="preserve">.  </w:t>
      </w:r>
      <w:r w:rsidR="00AF7624">
        <w:t>She</w:t>
      </w:r>
      <w:r w:rsidR="00AF7624" w:rsidRPr="00AF7624">
        <w:t xml:space="preserve"> entirely rejected the Company’s second ground for dismissal, the supposed making of threats to act contrary to </w:t>
      </w:r>
      <w:r w:rsidR="00590A7F">
        <w:t>the</w:t>
      </w:r>
      <w:r w:rsidR="00AF7624" w:rsidRPr="00AF7624">
        <w:t xml:space="preserve"> interests of the Company</w:t>
      </w:r>
      <w:r w:rsidR="002C77B6">
        <w:t>.</w:t>
      </w:r>
    </w:p>
    <w:p w14:paraId="3BE02221" w14:textId="46A59263" w:rsidR="0036727D" w:rsidRDefault="00D21A5F" w:rsidP="00EF2FE7">
      <w:pPr>
        <w:pStyle w:val="ParaLevel1"/>
      </w:pPr>
      <w:r>
        <w:t xml:space="preserve">Under the Liability Judgment the Claimants </w:t>
      </w:r>
      <w:r w:rsidR="007A263D" w:rsidRPr="007A263D">
        <w:t xml:space="preserve">were </w:t>
      </w:r>
      <w:r w:rsidR="002C77B6">
        <w:t xml:space="preserve">therefore </w:t>
      </w:r>
      <w:r w:rsidR="007A263D" w:rsidRPr="007A263D">
        <w:t>entitled to be treated as Good Leavers</w:t>
      </w:r>
      <w:r>
        <w:t>.</w:t>
      </w:r>
    </w:p>
    <w:p w14:paraId="58EDC8DD" w14:textId="07E2287A" w:rsidR="00C42AAD" w:rsidRDefault="00295E42" w:rsidP="00EF2FE7">
      <w:pPr>
        <w:pStyle w:val="ParaLevel1"/>
      </w:pPr>
      <w:r>
        <w:t xml:space="preserve">The Leaver Litigation </w:t>
      </w:r>
      <w:r w:rsidR="002F480A">
        <w:t xml:space="preserve">then moved on to the question of the true value of their shareholdings in the Company </w:t>
      </w:r>
      <w:r w:rsidR="00B039DD">
        <w:t>under article 18.</w:t>
      </w:r>
    </w:p>
    <w:p w14:paraId="6F11154E" w14:textId="49409F1A" w:rsidR="0028463E" w:rsidRDefault="007F0EB2" w:rsidP="00EF2FE7">
      <w:pPr>
        <w:pStyle w:val="ParaLevel1"/>
      </w:pPr>
      <w:r>
        <w:t>The Company argued</w:t>
      </w:r>
      <w:r w:rsidR="005F4C6A">
        <w:t>, and</w:t>
      </w:r>
      <w:r w:rsidRPr="007F0EB2">
        <w:t xml:space="preserve"> Claimants denied, that the RPP would apply to the Market Value even in a Good Leaver situation</w:t>
      </w:r>
      <w:r w:rsidR="00614683">
        <w:t>.</w:t>
      </w:r>
      <w:r w:rsidRPr="007F0EB2">
        <w:t xml:space="preserve"> </w:t>
      </w:r>
      <w:r w:rsidR="0028463E">
        <w:t xml:space="preserve">The Company </w:t>
      </w:r>
      <w:r w:rsidR="002B4A39">
        <w:t xml:space="preserve">also </w:t>
      </w:r>
      <w:r w:rsidR="0028463E">
        <w:t xml:space="preserve">contended that the Claimants’ shareholdings were worth nothing even without </w:t>
      </w:r>
      <w:r w:rsidR="00111E07">
        <w:t>the impact of the RPP, a position adopted by the Firm in the present proceedings.</w:t>
      </w:r>
    </w:p>
    <w:p w14:paraId="4C594A6D" w14:textId="19C4B96E" w:rsidR="00111E07" w:rsidRDefault="00614683" w:rsidP="00EF2FE7">
      <w:pPr>
        <w:pStyle w:val="ParaLevel1"/>
      </w:pPr>
      <w:r>
        <w:t xml:space="preserve">The first </w:t>
      </w:r>
      <w:r w:rsidR="004B3D1E">
        <w:t xml:space="preserve">of those </w:t>
      </w:r>
      <w:r>
        <w:t>issue</w:t>
      </w:r>
      <w:r w:rsidR="00D201BE">
        <w:t>s</w:t>
      </w:r>
      <w:r>
        <w:t xml:space="preserve">, which was one of construction of the Articles, </w:t>
      </w:r>
      <w:r w:rsidR="00802F0F">
        <w:t>came before May J at a further hearing on 5 September 2016.</w:t>
      </w:r>
    </w:p>
    <w:p w14:paraId="2B0A6A33" w14:textId="32CE8DD1" w:rsidR="00D201BE" w:rsidRDefault="00303DB2" w:rsidP="00EF2FE7">
      <w:pPr>
        <w:pStyle w:val="ParaLevel1"/>
      </w:pPr>
      <w:r w:rsidRPr="00303DB2">
        <w:t>The</w:t>
      </w:r>
      <w:r w:rsidR="005F7714">
        <w:t xml:space="preserve"> Company’s skeleton </w:t>
      </w:r>
      <w:r w:rsidR="00B15348">
        <w:t>argument before May J asserted that:</w:t>
      </w:r>
      <w:r w:rsidRPr="00303DB2">
        <w:t xml:space="preserve"> “</w:t>
      </w:r>
      <w:r w:rsidRPr="00B15348">
        <w:rPr>
          <w:i/>
          <w:iCs/>
        </w:rPr>
        <w:t>A sale of the entire issued share capital as envisaged by Article 18.4.1 is effectively the same as a Share Sale as referred to in Article 13.3…</w:t>
      </w:r>
      <w:r w:rsidR="00B15348">
        <w:t xml:space="preserve">”.  </w:t>
      </w:r>
    </w:p>
    <w:p w14:paraId="47ECF053" w14:textId="0AC76504" w:rsidR="008543E2" w:rsidRDefault="008543E2" w:rsidP="00EF2FE7">
      <w:pPr>
        <w:pStyle w:val="ParaLevel1"/>
      </w:pPr>
      <w:r>
        <w:t xml:space="preserve">The Claimants’ skeleton argument </w:t>
      </w:r>
      <w:r w:rsidR="007A43BC">
        <w:t xml:space="preserve">on the </w:t>
      </w:r>
      <w:r>
        <w:t>point</w:t>
      </w:r>
      <w:r w:rsidR="007A43BC">
        <w:t xml:space="preserve"> highlighted </w:t>
      </w:r>
      <w:r w:rsidR="00557805">
        <w:t xml:space="preserve">(with my emphasis) </w:t>
      </w:r>
      <w:r w:rsidR="007A43BC">
        <w:t>that</w:t>
      </w:r>
      <w:r w:rsidR="00335113">
        <w:t xml:space="preserve"> </w:t>
      </w:r>
      <w:r w:rsidR="00397BBD">
        <w:t xml:space="preserve">the hypothetical basis of the article 18.4.1 </w:t>
      </w:r>
      <w:r w:rsidR="00397BBD" w:rsidRPr="00BD718B">
        <w:rPr>
          <w:i/>
          <w:iCs/>
        </w:rPr>
        <w:t>valuation</w:t>
      </w:r>
      <w:r w:rsidR="00397BBD">
        <w:t xml:space="preserve"> was one of </w:t>
      </w:r>
      <w:r w:rsidR="009B05BF">
        <w:t xml:space="preserve">a sale </w:t>
      </w:r>
      <w:r w:rsidR="00BA0B6A">
        <w:t xml:space="preserve">of </w:t>
      </w:r>
      <w:r w:rsidR="00397BBD">
        <w:t xml:space="preserve">the </w:t>
      </w:r>
      <w:r w:rsidR="00997664">
        <w:t xml:space="preserve">entire issued share capital of the </w:t>
      </w:r>
      <w:r w:rsidR="00BB5B6D">
        <w:t>Company</w:t>
      </w:r>
      <w:r w:rsidR="009B05BF">
        <w:t xml:space="preserve"> on which the hypothetical purchaser ha</w:t>
      </w:r>
      <w:r w:rsidR="009C4745">
        <w:t>d</w:t>
      </w:r>
      <w:r w:rsidR="009B05BF">
        <w:t xml:space="preserve"> no </w:t>
      </w:r>
      <w:r w:rsidR="00E10132">
        <w:t xml:space="preserve">concern </w:t>
      </w:r>
      <w:r w:rsidR="009B05BF">
        <w:t xml:space="preserve">in </w:t>
      </w:r>
      <w:r w:rsidR="00C83357">
        <w:t xml:space="preserve">the </w:t>
      </w:r>
      <w:r w:rsidR="00C83357" w:rsidRPr="00BD718B">
        <w:rPr>
          <w:i/>
          <w:iCs/>
        </w:rPr>
        <w:t>distribution</w:t>
      </w:r>
      <w:r w:rsidR="00C83357">
        <w:t xml:space="preserve"> of </w:t>
      </w:r>
      <w:r w:rsidR="009B05BF">
        <w:t>the purchase monies</w:t>
      </w:r>
      <w:r w:rsidR="009C4745">
        <w:t xml:space="preserve"> </w:t>
      </w:r>
      <w:r w:rsidR="009B05BF">
        <w:t xml:space="preserve">as between the </w:t>
      </w:r>
      <w:r w:rsidR="00C83357">
        <w:t>sellers</w:t>
      </w:r>
      <w:r w:rsidR="008A5544">
        <w:t xml:space="preserve"> of different classes of shares</w:t>
      </w:r>
      <w:r w:rsidR="00677CA8">
        <w:t xml:space="preserve">, </w:t>
      </w:r>
      <w:r w:rsidR="009E090F">
        <w:t>namely</w:t>
      </w:r>
      <w:r w:rsidR="00965C70">
        <w:t xml:space="preserve"> the impact of the RPP under article 13</w:t>
      </w:r>
      <w:r w:rsidR="00C83357">
        <w:t xml:space="preserve">.  </w:t>
      </w:r>
      <w:r w:rsidR="00BB5B6D">
        <w:t xml:space="preserve"> </w:t>
      </w:r>
      <w:r w:rsidR="00557805">
        <w:t xml:space="preserve">Nor would the </w:t>
      </w:r>
      <w:r w:rsidR="00314EDB">
        <w:t xml:space="preserve">hypothetical willing buyer of </w:t>
      </w:r>
      <w:r w:rsidR="00A85AA3" w:rsidRPr="00BD718B">
        <w:rPr>
          <w:i/>
          <w:iCs/>
        </w:rPr>
        <w:t>the entire issued share capital</w:t>
      </w:r>
      <w:r w:rsidR="00A85AA3">
        <w:t xml:space="preserve"> </w:t>
      </w:r>
      <w:r w:rsidR="0033700A">
        <w:t xml:space="preserve">(i.e. all classes of share) </w:t>
      </w:r>
      <w:r w:rsidR="00A85AA3">
        <w:t>be subsequently concerned about the</w:t>
      </w:r>
      <w:r w:rsidR="009E6E60">
        <w:t xml:space="preserve"> impact of the RPP </w:t>
      </w:r>
      <w:r w:rsidR="0033700A">
        <w:t>on any later sale by him.</w:t>
      </w:r>
      <w:r w:rsidR="00284323">
        <w:t xml:space="preserve">  </w:t>
      </w:r>
      <w:r w:rsidR="000454B0">
        <w:t>T</w:t>
      </w:r>
      <w:r w:rsidR="00284323">
        <w:t xml:space="preserve">he Claimants pointed out that </w:t>
      </w:r>
      <w:r w:rsidR="000E49E0">
        <w:t>t</w:t>
      </w:r>
      <w:r w:rsidR="00573EC3">
        <w:t xml:space="preserve">he value of a Good Leaver’s shares </w:t>
      </w:r>
      <w:r w:rsidR="00F55939">
        <w:t xml:space="preserve">under article 18.4.1 </w:t>
      </w:r>
      <w:r w:rsidR="00573EC3">
        <w:t>is the proportion of the total value that is represented</w:t>
      </w:r>
      <w:r w:rsidR="000E49E0">
        <w:t xml:space="preserve"> </w:t>
      </w:r>
      <w:r w:rsidR="00573EC3">
        <w:t>by his portion of the entire issued share capital.</w:t>
      </w:r>
      <w:r w:rsidR="000E49E0">
        <w:t xml:space="preserve">  </w:t>
      </w:r>
      <w:r w:rsidR="00F55939">
        <w:t xml:space="preserve">As a fall-back </w:t>
      </w:r>
      <w:r w:rsidR="0039354E">
        <w:t>argument the</w:t>
      </w:r>
      <w:r w:rsidR="004A2507">
        <w:t xml:space="preserve">y </w:t>
      </w:r>
      <w:r w:rsidR="00E05162">
        <w:t>said that, even if valuation is to be of the transfer only of the Good Leaver’s shares,</w:t>
      </w:r>
      <w:r w:rsidR="00EA6741">
        <w:t xml:space="preserve"> </w:t>
      </w:r>
      <w:r w:rsidR="00E05162">
        <w:t xml:space="preserve">there </w:t>
      </w:r>
      <w:r w:rsidR="00EA6741">
        <w:t>was</w:t>
      </w:r>
      <w:r w:rsidR="00E05162">
        <w:t xml:space="preserve"> nothing in </w:t>
      </w:r>
      <w:r w:rsidR="00EA6741">
        <w:t>a</w:t>
      </w:r>
      <w:r w:rsidR="00E05162">
        <w:t>rticle 18.4</w:t>
      </w:r>
      <w:r w:rsidR="00EA6741">
        <w:t xml:space="preserve">.1 which </w:t>
      </w:r>
      <w:r w:rsidR="00E05162">
        <w:t>require</w:t>
      </w:r>
      <w:r w:rsidR="00EA6741">
        <w:t>d</w:t>
      </w:r>
      <w:r w:rsidR="00E05162">
        <w:t xml:space="preserve"> an assumption that </w:t>
      </w:r>
      <w:r w:rsidR="00C54F21">
        <w:t>a</w:t>
      </w:r>
      <w:r w:rsidR="00E05162">
        <w:t xml:space="preserve">rticle 13.3 </w:t>
      </w:r>
      <w:r w:rsidR="00C54F21">
        <w:t>should a</w:t>
      </w:r>
      <w:r w:rsidR="00E05162">
        <w:t>pply</w:t>
      </w:r>
      <w:r w:rsidR="00C54F21">
        <w:t xml:space="preserve">. </w:t>
      </w:r>
      <w:r w:rsidR="00BD718B">
        <w:t xml:space="preserve"> </w:t>
      </w:r>
      <w:r w:rsidR="00BF47D2">
        <w:t>Article 13.3 (the RPP)</w:t>
      </w:r>
      <w:r w:rsidR="00E05162">
        <w:t xml:space="preserve"> </w:t>
      </w:r>
      <w:r w:rsidR="00BF47D2">
        <w:t xml:space="preserve">applied only on a </w:t>
      </w:r>
      <w:r w:rsidR="00E05162">
        <w:t>“</w:t>
      </w:r>
      <w:r w:rsidR="00E05162" w:rsidRPr="00BF47D2">
        <w:rPr>
          <w:i/>
          <w:iCs/>
        </w:rPr>
        <w:t>Share Sale</w:t>
      </w:r>
      <w:r w:rsidR="00E05162">
        <w:t>”</w:t>
      </w:r>
      <w:r w:rsidR="005219D5">
        <w:t xml:space="preserve"> (which</w:t>
      </w:r>
      <w:r w:rsidR="00606490">
        <w:t xml:space="preserve">, as I have noted, could be of less than the entire share capital provided it involved the </w:t>
      </w:r>
      <w:r w:rsidR="00A51F5E">
        <w:t>purchaser acquiring a “</w:t>
      </w:r>
      <w:r w:rsidR="00A51F5E" w:rsidRPr="00A51F5E">
        <w:rPr>
          <w:i/>
          <w:iCs/>
        </w:rPr>
        <w:t>Controlling Interest</w:t>
      </w:r>
      <w:r w:rsidR="00A51F5E">
        <w:t>”)</w:t>
      </w:r>
      <w:r w:rsidR="00AD5A95">
        <w:t xml:space="preserve">.  The skeleton argument </w:t>
      </w:r>
      <w:r w:rsidR="0064719C">
        <w:t xml:space="preserve">said: </w:t>
      </w:r>
      <w:r w:rsidR="00FC6031">
        <w:t>“</w:t>
      </w:r>
      <w:r w:rsidRPr="00BD718B">
        <w:rPr>
          <w:i/>
          <w:iCs/>
        </w:rPr>
        <w:t>In the absence of a requirement that the valuation assume that there is a Share Sale, it should not do so. Of course, in fact there has been no sale of any interest in any shares, but a transfer of shares back to the Company</w:t>
      </w:r>
      <w:r w:rsidR="00FC6031">
        <w:t>.”</w:t>
      </w:r>
      <w:r w:rsidR="00A31307">
        <w:t xml:space="preserve">  It went on to make points about the commercial absurdity of the Company’s contrary contention.</w:t>
      </w:r>
    </w:p>
    <w:p w14:paraId="69407808" w14:textId="71F32808" w:rsidR="00E0354A" w:rsidRDefault="004C7CFF" w:rsidP="00EF2FE7">
      <w:pPr>
        <w:pStyle w:val="ParaLevel1"/>
      </w:pPr>
      <w:r>
        <w:t>For the purposes of the Quantum Judgment, May J was considering the</w:t>
      </w:r>
      <w:r w:rsidR="007A79DB">
        <w:t xml:space="preserve"> issue of</w:t>
      </w:r>
      <w:r w:rsidR="003C54CF">
        <w:t xml:space="preserve"> construction </w:t>
      </w:r>
      <w:r w:rsidR="008B1B40">
        <w:t xml:space="preserve">of the Articles (and whether the RPP applied </w:t>
      </w:r>
      <w:r w:rsidR="00DD73D9">
        <w:t xml:space="preserve">to the </w:t>
      </w:r>
      <w:r w:rsidR="00225045">
        <w:t xml:space="preserve">Good Leaver’s transfer </w:t>
      </w:r>
      <w:r w:rsidR="005A35B1">
        <w:t xml:space="preserve">of shares </w:t>
      </w:r>
      <w:r w:rsidR="00225045">
        <w:t xml:space="preserve">triggered by the process under article 17.3) against the background of </w:t>
      </w:r>
      <w:r w:rsidR="009E2B62">
        <w:t>the independent expert</w:t>
      </w:r>
      <w:r w:rsidR="004C4983">
        <w:t xml:space="preserve">, </w:t>
      </w:r>
      <w:r w:rsidR="00D70DBD">
        <w:t xml:space="preserve">Mr Adrian Nicholls of </w:t>
      </w:r>
      <w:r w:rsidR="00CB60C3">
        <w:t xml:space="preserve">Ernst &amp; Young, having </w:t>
      </w:r>
      <w:r w:rsidR="009E2B62">
        <w:t xml:space="preserve"> </w:t>
      </w:r>
      <w:r w:rsidR="007F6762">
        <w:t xml:space="preserve">by  a letter dated </w:t>
      </w:r>
      <w:r w:rsidR="00CB60C3">
        <w:t>30 August 2016</w:t>
      </w:r>
      <w:r w:rsidR="007F6762">
        <w:t xml:space="preserve"> </w:t>
      </w:r>
      <w:r w:rsidR="00D70DBD">
        <w:t>indicated his</w:t>
      </w:r>
      <w:r w:rsidR="00CB60C3">
        <w:t xml:space="preserve"> view </w:t>
      </w:r>
      <w:r w:rsidR="00D70DBD">
        <w:t xml:space="preserve">that </w:t>
      </w:r>
      <w:r w:rsidR="00CB60C3">
        <w:t>it was appropriate to</w:t>
      </w:r>
      <w:r w:rsidR="007F6762">
        <w:t xml:space="preserve"> </w:t>
      </w:r>
      <w:r w:rsidR="00CB60C3">
        <w:t xml:space="preserve">take the </w:t>
      </w:r>
      <w:r w:rsidR="00381ABB">
        <w:t>R</w:t>
      </w:r>
      <w:r w:rsidR="00BA0B6A">
        <w:t>P</w:t>
      </w:r>
      <w:r w:rsidR="00381ABB">
        <w:t xml:space="preserve">P into account on the valuation of the </w:t>
      </w:r>
      <w:r w:rsidR="00CB60C3">
        <w:t xml:space="preserve">Claimants’ shares pursuant to </w:t>
      </w:r>
      <w:r w:rsidR="00FD6B9C">
        <w:t>a</w:t>
      </w:r>
      <w:r w:rsidR="00CB60C3">
        <w:t>rticle 18.4.</w:t>
      </w:r>
      <w:r w:rsidR="00381ABB">
        <w:t xml:space="preserve">1.  </w:t>
      </w:r>
      <w:r w:rsidR="00D70DBD">
        <w:t xml:space="preserve">Mr Nicholls </w:t>
      </w:r>
      <w:r w:rsidR="00406D8D">
        <w:t xml:space="preserve">had </w:t>
      </w:r>
      <w:r w:rsidR="00E432E1">
        <w:t xml:space="preserve">not at that stage been asked to </w:t>
      </w:r>
      <w:r w:rsidR="00666EC8">
        <w:t xml:space="preserve">determine their </w:t>
      </w:r>
      <w:r w:rsidR="00C41C32">
        <w:t>Market Value</w:t>
      </w:r>
      <w:r w:rsidR="00D70DBD">
        <w:t>.  His letter was written in response to the judge’s request that he should comment on whether article 13.3 had any relevance to the determination of Market Value</w:t>
      </w:r>
      <w:r w:rsidR="004069ED">
        <w:t xml:space="preserve">.  The Claimants </w:t>
      </w:r>
      <w:r w:rsidR="00FD6B9C">
        <w:t xml:space="preserve">said </w:t>
      </w:r>
      <w:r w:rsidR="00D70DBD">
        <w:t xml:space="preserve">he </w:t>
      </w:r>
      <w:r w:rsidR="00FD6B9C">
        <w:t xml:space="preserve">had </w:t>
      </w:r>
      <w:r w:rsidR="00CB60C3">
        <w:t xml:space="preserve">misconstrued the effect of </w:t>
      </w:r>
      <w:r w:rsidR="00FD6B9C">
        <w:t>a</w:t>
      </w:r>
      <w:r w:rsidR="00CB60C3">
        <w:t>rticle 18.4 and that this amount</w:t>
      </w:r>
      <w:r w:rsidR="00FD6B9C">
        <w:t xml:space="preserve">ed </w:t>
      </w:r>
      <w:r w:rsidR="00CB60C3">
        <w:t>to a “</w:t>
      </w:r>
      <w:r w:rsidR="00CB60C3" w:rsidRPr="00D70DBD">
        <w:rPr>
          <w:i/>
          <w:iCs/>
        </w:rPr>
        <w:t>manifest error</w:t>
      </w:r>
      <w:r w:rsidR="00CB60C3">
        <w:t>”</w:t>
      </w:r>
      <w:r w:rsidR="00FD6B9C">
        <w:t xml:space="preserve"> for the purposes of the article</w:t>
      </w:r>
      <w:r w:rsidR="00CB60C3">
        <w:t xml:space="preserve">. </w:t>
      </w:r>
      <w:r>
        <w:t xml:space="preserve"> </w:t>
      </w:r>
    </w:p>
    <w:p w14:paraId="7A3F5144" w14:textId="3347CCF3" w:rsidR="0079204E" w:rsidRDefault="00B96877" w:rsidP="00EF2FE7">
      <w:pPr>
        <w:pStyle w:val="ParaLevel1"/>
      </w:pPr>
      <w:r>
        <w:t>May J</w:t>
      </w:r>
      <w:r w:rsidR="00355052">
        <w:t xml:space="preserve"> addressed this argument at paragraph </w:t>
      </w:r>
      <w:r w:rsidR="00877643">
        <w:t xml:space="preserve">19 </w:t>
      </w:r>
      <w:r w:rsidR="009019F1">
        <w:t>of the Quantum Judgment:</w:t>
      </w:r>
    </w:p>
    <w:p w14:paraId="2D6222B2" w14:textId="25F4DB7F" w:rsidR="00E554D2" w:rsidRDefault="00084E21" w:rsidP="00EF2FE7">
      <w:pPr>
        <w:pStyle w:val="ParaLevel1"/>
        <w:numPr>
          <w:ilvl w:val="0"/>
          <w:numId w:val="0"/>
        </w:numPr>
        <w:ind w:left="1134"/>
      </w:pPr>
      <w:r>
        <w:t>“</w:t>
      </w:r>
      <w:r w:rsidR="009019F1" w:rsidRPr="00084E21">
        <w:rPr>
          <w:i/>
          <w:iCs/>
        </w:rPr>
        <w:t>It seems to me that there is a very fine line between the court’s role and that of the expert here: where does construction of the parties’ agreement, which included the Company Articles of Association, end and the expert duty to assess market value begin? The impact, or otherwise, on Market Value (as defined) of a provision agreed</w:t>
      </w:r>
      <w:r w:rsidR="00E554D2" w:rsidRPr="00084E21">
        <w:rPr>
          <w:i/>
          <w:iCs/>
        </w:rPr>
        <w:t xml:space="preserve"> </w:t>
      </w:r>
      <w:r w:rsidR="009019F1" w:rsidRPr="00084E21">
        <w:rPr>
          <w:i/>
          <w:iCs/>
        </w:rPr>
        <w:t xml:space="preserve">between the parties designed to ensure a priority return to investors seems to me </w:t>
      </w:r>
      <w:r w:rsidR="00E554D2" w:rsidRPr="00084E21">
        <w:rPr>
          <w:i/>
          <w:iCs/>
        </w:rPr>
        <w:t xml:space="preserve">pre-eminently </w:t>
      </w:r>
      <w:r w:rsidR="009019F1" w:rsidRPr="00084E21">
        <w:rPr>
          <w:i/>
          <w:iCs/>
        </w:rPr>
        <w:t>a matter for the expert and not one for the court. Moreover if the expert has</w:t>
      </w:r>
      <w:r w:rsidR="00E554D2" w:rsidRPr="00084E21">
        <w:rPr>
          <w:i/>
          <w:iCs/>
        </w:rPr>
        <w:t xml:space="preserve"> </w:t>
      </w:r>
      <w:r w:rsidR="009019F1" w:rsidRPr="00084E21">
        <w:rPr>
          <w:i/>
          <w:iCs/>
        </w:rPr>
        <w:t>decided, as E&amp;Y has, that the redemption premium provision is to be taken into</w:t>
      </w:r>
      <w:r w:rsidR="00E554D2" w:rsidRPr="00084E21">
        <w:rPr>
          <w:i/>
          <w:iCs/>
        </w:rPr>
        <w:t xml:space="preserve"> </w:t>
      </w:r>
      <w:r w:rsidR="005B06FD" w:rsidRPr="00084E21">
        <w:rPr>
          <w:i/>
          <w:iCs/>
        </w:rPr>
        <w:t>account in assessing the value of the Claimants’ shares, can this properly be said to be a “manifest error”, even if the court might take a different view? These are questions</w:t>
      </w:r>
      <w:r w:rsidRPr="00084E21">
        <w:rPr>
          <w:i/>
          <w:iCs/>
        </w:rPr>
        <w:t xml:space="preserve"> </w:t>
      </w:r>
      <w:r w:rsidR="005B06FD" w:rsidRPr="00084E21">
        <w:rPr>
          <w:i/>
          <w:iCs/>
        </w:rPr>
        <w:t>that I have found it very difficult to determine</w:t>
      </w:r>
      <w:r w:rsidR="005B06FD">
        <w:t>.</w:t>
      </w:r>
      <w:r>
        <w:t>”</w:t>
      </w:r>
    </w:p>
    <w:p w14:paraId="1B52759F" w14:textId="34EDA118" w:rsidR="00625023" w:rsidRDefault="0074146B" w:rsidP="00EF2FE7">
      <w:pPr>
        <w:pStyle w:val="ParaLevel1"/>
      </w:pPr>
      <w:r>
        <w:t xml:space="preserve">Even though article 18.4 </w:t>
      </w:r>
      <w:r w:rsidR="00A76474">
        <w:t>expressly contemplated that either party might rej</w:t>
      </w:r>
      <w:r w:rsidR="003F07EB">
        <w:t xml:space="preserve">ect </w:t>
      </w:r>
      <w:r w:rsidR="00A9193A">
        <w:t xml:space="preserve">what would otherwise be a </w:t>
      </w:r>
      <w:r w:rsidR="003F07EB">
        <w:t xml:space="preserve">binding </w:t>
      </w:r>
      <w:r w:rsidR="000F48E8">
        <w:t xml:space="preserve">expert </w:t>
      </w:r>
      <w:r w:rsidR="00A9193A">
        <w:t xml:space="preserve">determination by </w:t>
      </w:r>
      <w:r w:rsidR="00BD7596">
        <w:t xml:space="preserve">pointing to </w:t>
      </w:r>
      <w:r w:rsidR="001832A4">
        <w:t xml:space="preserve">what was said to be </w:t>
      </w:r>
      <w:r w:rsidR="00E642B7">
        <w:t>a manifest error</w:t>
      </w:r>
      <w:r w:rsidR="001832A4">
        <w:t xml:space="preserve">, the judge </w:t>
      </w:r>
      <w:r w:rsidR="00991FBF">
        <w:t xml:space="preserve">therefore </w:t>
      </w:r>
      <w:r w:rsidR="00C8298B">
        <w:t>expressed d</w:t>
      </w:r>
      <w:r w:rsidR="00991FBF">
        <w:t xml:space="preserve">oubt </w:t>
      </w:r>
      <w:r w:rsidR="00975D50">
        <w:t>a</w:t>
      </w:r>
      <w:r w:rsidR="00C551A2">
        <w:t>bout whether th</w:t>
      </w:r>
      <w:r w:rsidR="00D3570A">
        <w:t>is did give the court any supervisory jurisdiction o</w:t>
      </w:r>
      <w:r w:rsidR="004F4E94">
        <w:t xml:space="preserve">ver </w:t>
      </w:r>
      <w:r w:rsidR="00757AB9">
        <w:t>a</w:t>
      </w:r>
      <w:r w:rsidR="000F48E8">
        <w:t xml:space="preserve"> </w:t>
      </w:r>
      <w:r w:rsidR="00757AB9">
        <w:t xml:space="preserve">determination </w:t>
      </w:r>
      <w:r w:rsidR="00625FEE">
        <w:t>based upon an erroneous</w:t>
      </w:r>
      <w:r w:rsidR="00757AB9">
        <w:t xml:space="preserve"> </w:t>
      </w:r>
      <w:r w:rsidR="00221DF5">
        <w:t xml:space="preserve">understanding of the application of the RPP; and that </w:t>
      </w:r>
      <w:r w:rsidR="00625FEE">
        <w:t xml:space="preserve">this was so even if the </w:t>
      </w:r>
      <w:r w:rsidR="00971BDA">
        <w:t>error</w:t>
      </w:r>
      <w:r w:rsidR="0034457E">
        <w:t xml:space="preserve"> arose </w:t>
      </w:r>
      <w:r w:rsidR="00541283">
        <w:t xml:space="preserve">directly </w:t>
      </w:r>
      <w:r w:rsidR="0034457E">
        <w:t>out of the misinterpretation of the Articles.</w:t>
      </w:r>
      <w:r w:rsidR="00CD07E0">
        <w:t xml:space="preserve">  </w:t>
      </w:r>
      <w:r w:rsidR="00D70DBD">
        <w:t xml:space="preserve">In his letter of </w:t>
      </w:r>
      <w:r w:rsidR="00CD07E0">
        <w:t xml:space="preserve">30 August 2016 </w:t>
      </w:r>
      <w:r w:rsidR="00D70DBD">
        <w:t xml:space="preserve">Mr Nicholls had expressly (and </w:t>
      </w:r>
      <w:r w:rsidR="00805E95">
        <w:t>obviously</w:t>
      </w:r>
      <w:r w:rsidR="00D70DBD">
        <w:t xml:space="preserve"> correctly) </w:t>
      </w:r>
      <w:r w:rsidR="00805E95">
        <w:t xml:space="preserve">said </w:t>
      </w:r>
      <w:r w:rsidR="00D70DBD">
        <w:t>that “</w:t>
      </w:r>
      <w:r w:rsidR="00D70DBD" w:rsidRPr="00D70DBD">
        <w:rPr>
          <w:i/>
          <w:iCs/>
        </w:rPr>
        <w:t>I provide my comments based on my experience as a valuer, but as far as the issue relates to the construction of the Articles from a legal perspective, this is of course a matter for the Judge</w:t>
      </w:r>
      <w:r w:rsidR="00D70DBD">
        <w:t>”.</w:t>
      </w:r>
      <w:r w:rsidR="0034457E">
        <w:t xml:space="preserve">  </w:t>
      </w:r>
    </w:p>
    <w:p w14:paraId="5D6E8C24" w14:textId="7CF941F3" w:rsidR="00AF649D" w:rsidRDefault="00BD12F5" w:rsidP="00EF2FE7">
      <w:pPr>
        <w:pStyle w:val="ParaLevel1"/>
      </w:pPr>
      <w:r>
        <w:t>However,</w:t>
      </w:r>
      <w:r w:rsidR="00C8298B">
        <w:t xml:space="preserve"> the judge did not have to resolve th</w:t>
      </w:r>
      <w:r w:rsidR="00D70DBD">
        <w:t>e</w:t>
      </w:r>
      <w:r w:rsidR="00C8298B">
        <w:t xml:space="preserve"> doubt </w:t>
      </w:r>
      <w:r w:rsidR="00D70DBD">
        <w:t xml:space="preserve">in her mind </w:t>
      </w:r>
      <w:r w:rsidR="00A57F67">
        <w:t xml:space="preserve">because she </w:t>
      </w:r>
      <w:r w:rsidR="00145659">
        <w:t>went on to conclude that not only w</w:t>
      </w:r>
      <w:r w:rsidR="00D70DBD">
        <w:t xml:space="preserve">as Mr Nicholls </w:t>
      </w:r>
      <w:r w:rsidR="00012546">
        <w:t xml:space="preserve">not </w:t>
      </w:r>
      <w:r w:rsidR="00145659">
        <w:t>guilty of an</w:t>
      </w:r>
      <w:r w:rsidR="00627280">
        <w:t>y</w:t>
      </w:r>
      <w:r w:rsidR="00145659">
        <w:t xml:space="preserve"> error</w:t>
      </w:r>
      <w:r w:rsidR="00627280">
        <w:t xml:space="preserve"> in the view </w:t>
      </w:r>
      <w:r w:rsidR="00C35F19">
        <w:t>h</w:t>
      </w:r>
      <w:r w:rsidR="00627280">
        <w:t>e had expressed</w:t>
      </w:r>
      <w:r w:rsidR="00145659">
        <w:t xml:space="preserve"> </w:t>
      </w:r>
      <w:r w:rsidR="00EB19CD">
        <w:t>(which</w:t>
      </w:r>
      <w:r w:rsidR="007D1C21">
        <w:t>,</w:t>
      </w:r>
      <w:r w:rsidR="00EB19CD">
        <w:t xml:space="preserve"> </w:t>
      </w:r>
      <w:r w:rsidR="009B6BA7">
        <w:t>as I explored with Mr Tozzi</w:t>
      </w:r>
      <w:r w:rsidR="00861511">
        <w:t xml:space="preserve"> QC</w:t>
      </w:r>
      <w:r w:rsidR="009B6BA7">
        <w:t xml:space="preserve"> and Mr </w:t>
      </w:r>
      <w:r w:rsidR="00B80E92">
        <w:t>Leiper</w:t>
      </w:r>
      <w:r w:rsidR="00861511">
        <w:t xml:space="preserve"> QC</w:t>
      </w:r>
      <w:r w:rsidR="00EF1FD9">
        <w:t>, n</w:t>
      </w:r>
      <w:r w:rsidR="006042C6">
        <w:t xml:space="preserve">ecessarily </w:t>
      </w:r>
      <w:r w:rsidR="007D1C21">
        <w:t xml:space="preserve">would have been </w:t>
      </w:r>
      <w:r w:rsidR="00EB19CD">
        <w:t>“manifest</w:t>
      </w:r>
      <w:r w:rsidR="007D1C21">
        <w:t>”</w:t>
      </w:r>
      <w:r w:rsidR="00012546">
        <w:t xml:space="preserve"> </w:t>
      </w:r>
      <w:r w:rsidR="001E58F1">
        <w:t xml:space="preserve">from </w:t>
      </w:r>
      <w:r w:rsidR="00D70DBD">
        <w:t xml:space="preserve">his </w:t>
      </w:r>
      <w:r w:rsidR="001E58F1">
        <w:t xml:space="preserve">expression of it on the single point of </w:t>
      </w:r>
      <w:r w:rsidR="00B47777">
        <w:t>construction</w:t>
      </w:r>
      <w:r w:rsidR="001E58F1">
        <w:t xml:space="preserve"> raised) but that </w:t>
      </w:r>
      <w:r w:rsidR="00D70DBD">
        <w:t xml:space="preserve">he was </w:t>
      </w:r>
      <w:r w:rsidR="001E58F1">
        <w:t xml:space="preserve">correct in </w:t>
      </w:r>
      <w:r w:rsidR="00D70DBD">
        <w:t>his</w:t>
      </w:r>
      <w:r w:rsidR="001E58F1">
        <w:t xml:space="preserve"> view.  She </w:t>
      </w:r>
      <w:r w:rsidR="008F20C1">
        <w:t xml:space="preserve">picked up the question </w:t>
      </w:r>
      <w:r w:rsidR="00116E1C">
        <w:t xml:space="preserve">raised </w:t>
      </w:r>
      <w:r w:rsidR="008F20C1">
        <w:t xml:space="preserve">at the end of her paragraph 19 and </w:t>
      </w:r>
      <w:r w:rsidR="001E58F1">
        <w:t>went</w:t>
      </w:r>
      <w:r w:rsidR="00AF649D">
        <w:t xml:space="preserve"> on to say</w:t>
      </w:r>
      <w:r w:rsidR="00116E1C">
        <w:t xml:space="preserve">, </w:t>
      </w:r>
      <w:r w:rsidR="00AF649D">
        <w:t xml:space="preserve">at paragraph </w:t>
      </w:r>
      <w:r w:rsidR="003F787B">
        <w:t>20:</w:t>
      </w:r>
    </w:p>
    <w:p w14:paraId="311F596C" w14:textId="45B3F12D" w:rsidR="003C54CF" w:rsidRDefault="003C4390" w:rsidP="00EF2FE7">
      <w:pPr>
        <w:pStyle w:val="ParaLevel1"/>
        <w:numPr>
          <w:ilvl w:val="0"/>
          <w:numId w:val="0"/>
        </w:numPr>
        <w:ind w:left="1134"/>
      </w:pPr>
      <w:r>
        <w:t>“</w:t>
      </w:r>
      <w:r w:rsidR="00E554D2" w:rsidRPr="003C4390">
        <w:rPr>
          <w:i/>
          <w:iCs/>
        </w:rPr>
        <w:t>Happily, I have not in the end needed to as my view of Article 18.4 accords with that</w:t>
      </w:r>
      <w:r w:rsidR="00AA6002">
        <w:rPr>
          <w:i/>
          <w:iCs/>
        </w:rPr>
        <w:t xml:space="preserve"> </w:t>
      </w:r>
      <w:r w:rsidR="003C54CF" w:rsidRPr="003C4390">
        <w:rPr>
          <w:i/>
          <w:iCs/>
        </w:rPr>
        <w:t>of E&amp;Y. I have concluded that the phrase “...market value of the Leaver’s Shares...as</w:t>
      </w:r>
      <w:r w:rsidR="003F787B" w:rsidRPr="003C4390">
        <w:rPr>
          <w:i/>
          <w:iCs/>
        </w:rPr>
        <w:t xml:space="preserve"> </w:t>
      </w:r>
      <w:r w:rsidR="003C54CF" w:rsidRPr="003C4390">
        <w:rPr>
          <w:i/>
          <w:iCs/>
        </w:rPr>
        <w:t>if the entire share capital of the Company were sold in accordance with these</w:t>
      </w:r>
      <w:r w:rsidR="003F787B" w:rsidRPr="003C4390">
        <w:rPr>
          <w:i/>
          <w:iCs/>
        </w:rPr>
        <w:t xml:space="preserve"> </w:t>
      </w:r>
      <w:r w:rsidR="003C54CF" w:rsidRPr="003C4390">
        <w:rPr>
          <w:i/>
          <w:iCs/>
        </w:rPr>
        <w:t>Articles” necessarily includes a recognition of the type of shares held by the Leaver.</w:t>
      </w:r>
      <w:r w:rsidR="007656B7" w:rsidRPr="003C4390">
        <w:rPr>
          <w:i/>
          <w:iCs/>
        </w:rPr>
        <w:t xml:space="preserve"> </w:t>
      </w:r>
      <w:r w:rsidR="003C54CF" w:rsidRPr="003C4390">
        <w:rPr>
          <w:i/>
          <w:iCs/>
        </w:rPr>
        <w:t>The Claimants held Class C shares whose realisable value was subordinated to the</w:t>
      </w:r>
      <w:r w:rsidR="007656B7" w:rsidRPr="003C4390">
        <w:rPr>
          <w:i/>
          <w:iCs/>
        </w:rPr>
        <w:t xml:space="preserve"> </w:t>
      </w:r>
      <w:r w:rsidR="003C54CF" w:rsidRPr="003C4390">
        <w:rPr>
          <w:i/>
          <w:iCs/>
        </w:rPr>
        <w:t>holders of the Class A and Class B shares by the provisions of Article 13.3. Any</w:t>
      </w:r>
      <w:r w:rsidR="007656B7" w:rsidRPr="003C4390">
        <w:rPr>
          <w:i/>
          <w:iCs/>
        </w:rPr>
        <w:t xml:space="preserve"> </w:t>
      </w:r>
      <w:r w:rsidR="003C54CF" w:rsidRPr="003C4390">
        <w:rPr>
          <w:i/>
          <w:iCs/>
        </w:rPr>
        <w:t>buyer purchasing the Claimants’ shares would purchase subject to the restrictions</w:t>
      </w:r>
      <w:r w:rsidR="007656B7" w:rsidRPr="003C4390">
        <w:rPr>
          <w:i/>
          <w:iCs/>
        </w:rPr>
        <w:t xml:space="preserve"> </w:t>
      </w:r>
      <w:r w:rsidR="003C54CF" w:rsidRPr="003C4390">
        <w:rPr>
          <w:i/>
          <w:iCs/>
        </w:rPr>
        <w:t>affecting realisable value imposed by Article 13.3</w:t>
      </w:r>
      <w:r w:rsidR="003C54CF">
        <w:t>.</w:t>
      </w:r>
      <w:r>
        <w:t>”</w:t>
      </w:r>
    </w:p>
    <w:p w14:paraId="482E224F" w14:textId="6526744A" w:rsidR="00EF1FD9" w:rsidRDefault="00EF1FD9" w:rsidP="00EF2FE7">
      <w:pPr>
        <w:pStyle w:val="ParaLevel1"/>
      </w:pPr>
      <w:r>
        <w:t xml:space="preserve">On the basis of </w:t>
      </w:r>
      <w:r w:rsidR="00200F8A">
        <w:t>that conclusion,</w:t>
      </w:r>
      <w:r w:rsidR="005C3C33">
        <w:t xml:space="preserve"> </w:t>
      </w:r>
      <w:r w:rsidR="0019068F">
        <w:t xml:space="preserve">it was not a mistake </w:t>
      </w:r>
      <w:r w:rsidR="00F44B9F">
        <w:t xml:space="preserve">to have invited Mr Nicholls to </w:t>
      </w:r>
      <w:r w:rsidR="00595847">
        <w:t xml:space="preserve">express his view on the impact of the RPP even though (had the point </w:t>
      </w:r>
      <w:r w:rsidR="00FD39DC">
        <w:t xml:space="preserve">come before me) my strong instinct would have been in favour of the </w:t>
      </w:r>
      <w:r w:rsidR="00036022">
        <w:t>court determining th</w:t>
      </w:r>
      <w:r w:rsidR="00C314D5">
        <w:t>e question</w:t>
      </w:r>
      <w:r w:rsidR="000C51F0">
        <w:t xml:space="preserve"> as a preliminary</w:t>
      </w:r>
      <w:r w:rsidR="00036022">
        <w:t xml:space="preserve"> point of law and construction, uninfluenced by the view of </w:t>
      </w:r>
      <w:r w:rsidR="000C51F0">
        <w:t>an expert valuer.</w:t>
      </w:r>
      <w:r w:rsidR="00200F8A">
        <w:t xml:space="preserve"> </w:t>
      </w:r>
    </w:p>
    <w:p w14:paraId="47FDAB22" w14:textId="576B3DC9" w:rsidR="007656B7" w:rsidRDefault="00A778A4" w:rsidP="00EF2FE7">
      <w:pPr>
        <w:pStyle w:val="ParaLevel1"/>
      </w:pPr>
      <w:r>
        <w:t xml:space="preserve">The judge then </w:t>
      </w:r>
      <w:r w:rsidR="00684F95">
        <w:t xml:space="preserve">considered the Claimant’s arguments against the application of the RPP </w:t>
      </w:r>
      <w:r w:rsidR="00877643">
        <w:t>which were based upon the commercial</w:t>
      </w:r>
      <w:r w:rsidR="00C10913">
        <w:t xml:space="preserve">ly absurd consequences before returning to the point of construction at paragraph </w:t>
      </w:r>
      <w:r w:rsidR="00654FA4">
        <w:t>23:</w:t>
      </w:r>
    </w:p>
    <w:p w14:paraId="3DA14B9A" w14:textId="4E144F6D" w:rsidR="00EE4F7D" w:rsidRDefault="00654FA4" w:rsidP="00EF2FE7">
      <w:pPr>
        <w:pStyle w:val="ParaLevel1"/>
        <w:numPr>
          <w:ilvl w:val="0"/>
          <w:numId w:val="0"/>
        </w:numPr>
        <w:ind w:left="1134"/>
      </w:pPr>
      <w:r>
        <w:t>“</w:t>
      </w:r>
      <w:r w:rsidR="00EE4F7D" w:rsidRPr="00654FA4">
        <w:rPr>
          <w:i/>
          <w:iCs/>
        </w:rPr>
        <w:t>In the end I return to the wording of Article 18.4 itself which seems to me to be clear:</w:t>
      </w:r>
      <w:r w:rsidR="007816B3" w:rsidRPr="00654FA4">
        <w:rPr>
          <w:i/>
          <w:iCs/>
        </w:rPr>
        <w:t xml:space="preserve"> </w:t>
      </w:r>
      <w:r w:rsidR="00EE4F7D" w:rsidRPr="00654FA4">
        <w:rPr>
          <w:i/>
          <w:iCs/>
        </w:rPr>
        <w:t>the expert is called upon to determine market value of the “Leaver’s shares”. There is</w:t>
      </w:r>
      <w:r w:rsidR="006F1297" w:rsidRPr="00654FA4">
        <w:rPr>
          <w:i/>
          <w:iCs/>
        </w:rPr>
        <w:t xml:space="preserve"> </w:t>
      </w:r>
      <w:r w:rsidR="00EE4F7D" w:rsidRPr="00654FA4">
        <w:rPr>
          <w:i/>
          <w:iCs/>
        </w:rPr>
        <w:t>no provision directing that the type or class of share is to be disregarded in that</w:t>
      </w:r>
      <w:r w:rsidR="006F1297" w:rsidRPr="00654FA4">
        <w:rPr>
          <w:i/>
          <w:iCs/>
        </w:rPr>
        <w:t xml:space="preserve"> </w:t>
      </w:r>
      <w:r w:rsidR="00EE4F7D" w:rsidRPr="00654FA4">
        <w:rPr>
          <w:i/>
          <w:iCs/>
        </w:rPr>
        <w:t>process, in circumstances where the Articles clearly contemplated that a “Leaver”</w:t>
      </w:r>
      <w:r w:rsidR="006F1297" w:rsidRPr="00654FA4">
        <w:rPr>
          <w:i/>
          <w:iCs/>
        </w:rPr>
        <w:t xml:space="preserve"> </w:t>
      </w:r>
      <w:r w:rsidR="00EE4F7D" w:rsidRPr="00654FA4">
        <w:rPr>
          <w:i/>
          <w:iCs/>
        </w:rPr>
        <w:t xml:space="preserve">might hold any one or more of many different classes of shares. As </w:t>
      </w:r>
      <w:r w:rsidR="006F1297" w:rsidRPr="00654FA4">
        <w:rPr>
          <w:i/>
          <w:iCs/>
        </w:rPr>
        <w:t>[the Company’s counsel]</w:t>
      </w:r>
      <w:r w:rsidR="00EE4F7D" w:rsidRPr="00654FA4">
        <w:rPr>
          <w:i/>
          <w:iCs/>
        </w:rPr>
        <w:t xml:space="preserve"> rightly</w:t>
      </w:r>
      <w:r w:rsidR="006F1297" w:rsidRPr="00654FA4">
        <w:rPr>
          <w:i/>
          <w:iCs/>
        </w:rPr>
        <w:t xml:space="preserve"> </w:t>
      </w:r>
      <w:r w:rsidR="00EE4F7D" w:rsidRPr="00654FA4">
        <w:rPr>
          <w:i/>
          <w:iCs/>
        </w:rPr>
        <w:t>submitted, Article 13.3 was a clause designed to protect LB’s investment by</w:t>
      </w:r>
      <w:r w:rsidR="009C072E" w:rsidRPr="00654FA4">
        <w:rPr>
          <w:i/>
          <w:iCs/>
        </w:rPr>
        <w:t xml:space="preserve"> </w:t>
      </w:r>
      <w:r w:rsidR="00EE4F7D" w:rsidRPr="00654FA4">
        <w:rPr>
          <w:i/>
          <w:iCs/>
        </w:rPr>
        <w:t>effectively subordinating the realisable value of classes of shares other than those held</w:t>
      </w:r>
      <w:r w:rsidR="009C072E" w:rsidRPr="00654FA4">
        <w:rPr>
          <w:i/>
          <w:iCs/>
        </w:rPr>
        <w:t xml:space="preserve"> </w:t>
      </w:r>
      <w:r w:rsidR="00EE4F7D" w:rsidRPr="00654FA4">
        <w:rPr>
          <w:i/>
          <w:iCs/>
        </w:rPr>
        <w:t>by the LB investors. To leave that circumstance out of account in assessing the</w:t>
      </w:r>
      <w:r w:rsidR="009C072E" w:rsidRPr="00654FA4">
        <w:rPr>
          <w:i/>
          <w:iCs/>
        </w:rPr>
        <w:t xml:space="preserve"> </w:t>
      </w:r>
      <w:r w:rsidR="00EE4F7D" w:rsidRPr="00654FA4">
        <w:rPr>
          <w:i/>
          <w:iCs/>
        </w:rPr>
        <w:t>market value of those other shares would in my view be contrary to commonsense,</w:t>
      </w:r>
      <w:r w:rsidR="009C072E" w:rsidRPr="00654FA4">
        <w:rPr>
          <w:i/>
          <w:iCs/>
        </w:rPr>
        <w:t xml:space="preserve"> </w:t>
      </w:r>
      <w:r w:rsidR="00EE4F7D" w:rsidRPr="00654FA4">
        <w:rPr>
          <w:i/>
          <w:iCs/>
        </w:rPr>
        <w:t>given the purpose of the clause, and would require explicit provision. It is significant,</w:t>
      </w:r>
      <w:r w:rsidR="009C072E" w:rsidRPr="00654FA4">
        <w:rPr>
          <w:i/>
          <w:iCs/>
        </w:rPr>
        <w:t xml:space="preserve"> </w:t>
      </w:r>
      <w:r w:rsidR="00EE4F7D" w:rsidRPr="00654FA4">
        <w:rPr>
          <w:i/>
          <w:iCs/>
        </w:rPr>
        <w:t>in this respect, that Article 18.4 does include explicit provision for ignoring the</w:t>
      </w:r>
      <w:r w:rsidR="00497C0A" w:rsidRPr="00654FA4">
        <w:rPr>
          <w:i/>
          <w:iCs/>
        </w:rPr>
        <w:t xml:space="preserve"> circumstance of a particular bundle of shares being a minority shareholding or subject</w:t>
      </w:r>
      <w:r w:rsidR="009C072E" w:rsidRPr="00654FA4">
        <w:rPr>
          <w:i/>
          <w:iCs/>
        </w:rPr>
        <w:t xml:space="preserve"> </w:t>
      </w:r>
      <w:r w:rsidR="00497C0A" w:rsidRPr="00654FA4">
        <w:rPr>
          <w:i/>
          <w:iCs/>
        </w:rPr>
        <w:t>to compulsory transfer requirements, but not for their being shares of a class impacted</w:t>
      </w:r>
      <w:r w:rsidR="009C072E" w:rsidRPr="00654FA4">
        <w:rPr>
          <w:i/>
          <w:iCs/>
        </w:rPr>
        <w:t xml:space="preserve"> </w:t>
      </w:r>
      <w:r w:rsidR="00497C0A" w:rsidRPr="00654FA4">
        <w:rPr>
          <w:i/>
          <w:iCs/>
        </w:rPr>
        <w:t>adversely (or potentially adversely) by the provisions of Article 13.3.</w:t>
      </w:r>
      <w:r w:rsidRPr="00654FA4">
        <w:rPr>
          <w:i/>
          <w:iCs/>
        </w:rPr>
        <w:t>”</w:t>
      </w:r>
    </w:p>
    <w:p w14:paraId="4EFC8186" w14:textId="5A554194" w:rsidR="001366E9" w:rsidRDefault="00F80D60" w:rsidP="00EF2FE7">
      <w:pPr>
        <w:pStyle w:val="ParaLevel1"/>
      </w:pPr>
      <w:r>
        <w:t xml:space="preserve">In its argument before me the Firm pointed out that May J made no finding that </w:t>
      </w:r>
      <w:r w:rsidR="005E0B8A">
        <w:t xml:space="preserve">the forced transfer in accordance with article 17.3 </w:t>
      </w:r>
      <w:r w:rsidR="00446EBC">
        <w:t>was a “</w:t>
      </w:r>
      <w:r w:rsidR="00446EBC" w:rsidRPr="00575A2D">
        <w:rPr>
          <w:i/>
          <w:iCs/>
        </w:rPr>
        <w:t>Share Sale</w:t>
      </w:r>
      <w:r w:rsidR="00446EBC">
        <w:t xml:space="preserve">” within the meaning of article 13.3.  </w:t>
      </w:r>
      <w:r w:rsidR="005A25EF">
        <w:t xml:space="preserve">It was said that this was because of </w:t>
      </w:r>
      <w:r w:rsidR="0032291C">
        <w:t>a concession made on behalf of the Claimants during the course of argument before May J</w:t>
      </w:r>
      <w:r w:rsidR="0056799A">
        <w:t xml:space="preserve">. </w:t>
      </w:r>
      <w:r w:rsidR="001366E9">
        <w:t xml:space="preserve"> I have already explained in the Introduction how the Firm sa</w:t>
      </w:r>
      <w:r w:rsidR="00310861">
        <w:t>id</w:t>
      </w:r>
      <w:r w:rsidR="001366E9">
        <w:t xml:space="preserve"> this explains what it contend</w:t>
      </w:r>
      <w:r w:rsidR="00310861">
        <w:t>ed</w:t>
      </w:r>
      <w:r w:rsidR="001366E9">
        <w:t xml:space="preserve"> to be the error </w:t>
      </w:r>
      <w:r w:rsidR="00452B99">
        <w:t xml:space="preserve">in the judge’s conclusion and an element of contributory fault on the part of the </w:t>
      </w:r>
      <w:r w:rsidR="00382520">
        <w:t>Claimants for the purposes of their present claim.</w:t>
      </w:r>
    </w:p>
    <w:p w14:paraId="0B4924E9" w14:textId="1D8868AF" w:rsidR="00E60AAE" w:rsidRDefault="001366E9" w:rsidP="00EF2FE7">
      <w:pPr>
        <w:pStyle w:val="ParaLevel1"/>
      </w:pPr>
      <w:r>
        <w:t>T</w:t>
      </w:r>
      <w:r w:rsidR="0056799A">
        <w:t>he judge had posed the question as to why</w:t>
      </w:r>
      <w:r w:rsidR="00155F7A">
        <w:t xml:space="preserve"> the hypothetical sale </w:t>
      </w:r>
      <w:r w:rsidR="009B6F55">
        <w:t>referenced in article 18.4.1 would not also be a “</w:t>
      </w:r>
      <w:r w:rsidR="009B6F55" w:rsidRPr="00575A2D">
        <w:rPr>
          <w:i/>
          <w:iCs/>
        </w:rPr>
        <w:t>Share Sale</w:t>
      </w:r>
      <w:r w:rsidR="009B6F55">
        <w:t xml:space="preserve">” for the purpose of </w:t>
      </w:r>
      <w:r w:rsidR="00575A2D">
        <w:t xml:space="preserve">article 13.3 </w:t>
      </w:r>
      <w:r w:rsidR="0056799A">
        <w:t xml:space="preserve"> </w:t>
      </w:r>
      <w:r w:rsidR="00575A2D">
        <w:t xml:space="preserve">because the </w:t>
      </w:r>
      <w:r w:rsidR="00441AB9">
        <w:t>hypothetical willing buyer would necessarily acquire a “</w:t>
      </w:r>
      <w:r w:rsidR="00441AB9" w:rsidRPr="008F3B85">
        <w:rPr>
          <w:i/>
          <w:iCs/>
        </w:rPr>
        <w:t>Controlling Interest</w:t>
      </w:r>
      <w:r w:rsidR="00441AB9">
        <w:t xml:space="preserve">” if </w:t>
      </w:r>
      <w:r w:rsidR="008F3B85">
        <w:t xml:space="preserve">he acquired the entirety of the Company’s issued share capital. </w:t>
      </w:r>
    </w:p>
    <w:p w14:paraId="54130C0A" w14:textId="5BD7BD2D" w:rsidR="00EE4F7D" w:rsidRDefault="00382520" w:rsidP="00EF2FE7">
      <w:pPr>
        <w:pStyle w:val="ParaLevel1"/>
      </w:pPr>
      <w:r>
        <w:t xml:space="preserve">That question </w:t>
      </w:r>
      <w:r w:rsidR="005152B3">
        <w:t>p</w:t>
      </w:r>
      <w:r w:rsidR="006D22A4">
        <w:t xml:space="preserve">rompted the following exchange between Mr Leiper and the judge (with my emphasis in bold of the words that are said by the Firm to have amounted to a concession </w:t>
      </w:r>
      <w:r w:rsidR="00B4769B">
        <w:t xml:space="preserve">that </w:t>
      </w:r>
      <w:r w:rsidR="000659DE">
        <w:t>an article 13.3 “</w:t>
      </w:r>
      <w:r w:rsidR="000659DE" w:rsidRPr="000659DE">
        <w:rPr>
          <w:i/>
          <w:iCs/>
        </w:rPr>
        <w:t>Share Sale</w:t>
      </w:r>
      <w:r w:rsidR="000659DE">
        <w:t>” was taking place)</w:t>
      </w:r>
      <w:r w:rsidR="00C30AC7">
        <w:t xml:space="preserve">: </w:t>
      </w:r>
    </w:p>
    <w:p w14:paraId="552830A3" w14:textId="01897133" w:rsidR="0048706D" w:rsidRDefault="00D00ABD" w:rsidP="00EF2FE7">
      <w:pPr>
        <w:autoSpaceDE w:val="0"/>
        <w:autoSpaceDN w:val="0"/>
        <w:adjustRightInd w:val="0"/>
        <w:ind w:left="720"/>
        <w:jc w:val="both"/>
        <w:rPr>
          <w:rFonts w:ascii="TimesNewRoman" w:hAnsi="TimesNewRoman" w:cs="TimesNewRoman"/>
          <w:lang w:eastAsia="en-GB"/>
        </w:rPr>
      </w:pPr>
      <w:r>
        <w:rPr>
          <w:rFonts w:ascii="TimesNewRoman" w:hAnsi="TimesNewRoman" w:cs="TimesNewRoman"/>
          <w:lang w:eastAsia="en-GB"/>
        </w:rPr>
        <w:t>“</w:t>
      </w:r>
      <w:r w:rsidR="0048706D">
        <w:rPr>
          <w:rFonts w:ascii="TimesNewRoman" w:hAnsi="TimesNewRoman" w:cs="TimesNewRoman"/>
          <w:lang w:eastAsia="en-GB"/>
        </w:rPr>
        <w:t>MRS JUSTICE MAY: So doesn’t that make it a share sell –</w:t>
      </w:r>
    </w:p>
    <w:p w14:paraId="2A5D1913" w14:textId="77777777" w:rsidR="00BC72A2" w:rsidRDefault="00BC72A2" w:rsidP="00EF2FE7">
      <w:pPr>
        <w:autoSpaceDE w:val="0"/>
        <w:autoSpaceDN w:val="0"/>
        <w:adjustRightInd w:val="0"/>
        <w:ind w:left="720"/>
        <w:jc w:val="both"/>
        <w:rPr>
          <w:rFonts w:ascii="TimesNewRoman" w:hAnsi="TimesNewRoman" w:cs="TimesNewRoman"/>
          <w:lang w:eastAsia="en-GB"/>
        </w:rPr>
      </w:pPr>
    </w:p>
    <w:p w14:paraId="3A1F0B18" w14:textId="6D685FF1" w:rsidR="0048706D" w:rsidRDefault="0048706D" w:rsidP="00EF2FE7">
      <w:pPr>
        <w:autoSpaceDE w:val="0"/>
        <w:autoSpaceDN w:val="0"/>
        <w:adjustRightInd w:val="0"/>
        <w:ind w:left="720"/>
        <w:jc w:val="both"/>
        <w:rPr>
          <w:rFonts w:ascii="TimesNewRoman" w:hAnsi="TimesNewRoman" w:cs="TimesNewRoman"/>
          <w:lang w:eastAsia="en-GB"/>
        </w:rPr>
      </w:pPr>
      <w:r>
        <w:rPr>
          <w:rFonts w:ascii="TimesNewRoman" w:hAnsi="TimesNewRoman" w:cs="TimesNewRoman"/>
          <w:lang w:eastAsia="en-GB"/>
        </w:rPr>
        <w:t xml:space="preserve">MR LEIPER: That, with respect, the way I put the argument is in two stages. </w:t>
      </w:r>
      <w:r w:rsidRPr="0094657D">
        <w:rPr>
          <w:rFonts w:ascii="TimesNewRoman" w:hAnsi="TimesNewRoman" w:cs="TimesNewRoman"/>
          <w:b/>
          <w:bCs/>
          <w:lang w:eastAsia="en-GB"/>
        </w:rPr>
        <w:t>The first</w:t>
      </w:r>
      <w:r w:rsidR="00BC72A2" w:rsidRPr="0094657D">
        <w:rPr>
          <w:rFonts w:ascii="TimesNewRoman" w:hAnsi="TimesNewRoman" w:cs="TimesNewRoman"/>
          <w:b/>
          <w:bCs/>
          <w:lang w:eastAsia="en-GB"/>
        </w:rPr>
        <w:t xml:space="preserve"> </w:t>
      </w:r>
      <w:r w:rsidRPr="0094657D">
        <w:rPr>
          <w:rFonts w:ascii="TimesNewRoman" w:hAnsi="TimesNewRoman" w:cs="TimesNewRoman"/>
          <w:b/>
          <w:bCs/>
          <w:lang w:eastAsia="en-GB"/>
        </w:rPr>
        <w:t>stage is to consider whether or not there is a share sale of the entire capital and if</w:t>
      </w:r>
      <w:r w:rsidR="00BC72A2" w:rsidRPr="0094657D">
        <w:rPr>
          <w:rFonts w:ascii="TimesNewRoman" w:hAnsi="TimesNewRoman" w:cs="TimesNewRoman"/>
          <w:b/>
          <w:bCs/>
          <w:lang w:eastAsia="en-GB"/>
        </w:rPr>
        <w:t xml:space="preserve"> </w:t>
      </w:r>
      <w:r w:rsidRPr="0094657D">
        <w:rPr>
          <w:rFonts w:ascii="TimesNewRoman" w:hAnsi="TimesNewRoman" w:cs="TimesNewRoman"/>
          <w:b/>
          <w:bCs/>
          <w:lang w:eastAsia="en-GB"/>
        </w:rPr>
        <w:t>there is then 13.3… and I accept that it appears that it would fall within the definition</w:t>
      </w:r>
      <w:r w:rsidR="00BC72A2" w:rsidRPr="0094657D">
        <w:rPr>
          <w:rFonts w:ascii="TimesNewRoman" w:hAnsi="TimesNewRoman" w:cs="TimesNewRoman"/>
          <w:b/>
          <w:bCs/>
          <w:lang w:eastAsia="en-GB"/>
        </w:rPr>
        <w:t xml:space="preserve"> </w:t>
      </w:r>
      <w:r w:rsidRPr="0094657D">
        <w:rPr>
          <w:rFonts w:ascii="TimesNewRoman" w:hAnsi="TimesNewRoman" w:cs="TimesNewRoman"/>
          <w:b/>
          <w:bCs/>
          <w:lang w:eastAsia="en-GB"/>
        </w:rPr>
        <w:t>of “a share sale”</w:t>
      </w:r>
      <w:r>
        <w:rPr>
          <w:rFonts w:ascii="TimesNewRoman" w:hAnsi="TimesNewRoman" w:cs="TimesNewRoman"/>
          <w:lang w:eastAsia="en-GB"/>
        </w:rPr>
        <w:t>, but at that point what Article 13.3 does is it tells the sellers how</w:t>
      </w:r>
      <w:r w:rsidR="00BC72A2">
        <w:rPr>
          <w:rFonts w:ascii="TimesNewRoman" w:hAnsi="TimesNewRoman" w:cs="TimesNewRoman"/>
          <w:lang w:eastAsia="en-GB"/>
        </w:rPr>
        <w:t xml:space="preserve"> </w:t>
      </w:r>
      <w:r>
        <w:rPr>
          <w:rFonts w:ascii="TimesNewRoman" w:hAnsi="TimesNewRoman" w:cs="TimesNewRoman"/>
          <w:lang w:eastAsia="en-GB"/>
        </w:rPr>
        <w:t>they are to distribute the monies between themselves. For the purchaser, the</w:t>
      </w:r>
      <w:r w:rsidR="00BC72A2">
        <w:rPr>
          <w:rFonts w:ascii="TimesNewRoman" w:hAnsi="TimesNewRoman" w:cs="TimesNewRoman"/>
          <w:lang w:eastAsia="en-GB"/>
        </w:rPr>
        <w:t xml:space="preserve"> </w:t>
      </w:r>
      <w:r>
        <w:rPr>
          <w:rFonts w:ascii="TimesNewRoman" w:hAnsi="TimesNewRoman" w:cs="TimesNewRoman"/>
          <w:lang w:eastAsia="en-GB"/>
        </w:rPr>
        <w:t>purchaser determining the value of the company has no interest at all in what</w:t>
      </w:r>
      <w:r w:rsidR="00BC72A2">
        <w:rPr>
          <w:rFonts w:ascii="TimesNewRoman" w:hAnsi="TimesNewRoman" w:cs="TimesNewRoman"/>
          <w:lang w:eastAsia="en-GB"/>
        </w:rPr>
        <w:t xml:space="preserve"> </w:t>
      </w:r>
      <w:r>
        <w:rPr>
          <w:rFonts w:ascii="TimesNewRoman" w:hAnsi="TimesNewRoman" w:cs="TimesNewRoman"/>
          <w:lang w:eastAsia="en-GB"/>
        </w:rPr>
        <w:t>happens to the money that it pays to the sellers and that’s an internal matter. But in</w:t>
      </w:r>
      <w:r w:rsidR="00BC72A2">
        <w:rPr>
          <w:rFonts w:ascii="TimesNewRoman" w:hAnsi="TimesNewRoman" w:cs="TimesNewRoman"/>
          <w:lang w:eastAsia="en-GB"/>
        </w:rPr>
        <w:t xml:space="preserve"> </w:t>
      </w:r>
      <w:r>
        <w:rPr>
          <w:rFonts w:ascii="TimesNewRoman" w:hAnsi="TimesNewRoman" w:cs="TimesNewRoman"/>
          <w:lang w:eastAsia="en-GB"/>
        </w:rPr>
        <w:t>fixing the valuation of the entire share capital, then Article 13.3 just isn’t relevant</w:t>
      </w:r>
      <w:r w:rsidR="00BC72A2">
        <w:rPr>
          <w:rFonts w:ascii="TimesNewRoman" w:hAnsi="TimesNewRoman" w:cs="TimesNewRoman"/>
          <w:lang w:eastAsia="en-GB"/>
        </w:rPr>
        <w:t xml:space="preserve"> </w:t>
      </w:r>
      <w:r>
        <w:rPr>
          <w:rFonts w:ascii="TimesNewRoman" w:hAnsi="TimesNewRoman" w:cs="TimesNewRoman"/>
          <w:lang w:eastAsia="en-GB"/>
        </w:rPr>
        <w:t>to the purchaser. The purchaser is going to get the entire share capital and therefore</w:t>
      </w:r>
      <w:r w:rsidR="00BC72A2">
        <w:rPr>
          <w:rFonts w:ascii="TimesNewRoman" w:hAnsi="TimesNewRoman" w:cs="TimesNewRoman"/>
          <w:lang w:eastAsia="en-GB"/>
        </w:rPr>
        <w:t xml:space="preserve"> </w:t>
      </w:r>
      <w:r>
        <w:rPr>
          <w:rFonts w:ascii="TimesNewRoman" w:hAnsi="TimesNewRoman" w:cs="TimesNewRoman"/>
          <w:lang w:eastAsia="en-GB"/>
        </w:rPr>
        <w:t>it isn’t taking shares which have some way a lesser value, lesser potential future</w:t>
      </w:r>
      <w:r w:rsidR="00BC72A2">
        <w:rPr>
          <w:rFonts w:ascii="TimesNewRoman" w:hAnsi="TimesNewRoman" w:cs="TimesNewRoman"/>
          <w:lang w:eastAsia="en-GB"/>
        </w:rPr>
        <w:t xml:space="preserve"> </w:t>
      </w:r>
      <w:r>
        <w:rPr>
          <w:rFonts w:ascii="TimesNewRoman" w:hAnsi="TimesNewRoman" w:cs="TimesNewRoman"/>
          <w:lang w:eastAsia="en-GB"/>
        </w:rPr>
        <w:t>value.</w:t>
      </w:r>
    </w:p>
    <w:p w14:paraId="748ED607" w14:textId="77777777" w:rsidR="00BC72A2" w:rsidRDefault="00BC72A2" w:rsidP="00EF2FE7">
      <w:pPr>
        <w:autoSpaceDE w:val="0"/>
        <w:autoSpaceDN w:val="0"/>
        <w:adjustRightInd w:val="0"/>
        <w:ind w:left="720"/>
        <w:jc w:val="both"/>
        <w:rPr>
          <w:rFonts w:ascii="TimesNewRoman" w:hAnsi="TimesNewRoman" w:cs="TimesNewRoman"/>
          <w:lang w:eastAsia="en-GB"/>
        </w:rPr>
      </w:pPr>
    </w:p>
    <w:p w14:paraId="1FCED76E" w14:textId="3A5F502B" w:rsidR="0048706D" w:rsidRDefault="0048706D" w:rsidP="00EF2FE7">
      <w:pPr>
        <w:autoSpaceDE w:val="0"/>
        <w:autoSpaceDN w:val="0"/>
        <w:adjustRightInd w:val="0"/>
        <w:ind w:left="720"/>
        <w:jc w:val="both"/>
        <w:rPr>
          <w:rFonts w:ascii="TimesNewRoman" w:hAnsi="TimesNewRoman" w:cs="TimesNewRoman"/>
          <w:lang w:eastAsia="en-GB"/>
        </w:rPr>
      </w:pPr>
      <w:r>
        <w:rPr>
          <w:rFonts w:ascii="TimesNewRoman" w:hAnsi="TimesNewRoman" w:cs="TimesNewRoman"/>
          <w:lang w:eastAsia="en-GB"/>
        </w:rPr>
        <w:t>MRS JUSTICE MAY: But isn’t it releva</w:t>
      </w:r>
      <w:r w:rsidR="00BC72A2">
        <w:rPr>
          <w:rFonts w:ascii="TimesNewRoman" w:hAnsi="TimesNewRoman" w:cs="TimesNewRoman"/>
          <w:lang w:eastAsia="en-GB"/>
        </w:rPr>
        <w:t>n</w:t>
      </w:r>
      <w:r>
        <w:rPr>
          <w:rFonts w:ascii="TimesNewRoman" w:hAnsi="TimesNewRoman" w:cs="TimesNewRoman"/>
          <w:lang w:eastAsia="en-GB"/>
        </w:rPr>
        <w:t>t that the leaver’s shares in question are Class</w:t>
      </w:r>
      <w:r w:rsidR="00BC72A2">
        <w:rPr>
          <w:rFonts w:ascii="TimesNewRoman" w:hAnsi="TimesNewRoman" w:cs="TimesNewRoman"/>
          <w:lang w:eastAsia="en-GB"/>
        </w:rPr>
        <w:t xml:space="preserve"> </w:t>
      </w:r>
      <w:r>
        <w:rPr>
          <w:rFonts w:ascii="TimesNewRoman" w:hAnsi="TimesNewRoman" w:cs="TimesNewRoman"/>
          <w:lang w:eastAsia="en-GB"/>
        </w:rPr>
        <w:t>C shares, so they are valuing Class C shares.</w:t>
      </w:r>
    </w:p>
    <w:p w14:paraId="75935DA1" w14:textId="77777777" w:rsidR="0013195D" w:rsidRDefault="0013195D" w:rsidP="00EF2FE7">
      <w:pPr>
        <w:autoSpaceDE w:val="0"/>
        <w:autoSpaceDN w:val="0"/>
        <w:adjustRightInd w:val="0"/>
        <w:ind w:left="720"/>
        <w:jc w:val="both"/>
        <w:rPr>
          <w:rFonts w:ascii="TimesNewRoman" w:hAnsi="TimesNewRoman" w:cs="TimesNewRoman"/>
          <w:lang w:eastAsia="en-GB"/>
        </w:rPr>
      </w:pPr>
    </w:p>
    <w:p w14:paraId="52B77327" w14:textId="77777777" w:rsidR="00BC72A2" w:rsidRDefault="00BC72A2" w:rsidP="00EF2FE7">
      <w:pPr>
        <w:autoSpaceDE w:val="0"/>
        <w:autoSpaceDN w:val="0"/>
        <w:adjustRightInd w:val="0"/>
        <w:ind w:left="720"/>
        <w:jc w:val="both"/>
        <w:rPr>
          <w:rFonts w:ascii="TimesNewRoman" w:hAnsi="TimesNewRoman" w:cs="TimesNewRoman"/>
          <w:lang w:eastAsia="en-GB"/>
        </w:rPr>
      </w:pPr>
    </w:p>
    <w:p w14:paraId="5B14164E" w14:textId="4FAD43C6" w:rsidR="0048706D" w:rsidRDefault="0048706D" w:rsidP="00EF2FE7">
      <w:pPr>
        <w:autoSpaceDE w:val="0"/>
        <w:autoSpaceDN w:val="0"/>
        <w:adjustRightInd w:val="0"/>
        <w:ind w:left="720"/>
        <w:jc w:val="both"/>
        <w:rPr>
          <w:rFonts w:ascii="TimesNewRoman" w:hAnsi="TimesNewRoman" w:cs="TimesNewRoman"/>
          <w:lang w:eastAsia="en-GB"/>
        </w:rPr>
      </w:pPr>
      <w:r>
        <w:rPr>
          <w:rFonts w:ascii="TimesNewRoman" w:hAnsi="TimesNewRoman" w:cs="TimesNewRoman"/>
          <w:lang w:eastAsia="en-GB"/>
        </w:rPr>
        <w:t>MR LEIPER: What they are doing is they should be taking a market value for the entire</w:t>
      </w:r>
      <w:r w:rsidR="0013195D">
        <w:rPr>
          <w:rFonts w:ascii="TimesNewRoman" w:hAnsi="TimesNewRoman" w:cs="TimesNewRoman"/>
          <w:lang w:eastAsia="en-GB"/>
        </w:rPr>
        <w:t xml:space="preserve"> </w:t>
      </w:r>
      <w:r>
        <w:rPr>
          <w:rFonts w:ascii="TimesNewRoman" w:hAnsi="TimesNewRoman" w:cs="TimesNewRoman"/>
          <w:lang w:eastAsia="en-GB"/>
        </w:rPr>
        <w:t>share capital and then they have to work out what proportion (</w:t>
      </w:r>
      <w:r>
        <w:rPr>
          <w:rFonts w:ascii="TimesNewRoman,Bold" w:hAnsi="TimesNewRoman,Bold" w:cs="TimesNewRoman,Bold"/>
          <w:b/>
          <w:bCs/>
          <w:lang w:eastAsia="en-GB"/>
        </w:rPr>
        <w:t>inaudible</w:t>
      </w:r>
      <w:r>
        <w:rPr>
          <w:rFonts w:ascii="TimesNewRoman" w:hAnsi="TimesNewRoman" w:cs="TimesNewRoman"/>
          <w:lang w:eastAsia="en-GB"/>
        </w:rPr>
        <w:t>) of the</w:t>
      </w:r>
      <w:r w:rsidR="0013195D">
        <w:rPr>
          <w:rFonts w:ascii="TimesNewRoman" w:hAnsi="TimesNewRoman" w:cs="TimesNewRoman"/>
          <w:lang w:eastAsia="en-GB"/>
        </w:rPr>
        <w:t xml:space="preserve"> </w:t>
      </w:r>
      <w:r>
        <w:rPr>
          <w:rFonts w:ascii="TimesNewRoman" w:hAnsi="TimesNewRoman" w:cs="TimesNewRoman"/>
          <w:lang w:eastAsia="en-GB"/>
        </w:rPr>
        <w:t>value of the company is held by the leavers.</w:t>
      </w:r>
    </w:p>
    <w:p w14:paraId="425C4666" w14:textId="77777777" w:rsidR="0013195D" w:rsidRDefault="0013195D" w:rsidP="00EF2FE7">
      <w:pPr>
        <w:autoSpaceDE w:val="0"/>
        <w:autoSpaceDN w:val="0"/>
        <w:adjustRightInd w:val="0"/>
        <w:ind w:left="720"/>
        <w:jc w:val="both"/>
        <w:rPr>
          <w:rFonts w:ascii="TimesNewRoman" w:hAnsi="TimesNewRoman" w:cs="TimesNewRoman"/>
          <w:lang w:eastAsia="en-GB"/>
        </w:rPr>
      </w:pPr>
    </w:p>
    <w:p w14:paraId="2CA8985C" w14:textId="450DED7A" w:rsidR="0048706D" w:rsidRDefault="0048706D" w:rsidP="00EF2FE7">
      <w:pPr>
        <w:autoSpaceDE w:val="0"/>
        <w:autoSpaceDN w:val="0"/>
        <w:adjustRightInd w:val="0"/>
        <w:ind w:left="720"/>
        <w:jc w:val="both"/>
        <w:rPr>
          <w:rFonts w:ascii="TimesNewRoman" w:hAnsi="TimesNewRoman" w:cs="TimesNewRoman"/>
          <w:lang w:eastAsia="en-GB"/>
        </w:rPr>
      </w:pPr>
      <w:r>
        <w:rPr>
          <w:rFonts w:ascii="TimesNewRoman" w:hAnsi="TimesNewRoman" w:cs="TimesNewRoman"/>
          <w:lang w:eastAsia="en-GB"/>
        </w:rPr>
        <w:t>MRS JUSTICE MAY: That is what you say.</w:t>
      </w:r>
    </w:p>
    <w:p w14:paraId="15C550AB" w14:textId="77777777" w:rsidR="0013195D" w:rsidRDefault="0013195D" w:rsidP="00EF2FE7">
      <w:pPr>
        <w:autoSpaceDE w:val="0"/>
        <w:autoSpaceDN w:val="0"/>
        <w:adjustRightInd w:val="0"/>
        <w:ind w:left="720"/>
        <w:jc w:val="both"/>
        <w:rPr>
          <w:rFonts w:ascii="TimesNewRoman" w:hAnsi="TimesNewRoman" w:cs="TimesNewRoman"/>
          <w:lang w:eastAsia="en-GB"/>
        </w:rPr>
      </w:pPr>
    </w:p>
    <w:p w14:paraId="1AFC3A87" w14:textId="7BF9357F" w:rsidR="0048706D" w:rsidRDefault="0048706D" w:rsidP="00EF2FE7">
      <w:pPr>
        <w:autoSpaceDE w:val="0"/>
        <w:autoSpaceDN w:val="0"/>
        <w:adjustRightInd w:val="0"/>
        <w:ind w:left="720"/>
        <w:jc w:val="both"/>
        <w:rPr>
          <w:rFonts w:ascii="TimesNewRoman" w:hAnsi="TimesNewRoman" w:cs="TimesNewRoman"/>
          <w:lang w:eastAsia="en-GB"/>
        </w:rPr>
      </w:pPr>
      <w:r>
        <w:rPr>
          <w:rFonts w:ascii="TimesNewRoman" w:hAnsi="TimesNewRoman" w:cs="TimesNewRoman"/>
          <w:lang w:eastAsia="en-GB"/>
        </w:rPr>
        <w:t>MR LEIPER: Exactly, it is; precisely that’s what I’m saying, but there’s a reason to it,</w:t>
      </w:r>
      <w:r w:rsidR="0013195D">
        <w:rPr>
          <w:rFonts w:ascii="TimesNewRoman" w:hAnsi="TimesNewRoman" w:cs="TimesNewRoman"/>
          <w:lang w:eastAsia="en-GB"/>
        </w:rPr>
        <w:t xml:space="preserve"> </w:t>
      </w:r>
      <w:r>
        <w:rPr>
          <w:rFonts w:ascii="TimesNewRoman" w:hAnsi="TimesNewRoman" w:cs="TimesNewRoman"/>
          <w:lang w:eastAsia="en-GB"/>
        </w:rPr>
        <w:t>which is that what the valuer has to do is value the entire share capital. They have</w:t>
      </w:r>
      <w:r w:rsidR="0013195D">
        <w:rPr>
          <w:rFonts w:ascii="TimesNewRoman" w:hAnsi="TimesNewRoman" w:cs="TimesNewRoman"/>
          <w:lang w:eastAsia="en-GB"/>
        </w:rPr>
        <w:t xml:space="preserve"> </w:t>
      </w:r>
      <w:r>
        <w:rPr>
          <w:rFonts w:ascii="TimesNewRoman" w:hAnsi="TimesNewRoman" w:cs="TimesNewRoman"/>
          <w:lang w:eastAsia="en-GB"/>
        </w:rPr>
        <w:t>to look at the entirety. What the EY approach does (or the defendant’s approach</w:t>
      </w:r>
      <w:r w:rsidR="0013195D">
        <w:rPr>
          <w:rFonts w:ascii="TimesNewRoman" w:hAnsi="TimesNewRoman" w:cs="TimesNewRoman"/>
          <w:lang w:eastAsia="en-GB"/>
        </w:rPr>
        <w:t xml:space="preserve"> </w:t>
      </w:r>
      <w:r>
        <w:rPr>
          <w:rFonts w:ascii="TimesNewRoman" w:hAnsi="TimesNewRoman" w:cs="TimesNewRoman"/>
          <w:lang w:eastAsia="en-GB"/>
        </w:rPr>
        <w:t>does) is it adds a further stage, which is to say the market value has to take into</w:t>
      </w:r>
      <w:r w:rsidR="0013195D">
        <w:rPr>
          <w:rFonts w:ascii="TimesNewRoman" w:hAnsi="TimesNewRoman" w:cs="TimesNewRoman"/>
          <w:lang w:eastAsia="en-GB"/>
        </w:rPr>
        <w:t xml:space="preserve"> </w:t>
      </w:r>
      <w:r>
        <w:rPr>
          <w:rFonts w:ascii="TimesNewRoman" w:hAnsi="TimesNewRoman" w:cs="TimesNewRoman"/>
          <w:lang w:eastAsia="en-GB"/>
        </w:rPr>
        <w:t>account the fact that a specific type of share is going to be acquired by the purchaser,</w:t>
      </w:r>
      <w:r w:rsidR="0013195D">
        <w:rPr>
          <w:rFonts w:ascii="TimesNewRoman" w:hAnsi="TimesNewRoman" w:cs="TimesNewRoman"/>
          <w:lang w:eastAsia="en-GB"/>
        </w:rPr>
        <w:t xml:space="preserve"> </w:t>
      </w:r>
      <w:r>
        <w:rPr>
          <w:rFonts w:ascii="TimesNewRoman" w:hAnsi="TimesNewRoman" w:cs="TimesNewRoman"/>
          <w:lang w:eastAsia="en-GB"/>
        </w:rPr>
        <w:t>but that isn’t the exercise, the hypothetical exercise, which is being required by 18.4,</w:t>
      </w:r>
      <w:r w:rsidR="0013195D">
        <w:rPr>
          <w:rFonts w:ascii="TimesNewRoman" w:hAnsi="TimesNewRoman" w:cs="TimesNewRoman"/>
          <w:lang w:eastAsia="en-GB"/>
        </w:rPr>
        <w:t xml:space="preserve"> </w:t>
      </w:r>
      <w:r>
        <w:rPr>
          <w:rFonts w:ascii="TimesNewRoman" w:hAnsi="TimesNewRoman" w:cs="TimesNewRoman"/>
          <w:lang w:eastAsia="en-GB"/>
        </w:rPr>
        <w:t>which is that you have to reach a market value as if all of the shares were being sold</w:t>
      </w:r>
      <w:r w:rsidR="0013195D">
        <w:rPr>
          <w:rFonts w:ascii="TimesNewRoman" w:hAnsi="TimesNewRoman" w:cs="TimesNewRoman"/>
          <w:lang w:eastAsia="en-GB"/>
        </w:rPr>
        <w:t xml:space="preserve"> </w:t>
      </w:r>
      <w:r>
        <w:rPr>
          <w:rFonts w:ascii="TimesNewRoman" w:hAnsi="TimesNewRoman" w:cs="TimesNewRoman"/>
          <w:lang w:eastAsia="en-GB"/>
        </w:rPr>
        <w:t xml:space="preserve">at the same time. </w:t>
      </w:r>
      <w:r w:rsidR="00FC38E8">
        <w:rPr>
          <w:rFonts w:ascii="TimesNewRoman" w:hAnsi="TimesNewRoman" w:cs="TimesNewRoman"/>
          <w:lang w:eastAsia="en-GB"/>
        </w:rPr>
        <w:t>S</w:t>
      </w:r>
      <w:r>
        <w:rPr>
          <w:rFonts w:ascii="TimesNewRoman" w:hAnsi="TimesNewRoman" w:cs="TimesNewRoman"/>
          <w:lang w:eastAsia="en-GB"/>
        </w:rPr>
        <w:t>o the purchaser gets all of the shares; they can do what they like</w:t>
      </w:r>
      <w:r w:rsidR="00CA5E4D">
        <w:rPr>
          <w:rFonts w:ascii="TimesNewRoman" w:hAnsi="TimesNewRoman" w:cs="TimesNewRoman"/>
          <w:lang w:eastAsia="en-GB"/>
        </w:rPr>
        <w:t xml:space="preserve"> </w:t>
      </w:r>
      <w:r>
        <w:rPr>
          <w:rFonts w:ascii="TimesNewRoman" w:hAnsi="TimesNewRoman" w:cs="TimesNewRoman"/>
          <w:lang w:eastAsia="en-GB"/>
        </w:rPr>
        <w:t>with them, they can vary the Articles; they have a completely free hand because they</w:t>
      </w:r>
      <w:r w:rsidR="00FC38E8">
        <w:rPr>
          <w:rFonts w:ascii="TimesNewRoman" w:hAnsi="TimesNewRoman" w:cs="TimesNewRoman"/>
          <w:lang w:eastAsia="en-GB"/>
        </w:rPr>
        <w:t xml:space="preserve"> </w:t>
      </w:r>
      <w:r>
        <w:rPr>
          <w:rFonts w:ascii="TimesNewRoman" w:hAnsi="TimesNewRoman" w:cs="TimesNewRoman"/>
          <w:lang w:eastAsia="en-GB"/>
        </w:rPr>
        <w:t>get the entire share capital and that’s what they are buying. So the value of the</w:t>
      </w:r>
      <w:r w:rsidR="00FC38E8">
        <w:rPr>
          <w:rFonts w:ascii="TimesNewRoman" w:hAnsi="TimesNewRoman" w:cs="TimesNewRoman"/>
          <w:lang w:eastAsia="en-GB"/>
        </w:rPr>
        <w:t xml:space="preserve"> </w:t>
      </w:r>
      <w:r>
        <w:rPr>
          <w:rFonts w:ascii="TimesNewRoman" w:hAnsi="TimesNewRoman" w:cs="TimesNewRoman"/>
          <w:lang w:eastAsia="en-GB"/>
        </w:rPr>
        <w:t>shares would be unencumbered by Article 13.3. That is there to deal only with the</w:t>
      </w:r>
      <w:r w:rsidR="00FC38E8">
        <w:rPr>
          <w:rFonts w:ascii="TimesNewRoman" w:hAnsi="TimesNewRoman" w:cs="TimesNewRoman"/>
          <w:lang w:eastAsia="en-GB"/>
        </w:rPr>
        <w:t xml:space="preserve"> </w:t>
      </w:r>
      <w:r>
        <w:rPr>
          <w:rFonts w:ascii="TimesNewRoman" w:hAnsi="TimesNewRoman" w:cs="TimesNewRoman"/>
          <w:lang w:eastAsia="en-GB"/>
        </w:rPr>
        <w:t>distribution of the monies as between the sellers.</w:t>
      </w:r>
    </w:p>
    <w:p w14:paraId="2A796982" w14:textId="77777777" w:rsidR="00FC38E8" w:rsidRDefault="00FC38E8" w:rsidP="00EF2FE7">
      <w:pPr>
        <w:autoSpaceDE w:val="0"/>
        <w:autoSpaceDN w:val="0"/>
        <w:adjustRightInd w:val="0"/>
        <w:ind w:left="720"/>
        <w:jc w:val="both"/>
        <w:rPr>
          <w:rFonts w:ascii="TimesNewRoman" w:hAnsi="TimesNewRoman" w:cs="TimesNewRoman"/>
          <w:lang w:eastAsia="en-GB"/>
        </w:rPr>
      </w:pPr>
    </w:p>
    <w:p w14:paraId="0267DB4E" w14:textId="7F95ABCE" w:rsidR="00666869" w:rsidRDefault="0048706D" w:rsidP="00EF2FE7">
      <w:pPr>
        <w:autoSpaceDE w:val="0"/>
        <w:autoSpaceDN w:val="0"/>
        <w:adjustRightInd w:val="0"/>
        <w:ind w:left="720"/>
        <w:jc w:val="both"/>
        <w:rPr>
          <w:rFonts w:ascii="TimesNewRoman" w:hAnsi="TimesNewRoman" w:cs="TimesNewRoman"/>
          <w:lang w:eastAsia="en-GB"/>
        </w:rPr>
      </w:pPr>
      <w:r>
        <w:rPr>
          <w:rFonts w:ascii="TimesNewRoman" w:hAnsi="TimesNewRoman" w:cs="TimesNewRoman"/>
          <w:lang w:eastAsia="en-GB"/>
        </w:rPr>
        <w:t>MRS JUSTICE MAY: I think I am understanding the difference in the position, but why</w:t>
      </w:r>
      <w:r w:rsidR="00FC38E8">
        <w:rPr>
          <w:rFonts w:ascii="TimesNewRoman" w:hAnsi="TimesNewRoman" w:cs="TimesNewRoman"/>
          <w:lang w:eastAsia="en-GB"/>
        </w:rPr>
        <w:t xml:space="preserve"> </w:t>
      </w:r>
      <w:r>
        <w:rPr>
          <w:rFonts w:ascii="TimesNewRoman" w:hAnsi="TimesNewRoman" w:cs="TimesNewRoman"/>
          <w:lang w:eastAsia="en-GB"/>
        </w:rPr>
        <w:t>in that case would it be necessary to identify in clause 18.4.1 “the leaver’s shares”;</w:t>
      </w:r>
      <w:r w:rsidR="00857D67">
        <w:rPr>
          <w:rFonts w:ascii="TimesNewRoman" w:hAnsi="TimesNewRoman" w:cs="TimesNewRoman"/>
          <w:lang w:eastAsia="en-GB"/>
        </w:rPr>
        <w:t xml:space="preserve"> </w:t>
      </w:r>
      <w:r>
        <w:rPr>
          <w:rFonts w:ascii="TimesNewRoman" w:hAnsi="TimesNewRoman" w:cs="TimesNewRoman"/>
          <w:lang w:eastAsia="en-GB"/>
        </w:rPr>
        <w:t>why wouldn’t it say that proportion of the purchase price attributable to the amount</w:t>
      </w:r>
      <w:r w:rsidR="00666869" w:rsidRPr="00666869">
        <w:rPr>
          <w:rFonts w:ascii="TimesNewRoman" w:hAnsi="TimesNewRoman" w:cs="TimesNewRoman"/>
          <w:lang w:eastAsia="en-GB"/>
        </w:rPr>
        <w:t xml:space="preserve"> </w:t>
      </w:r>
      <w:r w:rsidR="00666869">
        <w:rPr>
          <w:rFonts w:ascii="TimesNewRoman" w:hAnsi="TimesNewRoman" w:cs="TimesNewRoman"/>
          <w:lang w:eastAsia="en-GB"/>
        </w:rPr>
        <w:t>of shares held by the leaver? It is important, isn’t it, for these purposes the kind of</w:t>
      </w:r>
      <w:r w:rsidR="00FC38E8">
        <w:rPr>
          <w:rFonts w:ascii="TimesNewRoman" w:hAnsi="TimesNewRoman" w:cs="TimesNewRoman"/>
          <w:lang w:eastAsia="en-GB"/>
        </w:rPr>
        <w:t xml:space="preserve"> </w:t>
      </w:r>
      <w:r w:rsidR="00666869">
        <w:rPr>
          <w:rFonts w:ascii="TimesNewRoman" w:hAnsi="TimesNewRoman" w:cs="TimesNewRoman"/>
          <w:lang w:eastAsia="en-GB"/>
        </w:rPr>
        <w:t>shares that the leaver holds?</w:t>
      </w:r>
    </w:p>
    <w:p w14:paraId="2BECF546" w14:textId="77777777" w:rsidR="00FC38E8" w:rsidRDefault="00FC38E8" w:rsidP="00EF2FE7">
      <w:pPr>
        <w:autoSpaceDE w:val="0"/>
        <w:autoSpaceDN w:val="0"/>
        <w:adjustRightInd w:val="0"/>
        <w:ind w:left="720"/>
        <w:jc w:val="both"/>
        <w:rPr>
          <w:rFonts w:ascii="TimesNewRoman" w:hAnsi="TimesNewRoman" w:cs="TimesNewRoman"/>
          <w:lang w:eastAsia="en-GB"/>
        </w:rPr>
      </w:pPr>
    </w:p>
    <w:p w14:paraId="7E8161A1" w14:textId="7A219DB5" w:rsidR="000659DE" w:rsidRDefault="00666869" w:rsidP="00EF2FE7">
      <w:pPr>
        <w:autoSpaceDE w:val="0"/>
        <w:autoSpaceDN w:val="0"/>
        <w:adjustRightInd w:val="0"/>
        <w:ind w:left="720"/>
        <w:jc w:val="both"/>
        <w:rPr>
          <w:rFonts w:ascii="TimesNewRoman" w:hAnsi="TimesNewRoman" w:cs="TimesNewRoman"/>
          <w:lang w:eastAsia="en-GB"/>
        </w:rPr>
      </w:pPr>
      <w:r>
        <w:rPr>
          <w:rFonts w:ascii="TimesNewRoman" w:hAnsi="TimesNewRoman" w:cs="TimesNewRoman"/>
          <w:lang w:eastAsia="en-GB"/>
        </w:rPr>
        <w:t>MR LEIPER: I suggest it is not; it is a shorthand way of saying the shares that are held</w:t>
      </w:r>
      <w:r w:rsidR="005D06FB">
        <w:rPr>
          <w:rFonts w:ascii="TimesNewRoman" w:hAnsi="TimesNewRoman" w:cs="TimesNewRoman"/>
          <w:lang w:eastAsia="en-GB"/>
        </w:rPr>
        <w:t xml:space="preserve"> </w:t>
      </w:r>
      <w:r>
        <w:rPr>
          <w:rFonts w:ascii="TimesNewRoman" w:hAnsi="TimesNewRoman" w:cs="TimesNewRoman"/>
          <w:lang w:eastAsia="en-GB"/>
        </w:rPr>
        <w:t>by a leaver (the definition is on page 42); all of the shares held by a leaver. It</w:t>
      </w:r>
      <w:r w:rsidR="005D06FB">
        <w:rPr>
          <w:rFonts w:ascii="TimesNewRoman" w:hAnsi="TimesNewRoman" w:cs="TimesNewRoman"/>
          <w:lang w:eastAsia="en-GB"/>
        </w:rPr>
        <w:t xml:space="preserve"> </w:t>
      </w:r>
      <w:r>
        <w:rPr>
          <w:rFonts w:ascii="TimesNewRoman" w:hAnsi="TimesNewRoman" w:cs="TimesNewRoman"/>
          <w:lang w:eastAsia="en-GB"/>
        </w:rPr>
        <w:t>therefore is saying exactly what you suggested it might say in the alternative; a</w:t>
      </w:r>
      <w:r w:rsidR="005D06FB">
        <w:rPr>
          <w:rFonts w:ascii="TimesNewRoman" w:hAnsi="TimesNewRoman" w:cs="TimesNewRoman"/>
          <w:lang w:eastAsia="en-GB"/>
        </w:rPr>
        <w:t xml:space="preserve"> </w:t>
      </w:r>
      <w:r>
        <w:rPr>
          <w:rFonts w:ascii="TimesNewRoman" w:hAnsi="TimesNewRoman" w:cs="TimesNewRoman"/>
          <w:lang w:eastAsia="en-GB"/>
        </w:rPr>
        <w:t>longer form way would be that part of the shares that the leaver holds at the time it</w:t>
      </w:r>
      <w:r w:rsidR="005D06FB">
        <w:rPr>
          <w:rFonts w:ascii="TimesNewRoman" w:hAnsi="TimesNewRoman" w:cs="TimesNewRoman"/>
          <w:lang w:eastAsia="en-GB"/>
        </w:rPr>
        <w:t xml:space="preserve"> </w:t>
      </w:r>
      <w:r>
        <w:rPr>
          <w:rFonts w:ascii="TimesNewRoman" w:hAnsi="TimesNewRoman" w:cs="TimesNewRoman"/>
          <w:lang w:eastAsia="en-GB"/>
        </w:rPr>
        <w:t>was set. It is not specifically saying… if that were the approach, then it would be</w:t>
      </w:r>
      <w:r w:rsidR="005D06FB">
        <w:rPr>
          <w:rFonts w:ascii="TimesNewRoman" w:hAnsi="TimesNewRoman" w:cs="TimesNewRoman"/>
          <w:lang w:eastAsia="en-GB"/>
        </w:rPr>
        <w:t xml:space="preserve"> </w:t>
      </w:r>
      <w:r>
        <w:rPr>
          <w:rFonts w:ascii="TimesNewRoman" w:hAnsi="TimesNewRoman" w:cs="TimesNewRoman"/>
          <w:lang w:eastAsia="en-GB"/>
        </w:rPr>
        <w:t>completely unnecessary to put in as if the entire issued share capital of the company</w:t>
      </w:r>
      <w:r w:rsidR="005D06FB">
        <w:rPr>
          <w:rFonts w:ascii="TimesNewRoman" w:hAnsi="TimesNewRoman" w:cs="TimesNewRoman"/>
          <w:lang w:eastAsia="en-GB"/>
        </w:rPr>
        <w:t xml:space="preserve"> </w:t>
      </w:r>
      <w:r>
        <w:rPr>
          <w:rFonts w:ascii="TimesNewRoman" w:hAnsi="TimesNewRoman" w:cs="TimesNewRoman"/>
          <w:lang w:eastAsia="en-GB"/>
        </w:rPr>
        <w:t>were being sold because if you were only to look at the specific value of the specific</w:t>
      </w:r>
      <w:r w:rsidR="005D06FB">
        <w:rPr>
          <w:rFonts w:ascii="TimesNewRoman" w:hAnsi="TimesNewRoman" w:cs="TimesNewRoman"/>
          <w:lang w:eastAsia="en-GB"/>
        </w:rPr>
        <w:t xml:space="preserve"> </w:t>
      </w:r>
      <w:r>
        <w:rPr>
          <w:rFonts w:ascii="TimesNewRoman" w:hAnsi="TimesNewRoman" w:cs="TimesNewRoman"/>
          <w:lang w:eastAsia="en-GB"/>
        </w:rPr>
        <w:t>leaver’s shares as at the date of their departure, then it is completely irrelevant what</w:t>
      </w:r>
      <w:r w:rsidR="005D06FB">
        <w:rPr>
          <w:rFonts w:ascii="TimesNewRoman" w:hAnsi="TimesNewRoman" w:cs="TimesNewRoman"/>
          <w:lang w:eastAsia="en-GB"/>
        </w:rPr>
        <w:t xml:space="preserve"> </w:t>
      </w:r>
      <w:r>
        <w:rPr>
          <w:rFonts w:ascii="TimesNewRoman" w:hAnsi="TimesNewRoman" w:cs="TimesNewRoman"/>
          <w:lang w:eastAsia="en-GB"/>
        </w:rPr>
        <w:t>the valuation of the entire share (</w:t>
      </w:r>
      <w:r>
        <w:rPr>
          <w:rFonts w:ascii="TimesNewRoman,Bold" w:hAnsi="TimesNewRoman,Bold" w:cs="TimesNewRoman,Bold"/>
          <w:b/>
          <w:bCs/>
          <w:lang w:eastAsia="en-GB"/>
        </w:rPr>
        <w:t>inaudible</w:t>
      </w:r>
      <w:r>
        <w:rPr>
          <w:rFonts w:ascii="TimesNewRoman" w:hAnsi="TimesNewRoman" w:cs="TimesNewRoman"/>
          <w:lang w:eastAsia="en-GB"/>
        </w:rPr>
        <w:t>) would be. And it is precisely there</w:t>
      </w:r>
      <w:r w:rsidR="005D06FB">
        <w:rPr>
          <w:rFonts w:ascii="TimesNewRoman" w:hAnsi="TimesNewRoman" w:cs="TimesNewRoman"/>
          <w:lang w:eastAsia="en-GB"/>
        </w:rPr>
        <w:t xml:space="preserve"> </w:t>
      </w:r>
      <w:r>
        <w:rPr>
          <w:rFonts w:ascii="TimesNewRoman" w:hAnsi="TimesNewRoman" w:cs="TimesNewRoman"/>
          <w:lang w:eastAsia="en-GB"/>
        </w:rPr>
        <w:t>where a purchaser would say, “Actually these shares are worth nothing to me</w:t>
      </w:r>
      <w:r w:rsidR="005D06FB">
        <w:rPr>
          <w:rFonts w:ascii="TimesNewRoman" w:hAnsi="TimesNewRoman" w:cs="TimesNewRoman"/>
          <w:lang w:eastAsia="en-GB"/>
        </w:rPr>
        <w:t xml:space="preserve"> </w:t>
      </w:r>
      <w:r>
        <w:rPr>
          <w:rFonts w:ascii="TimesNewRoman" w:hAnsi="TimesNewRoman" w:cs="TimesNewRoman"/>
          <w:lang w:eastAsia="en-GB"/>
        </w:rPr>
        <w:t>because there is a redemption premium on them, which means that I’m not going to</w:t>
      </w:r>
      <w:r w:rsidR="005D06FB">
        <w:rPr>
          <w:rFonts w:ascii="TimesNewRoman" w:hAnsi="TimesNewRoman" w:cs="TimesNewRoman"/>
          <w:lang w:eastAsia="en-GB"/>
        </w:rPr>
        <w:t xml:space="preserve"> </w:t>
      </w:r>
      <w:r>
        <w:rPr>
          <w:rFonts w:ascii="TimesNewRoman" w:hAnsi="TimesNewRoman" w:cs="TimesNewRoman"/>
          <w:lang w:eastAsia="en-GB"/>
        </w:rPr>
        <w:t>be able to do anything with them for some time.” So it is the insertion rather than</w:t>
      </w:r>
      <w:r w:rsidR="005D06FB">
        <w:rPr>
          <w:rFonts w:ascii="TimesNewRoman" w:hAnsi="TimesNewRoman" w:cs="TimesNewRoman"/>
          <w:lang w:eastAsia="en-GB"/>
        </w:rPr>
        <w:t xml:space="preserve"> </w:t>
      </w:r>
      <w:r>
        <w:rPr>
          <w:rFonts w:ascii="TimesNewRoman" w:hAnsi="TimesNewRoman" w:cs="TimesNewRoman"/>
          <w:lang w:eastAsia="en-GB"/>
        </w:rPr>
        <w:t>the</w:t>
      </w:r>
      <w:r w:rsidR="005D06FB">
        <w:rPr>
          <w:rFonts w:ascii="TimesNewRoman" w:hAnsi="TimesNewRoman" w:cs="TimesNewRoman"/>
          <w:lang w:eastAsia="en-GB"/>
        </w:rPr>
        <w:t xml:space="preserve"> </w:t>
      </w:r>
      <w:r>
        <w:rPr>
          <w:rFonts w:ascii="TimesNewRoman" w:hAnsi="TimesNewRoman" w:cs="TimesNewRoman"/>
          <w:lang w:eastAsia="en-GB"/>
        </w:rPr>
        <w:t>identification between the shares which is simply a shorthand way of saying</w:t>
      </w:r>
      <w:r w:rsidR="00CA5E4D">
        <w:rPr>
          <w:rFonts w:ascii="TimesNewRoman" w:hAnsi="TimesNewRoman" w:cs="TimesNewRoman"/>
          <w:lang w:eastAsia="en-GB"/>
        </w:rPr>
        <w:t xml:space="preserve"> </w:t>
      </w:r>
      <w:r>
        <w:rPr>
          <w:rFonts w:ascii="TimesNewRoman" w:hAnsi="TimesNewRoman" w:cs="TimesNewRoman"/>
          <w:lang w:eastAsia="en-GB"/>
        </w:rPr>
        <w:t>(</w:t>
      </w:r>
      <w:r>
        <w:rPr>
          <w:rFonts w:ascii="TimesNewRoman,Bold" w:hAnsi="TimesNewRoman,Bold" w:cs="TimesNewRoman,Bold"/>
          <w:b/>
          <w:bCs/>
          <w:lang w:eastAsia="en-GB"/>
        </w:rPr>
        <w:t>several inaudible words</w:t>
      </w:r>
      <w:r>
        <w:rPr>
          <w:rFonts w:ascii="TimesNewRoman" w:hAnsi="TimesNewRoman" w:cs="TimesNewRoman"/>
          <w:lang w:eastAsia="en-GB"/>
        </w:rPr>
        <w:t>), which obviously is at the crux of this. It ignores though</w:t>
      </w:r>
      <w:r w:rsidR="005D06FB">
        <w:rPr>
          <w:rFonts w:ascii="TimesNewRoman" w:hAnsi="TimesNewRoman" w:cs="TimesNewRoman"/>
          <w:lang w:eastAsia="en-GB"/>
        </w:rPr>
        <w:t xml:space="preserve"> </w:t>
      </w:r>
      <w:r>
        <w:rPr>
          <w:rFonts w:ascii="TimesNewRoman" w:hAnsi="TimesNewRoman" w:cs="TimesNewRoman"/>
          <w:lang w:eastAsia="en-GB"/>
        </w:rPr>
        <w:t>the importance of the words “as if the entire (</w:t>
      </w:r>
      <w:r>
        <w:rPr>
          <w:rFonts w:ascii="TimesNewRoman,Bold" w:hAnsi="TimesNewRoman,Bold" w:cs="TimesNewRoman,Bold"/>
          <w:b/>
          <w:bCs/>
          <w:lang w:eastAsia="en-GB"/>
        </w:rPr>
        <w:t>inaudible</w:t>
      </w:r>
      <w:r>
        <w:rPr>
          <w:rFonts w:ascii="TimesNewRoman" w:hAnsi="TimesNewRoman" w:cs="TimesNewRoman"/>
          <w:lang w:eastAsia="en-GB"/>
        </w:rPr>
        <w:t>) of the company were being</w:t>
      </w:r>
      <w:r w:rsidR="005D06FB">
        <w:rPr>
          <w:rFonts w:ascii="TimesNewRoman" w:hAnsi="TimesNewRoman" w:cs="TimesNewRoman"/>
          <w:lang w:eastAsia="en-GB"/>
        </w:rPr>
        <w:t xml:space="preserve"> </w:t>
      </w:r>
      <w:r>
        <w:rPr>
          <w:rFonts w:ascii="TimesNewRoman" w:hAnsi="TimesNewRoman" w:cs="TimesNewRoman"/>
          <w:lang w:eastAsia="en-GB"/>
        </w:rPr>
        <w:t>sold”. There is no meaning to those words; they are simply superfluous on the EY</w:t>
      </w:r>
      <w:r w:rsidR="005D06FB">
        <w:rPr>
          <w:rFonts w:ascii="TimesNewRoman" w:hAnsi="TimesNewRoman" w:cs="TimesNewRoman"/>
          <w:lang w:eastAsia="en-GB"/>
        </w:rPr>
        <w:t xml:space="preserve"> </w:t>
      </w:r>
      <w:r>
        <w:rPr>
          <w:rFonts w:ascii="TimesNewRoman" w:hAnsi="TimesNewRoman" w:cs="TimesNewRoman"/>
          <w:lang w:eastAsia="en-GB"/>
        </w:rPr>
        <w:t>defendant approach.</w:t>
      </w:r>
    </w:p>
    <w:p w14:paraId="53FC3A72" w14:textId="0E5B1C88" w:rsidR="00AA6002" w:rsidRDefault="00AA6002" w:rsidP="00EF2FE7">
      <w:pPr>
        <w:autoSpaceDE w:val="0"/>
        <w:autoSpaceDN w:val="0"/>
        <w:adjustRightInd w:val="0"/>
        <w:ind w:left="720"/>
        <w:jc w:val="both"/>
        <w:rPr>
          <w:rFonts w:ascii="TimesNewRoman" w:hAnsi="TimesNewRoman" w:cs="TimesNewRoman"/>
          <w:lang w:eastAsia="en-GB"/>
        </w:rPr>
      </w:pPr>
    </w:p>
    <w:p w14:paraId="5D6ACF98" w14:textId="4B897918" w:rsidR="00AA6002" w:rsidRDefault="00AA6002" w:rsidP="00EF2FE7">
      <w:pPr>
        <w:autoSpaceDE w:val="0"/>
        <w:autoSpaceDN w:val="0"/>
        <w:adjustRightInd w:val="0"/>
        <w:ind w:left="720"/>
        <w:jc w:val="both"/>
        <w:rPr>
          <w:rFonts w:ascii="TimesNewRoman" w:hAnsi="TimesNewRoman" w:cs="TimesNewRoman"/>
          <w:color w:val="000000"/>
          <w:lang w:eastAsia="en-GB"/>
        </w:rPr>
      </w:pPr>
      <w:r>
        <w:rPr>
          <w:rFonts w:ascii="TimesNewRoman" w:hAnsi="TimesNewRoman" w:cs="TimesNewRoman"/>
          <w:color w:val="000000"/>
          <w:lang w:eastAsia="en-GB"/>
        </w:rPr>
        <w:t>MRS JUSTICE  MAY: But if you are right, why have the second part of that clause – “the independent expert shall ignore the fact” – why stipulate what bits you will ignore; if you are right and it’s just that proportion that the leaver’s shares is there to the overall amount, why would you ignore that?</w:t>
      </w:r>
    </w:p>
    <w:p w14:paraId="73F77B7C" w14:textId="77777777" w:rsidR="00AE0A50" w:rsidRDefault="00AE0A50" w:rsidP="00EF2FE7">
      <w:pPr>
        <w:autoSpaceDE w:val="0"/>
        <w:autoSpaceDN w:val="0"/>
        <w:adjustRightInd w:val="0"/>
        <w:ind w:left="720"/>
        <w:jc w:val="both"/>
        <w:rPr>
          <w:rFonts w:ascii="TimesNewRoman" w:hAnsi="TimesNewRoman" w:cs="TimesNewRoman"/>
          <w:color w:val="000000"/>
          <w:lang w:eastAsia="en-GB"/>
        </w:rPr>
      </w:pPr>
    </w:p>
    <w:p w14:paraId="561EB321" w14:textId="7FA1CE83" w:rsidR="00AA6002" w:rsidRDefault="00AA6002" w:rsidP="00EF2FE7">
      <w:pPr>
        <w:autoSpaceDE w:val="0"/>
        <w:autoSpaceDN w:val="0"/>
        <w:adjustRightInd w:val="0"/>
        <w:ind w:left="720"/>
        <w:jc w:val="both"/>
        <w:rPr>
          <w:rFonts w:ascii="TimesNewRoman" w:hAnsi="TimesNewRoman" w:cs="TimesNewRoman"/>
          <w:color w:val="000000"/>
          <w:lang w:eastAsia="en-GB"/>
        </w:rPr>
      </w:pPr>
      <w:r>
        <w:rPr>
          <w:rFonts w:ascii="TimesNewRoman" w:hAnsi="TimesNewRoman" w:cs="TimesNewRoman"/>
          <w:color w:val="000000"/>
          <w:lang w:eastAsia="en-GB"/>
        </w:rPr>
        <w:t>MR LEIPER: I would suggest that is simply adding clarity to avoid there being any doubt. You have to ignore the fact that they are (</w:t>
      </w:r>
      <w:r>
        <w:rPr>
          <w:rFonts w:ascii="TimesNewRoman,Bold" w:hAnsi="TimesNewRoman,Bold" w:cs="TimesNewRoman,Bold"/>
          <w:b/>
          <w:bCs/>
          <w:color w:val="000000"/>
          <w:lang w:eastAsia="en-GB"/>
        </w:rPr>
        <w:t>inaudible</w:t>
      </w:r>
      <w:r>
        <w:rPr>
          <w:rFonts w:ascii="TimesNewRoman" w:hAnsi="TimesNewRoman" w:cs="TimesNewRoman"/>
          <w:color w:val="000000"/>
          <w:lang w:eastAsia="en-GB"/>
        </w:rPr>
        <w:t>) interest. The fact is that these shares (the shares that are to be transferred), those are the shares, they are a minority interest; that is a fact. But what this specifically says is you value entire capital and you do not take account of the fact that they are a minority shareholder. You do not discount that merely because they are a part of a shares only.</w:t>
      </w:r>
    </w:p>
    <w:p w14:paraId="7D7C84FA" w14:textId="77777777" w:rsidR="00AA6002" w:rsidRDefault="00AA6002" w:rsidP="00EF2FE7">
      <w:pPr>
        <w:autoSpaceDE w:val="0"/>
        <w:autoSpaceDN w:val="0"/>
        <w:adjustRightInd w:val="0"/>
        <w:ind w:left="720"/>
        <w:jc w:val="both"/>
        <w:rPr>
          <w:rFonts w:ascii="TimesNewRoman" w:hAnsi="TimesNewRoman" w:cs="TimesNewRoman"/>
          <w:color w:val="000000"/>
          <w:lang w:eastAsia="en-GB"/>
        </w:rPr>
      </w:pPr>
    </w:p>
    <w:p w14:paraId="061BC3F6" w14:textId="22471CDE" w:rsidR="00AA6002" w:rsidRDefault="00AA6002" w:rsidP="00EF2FE7">
      <w:pPr>
        <w:autoSpaceDE w:val="0"/>
        <w:autoSpaceDN w:val="0"/>
        <w:adjustRightInd w:val="0"/>
        <w:ind w:left="720"/>
        <w:jc w:val="both"/>
        <w:rPr>
          <w:rFonts w:ascii="TimesNewRoman" w:hAnsi="TimesNewRoman" w:cs="TimesNewRoman"/>
          <w:color w:val="000000"/>
          <w:lang w:eastAsia="en-GB"/>
        </w:rPr>
      </w:pPr>
      <w:r>
        <w:rPr>
          <w:rFonts w:ascii="TimesNewRoman" w:hAnsi="TimesNewRoman" w:cs="TimesNewRoman"/>
          <w:color w:val="000000"/>
          <w:lang w:eastAsia="en-GB"/>
        </w:rPr>
        <w:t>MRS JUSTICE MAY: No, but if you are right and you take the phrase “as if the entire (</w:t>
      </w:r>
      <w:r>
        <w:rPr>
          <w:rFonts w:ascii="TimesNewRoman,Bold" w:hAnsi="TimesNewRoman,Bold" w:cs="TimesNewRoman,Bold"/>
          <w:b/>
          <w:bCs/>
          <w:color w:val="000000"/>
          <w:lang w:eastAsia="en-GB"/>
        </w:rPr>
        <w:t>inaudible</w:t>
      </w:r>
      <w:r>
        <w:rPr>
          <w:rFonts w:ascii="TimesNewRoman" w:hAnsi="TimesNewRoman" w:cs="TimesNewRoman"/>
          <w:color w:val="000000"/>
          <w:lang w:eastAsia="en-GB"/>
        </w:rPr>
        <w:t>) capital of the company were being sold in accordance with these Articles” to mean you leave aside anything that is specific to the leaver in question, then you wouldn’t need to carve out the minority interest, subject to compulsory transfer.</w:t>
      </w:r>
    </w:p>
    <w:p w14:paraId="1E20AE40" w14:textId="77777777" w:rsidR="00AA6002" w:rsidRDefault="00AA6002" w:rsidP="00EF2FE7">
      <w:pPr>
        <w:autoSpaceDE w:val="0"/>
        <w:autoSpaceDN w:val="0"/>
        <w:adjustRightInd w:val="0"/>
        <w:ind w:left="720"/>
        <w:jc w:val="both"/>
        <w:rPr>
          <w:rFonts w:ascii="TimesNewRoman" w:hAnsi="TimesNewRoman" w:cs="TimesNewRoman"/>
          <w:color w:val="000000"/>
          <w:lang w:eastAsia="en-GB"/>
        </w:rPr>
      </w:pPr>
    </w:p>
    <w:p w14:paraId="7A66B80E" w14:textId="45EA39B0" w:rsidR="00AA6002" w:rsidRDefault="00AA6002" w:rsidP="00EF2FE7">
      <w:pPr>
        <w:autoSpaceDE w:val="0"/>
        <w:autoSpaceDN w:val="0"/>
        <w:adjustRightInd w:val="0"/>
        <w:ind w:left="720"/>
        <w:jc w:val="both"/>
        <w:rPr>
          <w:rFonts w:ascii="TimesNewRoman" w:hAnsi="TimesNewRoman" w:cs="TimesNewRoman"/>
          <w:color w:val="000000"/>
          <w:lang w:eastAsia="en-GB"/>
        </w:rPr>
      </w:pPr>
      <w:r>
        <w:rPr>
          <w:rFonts w:ascii="TimesNewRoman" w:hAnsi="TimesNewRoman" w:cs="TimesNewRoman"/>
          <w:color w:val="000000"/>
          <w:lang w:eastAsia="en-GB"/>
        </w:rPr>
        <w:t>MR LEIPER: I am not sure that is right. I can see what the valuer would say, “Well, I’ve got to value the entire share capital; they are worth £10 million. These shares are only 30 per cent, so I don’t feel comfortable just attributing 30 per cent of the value to say these shares are worth £3 million because ordinarily I would be taking into account the fact that they are a minority interest. So it avoids any ambiguity on the part of valuers to discount from that that these shares were held by these individuals are not, in fact, the entire issued share capital. It does not make the words redundant, it is clarity, but what the defendant’s approach does is make wholly redundant that phrase as if the entire share capital were being sold.”</w:t>
      </w:r>
    </w:p>
    <w:p w14:paraId="58623D36" w14:textId="13B70C79" w:rsidR="00AA6002" w:rsidRDefault="00AA6002" w:rsidP="00EF2FE7">
      <w:pPr>
        <w:autoSpaceDE w:val="0"/>
        <w:autoSpaceDN w:val="0"/>
        <w:adjustRightInd w:val="0"/>
        <w:ind w:left="720"/>
        <w:jc w:val="both"/>
        <w:rPr>
          <w:rFonts w:ascii="TimesNewRoman" w:hAnsi="TimesNewRoman" w:cs="TimesNewRoman"/>
          <w:lang w:eastAsia="en-GB"/>
        </w:rPr>
      </w:pPr>
    </w:p>
    <w:p w14:paraId="062F5B64" w14:textId="77777777" w:rsidR="0094657D" w:rsidRDefault="0094657D" w:rsidP="00EF2FE7">
      <w:pPr>
        <w:autoSpaceDE w:val="0"/>
        <w:autoSpaceDN w:val="0"/>
        <w:adjustRightInd w:val="0"/>
        <w:ind w:left="720"/>
        <w:jc w:val="both"/>
      </w:pPr>
    </w:p>
    <w:p w14:paraId="49053B87" w14:textId="6DFC562E" w:rsidR="000659DE" w:rsidRDefault="00AA6002" w:rsidP="00EF2FE7">
      <w:pPr>
        <w:pStyle w:val="ParaLevel1"/>
      </w:pPr>
      <w:r>
        <w:t xml:space="preserve">The reasoning in paragraphs 20 and 23 of the Quantum Judgment, quoted above, reveals that </w:t>
      </w:r>
      <w:r w:rsidR="00CA5E4D">
        <w:t>it was not any concession that the forced transfer constituted an article 13.3 “</w:t>
      </w:r>
      <w:r w:rsidR="00CA5E4D" w:rsidRPr="005D623F">
        <w:rPr>
          <w:i/>
          <w:iCs/>
        </w:rPr>
        <w:t>Share Sale</w:t>
      </w:r>
      <w:r w:rsidR="00CA5E4D">
        <w:t>” which underpinned the judge’s conclusion</w:t>
      </w:r>
      <w:r w:rsidR="003D727F">
        <w:t>.  I</w:t>
      </w:r>
      <w:r w:rsidR="00CA5E4D">
        <w:t>nstead,</w:t>
      </w:r>
      <w:r w:rsidR="003D727F">
        <w:t xml:space="preserve"> it was</w:t>
      </w:r>
      <w:r w:rsidR="00CA5E4D">
        <w:t xml:space="preserve"> the assumption that the hypothetical buyer </w:t>
      </w:r>
      <w:r w:rsidR="003D727F">
        <w:t>(</w:t>
      </w:r>
      <w:r w:rsidR="00CA5E4D">
        <w:t>for article 18.4.1 purposes</w:t>
      </w:r>
      <w:r w:rsidR="003D727F">
        <w:t>)</w:t>
      </w:r>
      <w:r w:rsidR="00CA5E4D">
        <w:t xml:space="preserve"> would be acquiring the Claimants’ Class C Shares which, in the ownership of the buyer, would still be subject to the RPP.  Mr Leiper’s submission that the hypothetical exercise did not require the </w:t>
      </w:r>
      <w:r w:rsidR="003D727F">
        <w:t xml:space="preserve">expert valuer </w:t>
      </w:r>
      <w:r w:rsidR="00CA5E4D">
        <w:t xml:space="preserve">to </w:t>
      </w:r>
      <w:r w:rsidR="003D727F">
        <w:t>focus upon the actual subject matter of the transfer (i.e. the particular class of share held by the Leaver), when the assumption was that all of the Company’s shares were being sold, was rejected.  This was because the valuation was to be of “</w:t>
      </w:r>
      <w:r w:rsidR="003D727F" w:rsidRPr="005D623F">
        <w:rPr>
          <w:i/>
          <w:iCs/>
        </w:rPr>
        <w:t>the Leaver’s Shares</w:t>
      </w:r>
      <w:r w:rsidR="003D727F">
        <w:t>” and (those being Class C Shares in the present case) there was no disapplication of article 13.3 alongside the other three “disregards” mentioned at the conclusion of article 18.4.1.</w:t>
      </w:r>
    </w:p>
    <w:p w14:paraId="048310DC" w14:textId="414BE0B0" w:rsidR="00031DBF" w:rsidRDefault="003A5D71" w:rsidP="00EF2FE7">
      <w:pPr>
        <w:pStyle w:val="ParaLevel1"/>
      </w:pPr>
      <w:r>
        <w:t xml:space="preserve">The Claimants </w:t>
      </w:r>
      <w:r w:rsidR="0013409E">
        <w:t>sought to appeal against the Quantum Judgment</w:t>
      </w:r>
      <w:r w:rsidR="00EE026D">
        <w:t xml:space="preserve">, the effect of which was that their combined </w:t>
      </w:r>
      <w:r w:rsidR="00030E70">
        <w:t xml:space="preserve">60% interest in the Company was worth </w:t>
      </w:r>
      <w:r w:rsidR="00782FAC">
        <w:t>nothing</w:t>
      </w:r>
      <w:r w:rsidR="00AA7078">
        <w:t xml:space="preserve"> (and which led May J to award the Claimants nominal damages of £1 each </w:t>
      </w:r>
      <w:r w:rsidR="00572D16">
        <w:t>under th</w:t>
      </w:r>
      <w:r w:rsidR="007D3FE6">
        <w:t>at</w:t>
      </w:r>
      <w:r w:rsidR="00572D16">
        <w:t xml:space="preserve"> head of loss)</w:t>
      </w:r>
      <w:r w:rsidR="0013409E">
        <w:t xml:space="preserve">.  In arguing that </w:t>
      </w:r>
      <w:r w:rsidR="00C26DA7">
        <w:t>the judge’s construction was wrong they repeated in their skeleton argument seeking permission</w:t>
      </w:r>
      <w:r w:rsidR="00EF7E80">
        <w:t xml:space="preserve"> some of the points made in their skeleton argument before the judge; including the point that nothing in </w:t>
      </w:r>
      <w:r w:rsidR="00A90698">
        <w:t>wording of a</w:t>
      </w:r>
      <w:r w:rsidR="00EF7E80">
        <w:t>rticle 18.4</w:t>
      </w:r>
      <w:r w:rsidR="00A90698">
        <w:t>.1</w:t>
      </w:r>
      <w:r w:rsidR="00EF7E80">
        <w:t xml:space="preserve"> </w:t>
      </w:r>
      <w:r w:rsidR="00A90698">
        <w:t xml:space="preserve">required </w:t>
      </w:r>
      <w:r w:rsidR="00EF7E80">
        <w:t xml:space="preserve"> an assumption </w:t>
      </w:r>
      <w:r w:rsidR="00A90698">
        <w:t xml:space="preserve">to be made </w:t>
      </w:r>
      <w:r w:rsidR="00EF7E80">
        <w:t xml:space="preserve">that </w:t>
      </w:r>
      <w:r w:rsidR="00AF6047">
        <w:t>a</w:t>
      </w:r>
      <w:r w:rsidR="00EF7E80">
        <w:t xml:space="preserve">rticle 13.3 </w:t>
      </w:r>
      <w:r w:rsidR="006177E2">
        <w:t xml:space="preserve">would apply as it only applied to </w:t>
      </w:r>
      <w:r w:rsidR="00EF7E80">
        <w:t>a "</w:t>
      </w:r>
      <w:r w:rsidR="00EF7E80" w:rsidRPr="003A380D">
        <w:rPr>
          <w:i/>
          <w:iCs/>
        </w:rPr>
        <w:t>Share Sale</w:t>
      </w:r>
      <w:r w:rsidR="00EF7E80">
        <w:t>" as defined</w:t>
      </w:r>
      <w:r w:rsidR="006177E2">
        <w:t>.</w:t>
      </w:r>
    </w:p>
    <w:p w14:paraId="2E5866F6" w14:textId="2721E485" w:rsidR="00747DEF" w:rsidRDefault="00B22DB6" w:rsidP="00EF2FE7">
      <w:pPr>
        <w:pStyle w:val="ParaLevel1"/>
      </w:pPr>
      <w:r>
        <w:t xml:space="preserve">On </w:t>
      </w:r>
      <w:r w:rsidR="00031DBF">
        <w:t xml:space="preserve">25 May 2017, Floyd LJ granted permission to the Claimants to appeal against the Quantum Judgment on the basis that it raised a short point of construction and appeared to </w:t>
      </w:r>
      <w:r w:rsidR="008E2F97">
        <w:t>have a real prospect of success.</w:t>
      </w:r>
      <w:r w:rsidR="00C43F7E">
        <w:t xml:space="preserve">  I note that the </w:t>
      </w:r>
      <w:r w:rsidR="00B254D4">
        <w:t>grounds of opposition to the grant of permission, contained in the brief statement filed by the Company in accordance with</w:t>
      </w:r>
      <w:r w:rsidR="00E904A4">
        <w:t xml:space="preserve"> PD</w:t>
      </w:r>
      <w:r w:rsidR="006318B1">
        <w:t xml:space="preserve"> </w:t>
      </w:r>
      <w:r w:rsidR="00B254D4">
        <w:t>52</w:t>
      </w:r>
      <w:r w:rsidR="006318B1">
        <w:t xml:space="preserve">C para. </w:t>
      </w:r>
      <w:r w:rsidR="00B254D4">
        <w:t xml:space="preserve">9, did </w:t>
      </w:r>
      <w:r w:rsidR="006318B1">
        <w:t xml:space="preserve">not rely upon the Claimants having made any </w:t>
      </w:r>
      <w:r w:rsidR="009C5402">
        <w:t xml:space="preserve">meaningful </w:t>
      </w:r>
      <w:r w:rsidR="006318B1">
        <w:t xml:space="preserve">concession </w:t>
      </w:r>
      <w:r w:rsidR="009C5402">
        <w:t xml:space="preserve">in relation to </w:t>
      </w:r>
      <w:r w:rsidR="006318B1">
        <w:t>article 13.3</w:t>
      </w:r>
      <w:r w:rsidR="009C5402">
        <w:t>.</w:t>
      </w:r>
      <w:r w:rsidR="006318B1">
        <w:t xml:space="preserve"> </w:t>
      </w:r>
    </w:p>
    <w:p w14:paraId="48F655E6" w14:textId="28DCB40A" w:rsidR="003D1283" w:rsidRDefault="00252116" w:rsidP="00EF2FE7">
      <w:pPr>
        <w:pStyle w:val="ParaLevel1"/>
      </w:pPr>
      <w:r>
        <w:t>The appeals in the Leaver Litigation were compromised on</w:t>
      </w:r>
      <w:r w:rsidRPr="00252116">
        <w:t xml:space="preserve"> 15 January 2018</w:t>
      </w:r>
      <w:r>
        <w:t xml:space="preserve">.  </w:t>
      </w:r>
      <w:r w:rsidRPr="00252116">
        <w:t xml:space="preserve"> The Claimants were each paid the sum of £87,500 under the </w:t>
      </w:r>
      <w:r w:rsidR="00CB3F31">
        <w:t xml:space="preserve">settlement.  The effect of the Quantum Judgment was that they were forced to transfer their </w:t>
      </w:r>
      <w:r w:rsidR="00171C96">
        <w:t xml:space="preserve">shareholdings to the Company for </w:t>
      </w:r>
      <w:r w:rsidR="00980456">
        <w:t>a nominal sum</w:t>
      </w:r>
      <w:r w:rsidR="00191520">
        <w:t xml:space="preserve"> so that they could be </w:t>
      </w:r>
      <w:r w:rsidR="00A50F1F">
        <w:t>cancelled</w:t>
      </w:r>
      <w:r w:rsidR="00980456">
        <w:t>.</w:t>
      </w:r>
    </w:p>
    <w:p w14:paraId="4A04BEAD" w14:textId="02D0D660" w:rsidR="001C57AB" w:rsidRDefault="001C57AB" w:rsidP="00EF2FE7">
      <w:pPr>
        <w:pStyle w:val="ParaLevel1"/>
        <w:numPr>
          <w:ilvl w:val="0"/>
          <w:numId w:val="0"/>
        </w:numPr>
      </w:pPr>
    </w:p>
    <w:p w14:paraId="20BCE0F1" w14:textId="00DED973" w:rsidR="004434AA" w:rsidRPr="00D84F0C" w:rsidRDefault="00941DB4" w:rsidP="00EF2FE7">
      <w:pPr>
        <w:pStyle w:val="ParaLevel1"/>
        <w:numPr>
          <w:ilvl w:val="0"/>
          <w:numId w:val="0"/>
        </w:numPr>
        <w:rPr>
          <w:b/>
          <w:bCs/>
          <w:u w:val="single"/>
        </w:rPr>
      </w:pPr>
      <w:r>
        <w:rPr>
          <w:b/>
          <w:bCs/>
          <w:u w:val="single"/>
        </w:rPr>
        <w:t>F.</w:t>
      </w:r>
      <w:r>
        <w:rPr>
          <w:b/>
          <w:bCs/>
          <w:u w:val="single"/>
        </w:rPr>
        <w:tab/>
      </w:r>
      <w:r w:rsidR="004434AA" w:rsidRPr="00D84F0C">
        <w:rPr>
          <w:b/>
          <w:bCs/>
          <w:u w:val="single"/>
        </w:rPr>
        <w:t>T</w:t>
      </w:r>
      <w:r w:rsidR="00FE695E">
        <w:rPr>
          <w:b/>
          <w:bCs/>
          <w:u w:val="single"/>
        </w:rPr>
        <w:t>HE  PLEADED CASES</w:t>
      </w:r>
    </w:p>
    <w:p w14:paraId="53268B20" w14:textId="6473E381" w:rsidR="00745529" w:rsidRDefault="006A315F" w:rsidP="00EF2FE7">
      <w:pPr>
        <w:pStyle w:val="ParaLevel1"/>
      </w:pPr>
      <w:r>
        <w:t xml:space="preserve">The Claim proceeds on the basis that </w:t>
      </w:r>
      <w:r w:rsidR="005E4E05">
        <w:t xml:space="preserve">the Firm </w:t>
      </w:r>
      <w:r w:rsidR="000B7F42">
        <w:t xml:space="preserve">owed the Claimants a duty to act </w:t>
      </w:r>
      <w:r w:rsidR="001D56D6">
        <w:t xml:space="preserve">for them </w:t>
      </w:r>
      <w:r w:rsidR="000B7F42">
        <w:t xml:space="preserve">with </w:t>
      </w:r>
      <w:r w:rsidR="001D56D6">
        <w:t xml:space="preserve">the degree of skill and care to be expected from a reasonably competent firm of solicitors holding itself out as having </w:t>
      </w:r>
      <w:r w:rsidR="00FC5899">
        <w:t xml:space="preserve">the </w:t>
      </w:r>
      <w:r w:rsidR="001D56D6">
        <w:t xml:space="preserve">relevant expertise required to </w:t>
      </w:r>
      <w:r w:rsidR="00833AB1">
        <w:t xml:space="preserve">perform the retainer.  The Claimants relied upon Firm’s </w:t>
      </w:r>
      <w:r w:rsidR="00E03602">
        <w:t>General Terms of Engagement</w:t>
      </w:r>
      <w:r w:rsidR="00833AB1">
        <w:t xml:space="preserve"> </w:t>
      </w:r>
      <w:r w:rsidR="00133D06">
        <w:t>(</w:t>
      </w:r>
      <w:r w:rsidR="00E03602">
        <w:t>clause 12.1 of which</w:t>
      </w:r>
      <w:r w:rsidR="00133D06">
        <w:t xml:space="preserve"> e</w:t>
      </w:r>
      <w:r w:rsidR="00E03602">
        <w:t xml:space="preserve">xpressly </w:t>
      </w:r>
      <w:r w:rsidR="00133D06">
        <w:t xml:space="preserve">the Firm </w:t>
      </w:r>
      <w:r w:rsidR="00E03602">
        <w:t>"</w:t>
      </w:r>
      <w:r w:rsidR="00E03602" w:rsidRPr="00745529">
        <w:rPr>
          <w:i/>
          <w:iCs/>
        </w:rPr>
        <w:t>will use appropriate skill and care in providing our services</w:t>
      </w:r>
      <w:r w:rsidR="00133D06" w:rsidRPr="00745529">
        <w:rPr>
          <w:i/>
          <w:iCs/>
        </w:rPr>
        <w:t xml:space="preserve"> </w:t>
      </w:r>
      <w:r w:rsidR="00E03602" w:rsidRPr="00745529">
        <w:rPr>
          <w:i/>
          <w:iCs/>
        </w:rPr>
        <w:t>in this matter in accordance with applicable professional standards</w:t>
      </w:r>
      <w:r w:rsidR="00E03602">
        <w:t>"</w:t>
      </w:r>
      <w:r w:rsidR="00745529">
        <w:t xml:space="preserve">) as well as </w:t>
      </w:r>
      <w:r w:rsidR="006A3668">
        <w:t>an implied term or common law duty to the same effect.</w:t>
      </w:r>
    </w:p>
    <w:p w14:paraId="0231AC79" w14:textId="29DC6346" w:rsidR="006A3668" w:rsidRDefault="00547C33" w:rsidP="00EF2FE7">
      <w:pPr>
        <w:pStyle w:val="ParaLevel1"/>
      </w:pPr>
      <w:r>
        <w:t xml:space="preserve">The Firm accepts this duty of care was owed and that the standard of care required was </w:t>
      </w:r>
      <w:r w:rsidR="006F355E">
        <w:t>that of a reasonably competent solicitor practising in the field of private equity.  The Defence pointed to c</w:t>
      </w:r>
      <w:r w:rsidR="003B2ABA">
        <w:t>lause 12.3 of the General Terms of Engagement</w:t>
      </w:r>
      <w:r w:rsidR="00B127BD">
        <w:t xml:space="preserve"> which provided that </w:t>
      </w:r>
      <w:r w:rsidR="00226337">
        <w:t xml:space="preserve">the Firm was </w:t>
      </w:r>
      <w:r w:rsidR="003B2ABA">
        <w:t xml:space="preserve">entitled to limit </w:t>
      </w:r>
      <w:r w:rsidR="00226337">
        <w:t xml:space="preserve">its </w:t>
      </w:r>
      <w:r w:rsidR="003B2ABA">
        <w:t xml:space="preserve">liability to " .. . </w:t>
      </w:r>
      <w:r w:rsidR="003B2ABA" w:rsidRPr="001347F7">
        <w:rPr>
          <w:i/>
          <w:iCs/>
        </w:rPr>
        <w:t>a just and equitable proportion of the total loss or damage</w:t>
      </w:r>
      <w:r w:rsidR="00226337" w:rsidRPr="001347F7">
        <w:rPr>
          <w:i/>
          <w:iCs/>
        </w:rPr>
        <w:t xml:space="preserve"> </w:t>
      </w:r>
      <w:r w:rsidR="003B2ABA" w:rsidRPr="001347F7">
        <w:rPr>
          <w:i/>
          <w:iCs/>
        </w:rPr>
        <w:t xml:space="preserve">after taking into account contributory negligence and the legal </w:t>
      </w:r>
      <w:r w:rsidR="00226337" w:rsidRPr="001347F7">
        <w:rPr>
          <w:i/>
          <w:iCs/>
        </w:rPr>
        <w:t>res</w:t>
      </w:r>
      <w:r w:rsidR="003B2ABA" w:rsidRPr="001347F7">
        <w:rPr>
          <w:i/>
          <w:iCs/>
        </w:rPr>
        <w:t>ponsibili</w:t>
      </w:r>
      <w:r w:rsidR="001347F7" w:rsidRPr="001347F7">
        <w:rPr>
          <w:i/>
          <w:iCs/>
        </w:rPr>
        <w:t>t</w:t>
      </w:r>
      <w:r w:rsidR="003B2ABA" w:rsidRPr="001347F7">
        <w:rPr>
          <w:i/>
          <w:iCs/>
        </w:rPr>
        <w:t>y of a</w:t>
      </w:r>
      <w:r w:rsidR="001347F7" w:rsidRPr="001347F7">
        <w:rPr>
          <w:i/>
          <w:iCs/>
        </w:rPr>
        <w:t xml:space="preserve">ny </w:t>
      </w:r>
      <w:r w:rsidR="003B2ABA" w:rsidRPr="001347F7">
        <w:rPr>
          <w:i/>
          <w:iCs/>
        </w:rPr>
        <w:t>other person</w:t>
      </w:r>
      <w:r w:rsidR="003B2ABA">
        <w:t xml:space="preserve"> ... ".</w:t>
      </w:r>
      <w:r w:rsidR="001347F7">
        <w:t xml:space="preserve">  </w:t>
      </w:r>
    </w:p>
    <w:p w14:paraId="06D932A0" w14:textId="77777777" w:rsidR="0039761B" w:rsidRDefault="0039761B" w:rsidP="00EF2FE7">
      <w:pPr>
        <w:pStyle w:val="ParaLevel1"/>
        <w:numPr>
          <w:ilvl w:val="0"/>
          <w:numId w:val="0"/>
        </w:numPr>
        <w:ind w:left="720"/>
      </w:pPr>
    </w:p>
    <w:p w14:paraId="4C2BB83F" w14:textId="6739A784" w:rsidR="0039761B" w:rsidRPr="00446023" w:rsidRDefault="0039761B" w:rsidP="00EF2FE7">
      <w:pPr>
        <w:pStyle w:val="ParaLevel1"/>
        <w:numPr>
          <w:ilvl w:val="0"/>
          <w:numId w:val="0"/>
        </w:numPr>
        <w:ind w:left="720"/>
        <w:rPr>
          <w:b/>
          <w:bCs/>
          <w:u w:val="single"/>
        </w:rPr>
      </w:pPr>
      <w:r w:rsidRPr="00446023">
        <w:rPr>
          <w:b/>
          <w:bCs/>
          <w:u w:val="single"/>
        </w:rPr>
        <w:t>The Particulars of Claim</w:t>
      </w:r>
    </w:p>
    <w:p w14:paraId="6F8E3809" w14:textId="6A84D5B4" w:rsidR="005974BF" w:rsidRDefault="005974BF" w:rsidP="00EF2FE7">
      <w:pPr>
        <w:pStyle w:val="ParaLevel1"/>
      </w:pPr>
      <w:r>
        <w:t>The Claimants allege that the Firm acted in breach of duty in the following respects:</w:t>
      </w:r>
    </w:p>
    <w:p w14:paraId="13BAF68E" w14:textId="7A5C9A06" w:rsidR="009032B8" w:rsidRDefault="00C211AF" w:rsidP="00EF2FE7">
      <w:pPr>
        <w:pStyle w:val="ParaLevel2"/>
      </w:pPr>
      <w:r>
        <w:t>F</w:t>
      </w:r>
      <w:r w:rsidR="005974BF">
        <w:t>ail</w:t>
      </w:r>
      <w:r>
        <w:t xml:space="preserve">ing </w:t>
      </w:r>
      <w:r w:rsidR="005974BF">
        <w:t>to advise the Claimants of the risk that they could be wrongfully</w:t>
      </w:r>
      <w:r>
        <w:t xml:space="preserve"> </w:t>
      </w:r>
      <w:r w:rsidR="005974BF">
        <w:t>dismissed</w:t>
      </w:r>
      <w:r>
        <w:t xml:space="preserve"> by the Company</w:t>
      </w:r>
      <w:r w:rsidR="005974BF">
        <w:t xml:space="preserve">, be classed as Good Leavers and receive no or </w:t>
      </w:r>
      <w:r>
        <w:t xml:space="preserve">only a </w:t>
      </w:r>
      <w:r w:rsidR="005974BF">
        <w:t>nominal value for their shareholding</w:t>
      </w:r>
      <w:r>
        <w:t xml:space="preserve"> </w:t>
      </w:r>
      <w:r w:rsidR="005974BF">
        <w:t>in the Company.</w:t>
      </w:r>
      <w:r w:rsidR="00E52A17">
        <w:t xml:space="preserve">  </w:t>
      </w:r>
      <w:r w:rsidR="004830E9">
        <w:t>The Claimants say a reasonably competent solicitor would have advised the Claimants on the basis of a worst case scenario, and in particular the risks that they were exposed to in the event that the</w:t>
      </w:r>
      <w:r w:rsidR="009032B8">
        <w:t>ir</w:t>
      </w:r>
      <w:r w:rsidR="004830E9">
        <w:t xml:space="preserve"> relationship with the </w:t>
      </w:r>
      <w:r w:rsidR="007208CE">
        <w:t>Livingbride</w:t>
      </w:r>
      <w:r w:rsidR="004830E9">
        <w:t xml:space="preserve"> </w:t>
      </w:r>
      <w:r w:rsidR="007208CE">
        <w:t xml:space="preserve">Investors </w:t>
      </w:r>
      <w:r w:rsidR="004830E9">
        <w:t>broke</w:t>
      </w:r>
      <w:r w:rsidR="007208CE">
        <w:t xml:space="preserve"> </w:t>
      </w:r>
      <w:r w:rsidR="004830E9">
        <w:t>down or th</w:t>
      </w:r>
      <w:r w:rsidR="009032B8">
        <w:t>ose in</w:t>
      </w:r>
      <w:r w:rsidR="004830E9">
        <w:t>vestors sought to take advantage of them</w:t>
      </w:r>
      <w:r w:rsidR="009032B8">
        <w:t>.</w:t>
      </w:r>
    </w:p>
    <w:p w14:paraId="2CC92E40" w14:textId="451BFE20" w:rsidR="00635954" w:rsidRDefault="006F3F55" w:rsidP="00EF2FE7">
      <w:pPr>
        <w:pStyle w:val="ParaLevel2"/>
      </w:pPr>
      <w:r>
        <w:t>F</w:t>
      </w:r>
      <w:r w:rsidR="005974BF">
        <w:t>ail</w:t>
      </w:r>
      <w:r w:rsidR="00DF126C">
        <w:t>ing</w:t>
      </w:r>
      <w:r w:rsidR="005974BF">
        <w:t xml:space="preserve"> to advise the Claimants that the RPP would</w:t>
      </w:r>
      <w:r>
        <w:t xml:space="preserve"> </w:t>
      </w:r>
      <w:r w:rsidR="005974BF">
        <w:t>apply to the calculation of Market Value for a Good Leaver.</w:t>
      </w:r>
      <w:r w:rsidR="00635954">
        <w:t xml:space="preserve">  The Claimants say the Fir</w:t>
      </w:r>
      <w:r w:rsidR="007E1900">
        <w:t>m should have id</w:t>
      </w:r>
      <w:r w:rsidR="00635954">
        <w:t xml:space="preserve">entified </w:t>
      </w:r>
      <w:r w:rsidR="007E1900">
        <w:t xml:space="preserve">the point </w:t>
      </w:r>
      <w:r w:rsidR="00635954">
        <w:t xml:space="preserve">that the draft </w:t>
      </w:r>
      <w:r w:rsidR="007E1900">
        <w:t xml:space="preserve">of the </w:t>
      </w:r>
      <w:r w:rsidR="00635954">
        <w:t>Articles would (alternatively could) be construed as meaning that the</w:t>
      </w:r>
      <w:r w:rsidR="007E1900">
        <w:t xml:space="preserve"> </w:t>
      </w:r>
      <w:r w:rsidR="00635954">
        <w:t>RPP would be taken into account in determining Market Value</w:t>
      </w:r>
      <w:r w:rsidR="00832AE0">
        <w:t xml:space="preserve"> </w:t>
      </w:r>
      <w:r w:rsidR="00635954">
        <w:t>for a Good Leaver and advised the Claimants accordingly.</w:t>
      </w:r>
    </w:p>
    <w:p w14:paraId="5AAFB1E3" w14:textId="79D8D9BB" w:rsidR="008B7CFC" w:rsidRDefault="008B7CFC" w:rsidP="00EF2FE7">
      <w:pPr>
        <w:pStyle w:val="ParaLevel2"/>
      </w:pPr>
      <w:r>
        <w:t>P</w:t>
      </w:r>
      <w:r w:rsidR="005974BF">
        <w:t>roceed</w:t>
      </w:r>
      <w:r w:rsidR="00415C4B">
        <w:t xml:space="preserve">ing </w:t>
      </w:r>
      <w:r w:rsidR="005D1EAC">
        <w:t>instead</w:t>
      </w:r>
      <w:r w:rsidR="005974BF">
        <w:t xml:space="preserve"> on the basis that the RPP would not</w:t>
      </w:r>
      <w:r>
        <w:t xml:space="preserve"> </w:t>
      </w:r>
      <w:r w:rsidR="005974BF">
        <w:t>apply in the calculation of Market Value for a Good Leaver.</w:t>
      </w:r>
      <w:r>
        <w:t xml:space="preserve"> </w:t>
      </w:r>
      <w:r w:rsidR="00776BD2">
        <w:t xml:space="preserve"> </w:t>
      </w:r>
    </w:p>
    <w:p w14:paraId="3A84E0BF" w14:textId="43A59527" w:rsidR="003D1283" w:rsidRDefault="008B7CFC" w:rsidP="00EF2FE7">
      <w:pPr>
        <w:pStyle w:val="ParaLevel2"/>
      </w:pPr>
      <w:r>
        <w:t>F</w:t>
      </w:r>
      <w:r w:rsidR="005974BF">
        <w:t>ail</w:t>
      </w:r>
      <w:r>
        <w:t xml:space="preserve">ing </w:t>
      </w:r>
      <w:r w:rsidR="005974BF">
        <w:t>to propose and include express language that the RPP would not apply in the calculation of Market Value for a Good Leaver.</w:t>
      </w:r>
      <w:r w:rsidR="005D1EAC">
        <w:t xml:space="preserve">  They say </w:t>
      </w:r>
      <w:r w:rsidR="007E2F3C">
        <w:t>a r</w:t>
      </w:r>
      <w:r w:rsidR="005974BF">
        <w:t>easonably competent firm of solicitors would have</w:t>
      </w:r>
      <w:r w:rsidR="007E2F3C">
        <w:t xml:space="preserve"> s</w:t>
      </w:r>
      <w:r w:rsidR="005974BF">
        <w:t>ought to</w:t>
      </w:r>
      <w:r w:rsidR="007E2F3C">
        <w:t xml:space="preserve"> i</w:t>
      </w:r>
      <w:r w:rsidR="005974BF">
        <w:t>nclude language within the draft Articles that the RPP would</w:t>
      </w:r>
      <w:r w:rsidR="007E2F3C">
        <w:t xml:space="preserve"> </w:t>
      </w:r>
      <w:r w:rsidR="005974BF">
        <w:t>not apply in the calculation of Market Value for a Good Leaver.</w:t>
      </w:r>
    </w:p>
    <w:p w14:paraId="1AECDB6B" w14:textId="4CEBB164" w:rsidR="00AA787A" w:rsidRDefault="00AA787A" w:rsidP="00EF2FE7">
      <w:pPr>
        <w:pStyle w:val="ParaLevel1"/>
      </w:pPr>
      <w:r>
        <w:t xml:space="preserve">The Claimants say that, </w:t>
      </w:r>
      <w:r w:rsidR="006A1B17">
        <w:t xml:space="preserve">had </w:t>
      </w:r>
      <w:r>
        <w:t>been they properly advised</w:t>
      </w:r>
      <w:r w:rsidR="001F6E14">
        <w:t>, they</w:t>
      </w:r>
      <w:r>
        <w:t xml:space="preserve"> would have agreed terms with </w:t>
      </w:r>
      <w:r w:rsidR="001F6E14">
        <w:t xml:space="preserve">Livingbridge </w:t>
      </w:r>
      <w:r w:rsidR="007A337D">
        <w:t>b</w:t>
      </w:r>
      <w:r>
        <w:t>y which Market Value</w:t>
      </w:r>
      <w:r w:rsidR="007A337D">
        <w:t xml:space="preserve"> </w:t>
      </w:r>
      <w:r>
        <w:t xml:space="preserve">was defined to exclude the </w:t>
      </w:r>
      <w:r w:rsidR="001F4B73">
        <w:t>RPP</w:t>
      </w:r>
      <w:r>
        <w:t xml:space="preserve"> in relation to a Good Leaver.</w:t>
      </w:r>
      <w:r w:rsidR="007A337D">
        <w:t xml:space="preserve"> </w:t>
      </w:r>
      <w:r w:rsidR="00EE19C1">
        <w:t>They say t</w:t>
      </w:r>
      <w:r>
        <w:t>he enterprise value of the Company on 29 July 2015 (the</w:t>
      </w:r>
      <w:r w:rsidR="00EE19C1">
        <w:t xml:space="preserve">ir leaving </w:t>
      </w:r>
      <w:r>
        <w:t>date) was £11m</w:t>
      </w:r>
      <w:r w:rsidR="00EE19C1">
        <w:t xml:space="preserve"> and, o</w:t>
      </w:r>
      <w:r>
        <w:t xml:space="preserve">n that basis, each </w:t>
      </w:r>
      <w:r w:rsidR="00EE19C1">
        <w:t xml:space="preserve">of them </w:t>
      </w:r>
      <w:r>
        <w:t>has suffered a loss of £1.9m</w:t>
      </w:r>
      <w:r w:rsidR="00FF4888">
        <w:t xml:space="preserve"> (</w:t>
      </w:r>
      <w:r w:rsidR="00597E69">
        <w:t>i.e</w:t>
      </w:r>
      <w:r w:rsidR="00FC5899">
        <w:t>.</w:t>
      </w:r>
      <w:r w:rsidR="00597E69">
        <w:t xml:space="preserve"> </w:t>
      </w:r>
      <w:r w:rsidR="00FF4888" w:rsidRPr="004A44C7">
        <w:t>Scenario</w:t>
      </w:r>
      <w:r w:rsidR="00672E73" w:rsidRPr="004A44C7">
        <w:t xml:space="preserve"> 1</w:t>
      </w:r>
      <w:r w:rsidR="00672E73">
        <w:t>)</w:t>
      </w:r>
      <w:r w:rsidR="0059377A">
        <w:t xml:space="preserve">.  </w:t>
      </w:r>
      <w:r w:rsidR="0085677E">
        <w:t xml:space="preserve"> </w:t>
      </w:r>
      <w:r w:rsidR="0059377A">
        <w:t xml:space="preserve">Their alternative case is that, </w:t>
      </w:r>
      <w:r>
        <w:t xml:space="preserve">had they been unable to agree such terms with </w:t>
      </w:r>
      <w:r w:rsidR="0059377A">
        <w:t xml:space="preserve">Livingbridge, </w:t>
      </w:r>
      <w:r>
        <w:t xml:space="preserve">they would not have completed the </w:t>
      </w:r>
      <w:r w:rsidR="007A69F9">
        <w:t xml:space="preserve">December 2014 transaction and </w:t>
      </w:r>
      <w:r>
        <w:t>deal and would have agreed terms with alternative</w:t>
      </w:r>
      <w:r w:rsidR="007A69F9">
        <w:t xml:space="preserve"> </w:t>
      </w:r>
      <w:r>
        <w:t>investors for the sale of their shares in IP</w:t>
      </w:r>
      <w:r w:rsidR="00CC66AD">
        <w:t>S UK</w:t>
      </w:r>
      <w:r w:rsidR="00672E73">
        <w:t xml:space="preserve"> (</w:t>
      </w:r>
      <w:r w:rsidR="00597E69">
        <w:t xml:space="preserve">i.e. </w:t>
      </w:r>
      <w:r w:rsidR="00672E73" w:rsidRPr="004A44C7">
        <w:t>Scenario 2</w:t>
      </w:r>
      <w:r w:rsidR="00672E73">
        <w:t>)</w:t>
      </w:r>
      <w:r>
        <w:t xml:space="preserve">. </w:t>
      </w:r>
      <w:r w:rsidR="00CC66AD">
        <w:t>For the purpose</w:t>
      </w:r>
      <w:r w:rsidR="00672E73">
        <w:t xml:space="preserve">s </w:t>
      </w:r>
      <w:r w:rsidR="00CC66AD">
        <w:t xml:space="preserve">of </w:t>
      </w:r>
      <w:r w:rsidR="00827DAA">
        <w:t>S</w:t>
      </w:r>
      <w:r w:rsidR="001D3A7B">
        <w:t>cenario</w:t>
      </w:r>
      <w:r w:rsidR="00827DAA">
        <w:t xml:space="preserve"> 2</w:t>
      </w:r>
      <w:r w:rsidR="001D3A7B">
        <w:t xml:space="preserve"> they say the </w:t>
      </w:r>
      <w:r>
        <w:t>enterprise</w:t>
      </w:r>
      <w:r w:rsidR="001D3A7B">
        <w:t xml:space="preserve"> </w:t>
      </w:r>
      <w:r>
        <w:t>value of IP</w:t>
      </w:r>
      <w:r w:rsidR="001D3A7B">
        <w:t xml:space="preserve">S UK </w:t>
      </w:r>
      <w:r>
        <w:t xml:space="preserve">on 3 December 2014 was £9.4m and </w:t>
      </w:r>
      <w:r w:rsidR="00A7434F">
        <w:t xml:space="preserve">that the </w:t>
      </w:r>
      <w:r w:rsidR="00AC4935">
        <w:t xml:space="preserve">value of each of their shareholdings </w:t>
      </w:r>
      <w:r w:rsidR="00DD7CC4">
        <w:t xml:space="preserve">in IPS UK was </w:t>
      </w:r>
      <w:r>
        <w:t>£4m</w:t>
      </w:r>
      <w:r w:rsidR="00DD7CC4">
        <w:t xml:space="preserve">.  </w:t>
      </w:r>
      <w:r w:rsidR="002F5629">
        <w:t xml:space="preserve">However, credit is to be given against that </w:t>
      </w:r>
      <w:r w:rsidR="00B66B1D">
        <w:t xml:space="preserve">value for the sum of </w:t>
      </w:r>
      <w:r w:rsidR="00B66B1D" w:rsidRPr="00B66B1D">
        <w:t xml:space="preserve">£2,297,950 </w:t>
      </w:r>
      <w:r w:rsidR="00B66B1D">
        <w:t xml:space="preserve">which they </w:t>
      </w:r>
      <w:r w:rsidR="00B66B1D" w:rsidRPr="00B66B1D">
        <w:t xml:space="preserve">each </w:t>
      </w:r>
      <w:r w:rsidR="00B66B1D">
        <w:t xml:space="preserve">received for their shares, </w:t>
      </w:r>
      <w:r w:rsidR="000121B8">
        <w:t xml:space="preserve">leaving them each with a loss </w:t>
      </w:r>
      <w:r>
        <w:t>£1,702,050</w:t>
      </w:r>
      <w:r w:rsidR="000121B8">
        <w:t xml:space="preserve">. </w:t>
      </w:r>
    </w:p>
    <w:p w14:paraId="54FCFAC5" w14:textId="40C8CBC6" w:rsidR="00AA787A" w:rsidRDefault="00FF786C" w:rsidP="00EF2FE7">
      <w:pPr>
        <w:pStyle w:val="ParaLevel1"/>
      </w:pPr>
      <w:r>
        <w:t>T</w:t>
      </w:r>
      <w:r w:rsidR="00AA787A">
        <w:t xml:space="preserve">he Claimants </w:t>
      </w:r>
      <w:r>
        <w:t xml:space="preserve">also seek to recover their </w:t>
      </w:r>
      <w:r w:rsidR="00DB5119">
        <w:t xml:space="preserve">costs of the Leaver Litigation </w:t>
      </w:r>
      <w:r w:rsidR="009908DC">
        <w:t xml:space="preserve">(which they either would not </w:t>
      </w:r>
      <w:r w:rsidR="00AA787A">
        <w:t>have incurred or would have recovered) in relation to the issues relating to Market Value and</w:t>
      </w:r>
      <w:r w:rsidR="009908DC">
        <w:t xml:space="preserve"> </w:t>
      </w:r>
      <w:r w:rsidR="00AA787A">
        <w:t>the application of the RPP</w:t>
      </w:r>
      <w:r w:rsidR="00DF5A16">
        <w:t xml:space="preserve">.  These are claimed in the sum of </w:t>
      </w:r>
      <w:r w:rsidR="00AA787A">
        <w:t>£895,141.63 (which</w:t>
      </w:r>
      <w:r w:rsidR="00DF5A16">
        <w:t xml:space="preserve"> was borne equally </w:t>
      </w:r>
      <w:r w:rsidR="00AA787A">
        <w:t>between the</w:t>
      </w:r>
      <w:r w:rsidR="00DF5A16">
        <w:t>m</w:t>
      </w:r>
      <w:r w:rsidR="00AA787A">
        <w:t>).</w:t>
      </w:r>
    </w:p>
    <w:p w14:paraId="4257DABA" w14:textId="6507BEEF" w:rsidR="00A463EA" w:rsidRDefault="00F27C6A" w:rsidP="00EF2FE7">
      <w:pPr>
        <w:pStyle w:val="ParaLevel1"/>
      </w:pPr>
      <w:r>
        <w:t xml:space="preserve">The </w:t>
      </w:r>
      <w:r w:rsidR="00453E8E">
        <w:t xml:space="preserve">settlement of the appeals in the Leaver Litigation </w:t>
      </w:r>
      <w:r w:rsidR="007B0F91">
        <w:t>i</w:t>
      </w:r>
      <w:r w:rsidR="00453E8E">
        <w:t xml:space="preserve">s </w:t>
      </w:r>
      <w:r w:rsidR="000A22F0">
        <w:t>said by the Particulars of Claim to have been i</w:t>
      </w:r>
      <w:r w:rsidR="00AA787A">
        <w:t>n mitigation of their losses</w:t>
      </w:r>
      <w:r w:rsidR="000A22F0">
        <w:t xml:space="preserve"> “</w:t>
      </w:r>
      <w:r w:rsidR="00AA787A" w:rsidRPr="0080637A">
        <w:rPr>
          <w:i/>
          <w:iCs/>
        </w:rPr>
        <w:t>in circumstances in which there was a</w:t>
      </w:r>
      <w:r w:rsidR="000A22F0" w:rsidRPr="0080637A">
        <w:rPr>
          <w:i/>
          <w:iCs/>
        </w:rPr>
        <w:t xml:space="preserve"> </w:t>
      </w:r>
      <w:r w:rsidR="00AA787A" w:rsidRPr="0080637A">
        <w:rPr>
          <w:i/>
          <w:iCs/>
        </w:rPr>
        <w:t>real risk of the Company going into administration</w:t>
      </w:r>
      <w:r w:rsidR="000A22F0">
        <w:t xml:space="preserve">”, </w:t>
      </w:r>
      <w:r w:rsidR="00ED0788">
        <w:t xml:space="preserve">which also state that </w:t>
      </w:r>
      <w:r w:rsidR="00AA787A">
        <w:t xml:space="preserve">credit </w:t>
      </w:r>
      <w:r w:rsidR="00ED0788">
        <w:t xml:space="preserve">will be given for the </w:t>
      </w:r>
      <w:r w:rsidR="0080637A">
        <w:t>sums received under it</w:t>
      </w:r>
      <w:r w:rsidR="00AA787A">
        <w:t>.</w:t>
      </w:r>
    </w:p>
    <w:p w14:paraId="70385064" w14:textId="77777777" w:rsidR="0039761B" w:rsidRDefault="0039761B" w:rsidP="00EF2FE7">
      <w:pPr>
        <w:pStyle w:val="ParaLevel1"/>
        <w:numPr>
          <w:ilvl w:val="0"/>
          <w:numId w:val="0"/>
        </w:numPr>
        <w:ind w:left="720"/>
      </w:pPr>
    </w:p>
    <w:p w14:paraId="01C0727A" w14:textId="1577BAC8" w:rsidR="00E47FEA" w:rsidRPr="00B75B42" w:rsidRDefault="00E47FEA" w:rsidP="00EF2FE7">
      <w:pPr>
        <w:pStyle w:val="ParaLevel1"/>
        <w:numPr>
          <w:ilvl w:val="0"/>
          <w:numId w:val="0"/>
        </w:numPr>
        <w:ind w:left="720"/>
        <w:rPr>
          <w:b/>
          <w:bCs/>
          <w:u w:val="single"/>
        </w:rPr>
      </w:pPr>
      <w:r w:rsidRPr="00B75B42">
        <w:rPr>
          <w:b/>
          <w:bCs/>
          <w:u w:val="single"/>
        </w:rPr>
        <w:t>The Defence</w:t>
      </w:r>
    </w:p>
    <w:p w14:paraId="25FD1B57" w14:textId="3DED762E" w:rsidR="0080637A" w:rsidRDefault="0039761B" w:rsidP="00EF2FE7">
      <w:pPr>
        <w:pStyle w:val="ParaLevel1"/>
      </w:pPr>
      <w:r>
        <w:t xml:space="preserve">The Firm says </w:t>
      </w:r>
      <w:r w:rsidR="00354897">
        <w:t xml:space="preserve">the </w:t>
      </w:r>
      <w:r w:rsidR="00E47FEA">
        <w:t>RP</w:t>
      </w:r>
      <w:r w:rsidR="00ED29C1">
        <w:t>P</w:t>
      </w:r>
      <w:r w:rsidR="00E47FEA">
        <w:t xml:space="preserve"> was </w:t>
      </w:r>
      <w:r w:rsidR="00354897">
        <w:t xml:space="preserve">decided upon as a matter of </w:t>
      </w:r>
      <w:r w:rsidR="00E47FEA">
        <w:t>a commercial agreement reached by the Claimants (and</w:t>
      </w:r>
      <w:r w:rsidR="004567EC">
        <w:t xml:space="preserve"> </w:t>
      </w:r>
      <w:r w:rsidR="00E47FEA">
        <w:t xml:space="preserve">Knight) without the involvement of the </w:t>
      </w:r>
      <w:r w:rsidR="004567EC">
        <w:t>Firm.</w:t>
      </w:r>
      <w:r w:rsidR="00E47FEA">
        <w:t xml:space="preserve"> </w:t>
      </w:r>
      <w:r w:rsidR="005B50FE">
        <w:t xml:space="preserve">If it transpired to be a poor commercial bargain </w:t>
      </w:r>
      <w:r w:rsidR="00E47FEA">
        <w:t xml:space="preserve">in the circumstances </w:t>
      </w:r>
      <w:r w:rsidR="005B50FE">
        <w:t xml:space="preserve">which came about </w:t>
      </w:r>
      <w:r w:rsidR="00E47FEA">
        <w:t>(but would</w:t>
      </w:r>
      <w:r w:rsidR="003C2960">
        <w:t xml:space="preserve"> </w:t>
      </w:r>
      <w:r w:rsidR="00E47FEA">
        <w:t>not have been foreseen in September 2014)</w:t>
      </w:r>
      <w:r w:rsidR="001C5A4D">
        <w:t xml:space="preserve"> then </w:t>
      </w:r>
      <w:r w:rsidR="00E47FEA">
        <w:t>that was a matter for the Claimants and/</w:t>
      </w:r>
      <w:r w:rsidR="001C5A4D">
        <w:t>or K</w:t>
      </w:r>
      <w:r w:rsidR="00E47FEA">
        <w:t>night.</w:t>
      </w:r>
      <w:r w:rsidR="003C2960">
        <w:t xml:space="preserve">  Paragraph 20 of the Defence relies upon </w:t>
      </w:r>
      <w:r w:rsidR="008226AF">
        <w:t xml:space="preserve">certain emails of September 2014 in the first of which the </w:t>
      </w:r>
      <w:r w:rsidR="00872C21">
        <w:t xml:space="preserve">Firm </w:t>
      </w:r>
      <w:r w:rsidR="008226AF">
        <w:t xml:space="preserve">explained the effect of the </w:t>
      </w:r>
      <w:r w:rsidR="00872C21">
        <w:t>RPP</w:t>
      </w:r>
      <w:r w:rsidR="00E32A1B">
        <w:t xml:space="preserve"> and where the others be</w:t>
      </w:r>
      <w:r w:rsidR="008226AF">
        <w:t>tween the Claimants and Knight</w:t>
      </w:r>
      <w:r w:rsidR="00E32A1B">
        <w:t xml:space="preserve"> made it</w:t>
      </w:r>
      <w:r w:rsidR="008226AF">
        <w:t xml:space="preserve"> clear that the Claimants understood that the RP</w:t>
      </w:r>
      <w:r w:rsidR="00E32A1B">
        <w:t>P</w:t>
      </w:r>
      <w:r w:rsidR="008226AF">
        <w:t xml:space="preserve"> was agreed in return for their</w:t>
      </w:r>
      <w:r w:rsidR="00E32A1B">
        <w:t xml:space="preserve"> </w:t>
      </w:r>
      <w:r w:rsidR="008226AF">
        <w:t>equity</w:t>
      </w:r>
      <w:r w:rsidR="00C37FCC">
        <w:t xml:space="preserve"> in the Company not being at risk of dilution through the later issue of sweet equity.</w:t>
      </w:r>
      <w:r w:rsidR="001F30F4">
        <w:t xml:space="preserve">  Paragraph 22 </w:t>
      </w:r>
      <w:r w:rsidR="0071168C">
        <w:t>of the Defence points to comments made by the Firm upon the draft Articles</w:t>
      </w:r>
      <w:r w:rsidR="00C111E9">
        <w:t xml:space="preserve"> (specifically article 13.3)</w:t>
      </w:r>
      <w:r w:rsidR="0071168C">
        <w:t xml:space="preserve"> in October 2014 </w:t>
      </w:r>
      <w:r w:rsidR="00C111E9">
        <w:t xml:space="preserve">where </w:t>
      </w:r>
      <w:r w:rsidR="00DA4ECF">
        <w:t xml:space="preserve">it highlighted </w:t>
      </w:r>
      <w:r w:rsidR="00D77455">
        <w:t xml:space="preserve">Livingbridge’s right to </w:t>
      </w:r>
      <w:r w:rsidR="00C111E9" w:rsidRPr="00C111E9">
        <w:t xml:space="preserve">receive </w:t>
      </w:r>
      <w:r w:rsidR="00D77455">
        <w:t>“</w:t>
      </w:r>
      <w:r w:rsidR="00C111E9" w:rsidRPr="00D77455">
        <w:rPr>
          <w:i/>
          <w:iCs/>
        </w:rPr>
        <w:t>two times the ISIS Investment Amount</w:t>
      </w:r>
      <w:r w:rsidR="00C111E9">
        <w:t>.”</w:t>
      </w:r>
    </w:p>
    <w:p w14:paraId="2140816B" w14:textId="14976D6C" w:rsidR="007E025A" w:rsidRDefault="00004AB8" w:rsidP="00EF2FE7">
      <w:pPr>
        <w:pStyle w:val="ParaLevel1"/>
      </w:pPr>
      <w:r>
        <w:t xml:space="preserve">Each of the alleged breaches of duty summarised in paragraph </w:t>
      </w:r>
      <w:r w:rsidR="008E1EA7">
        <w:t>89</w:t>
      </w:r>
      <w:r>
        <w:t xml:space="preserve"> above is denied</w:t>
      </w:r>
      <w:r w:rsidR="00C96415">
        <w:t>, with the Firm sayi</w:t>
      </w:r>
      <w:r w:rsidR="007E025A">
        <w:t>ng:</w:t>
      </w:r>
    </w:p>
    <w:p w14:paraId="2BE574A5" w14:textId="155B857A" w:rsidR="00004AB8" w:rsidRDefault="008D7F38" w:rsidP="00EF2FE7">
      <w:pPr>
        <w:pStyle w:val="ParaLevel2"/>
      </w:pPr>
      <w:r>
        <w:t>It was</w:t>
      </w:r>
      <w:r w:rsidRPr="008D7F38">
        <w:t xml:space="preserve"> not obliged to warn the Clai</w:t>
      </w:r>
      <w:r w:rsidR="0048299B">
        <w:t>m</w:t>
      </w:r>
      <w:r w:rsidRPr="008D7F38">
        <w:t xml:space="preserve">ants about every possible chain of </w:t>
      </w:r>
      <w:r w:rsidR="007B363D">
        <w:t xml:space="preserve">events </w:t>
      </w:r>
      <w:r w:rsidR="00004AB8">
        <w:t>that might conceivably a</w:t>
      </w:r>
      <w:r>
        <w:t>ri</w:t>
      </w:r>
      <w:r w:rsidR="00004AB8">
        <w:t xml:space="preserve">se on each alternative reading of the </w:t>
      </w:r>
      <w:r w:rsidR="00F85C03">
        <w:t>T</w:t>
      </w:r>
      <w:r w:rsidR="00004AB8">
        <w:t>ransaction</w:t>
      </w:r>
      <w:r>
        <w:t xml:space="preserve"> </w:t>
      </w:r>
      <w:r w:rsidR="00004AB8">
        <w:t xml:space="preserve">documents, but only </w:t>
      </w:r>
      <w:r w:rsidR="00963937">
        <w:t xml:space="preserve">to advise upon </w:t>
      </w:r>
      <w:r w:rsidR="00004AB8">
        <w:t>material risks.</w:t>
      </w:r>
      <w:r w:rsidR="00963937">
        <w:t xml:space="preserve">  </w:t>
      </w:r>
      <w:r w:rsidR="00004AB8">
        <w:t xml:space="preserve">A reasonably competent solicitor would have perceived the risk </w:t>
      </w:r>
      <w:r w:rsidR="005278C8">
        <w:t xml:space="preserve">now identified by the Claimants </w:t>
      </w:r>
      <w:r w:rsidR="00004AB8">
        <w:t xml:space="preserve">fanciful in circumstances where, as at the date of the </w:t>
      </w:r>
      <w:r w:rsidR="00F85C03">
        <w:t>T</w:t>
      </w:r>
      <w:r w:rsidR="00004AB8">
        <w:t xml:space="preserve">ransaction, </w:t>
      </w:r>
      <w:r w:rsidR="005278C8">
        <w:t>(a</w:t>
      </w:r>
      <w:r w:rsidR="00004AB8">
        <w:t>) Livingbridge had</w:t>
      </w:r>
      <w:r w:rsidR="005278C8">
        <w:t xml:space="preserve"> </w:t>
      </w:r>
      <w:r w:rsidR="00004AB8">
        <w:t xml:space="preserve">no basis or incentive to dismiss the Claimants (wrongfully or otherwise) but </w:t>
      </w:r>
      <w:r w:rsidR="005278C8">
        <w:t xml:space="preserve">instead </w:t>
      </w:r>
      <w:r w:rsidR="00004AB8">
        <w:t>wished to</w:t>
      </w:r>
      <w:r w:rsidR="005278C8">
        <w:t xml:space="preserve"> </w:t>
      </w:r>
      <w:r w:rsidR="00004AB8">
        <w:t>retain them in the business; (</w:t>
      </w:r>
      <w:r w:rsidR="00EF6B50">
        <w:t>b</w:t>
      </w:r>
      <w:r w:rsidR="00004AB8">
        <w:t>) the Claimants exercised a considerable degree of control</w:t>
      </w:r>
      <w:r w:rsidR="00EF6B50">
        <w:t xml:space="preserve"> </w:t>
      </w:r>
      <w:r w:rsidR="00004AB8">
        <w:t xml:space="preserve">over the </w:t>
      </w:r>
      <w:r w:rsidR="00EF6B50">
        <w:t xml:space="preserve">Company’s </w:t>
      </w:r>
      <w:r w:rsidR="00004AB8">
        <w:t>Board; and (</w:t>
      </w:r>
      <w:r w:rsidR="00EF6B50">
        <w:t>c</w:t>
      </w:r>
      <w:r w:rsidR="00004AB8">
        <w:t>) the RPP did not (properly</w:t>
      </w:r>
      <w:r w:rsidR="00EF6B50">
        <w:t xml:space="preserve"> </w:t>
      </w:r>
      <w:r w:rsidR="00004AB8">
        <w:t xml:space="preserve">construed) apply to a forced transfer and exercise of pre-emption rights under </w:t>
      </w:r>
      <w:r w:rsidR="00EF6B50">
        <w:t>a</w:t>
      </w:r>
      <w:r w:rsidR="00004AB8">
        <w:t>rticles</w:t>
      </w:r>
      <w:r w:rsidR="00EF6B50">
        <w:t xml:space="preserve"> </w:t>
      </w:r>
      <w:r w:rsidR="00004AB8">
        <w:t>18.1 and 19.</w:t>
      </w:r>
      <w:r w:rsidR="00F24FEC">
        <w:t xml:space="preserve">  </w:t>
      </w:r>
      <w:r w:rsidR="00DA5410">
        <w:t>I</w:t>
      </w:r>
      <w:r w:rsidR="00004AB8">
        <w:t>n any event, to the extent that th</w:t>
      </w:r>
      <w:r w:rsidR="00DA5410">
        <w:t>e</w:t>
      </w:r>
      <w:r w:rsidR="00004AB8">
        <w:t xml:space="preserve"> risk existed at all, it was a commercial consequence</w:t>
      </w:r>
      <w:r w:rsidR="00DA5410">
        <w:t xml:space="preserve"> </w:t>
      </w:r>
      <w:r w:rsidR="00004AB8">
        <w:t>of the RP</w:t>
      </w:r>
      <w:r w:rsidR="00DA5410">
        <w:t xml:space="preserve">P </w:t>
      </w:r>
      <w:r w:rsidR="00004AB8">
        <w:t>on which they were advised by Knight and in respect</w:t>
      </w:r>
      <w:r w:rsidR="0069046A">
        <w:t xml:space="preserve"> </w:t>
      </w:r>
      <w:r w:rsidR="00004AB8">
        <w:t xml:space="preserve">of which the Defendants had no involvement. </w:t>
      </w:r>
    </w:p>
    <w:p w14:paraId="25747143" w14:textId="77777777" w:rsidR="00FE27B6" w:rsidRDefault="00004AB8" w:rsidP="00EF2FE7">
      <w:pPr>
        <w:pStyle w:val="ParaLevel2"/>
      </w:pPr>
      <w:r>
        <w:t>The RPP did not</w:t>
      </w:r>
      <w:r w:rsidR="00451086">
        <w:t xml:space="preserve">, on the </w:t>
      </w:r>
      <w:r w:rsidR="00AB7BE7">
        <w:t>proper construction of the Articles</w:t>
      </w:r>
      <w:r w:rsidR="00E225B1">
        <w:t>,</w:t>
      </w:r>
      <w:r>
        <w:t xml:space="preserve"> apply </w:t>
      </w:r>
      <w:r w:rsidR="0048299B">
        <w:t>in the determination of Market Value for a Good Leaver</w:t>
      </w:r>
      <w:r w:rsidR="00E225B1">
        <w:t xml:space="preserve">.  The Firm says that had it </w:t>
      </w:r>
      <w:r>
        <w:t xml:space="preserve">advised </w:t>
      </w:r>
      <w:r w:rsidR="00E225B1">
        <w:t xml:space="preserve">the Claimants </w:t>
      </w:r>
      <w:r>
        <w:t xml:space="preserve">in the terms </w:t>
      </w:r>
      <w:r w:rsidR="00081261">
        <w:t>alleged</w:t>
      </w:r>
      <w:r>
        <w:t xml:space="preserve">, that </w:t>
      </w:r>
      <w:r w:rsidR="00081261">
        <w:t xml:space="preserve">advice </w:t>
      </w:r>
      <w:r>
        <w:t>would have been incorrect.</w:t>
      </w:r>
      <w:r w:rsidR="00061599">
        <w:t xml:space="preserve">  </w:t>
      </w:r>
      <w:r w:rsidR="00D86AAE">
        <w:t xml:space="preserve">The Firm was </w:t>
      </w:r>
      <w:r>
        <w:t xml:space="preserve">entitled to proceed in the manner </w:t>
      </w:r>
      <w:r w:rsidR="00D86AAE">
        <w:t xml:space="preserve">it did </w:t>
      </w:r>
      <w:r>
        <w:t>in</w:t>
      </w:r>
      <w:r w:rsidR="00D86AAE">
        <w:t xml:space="preserve"> </w:t>
      </w:r>
      <w:r>
        <w:t xml:space="preserve">light of (a) the proper construction of the </w:t>
      </w:r>
      <w:r w:rsidR="00364E3D">
        <w:t>A</w:t>
      </w:r>
      <w:r>
        <w:t>rticles, and (b) the fact that the R</w:t>
      </w:r>
      <w:r w:rsidR="008B2EBB">
        <w:t>PP reflected a</w:t>
      </w:r>
      <w:r>
        <w:t xml:space="preserve"> commercial</w:t>
      </w:r>
      <w:r w:rsidR="008B2EBB">
        <w:t xml:space="preserve"> agreement </w:t>
      </w:r>
      <w:r>
        <w:t>between the parties and</w:t>
      </w:r>
      <w:r w:rsidR="008B2EBB">
        <w:t xml:space="preserve"> one </w:t>
      </w:r>
      <w:r>
        <w:t xml:space="preserve">presented to the </w:t>
      </w:r>
      <w:r w:rsidR="008B2EBB">
        <w:t>Firm</w:t>
      </w:r>
      <w:r>
        <w:t xml:space="preserve"> as the basis for the transaction.</w:t>
      </w:r>
    </w:p>
    <w:p w14:paraId="710439F1" w14:textId="1D321619" w:rsidR="00B540F3" w:rsidRDefault="00B540F3" w:rsidP="00EF2FE7">
      <w:pPr>
        <w:pStyle w:val="ParaLevel1"/>
      </w:pPr>
      <w:r w:rsidRPr="00B540F3">
        <w:t>By a Response dated 11 November 2021 to the Claimants’ Notice to Admit Facts, the Firm</w:t>
      </w:r>
      <w:r w:rsidR="00843544">
        <w:t xml:space="preserve"> </w:t>
      </w:r>
      <w:r w:rsidR="00DA7412">
        <w:t xml:space="preserve">admitted that neither Mr Crossley nor anyone else from the </w:t>
      </w:r>
      <w:r w:rsidR="00843544">
        <w:t>Firm</w:t>
      </w:r>
      <w:r w:rsidR="00DA7412">
        <w:t xml:space="preserve"> advised the Claimants that</w:t>
      </w:r>
      <w:r w:rsidR="00843544">
        <w:t xml:space="preserve"> the RPP w</w:t>
      </w:r>
      <w:r w:rsidR="00DA7412">
        <w:t>ould apply to the Leaver Provisions</w:t>
      </w:r>
      <w:r w:rsidR="001C5B1D">
        <w:t xml:space="preserve"> or that </w:t>
      </w:r>
      <w:r w:rsidR="00CE1F6E">
        <w:t xml:space="preserve">there was a risk it </w:t>
      </w:r>
      <w:r w:rsidR="003435BF">
        <w:t>would apply.  The Response said that it was the Firm’s</w:t>
      </w:r>
      <w:r w:rsidR="00DA7412">
        <w:t xml:space="preserve"> case that the RPP</w:t>
      </w:r>
      <w:r w:rsidR="003435BF">
        <w:t xml:space="preserve"> </w:t>
      </w:r>
      <w:r w:rsidR="00DA7412">
        <w:t>does not apply to the Leaver Provisions</w:t>
      </w:r>
      <w:r w:rsidR="003117AF" w:rsidRPr="003117AF">
        <w:t xml:space="preserve"> </w:t>
      </w:r>
      <w:r w:rsidR="003117AF">
        <w:t>and challenged the underlying assumption that the Articles could properly be interpreted in that way</w:t>
      </w:r>
      <w:r w:rsidR="0046374B">
        <w:t xml:space="preserve">.  It referred back to </w:t>
      </w:r>
      <w:r w:rsidR="003C0B00">
        <w:t xml:space="preserve">the Defence </w:t>
      </w:r>
      <w:r w:rsidR="00F67EA9">
        <w:t xml:space="preserve">(paragraphs </w:t>
      </w:r>
      <w:r w:rsidR="00351746">
        <w:t>22</w:t>
      </w:r>
      <w:r w:rsidR="00C84CA5">
        <w:t xml:space="preserve">, </w:t>
      </w:r>
      <w:r w:rsidR="00351746">
        <w:t>24</w:t>
      </w:r>
      <w:r w:rsidR="00794CDC">
        <w:t>, 48.1</w:t>
      </w:r>
      <w:r w:rsidR="00C84CA5">
        <w:t xml:space="preserve"> and 49</w:t>
      </w:r>
      <w:r w:rsidR="006A0DF0">
        <w:t>.1(c)</w:t>
      </w:r>
      <w:r w:rsidR="00351746">
        <w:t xml:space="preserve">) </w:t>
      </w:r>
      <w:r w:rsidR="003C0B00">
        <w:t>for the averment that</w:t>
      </w:r>
      <w:r w:rsidR="00DA7412">
        <w:t xml:space="preserve"> Mr Crossley d</w:t>
      </w:r>
      <w:r w:rsidR="003C0B00">
        <w:t>rew the Claimants</w:t>
      </w:r>
      <w:r w:rsidR="00DA7412">
        <w:t xml:space="preserve">’ attention to the RPP and </w:t>
      </w:r>
      <w:r w:rsidR="003C0B00">
        <w:t xml:space="preserve">that </w:t>
      </w:r>
      <w:r w:rsidR="00DA7412">
        <w:t xml:space="preserve">it </w:t>
      </w:r>
      <w:r w:rsidR="003C0B00">
        <w:t>wa</w:t>
      </w:r>
      <w:r w:rsidR="00DA7412">
        <w:t>s clear that the Claimants were</w:t>
      </w:r>
      <w:r w:rsidR="003C0B00">
        <w:t xml:space="preserve"> </w:t>
      </w:r>
      <w:r w:rsidR="00DA7412">
        <w:t>fully aware of it</w:t>
      </w:r>
      <w:r w:rsidR="00CA4071">
        <w:t xml:space="preserve">.  </w:t>
      </w:r>
      <w:r w:rsidR="003117AF">
        <w:t xml:space="preserve">It went on to say that May J only </w:t>
      </w:r>
      <w:r w:rsidR="00DA7412">
        <w:t xml:space="preserve">held as she did because of </w:t>
      </w:r>
      <w:r w:rsidR="003117AF">
        <w:t xml:space="preserve">the Claimants’ failure to </w:t>
      </w:r>
      <w:r w:rsidR="00DA7412">
        <w:t>argue before her that Article 13.3 was concerned with the distribution of Proceeds of Sale received</w:t>
      </w:r>
      <w:r w:rsidR="003117AF">
        <w:t xml:space="preserve"> </w:t>
      </w:r>
      <w:r w:rsidR="00DA7412">
        <w:t>from third party purchasers</w:t>
      </w:r>
      <w:r w:rsidR="003E5200">
        <w:t>.</w:t>
      </w:r>
    </w:p>
    <w:p w14:paraId="393A98D7" w14:textId="77777777" w:rsidR="008A6066" w:rsidRDefault="00AC48C9" w:rsidP="00EF2FE7">
      <w:pPr>
        <w:pStyle w:val="ParaLevel1"/>
      </w:pPr>
      <w:r>
        <w:t xml:space="preserve">The Firm </w:t>
      </w:r>
      <w:r w:rsidR="007B754C">
        <w:t>challenges the Claimants</w:t>
      </w:r>
      <w:r w:rsidR="007D45DB">
        <w:t xml:space="preserve">’ case on causation in both Scenario 1 and Scenario 2.  </w:t>
      </w:r>
    </w:p>
    <w:p w14:paraId="44F09358" w14:textId="18354D36" w:rsidR="008A6066" w:rsidRDefault="00294A0E" w:rsidP="00EF2FE7">
      <w:pPr>
        <w:pStyle w:val="ParaLevel1"/>
      </w:pPr>
      <w:r>
        <w:t xml:space="preserve">On Scenario 1, </w:t>
      </w:r>
      <w:r w:rsidR="00363F1C">
        <w:t>i</w:t>
      </w:r>
      <w:r w:rsidR="007D45DB">
        <w:t>t says that</w:t>
      </w:r>
      <w:r>
        <w:t xml:space="preserve"> </w:t>
      </w:r>
      <w:r w:rsidR="007D45DB">
        <w:t>even if it</w:t>
      </w:r>
      <w:r w:rsidR="007D45DB" w:rsidRPr="007D45DB">
        <w:t xml:space="preserve"> had proposed an express carve out from the RPP in the Good Leaver scenario, such language would not have been accepted by Livingbridge and therefore not included in the Articles</w:t>
      </w:r>
      <w:r>
        <w:t xml:space="preserve">.  </w:t>
      </w:r>
      <w:r w:rsidR="00673C9F">
        <w:t xml:space="preserve">As an alternative, the Firm says that the </w:t>
      </w:r>
      <w:r w:rsidR="008F5E37">
        <w:t xml:space="preserve">Leaver Litigation would still have come about and, by the end of it, the </w:t>
      </w:r>
      <w:r w:rsidR="00673C9F">
        <w:t xml:space="preserve">Company </w:t>
      </w:r>
      <w:r w:rsidR="008F5E37">
        <w:t xml:space="preserve">was </w:t>
      </w:r>
      <w:r w:rsidR="00CD4317">
        <w:t>i</w:t>
      </w:r>
      <w:r w:rsidR="00EB7709">
        <w:t xml:space="preserve">n a parlous financial position and </w:t>
      </w:r>
      <w:r w:rsidR="003A6058">
        <w:t xml:space="preserve">would not have been </w:t>
      </w:r>
      <w:r w:rsidR="009C2132">
        <w:t>able to pay the Market Value of the Claimants’ shares.</w:t>
      </w:r>
      <w:r w:rsidR="00E553BB">
        <w:t xml:space="preserve">  </w:t>
      </w:r>
      <w:r w:rsidR="00D104D4">
        <w:t xml:space="preserve">The Firm </w:t>
      </w:r>
      <w:r w:rsidR="00970AC1">
        <w:t xml:space="preserve">denies responsibility </w:t>
      </w:r>
      <w:r w:rsidR="006B6445">
        <w:t xml:space="preserve">for the greater part of the costs of that earlier litigation when </w:t>
      </w:r>
      <w:r w:rsidR="002F158E">
        <w:t>the circumstances giving rise to it had nothing to do with advice given, or not given, by it.</w:t>
      </w:r>
      <w:r w:rsidR="00EB70E0">
        <w:t xml:space="preserve">  As noted in the Introduction, </w:t>
      </w:r>
      <w:r w:rsidR="00AA7D29">
        <w:t xml:space="preserve">the </w:t>
      </w:r>
      <w:r w:rsidR="008C3CB7">
        <w:t xml:space="preserve">Leaver Litigation is also the basis of the Firm’s </w:t>
      </w:r>
      <w:r w:rsidR="00CF74A8">
        <w:t xml:space="preserve">defence of contributory </w:t>
      </w:r>
      <w:r w:rsidR="00C76A71">
        <w:t>fault</w:t>
      </w:r>
      <w:r w:rsidR="00CF74A8">
        <w:t xml:space="preserve"> </w:t>
      </w:r>
      <w:r w:rsidR="00AA4AB9">
        <w:t xml:space="preserve">which rests upon the Claimants’ conduct in bringing about their dismissal and </w:t>
      </w:r>
      <w:r w:rsidR="007C695C">
        <w:t xml:space="preserve">the part </w:t>
      </w:r>
      <w:r w:rsidR="00FC03AD">
        <w:t>they are said to have played in causing May J to reach the wrong conclusion in the Quantum Judgment.</w:t>
      </w:r>
      <w:r w:rsidR="007C695C">
        <w:t xml:space="preserve"> </w:t>
      </w:r>
      <w:r w:rsidR="00CF74A8">
        <w:t xml:space="preserve"> </w:t>
      </w:r>
      <w:r w:rsidR="002F158E">
        <w:t xml:space="preserve"> </w:t>
      </w:r>
    </w:p>
    <w:p w14:paraId="25866C83" w14:textId="37C9A6E2" w:rsidR="00AC48C9" w:rsidRDefault="00A87030" w:rsidP="00EF2FE7">
      <w:pPr>
        <w:pStyle w:val="ParaLevel1"/>
      </w:pPr>
      <w:r>
        <w:t>Scenario 2</w:t>
      </w:r>
      <w:r w:rsidR="00745DB8">
        <w:t xml:space="preserve"> is challenged on the basis that the</w:t>
      </w:r>
      <w:r w:rsidR="005839EE" w:rsidRPr="005839EE">
        <w:t xml:space="preserve"> </w:t>
      </w:r>
      <w:r w:rsidR="00453047">
        <w:t>T</w:t>
      </w:r>
      <w:r w:rsidR="005839EE">
        <w:t>ransaction with Livingbridge was the only credible way by which the Claimants</w:t>
      </w:r>
      <w:r w:rsidR="00453047">
        <w:t xml:space="preserve"> </w:t>
      </w:r>
      <w:r w:rsidR="005839EE">
        <w:t>could achieve their commercial objectives</w:t>
      </w:r>
      <w:r w:rsidR="00C63575">
        <w:t xml:space="preserve">.  </w:t>
      </w:r>
      <w:r w:rsidR="00F85FFE">
        <w:t xml:space="preserve">The Firm says the only other credible buyer was GCI, a trade buyer, </w:t>
      </w:r>
      <w:r w:rsidR="00967844">
        <w:t>whose purchase</w:t>
      </w:r>
      <w:r w:rsidR="00F85FFE">
        <w:t xml:space="preserve"> would have seen the Claimants </w:t>
      </w:r>
      <w:r w:rsidR="009F0917">
        <w:t xml:space="preserve">leave </w:t>
      </w:r>
      <w:r w:rsidR="00F85FFE">
        <w:t>the business altogether</w:t>
      </w:r>
      <w:r w:rsidR="00AB78B9">
        <w:t xml:space="preserve"> when that </w:t>
      </w:r>
      <w:r w:rsidR="009F0917">
        <w:t>was not their plan</w:t>
      </w:r>
      <w:r w:rsidR="00967844">
        <w:t>.</w:t>
      </w:r>
      <w:r w:rsidR="00745DB8">
        <w:t xml:space="preserve"> </w:t>
      </w:r>
      <w:r>
        <w:t xml:space="preserve"> </w:t>
      </w:r>
    </w:p>
    <w:p w14:paraId="04B914B0" w14:textId="62852E06" w:rsidR="00977483" w:rsidRDefault="004B0829" w:rsidP="00EF2FE7">
      <w:pPr>
        <w:pStyle w:val="ParaLevel1"/>
      </w:pPr>
      <w:r>
        <w:t>Finally, the</w:t>
      </w:r>
      <w:r w:rsidR="00977483">
        <w:t xml:space="preserve"> Firm says the Claimants have suffered no loss.</w:t>
      </w:r>
      <w:r w:rsidR="00FC03AD">
        <w:t xml:space="preserve">  </w:t>
      </w:r>
      <w:r w:rsidR="009F0917">
        <w:t>On Scenario</w:t>
      </w:r>
      <w:r w:rsidR="00AB78B9">
        <w:t xml:space="preserve"> 1, </w:t>
      </w:r>
      <w:r>
        <w:t xml:space="preserve">it says </w:t>
      </w:r>
      <w:r w:rsidR="00D268EB">
        <w:t xml:space="preserve">that, even without the impact of the RPP, the Market Value of their shares </w:t>
      </w:r>
      <w:r w:rsidR="00194B9F">
        <w:t xml:space="preserve">would have been nil because </w:t>
      </w:r>
      <w:r w:rsidR="002623B5">
        <w:t xml:space="preserve">the amount outstanding under the Livingbridge loan notes meant there was no value in the Company’s equity.  On Scenario 2, </w:t>
      </w:r>
      <w:r w:rsidR="008F0E1E">
        <w:t xml:space="preserve">the Firm </w:t>
      </w:r>
      <w:r w:rsidR="0050667F">
        <w:t xml:space="preserve">denies that the </w:t>
      </w:r>
      <w:r w:rsidR="008F0E1E">
        <w:t xml:space="preserve">Claimants </w:t>
      </w:r>
      <w:r w:rsidR="0050667F">
        <w:t xml:space="preserve">lost value </w:t>
      </w:r>
      <w:r w:rsidR="00705784">
        <w:t xml:space="preserve">beyond the cash received for their shares in IPS UK </w:t>
      </w:r>
      <w:r w:rsidR="008F0E1E">
        <w:t>under the Transaction</w:t>
      </w:r>
      <w:r w:rsidR="00705784">
        <w:t xml:space="preserve">.  </w:t>
      </w:r>
      <w:r w:rsidR="008F0E1E">
        <w:t xml:space="preserve"> </w:t>
      </w:r>
      <w:r w:rsidR="009F0917">
        <w:t xml:space="preserve"> </w:t>
      </w:r>
      <w:r w:rsidR="00977483">
        <w:t xml:space="preserve">  </w:t>
      </w:r>
    </w:p>
    <w:p w14:paraId="20B5FB47" w14:textId="11FA64B0" w:rsidR="0097384D" w:rsidRDefault="0097384D" w:rsidP="00EF2FE7">
      <w:pPr>
        <w:pStyle w:val="ParaLevel1"/>
        <w:numPr>
          <w:ilvl w:val="0"/>
          <w:numId w:val="0"/>
        </w:numPr>
        <w:ind w:left="720"/>
      </w:pPr>
    </w:p>
    <w:p w14:paraId="6E433875" w14:textId="659A1520" w:rsidR="0022443D" w:rsidRPr="00EE1EE1" w:rsidRDefault="00941DB4" w:rsidP="00EF2FE7">
      <w:pPr>
        <w:pStyle w:val="ParaLevel1"/>
        <w:numPr>
          <w:ilvl w:val="0"/>
          <w:numId w:val="0"/>
        </w:numPr>
        <w:rPr>
          <w:b/>
          <w:bCs/>
          <w:u w:val="single"/>
        </w:rPr>
      </w:pPr>
      <w:r>
        <w:rPr>
          <w:b/>
          <w:bCs/>
          <w:u w:val="single"/>
        </w:rPr>
        <w:t>G.</w:t>
      </w:r>
      <w:r>
        <w:rPr>
          <w:b/>
          <w:bCs/>
          <w:u w:val="single"/>
        </w:rPr>
        <w:tab/>
      </w:r>
      <w:r w:rsidR="0022443D" w:rsidRPr="00EE1EE1">
        <w:rPr>
          <w:b/>
          <w:bCs/>
          <w:u w:val="single"/>
        </w:rPr>
        <w:t>O</w:t>
      </w:r>
      <w:r w:rsidR="001D4DEE">
        <w:rPr>
          <w:b/>
          <w:bCs/>
          <w:u w:val="single"/>
        </w:rPr>
        <w:t>BSERVATIONS UPON THE PLEADED CASES</w:t>
      </w:r>
    </w:p>
    <w:p w14:paraId="3E3E41D1" w14:textId="77777777" w:rsidR="008F1010" w:rsidRDefault="008C5259" w:rsidP="00EF2FE7">
      <w:pPr>
        <w:pStyle w:val="ParaLevel1"/>
      </w:pPr>
      <w:r>
        <w:t xml:space="preserve">With that </w:t>
      </w:r>
      <w:r w:rsidR="0023269B">
        <w:t xml:space="preserve">outline of the parties’ cases in mind, </w:t>
      </w:r>
      <w:r w:rsidR="00971E76">
        <w:t>the following observations fall to be made.</w:t>
      </w:r>
      <w:r w:rsidR="00250CF3">
        <w:t xml:space="preserve"> </w:t>
      </w:r>
    </w:p>
    <w:p w14:paraId="5D823C88" w14:textId="77777777" w:rsidR="008F1010" w:rsidRPr="008F1010" w:rsidRDefault="00C02278" w:rsidP="00EF2FE7">
      <w:pPr>
        <w:pStyle w:val="ParaLevel1"/>
        <w:numPr>
          <w:ilvl w:val="0"/>
          <w:numId w:val="0"/>
        </w:numPr>
        <w:ind w:left="720"/>
      </w:pPr>
      <w:r w:rsidRPr="008F1010">
        <w:rPr>
          <w:b/>
          <w:bCs/>
          <w:u w:val="single"/>
        </w:rPr>
        <w:t>Complexit</w:t>
      </w:r>
      <w:r w:rsidR="008F1010">
        <w:rPr>
          <w:b/>
          <w:bCs/>
          <w:u w:val="single"/>
        </w:rPr>
        <w:t>y</w:t>
      </w:r>
    </w:p>
    <w:p w14:paraId="54C5CB94" w14:textId="472061E1" w:rsidR="00541F71" w:rsidRDefault="00971E76" w:rsidP="00EF2FE7">
      <w:pPr>
        <w:pStyle w:val="ParaLevel1"/>
      </w:pPr>
      <w:r>
        <w:t>In his oral closing submissions</w:t>
      </w:r>
      <w:r w:rsidR="001C6CD6">
        <w:t xml:space="preserve">, Mr Leiper QC </w:t>
      </w:r>
      <w:r w:rsidR="00F6542D">
        <w:t>referred to the “</w:t>
      </w:r>
      <w:r w:rsidR="00F6542D" w:rsidRPr="008F1010">
        <w:rPr>
          <w:i/>
          <w:iCs/>
        </w:rPr>
        <w:t>unnecessary levels of complexity</w:t>
      </w:r>
      <w:r w:rsidR="00F6542D">
        <w:t xml:space="preserve">” that had been </w:t>
      </w:r>
      <w:r w:rsidR="00654469">
        <w:t>built into the Firm’s case</w:t>
      </w:r>
      <w:r w:rsidR="00C00E79">
        <w:t xml:space="preserve"> and </w:t>
      </w:r>
      <w:r w:rsidR="00A1053C">
        <w:t>that it was in the Firm’s interests to make the case as complicated as possible</w:t>
      </w:r>
      <w:r w:rsidR="00654469">
        <w:t xml:space="preserve">.  </w:t>
      </w:r>
      <w:r w:rsidR="002564A5">
        <w:t xml:space="preserve">He gave as examples the </w:t>
      </w:r>
      <w:r w:rsidR="00400B02">
        <w:t xml:space="preserve">Firm’s </w:t>
      </w:r>
      <w:r w:rsidR="00EB632C">
        <w:t>argument</w:t>
      </w:r>
      <w:r w:rsidR="00484C2D">
        <w:t xml:space="preserve"> that the deci</w:t>
      </w:r>
      <w:r w:rsidR="00270425">
        <w:t xml:space="preserve">sion in the Quantum Judgment came about because of the way in which the point about the RPP was </w:t>
      </w:r>
      <w:r w:rsidR="00EB632C">
        <w:t>argued in front of</w:t>
      </w:r>
      <w:r w:rsidR="00270425">
        <w:t xml:space="preserve"> May </w:t>
      </w:r>
      <w:r w:rsidR="00400B02">
        <w:t xml:space="preserve">J and </w:t>
      </w:r>
      <w:r w:rsidR="00EB632C">
        <w:t xml:space="preserve">how fanciful </w:t>
      </w:r>
      <w:r w:rsidR="00D74944">
        <w:t xml:space="preserve">it was that </w:t>
      </w:r>
      <w:r w:rsidR="00D70334">
        <w:t xml:space="preserve">the </w:t>
      </w:r>
      <w:r w:rsidR="00E64A91">
        <w:t xml:space="preserve">situation which </w:t>
      </w:r>
      <w:r w:rsidR="008F3655">
        <w:t xml:space="preserve">both </w:t>
      </w:r>
      <w:r w:rsidR="00E64A91">
        <w:t xml:space="preserve">precipitated </w:t>
      </w:r>
      <w:r w:rsidR="008F3655">
        <w:t>and emerged from the Leaver Litiga</w:t>
      </w:r>
      <w:r w:rsidR="00642B9F">
        <w:t xml:space="preserve">tion could </w:t>
      </w:r>
      <w:r w:rsidR="002020D6">
        <w:t>have been in anyone</w:t>
      </w:r>
      <w:r w:rsidR="00E83EDA">
        <w:t>’s mind in the latter half of 2014 (the so-called misalignment of the stars</w:t>
      </w:r>
      <w:r w:rsidR="008F1010">
        <w:t xml:space="preserve">, the cluster of which had grown in size as the </w:t>
      </w:r>
      <w:r w:rsidR="00A814F1">
        <w:t xml:space="preserve">Firm’s </w:t>
      </w:r>
      <w:r w:rsidR="008F1010">
        <w:t>argument developed).</w:t>
      </w:r>
    </w:p>
    <w:p w14:paraId="037CA0AE" w14:textId="7A8170AC" w:rsidR="00087CBB" w:rsidRDefault="00541F71" w:rsidP="00EF2FE7">
      <w:pPr>
        <w:pStyle w:val="ParaLevel1"/>
      </w:pPr>
      <w:r>
        <w:t xml:space="preserve">There was certainly a difference in approach </w:t>
      </w:r>
      <w:r w:rsidR="006B6843">
        <w:t>to the written submissions of each side</w:t>
      </w:r>
      <w:r w:rsidR="00DB5C42">
        <w:t>;</w:t>
      </w:r>
      <w:r w:rsidR="006B6843">
        <w:t xml:space="preserve"> the </w:t>
      </w:r>
      <w:r w:rsidR="00AB33AB">
        <w:t xml:space="preserve">Claimants’ opening and closing submissions running to </w:t>
      </w:r>
      <w:r w:rsidR="00DB5C42">
        <w:t xml:space="preserve">a total of </w:t>
      </w:r>
      <w:r w:rsidR="00365E02">
        <w:t xml:space="preserve">34 </w:t>
      </w:r>
      <w:r w:rsidR="00AB33AB">
        <w:t xml:space="preserve">pages (with </w:t>
      </w:r>
      <w:r w:rsidR="00697C38">
        <w:t xml:space="preserve">a decent number of cross-references </w:t>
      </w:r>
      <w:r w:rsidR="00EA2196">
        <w:t xml:space="preserve">to the trial bundle) and the Firm’s </w:t>
      </w:r>
      <w:r w:rsidR="004464F3">
        <w:t>comprising over 100</w:t>
      </w:r>
      <w:r w:rsidR="00EA2196">
        <w:t xml:space="preserve"> (with considerably greater </w:t>
      </w:r>
      <w:r w:rsidR="00AB5A84">
        <w:t>cross-</w:t>
      </w:r>
      <w:r w:rsidR="00EA2196">
        <w:t xml:space="preserve">referencing).  However, </w:t>
      </w:r>
      <w:r w:rsidR="00E44084">
        <w:t>each set was a</w:t>
      </w:r>
      <w:r w:rsidR="00230BBC">
        <w:t xml:space="preserve"> model of </w:t>
      </w:r>
      <w:r w:rsidR="00E44084">
        <w:t xml:space="preserve">its type and </w:t>
      </w:r>
      <w:r w:rsidR="004057FA">
        <w:t xml:space="preserve">I have found all four documents to be of great assistance </w:t>
      </w:r>
      <w:r w:rsidR="000C1819">
        <w:t>in marshalling my thoughts</w:t>
      </w:r>
      <w:r w:rsidR="00087CBB">
        <w:t xml:space="preserve"> upon the many issues raised</w:t>
      </w:r>
      <w:r w:rsidR="000C1819">
        <w:t>.</w:t>
      </w:r>
    </w:p>
    <w:p w14:paraId="050793D3" w14:textId="274E95D6" w:rsidR="00EB632C" w:rsidRDefault="00F11F72" w:rsidP="00EF2FE7">
      <w:pPr>
        <w:pStyle w:val="ParaLevel1"/>
      </w:pPr>
      <w:r>
        <w:t xml:space="preserve">The </w:t>
      </w:r>
      <w:r w:rsidR="00C36AFD">
        <w:t xml:space="preserve">case is a convoluted one.  </w:t>
      </w:r>
      <w:r w:rsidR="00ED2FD1">
        <w:t xml:space="preserve">Reflecting upon this </w:t>
      </w:r>
      <w:r w:rsidR="00BC5EAE">
        <w:t xml:space="preserve">lengthy </w:t>
      </w:r>
      <w:r w:rsidR="00ED2FD1">
        <w:t xml:space="preserve">judgment has confirmed </w:t>
      </w:r>
      <w:r w:rsidR="00781F33">
        <w:t>its</w:t>
      </w:r>
      <w:r w:rsidR="00D27CDD">
        <w:t xml:space="preserve"> </w:t>
      </w:r>
      <w:r w:rsidR="00CF46EA">
        <w:t>complex</w:t>
      </w:r>
      <w:r w:rsidR="00781F33">
        <w:t>ity</w:t>
      </w:r>
      <w:r w:rsidR="00CF46EA">
        <w:t xml:space="preserve"> </w:t>
      </w:r>
      <w:r w:rsidR="00DF546C">
        <w:t>in terms of the number of</w:t>
      </w:r>
      <w:r w:rsidR="00653FCB">
        <w:t xml:space="preserve"> issues </w:t>
      </w:r>
      <w:r w:rsidR="00176A71">
        <w:t xml:space="preserve">which the Firm </w:t>
      </w:r>
      <w:r w:rsidR="008412CE">
        <w:t xml:space="preserve">is entitled to raise (in the sense of there being a point of substance </w:t>
      </w:r>
      <w:r w:rsidR="00755F27">
        <w:t xml:space="preserve">to be addressed) </w:t>
      </w:r>
      <w:r w:rsidR="005E0B20">
        <w:t xml:space="preserve">in resisting liability to the Claimants.  </w:t>
      </w:r>
      <w:r w:rsidR="006A621F">
        <w:t xml:space="preserve">The above </w:t>
      </w:r>
      <w:r w:rsidR="00444369">
        <w:t>represents t</w:t>
      </w:r>
      <w:r w:rsidR="006A621F">
        <w:t xml:space="preserve">he barest outline of the Defence.  </w:t>
      </w:r>
      <w:r w:rsidR="005E0B20">
        <w:t xml:space="preserve">On my rough-and-ready count, </w:t>
      </w:r>
      <w:r w:rsidR="000A7CC0">
        <w:t xml:space="preserve">the Firm’s </w:t>
      </w:r>
      <w:r w:rsidR="005E0B20">
        <w:t xml:space="preserve">points on </w:t>
      </w:r>
      <w:r w:rsidR="000A7CC0">
        <w:t xml:space="preserve">liability, causation and </w:t>
      </w:r>
      <w:r w:rsidR="00EA1744">
        <w:t xml:space="preserve">loss </w:t>
      </w:r>
      <w:r w:rsidR="000A7CC0">
        <w:t xml:space="preserve">involve it placing </w:t>
      </w:r>
      <w:r w:rsidR="005057B1">
        <w:t>about</w:t>
      </w:r>
      <w:r w:rsidR="000A7FF6">
        <w:t xml:space="preserve"> 8 </w:t>
      </w:r>
      <w:r w:rsidR="009A258B">
        <w:t xml:space="preserve">or 9 </w:t>
      </w:r>
      <w:r w:rsidR="00B670B1">
        <w:t xml:space="preserve">main </w:t>
      </w:r>
      <w:r w:rsidR="009A258B">
        <w:t>hurdles in the way of the claim</w:t>
      </w:r>
      <w:r w:rsidR="000E4D27">
        <w:t>.  M</w:t>
      </w:r>
      <w:r w:rsidR="00E47B60">
        <w:t xml:space="preserve">ost of </w:t>
      </w:r>
      <w:r w:rsidR="00B670B1">
        <w:t>th</w:t>
      </w:r>
      <w:r w:rsidR="00B05EDE">
        <w:t>os</w:t>
      </w:r>
      <w:r w:rsidR="00A56712">
        <w:t>e</w:t>
      </w:r>
      <w:r w:rsidR="00B670B1">
        <w:t xml:space="preserve"> </w:t>
      </w:r>
      <w:r w:rsidR="00AC3D61">
        <w:t>embody</w:t>
      </w:r>
      <w:r w:rsidR="006916C9">
        <w:t xml:space="preserve"> more than one hindrance for the </w:t>
      </w:r>
      <w:r w:rsidR="00113A44">
        <w:t xml:space="preserve">Claimants </w:t>
      </w:r>
      <w:r w:rsidR="00466213">
        <w:t>and m</w:t>
      </w:r>
      <w:r w:rsidR="00472848">
        <w:t xml:space="preserve">ore than one </w:t>
      </w:r>
      <w:r w:rsidR="00FE1804">
        <w:t xml:space="preserve">requires </w:t>
      </w:r>
      <w:r w:rsidR="00CA319A">
        <w:t xml:space="preserve">the </w:t>
      </w:r>
      <w:r w:rsidR="00203D49">
        <w:t>correctness of the Quantum Judgment</w:t>
      </w:r>
      <w:r w:rsidR="00FE1804">
        <w:t xml:space="preserve"> to be re-visited</w:t>
      </w:r>
      <w:r w:rsidR="00DE3A16">
        <w:t>.  T</w:t>
      </w:r>
      <w:r w:rsidR="00EA1744">
        <w:t xml:space="preserve">he </w:t>
      </w:r>
      <w:r w:rsidR="00987692">
        <w:t>issue</w:t>
      </w:r>
      <w:r w:rsidR="00336F6A">
        <w:t>s</w:t>
      </w:r>
      <w:r w:rsidR="00987692">
        <w:t xml:space="preserve"> of loss ha</w:t>
      </w:r>
      <w:r w:rsidR="00336F6A">
        <w:t>ve</w:t>
      </w:r>
      <w:r w:rsidR="00987692">
        <w:t xml:space="preserve"> prompted extensive expert evidence</w:t>
      </w:r>
      <w:r w:rsidR="005F5337">
        <w:t xml:space="preserve"> and the need for separate analysis of the claim in respect of legal fees</w:t>
      </w:r>
      <w:r w:rsidR="00987692">
        <w:t xml:space="preserve">.  </w:t>
      </w:r>
      <w:r w:rsidR="00134D21">
        <w:t>Even if the Claimants complete the circuit to success, the Firm seeks to devalue the</w:t>
      </w:r>
      <w:r w:rsidR="00EA18AF">
        <w:t>i</w:t>
      </w:r>
      <w:r w:rsidR="00AC3D61">
        <w:t>r</w:t>
      </w:r>
      <w:r w:rsidR="00134D21">
        <w:t xml:space="preserve"> prize with its </w:t>
      </w:r>
      <w:r w:rsidR="00336F6A">
        <w:t xml:space="preserve">two </w:t>
      </w:r>
      <w:r w:rsidR="00134D21">
        <w:t xml:space="preserve">points </w:t>
      </w:r>
      <w:r w:rsidR="0056147C">
        <w:t>about the Claimants’ contributory fault.</w:t>
      </w:r>
      <w:r w:rsidR="00336F6A">
        <w:t xml:space="preserve">  All of this </w:t>
      </w:r>
      <w:r w:rsidR="00713C18">
        <w:t xml:space="preserve">means there are </w:t>
      </w:r>
      <w:r w:rsidR="007D4E58">
        <w:t>a lot of points to be decided</w:t>
      </w:r>
      <w:r w:rsidR="00970EE5">
        <w:t xml:space="preserve"> by a reference to a substantial amount of </w:t>
      </w:r>
      <w:r w:rsidR="005A2CFE">
        <w:t xml:space="preserve">documentary, expert and witness </w:t>
      </w:r>
      <w:r w:rsidR="00970EE5">
        <w:t>evidence.</w:t>
      </w:r>
    </w:p>
    <w:p w14:paraId="380C3A13" w14:textId="1E24A1E1" w:rsidR="00970CFF" w:rsidRDefault="0056147C" w:rsidP="00EF2FE7">
      <w:pPr>
        <w:pStyle w:val="ParaLevel1"/>
      </w:pPr>
      <w:r>
        <w:t>Before turning to the</w:t>
      </w:r>
      <w:r w:rsidR="007D4E58">
        <w:t xml:space="preserve"> legal principles bearing upon the decision</w:t>
      </w:r>
      <w:r w:rsidR="00D834DE">
        <w:t>s</w:t>
      </w:r>
      <w:r w:rsidR="007D4E58">
        <w:t xml:space="preserve">, I </w:t>
      </w:r>
      <w:r w:rsidR="00DD22DE">
        <w:t xml:space="preserve">need to highlight two </w:t>
      </w:r>
      <w:r w:rsidR="002F063E">
        <w:t xml:space="preserve">further points </w:t>
      </w:r>
      <w:r w:rsidR="00546191">
        <w:t xml:space="preserve">about the issues </w:t>
      </w:r>
      <w:r w:rsidR="00D834DE">
        <w:t xml:space="preserve">raised by </w:t>
      </w:r>
      <w:r w:rsidR="00EA18AF">
        <w:t xml:space="preserve">the pleaded cases.  The first relates to article 18.4.1 and the second </w:t>
      </w:r>
      <w:r w:rsidR="006E1E2F">
        <w:t>goes to the way the Claimants have pleaded their case on causation and loss.</w:t>
      </w:r>
    </w:p>
    <w:p w14:paraId="474596F6" w14:textId="77777777" w:rsidR="006E1E2F" w:rsidRDefault="006E1E2F" w:rsidP="00EF2FE7">
      <w:pPr>
        <w:pStyle w:val="ParaLevel1"/>
        <w:numPr>
          <w:ilvl w:val="0"/>
          <w:numId w:val="0"/>
        </w:numPr>
        <w:ind w:left="720"/>
        <w:rPr>
          <w:b/>
          <w:bCs/>
          <w:u w:val="single"/>
        </w:rPr>
      </w:pPr>
    </w:p>
    <w:p w14:paraId="147F2229" w14:textId="01E84903" w:rsidR="009311C8" w:rsidRPr="001D4DEE" w:rsidRDefault="00126203" w:rsidP="00EF2FE7">
      <w:pPr>
        <w:pStyle w:val="ParaLevel1"/>
        <w:numPr>
          <w:ilvl w:val="0"/>
          <w:numId w:val="0"/>
        </w:numPr>
        <w:ind w:left="720"/>
        <w:rPr>
          <w:b/>
          <w:bCs/>
          <w:u w:val="single"/>
        </w:rPr>
      </w:pPr>
      <w:r w:rsidRPr="001D4DEE">
        <w:rPr>
          <w:b/>
          <w:bCs/>
          <w:u w:val="single"/>
        </w:rPr>
        <w:t>Tensions generated by Article 18.4.1</w:t>
      </w:r>
    </w:p>
    <w:p w14:paraId="7B1296C4" w14:textId="475CA629" w:rsidR="001C5A4D" w:rsidRDefault="0022443D" w:rsidP="00EF2FE7">
      <w:pPr>
        <w:pStyle w:val="ParaLevel1"/>
      </w:pPr>
      <w:r>
        <w:t>The Claimants</w:t>
      </w:r>
      <w:r w:rsidR="00126203">
        <w:t>’</w:t>
      </w:r>
      <w:r>
        <w:t xml:space="preserve"> </w:t>
      </w:r>
      <w:r w:rsidR="00FD6DF1">
        <w:t xml:space="preserve">complaint that the Firm failed to </w:t>
      </w:r>
      <w:r w:rsidR="004E6FCF">
        <w:t>advise them about the</w:t>
      </w:r>
      <w:r w:rsidR="00C05D69">
        <w:t xml:space="preserve"> risk that the </w:t>
      </w:r>
      <w:r w:rsidR="001F26B4">
        <w:t xml:space="preserve">RPP either did apply to the valuation of a Good Leaver’s shares is </w:t>
      </w:r>
      <w:r w:rsidR="00237B1C">
        <w:t xml:space="preserve">obviously at odds with what they argued before May J, which is that </w:t>
      </w:r>
      <w:r w:rsidR="005838C2">
        <w:t xml:space="preserve">article 13.3 had no impact upon the valuation process under article 18.4.1.  </w:t>
      </w:r>
      <w:r w:rsidR="00785554">
        <w:t xml:space="preserve">Mr </w:t>
      </w:r>
      <w:r w:rsidR="00B80E92">
        <w:t>Leiper</w:t>
      </w:r>
      <w:r w:rsidR="00785554">
        <w:t xml:space="preserve"> </w:t>
      </w:r>
      <w:r w:rsidR="0097047F">
        <w:t xml:space="preserve">QC </w:t>
      </w:r>
      <w:r w:rsidR="004D5FF6">
        <w:t>rightly said that he had no embarrassment</w:t>
      </w:r>
      <w:r w:rsidR="002B0101">
        <w:t xml:space="preserve">, now the </w:t>
      </w:r>
      <w:r w:rsidR="00506608">
        <w:t xml:space="preserve">duly compromised </w:t>
      </w:r>
      <w:r w:rsidR="002B0101">
        <w:t>Quantum Judgment</w:t>
      </w:r>
      <w:r w:rsidR="00506608">
        <w:t xml:space="preserve"> </w:t>
      </w:r>
      <w:r w:rsidR="005B24AD">
        <w:t xml:space="preserve">has cast the die against his clients, in </w:t>
      </w:r>
      <w:r w:rsidR="009E3C72">
        <w:t xml:space="preserve">backing the reasoning of the judge.  Indeed, as I shall explain he deployed </w:t>
      </w:r>
      <w:r w:rsidR="008C724B">
        <w:t xml:space="preserve">one further argument on construction which, he said, </w:t>
      </w:r>
      <w:r w:rsidR="002D6DEB">
        <w:t>would have strengthened the Company’s argument in support of her conclusion.</w:t>
      </w:r>
      <w:r w:rsidR="00A77B4C">
        <w:t xml:space="preserve"> </w:t>
      </w:r>
      <w:r w:rsidR="00785554">
        <w:t xml:space="preserve">However,  </w:t>
      </w:r>
      <w:r w:rsidR="00250CF3">
        <w:t xml:space="preserve">Mr Tozzi QC </w:t>
      </w:r>
      <w:r w:rsidR="007731AD">
        <w:t xml:space="preserve">highlighted this point when </w:t>
      </w:r>
      <w:r w:rsidR="00D345F9">
        <w:t xml:space="preserve">submitting </w:t>
      </w:r>
      <w:r w:rsidR="007731AD">
        <w:t xml:space="preserve">the </w:t>
      </w:r>
      <w:r w:rsidR="00103106">
        <w:t xml:space="preserve">duty upon the Firm should not be </w:t>
      </w:r>
      <w:r w:rsidR="003D3612">
        <w:t xml:space="preserve">fixed </w:t>
      </w:r>
      <w:r w:rsidR="00E9017C">
        <w:t xml:space="preserve">with the benefit of hindsight; and that it was no part of </w:t>
      </w:r>
      <w:r w:rsidR="001B79D8">
        <w:t xml:space="preserve">that duty to advise that the court might misconstrue the articles in a </w:t>
      </w:r>
      <w:r w:rsidR="00943870">
        <w:t xml:space="preserve">way previously argued against by the Claimants. </w:t>
      </w:r>
    </w:p>
    <w:p w14:paraId="05D1F191" w14:textId="510F1F96" w:rsidR="00C50412" w:rsidRDefault="003D3612" w:rsidP="00EF2FE7">
      <w:pPr>
        <w:pStyle w:val="ParaLevel1"/>
      </w:pPr>
      <w:r>
        <w:t xml:space="preserve">Against that, Mr Leiper QC </w:t>
      </w:r>
      <w:r w:rsidR="00DD7534">
        <w:t xml:space="preserve">in his opening </w:t>
      </w:r>
      <w:r>
        <w:t xml:space="preserve">referred to the position </w:t>
      </w:r>
      <w:r w:rsidR="00826883">
        <w:t>which Livin</w:t>
      </w:r>
      <w:r w:rsidR="001601B1">
        <w:t>g</w:t>
      </w:r>
      <w:r w:rsidR="00826883">
        <w:t xml:space="preserve">bridge adopted on the point in the Leaver Litigation.  He </w:t>
      </w:r>
      <w:r w:rsidR="00910F02">
        <w:t xml:space="preserve">drew my attention to </w:t>
      </w:r>
      <w:r w:rsidR="00826883">
        <w:t>a witness statement of Mr Morris (</w:t>
      </w:r>
      <w:r w:rsidR="00910F02">
        <w:t xml:space="preserve">made </w:t>
      </w:r>
      <w:r w:rsidR="00826883">
        <w:t xml:space="preserve">in the Leaver Litigation) </w:t>
      </w:r>
      <w:r w:rsidR="00094D7A">
        <w:t xml:space="preserve">which expressed in quite trenchant terms </w:t>
      </w:r>
      <w:r w:rsidR="00907E96">
        <w:t xml:space="preserve">Livinbridge’s position that the RPP would apply to the valuation of a Good Leaver’s shares.  </w:t>
      </w:r>
      <w:r w:rsidR="00C50412">
        <w:t>He also highlighted the position adopted by the Company’s solicitors, DMH Stallard</w:t>
      </w:r>
      <w:r w:rsidR="00BF36D5">
        <w:t xml:space="preserve"> LLP</w:t>
      </w:r>
      <w:r w:rsidR="00C50412">
        <w:t>, when</w:t>
      </w:r>
      <w:r w:rsidR="00EC3949">
        <w:t xml:space="preserve"> engaging with the Claimants’ then </w:t>
      </w:r>
      <w:r w:rsidR="00E06131">
        <w:t xml:space="preserve">solicitors, Clyde &amp; Co LLP, in the Leaver Litigation over the impact of the RPP.  I return to </w:t>
      </w:r>
      <w:r w:rsidR="00BE1E37">
        <w:t xml:space="preserve">the Company’s stated understanding of the impact of the RPP </w:t>
      </w:r>
      <w:r w:rsidR="00030C0F">
        <w:t xml:space="preserve">on the valuation under article 18.4.1 when addressing the question of </w:t>
      </w:r>
      <w:r w:rsidR="00E32D68">
        <w:t>liability.</w:t>
      </w:r>
    </w:p>
    <w:p w14:paraId="0A37F3C6" w14:textId="0CE6CB73" w:rsidR="00D345F9" w:rsidRDefault="00907E96" w:rsidP="00EF2FE7">
      <w:pPr>
        <w:pStyle w:val="ParaLevel1"/>
      </w:pPr>
      <w:r>
        <w:t xml:space="preserve">Mr Leiper also referred to </w:t>
      </w:r>
      <w:r w:rsidR="00853FAA">
        <w:t>his opponents’ written opening where t</w:t>
      </w:r>
      <w:r w:rsidR="00AB292F">
        <w:t xml:space="preserve">his </w:t>
      </w:r>
      <w:r w:rsidR="00621607">
        <w:t>view</w:t>
      </w:r>
      <w:r w:rsidR="00AB292F">
        <w:t xml:space="preserve"> was endorsed (</w:t>
      </w:r>
      <w:r w:rsidR="00621E3F">
        <w:t xml:space="preserve">at least </w:t>
      </w:r>
      <w:r w:rsidR="00AB292F">
        <w:t xml:space="preserve">on the issue of causation) by the Firm saying that </w:t>
      </w:r>
      <w:r w:rsidR="001601B1">
        <w:t>L</w:t>
      </w:r>
      <w:r w:rsidR="000E152C">
        <w:t xml:space="preserve">ivingbridge would not have been prepared to re-negotiate terms with the Claimants </w:t>
      </w:r>
      <w:r w:rsidR="00B90528">
        <w:t xml:space="preserve">so </w:t>
      </w:r>
      <w:r w:rsidR="00150D67">
        <w:t xml:space="preserve">that </w:t>
      </w:r>
      <w:r w:rsidR="00B90528">
        <w:t>the</w:t>
      </w:r>
      <w:r w:rsidR="005A077C">
        <w:t xml:space="preserve"> Articles</w:t>
      </w:r>
      <w:r w:rsidR="00B90528">
        <w:t xml:space="preserve"> </w:t>
      </w:r>
      <w:r w:rsidR="00150D67">
        <w:t>expressly stipulated</w:t>
      </w:r>
      <w:r w:rsidR="000E152C">
        <w:t xml:space="preserve"> </w:t>
      </w:r>
      <w:r w:rsidR="00807B70">
        <w:t xml:space="preserve">that the RPP </w:t>
      </w:r>
      <w:r w:rsidR="0018362F">
        <w:t xml:space="preserve">should not </w:t>
      </w:r>
      <w:r w:rsidR="00807B70">
        <w:t>apply</w:t>
      </w:r>
      <w:r w:rsidR="004F6E46">
        <w:t xml:space="preserve"> to the valuation of the Leaver’s shares</w:t>
      </w:r>
      <w:r w:rsidR="000E152C">
        <w:t xml:space="preserve">.  He therefore pointed to </w:t>
      </w:r>
      <w:r w:rsidR="00187047">
        <w:t xml:space="preserve">the tension within the Firm’s case as to whether or not </w:t>
      </w:r>
      <w:r w:rsidR="006711C0">
        <w:t>(without such express clarification</w:t>
      </w:r>
      <w:r w:rsidR="00114C39">
        <w:t xml:space="preserve"> to the contrary</w:t>
      </w:r>
      <w:r w:rsidR="006711C0">
        <w:t xml:space="preserve">) </w:t>
      </w:r>
      <w:r w:rsidR="00114C39">
        <w:t xml:space="preserve">the RPP did </w:t>
      </w:r>
      <w:r w:rsidR="00187047">
        <w:t xml:space="preserve">apply in that </w:t>
      </w:r>
      <w:r w:rsidR="004C4402">
        <w:t>situation.</w:t>
      </w:r>
    </w:p>
    <w:p w14:paraId="5B3A02AD" w14:textId="1F5E66D3" w:rsidR="007730E4" w:rsidRDefault="007730E4" w:rsidP="00EF2FE7">
      <w:pPr>
        <w:pStyle w:val="ParaLevel1"/>
      </w:pPr>
      <w:r>
        <w:t xml:space="preserve">As the point is central to that part of the Firm’s defence which rests upon the contention that it was under no duty to advise the Claimants that the RPP applied on the valuation under article 18.4.1, when </w:t>
      </w:r>
      <w:r w:rsidR="00FC2363">
        <w:t xml:space="preserve">the Firm says </w:t>
      </w:r>
      <w:r>
        <w:t>it did not apply, I am required to determine this point afresh for the purposes of the present claim.</w:t>
      </w:r>
    </w:p>
    <w:p w14:paraId="5B859B6F" w14:textId="61F1D4DC" w:rsidR="007730E4" w:rsidRDefault="007730E4" w:rsidP="00EF2FE7">
      <w:pPr>
        <w:pStyle w:val="ParaLevel1"/>
      </w:pPr>
      <w:r>
        <w:t xml:space="preserve">If I reach the same conclusion as May J on the point then the Firm still relies upon the other points summarised above to say that the risk which in fact materialised for the Claimants, and which led to their shareholdings in the Company </w:t>
      </w:r>
      <w:r w:rsidR="003B17E6">
        <w:t xml:space="preserve">being held to </w:t>
      </w:r>
      <w:r>
        <w:t>only nominal value, was not one in respect of which there was a</w:t>
      </w:r>
      <w:r w:rsidR="00114C39">
        <w:t>ny</w:t>
      </w:r>
      <w:r>
        <w:t xml:space="preserve"> negligent failure to advise or act.</w:t>
      </w:r>
    </w:p>
    <w:p w14:paraId="700147B8" w14:textId="77777777" w:rsidR="00571AB4" w:rsidRDefault="007730E4" w:rsidP="00EF2FE7">
      <w:pPr>
        <w:pStyle w:val="ParaLevel1"/>
      </w:pPr>
      <w:r>
        <w:t xml:space="preserve">However, were I to reach a different conclusion to that reached by May J in the Quantum Judgment, the Claimants nevertheless point to her ladyship’s contrary view in saying that the Firm was under a duty to advise upon </w:t>
      </w:r>
      <w:r w:rsidRPr="00E815E0">
        <w:rPr>
          <w:i/>
          <w:iCs/>
        </w:rPr>
        <w:t>the risk</w:t>
      </w:r>
      <w:r>
        <w:t xml:space="preserve"> that a court might conclude the RPP was to be taken into account in the determination of Market Value. Th</w:t>
      </w:r>
      <w:r w:rsidR="006A79D5">
        <w:t>e</w:t>
      </w:r>
      <w:r>
        <w:t xml:space="preserve"> Claimants’ reliance upon this risk</w:t>
      </w:r>
      <w:r w:rsidR="004233F5">
        <w:t xml:space="preserve"> </w:t>
      </w:r>
      <w:r>
        <w:t xml:space="preserve">as the basis of their allegation of negligence sits more easily with their position in the Leaver Litigation that </w:t>
      </w:r>
      <w:r w:rsidR="00097847">
        <w:t>the judge’</w:t>
      </w:r>
      <w:r w:rsidR="00845582">
        <w:t xml:space="preserve">s </w:t>
      </w:r>
      <w:r w:rsidR="008564A8">
        <w:t xml:space="preserve">interpretation of the Articles was </w:t>
      </w:r>
      <w:r>
        <w:t xml:space="preserve">wrong.  </w:t>
      </w:r>
      <w:r w:rsidR="00DC5E16">
        <w:t>Th</w:t>
      </w:r>
      <w:r w:rsidR="00E37B56">
        <w:t>at</w:t>
      </w:r>
      <w:r w:rsidR="00DC5E16">
        <w:t xml:space="preserve"> </w:t>
      </w:r>
      <w:r w:rsidR="00731F6E">
        <w:t xml:space="preserve">risk </w:t>
      </w:r>
      <w:r w:rsidR="00DC5E16" w:rsidRPr="00DC5E16">
        <w:t>did in fact materialise</w:t>
      </w:r>
      <w:r w:rsidR="00E23A14">
        <w:t>,</w:t>
      </w:r>
      <w:r w:rsidR="00DC5E16" w:rsidRPr="00DC5E16">
        <w:t xml:space="preserve"> whether or not another judge </w:t>
      </w:r>
      <w:r w:rsidR="00E37B56">
        <w:t xml:space="preserve">like me </w:t>
      </w:r>
      <w:r w:rsidR="00DC5E16" w:rsidRPr="00DC5E16">
        <w:t xml:space="preserve">would have </w:t>
      </w:r>
      <w:r w:rsidR="008E5AD7">
        <w:t>accepted th</w:t>
      </w:r>
      <w:r w:rsidR="00E23A14">
        <w:t>e Claimant’s position</w:t>
      </w:r>
      <w:r w:rsidR="008E5AD7">
        <w:t xml:space="preserve"> and </w:t>
      </w:r>
      <w:r w:rsidR="00E739D2">
        <w:t>reached the opposite conclusion to May J</w:t>
      </w:r>
      <w:r w:rsidR="00731F6E">
        <w:t>.</w:t>
      </w:r>
    </w:p>
    <w:p w14:paraId="2FA8E371" w14:textId="611FBF41" w:rsidR="007730E4" w:rsidRDefault="007730E4" w:rsidP="00EF2FE7">
      <w:pPr>
        <w:pStyle w:val="ParaLevel1"/>
      </w:pPr>
      <w:r>
        <w:t xml:space="preserve">It </w:t>
      </w:r>
      <w:r w:rsidR="001F33E0">
        <w:t xml:space="preserve">is </w:t>
      </w:r>
      <w:r w:rsidR="00E739D2">
        <w:t>this</w:t>
      </w:r>
      <w:r>
        <w:t xml:space="preserve"> </w:t>
      </w:r>
      <w:r w:rsidR="00571AB4">
        <w:t xml:space="preserve">angle </w:t>
      </w:r>
      <w:r>
        <w:t xml:space="preserve">which </w:t>
      </w:r>
      <w:r w:rsidR="00E05968">
        <w:t xml:space="preserve">also </w:t>
      </w:r>
      <w:r>
        <w:t xml:space="preserve">brings into play the Firm’s causation </w:t>
      </w:r>
      <w:r w:rsidR="00E05968">
        <w:t xml:space="preserve">defence </w:t>
      </w:r>
      <w:r w:rsidR="00A4566C">
        <w:t xml:space="preserve">(with the tension </w:t>
      </w:r>
      <w:r w:rsidR="006A79D5">
        <w:t>created</w:t>
      </w:r>
      <w:r w:rsidR="00A4566C">
        <w:t xml:space="preserve"> between that </w:t>
      </w:r>
      <w:r w:rsidR="000477E4">
        <w:t>defence and the Firm</w:t>
      </w:r>
      <w:r w:rsidR="006E67C7">
        <w:t xml:space="preserve"> allying itself with </w:t>
      </w:r>
      <w:r w:rsidR="00B419CA">
        <w:t xml:space="preserve">the Claimants’ earlier position on the interpretation of the Articles) </w:t>
      </w:r>
      <w:r w:rsidR="00682E8F">
        <w:t xml:space="preserve">which is </w:t>
      </w:r>
      <w:r w:rsidR="008564A8">
        <w:t>to the effect that</w:t>
      </w:r>
      <w:r w:rsidR="001B09BA">
        <w:t xml:space="preserve">, had </w:t>
      </w:r>
      <w:r w:rsidR="002A7DF5">
        <w:t xml:space="preserve">the Firm advised the Claimants upon the risk, it would have been a litigation risk that the Claimants would have been prepared </w:t>
      </w:r>
      <w:r w:rsidR="00A87ECD">
        <w:t xml:space="preserve">to accept as the price of </w:t>
      </w:r>
      <w:r w:rsidR="00DF3EEA">
        <w:t xml:space="preserve">concluding </w:t>
      </w:r>
      <w:r w:rsidR="00A87ECD">
        <w:t xml:space="preserve">the </w:t>
      </w:r>
      <w:r w:rsidR="00F85C03">
        <w:t>T</w:t>
      </w:r>
      <w:r w:rsidR="00A87ECD">
        <w:t xml:space="preserve">ransaction </w:t>
      </w:r>
      <w:r w:rsidR="00B275D2">
        <w:t>and/or a risk that</w:t>
      </w:r>
      <w:r w:rsidR="009E1814">
        <w:t>, once highlighted in pre-completion negotiations,</w:t>
      </w:r>
      <w:r w:rsidR="00B275D2">
        <w:t xml:space="preserve"> </w:t>
      </w:r>
      <w:r w:rsidR="007750D9">
        <w:t>Liv</w:t>
      </w:r>
      <w:r w:rsidR="008564A8">
        <w:t xml:space="preserve">ingbridge would not have agreed </w:t>
      </w:r>
      <w:r w:rsidR="007750D9">
        <w:t xml:space="preserve">to eliminate by agreeing </w:t>
      </w:r>
      <w:r w:rsidR="008C6C8C">
        <w:t xml:space="preserve">an </w:t>
      </w:r>
      <w:r w:rsidR="007750D9">
        <w:t xml:space="preserve">appropriate </w:t>
      </w:r>
      <w:r w:rsidR="00A87ECD">
        <w:t>revis</w:t>
      </w:r>
      <w:r w:rsidR="008C6C8C">
        <w:t>ion of the Articles</w:t>
      </w:r>
      <w:r w:rsidR="007750D9">
        <w:t>.</w:t>
      </w:r>
      <w:r w:rsidR="001B09BA">
        <w:t xml:space="preserve"> </w:t>
      </w:r>
      <w:r>
        <w:t xml:space="preserve">    </w:t>
      </w:r>
    </w:p>
    <w:p w14:paraId="2792A74A" w14:textId="090127E4" w:rsidR="00DD4C69" w:rsidRDefault="00DD4C69" w:rsidP="00EF2FE7">
      <w:pPr>
        <w:pStyle w:val="ParaLevel1"/>
        <w:numPr>
          <w:ilvl w:val="0"/>
          <w:numId w:val="0"/>
        </w:numPr>
        <w:ind w:left="720"/>
      </w:pPr>
    </w:p>
    <w:p w14:paraId="0C641226" w14:textId="77777777" w:rsidR="00FC5899" w:rsidRDefault="00FC5899" w:rsidP="00EF2FE7">
      <w:pPr>
        <w:pStyle w:val="ParaLevel1"/>
        <w:numPr>
          <w:ilvl w:val="0"/>
          <w:numId w:val="0"/>
        </w:numPr>
        <w:ind w:left="720"/>
      </w:pPr>
    </w:p>
    <w:p w14:paraId="46EA52FA" w14:textId="2E2F161B" w:rsidR="00024938" w:rsidRPr="001D4DEE" w:rsidRDefault="00024938" w:rsidP="00EF2FE7">
      <w:pPr>
        <w:pStyle w:val="ParaLevel1"/>
        <w:numPr>
          <w:ilvl w:val="0"/>
          <w:numId w:val="0"/>
        </w:numPr>
        <w:ind w:left="720"/>
        <w:rPr>
          <w:b/>
          <w:bCs/>
          <w:u w:val="single"/>
        </w:rPr>
      </w:pPr>
      <w:r w:rsidRPr="001D4DEE">
        <w:rPr>
          <w:b/>
          <w:bCs/>
          <w:u w:val="single"/>
        </w:rPr>
        <w:t>Scenarios 1 and 2</w:t>
      </w:r>
    </w:p>
    <w:p w14:paraId="63408DA7" w14:textId="2CA46ECB" w:rsidR="00F67E64" w:rsidRDefault="00F67E64" w:rsidP="00EF2FE7">
      <w:pPr>
        <w:pStyle w:val="ParaLevel1"/>
      </w:pPr>
      <w:r>
        <w:t xml:space="preserve">The Claimants’ case on loss is predicated upon </w:t>
      </w:r>
      <w:r w:rsidR="00CA16CE">
        <w:t xml:space="preserve">a loss of chance within </w:t>
      </w:r>
      <w:r w:rsidR="0093014C">
        <w:t xml:space="preserve">the alternatives of Scenario 1 and Scenario 2.  By the conclusion of the trial, </w:t>
      </w:r>
      <w:r w:rsidR="00E44EED">
        <w:t xml:space="preserve">they had not abandoned Scenario </w:t>
      </w:r>
      <w:r w:rsidR="00541521">
        <w:t>1</w:t>
      </w:r>
      <w:r w:rsidR="00E44EED">
        <w:t xml:space="preserve"> </w:t>
      </w:r>
      <w:r w:rsidR="00CA16CE">
        <w:t xml:space="preserve">(proceeding with </w:t>
      </w:r>
      <w:r w:rsidR="00FC5899">
        <w:t xml:space="preserve">the </w:t>
      </w:r>
      <w:r w:rsidR="006C5E91">
        <w:t>Transaction having agreed with Livingbridge that the RPP</w:t>
      </w:r>
      <w:r w:rsidR="00B33F65">
        <w:t xml:space="preserve"> was to be disapplied on the valuation under article 18.4.1) but </w:t>
      </w:r>
      <w:r w:rsidR="008230DC">
        <w:t xml:space="preserve">they recognised that the thrust of their evidence </w:t>
      </w:r>
      <w:r w:rsidR="00D56738">
        <w:t xml:space="preserve">at trial </w:t>
      </w:r>
      <w:r w:rsidR="008230DC">
        <w:t xml:space="preserve">supported Scenario </w:t>
      </w:r>
      <w:r w:rsidR="00656449">
        <w:t xml:space="preserve">2: that they would have walked away from the Transaction (in the face of Livingbridge not being prepared to agree </w:t>
      </w:r>
      <w:r w:rsidR="000A3CA5">
        <w:t>the point) and proceeded with a different transaction with an alternative investor.</w:t>
      </w:r>
    </w:p>
    <w:p w14:paraId="36019BCB" w14:textId="5A80AA3F" w:rsidR="00053E5B" w:rsidRDefault="00CE3328" w:rsidP="00EF2FE7">
      <w:pPr>
        <w:pStyle w:val="ParaLevel1"/>
      </w:pPr>
      <w:r>
        <w:t xml:space="preserve">The Claimants’ case on loss </w:t>
      </w:r>
      <w:r w:rsidR="00171EF6" w:rsidRPr="00171EF6">
        <w:t xml:space="preserve">(assuming the conclusions upon the meaning of the Articles and any correlative duty upon the Firm </w:t>
      </w:r>
      <w:r w:rsidR="00171EF6">
        <w:t xml:space="preserve">would </w:t>
      </w:r>
      <w:r w:rsidR="00171EF6" w:rsidRPr="00171EF6">
        <w:t xml:space="preserve">support it </w:t>
      </w:r>
      <w:r w:rsidR="00D13FA7">
        <w:t xml:space="preserve">in </w:t>
      </w:r>
      <w:r w:rsidR="00171EF6" w:rsidRPr="00171EF6">
        <w:t>principle)</w:t>
      </w:r>
      <w:r w:rsidR="00171EF6">
        <w:t xml:space="preserve"> </w:t>
      </w:r>
      <w:r>
        <w:t xml:space="preserve">does not rest upon the difference between </w:t>
      </w:r>
      <w:r w:rsidR="000C3A7E">
        <w:t xml:space="preserve">the </w:t>
      </w:r>
      <w:r w:rsidR="00F7122B">
        <w:t xml:space="preserve">market </w:t>
      </w:r>
      <w:r w:rsidR="000C3A7E">
        <w:t xml:space="preserve">value </w:t>
      </w:r>
      <w:r w:rsidR="00F7122B">
        <w:t>right under</w:t>
      </w:r>
      <w:r w:rsidR="000C598C">
        <w:t xml:space="preserve"> article 18.4.1 </w:t>
      </w:r>
      <w:r w:rsidR="00ED6D4C">
        <w:t xml:space="preserve">(1) </w:t>
      </w:r>
      <w:r w:rsidR="00395544">
        <w:t>with</w:t>
      </w:r>
      <w:r w:rsidR="00ED6D4C">
        <w:t xml:space="preserve"> and (2) without the impact of the RPP.</w:t>
      </w:r>
      <w:r w:rsidR="00962283">
        <w:t xml:space="preserve">  </w:t>
      </w:r>
      <w:r w:rsidR="006B2235">
        <w:t xml:space="preserve">The Firm gave no </w:t>
      </w:r>
      <w:r w:rsidR="00693BD5">
        <w:t xml:space="preserve">warranty that the RPP </w:t>
      </w:r>
      <w:r w:rsidR="00A577BA">
        <w:t>had no impact upon</w:t>
      </w:r>
      <w:r w:rsidR="00693BD5">
        <w:t xml:space="preserve"> the valuation under article 18.4.1.  </w:t>
      </w:r>
      <w:r w:rsidR="00962283">
        <w:t>Instead</w:t>
      </w:r>
      <w:r w:rsidR="00693BD5">
        <w:t>, the case on loss rests upon th</w:t>
      </w:r>
      <w:r w:rsidR="00CA520F">
        <w:t>os</w:t>
      </w:r>
      <w:r w:rsidR="00693BD5">
        <w:t xml:space="preserve">e two alternative and hypothetical scenarios which </w:t>
      </w:r>
      <w:r w:rsidR="00D864E2">
        <w:t>arise on the assumption that the Firm should have flagged up that the RPP either</w:t>
      </w:r>
      <w:r w:rsidR="00251001">
        <w:t xml:space="preserve"> would or could have had such an impact and that the Claimants </w:t>
      </w:r>
      <w:r w:rsidR="006A73E8">
        <w:t>(and either Livingbidge or others) would have acted accordingly.</w:t>
      </w:r>
    </w:p>
    <w:p w14:paraId="16FE19EE" w14:textId="48E8ECAD" w:rsidR="00F67E64" w:rsidRDefault="00053E5B" w:rsidP="00EF2FE7">
      <w:pPr>
        <w:pStyle w:val="ParaLevel1"/>
      </w:pPr>
      <w:r>
        <w:t xml:space="preserve">It is these hypothetical scenarios which have </w:t>
      </w:r>
      <w:r w:rsidR="00C34B10">
        <w:t xml:space="preserve">resulted in the two alternative valuation dates </w:t>
      </w:r>
      <w:r w:rsidR="00FF37FB">
        <w:t xml:space="preserve">of 3 December </w:t>
      </w:r>
      <w:r w:rsidR="007669E4">
        <w:t xml:space="preserve">2014 and 27 July 2015 </w:t>
      </w:r>
      <w:r w:rsidR="00B17070">
        <w:t>as focal points for the expert evidence mentioned below</w:t>
      </w:r>
      <w:r w:rsidR="007669E4">
        <w:t xml:space="preserve">.  </w:t>
      </w:r>
      <w:r w:rsidR="0086601A">
        <w:t>That said, i</w:t>
      </w:r>
      <w:r w:rsidR="00560A3B">
        <w:t>n his closing submissions</w:t>
      </w:r>
      <w:r w:rsidR="00B07FFD">
        <w:t xml:space="preserve"> Mr Leiper </w:t>
      </w:r>
      <w:r w:rsidR="0086601A">
        <w:t xml:space="preserve">QC </w:t>
      </w:r>
      <w:r w:rsidR="00F23AA8">
        <w:t xml:space="preserve">made the point </w:t>
      </w:r>
      <w:r w:rsidR="00227603">
        <w:t xml:space="preserve">(by reference to paragraph 34(b) of the Particulars of Claim) </w:t>
      </w:r>
      <w:r w:rsidR="00F23AA8">
        <w:t xml:space="preserve">that </w:t>
      </w:r>
      <w:r w:rsidR="00DF7C2B">
        <w:t xml:space="preserve">the </w:t>
      </w:r>
      <w:r w:rsidR="00F23AA8">
        <w:t xml:space="preserve">alternative </w:t>
      </w:r>
      <w:r w:rsidR="00DF7C2B">
        <w:t xml:space="preserve">hypothetical </w:t>
      </w:r>
      <w:r w:rsidR="00F23AA8">
        <w:t xml:space="preserve">transaction for the purposes of Scenario </w:t>
      </w:r>
      <w:r w:rsidR="00AB7675">
        <w:t xml:space="preserve">2 </w:t>
      </w:r>
      <w:r w:rsidR="00DF7C2B">
        <w:t xml:space="preserve">was not </w:t>
      </w:r>
      <w:r w:rsidR="00D122F9">
        <w:t xml:space="preserve">fixed at the date of 3 December 2014 but instead might </w:t>
      </w:r>
      <w:r w:rsidR="00AB7675">
        <w:t xml:space="preserve">have taken some time to </w:t>
      </w:r>
      <w:r w:rsidR="00846B4F">
        <w:t>conclude</w:t>
      </w:r>
      <w:r w:rsidR="007A6C88">
        <w:t xml:space="preserve"> </w:t>
      </w:r>
      <w:r w:rsidR="00D122F9">
        <w:t xml:space="preserve">in circumstances where </w:t>
      </w:r>
      <w:r w:rsidR="00A0029A">
        <w:t>(he submitted) the value of IPS UK at that date was increasing.</w:t>
      </w:r>
      <w:r w:rsidR="00846B4F">
        <w:t xml:space="preserve"> </w:t>
      </w:r>
      <w:r w:rsidR="00B17070">
        <w:t xml:space="preserve"> </w:t>
      </w:r>
      <w:r w:rsidR="00962283">
        <w:t xml:space="preserve"> </w:t>
      </w:r>
      <w:r w:rsidR="00395544">
        <w:t xml:space="preserve"> </w:t>
      </w:r>
      <w:r w:rsidR="005975F4">
        <w:t xml:space="preserve"> </w:t>
      </w:r>
    </w:p>
    <w:p w14:paraId="2CFE2358" w14:textId="77777777" w:rsidR="00CD7822" w:rsidRDefault="00CD7822" w:rsidP="00EF2FE7">
      <w:pPr>
        <w:pStyle w:val="ParaLevel1"/>
        <w:numPr>
          <w:ilvl w:val="0"/>
          <w:numId w:val="0"/>
        </w:numPr>
        <w:rPr>
          <w:b/>
          <w:bCs/>
          <w:u w:val="single"/>
        </w:rPr>
      </w:pPr>
    </w:p>
    <w:p w14:paraId="4DBAF893" w14:textId="58A4B6BB" w:rsidR="008F1133" w:rsidRPr="008F1133" w:rsidRDefault="00521AB8" w:rsidP="00EF2FE7">
      <w:pPr>
        <w:pStyle w:val="ParaLevel1"/>
        <w:numPr>
          <w:ilvl w:val="0"/>
          <w:numId w:val="0"/>
        </w:numPr>
        <w:rPr>
          <w:b/>
          <w:bCs/>
          <w:u w:val="single"/>
        </w:rPr>
      </w:pPr>
      <w:r>
        <w:rPr>
          <w:b/>
          <w:bCs/>
          <w:u w:val="single"/>
        </w:rPr>
        <w:t>H.</w:t>
      </w:r>
      <w:r>
        <w:rPr>
          <w:b/>
          <w:bCs/>
          <w:u w:val="single"/>
        </w:rPr>
        <w:tab/>
      </w:r>
      <w:r w:rsidR="008F1133" w:rsidRPr="008F1133">
        <w:rPr>
          <w:b/>
          <w:bCs/>
          <w:u w:val="single"/>
        </w:rPr>
        <w:t>LEGAL PRINCIPLES</w:t>
      </w:r>
    </w:p>
    <w:p w14:paraId="700A22FA" w14:textId="463EE481" w:rsidR="00FD6DF1" w:rsidRDefault="00CD7822" w:rsidP="00EF2FE7">
      <w:pPr>
        <w:pStyle w:val="ParaLevel1"/>
      </w:pPr>
      <w:r>
        <w:t>A significant number of authorities were included in the bundle before the court but there was no real controversy between the parties over the legal principles governing the claim.</w:t>
      </w:r>
    </w:p>
    <w:p w14:paraId="50C78F62" w14:textId="6BA08A36" w:rsidR="008C1C90" w:rsidRPr="005051F0" w:rsidRDefault="008C1C90" w:rsidP="00EF2FE7">
      <w:pPr>
        <w:pStyle w:val="ParaLevel1"/>
        <w:numPr>
          <w:ilvl w:val="0"/>
          <w:numId w:val="0"/>
        </w:numPr>
        <w:rPr>
          <w:b/>
          <w:bCs/>
        </w:rPr>
      </w:pPr>
      <w:r w:rsidRPr="005051F0">
        <w:rPr>
          <w:b/>
          <w:bCs/>
          <w:u w:val="single"/>
        </w:rPr>
        <w:t>Duty/Standard of Care</w:t>
      </w:r>
    </w:p>
    <w:p w14:paraId="44AD8AED" w14:textId="25002199" w:rsidR="00C940B5" w:rsidRDefault="00376BE0" w:rsidP="00EF2FE7">
      <w:pPr>
        <w:pStyle w:val="ParaLevel1"/>
      </w:pPr>
      <w:r>
        <w:t xml:space="preserve">The Firm </w:t>
      </w:r>
      <w:r w:rsidR="00FF219A">
        <w:t xml:space="preserve">referred to the decision of Oliver J in </w:t>
      </w:r>
      <w:r w:rsidR="00675E3B" w:rsidRPr="00680CCA">
        <w:rPr>
          <w:i/>
          <w:iCs/>
        </w:rPr>
        <w:t>Midland Bank Trust Co Ltd</w:t>
      </w:r>
      <w:r w:rsidR="00675E3B" w:rsidRPr="00675E3B">
        <w:t xml:space="preserve"> v </w:t>
      </w:r>
      <w:r w:rsidR="00675E3B" w:rsidRPr="00680CCA">
        <w:rPr>
          <w:i/>
          <w:iCs/>
        </w:rPr>
        <w:t xml:space="preserve">Hett, Stubbs &amp; Kemp </w:t>
      </w:r>
      <w:r w:rsidR="00675E3B" w:rsidRPr="00675E3B">
        <w:t>[1979] Ch 384,</w:t>
      </w:r>
      <w:r w:rsidR="00675E3B">
        <w:t xml:space="preserve"> where</w:t>
      </w:r>
      <w:r w:rsidR="00680CCA">
        <w:t>, at p.</w:t>
      </w:r>
      <w:r w:rsidR="00675E3B" w:rsidRPr="00675E3B">
        <w:t xml:space="preserve"> 402</w:t>
      </w:r>
      <w:r w:rsidR="00680CCA">
        <w:t>, he said: “</w:t>
      </w:r>
      <w:r w:rsidR="00C940B5" w:rsidRPr="00680CCA">
        <w:rPr>
          <w:i/>
          <w:iCs/>
        </w:rPr>
        <w:t>The extent of his duties depends upon the terms and limits of that retainer and any</w:t>
      </w:r>
      <w:r w:rsidR="00680CCA" w:rsidRPr="00680CCA">
        <w:rPr>
          <w:i/>
          <w:iCs/>
        </w:rPr>
        <w:t xml:space="preserve"> </w:t>
      </w:r>
      <w:r w:rsidR="00C940B5" w:rsidRPr="00680CCA">
        <w:rPr>
          <w:i/>
          <w:iCs/>
        </w:rPr>
        <w:t>duty of care to be implied must be related to what he is instructed to do</w:t>
      </w:r>
      <w:r w:rsidR="00C940B5">
        <w:t>.</w:t>
      </w:r>
      <w:r w:rsidR="00680CCA">
        <w:t>”</w:t>
      </w:r>
      <w:r w:rsidR="00C940B5">
        <w:t xml:space="preserve">  </w:t>
      </w:r>
    </w:p>
    <w:p w14:paraId="5E2DEF4A" w14:textId="203E5502" w:rsidR="00A42C88" w:rsidRDefault="00C940B5" w:rsidP="00EF2FE7">
      <w:pPr>
        <w:pStyle w:val="ParaLevel1"/>
      </w:pPr>
      <w:r>
        <w:t>In the present case, the Firm’s retainer extended to the negotiation and review of the Company’s Articles.</w:t>
      </w:r>
      <w:r w:rsidR="00A817BC">
        <w:t xml:space="preserve">  </w:t>
      </w:r>
      <w:r w:rsidR="002A7512">
        <w:t xml:space="preserve">Mr Tozzi QC and Mr Wright, citing </w:t>
      </w:r>
      <w:r w:rsidR="00A42C88" w:rsidRPr="00965BAC">
        <w:rPr>
          <w:i/>
          <w:iCs/>
        </w:rPr>
        <w:t>Haigh v Wright Hassall</w:t>
      </w:r>
      <w:r w:rsidR="00A42C88" w:rsidRPr="00A42C88">
        <w:t xml:space="preserve"> [1994] EG 54</w:t>
      </w:r>
      <w:r w:rsidR="00A42C88">
        <w:t xml:space="preserve"> and </w:t>
      </w:r>
      <w:r w:rsidR="00A42C88" w:rsidRPr="00965BAC">
        <w:rPr>
          <w:i/>
          <w:iCs/>
        </w:rPr>
        <w:t>Reeves v Thrings &amp; Long</w:t>
      </w:r>
      <w:r w:rsidR="00A42C88" w:rsidRPr="00A42C88">
        <w:t xml:space="preserve"> [1996] PNLR 265</w:t>
      </w:r>
      <w:r w:rsidR="005C03EA">
        <w:t xml:space="preserve">, submitted that nothing in the retainer </w:t>
      </w:r>
      <w:r w:rsidR="00A42C88">
        <w:t xml:space="preserve">derogated from the usual position that solicitors are not obliged to give business advice or </w:t>
      </w:r>
      <w:r w:rsidR="005C03EA">
        <w:t xml:space="preserve">to </w:t>
      </w:r>
      <w:r w:rsidR="00A42C88">
        <w:t>explain the commercial importance of the legal position</w:t>
      </w:r>
      <w:r w:rsidR="005C03EA">
        <w:t>.</w:t>
      </w:r>
      <w:r w:rsidR="00850C60">
        <w:t xml:space="preserve">  I return below to their submission </w:t>
      </w:r>
      <w:r w:rsidR="00786796">
        <w:t xml:space="preserve">that the RPP was the product of a commercial negotiation which was presented to the Firm </w:t>
      </w:r>
      <w:r w:rsidR="004A2B2C">
        <w:t>as a concluded deal.</w:t>
      </w:r>
    </w:p>
    <w:p w14:paraId="1DAFECE1" w14:textId="1D4D2E2F" w:rsidR="000B506B" w:rsidRDefault="000B506B" w:rsidP="00EF2FE7">
      <w:pPr>
        <w:pStyle w:val="ParaLevel1"/>
      </w:pPr>
      <w:r w:rsidRPr="000B506B">
        <w:t xml:space="preserve">In </w:t>
      </w:r>
      <w:r w:rsidRPr="0010749D">
        <w:rPr>
          <w:i/>
          <w:iCs/>
        </w:rPr>
        <w:t>Midland Bank v Hett, Stubbs &amp; Kemp</w:t>
      </w:r>
      <w:r w:rsidRPr="000B506B">
        <w:t xml:space="preserve">, at </w:t>
      </w:r>
      <w:r>
        <w:t xml:space="preserve">403, </w:t>
      </w:r>
      <w:r w:rsidR="003950D7">
        <w:t xml:space="preserve">the court identified the standard to which a defendant solicitor is to be held is that of </w:t>
      </w:r>
      <w:r w:rsidR="00ED6EFE">
        <w:t>the “</w:t>
      </w:r>
      <w:r w:rsidR="00ED6EFE" w:rsidRPr="0010749D">
        <w:rPr>
          <w:i/>
          <w:iCs/>
        </w:rPr>
        <w:t>reasonably competent solicitor</w:t>
      </w:r>
      <w:r w:rsidR="00ED6EFE">
        <w:t xml:space="preserve">” practising in the relevant field. </w:t>
      </w:r>
      <w:r w:rsidR="00F46153">
        <w:t xml:space="preserve">It is </w:t>
      </w:r>
      <w:r w:rsidR="00F46153" w:rsidRPr="00A14F64">
        <w:t>not</w:t>
      </w:r>
      <w:r w:rsidR="00F46153">
        <w:t xml:space="preserve"> that of </w:t>
      </w:r>
      <w:r w:rsidR="008F3770">
        <w:t>the “</w:t>
      </w:r>
      <w:r w:rsidR="008F3770" w:rsidRPr="0010749D">
        <w:rPr>
          <w:i/>
          <w:iCs/>
        </w:rPr>
        <w:t>particularly meticulous and conscientious practitioner</w:t>
      </w:r>
      <w:r w:rsidR="0010749D">
        <w:t xml:space="preserve"> </w:t>
      </w:r>
      <w:r w:rsidR="0010749D" w:rsidRPr="0010749D">
        <w:rPr>
          <w:i/>
          <w:iCs/>
        </w:rPr>
        <w:t>[who] would, in his client's general interests, take it upon himself to pursue a line of inquiry beyond the strict limits comprehended by his instructions</w:t>
      </w:r>
      <w:r w:rsidR="0010749D">
        <w:t>”.</w:t>
      </w:r>
    </w:p>
    <w:p w14:paraId="0F9C375F" w14:textId="14CEAFFF" w:rsidR="00EC79C8" w:rsidRDefault="00ED150E" w:rsidP="00EF2FE7">
      <w:pPr>
        <w:pStyle w:val="ParaLevel1"/>
      </w:pPr>
      <w:r>
        <w:t xml:space="preserve">In </w:t>
      </w:r>
      <w:r w:rsidR="003E4B7C" w:rsidRPr="001300A1">
        <w:rPr>
          <w:i/>
          <w:iCs/>
        </w:rPr>
        <w:t>Duchess v Argyll v Beuselinck</w:t>
      </w:r>
      <w:r w:rsidR="003E4B7C" w:rsidRPr="003E4B7C">
        <w:t xml:space="preserve"> [1972] 2 Lloyd’s Rep 172</w:t>
      </w:r>
      <w:r w:rsidR="00094048">
        <w:t xml:space="preserve"> (later</w:t>
      </w:r>
      <w:r w:rsidR="003E4B7C" w:rsidRPr="003E4B7C">
        <w:t xml:space="preserve"> approved by the Court of Appeal in </w:t>
      </w:r>
      <w:r w:rsidR="003E4B7C" w:rsidRPr="001300A1">
        <w:rPr>
          <w:i/>
          <w:iCs/>
        </w:rPr>
        <w:t>Martin Boston Co v Roberts</w:t>
      </w:r>
      <w:r w:rsidR="003E4B7C" w:rsidRPr="003E4B7C">
        <w:t xml:space="preserve"> [1996] PNLR 45</w:t>
      </w:r>
      <w:r w:rsidR="00094048">
        <w:t>) Megarry J said</w:t>
      </w:r>
      <w:r w:rsidR="00934704">
        <w:t xml:space="preserve">, at </w:t>
      </w:r>
      <w:r w:rsidR="00D52F7A">
        <w:t>185</w:t>
      </w:r>
      <w:r w:rsidR="00934704">
        <w:t>:</w:t>
      </w:r>
      <w:r w:rsidR="00094048">
        <w:t xml:space="preserve"> </w:t>
      </w:r>
      <w:r w:rsidR="00934704">
        <w:t>“</w:t>
      </w:r>
      <w:r w:rsidR="00934704" w:rsidRPr="001300A1">
        <w:rPr>
          <w:i/>
          <w:iCs/>
        </w:rPr>
        <w:t>hindsight is no touchstone of negligence</w:t>
      </w:r>
      <w:r w:rsidR="00934704">
        <w:t xml:space="preserve">”. </w:t>
      </w:r>
      <w:r w:rsidR="001300A1">
        <w:t xml:space="preserve"> </w:t>
      </w:r>
      <w:r w:rsidR="00D22922">
        <w:t xml:space="preserve">The </w:t>
      </w:r>
      <w:r w:rsidR="009B3F95">
        <w:t xml:space="preserve">level of care and skill to be expected of the Firm must </w:t>
      </w:r>
      <w:r w:rsidR="001300A1">
        <w:t xml:space="preserve">therefore </w:t>
      </w:r>
      <w:r w:rsidR="009B3F95">
        <w:t xml:space="preserve">be assessed by reference to </w:t>
      </w:r>
      <w:r w:rsidR="001A7E4C">
        <w:t xml:space="preserve">the position at the time they were acting in connection with the Transaction and its terms.  </w:t>
      </w:r>
    </w:p>
    <w:p w14:paraId="1DFD0199" w14:textId="15419274" w:rsidR="005A7944" w:rsidRDefault="009F786F" w:rsidP="00EF2FE7">
      <w:pPr>
        <w:pStyle w:val="ParaLevel1"/>
      </w:pPr>
      <w:r>
        <w:t xml:space="preserve">The Firm relied upon the </w:t>
      </w:r>
      <w:r w:rsidR="00987518">
        <w:t xml:space="preserve">following </w:t>
      </w:r>
      <w:r>
        <w:t xml:space="preserve">observation of </w:t>
      </w:r>
      <w:r w:rsidR="005A7944">
        <w:t xml:space="preserve">Hobhouse LJ in </w:t>
      </w:r>
      <w:r w:rsidR="005A7944" w:rsidRPr="005A7944">
        <w:rPr>
          <w:i/>
          <w:iCs/>
        </w:rPr>
        <w:t>Reeves v Thrings &amp; Long</w:t>
      </w:r>
      <w:r w:rsidR="005A7944">
        <w:t>, at pp. 288 – 289</w:t>
      </w:r>
      <w:r w:rsidR="00F61AB5">
        <w:t>, in warning against the</w:t>
      </w:r>
      <w:r w:rsidR="00054E5C">
        <w:t xml:space="preserve"> use of hindsight</w:t>
      </w:r>
      <w:r w:rsidR="00084D67">
        <w:t xml:space="preserve">, and recognition </w:t>
      </w:r>
      <w:r w:rsidR="0040571D">
        <w:t xml:space="preserve">that a commercial risk did subsequently materialise, </w:t>
      </w:r>
      <w:r w:rsidR="00CF03E3">
        <w:t>to influence the</w:t>
      </w:r>
      <w:r w:rsidR="00E911C9">
        <w:t xml:space="preserve"> argument as to what </w:t>
      </w:r>
      <w:r w:rsidR="009C59FE">
        <w:t xml:space="preserve">may fairly, justly and reasonably be expected of </w:t>
      </w:r>
      <w:r w:rsidR="00987518">
        <w:t xml:space="preserve">the Firm before it did materialise.  The </w:t>
      </w:r>
      <w:r w:rsidR="00D63578">
        <w:t>judge said he could</w:t>
      </w:r>
      <w:r w:rsidR="005A7944">
        <w:t xml:space="preserve">: </w:t>
      </w:r>
    </w:p>
    <w:p w14:paraId="5526D8AC" w14:textId="77777777" w:rsidR="005A7944" w:rsidRDefault="005A7944" w:rsidP="00EF2FE7">
      <w:pPr>
        <w:pStyle w:val="ParaLevel1"/>
        <w:numPr>
          <w:ilvl w:val="0"/>
          <w:numId w:val="0"/>
        </w:numPr>
        <w:ind w:left="1134"/>
      </w:pPr>
      <w:r w:rsidRPr="00D63578">
        <w:rPr>
          <w:i/>
          <w:iCs/>
        </w:rPr>
        <w:t>“…understand why this appeal has been brought.  In a case such as the present, it is easy for people to be wise after the event or for someone who has suffered financial loss to believe that loss has been caused by someone else’s fault.  In evaluating the evidence about a transaction such as this, it is, in my judgment, always relevant to bear in mind that the nature of business is to assess and take commercial risks….Things undoubtedly went wrong for the plaintiff in 1990 and thereafter.  But it is not sound to argue from how the problems of the plaintiffs were then seen to conclusions about how he must have viewed the transaction in 1986 under very different circumstances…”</w:t>
      </w:r>
      <w:r>
        <w:t xml:space="preserve"> .</w:t>
      </w:r>
    </w:p>
    <w:p w14:paraId="16255962" w14:textId="5DF367B2" w:rsidR="00A96774" w:rsidRDefault="00354E10" w:rsidP="00EF2FE7">
      <w:pPr>
        <w:pStyle w:val="ParaLevel1"/>
      </w:pPr>
      <w:r>
        <w:t xml:space="preserve">The Firm also relied upon the </w:t>
      </w:r>
      <w:r w:rsidR="0080407A">
        <w:t xml:space="preserve">decision of Asplin LJ in </w:t>
      </w:r>
      <w:r w:rsidR="00A96774" w:rsidRPr="00386021">
        <w:rPr>
          <w:i/>
          <w:iCs/>
        </w:rPr>
        <w:t>Barker v Baxendale-Walker</w:t>
      </w:r>
      <w:r w:rsidR="00A96774">
        <w:t xml:space="preserve"> [2018] 1 WLR 1905</w:t>
      </w:r>
      <w:r w:rsidR="001D2AD3">
        <w:t xml:space="preserve">, </w:t>
      </w:r>
      <w:r w:rsidR="00A96774">
        <w:t xml:space="preserve">at [59ff], </w:t>
      </w:r>
      <w:r w:rsidR="00F62FB5">
        <w:t>to illustrate the point that</w:t>
      </w:r>
      <w:r w:rsidR="00563F40">
        <w:t>, in a transactional con</w:t>
      </w:r>
      <w:r w:rsidR="003146DD">
        <w:t>t</w:t>
      </w:r>
      <w:r w:rsidR="00563F40">
        <w:t>ext,</w:t>
      </w:r>
      <w:r w:rsidR="00F62FB5">
        <w:t xml:space="preserve"> a solicitor is </w:t>
      </w:r>
      <w:r w:rsidR="00563F40">
        <w:t>only reasonably to be expected to advise upon “significant” risk</w:t>
      </w:r>
      <w:r w:rsidR="00CF6720">
        <w:t xml:space="preserve">s </w:t>
      </w:r>
      <w:r w:rsidR="003146DD">
        <w:t xml:space="preserve">created by the language of </w:t>
      </w:r>
      <w:r w:rsidR="000459B7">
        <w:t>the transaction.  With counsel’s present emphasis</w:t>
      </w:r>
      <w:r w:rsidR="006A437C">
        <w:t xml:space="preserve"> through underlining</w:t>
      </w:r>
      <w:r w:rsidR="000459B7">
        <w:t>, she said:</w:t>
      </w:r>
      <w:r w:rsidR="00563F40">
        <w:t xml:space="preserve"> </w:t>
      </w:r>
      <w:r w:rsidR="00A96774">
        <w:t xml:space="preserve">   </w:t>
      </w:r>
    </w:p>
    <w:p w14:paraId="31E2CF9B" w14:textId="77777777" w:rsidR="00A96774" w:rsidRPr="006A437C" w:rsidRDefault="00A96774" w:rsidP="00EF2FE7">
      <w:pPr>
        <w:pStyle w:val="ParaLevel1"/>
        <w:numPr>
          <w:ilvl w:val="0"/>
          <w:numId w:val="0"/>
        </w:numPr>
        <w:ind w:left="1134"/>
        <w:rPr>
          <w:i/>
          <w:iCs/>
        </w:rPr>
      </w:pPr>
      <w:r w:rsidRPr="006A437C">
        <w:rPr>
          <w:i/>
          <w:iCs/>
        </w:rPr>
        <w:t xml:space="preserve">“59. </w:t>
      </w:r>
      <w:r w:rsidRPr="006A437C">
        <w:rPr>
          <w:i/>
          <w:iCs/>
        </w:rPr>
        <w:tab/>
        <w:t>In this case, it is not alleged that the Respondents were negligent to take the view of the construction of section 28(4) that they appear to have done…The question is whether in the light of all the circumstances no reasonably competent solicitor in the position of the Respondents would have failed to give the specific warning that there was a significant risk that the EBT arrangement would fail to be tax effective….</w:t>
      </w:r>
    </w:p>
    <w:p w14:paraId="65434054" w14:textId="77777777" w:rsidR="00A96774" w:rsidRPr="006A437C" w:rsidRDefault="00A96774" w:rsidP="00EF2FE7">
      <w:pPr>
        <w:pStyle w:val="ParaLevel1"/>
        <w:numPr>
          <w:ilvl w:val="0"/>
          <w:numId w:val="0"/>
        </w:numPr>
        <w:ind w:left="1134"/>
        <w:rPr>
          <w:i/>
          <w:iCs/>
        </w:rPr>
      </w:pPr>
      <w:r w:rsidRPr="006A437C">
        <w:rPr>
          <w:i/>
          <w:iCs/>
        </w:rPr>
        <w:t xml:space="preserve">60. </w:t>
      </w:r>
      <w:r w:rsidRPr="006A437C">
        <w:rPr>
          <w:i/>
          <w:iCs/>
        </w:rPr>
        <w:tab/>
      </w:r>
      <w:r w:rsidRPr="006A437C">
        <w:rPr>
          <w:i/>
          <w:iCs/>
          <w:u w:val="single"/>
        </w:rPr>
        <w:t>It is important to appreciate that the court is considering what advice ought to have been given by the reasonably competent practitioner in the particular factual circumstances at the time. Of course, the advice which a reasonably competent solicitor would give in the circumstances turns substantially upon the view that he could take of the provision on which it turns. It is also dependent upon whether contrary arguments as to construction are of sufficient significance to require specific mention when taken with the degree of risk inherent in the circumstances and the importance in those circumstances of a balanced view of the provision. As Salmon LJ noted in Dixie v Parsons the question turns in part upon the likelihood or otherwise of a dispute</w:t>
      </w:r>
      <w:r w:rsidRPr="006A437C">
        <w:rPr>
          <w:i/>
          <w:iCs/>
        </w:rPr>
        <w:t>”</w:t>
      </w:r>
    </w:p>
    <w:p w14:paraId="7676822B" w14:textId="77777777" w:rsidR="00C03E1F" w:rsidRDefault="00244551" w:rsidP="00EF2FE7">
      <w:pPr>
        <w:pStyle w:val="ParaLevel1"/>
      </w:pPr>
      <w:r>
        <w:t xml:space="preserve">The </w:t>
      </w:r>
      <w:r w:rsidR="00EE2DB0">
        <w:t>very aggressive tax avoidance scheme</w:t>
      </w:r>
      <w:r w:rsidR="00052DE0">
        <w:t xml:space="preserve"> in that case, with an attendant likelihood of a dispute which should have </w:t>
      </w:r>
      <w:r w:rsidR="008C1FB7">
        <w:t xml:space="preserve">been obvious to any reasonably competent solicitor was contrasted by </w:t>
      </w:r>
      <w:r w:rsidR="00EF1480">
        <w:t xml:space="preserve">the Firm with the decision of </w:t>
      </w:r>
      <w:r w:rsidR="00E7437D">
        <w:t xml:space="preserve">Mr Mark Cawson QC (as he then was) in </w:t>
      </w:r>
      <w:r w:rsidR="00402BD5" w:rsidRPr="003324B2">
        <w:rPr>
          <w:i/>
          <w:iCs/>
        </w:rPr>
        <w:t>Petrocapital Resources plc v Morrison &amp; Foerster (UK) LLP</w:t>
      </w:r>
      <w:r w:rsidR="00402BD5" w:rsidRPr="00402BD5">
        <w:t xml:space="preserve"> [2013] EWHC 2682 (Ch)</w:t>
      </w:r>
      <w:r w:rsidR="00402BD5">
        <w:t xml:space="preserve">.  </w:t>
      </w:r>
    </w:p>
    <w:p w14:paraId="3C85FF9F" w14:textId="669E4B47" w:rsidR="00C73030" w:rsidRDefault="009C5367" w:rsidP="00EF2FE7">
      <w:pPr>
        <w:pStyle w:val="ParaLevel1"/>
      </w:pPr>
      <w:r>
        <w:t xml:space="preserve">In </w:t>
      </w:r>
      <w:r w:rsidR="00C03E1F" w:rsidRPr="00BA0A2E">
        <w:rPr>
          <w:i/>
          <w:iCs/>
        </w:rPr>
        <w:t>Petrocapital</w:t>
      </w:r>
      <w:r w:rsidR="00C03E1F">
        <w:t xml:space="preserve"> </w:t>
      </w:r>
      <w:r>
        <w:t xml:space="preserve">the solicitor </w:t>
      </w:r>
      <w:r w:rsidR="007A49DF">
        <w:t xml:space="preserve">had </w:t>
      </w:r>
      <w:r w:rsidR="00632757">
        <w:t xml:space="preserve">given his view upon the </w:t>
      </w:r>
      <w:r w:rsidR="00C73030">
        <w:t>true construction and effect of certain undertakings</w:t>
      </w:r>
      <w:r w:rsidR="00244B25">
        <w:t xml:space="preserve"> in convertible loan notes</w:t>
      </w:r>
      <w:r w:rsidR="00C73030">
        <w:t xml:space="preserve">.  </w:t>
      </w:r>
      <w:r w:rsidR="009F7C73">
        <w:t xml:space="preserve">The claimant argued he should have qualified his advice by saying that the matter raised construction issues that were highly arguable either way.  </w:t>
      </w:r>
      <w:r w:rsidR="004D1478">
        <w:t xml:space="preserve">The judge </w:t>
      </w:r>
      <w:r w:rsidR="00104E7A">
        <w:t xml:space="preserve">said that the </w:t>
      </w:r>
      <w:r w:rsidR="003324B2">
        <w:t xml:space="preserve">view expressed </w:t>
      </w:r>
      <w:r w:rsidR="00B13E65">
        <w:t xml:space="preserve">by the solicitor </w:t>
      </w:r>
      <w:r w:rsidR="003324B2">
        <w:t>was a perfectly tenable one which</w:t>
      </w:r>
      <w:r w:rsidR="00C03E1F">
        <w:t xml:space="preserve">, </w:t>
      </w:r>
      <w:r w:rsidR="00235FCC">
        <w:t>the judge further</w:t>
      </w:r>
      <w:r w:rsidR="00BA0A2E">
        <w:t xml:space="preserve"> concluded, accorded with the parties’ true subjective intentions as the solicitor reasonably understood them.  </w:t>
      </w:r>
      <w:r w:rsidR="00383113">
        <w:t>Nevertheless, he went on to say, at [171]:</w:t>
      </w:r>
    </w:p>
    <w:p w14:paraId="7CFED0F7" w14:textId="25254A9F" w:rsidR="00C73030" w:rsidRDefault="004915DB" w:rsidP="00EF2FE7">
      <w:pPr>
        <w:pStyle w:val="ParaLevel1"/>
        <w:numPr>
          <w:ilvl w:val="0"/>
          <w:numId w:val="0"/>
        </w:numPr>
        <w:ind w:left="1134"/>
      </w:pPr>
      <w:r>
        <w:t>“</w:t>
      </w:r>
      <w:r w:rsidR="00C73030" w:rsidRPr="004915DB">
        <w:rPr>
          <w:i/>
          <w:iCs/>
        </w:rPr>
        <w:t>Whilst Mr Lukins was, or ought to have been aware that his advice was being</w:t>
      </w:r>
      <w:r w:rsidR="00E1660B" w:rsidRPr="004915DB">
        <w:rPr>
          <w:i/>
          <w:iCs/>
        </w:rPr>
        <w:t xml:space="preserve"> </w:t>
      </w:r>
      <w:r w:rsidR="00C73030" w:rsidRPr="004915DB">
        <w:rPr>
          <w:i/>
          <w:iCs/>
        </w:rPr>
        <w:t>sought in somewhat controversial circumstances, this was not a situation in which</w:t>
      </w:r>
      <w:r w:rsidR="00E1660B" w:rsidRPr="004915DB">
        <w:rPr>
          <w:i/>
          <w:iCs/>
        </w:rPr>
        <w:t xml:space="preserve"> </w:t>
      </w:r>
      <w:r w:rsidR="00C73030" w:rsidRPr="004915DB">
        <w:rPr>
          <w:i/>
          <w:iCs/>
        </w:rPr>
        <w:t>he was actually aware that the construction of the Undertakings was likely to be</w:t>
      </w:r>
      <w:r w:rsidR="00E1660B" w:rsidRPr="004915DB">
        <w:rPr>
          <w:i/>
          <w:iCs/>
        </w:rPr>
        <w:t xml:space="preserve"> </w:t>
      </w:r>
      <w:r w:rsidR="00C73030" w:rsidRPr="004915DB">
        <w:rPr>
          <w:i/>
          <w:iCs/>
        </w:rPr>
        <w:t>controversial or in which, in my judgment, a reasonably competent solicitor in Mr</w:t>
      </w:r>
      <w:r w:rsidR="00E1660B" w:rsidRPr="004915DB">
        <w:rPr>
          <w:i/>
          <w:iCs/>
        </w:rPr>
        <w:t xml:space="preserve"> </w:t>
      </w:r>
      <w:r w:rsidR="00C73030" w:rsidRPr="004915DB">
        <w:rPr>
          <w:i/>
          <w:iCs/>
        </w:rPr>
        <w:t>Lukins</w:t>
      </w:r>
      <w:r w:rsidR="00E1660B" w:rsidRPr="004915DB">
        <w:rPr>
          <w:i/>
          <w:iCs/>
        </w:rPr>
        <w:t>’</w:t>
      </w:r>
      <w:r w:rsidR="00C73030" w:rsidRPr="004915DB">
        <w:rPr>
          <w:i/>
          <w:iCs/>
        </w:rPr>
        <w:t xml:space="preserve"> position (with knowledge of the parties’ subjective intentions) ought</w:t>
      </w:r>
      <w:r w:rsidR="00E1660B" w:rsidRPr="004915DB">
        <w:rPr>
          <w:i/>
          <w:iCs/>
        </w:rPr>
        <w:t xml:space="preserve"> </w:t>
      </w:r>
      <w:r w:rsidR="00C73030" w:rsidRPr="004915DB">
        <w:rPr>
          <w:i/>
          <w:iCs/>
        </w:rPr>
        <w:t>necessarily to have appreciated or advised that there were highly arguable</w:t>
      </w:r>
      <w:r w:rsidR="00E1660B" w:rsidRPr="004915DB">
        <w:rPr>
          <w:i/>
          <w:iCs/>
        </w:rPr>
        <w:t xml:space="preserve"> </w:t>
      </w:r>
      <w:r w:rsidR="00C73030" w:rsidRPr="004915DB">
        <w:rPr>
          <w:i/>
          <w:iCs/>
        </w:rPr>
        <w:t>construction issues that ought to be taken</w:t>
      </w:r>
      <w:r w:rsidR="00E1660B" w:rsidRPr="004915DB">
        <w:rPr>
          <w:i/>
          <w:iCs/>
        </w:rPr>
        <w:t xml:space="preserve"> </w:t>
      </w:r>
      <w:r w:rsidRPr="004915DB">
        <w:rPr>
          <w:i/>
          <w:iCs/>
        </w:rPr>
        <w:t>…….”</w:t>
      </w:r>
    </w:p>
    <w:p w14:paraId="3B9B451B" w14:textId="5C85AB31" w:rsidR="00E24DE3" w:rsidRDefault="006B2C9B" w:rsidP="00EF2FE7">
      <w:pPr>
        <w:pStyle w:val="ParaLevel1"/>
      </w:pPr>
      <w:r>
        <w:t xml:space="preserve">In submitting that a reasonably competent solicitor cannot be expected to </w:t>
      </w:r>
      <w:r w:rsidR="0000487E">
        <w:t xml:space="preserve">set out </w:t>
      </w:r>
      <w:r w:rsidR="008C6975">
        <w:t xml:space="preserve">the </w:t>
      </w:r>
      <w:r w:rsidR="0000487E">
        <w:t xml:space="preserve">competing arguments on every point of construction that might arise in </w:t>
      </w:r>
      <w:r w:rsidR="008C6253">
        <w:t xml:space="preserve">a case such as the present, Mr Tozzi QC and Mr Wright also referred to the following passage in </w:t>
      </w:r>
      <w:r w:rsidR="00C24732" w:rsidRPr="00E24DE3">
        <w:rPr>
          <w:u w:val="single"/>
        </w:rPr>
        <w:t>Jackson and Powell on Professional Liability</w:t>
      </w:r>
      <w:r w:rsidR="00C24732" w:rsidRPr="00C24732">
        <w:t xml:space="preserve"> (9th Ed, 2021)</w:t>
      </w:r>
      <w:r w:rsidR="00E24DE3">
        <w:t xml:space="preserve">, at </w:t>
      </w:r>
      <w:r w:rsidR="00C24732" w:rsidRPr="00C24732">
        <w:t>para 11-175:</w:t>
      </w:r>
    </w:p>
    <w:p w14:paraId="0C5CDD0E" w14:textId="67C99663" w:rsidR="00C22568" w:rsidRDefault="00C24732" w:rsidP="00EF2FE7">
      <w:pPr>
        <w:pStyle w:val="ParaLevel1"/>
        <w:numPr>
          <w:ilvl w:val="0"/>
          <w:numId w:val="0"/>
        </w:numPr>
        <w:ind w:left="1134"/>
      </w:pPr>
      <w:r w:rsidRPr="00C24732">
        <w:t xml:space="preserve"> </w:t>
      </w:r>
      <w:r w:rsidRPr="00E24DE3">
        <w:rPr>
          <w:i/>
          <w:iCs/>
        </w:rPr>
        <w:t>“…There must of course be a sensible limit upon the solicitor’s duty to explain legal documents.  When any such document (even a familiar document in common use) is put under the microscope, it will be found to abound with ambiguities, generalities or potential problems…</w:t>
      </w:r>
      <w:r w:rsidRPr="00C24732">
        <w:t>”.</w:t>
      </w:r>
    </w:p>
    <w:p w14:paraId="4E5322F6" w14:textId="22351C44" w:rsidR="005A7944" w:rsidRDefault="00FE5FF9" w:rsidP="00EF2FE7">
      <w:pPr>
        <w:pStyle w:val="ParaLevel1"/>
      </w:pPr>
      <w:r>
        <w:t xml:space="preserve">I </w:t>
      </w:r>
      <w:r w:rsidR="00C22568">
        <w:t>also return below to the Firm’s argument that it should not</w:t>
      </w:r>
      <w:r w:rsidR="00212701">
        <w:t xml:space="preserve">, in hindsight, be held liable for </w:t>
      </w:r>
      <w:r w:rsidR="00293034">
        <w:t xml:space="preserve">the </w:t>
      </w:r>
      <w:r w:rsidR="00D5613E">
        <w:t>outcomes in the Leaver Litigation (the Liability Judgment and the Quantum Judgment</w:t>
      </w:r>
      <w:r w:rsidR="00DB49B6">
        <w:t xml:space="preserve"> and the risk which materialised from them</w:t>
      </w:r>
      <w:r w:rsidR="00D5613E">
        <w:t>) which</w:t>
      </w:r>
      <w:r w:rsidR="00760548">
        <w:t xml:space="preserve"> the Firm could not reasonably have anticipated</w:t>
      </w:r>
      <w:r w:rsidR="00DB49B6">
        <w:t xml:space="preserve"> before the conclusion of the Transaction</w:t>
      </w:r>
      <w:r w:rsidR="00760548">
        <w:t>.</w:t>
      </w:r>
      <w:r w:rsidR="00D5613E">
        <w:t xml:space="preserve"> </w:t>
      </w:r>
    </w:p>
    <w:p w14:paraId="5935E13C" w14:textId="1196E3D5" w:rsidR="002D048F" w:rsidRPr="005051F0" w:rsidRDefault="002D048F" w:rsidP="00EF2FE7">
      <w:pPr>
        <w:pStyle w:val="ParaLevel1"/>
        <w:numPr>
          <w:ilvl w:val="0"/>
          <w:numId w:val="0"/>
        </w:numPr>
        <w:rPr>
          <w:b/>
          <w:bCs/>
          <w:u w:val="single"/>
        </w:rPr>
      </w:pPr>
      <w:r w:rsidRPr="005051F0">
        <w:rPr>
          <w:b/>
          <w:bCs/>
          <w:u w:val="single"/>
        </w:rPr>
        <w:t>Causation</w:t>
      </w:r>
    </w:p>
    <w:p w14:paraId="68859C7D" w14:textId="2940E892" w:rsidR="002D048F" w:rsidRDefault="00F42C66" w:rsidP="00EF2FE7">
      <w:pPr>
        <w:pStyle w:val="ParaLevel1"/>
      </w:pPr>
      <w:r>
        <w:t xml:space="preserve">The Claimants must establish that </w:t>
      </w:r>
      <w:r w:rsidR="0029288E">
        <w:t xml:space="preserve">the Firm’s alleged breaches are the legally effective cause of it and not just </w:t>
      </w:r>
      <w:r w:rsidR="00397835">
        <w:t xml:space="preserve">something which </w:t>
      </w:r>
      <w:r w:rsidR="001E48C3">
        <w:t xml:space="preserve">gives rise to the occasion for loss: </w:t>
      </w:r>
      <w:r w:rsidR="002B0252" w:rsidRPr="002B0252">
        <w:rPr>
          <w:i/>
          <w:iCs/>
        </w:rPr>
        <w:t>Galoo v Bright Graheme Murray</w:t>
      </w:r>
      <w:r w:rsidR="002B0252" w:rsidRPr="002B0252">
        <w:t xml:space="preserve"> [1994] 1 WLR 1360</w:t>
      </w:r>
      <w:r w:rsidR="00661268">
        <w:t xml:space="preserve">, at </w:t>
      </w:r>
      <w:r w:rsidR="000A68B7">
        <w:t>1374H-1375A</w:t>
      </w:r>
      <w:r w:rsidR="00661268">
        <w:t>, per Glidewell LJ</w:t>
      </w:r>
      <w:r w:rsidR="002B0252">
        <w:t xml:space="preserve">.  </w:t>
      </w:r>
    </w:p>
    <w:p w14:paraId="4A9B6540" w14:textId="664F0D2D" w:rsidR="00512123" w:rsidRDefault="003B457A" w:rsidP="00EF2FE7">
      <w:pPr>
        <w:pStyle w:val="ParaLevel1"/>
      </w:pPr>
      <w:r>
        <w:t xml:space="preserve">The primary task </w:t>
      </w:r>
      <w:r w:rsidR="007C1EB2">
        <w:t xml:space="preserve">for the court in </w:t>
      </w:r>
      <w:r w:rsidR="000E0A81">
        <w:t xml:space="preserve">approaching issues of causation in a negligence claim is that </w:t>
      </w:r>
      <w:r>
        <w:t>identifying the scope of the defendant</w:t>
      </w:r>
      <w:r w:rsidR="000E0A81">
        <w:t xml:space="preserve">’s duty.  </w:t>
      </w:r>
      <w:r w:rsidR="00E2207D">
        <w:t>This is clear from the</w:t>
      </w:r>
      <w:r w:rsidR="00004833">
        <w:t xml:space="preserve"> judgment of the majority of the Supreme Court in </w:t>
      </w:r>
      <w:r w:rsidR="00512123" w:rsidRPr="009C6A86">
        <w:rPr>
          <w:i/>
          <w:iCs/>
        </w:rPr>
        <w:t>Manchester Building Society v Grant Thornton UK LLP</w:t>
      </w:r>
      <w:r w:rsidR="001F4B50">
        <w:t xml:space="preserve"> </w:t>
      </w:r>
      <w:r w:rsidR="00512123">
        <w:t>[2021]</w:t>
      </w:r>
      <w:r w:rsidR="001F4B50">
        <w:t xml:space="preserve"> 3 WLR 81, at </w:t>
      </w:r>
      <w:r w:rsidR="000E0A81">
        <w:t>[6]</w:t>
      </w:r>
      <w:r w:rsidR="00ED63E8">
        <w:t>, and the</w:t>
      </w:r>
      <w:r w:rsidR="00EE3594">
        <w:t>ir enumeration of the following questions:</w:t>
      </w:r>
    </w:p>
    <w:p w14:paraId="49EC7436" w14:textId="7234A6B0" w:rsidR="000B0AEB" w:rsidRPr="00D7337D" w:rsidRDefault="00D7337D" w:rsidP="00EF2FE7">
      <w:pPr>
        <w:pStyle w:val="ParaLevel1"/>
        <w:numPr>
          <w:ilvl w:val="0"/>
          <w:numId w:val="0"/>
        </w:numPr>
        <w:ind w:left="1134"/>
        <w:rPr>
          <w:i/>
          <w:iCs/>
        </w:rPr>
      </w:pPr>
      <w:r>
        <w:rPr>
          <w:i/>
          <w:iCs/>
        </w:rPr>
        <w:t>“</w:t>
      </w:r>
      <w:r w:rsidR="000B0AEB" w:rsidRPr="00D7337D">
        <w:rPr>
          <w:i/>
          <w:iCs/>
        </w:rPr>
        <w:t>(1) Is the harm (loss, injury and damage) which is the subject matter of the</w:t>
      </w:r>
      <w:r w:rsidR="00DF038E" w:rsidRPr="00D7337D">
        <w:rPr>
          <w:i/>
          <w:iCs/>
        </w:rPr>
        <w:t xml:space="preserve"> </w:t>
      </w:r>
      <w:r w:rsidR="000B0AEB" w:rsidRPr="00D7337D">
        <w:rPr>
          <w:i/>
          <w:iCs/>
        </w:rPr>
        <w:t>claim actionable in negligence? (the actionability question)</w:t>
      </w:r>
    </w:p>
    <w:p w14:paraId="378B6700" w14:textId="24CE1C84" w:rsidR="000B0AEB" w:rsidRPr="00D7337D" w:rsidRDefault="000B0AEB" w:rsidP="00EF2FE7">
      <w:pPr>
        <w:pStyle w:val="ParaLevel1"/>
        <w:numPr>
          <w:ilvl w:val="0"/>
          <w:numId w:val="0"/>
        </w:numPr>
        <w:ind w:left="1134"/>
        <w:rPr>
          <w:i/>
          <w:iCs/>
        </w:rPr>
      </w:pPr>
      <w:r w:rsidRPr="00D7337D">
        <w:rPr>
          <w:i/>
          <w:iCs/>
        </w:rPr>
        <w:t>(2) What are the risks of harm to the claimant against which the law</w:t>
      </w:r>
      <w:r w:rsidR="00B20796" w:rsidRPr="00D7337D">
        <w:rPr>
          <w:i/>
          <w:iCs/>
        </w:rPr>
        <w:t xml:space="preserve"> </w:t>
      </w:r>
      <w:r w:rsidRPr="00D7337D">
        <w:rPr>
          <w:i/>
          <w:iCs/>
        </w:rPr>
        <w:t>imposes</w:t>
      </w:r>
      <w:r w:rsidR="00D04A39" w:rsidRPr="00D7337D">
        <w:rPr>
          <w:i/>
          <w:iCs/>
        </w:rPr>
        <w:t xml:space="preserve"> </w:t>
      </w:r>
      <w:r w:rsidR="00B20796" w:rsidRPr="00D7337D">
        <w:rPr>
          <w:i/>
          <w:iCs/>
        </w:rPr>
        <w:t>o</w:t>
      </w:r>
      <w:r w:rsidRPr="00D7337D">
        <w:rPr>
          <w:i/>
          <w:iCs/>
        </w:rPr>
        <w:t>n the defendant a duty to take care? (the scope of duty question)</w:t>
      </w:r>
    </w:p>
    <w:p w14:paraId="7A57A043" w14:textId="77777777" w:rsidR="00D04A39" w:rsidRPr="00D7337D" w:rsidRDefault="000B0AEB" w:rsidP="00EF2FE7">
      <w:pPr>
        <w:pStyle w:val="ParaLevel1"/>
        <w:numPr>
          <w:ilvl w:val="0"/>
          <w:numId w:val="0"/>
        </w:numPr>
        <w:ind w:left="1134"/>
        <w:rPr>
          <w:i/>
          <w:iCs/>
        </w:rPr>
      </w:pPr>
      <w:r w:rsidRPr="00D7337D">
        <w:rPr>
          <w:i/>
          <w:iCs/>
        </w:rPr>
        <w:t>(3) Did the defendant breach his or her duty by his or her act or omission?</w:t>
      </w:r>
      <w:r w:rsidR="00D04A39" w:rsidRPr="00D7337D">
        <w:rPr>
          <w:i/>
          <w:iCs/>
        </w:rPr>
        <w:t xml:space="preserve"> </w:t>
      </w:r>
      <w:r w:rsidRPr="00D7337D">
        <w:rPr>
          <w:i/>
          <w:iCs/>
        </w:rPr>
        <w:t>(the breach question)</w:t>
      </w:r>
    </w:p>
    <w:p w14:paraId="378EF750" w14:textId="77777777" w:rsidR="00647099" w:rsidRPr="00D7337D" w:rsidRDefault="000B0AEB" w:rsidP="00EF2FE7">
      <w:pPr>
        <w:pStyle w:val="ParaLevel1"/>
        <w:numPr>
          <w:ilvl w:val="0"/>
          <w:numId w:val="0"/>
        </w:numPr>
        <w:ind w:left="1134"/>
        <w:rPr>
          <w:i/>
          <w:iCs/>
        </w:rPr>
      </w:pPr>
      <w:r w:rsidRPr="00D7337D">
        <w:rPr>
          <w:i/>
          <w:iCs/>
        </w:rPr>
        <w:t>(4) Is the loss for which the claimant seeks damages the consequence of</w:t>
      </w:r>
      <w:r w:rsidR="00647099" w:rsidRPr="00D7337D">
        <w:rPr>
          <w:i/>
          <w:iCs/>
        </w:rPr>
        <w:t xml:space="preserve"> </w:t>
      </w:r>
      <w:r w:rsidRPr="00D7337D">
        <w:rPr>
          <w:i/>
          <w:iCs/>
        </w:rPr>
        <w:t>the defendant</w:t>
      </w:r>
      <w:r w:rsidR="00647099" w:rsidRPr="00D7337D">
        <w:rPr>
          <w:i/>
          <w:iCs/>
        </w:rPr>
        <w:t>’</w:t>
      </w:r>
      <w:r w:rsidRPr="00D7337D">
        <w:rPr>
          <w:i/>
          <w:iCs/>
        </w:rPr>
        <w:t>s act or omission? (the factual causation question)</w:t>
      </w:r>
    </w:p>
    <w:p w14:paraId="382F42B9" w14:textId="77777777" w:rsidR="008014DD" w:rsidRPr="00D7337D" w:rsidRDefault="00F25E7C" w:rsidP="00EF2FE7">
      <w:pPr>
        <w:pStyle w:val="ParaLevel1"/>
        <w:numPr>
          <w:ilvl w:val="0"/>
          <w:numId w:val="0"/>
        </w:numPr>
        <w:ind w:left="1134"/>
        <w:rPr>
          <w:i/>
          <w:iCs/>
        </w:rPr>
      </w:pPr>
      <w:r w:rsidRPr="00D7337D">
        <w:rPr>
          <w:i/>
          <w:iCs/>
        </w:rPr>
        <w:t>(5) Is there a su</w:t>
      </w:r>
      <w:r w:rsidR="00647099" w:rsidRPr="00D7337D">
        <w:rPr>
          <w:i/>
          <w:iCs/>
        </w:rPr>
        <w:t>ffi</w:t>
      </w:r>
      <w:r w:rsidRPr="00D7337D">
        <w:rPr>
          <w:i/>
          <w:iCs/>
        </w:rPr>
        <w:t>cient nexus between a particular element of the harm for</w:t>
      </w:r>
      <w:r w:rsidR="008014DD" w:rsidRPr="00D7337D">
        <w:rPr>
          <w:i/>
          <w:iCs/>
        </w:rPr>
        <w:t xml:space="preserve"> </w:t>
      </w:r>
      <w:r w:rsidRPr="00D7337D">
        <w:rPr>
          <w:i/>
          <w:iCs/>
        </w:rPr>
        <w:t>which the claimant seeks damages and the subject matter of the defendant</w:t>
      </w:r>
      <w:r w:rsidR="008014DD" w:rsidRPr="00D7337D">
        <w:rPr>
          <w:i/>
          <w:iCs/>
        </w:rPr>
        <w:t>’</w:t>
      </w:r>
      <w:r w:rsidRPr="00D7337D">
        <w:rPr>
          <w:i/>
          <w:iCs/>
        </w:rPr>
        <w:t>s</w:t>
      </w:r>
      <w:r w:rsidR="008014DD" w:rsidRPr="00D7337D">
        <w:rPr>
          <w:i/>
          <w:iCs/>
        </w:rPr>
        <w:t xml:space="preserve"> </w:t>
      </w:r>
      <w:r w:rsidRPr="00D7337D">
        <w:rPr>
          <w:i/>
          <w:iCs/>
        </w:rPr>
        <w:t>duty of care as analysed at stage 2 above? (the duty nexus question)</w:t>
      </w:r>
    </w:p>
    <w:p w14:paraId="2DA2F895" w14:textId="6A053C7E" w:rsidR="00997094" w:rsidRPr="00D7337D" w:rsidRDefault="008014DD" w:rsidP="00EF2FE7">
      <w:pPr>
        <w:pStyle w:val="ParaLevel1"/>
        <w:numPr>
          <w:ilvl w:val="0"/>
          <w:numId w:val="0"/>
        </w:numPr>
        <w:ind w:left="1134"/>
        <w:rPr>
          <w:i/>
          <w:iCs/>
        </w:rPr>
      </w:pPr>
      <w:r w:rsidRPr="00D7337D">
        <w:rPr>
          <w:i/>
          <w:iCs/>
        </w:rPr>
        <w:t>(</w:t>
      </w:r>
      <w:r w:rsidR="00F25E7C" w:rsidRPr="00D7337D">
        <w:rPr>
          <w:i/>
          <w:iCs/>
        </w:rPr>
        <w:t>6) Is a particular element of the harm for which the claimant seeks</w:t>
      </w:r>
      <w:r w:rsidR="00B46845" w:rsidRPr="00D7337D">
        <w:rPr>
          <w:i/>
          <w:iCs/>
        </w:rPr>
        <w:t xml:space="preserve"> </w:t>
      </w:r>
      <w:r w:rsidR="00F25E7C" w:rsidRPr="00D7337D">
        <w:rPr>
          <w:i/>
          <w:iCs/>
        </w:rPr>
        <w:t>damages irrecoverable because it is too remote, or because there is a di</w:t>
      </w:r>
      <w:r w:rsidR="00B46845" w:rsidRPr="00D7337D">
        <w:rPr>
          <w:i/>
          <w:iCs/>
        </w:rPr>
        <w:t>ff</w:t>
      </w:r>
      <w:r w:rsidR="00F25E7C" w:rsidRPr="00D7337D">
        <w:rPr>
          <w:i/>
          <w:iCs/>
        </w:rPr>
        <w:t>erent</w:t>
      </w:r>
      <w:r w:rsidR="00B46845" w:rsidRPr="00D7337D">
        <w:rPr>
          <w:i/>
          <w:iCs/>
        </w:rPr>
        <w:t xml:space="preserve"> </w:t>
      </w:r>
      <w:r w:rsidR="00F25E7C" w:rsidRPr="00D7337D">
        <w:rPr>
          <w:i/>
          <w:iCs/>
        </w:rPr>
        <w:t>e</w:t>
      </w:r>
      <w:r w:rsidR="00B46845" w:rsidRPr="00D7337D">
        <w:rPr>
          <w:i/>
          <w:iCs/>
        </w:rPr>
        <w:t>ff</w:t>
      </w:r>
      <w:r w:rsidR="00F25E7C" w:rsidRPr="00D7337D">
        <w:rPr>
          <w:i/>
          <w:iCs/>
        </w:rPr>
        <w:t>ective cause (including novus actus interveniens) in relation to it or</w:t>
      </w:r>
      <w:r w:rsidR="00664C35" w:rsidRPr="00D7337D">
        <w:rPr>
          <w:i/>
          <w:iCs/>
        </w:rPr>
        <w:t xml:space="preserve"> </w:t>
      </w:r>
      <w:r w:rsidR="00F25E7C" w:rsidRPr="00D7337D">
        <w:rPr>
          <w:i/>
          <w:iCs/>
        </w:rPr>
        <w:t>because the claimant has mitigated his or her loss or has failed to avoid loss</w:t>
      </w:r>
      <w:r w:rsidR="00664C35" w:rsidRPr="00D7337D">
        <w:rPr>
          <w:i/>
          <w:iCs/>
        </w:rPr>
        <w:t xml:space="preserve"> </w:t>
      </w:r>
      <w:r w:rsidR="00F25E7C" w:rsidRPr="00D7337D">
        <w:rPr>
          <w:i/>
          <w:iCs/>
        </w:rPr>
        <w:t>which he or she could reasonably have been expected to avoid? (the legal</w:t>
      </w:r>
      <w:r w:rsidR="00664C35" w:rsidRPr="00D7337D">
        <w:rPr>
          <w:i/>
          <w:iCs/>
        </w:rPr>
        <w:t xml:space="preserve"> </w:t>
      </w:r>
      <w:r w:rsidR="00F25E7C" w:rsidRPr="00D7337D">
        <w:rPr>
          <w:i/>
          <w:iCs/>
        </w:rPr>
        <w:t>responsibility question).</w:t>
      </w:r>
      <w:r w:rsidR="00D7337D">
        <w:rPr>
          <w:i/>
          <w:iCs/>
        </w:rPr>
        <w:t>”</w:t>
      </w:r>
      <w:r w:rsidR="00422D2A">
        <w:rPr>
          <w:i/>
          <w:iCs/>
        </w:rPr>
        <w:t xml:space="preserve">   </w:t>
      </w:r>
    </w:p>
    <w:p w14:paraId="45C9C716" w14:textId="68E76118" w:rsidR="00313CF3" w:rsidRDefault="00313CF3" w:rsidP="00EF2FE7">
      <w:pPr>
        <w:pStyle w:val="ParaLevel1"/>
        <w:numPr>
          <w:ilvl w:val="0"/>
          <w:numId w:val="0"/>
        </w:numPr>
      </w:pPr>
    </w:p>
    <w:p w14:paraId="0F84C836" w14:textId="2DC31557" w:rsidR="00313CF3" w:rsidRPr="005051F0" w:rsidRDefault="00313CF3" w:rsidP="00EF2FE7">
      <w:pPr>
        <w:pStyle w:val="ParaLevel1"/>
        <w:numPr>
          <w:ilvl w:val="0"/>
          <w:numId w:val="0"/>
        </w:numPr>
        <w:rPr>
          <w:b/>
          <w:bCs/>
          <w:u w:val="single"/>
        </w:rPr>
      </w:pPr>
      <w:r w:rsidRPr="005051F0">
        <w:rPr>
          <w:b/>
          <w:bCs/>
          <w:u w:val="single"/>
        </w:rPr>
        <w:t>Loss of a Chance</w:t>
      </w:r>
    </w:p>
    <w:p w14:paraId="7ED880F5" w14:textId="632771BE" w:rsidR="00C03EF3" w:rsidRDefault="00313CF3" w:rsidP="00EF2FE7">
      <w:pPr>
        <w:pStyle w:val="ParaLevel1"/>
      </w:pPr>
      <w:r>
        <w:t xml:space="preserve">In </w:t>
      </w:r>
      <w:r w:rsidRPr="00CE7BDD">
        <w:rPr>
          <w:i/>
          <w:iCs/>
        </w:rPr>
        <w:t>Perry v Raleys Solicitors</w:t>
      </w:r>
      <w:r>
        <w:t xml:space="preserve"> </w:t>
      </w:r>
      <w:r w:rsidRPr="00313CF3">
        <w:t>[2019] UKSC 5</w:t>
      </w:r>
      <w:r>
        <w:t xml:space="preserve"> the Supreme Court clarified </w:t>
      </w:r>
      <w:r w:rsidR="00D068C8">
        <w:t>the approach to be adopted by the court in i</w:t>
      </w:r>
      <w:r w:rsidR="00875604">
        <w:t xml:space="preserve">ts approach to the issue of causation where the claimant’s claim is one for damages for loss of a chance caused by the defendant’s professional negligence.  </w:t>
      </w:r>
      <w:r w:rsidR="00C03EF3" w:rsidRPr="00C03EF3">
        <w:t xml:space="preserve">Lord Briggs (at [37]) referred to the dividing line established in </w:t>
      </w:r>
      <w:r w:rsidR="00C03EF3" w:rsidRPr="00C03EF3">
        <w:rPr>
          <w:i/>
          <w:iCs/>
        </w:rPr>
        <w:t>Allied Maples Group Ltd v Simmons &amp; Simmons (a firm)</w:t>
      </w:r>
      <w:r w:rsidR="00C03EF3" w:rsidRPr="00C03EF3">
        <w:t xml:space="preserve"> [1995] 1 WLR 1602 between those matters to be proved by the claimant on the balance of probabilities, and those to be addressed by reference to the assessment of the value of the lost opportunity.  Like the present </w:t>
      </w:r>
      <w:r w:rsidR="00157602">
        <w:t>case</w:t>
      </w:r>
      <w:r w:rsidR="00C03EF3" w:rsidRPr="00C03EF3">
        <w:t xml:space="preserve">, </w:t>
      </w:r>
      <w:r w:rsidR="00C03EF3" w:rsidRPr="00157602">
        <w:rPr>
          <w:i/>
          <w:iCs/>
        </w:rPr>
        <w:t>Allied Maples</w:t>
      </w:r>
      <w:r w:rsidR="00C03EF3" w:rsidRPr="00C03EF3">
        <w:t xml:space="preserve"> involved a claim to recover damages for loss, caused by the defendant solicitors’ negligence, of the opportunity to achieve a more favourable outcome in a negotiated transaction</w:t>
      </w:r>
      <w:r w:rsidR="00A30CD7">
        <w:t>.</w:t>
      </w:r>
    </w:p>
    <w:p w14:paraId="7B4381A7" w14:textId="4612682B" w:rsidR="00A30CD7" w:rsidRDefault="00B434A8" w:rsidP="00EF2FE7">
      <w:pPr>
        <w:pStyle w:val="ParaLevel1"/>
      </w:pPr>
      <w:r>
        <w:t xml:space="preserve">When considering </w:t>
      </w:r>
      <w:r w:rsidR="002C0C0C">
        <w:t xml:space="preserve">the loss of a chance, the breach question (as it is termed in </w:t>
      </w:r>
      <w:r w:rsidR="002C0C0C" w:rsidRPr="00C85604">
        <w:rPr>
          <w:i/>
          <w:iCs/>
        </w:rPr>
        <w:t>Manchester BS</w:t>
      </w:r>
      <w:r w:rsidR="002C0C0C">
        <w:t xml:space="preserve"> v </w:t>
      </w:r>
      <w:r w:rsidR="002C0C0C" w:rsidRPr="00C85604">
        <w:rPr>
          <w:i/>
          <w:iCs/>
        </w:rPr>
        <w:t>Grant Thornton</w:t>
      </w:r>
      <w:r w:rsidR="002C0C0C">
        <w:t xml:space="preserve">) is to be approached by reference to </w:t>
      </w:r>
      <w:r w:rsidR="00EF449C">
        <w:t xml:space="preserve">the </w:t>
      </w:r>
      <w:r w:rsidR="00C1776D">
        <w:t>“</w:t>
      </w:r>
      <w:r w:rsidR="00C1776D" w:rsidRPr="00C85604">
        <w:rPr>
          <w:i/>
          <w:iCs/>
        </w:rPr>
        <w:t>most likely non-negligent advice</w:t>
      </w:r>
      <w:r w:rsidR="00C77704" w:rsidRPr="00C85604">
        <w:rPr>
          <w:i/>
          <w:iCs/>
        </w:rPr>
        <w:t xml:space="preserve"> which would have been given</w:t>
      </w:r>
      <w:r w:rsidR="00C1776D">
        <w:t>”</w:t>
      </w:r>
      <w:r w:rsidR="00663AED">
        <w:t>,</w:t>
      </w:r>
      <w:r w:rsidR="00C1776D">
        <w:t xml:space="preserve"> as </w:t>
      </w:r>
      <w:r w:rsidR="00D57CF0">
        <w:t xml:space="preserve">Morgan J </w:t>
      </w:r>
      <w:r w:rsidR="00F662BC">
        <w:t xml:space="preserve">expressed it in </w:t>
      </w:r>
      <w:r w:rsidR="00F662BC" w:rsidRPr="00C85604">
        <w:rPr>
          <w:i/>
          <w:iCs/>
        </w:rPr>
        <w:t>Thomas</w:t>
      </w:r>
      <w:r w:rsidR="00F662BC">
        <w:t xml:space="preserve"> v </w:t>
      </w:r>
      <w:r w:rsidR="00F662BC" w:rsidRPr="00C85604">
        <w:rPr>
          <w:i/>
          <w:iCs/>
        </w:rPr>
        <w:t>Albutt</w:t>
      </w:r>
      <w:r w:rsidR="00F662BC">
        <w:t xml:space="preserve"> [2015] PNLR</w:t>
      </w:r>
      <w:r w:rsidR="00567B48">
        <w:t xml:space="preserve"> 29 at [346]-[347].  He distinguished that </w:t>
      </w:r>
      <w:r w:rsidR="00FF7B43">
        <w:t>from “</w:t>
      </w:r>
      <w:r w:rsidR="00FF7B43" w:rsidRPr="00C85604">
        <w:rPr>
          <w:i/>
          <w:iCs/>
        </w:rPr>
        <w:t>the most optimistic non-negligent advice that could have been given</w:t>
      </w:r>
      <w:r w:rsidR="00FF7B43">
        <w:t xml:space="preserve">” for the purpose of assessing what the claimants would have done had their barrister </w:t>
      </w:r>
      <w:r w:rsidR="00945BAA">
        <w:t xml:space="preserve">given the most likely non-negligent advice </w:t>
      </w:r>
      <w:r w:rsidR="00282A61">
        <w:t xml:space="preserve">about the </w:t>
      </w:r>
      <w:r w:rsidR="0096555E">
        <w:t>prospects of successfully def</w:t>
      </w:r>
      <w:r w:rsidR="00BC5136">
        <w:t xml:space="preserve">ending a judicial review (of the grant of planning permission to them) </w:t>
      </w:r>
      <w:r w:rsidR="00016271">
        <w:t>with more detailed evidence of prejudice.</w:t>
      </w:r>
      <w:r w:rsidR="00815EEA">
        <w:t xml:space="preserve">  </w:t>
      </w:r>
      <w:r w:rsidR="00F73553">
        <w:t xml:space="preserve">Morgan J compared the chance of success actually enjoyed by </w:t>
      </w:r>
      <w:r w:rsidR="009D67AF">
        <w:t xml:space="preserve">the claimants </w:t>
      </w:r>
      <w:r w:rsidR="00F73553">
        <w:t xml:space="preserve">with the chance of success </w:t>
      </w:r>
      <w:r w:rsidR="00F81EDD">
        <w:t>determined by the most likely non</w:t>
      </w:r>
      <w:r w:rsidR="00F73553">
        <w:t>-negligent advice</w:t>
      </w:r>
      <w:r w:rsidR="00856D9C">
        <w:t xml:space="preserve"> and concluded, on the facts, that the difference between the two could not be said to be more than </w:t>
      </w:r>
      <w:r w:rsidR="00F73553">
        <w:t>5 to 10 per cent</w:t>
      </w:r>
      <w:r w:rsidR="00B970A8">
        <w:t xml:space="preserve">.  That was a negligible </w:t>
      </w:r>
      <w:r w:rsidR="00F73553">
        <w:t xml:space="preserve">improvement </w:t>
      </w:r>
      <w:r w:rsidR="00B970A8">
        <w:t xml:space="preserve">which </w:t>
      </w:r>
      <w:r w:rsidR="00C85604">
        <w:t>should be</w:t>
      </w:r>
      <w:r w:rsidR="00F73553">
        <w:t xml:space="preserve"> disregarded</w:t>
      </w:r>
      <w:r w:rsidR="00C85604">
        <w:t xml:space="preserve"> </w:t>
      </w:r>
      <w:r w:rsidR="00F73553">
        <w:t>for the purposes of awarding damages</w:t>
      </w:r>
      <w:r w:rsidR="00C85604">
        <w:t xml:space="preserve">. </w:t>
      </w:r>
    </w:p>
    <w:p w14:paraId="0A4759A9" w14:textId="2EA25582" w:rsidR="00313CF3" w:rsidRDefault="00A15091" w:rsidP="00EF2FE7">
      <w:pPr>
        <w:pStyle w:val="ParaLevel1"/>
      </w:pPr>
      <w:r>
        <w:t xml:space="preserve">Applying </w:t>
      </w:r>
      <w:r w:rsidRPr="00A30CD7">
        <w:rPr>
          <w:i/>
          <w:iCs/>
        </w:rPr>
        <w:t>Perry v Raley</w:t>
      </w:r>
      <w:r w:rsidR="00A30CD7" w:rsidRPr="00A30CD7">
        <w:rPr>
          <w:i/>
          <w:iCs/>
        </w:rPr>
        <w:t>s</w:t>
      </w:r>
      <w:r w:rsidR="00A30CD7">
        <w:t>, t</w:t>
      </w:r>
      <w:r w:rsidR="00875604">
        <w:t xml:space="preserve">he claimant first has to </w:t>
      </w:r>
      <w:r w:rsidR="008B08E8" w:rsidRPr="008B08E8">
        <w:t>prove on the balance of probabilities that he would have taken any necessary steps required of him to convert the receipt of competent advice into some financial (or financially measurable) advantage</w:t>
      </w:r>
      <w:r w:rsidR="00E92711">
        <w:t xml:space="preserve">.  </w:t>
      </w:r>
      <w:r w:rsidR="00577219">
        <w:t xml:space="preserve">In the case of negligent advice given by a solicitor to </w:t>
      </w:r>
      <w:r w:rsidR="00AD55E2">
        <w:t>the client, t</w:t>
      </w:r>
      <w:r w:rsidR="008A589C" w:rsidRPr="008A589C">
        <w:t>he taking of some positive step by the client, once in receipt of competent advice, is an essential (although not necessarily sufficient) element in the chain of causation.</w:t>
      </w:r>
      <w:r w:rsidR="00AD55E2">
        <w:t xml:space="preserve">  </w:t>
      </w:r>
      <w:r w:rsidR="00900878">
        <w:t xml:space="preserve">For this reason </w:t>
      </w:r>
      <w:r w:rsidR="0095050D" w:rsidRPr="0095050D">
        <w:t>there is no reason why either party to the negligence proceedings should be deprived of the full benefit of an adversarial trial of that issue</w:t>
      </w:r>
      <w:r w:rsidR="00BF1E8F">
        <w:t xml:space="preserve"> which, as </w:t>
      </w:r>
      <w:r w:rsidR="00430596">
        <w:t>Lord Briggs explained</w:t>
      </w:r>
      <w:r w:rsidR="00BF1E8F">
        <w:t xml:space="preserve">, will </w:t>
      </w:r>
      <w:r w:rsidR="003F3875" w:rsidRPr="003F3875">
        <w:t>give rise to an all or nothing outcome</w:t>
      </w:r>
      <w:r w:rsidR="00F91ABE">
        <w:t xml:space="preserve">.  </w:t>
      </w:r>
      <w:r w:rsidR="003F3875" w:rsidRPr="003F3875">
        <w:t xml:space="preserve">If </w:t>
      </w:r>
      <w:r w:rsidR="0046218D">
        <w:t>t</w:t>
      </w:r>
      <w:r w:rsidR="003F3875" w:rsidRPr="003F3875">
        <w:t xml:space="preserve">he </w:t>
      </w:r>
      <w:r w:rsidR="0046218D">
        <w:t xml:space="preserve">claimant </w:t>
      </w:r>
      <w:r w:rsidR="003F3875" w:rsidRPr="003F3875">
        <w:t xml:space="preserve">proves upon the narrowest balance </w:t>
      </w:r>
      <w:r w:rsidR="0046218D">
        <w:t xml:space="preserve">of probability </w:t>
      </w:r>
      <w:r w:rsidR="003F3875" w:rsidRPr="003F3875">
        <w:t xml:space="preserve">that he would have </w:t>
      </w:r>
      <w:r w:rsidR="00514FFE">
        <w:t>taken that step then he</w:t>
      </w:r>
      <w:r w:rsidR="003F3875" w:rsidRPr="003F3875">
        <w:t xml:space="preserve"> suffers no discount in the value of the claim by reason of the substantial possibility that he might not have done so</w:t>
      </w:r>
      <w:r w:rsidR="0059524A">
        <w:t xml:space="preserve">.  If </w:t>
      </w:r>
      <w:r w:rsidR="003F3875" w:rsidRPr="003F3875">
        <w:t xml:space="preserve">he fails, however narrowly, to prove that he would have taken the requisite </w:t>
      </w:r>
      <w:r w:rsidR="00053F6E">
        <w:t>step</w:t>
      </w:r>
      <w:r w:rsidR="003F3875" w:rsidRPr="003F3875">
        <w:t xml:space="preserve">, </w:t>
      </w:r>
      <w:r w:rsidR="00053F6E">
        <w:t xml:space="preserve">he </w:t>
      </w:r>
      <w:r w:rsidR="003F3875" w:rsidRPr="003F3875">
        <w:t>gets nothing on account of the less than 50% chance that he might have done so</w:t>
      </w:r>
      <w:r w:rsidR="00271D91">
        <w:t>.</w:t>
      </w:r>
    </w:p>
    <w:p w14:paraId="555ECB92" w14:textId="4D59575A" w:rsidR="00E30955" w:rsidRDefault="00271D91" w:rsidP="00EF2FE7">
      <w:pPr>
        <w:pStyle w:val="ParaLevel1"/>
      </w:pPr>
      <w:r>
        <w:t>If</w:t>
      </w:r>
      <w:r w:rsidR="006C1DE5">
        <w:t xml:space="preserve">, however, </w:t>
      </w:r>
      <w:r>
        <w:t>the claimant does discharge the burden of proof upon him at that first stage</w:t>
      </w:r>
      <w:r w:rsidR="00267DAB">
        <w:t>, in relation to what he would have done,</w:t>
      </w:r>
      <w:r w:rsidR="00231BEF">
        <w:t xml:space="preserve"> there is no trial within a trial on the second stage of evaluating the </w:t>
      </w:r>
      <w:r w:rsidR="00F44782">
        <w:t>los</w:t>
      </w:r>
      <w:r w:rsidR="006C1DE5">
        <w:t xml:space="preserve">t chance.  </w:t>
      </w:r>
      <w:r w:rsidR="006B1965">
        <w:t>As Lord Briggs</w:t>
      </w:r>
      <w:r w:rsidR="00684FD7">
        <w:t xml:space="preserve"> explained, at [20],</w:t>
      </w:r>
      <w:r w:rsidR="006B1965">
        <w:t xml:space="preserve"> </w:t>
      </w:r>
      <w:r w:rsidR="00967DA4">
        <w:t>“</w:t>
      </w:r>
      <w:r w:rsidR="00967DA4" w:rsidRPr="003F1C3D">
        <w:rPr>
          <w:i/>
          <w:iCs/>
        </w:rPr>
        <w:t>[</w:t>
      </w:r>
      <w:r w:rsidR="00887C07">
        <w:rPr>
          <w:i/>
          <w:iCs/>
        </w:rPr>
        <w:t>T</w:t>
      </w:r>
      <w:r w:rsidR="00967DA4" w:rsidRPr="003F1C3D">
        <w:rPr>
          <w:i/>
          <w:iCs/>
        </w:rPr>
        <w:t>]</w:t>
      </w:r>
      <w:r w:rsidR="006B1965" w:rsidRPr="003F1C3D">
        <w:rPr>
          <w:i/>
          <w:iCs/>
        </w:rPr>
        <w:t>o the extent that the supposed beneficial outcome depends upon what others would have done, this depends upon a loss of chance evaluation</w:t>
      </w:r>
      <w:r w:rsidR="00967DA4">
        <w:t>”</w:t>
      </w:r>
      <w:r w:rsidR="006B1965" w:rsidRPr="006B1965">
        <w:t>.</w:t>
      </w:r>
      <w:r w:rsidR="006C05C8">
        <w:t xml:space="preserve">  At this second stage t</w:t>
      </w:r>
      <w:r w:rsidR="007E4A0E">
        <w:t xml:space="preserve">he claimant must establish that </w:t>
      </w:r>
      <w:r w:rsidR="002B6F69">
        <w:t>he has lost a real or substantial chance</w:t>
      </w:r>
      <w:r w:rsidR="00401E89">
        <w:t>. W</w:t>
      </w:r>
      <w:r w:rsidR="003F1C3D" w:rsidRPr="003F1C3D">
        <w:t>here causation is dependent upon the acts of a third party such as Livingbridg</w:t>
      </w:r>
      <w:r w:rsidR="003F1C3D">
        <w:t xml:space="preserve">e, </w:t>
      </w:r>
      <w:r w:rsidR="00E30955">
        <w:t xml:space="preserve">the balance of probabilities test does not apply </w:t>
      </w:r>
      <w:r w:rsidR="00401E89">
        <w:t>and instead he</w:t>
      </w:r>
      <w:r w:rsidR="00E30955">
        <w:t xml:space="preserve"> </w:t>
      </w:r>
      <w:r w:rsidR="00E30955" w:rsidRPr="00401E89">
        <w:rPr>
          <w:i/>
          <w:iCs/>
        </w:rPr>
        <w:t>“…must prove as a matter of causation that he has a real or substantial chance…”</w:t>
      </w:r>
      <w:r w:rsidR="00E30955">
        <w:t xml:space="preserve"> that the third party would have acted as </w:t>
      </w:r>
      <w:r w:rsidR="004067E9">
        <w:t>the claimant</w:t>
      </w:r>
      <w:r w:rsidR="00E30955">
        <w:t xml:space="preserve"> contends: per Stuart-Smith LJ in </w:t>
      </w:r>
      <w:r w:rsidR="00E30955" w:rsidRPr="00FF13DA">
        <w:rPr>
          <w:i/>
          <w:iCs/>
        </w:rPr>
        <w:t>Allied Maples</w:t>
      </w:r>
      <w:r w:rsidR="00E30955">
        <w:t xml:space="preserve"> v </w:t>
      </w:r>
      <w:r w:rsidR="00E30955" w:rsidRPr="00FF13DA">
        <w:rPr>
          <w:i/>
          <w:iCs/>
        </w:rPr>
        <w:t>Simmons &amp; Simmons</w:t>
      </w:r>
      <w:r w:rsidR="00E30955">
        <w:t xml:space="preserve"> </w:t>
      </w:r>
      <w:r w:rsidR="004067E9">
        <w:t xml:space="preserve"> at p</w:t>
      </w:r>
      <w:r w:rsidR="00E30955">
        <w:t>.1614D.   The quantification of the “loss of a chance” is an “</w:t>
      </w:r>
      <w:r w:rsidR="00E30955" w:rsidRPr="00A2507D">
        <w:rPr>
          <w:i/>
          <w:iCs/>
        </w:rPr>
        <w:t>evaluative judgment</w:t>
      </w:r>
      <w:r w:rsidR="00E30955">
        <w:t xml:space="preserve">” for the Court: </w:t>
      </w:r>
      <w:r w:rsidR="00A2507D">
        <w:t xml:space="preserve">see </w:t>
      </w:r>
      <w:r w:rsidR="00E30955" w:rsidRPr="00A2507D">
        <w:rPr>
          <w:i/>
          <w:iCs/>
        </w:rPr>
        <w:t>Wellesley Partners LLP</w:t>
      </w:r>
      <w:r w:rsidR="00E30955">
        <w:t xml:space="preserve"> v </w:t>
      </w:r>
      <w:r w:rsidR="00E30955" w:rsidRPr="00A2507D">
        <w:rPr>
          <w:i/>
          <w:iCs/>
        </w:rPr>
        <w:t>Withers LLP</w:t>
      </w:r>
      <w:r w:rsidR="00E30955">
        <w:t xml:space="preserve"> [2016] Ch 529 at [125]</w:t>
      </w:r>
      <w:r w:rsidR="00A2507D">
        <w:t xml:space="preserve"> per </w:t>
      </w:r>
      <w:r w:rsidR="00997094">
        <w:t>Floyd LJ.</w:t>
      </w:r>
    </w:p>
    <w:p w14:paraId="0D1778D0" w14:textId="535A1936" w:rsidR="00FC4DB3" w:rsidRDefault="00E30955" w:rsidP="00EF2FE7">
      <w:pPr>
        <w:pStyle w:val="ParaLevel1"/>
      </w:pPr>
      <w:r>
        <w:t xml:space="preserve">Where </w:t>
      </w:r>
      <w:r w:rsidR="00C56F6E">
        <w:t xml:space="preserve">this exercise involves evaluating </w:t>
      </w:r>
      <w:r>
        <w:t>multiple chances, the approach to be taken depends upon whether or not those chances are independent or interdependent.  Independent chances are multiplied together to generate a final figure</w:t>
      </w:r>
      <w:r w:rsidR="00D02E0C">
        <w:t xml:space="preserve">, as Bryan J explained in </w:t>
      </w:r>
      <w:r w:rsidRPr="0064446C">
        <w:rPr>
          <w:i/>
          <w:iCs/>
        </w:rPr>
        <w:t>AssetCo plc</w:t>
      </w:r>
      <w:r>
        <w:t xml:space="preserve"> v </w:t>
      </w:r>
      <w:r w:rsidRPr="0064446C">
        <w:rPr>
          <w:i/>
          <w:iCs/>
        </w:rPr>
        <w:t>Grant Thornton UK LLP</w:t>
      </w:r>
      <w:r>
        <w:t xml:space="preserve"> [2019] Bus LR 2291, at [432</w:t>
      </w:r>
      <w:r w:rsidR="0064446C">
        <w:t>]</w:t>
      </w:r>
      <w:r>
        <w:t>-</w:t>
      </w:r>
      <w:r w:rsidR="0064446C">
        <w:t>[</w:t>
      </w:r>
      <w:r>
        <w:t xml:space="preserve">448].  Where the contingencies are interdependent (or overlapping), a multiplicative approach is not appropriate; and the Court will need to make an evaluative judgment as to the overall figure: </w:t>
      </w:r>
      <w:r w:rsidR="00D02E0C">
        <w:t xml:space="preserve">see </w:t>
      </w:r>
      <w:r w:rsidR="00D02E0C" w:rsidRPr="00D02E0C">
        <w:rPr>
          <w:i/>
          <w:iCs/>
        </w:rPr>
        <w:t>AssetCo</w:t>
      </w:r>
      <w:r w:rsidR="00D02E0C">
        <w:t xml:space="preserve"> v </w:t>
      </w:r>
      <w:r w:rsidR="00D02E0C" w:rsidRPr="00D02E0C">
        <w:rPr>
          <w:i/>
          <w:iCs/>
        </w:rPr>
        <w:t>GT</w:t>
      </w:r>
      <w:r>
        <w:t xml:space="preserve"> at [421</w:t>
      </w:r>
      <w:r w:rsidR="002D048F">
        <w:t>]</w:t>
      </w:r>
      <w:r>
        <w:t>-</w:t>
      </w:r>
      <w:r w:rsidR="002D048F">
        <w:t>[</w:t>
      </w:r>
      <w:r>
        <w:t>431].</w:t>
      </w:r>
    </w:p>
    <w:p w14:paraId="5EB51A72" w14:textId="4C6F901E" w:rsidR="001A4BE2" w:rsidRPr="001A4BE2" w:rsidRDefault="001A4BE2" w:rsidP="00EF2FE7">
      <w:pPr>
        <w:pStyle w:val="ParaLevel1"/>
        <w:numPr>
          <w:ilvl w:val="0"/>
          <w:numId w:val="0"/>
        </w:numPr>
        <w:rPr>
          <w:b/>
          <w:bCs/>
          <w:u w:val="single"/>
        </w:rPr>
      </w:pPr>
      <w:r>
        <w:rPr>
          <w:b/>
          <w:bCs/>
          <w:u w:val="single"/>
        </w:rPr>
        <w:t>Contributory Fault</w:t>
      </w:r>
    </w:p>
    <w:p w14:paraId="3643D215" w14:textId="2CF0E22A" w:rsidR="003D33D3" w:rsidRDefault="00A110A5" w:rsidP="00EF2FE7">
      <w:pPr>
        <w:pStyle w:val="ParaLevel1"/>
      </w:pPr>
      <w:r>
        <w:t xml:space="preserve">In argument, the </w:t>
      </w:r>
      <w:r w:rsidR="00C229D8">
        <w:t xml:space="preserve">Firm used the expression </w:t>
      </w:r>
      <w:r w:rsidR="00D466E5">
        <w:t>“</w:t>
      </w:r>
      <w:r w:rsidR="00C229D8">
        <w:t>contribut</w:t>
      </w:r>
      <w:r w:rsidR="00FF6281">
        <w:t>ory fault</w:t>
      </w:r>
      <w:r w:rsidR="00D466E5">
        <w:t>”</w:t>
      </w:r>
      <w:r w:rsidR="00FF6281">
        <w:t xml:space="preserve"> rather than “contributory negligence”, which is commonly used</w:t>
      </w:r>
      <w:r w:rsidR="00D53604">
        <w:t xml:space="preserve"> (including in its own General Terms of Retainer)</w:t>
      </w:r>
      <w:r w:rsidR="00020C8C">
        <w:t xml:space="preserve">, </w:t>
      </w:r>
      <w:r w:rsidR="00D53604">
        <w:t xml:space="preserve">because the latter is shorthand for </w:t>
      </w:r>
      <w:r w:rsidR="00BE76B0">
        <w:t>the cate</w:t>
      </w:r>
      <w:r w:rsidR="007F2306">
        <w:t>g</w:t>
      </w:r>
      <w:r w:rsidR="00BE76B0">
        <w:t>o</w:t>
      </w:r>
      <w:r w:rsidR="007F2306">
        <w:t>r</w:t>
      </w:r>
      <w:r w:rsidR="00BE76B0">
        <w:t xml:space="preserve">ies of “fault” identified in </w:t>
      </w:r>
      <w:r w:rsidR="00A75C9C">
        <w:t>section 4 of the Law Reform (Contributory Negligence) Act 1945</w:t>
      </w:r>
      <w:r w:rsidR="00834C9F">
        <w:t xml:space="preserve">, for the purposes of </w:t>
      </w:r>
      <w:r w:rsidR="000646BF">
        <w:t xml:space="preserve">applying </w:t>
      </w:r>
      <w:r w:rsidR="007F2306">
        <w:t xml:space="preserve">section 1 of the Act.  </w:t>
      </w:r>
      <w:r w:rsidR="00522B06">
        <w:t>The shorthand title of section 1 is “</w:t>
      </w:r>
      <w:r w:rsidR="00522B06" w:rsidRPr="00522B06">
        <w:rPr>
          <w:i/>
          <w:iCs/>
        </w:rPr>
        <w:t>Apportionment of liability in case of contributory negligence</w:t>
      </w:r>
      <w:r w:rsidR="00522B06">
        <w:t xml:space="preserve">.” </w:t>
      </w:r>
      <w:r w:rsidR="007E3F69">
        <w:t>Under the heading “</w:t>
      </w:r>
      <w:r w:rsidR="007E3F69" w:rsidRPr="007E3F69">
        <w:t>Contributory negligence or failure to mitigate</w:t>
      </w:r>
      <w:r w:rsidR="007E3F69">
        <w:t xml:space="preserve">”, the </w:t>
      </w:r>
      <w:r w:rsidR="001B3EE6">
        <w:t xml:space="preserve">Defence </w:t>
      </w:r>
      <w:r w:rsidR="007E3F69">
        <w:t xml:space="preserve">referred to the </w:t>
      </w:r>
      <w:r w:rsidR="001B3EE6" w:rsidRPr="001B3EE6">
        <w:t xml:space="preserve">Claimants' loss </w:t>
      </w:r>
      <w:r w:rsidR="007E3F69">
        <w:t xml:space="preserve">being </w:t>
      </w:r>
      <w:r w:rsidR="001B3EE6" w:rsidRPr="001B3EE6">
        <w:t xml:space="preserve">caused or contributed to by </w:t>
      </w:r>
      <w:r w:rsidR="007E3F69">
        <w:t>“</w:t>
      </w:r>
      <w:r w:rsidR="001B3EE6" w:rsidRPr="007E3F69">
        <w:rPr>
          <w:i/>
          <w:iCs/>
        </w:rPr>
        <w:t>their own negligence</w:t>
      </w:r>
      <w:r w:rsidR="007E3F69">
        <w:t>”.</w:t>
      </w:r>
    </w:p>
    <w:p w14:paraId="4CF90430" w14:textId="77777777" w:rsidR="00306DB6" w:rsidRDefault="00692459" w:rsidP="00EF2FE7">
      <w:pPr>
        <w:pStyle w:val="ParaLevel1"/>
      </w:pPr>
      <w:r>
        <w:t xml:space="preserve">Section 4 </w:t>
      </w:r>
      <w:r w:rsidR="00306DB6">
        <w:t>provides:</w:t>
      </w:r>
    </w:p>
    <w:p w14:paraId="1D029D66" w14:textId="342475BE" w:rsidR="00522D57" w:rsidRDefault="00306DB6" w:rsidP="00EF2FE7">
      <w:pPr>
        <w:pStyle w:val="ParaLevel1"/>
        <w:numPr>
          <w:ilvl w:val="0"/>
          <w:numId w:val="0"/>
        </w:numPr>
        <w:ind w:left="1134"/>
        <w:rPr>
          <w:i/>
          <w:iCs/>
        </w:rPr>
      </w:pPr>
      <w:r w:rsidRPr="00306DB6">
        <w:rPr>
          <w:i/>
          <w:iCs/>
        </w:rPr>
        <w:t>“</w:t>
      </w:r>
      <w:r w:rsidR="003D33D3" w:rsidRPr="00306DB6">
        <w:rPr>
          <w:i/>
          <w:iCs/>
        </w:rPr>
        <w:t>“fault” means negligence, breach of statutory duty or other act or omission</w:t>
      </w:r>
      <w:r w:rsidRPr="00306DB6">
        <w:rPr>
          <w:i/>
          <w:iCs/>
        </w:rPr>
        <w:t xml:space="preserve"> </w:t>
      </w:r>
      <w:r w:rsidR="003D33D3" w:rsidRPr="00306DB6">
        <w:rPr>
          <w:i/>
          <w:iCs/>
        </w:rPr>
        <w:t>which gives rise to a liability in tort or would, apart from this Act, give rise to</w:t>
      </w:r>
      <w:r w:rsidRPr="00306DB6">
        <w:rPr>
          <w:i/>
          <w:iCs/>
        </w:rPr>
        <w:t xml:space="preserve"> </w:t>
      </w:r>
      <w:r w:rsidR="003D33D3" w:rsidRPr="00306DB6">
        <w:rPr>
          <w:i/>
          <w:iCs/>
        </w:rPr>
        <w:t>the defence of contributory negligence</w:t>
      </w:r>
      <w:r w:rsidRPr="00306DB6">
        <w:rPr>
          <w:i/>
          <w:iCs/>
        </w:rPr>
        <w:t>.</w:t>
      </w:r>
      <w:r>
        <w:rPr>
          <w:i/>
          <w:iCs/>
        </w:rPr>
        <w:t>”</w:t>
      </w:r>
    </w:p>
    <w:p w14:paraId="75C5D8A8" w14:textId="77777777" w:rsidR="00306DB6" w:rsidRPr="00306DB6" w:rsidRDefault="00306DB6" w:rsidP="00EF2FE7">
      <w:pPr>
        <w:pStyle w:val="ParaLevel1"/>
        <w:numPr>
          <w:ilvl w:val="0"/>
          <w:numId w:val="0"/>
        </w:numPr>
        <w:ind w:left="720"/>
        <w:rPr>
          <w:i/>
          <w:iCs/>
        </w:rPr>
      </w:pPr>
    </w:p>
    <w:p w14:paraId="254EFD4F" w14:textId="77777777" w:rsidR="009B46CB" w:rsidRDefault="000A33D0" w:rsidP="00EF2FE7">
      <w:pPr>
        <w:pStyle w:val="ParaLevel1"/>
      </w:pPr>
      <w:r>
        <w:t>Section 1 provide</w:t>
      </w:r>
      <w:r w:rsidR="00FC1098">
        <w:t>s for</w:t>
      </w:r>
      <w:r w:rsidR="00867208">
        <w:t xml:space="preserve"> what the court considers to be a just and equitable </w:t>
      </w:r>
      <w:r w:rsidR="00FC1098">
        <w:t xml:space="preserve">reduction in the damages payable by the defendant </w:t>
      </w:r>
      <w:r w:rsidR="002410A5">
        <w:t>“</w:t>
      </w:r>
      <w:r w:rsidR="00506277" w:rsidRPr="002410A5">
        <w:rPr>
          <w:i/>
          <w:iCs/>
        </w:rPr>
        <w:t>having regard to the claimant’s share in the responsibility for the damage</w:t>
      </w:r>
      <w:r w:rsidR="002410A5">
        <w:t>”</w:t>
      </w:r>
      <w:r w:rsidR="00506277">
        <w:t xml:space="preserve"> which is partly the </w:t>
      </w:r>
      <w:r w:rsidR="00492B62">
        <w:t>result of his own fault</w:t>
      </w:r>
      <w:r w:rsidR="009349BD">
        <w:t xml:space="preserve"> as well as the defendant’s</w:t>
      </w:r>
      <w:r w:rsidR="00492B62">
        <w:t>.</w:t>
      </w:r>
      <w:r w:rsidR="002410A5">
        <w:t xml:space="preserve">  </w:t>
      </w:r>
    </w:p>
    <w:p w14:paraId="3801A00C" w14:textId="1CB4D41E" w:rsidR="00E8079D" w:rsidRDefault="002410A5" w:rsidP="00EF2FE7">
      <w:pPr>
        <w:pStyle w:val="ParaLevel1"/>
      </w:pPr>
      <w:r>
        <w:t xml:space="preserve">The Firm said </w:t>
      </w:r>
      <w:r w:rsidR="000C072E">
        <w:t>there is no requirement that the “fault” in question is a breach of a duty owed</w:t>
      </w:r>
      <w:r w:rsidR="00DC75EF">
        <w:t xml:space="preserve"> to the defendant.</w:t>
      </w:r>
      <w:r w:rsidR="009B46CB">
        <w:t xml:space="preserve">  </w:t>
      </w:r>
      <w:r w:rsidR="00543FCB">
        <w:t xml:space="preserve">On this point, the Firm relied upon a </w:t>
      </w:r>
      <w:r w:rsidR="002962ED">
        <w:t xml:space="preserve">passage in </w:t>
      </w:r>
      <w:r w:rsidR="002962ED" w:rsidRPr="009B46CB">
        <w:rPr>
          <w:u w:val="single"/>
        </w:rPr>
        <w:t>Clerk &amp; Lindsell on Torts</w:t>
      </w:r>
      <w:r w:rsidR="002962ED">
        <w:t xml:space="preserve"> (23</w:t>
      </w:r>
      <w:r w:rsidR="00A21A00" w:rsidRPr="009B46CB">
        <w:rPr>
          <w:vertAlign w:val="superscript"/>
        </w:rPr>
        <w:t>rd</w:t>
      </w:r>
      <w:r w:rsidR="00A21A00">
        <w:t xml:space="preserve"> Ed, 2021) citing </w:t>
      </w:r>
      <w:r w:rsidR="00543FCB" w:rsidRPr="009B46CB">
        <w:rPr>
          <w:i/>
          <w:iCs/>
        </w:rPr>
        <w:t>Nance v British Columbia Electric Ry</w:t>
      </w:r>
      <w:r w:rsidR="00543FCB" w:rsidRPr="00543FCB">
        <w:t xml:space="preserve"> [1951] A.C. 601 at 611, per Viscount Simon</w:t>
      </w:r>
      <w:r w:rsidR="00A94B4B">
        <w:t>:</w:t>
      </w:r>
    </w:p>
    <w:p w14:paraId="3386B68D" w14:textId="1A53AA82" w:rsidR="00ED3514" w:rsidRDefault="00ED3514" w:rsidP="00EF2FE7">
      <w:pPr>
        <w:pStyle w:val="ParaLevel1"/>
        <w:numPr>
          <w:ilvl w:val="0"/>
          <w:numId w:val="0"/>
        </w:numPr>
        <w:ind w:left="1134"/>
      </w:pPr>
      <w:r>
        <w:t>“</w:t>
      </w:r>
      <w:r w:rsidRPr="00E8079D">
        <w:rPr>
          <w:i/>
          <w:iCs/>
        </w:rPr>
        <w:t>When contributory negligence is set up as a defence, its existence does not depend on any duty owed by the injured party to the party sued, and all that is necessary to establish such a defence is to prove … that the injured party did not in his own interest take reasonable care of himself and contributed, by his want of care, to his own injury. For when contributory negligence is set up as a shield against the obligation to satisfy the whole of the [claimant’s] claim, the principle involved is that, where a man is part author of his own injury, he cannot call on</w:t>
      </w:r>
      <w:r w:rsidR="003F49EE" w:rsidRPr="00E8079D">
        <w:rPr>
          <w:i/>
          <w:iCs/>
        </w:rPr>
        <w:t xml:space="preserve"> </w:t>
      </w:r>
      <w:r w:rsidRPr="00E8079D">
        <w:rPr>
          <w:i/>
          <w:iCs/>
        </w:rPr>
        <w:t>the other party to compensate him in full</w:t>
      </w:r>
      <w:r w:rsidR="003F49EE" w:rsidRPr="00E8079D">
        <w:rPr>
          <w:i/>
          <w:iCs/>
        </w:rPr>
        <w:t>.”</w:t>
      </w:r>
    </w:p>
    <w:p w14:paraId="64758CA6" w14:textId="6919ADEB" w:rsidR="00DC75EF" w:rsidRDefault="00014975" w:rsidP="00EF2FE7">
      <w:pPr>
        <w:pStyle w:val="ParaLevel1"/>
      </w:pPr>
      <w:r>
        <w:t xml:space="preserve">It further relied upon the decision of </w:t>
      </w:r>
      <w:r w:rsidRPr="00014975">
        <w:t>Lloyd Jones LJ (as he then was)</w:t>
      </w:r>
      <w:r>
        <w:t xml:space="preserve"> in </w:t>
      </w:r>
      <w:r w:rsidRPr="00014975">
        <w:rPr>
          <w:i/>
          <w:iCs/>
        </w:rPr>
        <w:t>Blackmore v Department for Communities and Local Government</w:t>
      </w:r>
      <w:r w:rsidRPr="00014975">
        <w:t xml:space="preserve"> [2018] QB 471</w:t>
      </w:r>
      <w:r>
        <w:t xml:space="preserve"> for the </w:t>
      </w:r>
      <w:r w:rsidR="00EA5732">
        <w:t>proposition that a finding of contributory fault will not be precluded by</w:t>
      </w:r>
      <w:r w:rsidR="0077166E">
        <w:t xml:space="preserve"> the</w:t>
      </w:r>
      <w:r w:rsidR="007A62BD" w:rsidRPr="007A62BD">
        <w:t xml:space="preserve"> fact that the fault post-dates the Transaction or was unrelated to the duties undertaken by the </w:t>
      </w:r>
      <w:r w:rsidR="0077166E">
        <w:t>Firm.  In that case,</w:t>
      </w:r>
      <w:r w:rsidR="007A62BD" w:rsidRPr="007A62BD">
        <w:t xml:space="preserve"> a defendant employer successfully raised a defence of contributory negligence in an asbestos claim where the deceased had been a long-term smoker.   </w:t>
      </w:r>
      <w:r w:rsidR="00DC71E6">
        <w:t xml:space="preserve">The judge </w:t>
      </w:r>
      <w:r w:rsidR="007A62BD" w:rsidRPr="007A62BD">
        <w:t>explained</w:t>
      </w:r>
      <w:r w:rsidR="00DC71E6">
        <w:t>,</w:t>
      </w:r>
      <w:r w:rsidR="007A62BD" w:rsidRPr="007A62BD">
        <w:t xml:space="preserve"> at [25]</w:t>
      </w:r>
      <w:r w:rsidR="00DC71E6">
        <w:t>,</w:t>
      </w:r>
      <w:r w:rsidR="007A62BD" w:rsidRPr="007A62BD">
        <w:t xml:space="preserve"> that there was </w:t>
      </w:r>
      <w:r w:rsidR="007A62BD" w:rsidRPr="00DC71E6">
        <w:rPr>
          <w:i/>
          <w:iCs/>
        </w:rPr>
        <w:t>“…no reason in principle for drawing a general distinction between a claimant who contributes to his injury by conduct related to his work and one who contributes to his injury by conduct unrelated to his work”</w:t>
      </w:r>
      <w:r w:rsidR="007A62BD" w:rsidRPr="007A62BD">
        <w:t>.</w:t>
      </w:r>
    </w:p>
    <w:p w14:paraId="09349495" w14:textId="053394BA" w:rsidR="00987EE3" w:rsidRPr="00987EE3" w:rsidRDefault="00987EE3" w:rsidP="00EF2FE7">
      <w:pPr>
        <w:pStyle w:val="ParaLevel1"/>
      </w:pPr>
      <w:r w:rsidRPr="00987EE3">
        <w:t>The Firm said the Claimants were in breach of their duties, including statutory duties, that they owed to the Company in their retention of their bonuses which led to the Leaver Litigation.</w:t>
      </w:r>
      <w:r>
        <w:t xml:space="preserve">  </w:t>
      </w:r>
      <w:r w:rsidR="00051A4D">
        <w:t xml:space="preserve">It argued </w:t>
      </w:r>
      <w:r w:rsidR="00051A4D" w:rsidRPr="00051A4D">
        <w:t xml:space="preserve">the Claimants were at </w:t>
      </w:r>
      <w:r w:rsidR="0091696F">
        <w:t xml:space="preserve">either at </w:t>
      </w:r>
      <w:r w:rsidR="00051A4D" w:rsidRPr="00051A4D">
        <w:t xml:space="preserve">fault </w:t>
      </w:r>
      <w:r w:rsidR="0091696F">
        <w:t>o</w:t>
      </w:r>
      <w:r w:rsidR="00051A4D" w:rsidRPr="00051A4D">
        <w:t>r</w:t>
      </w:r>
      <w:r w:rsidR="006B4774">
        <w:t xml:space="preserve"> they had</w:t>
      </w:r>
      <w:r w:rsidR="00051A4D" w:rsidRPr="00051A4D">
        <w:t xml:space="preserve"> failed to mitigate their loss in not advancing the proper construction of </w:t>
      </w:r>
      <w:r w:rsidR="00F461CC">
        <w:t>a</w:t>
      </w:r>
      <w:r w:rsidR="00051A4D" w:rsidRPr="00051A4D">
        <w:t>rticle 13.3 before May J.</w:t>
      </w:r>
    </w:p>
    <w:p w14:paraId="1931EF9C" w14:textId="77777777" w:rsidR="00DC71E6" w:rsidRDefault="00DC71E6" w:rsidP="00EF2FE7">
      <w:pPr>
        <w:pStyle w:val="ParaLevel1"/>
        <w:numPr>
          <w:ilvl w:val="0"/>
          <w:numId w:val="0"/>
        </w:numPr>
      </w:pPr>
    </w:p>
    <w:p w14:paraId="266888E8" w14:textId="3B31313B" w:rsidR="00835C7B" w:rsidRPr="00835C7B" w:rsidRDefault="00512ACB" w:rsidP="00EF2FE7">
      <w:pPr>
        <w:pStyle w:val="ParaLevel1"/>
        <w:numPr>
          <w:ilvl w:val="0"/>
          <w:numId w:val="0"/>
        </w:numPr>
        <w:rPr>
          <w:b/>
          <w:bCs/>
          <w:u w:val="single"/>
        </w:rPr>
      </w:pPr>
      <w:r>
        <w:rPr>
          <w:b/>
          <w:bCs/>
          <w:u w:val="single"/>
        </w:rPr>
        <w:t>I.</w:t>
      </w:r>
      <w:r>
        <w:rPr>
          <w:b/>
          <w:bCs/>
          <w:u w:val="single"/>
        </w:rPr>
        <w:tab/>
      </w:r>
      <w:r w:rsidR="00835C7B" w:rsidRPr="00835C7B">
        <w:rPr>
          <w:b/>
          <w:bCs/>
          <w:u w:val="single"/>
        </w:rPr>
        <w:t>T</w:t>
      </w:r>
      <w:r w:rsidR="005051F0">
        <w:rPr>
          <w:b/>
          <w:bCs/>
          <w:u w:val="single"/>
        </w:rPr>
        <w:t>HE EVIDENCE</w:t>
      </w:r>
    </w:p>
    <w:p w14:paraId="78D7BCCB" w14:textId="35C2351D" w:rsidR="00835C7B" w:rsidRPr="005051F0" w:rsidRDefault="00835C7B" w:rsidP="00EF2FE7">
      <w:pPr>
        <w:pStyle w:val="ParaLevel1"/>
        <w:numPr>
          <w:ilvl w:val="0"/>
          <w:numId w:val="0"/>
        </w:numPr>
        <w:ind w:firstLine="567"/>
        <w:rPr>
          <w:b/>
          <w:bCs/>
          <w:u w:val="single"/>
        </w:rPr>
      </w:pPr>
      <w:r w:rsidRPr="005051F0">
        <w:rPr>
          <w:b/>
          <w:bCs/>
          <w:u w:val="single"/>
        </w:rPr>
        <w:t>T</w:t>
      </w:r>
      <w:r w:rsidR="001D35F1">
        <w:rPr>
          <w:b/>
          <w:bCs/>
          <w:u w:val="single"/>
        </w:rPr>
        <w:t>HE  FACTUAL EVIDENCE</w:t>
      </w:r>
    </w:p>
    <w:p w14:paraId="0D837CD7" w14:textId="3ABC9514" w:rsidR="00EA6A85" w:rsidRDefault="003C29D1" w:rsidP="00EF2FE7">
      <w:pPr>
        <w:pStyle w:val="ParaLevel1"/>
      </w:pPr>
      <w:r>
        <w:t>The only witnesses of fact were those on behalf of the Claimants.</w:t>
      </w:r>
    </w:p>
    <w:p w14:paraId="6FAFFBAD" w14:textId="22DBF1E9" w:rsidR="00A07DF7" w:rsidRDefault="00A07DF7" w:rsidP="00EF2FE7">
      <w:pPr>
        <w:pStyle w:val="ParaLevel1"/>
      </w:pPr>
      <w:r>
        <w:t xml:space="preserve">Mr Crossley did make a witness statement on behalf of the Firm but I was forewarned by </w:t>
      </w:r>
      <w:r w:rsidR="00B55350">
        <w:t>the Firm’s written opening that he might not be called as a witness</w:t>
      </w:r>
      <w:r w:rsidR="00630867">
        <w:t xml:space="preserve"> and, reflecting their </w:t>
      </w:r>
      <w:r w:rsidR="003B5AE2">
        <w:t xml:space="preserve">position on the point, I notified the parties that </w:t>
      </w:r>
      <w:r w:rsidR="004843E7">
        <w:t xml:space="preserve">I would not read it unless and until a decision to call him as a witness had been made.  </w:t>
      </w:r>
      <w:r w:rsidR="004F5ECD">
        <w:t xml:space="preserve">That decision </w:t>
      </w:r>
      <w:r w:rsidR="008638EA">
        <w:t>was not</w:t>
      </w:r>
      <w:r w:rsidR="00C94B87">
        <w:t xml:space="preserve"> </w:t>
      </w:r>
      <w:r w:rsidR="004F5ECD">
        <w:t>made and I have not read it.</w:t>
      </w:r>
    </w:p>
    <w:p w14:paraId="61DD8A89" w14:textId="295B4E79" w:rsidR="004F5ECD" w:rsidRDefault="005559F9" w:rsidP="00EF2FE7">
      <w:pPr>
        <w:pStyle w:val="ParaLevel1"/>
      </w:pPr>
      <w:r>
        <w:t xml:space="preserve">On this aspect of the case the </w:t>
      </w:r>
      <w:r w:rsidR="00AE3BDE">
        <w:t>F</w:t>
      </w:r>
      <w:r>
        <w:t xml:space="preserve">irm relied upon </w:t>
      </w:r>
      <w:r w:rsidR="00BA02EC">
        <w:t xml:space="preserve">well-known passage of the judgment of Leggatt J in </w:t>
      </w:r>
      <w:r w:rsidR="004F5ECD" w:rsidRPr="0040218A">
        <w:rPr>
          <w:i/>
          <w:iCs/>
        </w:rPr>
        <w:t>Gestmin SGPS S.A. v Credit Suisse (UK) Limited</w:t>
      </w:r>
      <w:r w:rsidR="004F5ECD">
        <w:t xml:space="preserve"> [2013] EWHC 3560 (Comm)</w:t>
      </w:r>
      <w:r w:rsidR="00BA02EC">
        <w:t xml:space="preserve">, </w:t>
      </w:r>
      <w:r w:rsidR="0040218A">
        <w:t>[1</w:t>
      </w:r>
      <w:r w:rsidR="004F5ECD">
        <w:t>5] to [22]</w:t>
      </w:r>
      <w:r w:rsidR="00BA02EC">
        <w:t xml:space="preserve">, where the </w:t>
      </w:r>
      <w:r w:rsidR="004F5ECD">
        <w:t xml:space="preserve"> </w:t>
      </w:r>
      <w:r w:rsidR="008110E4">
        <w:t xml:space="preserve">judge made observations upon the relative weight to be attributed to witness testimony </w:t>
      </w:r>
      <w:r w:rsidR="00516A5F">
        <w:t xml:space="preserve">compared to the information revealed by the contemporaneous documentation, and </w:t>
      </w:r>
      <w:r w:rsidR="00EA7AD1">
        <w:t xml:space="preserve">said </w:t>
      </w:r>
      <w:r w:rsidR="004F5ECD">
        <w:t>at [22]:</w:t>
      </w:r>
    </w:p>
    <w:p w14:paraId="4663EA82" w14:textId="77777777" w:rsidR="004F5ECD" w:rsidRPr="0040218A" w:rsidRDefault="004F5ECD" w:rsidP="00EF2FE7">
      <w:pPr>
        <w:pStyle w:val="ParaLevel1"/>
        <w:numPr>
          <w:ilvl w:val="0"/>
          <w:numId w:val="0"/>
        </w:numPr>
        <w:ind w:left="1134"/>
        <w:rPr>
          <w:i/>
          <w:iCs/>
        </w:rPr>
      </w:pPr>
      <w:r w:rsidRPr="0040218A">
        <w:rPr>
          <w:i/>
          <w:iCs/>
        </w:rPr>
        <w:t>“… the best approach for a judge to adopt in the trial of a commercial case is, in my view, to place little if any reliance at all on witnesses' recollections of what was said in meetings and conversations, and to base factual findings on inferences drawn from the documentary evidence and known or probable facts. … Above all, it is important to avoid the fallacy of supposing that, because a witness has confidence in his or her recollection and is honest, evidence based on that recollection provides any reliable guide to the truth.”</w:t>
      </w:r>
    </w:p>
    <w:p w14:paraId="02285559" w14:textId="0453EF6D" w:rsidR="004F5ECD" w:rsidRDefault="001B36E8" w:rsidP="00EF2FE7">
      <w:pPr>
        <w:pStyle w:val="ParaLevel1"/>
      </w:pPr>
      <w:r>
        <w:t xml:space="preserve">Mr Tozzi QC and Mr Wright </w:t>
      </w:r>
      <w:r w:rsidR="003A2BEA">
        <w:t xml:space="preserve">urged upon me the full cautionary </w:t>
      </w:r>
      <w:r w:rsidR="001D3D19">
        <w:t>note of this guidance.  They said t</w:t>
      </w:r>
      <w:r w:rsidR="00666402">
        <w:t xml:space="preserve">here was no </w:t>
      </w:r>
      <w:r w:rsidR="001D3D19" w:rsidRPr="001D3D19">
        <w:t xml:space="preserve">doubt that the consequences of their catastrophic falling out with Livingbridge </w:t>
      </w:r>
      <w:r w:rsidR="00666402">
        <w:t>(</w:t>
      </w:r>
      <w:r w:rsidR="001D3D19" w:rsidRPr="001D3D19">
        <w:t>and Mr Lockwood</w:t>
      </w:r>
      <w:r w:rsidR="00666402">
        <w:t>)</w:t>
      </w:r>
      <w:r w:rsidR="001D3D19" w:rsidRPr="001D3D19">
        <w:t xml:space="preserve"> and</w:t>
      </w:r>
      <w:r w:rsidR="00C643FB">
        <w:t xml:space="preserve"> of </w:t>
      </w:r>
      <w:r w:rsidR="001D3D19" w:rsidRPr="001D3D19">
        <w:t xml:space="preserve">the </w:t>
      </w:r>
      <w:r w:rsidR="00C643FB">
        <w:t xml:space="preserve">Quantum Judgment </w:t>
      </w:r>
      <w:r w:rsidR="001D3D19" w:rsidRPr="001D3D19">
        <w:t>created in the Claimants’ mind</w:t>
      </w:r>
      <w:r w:rsidR="00C643FB">
        <w:t>s</w:t>
      </w:r>
      <w:r w:rsidR="001D3D19" w:rsidRPr="001D3D19">
        <w:t xml:space="preserve"> a profound and deep-seated grievance against the </w:t>
      </w:r>
      <w:r w:rsidR="00C643FB">
        <w:t>Firm</w:t>
      </w:r>
      <w:r w:rsidR="001D3D19" w:rsidRPr="001D3D19">
        <w:t xml:space="preserve">.  </w:t>
      </w:r>
      <w:r w:rsidR="00853297">
        <w:t>They no doubt now</w:t>
      </w:r>
      <w:r w:rsidR="001D3D19" w:rsidRPr="001D3D19">
        <w:t xml:space="preserve"> feel that they were not protected against a risk that led to them losing their equity in a business that they believe was worth £10 million</w:t>
      </w:r>
      <w:r w:rsidR="00853297">
        <w:t xml:space="preserve">, or perhaps even more, </w:t>
      </w:r>
      <w:r w:rsidR="001D3D19" w:rsidRPr="001D3D19">
        <w:t>at the date of the Transaction, and which would have gone on to be worth many times that</w:t>
      </w:r>
      <w:r w:rsidR="00E606CC">
        <w:t xml:space="preserve"> </w:t>
      </w:r>
      <w:r w:rsidR="00667049">
        <w:t xml:space="preserve">value.  </w:t>
      </w:r>
      <w:r w:rsidR="00DE30FE">
        <w:t xml:space="preserve">However, </w:t>
      </w:r>
      <w:r w:rsidR="00667049">
        <w:t xml:space="preserve">the claim against the Firm had to be looked at dispassionately and without the benefit of hindsight: see </w:t>
      </w:r>
      <w:r w:rsidR="00102695" w:rsidRPr="00102695">
        <w:rPr>
          <w:i/>
          <w:iCs/>
        </w:rPr>
        <w:t>Reeves v Thrings &amp; Long</w:t>
      </w:r>
      <w:r w:rsidR="00102695">
        <w:rPr>
          <w:i/>
          <w:iCs/>
        </w:rPr>
        <w:t xml:space="preserve"> </w:t>
      </w:r>
      <w:r w:rsidR="00102695">
        <w:t>(paragraph</w:t>
      </w:r>
      <w:r w:rsidR="004503E0">
        <w:t xml:space="preserve"> 117</w:t>
      </w:r>
      <w:r w:rsidR="00102695">
        <w:t xml:space="preserve"> above).</w:t>
      </w:r>
    </w:p>
    <w:p w14:paraId="5F3F6B97" w14:textId="1BF5A4A2" w:rsidR="00D8340F" w:rsidRPr="00D8340F" w:rsidRDefault="002D7339" w:rsidP="00EF2FE7">
      <w:pPr>
        <w:pStyle w:val="ParaLevel1"/>
      </w:pPr>
      <w:r>
        <w:t xml:space="preserve">In parallel with that point, the Firm criticised </w:t>
      </w:r>
      <w:r w:rsidR="009B3C3B">
        <w:t xml:space="preserve">the adequacy of </w:t>
      </w:r>
      <w:r w:rsidR="006859EE">
        <w:t>the witness statements of Mr Richards and Mr Purves</w:t>
      </w:r>
      <w:r w:rsidR="005540DD">
        <w:t xml:space="preserve"> which were said </w:t>
      </w:r>
      <w:r w:rsidR="0075210A">
        <w:t xml:space="preserve">in its closing submissions </w:t>
      </w:r>
      <w:r w:rsidR="005540DD">
        <w:t xml:space="preserve">to have been prepared </w:t>
      </w:r>
      <w:r w:rsidR="00677A64">
        <w:t>“</w:t>
      </w:r>
      <w:r w:rsidR="001E4BA2" w:rsidRPr="00677A64">
        <w:rPr>
          <w:i/>
          <w:iCs/>
        </w:rPr>
        <w:t xml:space="preserve">either in large part or exclusively from memory with minimal or no </w:t>
      </w:r>
      <w:r w:rsidR="00566936" w:rsidRPr="00677A64">
        <w:rPr>
          <w:i/>
          <w:iCs/>
        </w:rPr>
        <w:t>reference to the contemporaneous documentation</w:t>
      </w:r>
      <w:r w:rsidR="00677A64">
        <w:t>”</w:t>
      </w:r>
      <w:r w:rsidR="00566936">
        <w:t xml:space="preserve">.  </w:t>
      </w:r>
      <w:r w:rsidR="00D8340F" w:rsidRPr="00D8340F">
        <w:t>Mr Tozzi QC made a particular criticism of Mr Richards that, having initially set out his recollection of events for the purpose of preparing his witness statement, unaided by contemporaneous documents, he then subsequently referred only to 7 documents for  the purpose of checking the accuracy of that recollection.</w:t>
      </w:r>
      <w:r w:rsidR="0071299F">
        <w:t xml:space="preserve"> Mr Purves had referred to none.</w:t>
      </w:r>
      <w:r w:rsidR="00E71D7E">
        <w:t xml:space="preserve">  </w:t>
      </w:r>
      <w:r w:rsidR="00261084">
        <w:t xml:space="preserve">When asked about this, </w:t>
      </w:r>
      <w:r w:rsidR="0072618A" w:rsidRPr="0072618A">
        <w:t>he pointed to the relatively recent date of his witness statement in circumstances where he had read many documents, many times, over the course of the present litigation and the Leaver Litigation.</w:t>
      </w:r>
      <w:r w:rsidR="00261084">
        <w:t xml:space="preserve"> </w:t>
      </w:r>
      <w:r w:rsidR="00E71D7E">
        <w:t xml:space="preserve">Mr Purves’ </w:t>
      </w:r>
      <w:r w:rsidR="008E2046">
        <w:t xml:space="preserve">evidence was described </w:t>
      </w:r>
      <w:r w:rsidR="0072618A">
        <w:t xml:space="preserve">by the Firm </w:t>
      </w:r>
      <w:r w:rsidR="008E2046">
        <w:t>as “</w:t>
      </w:r>
      <w:r w:rsidR="008E2046" w:rsidRPr="008E2046">
        <w:rPr>
          <w:i/>
          <w:iCs/>
        </w:rPr>
        <w:t>slapdash</w:t>
      </w:r>
      <w:r w:rsidR="008E2046">
        <w:t>”.</w:t>
      </w:r>
    </w:p>
    <w:p w14:paraId="76385DAC" w14:textId="3792F233" w:rsidR="00624A18" w:rsidRDefault="00F94AB6" w:rsidP="00EF2FE7">
      <w:pPr>
        <w:pStyle w:val="ParaLevel1"/>
      </w:pPr>
      <w:r>
        <w:t>T</w:t>
      </w:r>
      <w:r w:rsidR="00941495">
        <w:t xml:space="preserve">here were </w:t>
      </w:r>
      <w:r w:rsidR="00407B3F">
        <w:t xml:space="preserve">elements of their evidence which were inconsistent with </w:t>
      </w:r>
      <w:r w:rsidR="00493280">
        <w:t>the true contractual position.</w:t>
      </w:r>
      <w:r>
        <w:t xml:space="preserve">  </w:t>
      </w:r>
      <w:r w:rsidR="00AB477F">
        <w:t xml:space="preserve">For example, </w:t>
      </w:r>
      <w:r>
        <w:t xml:space="preserve">Mr </w:t>
      </w:r>
      <w:r w:rsidR="001B113D">
        <w:t xml:space="preserve">Purves’ statement began with a reference to </w:t>
      </w:r>
      <w:r w:rsidR="00CC6071">
        <w:t>the Firm acting on the sale of “</w:t>
      </w:r>
      <w:r w:rsidR="00CC6071" w:rsidRPr="0060730F">
        <w:rPr>
          <w:i/>
          <w:iCs/>
        </w:rPr>
        <w:t>my 30% stake</w:t>
      </w:r>
      <w:r w:rsidR="00CC6071">
        <w:t>” in IP</w:t>
      </w:r>
      <w:r w:rsidR="009966AD">
        <w:t>S</w:t>
      </w:r>
      <w:r w:rsidR="00CC6071">
        <w:t xml:space="preserve"> UK </w:t>
      </w:r>
      <w:r w:rsidR="00A3401F">
        <w:t>“</w:t>
      </w:r>
      <w:r w:rsidR="00CC6071" w:rsidRPr="0060730F">
        <w:rPr>
          <w:i/>
          <w:iCs/>
        </w:rPr>
        <w:t>our</w:t>
      </w:r>
      <w:r w:rsidR="00A3401F" w:rsidRPr="0060730F">
        <w:rPr>
          <w:i/>
          <w:iCs/>
        </w:rPr>
        <w:t xml:space="preserve"> </w:t>
      </w:r>
      <w:r w:rsidR="00CC6071" w:rsidRPr="0060730F">
        <w:rPr>
          <w:i/>
          <w:iCs/>
        </w:rPr>
        <w:t>remaining shares</w:t>
      </w:r>
      <w:r w:rsidR="0060730F" w:rsidRPr="0060730F">
        <w:rPr>
          <w:i/>
          <w:iCs/>
        </w:rPr>
        <w:t xml:space="preserve"> (</w:t>
      </w:r>
      <w:r w:rsidR="00CC6071" w:rsidRPr="0060730F">
        <w:rPr>
          <w:i/>
          <w:iCs/>
        </w:rPr>
        <w:t xml:space="preserve">totalling a 60% share in the </w:t>
      </w:r>
      <w:r w:rsidR="0060730F" w:rsidRPr="0060730F">
        <w:rPr>
          <w:i/>
          <w:iCs/>
        </w:rPr>
        <w:t>[the Company]</w:t>
      </w:r>
      <w:r w:rsidR="00CC6071" w:rsidRPr="0060730F">
        <w:rPr>
          <w:i/>
          <w:iCs/>
        </w:rPr>
        <w:t>) becoming worthless</w:t>
      </w:r>
      <w:r w:rsidR="0060730F">
        <w:t>.” Obviously</w:t>
      </w:r>
      <w:r w:rsidR="00216CB8">
        <w:t>,</w:t>
      </w:r>
      <w:r w:rsidR="0060730F">
        <w:t xml:space="preserve"> that was </w:t>
      </w:r>
      <w:r w:rsidR="00193205">
        <w:t xml:space="preserve">not </w:t>
      </w:r>
      <w:r w:rsidR="00A13DD9">
        <w:t xml:space="preserve">a correct analysis of the </w:t>
      </w:r>
      <w:r w:rsidR="00193205">
        <w:t>Transaction</w:t>
      </w:r>
      <w:r w:rsidR="00375AAC">
        <w:t xml:space="preserve">. </w:t>
      </w:r>
    </w:p>
    <w:p w14:paraId="546F5AC1" w14:textId="407C3E3D" w:rsidR="006D7F6E" w:rsidRDefault="00EF5F8E" w:rsidP="00EF2FE7">
      <w:pPr>
        <w:pStyle w:val="ParaLevel1"/>
      </w:pPr>
      <w:r>
        <w:t xml:space="preserve">However, I reject the general criticism levelled </w:t>
      </w:r>
      <w:r w:rsidR="005E1DC2">
        <w:t xml:space="preserve">against Mr Richards and Mr Purves which led to them being described as unreliable witnesses in the Firm’s closing submissions.  In </w:t>
      </w:r>
      <w:r w:rsidR="00525217" w:rsidRPr="002143AA">
        <w:rPr>
          <w:i/>
          <w:iCs/>
        </w:rPr>
        <w:t>Gestmin</w:t>
      </w:r>
      <w:r w:rsidR="00525217">
        <w:t xml:space="preserve">, </w:t>
      </w:r>
      <w:r w:rsidR="005470A3">
        <w:t xml:space="preserve">at [20], </w:t>
      </w:r>
      <w:r w:rsidR="0047226E">
        <w:t xml:space="preserve">Leggatt J </w:t>
      </w:r>
      <w:r w:rsidR="00ED2D7A">
        <w:t>referred to the “</w:t>
      </w:r>
      <w:r w:rsidR="00211EA7" w:rsidRPr="00A07FD5">
        <w:rPr>
          <w:i/>
          <w:iCs/>
        </w:rPr>
        <w:t>c</w:t>
      </w:r>
      <w:r w:rsidR="00ED2D7A" w:rsidRPr="00A07FD5">
        <w:rPr>
          <w:i/>
          <w:iCs/>
        </w:rPr>
        <w:t>onsiderable interference</w:t>
      </w:r>
      <w:r w:rsidR="00211EA7">
        <w:t xml:space="preserve">” </w:t>
      </w:r>
      <w:r w:rsidR="00ED2D7A">
        <w:t xml:space="preserve">with </w:t>
      </w:r>
      <w:r w:rsidR="00211EA7">
        <w:t xml:space="preserve">witness </w:t>
      </w:r>
      <w:r w:rsidR="00ED2D7A">
        <w:t xml:space="preserve">memory </w:t>
      </w:r>
      <w:r w:rsidR="0006697A">
        <w:t xml:space="preserve">which resulted from what was then the </w:t>
      </w:r>
      <w:r w:rsidR="00ED2D7A">
        <w:t xml:space="preserve">procedure of preparing </w:t>
      </w:r>
      <w:r w:rsidR="0006697A">
        <w:t xml:space="preserve">a witness </w:t>
      </w:r>
      <w:r w:rsidR="00ED2D7A">
        <w:t>for trial</w:t>
      </w:r>
      <w:r w:rsidR="00035BA5">
        <w:t xml:space="preserve">, as often as </w:t>
      </w:r>
      <w:r w:rsidR="00264B8E">
        <w:t xml:space="preserve">not </w:t>
      </w:r>
      <w:r w:rsidR="00035BA5">
        <w:t xml:space="preserve">when </w:t>
      </w:r>
      <w:r w:rsidR="00ED2D7A">
        <w:t>(as in</w:t>
      </w:r>
      <w:r w:rsidR="00035BA5">
        <w:t xml:space="preserve"> </w:t>
      </w:r>
      <w:r w:rsidR="00ED2D7A">
        <w:t xml:space="preserve">the present case) a long time has already elapsed since the relevant events. </w:t>
      </w:r>
      <w:r w:rsidR="0033545F">
        <w:t xml:space="preserve">He referred to the process beginning with </w:t>
      </w:r>
      <w:r w:rsidR="00D61568">
        <w:t>initial draft by the lawyer and the statement being made</w:t>
      </w:r>
      <w:r w:rsidR="00C51845">
        <w:t>, possibly following a number of re-drafts,</w:t>
      </w:r>
      <w:r w:rsidR="00D61568">
        <w:t xml:space="preserve"> a</w:t>
      </w:r>
      <w:r w:rsidR="00ED2D7A">
        <w:t>fter the witness’s memory has been “refreshed” by reading</w:t>
      </w:r>
      <w:r w:rsidR="00D61568">
        <w:t xml:space="preserve"> </w:t>
      </w:r>
      <w:r w:rsidR="002E0B9A">
        <w:t xml:space="preserve">the </w:t>
      </w:r>
      <w:r w:rsidR="00ED2D7A">
        <w:t>documents</w:t>
      </w:r>
      <w:r w:rsidR="002E0B9A">
        <w:t xml:space="preserve"> (including the court documents and other argumentative </w:t>
      </w:r>
      <w:r w:rsidR="00ED2D7A">
        <w:t>material as well as documents which the witness did not see at the time</w:t>
      </w:r>
      <w:r w:rsidR="002143AA">
        <w:t>).</w:t>
      </w:r>
      <w:r w:rsidR="0047226E">
        <w:t xml:space="preserve"> </w:t>
      </w:r>
      <w:r w:rsidR="00A07FD5">
        <w:t xml:space="preserve">  </w:t>
      </w:r>
      <w:r w:rsidR="00C57844">
        <w:t xml:space="preserve">All of this </w:t>
      </w:r>
      <w:r w:rsidR="007551E5">
        <w:t xml:space="preserve">has now changed with the introduction of Practice Direction 57AC.  </w:t>
      </w:r>
    </w:p>
    <w:p w14:paraId="2E0BB2C2" w14:textId="2F2E864F" w:rsidR="0047226E" w:rsidRDefault="007551E5" w:rsidP="00EF2FE7">
      <w:pPr>
        <w:pStyle w:val="ParaLevel1"/>
      </w:pPr>
      <w:r>
        <w:t>I</w:t>
      </w:r>
      <w:r w:rsidR="006D7F6E">
        <w:t xml:space="preserve">n my view the witness statements of Mr Richards and Mr Purves </w:t>
      </w:r>
      <w:r w:rsidR="00B85D5A">
        <w:t xml:space="preserve">properly reflected the Statement of Best Practice </w:t>
      </w:r>
      <w:r w:rsidR="00915FCF">
        <w:t>in the Practice Direction</w:t>
      </w:r>
      <w:r w:rsidR="003D7C77">
        <w:t>.  T</w:t>
      </w:r>
      <w:r w:rsidR="00915FCF">
        <w:t xml:space="preserve">he suggestion that their </w:t>
      </w:r>
      <w:r w:rsidR="008A1AA0">
        <w:t>acc</w:t>
      </w:r>
      <w:r w:rsidR="007E1783">
        <w:t>ount</w:t>
      </w:r>
      <w:r w:rsidR="0072739E">
        <w:t>s</w:t>
      </w:r>
      <w:r w:rsidR="007E1783">
        <w:t xml:space="preserve"> of events</w:t>
      </w:r>
      <w:r w:rsidR="00915FCF">
        <w:t xml:space="preserve"> </w:t>
      </w:r>
      <w:r w:rsidR="00BE38F5">
        <w:t xml:space="preserve">should have been </w:t>
      </w:r>
      <w:r w:rsidR="007E1783">
        <w:t xml:space="preserve">guided more firmly </w:t>
      </w:r>
      <w:r w:rsidR="0072739E">
        <w:t xml:space="preserve">by the contemporaneous documents </w:t>
      </w:r>
      <w:r w:rsidR="00F5163C">
        <w:t xml:space="preserve">is one </w:t>
      </w:r>
      <w:r w:rsidR="00EF2603">
        <w:t xml:space="preserve">which </w:t>
      </w:r>
      <w:r w:rsidR="00AB7A1B">
        <w:t>smacks of</w:t>
      </w:r>
      <w:r w:rsidR="00EF2603">
        <w:t xml:space="preserve"> reverting to the practice deprecated in </w:t>
      </w:r>
      <w:r w:rsidR="00EF2603" w:rsidRPr="00106DBA">
        <w:rPr>
          <w:i/>
          <w:iCs/>
        </w:rPr>
        <w:t>Gestmin</w:t>
      </w:r>
      <w:r w:rsidR="00EB37A2">
        <w:t xml:space="preserve"> a</w:t>
      </w:r>
      <w:r w:rsidR="000B0D8C">
        <w:t xml:space="preserve">t </w:t>
      </w:r>
      <w:r w:rsidR="008B2073">
        <w:t>potential</w:t>
      </w:r>
      <w:r w:rsidR="00F914F0">
        <w:t xml:space="preserve"> cost to </w:t>
      </w:r>
      <w:r w:rsidR="000B0D8C">
        <w:t xml:space="preserve">the honest account of matters </w:t>
      </w:r>
      <w:r w:rsidR="00106DBA">
        <w:t>known personally to them which it was their duty to give.</w:t>
      </w:r>
      <w:r w:rsidR="00C307AF">
        <w:t xml:space="preserve">  </w:t>
      </w:r>
      <w:r w:rsidR="00367F1F">
        <w:t>Greater reference</w:t>
      </w:r>
      <w:r w:rsidR="00270A29">
        <w:t xml:space="preserve"> by them to such documentation would </w:t>
      </w:r>
      <w:r w:rsidR="006E1223">
        <w:t xml:space="preserve">almost certainly have </w:t>
      </w:r>
      <w:r w:rsidR="00DB1047">
        <w:t>resulted in</w:t>
      </w:r>
      <w:r w:rsidR="00027FB2">
        <w:t xml:space="preserve"> a </w:t>
      </w:r>
      <w:r w:rsidR="001A0FED">
        <w:t xml:space="preserve">substantial expansion </w:t>
      </w:r>
      <w:r w:rsidR="00AE743E">
        <w:t xml:space="preserve">of their written evidence-in-chief </w:t>
      </w:r>
      <w:r w:rsidR="00EA0561">
        <w:t xml:space="preserve">even if </w:t>
      </w:r>
      <w:r w:rsidR="00D86DD7">
        <w:t xml:space="preserve">it highlighted </w:t>
      </w:r>
      <w:r w:rsidR="00EA0561">
        <w:t xml:space="preserve">only </w:t>
      </w:r>
      <w:r w:rsidR="00D86DD7">
        <w:t>t</w:t>
      </w:r>
      <w:r w:rsidR="00EA0561">
        <w:t xml:space="preserve">he key </w:t>
      </w:r>
      <w:r w:rsidR="00D86DD7">
        <w:t>aspects</w:t>
      </w:r>
      <w:r w:rsidR="00082B88">
        <w:t xml:space="preserve"> </w:t>
      </w:r>
      <w:r w:rsidR="00AF6C40">
        <w:t xml:space="preserve">identified in </w:t>
      </w:r>
      <w:r w:rsidR="00082B88">
        <w:t>the lengthy</w:t>
      </w:r>
      <w:r w:rsidR="00A65975">
        <w:t xml:space="preserve"> Sections B, C and D of this judgment</w:t>
      </w:r>
      <w:r w:rsidR="002A1D5B">
        <w:t xml:space="preserve">. It </w:t>
      </w:r>
      <w:r w:rsidR="00A97031">
        <w:t>would</w:t>
      </w:r>
      <w:r w:rsidR="00082B88">
        <w:t xml:space="preserve"> </w:t>
      </w:r>
      <w:r w:rsidR="00471261">
        <w:t xml:space="preserve">also have </w:t>
      </w:r>
      <w:r w:rsidR="004B590D">
        <w:t xml:space="preserve">carried with it </w:t>
      </w:r>
      <w:r w:rsidR="008304FD">
        <w:t xml:space="preserve">a significant risk </w:t>
      </w:r>
      <w:r w:rsidR="00EA009F">
        <w:t>of</w:t>
      </w:r>
      <w:r w:rsidR="008304FD">
        <w:t xml:space="preserve"> </w:t>
      </w:r>
      <w:r w:rsidR="00452098">
        <w:t xml:space="preserve">“leading questions” </w:t>
      </w:r>
      <w:r w:rsidR="00547B8A">
        <w:t xml:space="preserve">(defined in the Practice Direction </w:t>
      </w:r>
      <w:r w:rsidR="0077193B">
        <w:t xml:space="preserve">to cover not just putting words into the mouth but also information into the mind) </w:t>
      </w:r>
      <w:r w:rsidR="008265E8">
        <w:t>undermining their personal account of matters.</w:t>
      </w:r>
    </w:p>
    <w:p w14:paraId="2FEBBB3A" w14:textId="4A8010A7" w:rsidR="00392DC9" w:rsidRDefault="00397ABB" w:rsidP="00EF2FE7">
      <w:pPr>
        <w:pStyle w:val="ParaLevel1"/>
      </w:pPr>
      <w:r>
        <w:t xml:space="preserve">Mr </w:t>
      </w:r>
      <w:r w:rsidR="00B80E92">
        <w:t>Leiper</w:t>
      </w:r>
      <w:r>
        <w:t xml:space="preserve"> QC</w:t>
      </w:r>
      <w:r w:rsidR="005713DA">
        <w:t xml:space="preserve"> </w:t>
      </w:r>
      <w:r w:rsidR="002424C6">
        <w:t xml:space="preserve">made a number of observations about the absence of evidence from Mr Crossley.  </w:t>
      </w:r>
      <w:r w:rsidR="003D55ED">
        <w:t xml:space="preserve">One was that it </w:t>
      </w:r>
      <w:r w:rsidR="007A4FEB">
        <w:t xml:space="preserve">meant that </w:t>
      </w:r>
      <w:r w:rsidR="00076A13">
        <w:t xml:space="preserve">the court had been deprived of value of what Leggatt J in </w:t>
      </w:r>
      <w:r w:rsidR="00076A13" w:rsidRPr="0047226E">
        <w:rPr>
          <w:i/>
          <w:iCs/>
        </w:rPr>
        <w:t>Gestmin</w:t>
      </w:r>
      <w:r w:rsidR="00076A13">
        <w:t>, at [22], ascribed to "</w:t>
      </w:r>
      <w:r w:rsidR="00076A13" w:rsidRPr="0047226E">
        <w:rPr>
          <w:i/>
          <w:iCs/>
        </w:rPr>
        <w:t>the opportunity that cross-examination affords to subject the documentary record to scrutiny and to gauge the personality, motivations and working practices of a witness</w:t>
      </w:r>
      <w:r w:rsidR="00076A13">
        <w:t xml:space="preserve">".  Mr Leiper </w:t>
      </w:r>
      <w:r w:rsidR="006C4764">
        <w:t xml:space="preserve">said it was surprising that the disclosure contained </w:t>
      </w:r>
      <w:r w:rsidR="001332BE">
        <w:t xml:space="preserve">no file notes of conversations with </w:t>
      </w:r>
      <w:r w:rsidR="00A5461C">
        <w:t xml:space="preserve">the Claimants </w:t>
      </w:r>
      <w:r w:rsidR="00F56C44">
        <w:t>save for one at the beginning of the retainer (</w:t>
      </w:r>
      <w:r w:rsidR="00C12457">
        <w:t xml:space="preserve">and </w:t>
      </w:r>
      <w:r w:rsidR="00F56C44">
        <w:t xml:space="preserve">from which it was </w:t>
      </w:r>
      <w:r w:rsidR="001332BE">
        <w:t xml:space="preserve">unclear whether </w:t>
      </w:r>
      <w:r w:rsidR="00EF6FC9">
        <w:t xml:space="preserve">Mr Crossley’s </w:t>
      </w:r>
      <w:r w:rsidR="001332BE">
        <w:t>thoughts, or the content of one or more meetings or calls, or a mix of all</w:t>
      </w:r>
      <w:r w:rsidR="00EF6FC9">
        <w:t xml:space="preserve"> </w:t>
      </w:r>
      <w:r w:rsidR="001332BE">
        <w:t>these</w:t>
      </w:r>
      <w:r w:rsidR="00EF6FC9">
        <w:t xml:space="preserve">).  </w:t>
      </w:r>
      <w:r w:rsidR="008140B9">
        <w:t xml:space="preserve">He </w:t>
      </w:r>
      <w:r w:rsidR="00822DC8">
        <w:t xml:space="preserve">also </w:t>
      </w:r>
      <w:r w:rsidR="008140B9">
        <w:t>made the forceful point</w:t>
      </w:r>
      <w:r w:rsidR="00E8775C">
        <w:t>s</w:t>
      </w:r>
      <w:r w:rsidR="008140B9">
        <w:t xml:space="preserve"> that </w:t>
      </w:r>
      <w:r w:rsidR="00C12457">
        <w:t xml:space="preserve">the Claimants had no </w:t>
      </w:r>
      <w:r w:rsidR="009178B0">
        <w:t xml:space="preserve">opportunity to test Mr Crossley on his understanding of the suggested distinction between </w:t>
      </w:r>
      <w:r w:rsidR="00E8775C">
        <w:t xml:space="preserve">a commercial risk and a legal risk and that </w:t>
      </w:r>
      <w:r w:rsidR="004031F1">
        <w:t xml:space="preserve">the </w:t>
      </w:r>
      <w:r w:rsidR="008140B9">
        <w:t xml:space="preserve">court has no idea of what Mr Crossley himself understood the RPP to mean. </w:t>
      </w:r>
      <w:r w:rsidR="000B2E3C">
        <w:t xml:space="preserve">Mr Leiper </w:t>
      </w:r>
      <w:r w:rsidR="00AA2069">
        <w:t xml:space="preserve">observed </w:t>
      </w:r>
      <w:r w:rsidR="00F079B4">
        <w:t>that, a</w:t>
      </w:r>
      <w:r w:rsidR="00392DC9">
        <w:t xml:space="preserve">s it is the Firm’s case </w:t>
      </w:r>
      <w:r w:rsidR="008140B9">
        <w:t>that the RPP was a commercial agreement and that the Articles simply reflected that deal,</w:t>
      </w:r>
      <w:r w:rsidR="00392DC9">
        <w:t xml:space="preserve"> </w:t>
      </w:r>
      <w:r w:rsidR="00732167">
        <w:t xml:space="preserve">with </w:t>
      </w:r>
      <w:r w:rsidR="00392DC9">
        <w:t xml:space="preserve">Livingbridge </w:t>
      </w:r>
      <w:r w:rsidR="00732167">
        <w:t xml:space="preserve">expressing in </w:t>
      </w:r>
      <w:r w:rsidR="006A48CD">
        <w:t xml:space="preserve">the Leaver Litigation </w:t>
      </w:r>
      <w:r w:rsidR="00824860">
        <w:t xml:space="preserve">the firm view </w:t>
      </w:r>
      <w:r w:rsidR="00E953A3">
        <w:t xml:space="preserve">that the RPP applied to any form of exit from the business </w:t>
      </w:r>
      <w:r w:rsidR="00824860">
        <w:t xml:space="preserve">and that </w:t>
      </w:r>
      <w:r w:rsidR="00827688">
        <w:t>the Claimants should have appreciated as much</w:t>
      </w:r>
      <w:r w:rsidR="000B4ECE">
        <w:t xml:space="preserve">, </w:t>
      </w:r>
      <w:r w:rsidR="00EB1E15">
        <w:t xml:space="preserve">it would be entirely proper to infer that Mr Crossley </w:t>
      </w:r>
      <w:r w:rsidR="000B2E3C">
        <w:t xml:space="preserve">might </w:t>
      </w:r>
      <w:r w:rsidR="000B4ECE">
        <w:t xml:space="preserve">also </w:t>
      </w:r>
      <w:r w:rsidR="000B2E3C">
        <w:t xml:space="preserve">have </w:t>
      </w:r>
      <w:r w:rsidR="00FE48A4">
        <w:t xml:space="preserve">assumed the </w:t>
      </w:r>
      <w:r w:rsidR="001C6DC8">
        <w:t>same.</w:t>
      </w:r>
    </w:p>
    <w:p w14:paraId="1EACF572" w14:textId="16B10219" w:rsidR="00397ABB" w:rsidRDefault="00397ABB" w:rsidP="00EF2FE7">
      <w:pPr>
        <w:pStyle w:val="ParaLevel1"/>
        <w:numPr>
          <w:ilvl w:val="0"/>
          <w:numId w:val="0"/>
        </w:numPr>
        <w:ind w:left="720"/>
      </w:pPr>
    </w:p>
    <w:p w14:paraId="10FCD47A" w14:textId="79718A1B" w:rsidR="00835C7B" w:rsidRPr="005051F0" w:rsidRDefault="00EA6A85" w:rsidP="00EF2FE7">
      <w:pPr>
        <w:pStyle w:val="ParaLevel1"/>
        <w:numPr>
          <w:ilvl w:val="0"/>
          <w:numId w:val="0"/>
        </w:numPr>
        <w:rPr>
          <w:b/>
          <w:bCs/>
          <w:u w:val="single"/>
        </w:rPr>
      </w:pPr>
      <w:r w:rsidRPr="005051F0">
        <w:rPr>
          <w:b/>
          <w:bCs/>
          <w:u w:val="single"/>
        </w:rPr>
        <w:t>Mr Richards</w:t>
      </w:r>
    </w:p>
    <w:p w14:paraId="1400F6FB" w14:textId="27394484" w:rsidR="00835C7B" w:rsidRDefault="000034C2" w:rsidP="00EF2FE7">
      <w:pPr>
        <w:pStyle w:val="ParaLevel1"/>
      </w:pPr>
      <w:r>
        <w:t xml:space="preserve">Mr Richards gave </w:t>
      </w:r>
      <w:r w:rsidR="00D8340F">
        <w:t>evidence over 1½ days.</w:t>
      </w:r>
    </w:p>
    <w:p w14:paraId="403064A3" w14:textId="4F1550B1" w:rsidR="003C577F" w:rsidRDefault="003C577F" w:rsidP="00EF2FE7">
      <w:pPr>
        <w:pStyle w:val="ParaLevel1"/>
      </w:pPr>
      <w:r w:rsidRPr="003C577F">
        <w:t>I found Mr Richards to be a straightforward witness</w:t>
      </w:r>
      <w:r w:rsidR="008B60D1">
        <w:t xml:space="preserve"> who </w:t>
      </w:r>
      <w:r w:rsidR="00BD0012">
        <w:t xml:space="preserve">gave measured </w:t>
      </w:r>
      <w:r w:rsidR="00092929">
        <w:t xml:space="preserve">and </w:t>
      </w:r>
      <w:r w:rsidR="00BD0012">
        <w:t>thought</w:t>
      </w:r>
      <w:r w:rsidR="00092929">
        <w:t>ful responses</w:t>
      </w:r>
      <w:r w:rsidR="00BD0012">
        <w:t xml:space="preserve"> to the questions put to him</w:t>
      </w:r>
      <w:r w:rsidRPr="003C577F">
        <w:t xml:space="preserve">.  </w:t>
      </w:r>
    </w:p>
    <w:p w14:paraId="2F1D031F" w14:textId="03F41952" w:rsidR="00363253" w:rsidRPr="00363253" w:rsidRDefault="00374DB5" w:rsidP="00EF2FE7">
      <w:pPr>
        <w:pStyle w:val="ParaLevel1"/>
      </w:pPr>
      <w:r>
        <w:t>However</w:t>
      </w:r>
      <w:r w:rsidR="00026F0E">
        <w:t xml:space="preserve">, I do accept the Firm’s </w:t>
      </w:r>
      <w:r w:rsidR="00A1132D">
        <w:t xml:space="preserve">criticism </w:t>
      </w:r>
      <w:r w:rsidR="00E0765A">
        <w:t xml:space="preserve">of that part of Mr Richards’ evidence which </w:t>
      </w:r>
      <w:r w:rsidR="0029658B">
        <w:t>did appear to involve reconstruction of events</w:t>
      </w:r>
      <w:r w:rsidR="00793D40">
        <w:t>,</w:t>
      </w:r>
      <w:r w:rsidR="0029658B">
        <w:t xml:space="preserve"> in hindsight</w:t>
      </w:r>
      <w:r w:rsidR="00793D40">
        <w:t>,</w:t>
      </w:r>
      <w:r w:rsidR="0029658B">
        <w:t xml:space="preserve"> </w:t>
      </w:r>
      <w:r w:rsidR="002E106F">
        <w:t xml:space="preserve">which involved </w:t>
      </w:r>
      <w:r w:rsidR="0016292F" w:rsidRPr="0016292F">
        <w:t xml:space="preserve">Mr Lockwood </w:t>
      </w:r>
      <w:r w:rsidR="00660342">
        <w:t>pursu</w:t>
      </w:r>
      <w:r w:rsidR="002E106F">
        <w:t xml:space="preserve">ing </w:t>
      </w:r>
      <w:r w:rsidR="00660342">
        <w:t xml:space="preserve">his </w:t>
      </w:r>
      <w:r w:rsidR="0016292F" w:rsidRPr="0016292F">
        <w:t xml:space="preserve">own agenda </w:t>
      </w:r>
      <w:r w:rsidR="00660342">
        <w:t xml:space="preserve">in supporting </w:t>
      </w:r>
      <w:r w:rsidR="00053D35">
        <w:t>his and Mr Purves’ removal from the Company</w:t>
      </w:r>
      <w:r w:rsidR="0016292F" w:rsidRPr="0016292F">
        <w:t xml:space="preserve">.  There </w:t>
      </w:r>
      <w:r w:rsidR="004379FC">
        <w:t xml:space="preserve">was no evidence to support that and </w:t>
      </w:r>
      <w:r w:rsidR="007502CC">
        <w:t xml:space="preserve">it is inconsistent with </w:t>
      </w:r>
      <w:r w:rsidR="00363253">
        <w:t xml:space="preserve">the findings of May J.  The judge </w:t>
      </w:r>
      <w:r w:rsidR="00363253" w:rsidRPr="00363253">
        <w:t>rejected the idea that Livingbridge had laid a “</w:t>
      </w:r>
      <w:r w:rsidR="00363253" w:rsidRPr="00363253">
        <w:rPr>
          <w:i/>
          <w:iCs/>
        </w:rPr>
        <w:t>bear trap</w:t>
      </w:r>
      <w:r w:rsidR="00363253" w:rsidRPr="00363253">
        <w:t>” for the Claimants, though she did conclude that, once their removal from the Company was on the agenda,  Livingbridge and Mr Lockwood had begun to perceive relevant events through that lens.</w:t>
      </w:r>
    </w:p>
    <w:p w14:paraId="13B5A285" w14:textId="4811A46A" w:rsidR="00A54CA7" w:rsidRDefault="00A54CA7" w:rsidP="00EF2FE7">
      <w:pPr>
        <w:pStyle w:val="ParaLevel1"/>
      </w:pPr>
      <w:r>
        <w:t xml:space="preserve">The principal points put to Mr Richards in cross-examination by Mr Tozzi QC were </w:t>
      </w:r>
      <w:r w:rsidR="00E13B20">
        <w:t>(1) the Claimants’ reliance upon Knigh</w:t>
      </w:r>
      <w:r w:rsidR="002B7CB6">
        <w:t xml:space="preserve">t and Mr </w:t>
      </w:r>
      <w:r w:rsidR="002B7CB6" w:rsidRPr="002B7CB6">
        <w:t xml:space="preserve">Howitt </w:t>
      </w:r>
      <w:r w:rsidR="003A00FB">
        <w:t>when deciding in 2014 to favour the Livingbridge bid</w:t>
      </w:r>
      <w:r w:rsidR="008003CC">
        <w:t xml:space="preserve"> </w:t>
      </w:r>
      <w:r w:rsidR="00F010FF">
        <w:t>over</w:t>
      </w:r>
      <w:r w:rsidR="005C4D49">
        <w:t xml:space="preserve"> one made by </w:t>
      </w:r>
      <w:r w:rsidR="00C9275E">
        <w:t>the potential trade buyer G</w:t>
      </w:r>
      <w:r w:rsidR="00395EA3">
        <w:t>C</w:t>
      </w:r>
      <w:r w:rsidR="00C9275E">
        <w:t>I</w:t>
      </w:r>
      <w:r w:rsidR="00F010FF">
        <w:t xml:space="preserve"> </w:t>
      </w:r>
      <w:r w:rsidR="003A00FB">
        <w:t xml:space="preserve">: (2) </w:t>
      </w:r>
      <w:r w:rsidR="00A64E34">
        <w:t>their further reliance upon th</w:t>
      </w:r>
      <w:r w:rsidR="00C9275E">
        <w:t xml:space="preserve">ose advisers </w:t>
      </w:r>
      <w:r w:rsidR="00A64E34">
        <w:t xml:space="preserve">(but not the Firm) to </w:t>
      </w:r>
      <w:r w:rsidR="00F630F1">
        <w:t xml:space="preserve">agree </w:t>
      </w:r>
      <w:r w:rsidR="001C59AB">
        <w:t>with Livin</w:t>
      </w:r>
      <w:r w:rsidR="00344BCC">
        <w:t>g</w:t>
      </w:r>
      <w:r w:rsidR="001C59AB">
        <w:t xml:space="preserve">bridge </w:t>
      </w:r>
      <w:r w:rsidR="00F630F1">
        <w:t xml:space="preserve">upon the </w:t>
      </w:r>
      <w:r w:rsidR="00344BCC">
        <w:t>L</w:t>
      </w:r>
      <w:r w:rsidR="00F630F1">
        <w:t xml:space="preserve">eaver </w:t>
      </w:r>
      <w:r w:rsidR="00344BCC">
        <w:t>P</w:t>
      </w:r>
      <w:r w:rsidR="00F630F1">
        <w:t xml:space="preserve">rovisions so far as the exit value of their shareholdings in the </w:t>
      </w:r>
      <w:r w:rsidR="001C59AB">
        <w:t>Company were concerned</w:t>
      </w:r>
      <w:r w:rsidR="00E12D81">
        <w:t xml:space="preserve"> and the</w:t>
      </w:r>
      <w:r w:rsidR="00376DA2">
        <w:t xml:space="preserve"> debate about the</w:t>
      </w:r>
      <w:r w:rsidR="00E12D81">
        <w:t>m</w:t>
      </w:r>
      <w:r w:rsidR="00376DA2">
        <w:t xml:space="preserve"> </w:t>
      </w:r>
      <w:r w:rsidR="002478D5">
        <w:t>was concluded before the Firm was instructed;</w:t>
      </w:r>
      <w:r w:rsidR="001C59AB">
        <w:t xml:space="preserve"> (</w:t>
      </w:r>
      <w:r w:rsidR="002478D5">
        <w:t>3</w:t>
      </w:r>
      <w:r w:rsidR="001C59AB">
        <w:t xml:space="preserve">) </w:t>
      </w:r>
      <w:r w:rsidR="00CB00F0">
        <w:t xml:space="preserve">the lack of reality behind Mr </w:t>
      </w:r>
      <w:r w:rsidR="008A5F70">
        <w:t>Richards’ view that</w:t>
      </w:r>
      <w:r w:rsidR="00214429">
        <w:t>, allowing for the cash received under the Transaction,</w:t>
      </w:r>
      <w:r w:rsidR="008A5F70">
        <w:t xml:space="preserve"> he and Mr Purves were </w:t>
      </w:r>
      <w:r w:rsidR="003577DA">
        <w:t xml:space="preserve">rolling </w:t>
      </w:r>
      <w:r w:rsidR="000936D8">
        <w:t xml:space="preserve">over the </w:t>
      </w:r>
      <w:r w:rsidR="00D23C52">
        <w:t xml:space="preserve">remaining value of a business which they considered to be worth around £10m, </w:t>
      </w:r>
      <w:r w:rsidR="000936D8">
        <w:t>in the form of equity in</w:t>
      </w:r>
      <w:r w:rsidR="00CF6A4A">
        <w:t xml:space="preserve"> the Company</w:t>
      </w:r>
      <w:r w:rsidR="00D23C52">
        <w:t>,</w:t>
      </w:r>
      <w:r w:rsidR="00CF6A4A">
        <w:t xml:space="preserve"> when </w:t>
      </w:r>
      <w:r w:rsidR="00FA20EF">
        <w:t xml:space="preserve">their </w:t>
      </w:r>
      <w:r w:rsidR="006C2C66">
        <w:t xml:space="preserve">respective </w:t>
      </w:r>
      <w:r w:rsidR="00AC6F44">
        <w:t>shareholdings in the Company w</w:t>
      </w:r>
      <w:r w:rsidR="00FA20EF">
        <w:t xml:space="preserve">ere treated by them as </w:t>
      </w:r>
      <w:r w:rsidR="003878BD">
        <w:t xml:space="preserve"> </w:t>
      </w:r>
      <w:r w:rsidR="006C2C66">
        <w:t xml:space="preserve">having a value of </w:t>
      </w:r>
      <w:r w:rsidR="003878BD">
        <w:t>£90,000.</w:t>
      </w:r>
    </w:p>
    <w:p w14:paraId="47328CB5" w14:textId="21B99A77" w:rsidR="00080CE6" w:rsidRDefault="00080CE6" w:rsidP="00EF2FE7">
      <w:pPr>
        <w:pStyle w:val="ParaLevel1"/>
      </w:pPr>
      <w:r>
        <w:t>In his witness statement, Mr Richards</w:t>
      </w:r>
      <w:r w:rsidR="005D22E6">
        <w:t xml:space="preserve"> </w:t>
      </w:r>
      <w:r w:rsidR="00B3409D">
        <w:t xml:space="preserve">referred to his understanding over </w:t>
      </w:r>
      <w:r w:rsidR="00C17F84">
        <w:t xml:space="preserve">matters of Board control and went on to say: </w:t>
      </w:r>
      <w:r>
        <w:t xml:space="preserve"> </w:t>
      </w:r>
    </w:p>
    <w:p w14:paraId="09FE1F8A" w14:textId="2AF8098B" w:rsidR="005D22E6" w:rsidRDefault="00AD3B9F" w:rsidP="00EF2FE7">
      <w:pPr>
        <w:pStyle w:val="ParaLevel1"/>
        <w:numPr>
          <w:ilvl w:val="0"/>
          <w:numId w:val="0"/>
        </w:numPr>
        <w:ind w:left="1134"/>
      </w:pPr>
      <w:r>
        <w:t>“</w:t>
      </w:r>
      <w:r w:rsidR="005D22E6" w:rsidRPr="00AD3B9F">
        <w:rPr>
          <w:i/>
          <w:iCs/>
        </w:rPr>
        <w:t>We asked Adam about any other risks time and time again and it was probably the focus of nearly</w:t>
      </w:r>
      <w:r w:rsidR="00C17F84" w:rsidRPr="00AD3B9F">
        <w:rPr>
          <w:i/>
          <w:iCs/>
        </w:rPr>
        <w:t xml:space="preserve"> </w:t>
      </w:r>
      <w:r w:rsidR="005D22E6" w:rsidRPr="00AD3B9F">
        <w:rPr>
          <w:i/>
          <w:iCs/>
        </w:rPr>
        <w:t>every conversation we had with Adam. Pretty much at the end of every meeting or call that Keith</w:t>
      </w:r>
      <w:r w:rsidR="00C17F84" w:rsidRPr="00AD3B9F">
        <w:rPr>
          <w:i/>
          <w:iCs/>
        </w:rPr>
        <w:t xml:space="preserve"> </w:t>
      </w:r>
      <w:r w:rsidR="005D22E6" w:rsidRPr="00AD3B9F">
        <w:rPr>
          <w:i/>
          <w:iCs/>
        </w:rPr>
        <w:t>was involved in he would ask: "Adam, tell me how we're going to get fucked? I am 50 something</w:t>
      </w:r>
      <w:r w:rsidR="00C17F84" w:rsidRPr="00AD3B9F">
        <w:rPr>
          <w:i/>
          <w:iCs/>
        </w:rPr>
        <w:t xml:space="preserve"> </w:t>
      </w:r>
      <w:r w:rsidR="005D22E6" w:rsidRPr="00AD3B9F">
        <w:rPr>
          <w:i/>
          <w:iCs/>
        </w:rPr>
        <w:t>years old and can't afford for this to go wrong and start again". I also expressed my concerns along</w:t>
      </w:r>
      <w:r w:rsidR="00C17F84" w:rsidRPr="00AD3B9F">
        <w:rPr>
          <w:i/>
          <w:iCs/>
        </w:rPr>
        <w:t xml:space="preserve"> </w:t>
      </w:r>
      <w:r w:rsidR="005D22E6" w:rsidRPr="00AD3B9F">
        <w:rPr>
          <w:i/>
          <w:iCs/>
        </w:rPr>
        <w:t>similar lines and I remember that we negotiated gross misconduct being redefined to a narrow range</w:t>
      </w:r>
      <w:r w:rsidR="00C17F84" w:rsidRPr="00AD3B9F">
        <w:rPr>
          <w:i/>
          <w:iCs/>
        </w:rPr>
        <w:t xml:space="preserve"> </w:t>
      </w:r>
      <w:r w:rsidR="005D22E6" w:rsidRPr="00AD3B9F">
        <w:rPr>
          <w:i/>
          <w:iCs/>
        </w:rPr>
        <w:t>of things because we wanted to mitigate this risk as much as possible as well (from being something</w:t>
      </w:r>
      <w:r w:rsidR="00C17F84" w:rsidRPr="00AD3B9F">
        <w:rPr>
          <w:i/>
          <w:iCs/>
        </w:rPr>
        <w:t xml:space="preserve"> </w:t>
      </w:r>
      <w:r w:rsidR="005D22E6" w:rsidRPr="00AD3B9F">
        <w:rPr>
          <w:i/>
          <w:iCs/>
        </w:rPr>
        <w:t>frivolous to an actual proved event). I wanted to make sure that my remaining 30% shareholding in</w:t>
      </w:r>
      <w:r w:rsidR="00C17F84" w:rsidRPr="00AD3B9F">
        <w:rPr>
          <w:i/>
          <w:iCs/>
        </w:rPr>
        <w:t xml:space="preserve"> </w:t>
      </w:r>
      <w:r w:rsidR="005D22E6" w:rsidRPr="00AD3B9F">
        <w:rPr>
          <w:i/>
          <w:iCs/>
        </w:rPr>
        <w:t>the holding company were absolutely going to be worth something to me whatever happened</w:t>
      </w:r>
      <w:r w:rsidR="005D22E6">
        <w:t>.</w:t>
      </w:r>
      <w:r>
        <w:t>”</w:t>
      </w:r>
    </w:p>
    <w:p w14:paraId="1E37F357" w14:textId="46EB27B3" w:rsidR="0009356A" w:rsidRDefault="00080CE6" w:rsidP="00EF2FE7">
      <w:pPr>
        <w:pStyle w:val="ParaLevel1"/>
      </w:pPr>
      <w:r>
        <w:t xml:space="preserve">He </w:t>
      </w:r>
      <w:r w:rsidR="00784706">
        <w:t>accepted that Mr B</w:t>
      </w:r>
      <w:r w:rsidR="002677BB">
        <w:t xml:space="preserve">illingham and Mr </w:t>
      </w:r>
      <w:r w:rsidR="00784706">
        <w:t xml:space="preserve">Knight </w:t>
      </w:r>
      <w:r w:rsidR="002677BB">
        <w:t xml:space="preserve">had undertaken the commercial aspect of the negotiation but </w:t>
      </w:r>
      <w:r w:rsidR="004C4FA6">
        <w:t xml:space="preserve">he likened their role to that of an estate agent in a conveyancing transaction where the legal drafting remained to be addressed.  </w:t>
      </w:r>
    </w:p>
    <w:p w14:paraId="7FBD96C9" w14:textId="47677A2D" w:rsidR="006F6534" w:rsidRDefault="006F6534" w:rsidP="00EF2FE7">
      <w:pPr>
        <w:pStyle w:val="ParaLevel1"/>
      </w:pPr>
      <w:r>
        <w:t xml:space="preserve">In response to </w:t>
      </w:r>
      <w:r w:rsidR="00867EA6">
        <w:t xml:space="preserve">Mr Tozzi’s </w:t>
      </w:r>
      <w:r>
        <w:t xml:space="preserve">suggestion that the </w:t>
      </w:r>
      <w:r w:rsidR="00000890">
        <w:t>L</w:t>
      </w:r>
      <w:r>
        <w:t xml:space="preserve">eaver </w:t>
      </w:r>
      <w:r w:rsidR="00000890">
        <w:t>P</w:t>
      </w:r>
      <w:r>
        <w:t>rovisions were effectively a done deal before the Firm was instructed</w:t>
      </w:r>
      <w:r w:rsidR="0028179A">
        <w:t>,</w:t>
      </w:r>
      <w:r>
        <w:t xml:space="preserve"> </w:t>
      </w:r>
      <w:r w:rsidR="0009356A">
        <w:t>Mr Richards</w:t>
      </w:r>
      <w:r>
        <w:t>:</w:t>
      </w:r>
    </w:p>
    <w:p w14:paraId="2541DC52" w14:textId="1DC23349" w:rsidR="00835C7B" w:rsidRDefault="006F6534" w:rsidP="00EF2FE7">
      <w:pPr>
        <w:pStyle w:val="ParaLevel1"/>
        <w:numPr>
          <w:ilvl w:val="0"/>
          <w:numId w:val="0"/>
        </w:numPr>
        <w:ind w:left="1134"/>
      </w:pPr>
      <w:r w:rsidRPr="00557E26">
        <w:rPr>
          <w:i/>
          <w:iCs/>
        </w:rPr>
        <w:t xml:space="preserve">“….. </w:t>
      </w:r>
      <w:r w:rsidR="00B074E3" w:rsidRPr="00557E26">
        <w:rPr>
          <w:i/>
          <w:iCs/>
        </w:rPr>
        <w:t>but these will still be subject to Mr Crossley</w:t>
      </w:r>
      <w:r w:rsidRPr="00557E26">
        <w:rPr>
          <w:i/>
          <w:iCs/>
        </w:rPr>
        <w:t xml:space="preserve"> </w:t>
      </w:r>
      <w:r w:rsidR="00B074E3" w:rsidRPr="00557E26">
        <w:rPr>
          <w:i/>
          <w:iCs/>
        </w:rPr>
        <w:t>reviewing those as part of the deal arrangement.  So</w:t>
      </w:r>
      <w:r w:rsidRPr="00557E26">
        <w:rPr>
          <w:i/>
          <w:iCs/>
        </w:rPr>
        <w:t xml:space="preserve"> </w:t>
      </w:r>
      <w:r w:rsidR="00B074E3" w:rsidRPr="00557E26">
        <w:rPr>
          <w:i/>
          <w:iCs/>
        </w:rPr>
        <w:t>this is all the -- this is what a deal is gonna look</w:t>
      </w:r>
      <w:r w:rsidR="00557E26" w:rsidRPr="00557E26">
        <w:rPr>
          <w:i/>
          <w:iCs/>
        </w:rPr>
        <w:t xml:space="preserve"> l</w:t>
      </w:r>
      <w:r w:rsidR="00B074E3" w:rsidRPr="00557E26">
        <w:rPr>
          <w:i/>
          <w:iCs/>
        </w:rPr>
        <w:t>ike, we're gonna send that over to our lawyer and our</w:t>
      </w:r>
      <w:r w:rsidR="00557E26" w:rsidRPr="00557E26">
        <w:rPr>
          <w:i/>
          <w:iCs/>
        </w:rPr>
        <w:t xml:space="preserve"> l</w:t>
      </w:r>
      <w:r w:rsidR="00B074E3" w:rsidRPr="00557E26">
        <w:rPr>
          <w:i/>
          <w:iCs/>
        </w:rPr>
        <w:t>awyer is gonna review that in the round</w:t>
      </w:r>
      <w:r w:rsidR="00B074E3">
        <w:t>.</w:t>
      </w:r>
      <w:r w:rsidR="00557E26">
        <w:t>”</w:t>
      </w:r>
    </w:p>
    <w:p w14:paraId="3E363F27" w14:textId="04474D17" w:rsidR="00AE57CB" w:rsidRDefault="00AE57CB" w:rsidP="00EF2FE7">
      <w:pPr>
        <w:pStyle w:val="ParaLevel1"/>
        <w:numPr>
          <w:ilvl w:val="0"/>
          <w:numId w:val="0"/>
        </w:numPr>
        <w:ind w:left="1287" w:hanging="720"/>
      </w:pPr>
      <w:r>
        <w:t>And</w:t>
      </w:r>
      <w:r w:rsidR="00715B92">
        <w:t>:</w:t>
      </w:r>
    </w:p>
    <w:p w14:paraId="3E652A85" w14:textId="6C44A6FA" w:rsidR="00715B92" w:rsidRPr="00AE57CB" w:rsidRDefault="00E92B54" w:rsidP="00EF2FE7">
      <w:pPr>
        <w:pStyle w:val="ParaLevel1"/>
        <w:numPr>
          <w:ilvl w:val="0"/>
          <w:numId w:val="0"/>
        </w:numPr>
        <w:ind w:left="1287"/>
      </w:pPr>
      <w:r>
        <w:rPr>
          <w:i/>
          <w:iCs/>
        </w:rPr>
        <w:t xml:space="preserve">“….. </w:t>
      </w:r>
      <w:r w:rsidR="00715B92" w:rsidRPr="00E92B54">
        <w:rPr>
          <w:i/>
          <w:iCs/>
        </w:rPr>
        <w:t>we had conversations in September cause we had Andy Lindsell added into some of those as well, so we certainly did have conversations with Adam Crossley around the leaver provisions and what effect they would have on me and my shares.  And, you know, I think -- I think somewhere in the other leaver provisions there was provision that added in around, if I had a minimum amount, I'd get a salary or I wouldn't</w:t>
      </w:r>
      <w:r w:rsidRPr="00E92B54">
        <w:rPr>
          <w:i/>
          <w:iCs/>
        </w:rPr>
        <w:t xml:space="preserve"> </w:t>
      </w:r>
      <w:r w:rsidR="00715B92" w:rsidRPr="00E92B54">
        <w:rPr>
          <w:i/>
          <w:iCs/>
        </w:rPr>
        <w:t>be restricted and that would have been part of the</w:t>
      </w:r>
      <w:r w:rsidRPr="00E92B54">
        <w:rPr>
          <w:i/>
          <w:iCs/>
        </w:rPr>
        <w:t xml:space="preserve"> c</w:t>
      </w:r>
      <w:r w:rsidR="00715B92" w:rsidRPr="00E92B54">
        <w:rPr>
          <w:i/>
          <w:iCs/>
        </w:rPr>
        <w:t>onversation we had with Adam Crossley around if we got</w:t>
      </w:r>
      <w:r w:rsidRPr="00E92B54">
        <w:rPr>
          <w:i/>
          <w:iCs/>
        </w:rPr>
        <w:t xml:space="preserve"> </w:t>
      </w:r>
      <w:r w:rsidR="00715B92" w:rsidRPr="00E92B54">
        <w:rPr>
          <w:i/>
          <w:iCs/>
        </w:rPr>
        <w:t>X amount less for our shares, then my restrictions would</w:t>
      </w:r>
      <w:r w:rsidRPr="00E92B54">
        <w:rPr>
          <w:i/>
          <w:iCs/>
        </w:rPr>
        <w:t xml:space="preserve"> </w:t>
      </w:r>
      <w:r w:rsidR="00715B92" w:rsidRPr="00E92B54">
        <w:rPr>
          <w:i/>
          <w:iCs/>
        </w:rPr>
        <w:t>fall down.  So, you know, I may have got some of the</w:t>
      </w:r>
      <w:r w:rsidRPr="00E92B54">
        <w:rPr>
          <w:i/>
          <w:iCs/>
        </w:rPr>
        <w:t xml:space="preserve"> </w:t>
      </w:r>
      <w:r w:rsidR="00715B92" w:rsidRPr="00E92B54">
        <w:rPr>
          <w:i/>
          <w:iCs/>
        </w:rPr>
        <w:t>times wrong, but I certainly had these conversations</w:t>
      </w:r>
      <w:r w:rsidRPr="00E92B54">
        <w:rPr>
          <w:i/>
          <w:iCs/>
        </w:rPr>
        <w:t xml:space="preserve"> </w:t>
      </w:r>
      <w:r w:rsidR="00715B92" w:rsidRPr="00E92B54">
        <w:rPr>
          <w:i/>
          <w:iCs/>
        </w:rPr>
        <w:t>with Livingbridge, with the people you said in the email</w:t>
      </w:r>
      <w:r w:rsidRPr="00E92B54">
        <w:rPr>
          <w:i/>
          <w:iCs/>
        </w:rPr>
        <w:t xml:space="preserve"> </w:t>
      </w:r>
      <w:r w:rsidR="00715B92" w:rsidRPr="00E92B54">
        <w:rPr>
          <w:i/>
          <w:iCs/>
        </w:rPr>
        <w:t>and with Adam Crossley</w:t>
      </w:r>
      <w:r w:rsidR="00715B92">
        <w:t>.</w:t>
      </w:r>
      <w:r>
        <w:t>”</w:t>
      </w:r>
    </w:p>
    <w:p w14:paraId="74E51C6D" w14:textId="2E2C40EB" w:rsidR="009A757F" w:rsidRPr="009A757F" w:rsidRDefault="009A757F" w:rsidP="00EF2FE7">
      <w:pPr>
        <w:pStyle w:val="ParaLevel1"/>
      </w:pPr>
      <w:r>
        <w:t>The Firm suggested</w:t>
      </w:r>
      <w:r w:rsidRPr="009A757F">
        <w:t xml:space="preserve"> that the evidence Mr Richards gave in cross-examination about having discussions with Mr Crossley about “the leaver provisions” in September 2014</w:t>
      </w:r>
      <w:r w:rsidR="00D60A32">
        <w:t>, after Heads of Terms</w:t>
      </w:r>
      <w:r w:rsidR="00145F36">
        <w:t xml:space="preserve"> had been agreed with Livingbridge,</w:t>
      </w:r>
      <w:r w:rsidRPr="009A757F">
        <w:t xml:space="preserve"> was unreliable</w:t>
      </w:r>
      <w:r w:rsidR="00145F36">
        <w:t xml:space="preserve"> evidence</w:t>
      </w:r>
      <w:r w:rsidR="00EA360B">
        <w:t xml:space="preserve">.  </w:t>
      </w:r>
      <w:r w:rsidR="00145F36">
        <w:t>I do not accept that</w:t>
      </w:r>
      <w:r w:rsidR="00B32421">
        <w:t xml:space="preserve">.  </w:t>
      </w:r>
      <w:r w:rsidR="00EA360B">
        <w:t xml:space="preserve">I </w:t>
      </w:r>
      <w:r w:rsidR="00827D41">
        <w:t>understood</w:t>
      </w:r>
      <w:r w:rsidR="00DF3F40">
        <w:t xml:space="preserve"> Mr Richards </w:t>
      </w:r>
      <w:r w:rsidR="00827D41">
        <w:t xml:space="preserve">to be </w:t>
      </w:r>
      <w:r w:rsidR="00DF3F40">
        <w:t xml:space="preserve">talking as much about the </w:t>
      </w:r>
      <w:r w:rsidR="00371A3C">
        <w:t xml:space="preserve">restrictive covenants </w:t>
      </w:r>
      <w:r w:rsidR="00F601CB">
        <w:t xml:space="preserve">as the so-called vesting rights, that would bind him upon leaving, and the </w:t>
      </w:r>
      <w:r w:rsidR="001752F7">
        <w:t xml:space="preserve">interaction </w:t>
      </w:r>
      <w:r w:rsidR="00CB0E41">
        <w:t xml:space="preserve">between those covenants and </w:t>
      </w:r>
      <w:r w:rsidR="001752F7">
        <w:t xml:space="preserve">the value of those rights.  </w:t>
      </w:r>
      <w:r w:rsidRPr="009A757F">
        <w:t xml:space="preserve"> </w:t>
      </w:r>
      <w:r w:rsidR="00660329">
        <w:t xml:space="preserve">He referred to </w:t>
      </w:r>
      <w:r w:rsidR="006122CF">
        <w:t xml:space="preserve">continuing </w:t>
      </w:r>
      <w:r w:rsidR="00660329">
        <w:t xml:space="preserve">discussion </w:t>
      </w:r>
      <w:r w:rsidR="000C7F55">
        <w:t xml:space="preserve">with Mr Crossley </w:t>
      </w:r>
      <w:r w:rsidR="006122CF">
        <w:t xml:space="preserve">on this aspect </w:t>
      </w:r>
      <w:r w:rsidR="00754543">
        <w:t>“</w:t>
      </w:r>
      <w:r w:rsidR="00754543" w:rsidRPr="00754543">
        <w:rPr>
          <w:i/>
          <w:iCs/>
        </w:rPr>
        <w:t>because it was all tied in together</w:t>
      </w:r>
      <w:r w:rsidR="00754543">
        <w:t>.”</w:t>
      </w:r>
    </w:p>
    <w:p w14:paraId="0459A7E7" w14:textId="26719104" w:rsidR="00C17963" w:rsidRDefault="00A5268C" w:rsidP="00EF2FE7">
      <w:pPr>
        <w:pStyle w:val="ParaLevel1"/>
      </w:pPr>
      <w:r>
        <w:t xml:space="preserve">In particular, </w:t>
      </w:r>
      <w:r w:rsidR="00B008CC">
        <w:t xml:space="preserve">Mr Richards was </w:t>
      </w:r>
      <w:r w:rsidR="00ED619C">
        <w:t>taken</w:t>
      </w:r>
      <w:r w:rsidR="00B008CC">
        <w:t xml:space="preserve"> </w:t>
      </w:r>
      <w:r w:rsidR="001A3787">
        <w:t>to</w:t>
      </w:r>
      <w:r w:rsidR="00B008CC">
        <w:t xml:space="preserve"> </w:t>
      </w:r>
      <w:r w:rsidR="002A70FE">
        <w:t xml:space="preserve">an email which Mr Crossley wrote </w:t>
      </w:r>
      <w:r w:rsidR="006B4E58">
        <w:t>to the Claimants on 13 November 2014 on the subject of “restrictive covenants”.  Mr Richard</w:t>
      </w:r>
      <w:r w:rsidR="001D1B33">
        <w:t>s’ view</w:t>
      </w:r>
      <w:r w:rsidR="00ED619C">
        <w:t xml:space="preserve"> at the time was </w:t>
      </w:r>
      <w:r w:rsidR="001A3787">
        <w:t xml:space="preserve">that they should not be subject to restrictive covenants on leaving the Company if they received less than £400,000 </w:t>
      </w:r>
      <w:r w:rsidR="00217D6F">
        <w:t xml:space="preserve">each </w:t>
      </w:r>
      <w:r w:rsidR="001A3787">
        <w:t>for their shares.  When asked about this, he said:</w:t>
      </w:r>
    </w:p>
    <w:p w14:paraId="2967736A" w14:textId="33A83F1E" w:rsidR="001A3787" w:rsidRDefault="00FC6F4B" w:rsidP="00EF2FE7">
      <w:pPr>
        <w:pStyle w:val="ParaLevel1"/>
        <w:numPr>
          <w:ilvl w:val="0"/>
          <w:numId w:val="0"/>
        </w:numPr>
        <w:ind w:left="1134"/>
      </w:pPr>
      <w:r>
        <w:rPr>
          <w:i/>
          <w:iCs/>
        </w:rPr>
        <w:t>“</w:t>
      </w:r>
      <w:r w:rsidR="00FB6DC8" w:rsidRPr="00FC6F4B">
        <w:rPr>
          <w:i/>
          <w:iCs/>
        </w:rPr>
        <w:t>Yes, and I remember having a conversation with Adam Crossley about this because the likelihood of our shares being worth less than 400K was something that we</w:t>
      </w:r>
      <w:r w:rsidRPr="00FC6F4B">
        <w:rPr>
          <w:i/>
          <w:iCs/>
        </w:rPr>
        <w:t xml:space="preserve"> </w:t>
      </w:r>
      <w:r w:rsidR="00FB6DC8" w:rsidRPr="00FC6F4B">
        <w:rPr>
          <w:i/>
          <w:iCs/>
        </w:rPr>
        <w:t>considered to be remote, given that the business had</w:t>
      </w:r>
      <w:r w:rsidRPr="00FC6F4B">
        <w:rPr>
          <w:i/>
          <w:iCs/>
        </w:rPr>
        <w:t xml:space="preserve"> </w:t>
      </w:r>
      <w:r w:rsidR="00FB6DC8" w:rsidRPr="00FC6F4B">
        <w:rPr>
          <w:i/>
          <w:iCs/>
        </w:rPr>
        <w:t>a value of £10 million and we had 30 per cent of it. So</w:t>
      </w:r>
      <w:r w:rsidRPr="00FC6F4B">
        <w:rPr>
          <w:i/>
          <w:iCs/>
        </w:rPr>
        <w:t xml:space="preserve"> </w:t>
      </w:r>
      <w:r w:rsidR="00FB6DC8" w:rsidRPr="00FC6F4B">
        <w:rPr>
          <w:i/>
          <w:iCs/>
        </w:rPr>
        <w:t>that was -- that's why we agreed that level</w:t>
      </w:r>
      <w:r w:rsidR="00FE32D6">
        <w:t>.”</w:t>
      </w:r>
    </w:p>
    <w:p w14:paraId="588A2063" w14:textId="1308349C" w:rsidR="00FE32D6" w:rsidRDefault="006770FC" w:rsidP="00EF2FE7">
      <w:pPr>
        <w:pStyle w:val="ParaLevel1"/>
        <w:numPr>
          <w:ilvl w:val="0"/>
          <w:numId w:val="0"/>
        </w:numPr>
        <w:ind w:left="1287" w:hanging="720"/>
      </w:pPr>
      <w:r>
        <w:t>On this point he also said:</w:t>
      </w:r>
    </w:p>
    <w:p w14:paraId="3CD6F779" w14:textId="3F01AB3E" w:rsidR="006770FC" w:rsidRPr="00FE32D6" w:rsidRDefault="00E66C44" w:rsidP="00EF2FE7">
      <w:pPr>
        <w:pStyle w:val="ParaLevel1"/>
        <w:numPr>
          <w:ilvl w:val="0"/>
          <w:numId w:val="0"/>
        </w:numPr>
        <w:ind w:left="1287"/>
      </w:pPr>
      <w:r>
        <w:t>“</w:t>
      </w:r>
      <w:r w:rsidRPr="00E66C44">
        <w:rPr>
          <w:i/>
          <w:iCs/>
        </w:rPr>
        <w:t>In effect, the purpose of this was that in the event that we were leavers, that we would either get the equivalent of a year's salary or two-years' salary to remain restricted by the value of ours shares or we wouldn't be restricted. So that was the -- that was what we were aiming to –"</w:t>
      </w:r>
    </w:p>
    <w:p w14:paraId="2EA7BB5D" w14:textId="488B140B" w:rsidR="00E90D5E" w:rsidRDefault="003F1050" w:rsidP="00EF2FE7">
      <w:pPr>
        <w:pStyle w:val="ParaLevel1"/>
      </w:pPr>
      <w:r>
        <w:t xml:space="preserve">When tested by questions in cross-examination which went to the Firm’s causation defence, in particular the </w:t>
      </w:r>
      <w:r w:rsidR="00495893">
        <w:t xml:space="preserve">assertion that he and Mr Purves would have been happy to take the risk </w:t>
      </w:r>
      <w:r w:rsidR="002F24B0">
        <w:t xml:space="preserve">which materialised in the Quantum Judgment because the chance of </w:t>
      </w:r>
      <w:r w:rsidR="00FD694F">
        <w:t xml:space="preserve">either of </w:t>
      </w:r>
      <w:r w:rsidR="002F24B0">
        <w:t>them b</w:t>
      </w:r>
      <w:r w:rsidR="00880A89">
        <w:t xml:space="preserve">ecoming Good Leavers in the early </w:t>
      </w:r>
      <w:r w:rsidR="00322EF9">
        <w:t xml:space="preserve">life of the Company’s business </w:t>
      </w:r>
      <w:r w:rsidR="00AB49E4">
        <w:t>w</w:t>
      </w:r>
      <w:r w:rsidR="008A6998">
        <w:t>as</w:t>
      </w:r>
      <w:r w:rsidR="00AB49E4">
        <w:t xml:space="preserve"> </w:t>
      </w:r>
      <w:r w:rsidR="00607AE0">
        <w:t xml:space="preserve">so slim </w:t>
      </w:r>
      <w:r w:rsidR="008A6998">
        <w:t xml:space="preserve">(almost non-existent) </w:t>
      </w:r>
      <w:r w:rsidR="00322EF9">
        <w:t>and the Livingbridge offer was otherwise so attractive, Mr Richards said:</w:t>
      </w:r>
    </w:p>
    <w:p w14:paraId="128D4AF5" w14:textId="2A9B2FB2" w:rsidR="00322EF9" w:rsidRDefault="00FE471F" w:rsidP="00EF2FE7">
      <w:pPr>
        <w:pStyle w:val="ParaLevel2"/>
        <w:numPr>
          <w:ilvl w:val="0"/>
          <w:numId w:val="0"/>
        </w:numPr>
        <w:ind w:left="1843"/>
        <w:rPr>
          <w:i/>
          <w:iCs/>
        </w:rPr>
      </w:pPr>
      <w:r w:rsidRPr="00FE471F">
        <w:rPr>
          <w:i/>
          <w:iCs/>
        </w:rPr>
        <w:t>“</w:t>
      </w:r>
      <w:r w:rsidR="00CA40B4" w:rsidRPr="00FE471F">
        <w:rPr>
          <w:i/>
          <w:iCs/>
        </w:rPr>
        <w:t>Well, we done that deal on the basis of the advice we received and as -- as our claim sets out -- and well, my position is really clear on it, we wouldn't have done the deal if my shares were only worth a pound.  It was -- it's the equivalent of selling your house and</w:t>
      </w:r>
      <w:r w:rsidRPr="00FE471F">
        <w:rPr>
          <w:i/>
          <w:iCs/>
        </w:rPr>
        <w:t xml:space="preserve"> </w:t>
      </w:r>
      <w:r w:rsidR="00CA40B4" w:rsidRPr="00FE471F">
        <w:rPr>
          <w:i/>
          <w:iCs/>
        </w:rPr>
        <w:t>getting a mortgage on it for 30 per cent and then the</w:t>
      </w:r>
      <w:r w:rsidRPr="00FE471F">
        <w:rPr>
          <w:i/>
          <w:iCs/>
        </w:rPr>
        <w:t xml:space="preserve"> </w:t>
      </w:r>
      <w:r w:rsidR="00CA40B4" w:rsidRPr="00FE471F">
        <w:rPr>
          <w:i/>
          <w:iCs/>
        </w:rPr>
        <w:t>bank coming back the day after you've taken the mortgage</w:t>
      </w:r>
      <w:r w:rsidRPr="00FE471F">
        <w:rPr>
          <w:i/>
          <w:iCs/>
        </w:rPr>
        <w:t xml:space="preserve"> </w:t>
      </w:r>
      <w:r w:rsidR="00CA40B4" w:rsidRPr="00FE471F">
        <w:rPr>
          <w:i/>
          <w:iCs/>
        </w:rPr>
        <w:t>and owning all of your house.  It just wouldn't have</w:t>
      </w:r>
      <w:r w:rsidRPr="00FE471F">
        <w:rPr>
          <w:i/>
          <w:iCs/>
        </w:rPr>
        <w:t xml:space="preserve"> </w:t>
      </w:r>
      <w:r w:rsidR="00CA40B4" w:rsidRPr="00FE471F">
        <w:rPr>
          <w:i/>
          <w:iCs/>
        </w:rPr>
        <w:t>happened under any circumstances.</w:t>
      </w:r>
      <w:r w:rsidRPr="00FE471F">
        <w:rPr>
          <w:i/>
          <w:iCs/>
        </w:rPr>
        <w:t>”</w:t>
      </w:r>
    </w:p>
    <w:p w14:paraId="1E818C65" w14:textId="1D9EA33A" w:rsidR="00FE471F" w:rsidRDefault="003A0201" w:rsidP="00EF2FE7">
      <w:pPr>
        <w:pStyle w:val="ParaLevel2"/>
        <w:numPr>
          <w:ilvl w:val="0"/>
          <w:numId w:val="0"/>
        </w:numPr>
        <w:ind w:left="567"/>
      </w:pPr>
      <w:r>
        <w:t>And:</w:t>
      </w:r>
    </w:p>
    <w:p w14:paraId="5F6E7E36" w14:textId="66F08BD4" w:rsidR="0066306B" w:rsidRPr="0066306B" w:rsidRDefault="0066306B" w:rsidP="00EF2FE7">
      <w:pPr>
        <w:pStyle w:val="ParaLevel2"/>
        <w:numPr>
          <w:ilvl w:val="0"/>
          <w:numId w:val="0"/>
        </w:numPr>
        <w:ind w:left="1701"/>
        <w:rPr>
          <w:i/>
          <w:iCs/>
        </w:rPr>
      </w:pPr>
      <w:r w:rsidRPr="0066306B">
        <w:rPr>
          <w:i/>
          <w:iCs/>
        </w:rPr>
        <w:t>“what I expected and what I wanted from the legal advice is this could happen and your shares could be bought for a pound and had I received that advice, that is the advice that Livingbridge had the benefit of and that's what I'd have expected to receive, that advice that my shares could have been bought for a pound.”</w:t>
      </w:r>
    </w:p>
    <w:p w14:paraId="69E8B1CC" w14:textId="3A14EA56" w:rsidR="003A0201" w:rsidRDefault="003A0201" w:rsidP="00EF2FE7">
      <w:pPr>
        <w:pStyle w:val="ParaLevel2"/>
        <w:numPr>
          <w:ilvl w:val="0"/>
          <w:numId w:val="0"/>
        </w:numPr>
        <w:ind w:left="1429" w:hanging="709"/>
      </w:pPr>
    </w:p>
    <w:p w14:paraId="4F6EB14B" w14:textId="25522288" w:rsidR="0049084A" w:rsidRPr="005051F0" w:rsidRDefault="0049084A" w:rsidP="00EF2FE7">
      <w:pPr>
        <w:pStyle w:val="ParaLevel2"/>
        <w:numPr>
          <w:ilvl w:val="0"/>
          <w:numId w:val="0"/>
        </w:numPr>
        <w:ind w:left="1429" w:hanging="709"/>
        <w:rPr>
          <w:b/>
          <w:bCs/>
          <w:u w:val="single"/>
        </w:rPr>
      </w:pPr>
      <w:r w:rsidRPr="005051F0">
        <w:rPr>
          <w:b/>
          <w:bCs/>
          <w:u w:val="single"/>
        </w:rPr>
        <w:t>Mr Purves</w:t>
      </w:r>
    </w:p>
    <w:p w14:paraId="0A1C2681" w14:textId="38AB2861" w:rsidR="00322EF9" w:rsidRDefault="00D8340F" w:rsidP="00EF2FE7">
      <w:pPr>
        <w:pStyle w:val="ParaLevel1"/>
      </w:pPr>
      <w:r>
        <w:t>Mr Purves gave evidence over half a day.</w:t>
      </w:r>
    </w:p>
    <w:p w14:paraId="0ECD495D" w14:textId="5938F7BD" w:rsidR="00322EF9" w:rsidRDefault="00D8340F" w:rsidP="00EF2FE7">
      <w:pPr>
        <w:pStyle w:val="ParaLevel1"/>
      </w:pPr>
      <w:r>
        <w:t>He</w:t>
      </w:r>
      <w:r w:rsidR="00BD0012">
        <w:t xml:space="preserve"> was a little more recalcitrant </w:t>
      </w:r>
      <w:r w:rsidR="000E2842">
        <w:t>than Mr Richards when giving evidence</w:t>
      </w:r>
      <w:r w:rsidR="001612DD">
        <w:t xml:space="preserve"> though as </w:t>
      </w:r>
      <w:r w:rsidR="00216554">
        <w:t xml:space="preserve">his cross-examination moved on he </w:t>
      </w:r>
      <w:r w:rsidR="00EC7381">
        <w:t>became more willing to expand upon his answers.</w:t>
      </w:r>
    </w:p>
    <w:p w14:paraId="1D1B1EE9" w14:textId="535F8FD8" w:rsidR="002668E6" w:rsidRDefault="00EC7381" w:rsidP="00EF2FE7">
      <w:pPr>
        <w:pStyle w:val="ParaLevel1"/>
      </w:pPr>
      <w:r>
        <w:t xml:space="preserve">Mr Tozzi QC was able to point to </w:t>
      </w:r>
      <w:r w:rsidR="008828FF">
        <w:t xml:space="preserve">certain inaccuracies in Mr Purves’ witness statement, </w:t>
      </w:r>
      <w:r w:rsidR="004E10C8">
        <w:t xml:space="preserve">most obviously that </w:t>
      </w:r>
      <w:r w:rsidR="007667FC">
        <w:t xml:space="preserve">in the first paragraph </w:t>
      </w:r>
      <w:r w:rsidR="004E10C8">
        <w:t>he</w:t>
      </w:r>
      <w:r w:rsidR="00B83D4A">
        <w:t xml:space="preserve"> referred to the loss as a result of the sale of his “</w:t>
      </w:r>
      <w:r w:rsidR="00385876" w:rsidRPr="00385876">
        <w:rPr>
          <w:i/>
          <w:iCs/>
        </w:rPr>
        <w:t>30% stake</w:t>
      </w:r>
      <w:r w:rsidR="00385876">
        <w:t xml:space="preserve">” in IPS UK when, of course, he had sold all of his shares in </w:t>
      </w:r>
      <w:r w:rsidR="00A676FD">
        <w:t xml:space="preserve">that company in return for both cash and a fresh shareholding in the Company.  </w:t>
      </w:r>
      <w:r w:rsidR="00874884">
        <w:t xml:space="preserve">Referring also to </w:t>
      </w:r>
      <w:r w:rsidR="00083E11">
        <w:t xml:space="preserve">the fact that Mr Purves appeared not to have refreshed his memory by reference to any of the contemporaneous documents </w:t>
      </w:r>
      <w:r w:rsidR="008B63C9">
        <w:t xml:space="preserve">before signing it, </w:t>
      </w:r>
      <w:r w:rsidR="00874884">
        <w:t>Mr Tozzi said that</w:t>
      </w:r>
      <w:r w:rsidR="008B63C9">
        <w:t xml:space="preserve"> Mr Purves’ witness statement indicated a slapdash approach to </w:t>
      </w:r>
      <w:r w:rsidR="002668E6">
        <w:t>the facts.</w:t>
      </w:r>
    </w:p>
    <w:p w14:paraId="1FDAEC27" w14:textId="0B8AF07C" w:rsidR="00E701E4" w:rsidRDefault="002668E6" w:rsidP="00EF2FE7">
      <w:pPr>
        <w:pStyle w:val="ParaLevel1"/>
      </w:pPr>
      <w:r>
        <w:t>I am not persuaded that</w:t>
      </w:r>
      <w:r w:rsidR="00434AA5">
        <w:t xml:space="preserve"> criticism sticks, at least so far as </w:t>
      </w:r>
      <w:r w:rsidR="00AE4211">
        <w:t>undermining his f</w:t>
      </w:r>
      <w:r w:rsidR="00434AA5">
        <w:t xml:space="preserve">undamental complaint against the Firm </w:t>
      </w:r>
      <w:r w:rsidR="00AE4211">
        <w:t xml:space="preserve">is </w:t>
      </w:r>
      <w:r w:rsidR="00434AA5">
        <w:t>concerned.  Mr Purves</w:t>
      </w:r>
      <w:r w:rsidR="007667FC">
        <w:t xml:space="preserve">’ subsequent answers revealed that he accepted the proper analysis </w:t>
      </w:r>
      <w:r w:rsidR="004F1605">
        <w:t xml:space="preserve">of the Transaction but he also </w:t>
      </w:r>
      <w:r w:rsidR="00434AA5">
        <w:t xml:space="preserve">said </w:t>
      </w:r>
      <w:r w:rsidR="007E5D2D">
        <w:t>“</w:t>
      </w:r>
      <w:r w:rsidR="007E5D2D" w:rsidRPr="004F1605">
        <w:rPr>
          <w:i/>
          <w:iCs/>
        </w:rPr>
        <w:t>I had 30 per cent of the new business</w:t>
      </w:r>
      <w:r w:rsidR="007E5D2D">
        <w:t xml:space="preserve">” and </w:t>
      </w:r>
      <w:r w:rsidR="00E8217F">
        <w:t>“[</w:t>
      </w:r>
      <w:r w:rsidR="00E8217F" w:rsidRPr="004F1605">
        <w:rPr>
          <w:i/>
          <w:iCs/>
        </w:rPr>
        <w:t>i]</w:t>
      </w:r>
      <w:r w:rsidR="007E5D2D" w:rsidRPr="004F1605">
        <w:rPr>
          <w:i/>
          <w:iCs/>
        </w:rPr>
        <w:t>t's relating here to the 30 per cent that I lost in the</w:t>
      </w:r>
      <w:r w:rsidR="00E8217F" w:rsidRPr="004F1605">
        <w:rPr>
          <w:i/>
          <w:iCs/>
        </w:rPr>
        <w:t xml:space="preserve"> </w:t>
      </w:r>
      <w:r w:rsidR="007E5D2D" w:rsidRPr="004F1605">
        <w:rPr>
          <w:i/>
          <w:iCs/>
        </w:rPr>
        <w:t>new business</w:t>
      </w:r>
      <w:r w:rsidR="00E8217F">
        <w:t>”</w:t>
      </w:r>
      <w:r w:rsidR="008E76C8">
        <w:t xml:space="preserve"> and “</w:t>
      </w:r>
      <w:r w:rsidR="007E5D2D" w:rsidRPr="004F1605">
        <w:rPr>
          <w:i/>
          <w:iCs/>
        </w:rPr>
        <w:t>I understand that to read that I lost 30 per cent when</w:t>
      </w:r>
      <w:r w:rsidR="008E76C8" w:rsidRPr="004F1605">
        <w:rPr>
          <w:i/>
          <w:iCs/>
        </w:rPr>
        <w:t xml:space="preserve"> </w:t>
      </w:r>
      <w:r w:rsidR="007E5D2D" w:rsidRPr="004F1605">
        <w:rPr>
          <w:i/>
          <w:iCs/>
        </w:rPr>
        <w:t>I was wrongly dismissed in the new firm</w:t>
      </w:r>
      <w:r w:rsidR="008E76C8">
        <w:t>”</w:t>
      </w:r>
      <w:r w:rsidR="007E5D2D">
        <w:t>.</w:t>
      </w:r>
      <w:r w:rsidR="00874884">
        <w:t xml:space="preserve"> </w:t>
      </w:r>
      <w:r w:rsidR="007667FC">
        <w:t xml:space="preserve"> </w:t>
      </w:r>
      <w:r w:rsidR="005376F3">
        <w:t xml:space="preserve">The issue </w:t>
      </w:r>
      <w:r w:rsidR="00E701E4" w:rsidRPr="00E701E4">
        <w:t xml:space="preserve">over the EBITDA multiple to be implied from the terms of the Transaction </w:t>
      </w:r>
      <w:r w:rsidR="00D26244">
        <w:t>(</w:t>
      </w:r>
      <w:r w:rsidR="00D26244" w:rsidRPr="00D26244">
        <w:t xml:space="preserve">which I address below in the context of the expert evidence) perhaps lends some support to Mr Purves’ broad brush </w:t>
      </w:r>
      <w:r w:rsidR="00BB5215">
        <w:t xml:space="preserve">but technically inaccurate </w:t>
      </w:r>
      <w:r w:rsidR="00D26244" w:rsidRPr="00D26244">
        <w:t>way of looking at t</w:t>
      </w:r>
      <w:r w:rsidR="00016324">
        <w:t>he Transaction.</w:t>
      </w:r>
    </w:p>
    <w:p w14:paraId="6E4B5333" w14:textId="3DBC649E" w:rsidR="00EC7381" w:rsidRDefault="005A5837" w:rsidP="00EF2FE7">
      <w:pPr>
        <w:pStyle w:val="ParaLevel1"/>
      </w:pPr>
      <w:r>
        <w:t xml:space="preserve">As with Mr Richards, </w:t>
      </w:r>
      <w:r w:rsidR="002F19CF">
        <w:t xml:space="preserve">I agree with the Firm that Mr Purves has </w:t>
      </w:r>
      <w:r w:rsidR="00ED5722">
        <w:t xml:space="preserve">come to the unjustified conclusion, with the benefit of hindsight, that </w:t>
      </w:r>
      <w:r w:rsidR="00913261">
        <w:t>Mr Lockwood had reached a decision to side with Livingbridge in ousting them from the Company.</w:t>
      </w:r>
    </w:p>
    <w:p w14:paraId="70AB0FEC" w14:textId="27D175B0" w:rsidR="00386FDB" w:rsidRDefault="00492061" w:rsidP="00EF2FE7">
      <w:pPr>
        <w:pStyle w:val="ParaLevel1"/>
      </w:pPr>
      <w:r>
        <w:t>Mr Purves’</w:t>
      </w:r>
      <w:r w:rsidR="007141DC">
        <w:t xml:space="preserve">s witness statement referred to assurances given to him by </w:t>
      </w:r>
      <w:r w:rsidR="00386FDB">
        <w:t>Mr Crossley</w:t>
      </w:r>
      <w:r w:rsidR="007141DC">
        <w:t xml:space="preserve"> that </w:t>
      </w:r>
      <w:r w:rsidR="00CF2732">
        <w:t>it would only be grounds of gross misconduct that would result in the Claimants leaving the Company</w:t>
      </w:r>
      <w:r w:rsidR="00386FDB">
        <w:t xml:space="preserve">, </w:t>
      </w:r>
      <w:r w:rsidR="00CF2732">
        <w:t xml:space="preserve">given that </w:t>
      </w:r>
      <w:r w:rsidR="00B76334">
        <w:t xml:space="preserve">they were key to the business, including at a meeting at the Firm’s offices </w:t>
      </w:r>
      <w:r w:rsidR="001A5E7C">
        <w:t xml:space="preserve">attended by Livingbridge.  Mr Tozzi suggested that </w:t>
      </w:r>
      <w:r w:rsidR="00236FA8">
        <w:t xml:space="preserve">any </w:t>
      </w:r>
      <w:r w:rsidR="00386FDB">
        <w:t xml:space="preserve">assurances </w:t>
      </w:r>
      <w:r w:rsidR="00236FA8">
        <w:t xml:space="preserve">about the security of their position within the Company would have </w:t>
      </w:r>
      <w:r w:rsidR="00467D56">
        <w:t xml:space="preserve">come instead </w:t>
      </w:r>
      <w:r w:rsidR="00386FDB">
        <w:t>from Mr Howitt and from Knight</w:t>
      </w:r>
      <w:r w:rsidR="00467D56">
        <w:t xml:space="preserve">.  Mr Purves responded: </w:t>
      </w:r>
    </w:p>
    <w:p w14:paraId="35479624" w14:textId="5D23342B" w:rsidR="00386FDB" w:rsidRPr="00C952B3" w:rsidRDefault="007619B9" w:rsidP="00EF2FE7">
      <w:pPr>
        <w:pStyle w:val="ParaLevel1"/>
        <w:numPr>
          <w:ilvl w:val="0"/>
          <w:numId w:val="0"/>
        </w:numPr>
        <w:ind w:left="1134"/>
      </w:pPr>
      <w:r>
        <w:t>“</w:t>
      </w:r>
      <w:r w:rsidR="00296FDA" w:rsidRPr="00C952B3">
        <w:t xml:space="preserve">A. </w:t>
      </w:r>
      <w:r w:rsidR="00386FDB" w:rsidRPr="00C952B3">
        <w:t>Mr Howitt was not in the meeting when we met</w:t>
      </w:r>
      <w:r w:rsidR="00964C4F" w:rsidRPr="00C952B3">
        <w:t xml:space="preserve"> </w:t>
      </w:r>
      <w:r w:rsidR="00386FDB" w:rsidRPr="00C952B3">
        <w:t>Charles Russell and Adam</w:t>
      </w:r>
      <w:r w:rsidR="00964C4F" w:rsidRPr="00C952B3">
        <w:t xml:space="preserve"> [Crossley]</w:t>
      </w:r>
      <w:r w:rsidR="00386FDB" w:rsidRPr="00C952B3">
        <w:t>, many occasions, and I used to</w:t>
      </w:r>
      <w:r w:rsidR="00964C4F" w:rsidRPr="00C952B3">
        <w:t xml:space="preserve"> </w:t>
      </w:r>
      <w:r w:rsidR="00386FDB" w:rsidRPr="00C952B3">
        <w:t>ask Adam every time we met, and to the point he used to</w:t>
      </w:r>
      <w:r w:rsidR="00964C4F" w:rsidRPr="00C952B3">
        <w:t xml:space="preserve"> </w:t>
      </w:r>
      <w:r w:rsidR="00386FDB" w:rsidRPr="00C952B3">
        <w:t>smile at me in the end because I'd asked him so many</w:t>
      </w:r>
      <w:r w:rsidR="00964C4F" w:rsidRPr="00C952B3">
        <w:t xml:space="preserve"> </w:t>
      </w:r>
      <w:r w:rsidR="00386FDB" w:rsidRPr="00C952B3">
        <w:t>times "Tell me" -- excuse my language -- "how I'm gonna</w:t>
      </w:r>
      <w:r w:rsidR="00D64A7B" w:rsidRPr="00C952B3">
        <w:t xml:space="preserve"> </w:t>
      </w:r>
      <w:r w:rsidR="00386FDB" w:rsidRPr="00C952B3">
        <w:t>get fucked because I'm 50 years old, I've worked</w:t>
      </w:r>
      <w:r w:rsidR="00D64A7B" w:rsidRPr="00C952B3">
        <w:t xml:space="preserve"> </w:t>
      </w:r>
      <w:r w:rsidR="00386FDB" w:rsidRPr="00C952B3">
        <w:t>13 years in this business, this is my daughter's</w:t>
      </w:r>
      <w:r w:rsidR="00D64A7B" w:rsidRPr="00C952B3">
        <w:t xml:space="preserve"> </w:t>
      </w:r>
      <w:r w:rsidR="00386FDB" w:rsidRPr="00C952B3">
        <w:t>inheritance. This business, myself and Paul have grown,</w:t>
      </w:r>
      <w:r w:rsidR="00D64A7B" w:rsidRPr="00C952B3">
        <w:t xml:space="preserve"> </w:t>
      </w:r>
      <w:r w:rsidR="00386FDB" w:rsidRPr="00C952B3">
        <w:t>I need to know what the absolute downside of this. How</w:t>
      </w:r>
      <w:r w:rsidR="00D64A7B" w:rsidRPr="00C952B3">
        <w:t xml:space="preserve"> </w:t>
      </w:r>
      <w:r w:rsidR="00386FDB" w:rsidRPr="00C952B3">
        <w:t>can it go wrong? Give me the worst-case scenario."</w:t>
      </w:r>
      <w:r w:rsidR="00590B9F" w:rsidRPr="00C952B3">
        <w:t xml:space="preserve"> </w:t>
      </w:r>
      <w:r w:rsidR="00386FDB" w:rsidRPr="00C952B3">
        <w:t>And I asked it so many times, and he used to smile</w:t>
      </w:r>
      <w:r w:rsidR="00C5445A" w:rsidRPr="00C952B3">
        <w:t xml:space="preserve"> </w:t>
      </w:r>
      <w:r w:rsidR="00386FDB" w:rsidRPr="00C952B3">
        <w:t>at me and say, "Keith, relax, there's only bad leaver</w:t>
      </w:r>
      <w:r w:rsidR="00C5445A" w:rsidRPr="00C952B3">
        <w:t xml:space="preserve"> </w:t>
      </w:r>
      <w:r w:rsidR="00386FDB" w:rsidRPr="00C952B3">
        <w:t>provisions here. You're not going to do any of those."</w:t>
      </w:r>
      <w:r w:rsidR="00C5445A" w:rsidRPr="00C952B3">
        <w:t xml:space="preserve"> I</w:t>
      </w:r>
      <w:r w:rsidR="00386FDB" w:rsidRPr="00C952B3">
        <w:t xml:space="preserve"> said, "No, I'm not gonna do any of those that are in</w:t>
      </w:r>
      <w:r w:rsidR="00C5445A" w:rsidRPr="00C952B3">
        <w:t xml:space="preserve"> </w:t>
      </w:r>
      <w:r w:rsidR="00386FDB" w:rsidRPr="00C952B3">
        <w:t>the bad leaver provision." He said, "They're never</w:t>
      </w:r>
      <w:r w:rsidR="00476C35" w:rsidRPr="00C952B3">
        <w:t xml:space="preserve"> </w:t>
      </w:r>
      <w:r w:rsidR="00386FDB" w:rsidRPr="00C952B3">
        <w:t>going to get rid of you."</w:t>
      </w:r>
    </w:p>
    <w:p w14:paraId="4511922A" w14:textId="77777777" w:rsidR="00476C35" w:rsidRPr="00C952B3" w:rsidRDefault="00476C35" w:rsidP="00EF2FE7">
      <w:pPr>
        <w:pStyle w:val="ParaLevel2"/>
        <w:numPr>
          <w:ilvl w:val="0"/>
          <w:numId w:val="0"/>
        </w:numPr>
        <w:ind w:left="1843" w:hanging="709"/>
      </w:pPr>
    </w:p>
    <w:p w14:paraId="3EA6D8AA" w14:textId="02F04572" w:rsidR="00386FDB" w:rsidRPr="00C952B3" w:rsidRDefault="00386FDB" w:rsidP="00EF2FE7">
      <w:pPr>
        <w:pStyle w:val="ParaLevel1"/>
        <w:numPr>
          <w:ilvl w:val="0"/>
          <w:numId w:val="0"/>
        </w:numPr>
        <w:ind w:left="1080"/>
      </w:pPr>
      <w:r w:rsidRPr="00C952B3">
        <w:t>Q. Mr Crossley said they're never gonna get rid of you; is</w:t>
      </w:r>
      <w:r w:rsidR="00476C35" w:rsidRPr="00C952B3">
        <w:t xml:space="preserve"> </w:t>
      </w:r>
      <w:r w:rsidRPr="00C952B3">
        <w:t>that your evidence?</w:t>
      </w:r>
    </w:p>
    <w:p w14:paraId="21D2CB73" w14:textId="71957F3C" w:rsidR="00386FDB" w:rsidRPr="00C952B3" w:rsidRDefault="00386FDB" w:rsidP="00EF2FE7">
      <w:pPr>
        <w:pStyle w:val="ParaLevel1"/>
        <w:numPr>
          <w:ilvl w:val="0"/>
          <w:numId w:val="14"/>
        </w:numPr>
        <w:ind w:left="1440"/>
      </w:pPr>
      <w:r w:rsidRPr="00C952B3">
        <w:t>"Why would they get rid of you?"</w:t>
      </w:r>
    </w:p>
    <w:p w14:paraId="2ED3BE84" w14:textId="2079C935" w:rsidR="00386FDB" w:rsidRPr="00C952B3" w:rsidRDefault="00386FDB" w:rsidP="00EF2FE7">
      <w:pPr>
        <w:pStyle w:val="ParaLevel1"/>
        <w:numPr>
          <w:ilvl w:val="0"/>
          <w:numId w:val="0"/>
        </w:numPr>
        <w:ind w:left="1080"/>
      </w:pPr>
      <w:r w:rsidRPr="00C952B3">
        <w:t>Q. Well, which is it?</w:t>
      </w:r>
    </w:p>
    <w:p w14:paraId="07795A51" w14:textId="730E80BC" w:rsidR="00296FDA" w:rsidRPr="00C952B3" w:rsidRDefault="000315B7" w:rsidP="00EF2FE7">
      <w:pPr>
        <w:pStyle w:val="ParaLevel1"/>
        <w:numPr>
          <w:ilvl w:val="0"/>
          <w:numId w:val="15"/>
        </w:numPr>
        <w:ind w:left="1500"/>
      </w:pPr>
      <w:r w:rsidRPr="00C952B3">
        <w:t>I didn't think for one minute they would ever get rid of</w:t>
      </w:r>
      <w:r w:rsidR="00840D62" w:rsidRPr="00C952B3">
        <w:t xml:space="preserve"> </w:t>
      </w:r>
      <w:r w:rsidR="00296FDA" w:rsidRPr="00C952B3">
        <w:t>me.</w:t>
      </w:r>
    </w:p>
    <w:p w14:paraId="3EF214BF" w14:textId="47C15A5A" w:rsidR="00296FDA" w:rsidRPr="00C952B3" w:rsidRDefault="00296FDA" w:rsidP="00EF2FE7">
      <w:pPr>
        <w:pStyle w:val="ParaLevel1"/>
        <w:numPr>
          <w:ilvl w:val="0"/>
          <w:numId w:val="0"/>
        </w:numPr>
        <w:ind w:left="1080" w:firstLine="60"/>
      </w:pPr>
      <w:r w:rsidRPr="00C952B3">
        <w:t>Q. Are you saying Mr Crossley said they would never get rid</w:t>
      </w:r>
      <w:r w:rsidR="008D7913" w:rsidRPr="00C952B3">
        <w:t xml:space="preserve"> </w:t>
      </w:r>
      <w:r w:rsidRPr="00C952B3">
        <w:t>of you?</w:t>
      </w:r>
    </w:p>
    <w:p w14:paraId="6812AED6" w14:textId="5FB412F3" w:rsidR="00296FDA" w:rsidRPr="00C952B3" w:rsidRDefault="00296FDA" w:rsidP="00EF2FE7">
      <w:pPr>
        <w:pStyle w:val="ParaLevel1"/>
        <w:numPr>
          <w:ilvl w:val="0"/>
          <w:numId w:val="0"/>
        </w:numPr>
        <w:ind w:left="1080"/>
      </w:pPr>
      <w:r w:rsidRPr="00C952B3">
        <w:t xml:space="preserve"> A. Many occasions.</w:t>
      </w:r>
    </w:p>
    <w:p w14:paraId="2FCA4493" w14:textId="1A47CF78" w:rsidR="00296FDA" w:rsidRPr="00C952B3" w:rsidRDefault="00296FDA" w:rsidP="00EF2FE7">
      <w:pPr>
        <w:pStyle w:val="ParaLevel1"/>
        <w:numPr>
          <w:ilvl w:val="0"/>
          <w:numId w:val="0"/>
        </w:numPr>
        <w:ind w:left="1080"/>
      </w:pPr>
      <w:r w:rsidRPr="00C952B3">
        <w:t xml:space="preserve"> Q. They are his words: "They would never get rid of you"?</w:t>
      </w:r>
    </w:p>
    <w:p w14:paraId="37F216CD" w14:textId="0E0CDF52" w:rsidR="00296FDA" w:rsidRPr="00C952B3" w:rsidRDefault="00296FDA" w:rsidP="00EF2FE7">
      <w:pPr>
        <w:pStyle w:val="ParaLevel1"/>
        <w:numPr>
          <w:ilvl w:val="0"/>
          <w:numId w:val="0"/>
        </w:numPr>
        <w:ind w:left="1080"/>
      </w:pPr>
      <w:r w:rsidRPr="00C952B3">
        <w:t>A. He probably said, "Why would they get rid of you? You</w:t>
      </w:r>
      <w:r w:rsidR="006D4217" w:rsidRPr="00C952B3">
        <w:t xml:space="preserve"> </w:t>
      </w:r>
      <w:r w:rsidRPr="00C952B3">
        <w:t>are so key to the business, you and Paul."</w:t>
      </w:r>
    </w:p>
    <w:p w14:paraId="04658DAB" w14:textId="633F2AE3" w:rsidR="00296FDA" w:rsidRPr="00C952B3" w:rsidRDefault="00296FDA" w:rsidP="00EF2FE7">
      <w:pPr>
        <w:pStyle w:val="ParaLevel1"/>
        <w:numPr>
          <w:ilvl w:val="0"/>
          <w:numId w:val="0"/>
        </w:numPr>
        <w:ind w:left="1080"/>
      </w:pPr>
      <w:r w:rsidRPr="00C952B3">
        <w:t>Q. Are you sure? Let's be clear about this, it's quite</w:t>
      </w:r>
      <w:r w:rsidR="006D4217" w:rsidRPr="00C952B3">
        <w:t xml:space="preserve"> </w:t>
      </w:r>
      <w:r w:rsidRPr="00C952B3">
        <w:t>important.</w:t>
      </w:r>
    </w:p>
    <w:p w14:paraId="132362AD" w14:textId="27C63149" w:rsidR="00296FDA" w:rsidRPr="00C952B3" w:rsidRDefault="00296FDA" w:rsidP="00EF2FE7">
      <w:pPr>
        <w:pStyle w:val="ParaLevel1"/>
        <w:numPr>
          <w:ilvl w:val="0"/>
          <w:numId w:val="0"/>
        </w:numPr>
        <w:ind w:left="1080"/>
      </w:pPr>
      <w:r w:rsidRPr="00C952B3">
        <w:t>A. Well, I'm going back seven years. He said, "Why would</w:t>
      </w:r>
      <w:r w:rsidR="006D4217" w:rsidRPr="00C952B3">
        <w:t xml:space="preserve"> </w:t>
      </w:r>
      <w:r w:rsidRPr="00C952B3">
        <w:t>they get rid of you?"</w:t>
      </w:r>
    </w:p>
    <w:p w14:paraId="7389C338" w14:textId="49A04FA8" w:rsidR="006A0BEA" w:rsidRDefault="0090596A" w:rsidP="00EF2FE7">
      <w:pPr>
        <w:pStyle w:val="ParaLevel1"/>
      </w:pPr>
      <w:r>
        <w:t xml:space="preserve">At another point in his cross-examination </w:t>
      </w:r>
      <w:r w:rsidR="004620C5">
        <w:t xml:space="preserve">Mr Purves </w:t>
      </w:r>
      <w:r w:rsidR="00582FA1">
        <w:t>described himself as "</w:t>
      </w:r>
      <w:r w:rsidR="00582FA1" w:rsidRPr="00EF322A">
        <w:rPr>
          <w:i/>
          <w:iCs/>
        </w:rPr>
        <w:t>a parrot</w:t>
      </w:r>
      <w:r w:rsidR="00582FA1">
        <w:t>", repeate</w:t>
      </w:r>
      <w:r w:rsidR="00EF322A">
        <w:t>dly</w:t>
      </w:r>
      <w:r w:rsidR="00582FA1">
        <w:t xml:space="preserve"> asking "</w:t>
      </w:r>
      <w:r w:rsidR="00582FA1" w:rsidRPr="00EF322A">
        <w:rPr>
          <w:i/>
          <w:iCs/>
        </w:rPr>
        <w:t>Give me the worst-case</w:t>
      </w:r>
      <w:r w:rsidR="00EF322A" w:rsidRPr="00EF322A">
        <w:rPr>
          <w:i/>
          <w:iCs/>
        </w:rPr>
        <w:t xml:space="preserve"> </w:t>
      </w:r>
      <w:r w:rsidR="00582FA1" w:rsidRPr="00EF322A">
        <w:rPr>
          <w:i/>
          <w:iCs/>
        </w:rPr>
        <w:t>guys</w:t>
      </w:r>
      <w:r w:rsidR="00582FA1">
        <w:t>"</w:t>
      </w:r>
      <w:r w:rsidR="00EF322A">
        <w:t>.</w:t>
      </w:r>
      <w:r w:rsidR="00075483">
        <w:t xml:space="preserve">  </w:t>
      </w:r>
    </w:p>
    <w:p w14:paraId="64ECCFB4" w14:textId="3B654812" w:rsidR="00FD370B" w:rsidRDefault="00E353FA" w:rsidP="00EF2FE7">
      <w:pPr>
        <w:pStyle w:val="ParaLevel1"/>
      </w:pPr>
      <w:r>
        <w:t xml:space="preserve">The Firm is </w:t>
      </w:r>
      <w:r w:rsidR="004E6502">
        <w:t>right to point out that Mr Purves gave contradictory evidence about</w:t>
      </w:r>
      <w:r w:rsidR="008A27B7">
        <w:t xml:space="preserve"> whether or not</w:t>
      </w:r>
      <w:r w:rsidR="00F315F5">
        <w:t>, on</w:t>
      </w:r>
      <w:r w:rsidR="0052667D">
        <w:t xml:space="preserve"> one occasion, </w:t>
      </w:r>
      <w:r w:rsidR="008A27B7">
        <w:t xml:space="preserve">Mr </w:t>
      </w:r>
      <w:r w:rsidR="00F315F5">
        <w:t xml:space="preserve">Crossley </w:t>
      </w:r>
      <w:r w:rsidR="0052667D">
        <w:t>responded reassuringly in front of representatives of Livingbridge</w:t>
      </w:r>
      <w:r w:rsidR="00641455">
        <w:t xml:space="preserve"> when that would seem most unlikely</w:t>
      </w:r>
      <w:r w:rsidR="00CC6C87">
        <w:t xml:space="preserve"> given the nature of the reassurance</w:t>
      </w:r>
      <w:r w:rsidR="00641455">
        <w:t xml:space="preserve">.  Mr Purves </w:t>
      </w:r>
      <w:r w:rsidR="004B62B4">
        <w:t xml:space="preserve">quickly </w:t>
      </w:r>
      <w:r w:rsidR="00CC6C87">
        <w:t>accepted Mr Crossley had not done so.</w:t>
      </w:r>
      <w:r w:rsidR="00C1288B">
        <w:t xml:space="preserve">  However, </w:t>
      </w:r>
      <w:r w:rsidR="00201A16">
        <w:t xml:space="preserve">that does not mean that Mr Purves’ evidence about him </w:t>
      </w:r>
      <w:r w:rsidR="00296413">
        <w:t xml:space="preserve">generally signalling the worst case scenario is to be rejected.  </w:t>
      </w:r>
      <w:r w:rsidR="00E30577">
        <w:t xml:space="preserve">I accept that evidence.  </w:t>
      </w:r>
      <w:r w:rsidR="00AB49D1">
        <w:t>Of course, t</w:t>
      </w:r>
      <w:r w:rsidR="00F75BBB">
        <w:t xml:space="preserve">here is no claim against the Firm that it failed to protect </w:t>
      </w:r>
      <w:r w:rsidR="00AB49D1">
        <w:t xml:space="preserve">the Claimants against the risk of their removal </w:t>
      </w:r>
      <w:r w:rsidR="002B2A7F">
        <w:t xml:space="preserve">but </w:t>
      </w:r>
      <w:r w:rsidR="008A2EC6">
        <w:t>his</w:t>
      </w:r>
      <w:r w:rsidR="002B2A7F">
        <w:t xml:space="preserve"> evidence </w:t>
      </w:r>
      <w:r w:rsidR="0048699E">
        <w:t>s</w:t>
      </w:r>
      <w:r w:rsidR="00D01ECF">
        <w:t xml:space="preserve">upports the case for saying </w:t>
      </w:r>
      <w:r w:rsidR="0048699E">
        <w:t xml:space="preserve">that the financial implications of the Leaver Provisions </w:t>
      </w:r>
      <w:r w:rsidR="00002D7F">
        <w:t>ought to have been carefully scrutinised by it.</w:t>
      </w:r>
    </w:p>
    <w:p w14:paraId="1F3DB057" w14:textId="4C0D2E84" w:rsidR="00212C5D" w:rsidRDefault="00996370" w:rsidP="00EF2FE7">
      <w:pPr>
        <w:pStyle w:val="ParaLevel1"/>
      </w:pPr>
      <w:r>
        <w:t>The Firm also correctly pointed out that the making of “worst case scenario” requests had not been pleaded. However</w:t>
      </w:r>
      <w:r w:rsidR="00DE5223">
        <w:t>,</w:t>
      </w:r>
      <w:r>
        <w:t xml:space="preserve"> Mr Leipe</w:t>
      </w:r>
      <w:r w:rsidR="006A13B2">
        <w:t>r</w:t>
      </w:r>
      <w:r w:rsidR="007E1D7E">
        <w:t xml:space="preserve"> was right to say that it was not a necessary element of the pleading of a failure to advise</w:t>
      </w:r>
      <w:r w:rsidR="009A3ADA">
        <w:t xml:space="preserve"> and act in relation to article 18.4.1</w:t>
      </w:r>
      <w:r w:rsidR="007E1D7E">
        <w:t>, as opposed t</w:t>
      </w:r>
      <w:r w:rsidR="009A3ADA">
        <w:t xml:space="preserve">o evidence of the factual </w:t>
      </w:r>
      <w:r w:rsidR="00103BB0">
        <w:t>background of the circumstances in which the Firm gave the advi</w:t>
      </w:r>
      <w:r w:rsidR="00B566C3">
        <w:t>ce it did.</w:t>
      </w:r>
      <w:r w:rsidR="005E766A">
        <w:t xml:space="preserve"> </w:t>
      </w:r>
      <w:r w:rsidR="004E6502">
        <w:t xml:space="preserve"> </w:t>
      </w:r>
    </w:p>
    <w:p w14:paraId="3E9C9501" w14:textId="77777777" w:rsidR="004E6502" w:rsidRDefault="004E6502" w:rsidP="00EF2FE7">
      <w:pPr>
        <w:pStyle w:val="ParaLevel1"/>
        <w:numPr>
          <w:ilvl w:val="0"/>
          <w:numId w:val="0"/>
        </w:numPr>
        <w:ind w:left="720"/>
      </w:pPr>
    </w:p>
    <w:p w14:paraId="290EC510" w14:textId="599FCB17" w:rsidR="008C7D3E" w:rsidRPr="005051F0" w:rsidRDefault="008C7D3E" w:rsidP="00EF2FE7">
      <w:pPr>
        <w:pStyle w:val="ParaLevel1"/>
        <w:numPr>
          <w:ilvl w:val="0"/>
          <w:numId w:val="0"/>
        </w:numPr>
        <w:ind w:left="720"/>
        <w:rPr>
          <w:b/>
          <w:bCs/>
          <w:u w:val="single"/>
        </w:rPr>
      </w:pPr>
      <w:r w:rsidRPr="005051F0">
        <w:rPr>
          <w:b/>
          <w:bCs/>
          <w:u w:val="single"/>
        </w:rPr>
        <w:t>Mr Billing</w:t>
      </w:r>
      <w:r w:rsidR="005051F0">
        <w:rPr>
          <w:b/>
          <w:bCs/>
          <w:u w:val="single"/>
        </w:rPr>
        <w:t>ham</w:t>
      </w:r>
    </w:p>
    <w:p w14:paraId="2340DAA4" w14:textId="19C937C3" w:rsidR="008C7D3E" w:rsidRDefault="00671A93" w:rsidP="00EF2FE7">
      <w:pPr>
        <w:pStyle w:val="ParaLevel1"/>
      </w:pPr>
      <w:r>
        <w:t xml:space="preserve">The Firm </w:t>
      </w:r>
      <w:r w:rsidR="00652A1B">
        <w:t>accept</w:t>
      </w:r>
      <w:r w:rsidR="006629A5">
        <w:t>ed</w:t>
      </w:r>
      <w:r w:rsidR="00652A1B">
        <w:t xml:space="preserve"> that </w:t>
      </w:r>
      <w:r w:rsidR="00A67397">
        <w:t xml:space="preserve">Mr Billingham </w:t>
      </w:r>
      <w:r w:rsidR="00652A1B">
        <w:t>sought to answer the questions put to him in cross-examination to the best of his ability</w:t>
      </w:r>
      <w:r w:rsidR="00EC399B">
        <w:t xml:space="preserve"> </w:t>
      </w:r>
      <w:r w:rsidR="006B7ECB">
        <w:t xml:space="preserve">but </w:t>
      </w:r>
      <w:r w:rsidR="006629A5">
        <w:t xml:space="preserve">said that his evidence was also to be considered against the </w:t>
      </w:r>
      <w:r w:rsidR="000C5465" w:rsidRPr="00575346">
        <w:rPr>
          <w:i/>
          <w:iCs/>
        </w:rPr>
        <w:t>Gestmin</w:t>
      </w:r>
      <w:r w:rsidR="000C5465">
        <w:t xml:space="preserve"> warnings.</w:t>
      </w:r>
      <w:r w:rsidR="00575346">
        <w:t xml:space="preserve">  </w:t>
      </w:r>
      <w:r w:rsidR="006B7ECB">
        <w:t xml:space="preserve">Mr Billingham </w:t>
      </w:r>
      <w:r w:rsidR="00417081">
        <w:t xml:space="preserve">gave </w:t>
      </w:r>
      <w:r w:rsidR="007C5578">
        <w:t xml:space="preserve">clear </w:t>
      </w:r>
      <w:r w:rsidR="00A2185A">
        <w:t xml:space="preserve">and direct answers in response to the questions put to him, though he </w:t>
      </w:r>
      <w:r w:rsidR="00582572">
        <w:t>was careful to make it clear when he had no recollection of a particular event.</w:t>
      </w:r>
    </w:p>
    <w:p w14:paraId="576CF254" w14:textId="0C5E611F" w:rsidR="00575346" w:rsidRDefault="00886CE7" w:rsidP="00EF2FE7">
      <w:pPr>
        <w:pStyle w:val="ParaLevel1"/>
      </w:pPr>
      <w:r>
        <w:t xml:space="preserve">Mr Billingham was a co-founder of Knight in </w:t>
      </w:r>
      <w:r w:rsidR="00CC6CC8">
        <w:t xml:space="preserve">2008.  He explained that Knight’s </w:t>
      </w:r>
      <w:r w:rsidR="000A790D">
        <w:t>advisory corporate finance business was “</w:t>
      </w:r>
      <w:r w:rsidR="000A790D" w:rsidRPr="00346694">
        <w:rPr>
          <w:i/>
          <w:iCs/>
        </w:rPr>
        <w:t>completely sector focus</w:t>
      </w:r>
      <w:r w:rsidR="00FF0B4E" w:rsidRPr="00346694">
        <w:rPr>
          <w:i/>
          <w:iCs/>
        </w:rPr>
        <w:t>ed</w:t>
      </w:r>
      <w:r w:rsidR="00FF0B4E">
        <w:t xml:space="preserve">” </w:t>
      </w:r>
      <w:r w:rsidR="00346694">
        <w:t xml:space="preserve">in specifically advising businesses and entrepreneurs in the </w:t>
      </w:r>
      <w:r w:rsidR="00E64E83">
        <w:t xml:space="preserve">technology and telecoms sector.  He said that, by 2014, </w:t>
      </w:r>
      <w:r w:rsidR="00AC2DF4">
        <w:t>Knight had arranged about 40 deals in that sector.</w:t>
      </w:r>
    </w:p>
    <w:p w14:paraId="1BC08901" w14:textId="1680697D" w:rsidR="00AC2DF4" w:rsidRDefault="00AC2DF4" w:rsidP="00EF2FE7">
      <w:pPr>
        <w:pStyle w:val="ParaLevel1"/>
      </w:pPr>
      <w:r>
        <w:t xml:space="preserve">Mr Billingham was cross-examined by Mr Wright on </w:t>
      </w:r>
      <w:r w:rsidR="00C763CA">
        <w:t xml:space="preserve">three main topics: (1) the level of market interest in IPS UK in 2014; (2) </w:t>
      </w:r>
      <w:r w:rsidR="00F1415E">
        <w:t xml:space="preserve">his analysis of the value of the offers made by GCI and Livingbridge; and (3) </w:t>
      </w:r>
      <w:r w:rsidR="00A848C5">
        <w:t xml:space="preserve">the Claimants’ </w:t>
      </w:r>
      <w:r w:rsidR="002B1E3F">
        <w:t>negotiation of the RPP as a commercial aspect of the deal with Livin</w:t>
      </w:r>
      <w:r w:rsidR="004E4FEC">
        <w:t>g</w:t>
      </w:r>
      <w:r w:rsidR="002B1E3F">
        <w:t>bridge without the involvement of the Firm.</w:t>
      </w:r>
    </w:p>
    <w:p w14:paraId="0DB17595" w14:textId="2E48DC92" w:rsidR="00520759" w:rsidRDefault="002B1E3F" w:rsidP="00EF2FE7">
      <w:pPr>
        <w:pStyle w:val="ParaLevel1"/>
      </w:pPr>
      <w:r>
        <w:t xml:space="preserve">So far as the </w:t>
      </w:r>
      <w:r w:rsidR="00B64948">
        <w:t>last of those matters is concerned, Mr B</w:t>
      </w:r>
      <w:r w:rsidR="006D3098">
        <w:t xml:space="preserve">illingham </w:t>
      </w:r>
      <w:r w:rsidR="00520759">
        <w:t xml:space="preserve">freely accepted that Knight had been responsible for advising the Claimants on the commercial implications of the terms being negotiated with Livingbridge from the Spring of 2014 onwards.  However, he was at pains to point out that Knight did not offer legal advice.  He accepted that the risks of the Claimants being dismissed from the Company were regarded as slim at the time the </w:t>
      </w:r>
      <w:r w:rsidR="00000890">
        <w:t>L</w:t>
      </w:r>
      <w:r w:rsidR="00520759">
        <w:t xml:space="preserve">eaver </w:t>
      </w:r>
      <w:r w:rsidR="00000890">
        <w:t>P</w:t>
      </w:r>
      <w:r w:rsidR="00520759">
        <w:t>rovisions were being negotiated.</w:t>
      </w:r>
    </w:p>
    <w:p w14:paraId="2F752EF6" w14:textId="42E1A021" w:rsidR="00520759" w:rsidRDefault="00520759" w:rsidP="00EF2FE7">
      <w:pPr>
        <w:pStyle w:val="ParaLevel1"/>
      </w:pPr>
      <w:r>
        <w:t xml:space="preserve">His position </w:t>
      </w:r>
      <w:r w:rsidR="00E92BD4">
        <w:t xml:space="preserve">in relation to </w:t>
      </w:r>
      <w:r w:rsidR="00D46128">
        <w:t>the</w:t>
      </w:r>
      <w:r w:rsidR="001B611B">
        <w:t xml:space="preserve"> division of responsibility </w:t>
      </w:r>
      <w:r w:rsidR="00D46128">
        <w:t xml:space="preserve">as </w:t>
      </w:r>
      <w:r w:rsidR="001B611B">
        <w:t xml:space="preserve">between Knight and the Firm was </w:t>
      </w:r>
      <w:r w:rsidR="00A44980">
        <w:t xml:space="preserve">reflected </w:t>
      </w:r>
      <w:r w:rsidR="001B611B">
        <w:t xml:space="preserve">in the following </w:t>
      </w:r>
      <w:r w:rsidR="00600B0D">
        <w:t>exchange:</w:t>
      </w:r>
    </w:p>
    <w:p w14:paraId="03162E54" w14:textId="6802E890" w:rsidR="00B1756E" w:rsidRDefault="002B5575" w:rsidP="00EF2FE7">
      <w:pPr>
        <w:pStyle w:val="ParaLevel1"/>
        <w:numPr>
          <w:ilvl w:val="0"/>
          <w:numId w:val="0"/>
        </w:numPr>
        <w:ind w:left="1134"/>
      </w:pPr>
      <w:r>
        <w:t>“</w:t>
      </w:r>
      <w:r w:rsidR="00B1756E">
        <w:t>Q. So your view was that the risk of not clearing the</w:t>
      </w:r>
      <w:r w:rsidR="009B3EF0">
        <w:t xml:space="preserve"> </w:t>
      </w:r>
      <w:r w:rsidR="00B1756E">
        <w:t>redemption hurdle was a very small one?</w:t>
      </w:r>
    </w:p>
    <w:p w14:paraId="037C7718" w14:textId="77777777" w:rsidR="00981834" w:rsidRDefault="00B1756E" w:rsidP="00EF2FE7">
      <w:pPr>
        <w:pStyle w:val="ParaLevel1"/>
        <w:numPr>
          <w:ilvl w:val="0"/>
          <w:numId w:val="0"/>
        </w:numPr>
        <w:ind w:left="720" w:firstLine="414"/>
      </w:pPr>
      <w:r>
        <w:t>A. Yes, or all of us assumed it was a small one, yes.</w:t>
      </w:r>
    </w:p>
    <w:p w14:paraId="583AFC22" w14:textId="4A055A40" w:rsidR="00B1756E" w:rsidRDefault="00B1756E" w:rsidP="00EF2FE7">
      <w:pPr>
        <w:pStyle w:val="ParaLevel1"/>
        <w:numPr>
          <w:ilvl w:val="0"/>
          <w:numId w:val="0"/>
        </w:numPr>
        <w:ind w:left="1134"/>
      </w:pPr>
      <w:r>
        <w:t>Q. And that that was really a matter for the claimant's</w:t>
      </w:r>
      <w:r w:rsidR="00981834">
        <w:t xml:space="preserve"> </w:t>
      </w:r>
      <w:r>
        <w:t xml:space="preserve">commercial judgment </w:t>
      </w:r>
      <w:r w:rsidR="00981834">
        <w:t>a</w:t>
      </w:r>
      <w:r>
        <w:t>nd your commercial advice?</w:t>
      </w:r>
    </w:p>
    <w:p w14:paraId="707F33DE" w14:textId="571A2630" w:rsidR="00B1756E" w:rsidRDefault="00B1756E" w:rsidP="00EF2FE7">
      <w:pPr>
        <w:pStyle w:val="ParaLevel1"/>
        <w:numPr>
          <w:ilvl w:val="0"/>
          <w:numId w:val="0"/>
        </w:numPr>
        <w:ind w:left="720" w:firstLine="414"/>
      </w:pPr>
      <w:r>
        <w:t>A. Yes, and it was called an exit redemption premium</w:t>
      </w:r>
      <w:r w:rsidR="00981834">
        <w:t xml:space="preserve"> </w:t>
      </w:r>
      <w:r>
        <w:t>I think, wasn't it?</w:t>
      </w:r>
    </w:p>
    <w:p w14:paraId="208953BE" w14:textId="3D2EFAB2" w:rsidR="00B1756E" w:rsidRDefault="00B1756E" w:rsidP="00EF2FE7">
      <w:pPr>
        <w:pStyle w:val="ParaLevel1"/>
        <w:numPr>
          <w:ilvl w:val="0"/>
          <w:numId w:val="0"/>
        </w:numPr>
        <w:ind w:left="1134"/>
      </w:pPr>
      <w:r>
        <w:t>Q. That sort of commercial decision making was nothing to</w:t>
      </w:r>
      <w:r w:rsidR="00CE0764">
        <w:t xml:space="preserve"> </w:t>
      </w:r>
      <w:r>
        <w:t>do with the lawyers, is it?</w:t>
      </w:r>
      <w:r w:rsidR="00CE0764">
        <w:t xml:space="preserve"> </w:t>
      </w:r>
    </w:p>
    <w:p w14:paraId="35333706" w14:textId="3D38D27C" w:rsidR="00B1756E" w:rsidRDefault="00B1756E" w:rsidP="00EF2FE7">
      <w:pPr>
        <w:pStyle w:val="ParaLevel1"/>
        <w:numPr>
          <w:ilvl w:val="0"/>
          <w:numId w:val="0"/>
        </w:numPr>
        <w:ind w:left="1134"/>
      </w:pPr>
      <w:r>
        <w:t>A. Well, I think the way it's drafted in the articles of</w:t>
      </w:r>
      <w:r w:rsidR="00CE0764">
        <w:t xml:space="preserve"> </w:t>
      </w:r>
      <w:r>
        <w:t>association I would argue it is because I think, as</w:t>
      </w:r>
      <w:r w:rsidR="00CE0764">
        <w:t xml:space="preserve"> </w:t>
      </w:r>
      <w:r>
        <w:t>we've seen, what's happened is that the redemption</w:t>
      </w:r>
      <w:r w:rsidR="00CE0764">
        <w:t xml:space="preserve"> </w:t>
      </w:r>
      <w:r>
        <w:t>premium has been applied even though ISIS haven't had</w:t>
      </w:r>
      <w:r w:rsidR="00CE0764">
        <w:t xml:space="preserve"> </w:t>
      </w:r>
      <w:r>
        <w:t>their exit.</w:t>
      </w:r>
    </w:p>
    <w:p w14:paraId="67F91039" w14:textId="28264027" w:rsidR="00B1756E" w:rsidRDefault="00B1756E" w:rsidP="00EF2FE7">
      <w:pPr>
        <w:pStyle w:val="ParaLevel1"/>
        <w:numPr>
          <w:ilvl w:val="0"/>
          <w:numId w:val="0"/>
        </w:numPr>
        <w:ind w:left="1134"/>
      </w:pPr>
      <w:r>
        <w:t>Q. Yes, well, could I put it this way, no one intended it</w:t>
      </w:r>
      <w:r w:rsidR="00CE0764">
        <w:t xml:space="preserve"> </w:t>
      </w:r>
      <w:r>
        <w:t>to operate on a false</w:t>
      </w:r>
      <w:r w:rsidR="00CC7E2F">
        <w:t xml:space="preserve"> t</w:t>
      </w:r>
      <w:r>
        <w:t>ransfer, it was always intended</w:t>
      </w:r>
      <w:r w:rsidR="00CC7E2F">
        <w:t xml:space="preserve"> </w:t>
      </w:r>
      <w:r>
        <w:t>to operate on an exit?</w:t>
      </w:r>
    </w:p>
    <w:p w14:paraId="74DDE9D0" w14:textId="21F9168C" w:rsidR="009B3EF0" w:rsidRDefault="00B1756E" w:rsidP="00EF2FE7">
      <w:pPr>
        <w:pStyle w:val="ParaLevel1"/>
        <w:numPr>
          <w:ilvl w:val="0"/>
          <w:numId w:val="0"/>
        </w:numPr>
        <w:ind w:left="1134"/>
      </w:pPr>
      <w:r>
        <w:t>A. Yes, when we looked at the redemption premium, we looked</w:t>
      </w:r>
      <w:r w:rsidR="00CC7E2F">
        <w:t xml:space="preserve"> </w:t>
      </w:r>
      <w:r w:rsidR="009B3EF0">
        <w:t>at it on an exit basis.</w:t>
      </w:r>
    </w:p>
    <w:p w14:paraId="005FCC59" w14:textId="72700B9C" w:rsidR="009B3EF0" w:rsidRDefault="009B3EF0" w:rsidP="00EF2FE7">
      <w:pPr>
        <w:pStyle w:val="ParaLevel1"/>
        <w:numPr>
          <w:ilvl w:val="0"/>
          <w:numId w:val="0"/>
        </w:numPr>
        <w:ind w:left="720" w:firstLine="414"/>
      </w:pPr>
      <w:r>
        <w:t>Q. That was the intention, wasn't it?</w:t>
      </w:r>
    </w:p>
    <w:p w14:paraId="762F2881" w14:textId="225B818A" w:rsidR="009B3EF0" w:rsidRDefault="009B3EF0" w:rsidP="00EF2FE7">
      <w:pPr>
        <w:pStyle w:val="ParaLevel1"/>
        <w:numPr>
          <w:ilvl w:val="0"/>
          <w:numId w:val="0"/>
        </w:numPr>
        <w:ind w:left="720" w:firstLine="414"/>
      </w:pPr>
      <w:r>
        <w:t>A. That's what it was called, yeah.</w:t>
      </w:r>
    </w:p>
    <w:p w14:paraId="5122DF1D" w14:textId="6392A215" w:rsidR="009B3EF0" w:rsidRDefault="009B3EF0" w:rsidP="00EF2FE7">
      <w:pPr>
        <w:pStyle w:val="ParaLevel1"/>
        <w:numPr>
          <w:ilvl w:val="0"/>
          <w:numId w:val="0"/>
        </w:numPr>
        <w:ind w:left="1134"/>
      </w:pPr>
      <w:r>
        <w:t>JUDGE RUSSEN QC: For the avoidance of doubt, you've each</w:t>
      </w:r>
      <w:r w:rsidR="003C0729">
        <w:t xml:space="preserve"> </w:t>
      </w:r>
      <w:r>
        <w:t>used the phrase "exit"; what do you mean, Mr Billingham,</w:t>
      </w:r>
      <w:r w:rsidR="003C0729">
        <w:t xml:space="preserve"> </w:t>
      </w:r>
      <w:r>
        <w:t>by "exit"?</w:t>
      </w:r>
    </w:p>
    <w:p w14:paraId="50158934" w14:textId="2A13B469" w:rsidR="009B3EF0" w:rsidRDefault="009B3EF0" w:rsidP="00EF2FE7">
      <w:pPr>
        <w:pStyle w:val="ParaLevel1"/>
        <w:numPr>
          <w:ilvl w:val="0"/>
          <w:numId w:val="0"/>
        </w:numPr>
        <w:ind w:left="1134"/>
      </w:pPr>
      <w:r>
        <w:t>A. I suppose it would be living -- the exit -- the sale of</w:t>
      </w:r>
      <w:r w:rsidR="003C0729">
        <w:t xml:space="preserve"> </w:t>
      </w:r>
      <w:r>
        <w:t>the business.</w:t>
      </w:r>
    </w:p>
    <w:p w14:paraId="01DFA7A9" w14:textId="2005F255" w:rsidR="009B3EF0" w:rsidRDefault="009B3EF0" w:rsidP="00EF2FE7">
      <w:pPr>
        <w:pStyle w:val="ParaLevel1"/>
        <w:numPr>
          <w:ilvl w:val="0"/>
          <w:numId w:val="0"/>
        </w:numPr>
        <w:ind w:left="1134"/>
      </w:pPr>
      <w:r>
        <w:t>JUDGE RUSSEN QC: These two parties, about to themselves</w:t>
      </w:r>
      <w:r w:rsidR="003C0729">
        <w:t xml:space="preserve"> </w:t>
      </w:r>
      <w:r>
        <w:t>contract, exiting the business?</w:t>
      </w:r>
    </w:p>
    <w:p w14:paraId="7B4EE64D" w14:textId="01046D22" w:rsidR="00D17CD4" w:rsidRDefault="009B3EF0" w:rsidP="00EF2FE7">
      <w:pPr>
        <w:pStyle w:val="ParaLevel1"/>
        <w:numPr>
          <w:ilvl w:val="0"/>
          <w:numId w:val="0"/>
        </w:numPr>
        <w:ind w:left="1134"/>
      </w:pPr>
      <w:r>
        <w:t>A. Yes, so when they exit, when they sell it together,</w:t>
      </w:r>
      <w:r w:rsidR="003C0729">
        <w:t xml:space="preserve"> </w:t>
      </w:r>
      <w:r>
        <w:t>which couldn't happen for three years unless they both</w:t>
      </w:r>
      <w:r w:rsidR="002B5575">
        <w:t xml:space="preserve"> </w:t>
      </w:r>
      <w:r>
        <w:t>agreed it, that's -- that's when we understood that</w:t>
      </w:r>
      <w:r w:rsidR="002B5575">
        <w:t xml:space="preserve"> </w:t>
      </w:r>
      <w:r>
        <w:t>that's when it would kick in.</w:t>
      </w:r>
      <w:r w:rsidR="002B5575">
        <w:t>”</w:t>
      </w:r>
    </w:p>
    <w:p w14:paraId="21DB59D1" w14:textId="77777777" w:rsidR="001309E7" w:rsidRDefault="001309E7" w:rsidP="00EF2FE7">
      <w:pPr>
        <w:pStyle w:val="ParaLevel1"/>
        <w:numPr>
          <w:ilvl w:val="0"/>
          <w:numId w:val="0"/>
        </w:numPr>
        <w:ind w:left="1134"/>
      </w:pPr>
    </w:p>
    <w:p w14:paraId="6D0D8566" w14:textId="18D7FBE3" w:rsidR="00506E81" w:rsidRDefault="00F00EAD" w:rsidP="00EF2FE7">
      <w:pPr>
        <w:pStyle w:val="ParaLevel1"/>
      </w:pPr>
      <w:r>
        <w:t xml:space="preserve">I return </w:t>
      </w:r>
      <w:r w:rsidR="001B4EF3">
        <w:t>to what Mr Billingham said about the value of IPS UK implied by the Transaction in my analysis of the expert evidence below.</w:t>
      </w:r>
      <w:r w:rsidR="007673C4">
        <w:t xml:space="preserve">  </w:t>
      </w:r>
      <w:r w:rsidR="00506E81">
        <w:t xml:space="preserve">In this section of the judgment, I focus upon </w:t>
      </w:r>
      <w:r w:rsidR="00AF34BF">
        <w:t>his ev</w:t>
      </w:r>
      <w:r w:rsidR="00134B68">
        <w:t xml:space="preserve">idence on </w:t>
      </w:r>
      <w:r w:rsidR="001B4EF3">
        <w:t>the first topic</w:t>
      </w:r>
      <w:r w:rsidR="00336BEA">
        <w:t>,</w:t>
      </w:r>
      <w:r w:rsidR="001B4EF3">
        <w:t xml:space="preserve"> which was </w:t>
      </w:r>
      <w:r w:rsidR="00506E81">
        <w:t>the interest</w:t>
      </w:r>
      <w:r w:rsidR="004E4FEC">
        <w:t xml:space="preserve"> in IPS shown by potential bidders</w:t>
      </w:r>
      <w:r w:rsidR="00336BEA">
        <w:t xml:space="preserve"> (</w:t>
      </w:r>
      <w:r w:rsidR="00B52E4F">
        <w:t>in particular GCI</w:t>
      </w:r>
      <w:r w:rsidR="00336BEA">
        <w:t>)</w:t>
      </w:r>
      <w:r w:rsidR="004E4FEC">
        <w:t xml:space="preserve"> in 2014.  </w:t>
      </w:r>
      <w:r w:rsidR="00B83418">
        <w:t xml:space="preserve">It </w:t>
      </w:r>
      <w:r w:rsidR="0031783E">
        <w:t xml:space="preserve">will be </w:t>
      </w:r>
      <w:r w:rsidR="00B83418">
        <w:t xml:space="preserve">necessary to revert to this </w:t>
      </w:r>
      <w:r w:rsidR="0031783E">
        <w:t xml:space="preserve">below </w:t>
      </w:r>
      <w:r w:rsidR="00B83418">
        <w:t xml:space="preserve">when considering the </w:t>
      </w:r>
      <w:r w:rsidR="0031783E">
        <w:t>Claimant</w:t>
      </w:r>
      <w:r w:rsidR="00B64948">
        <w:t>s’ case on causation under Scenario 2.</w:t>
      </w:r>
      <w:r w:rsidR="004E4FEC">
        <w:t xml:space="preserve"> </w:t>
      </w:r>
    </w:p>
    <w:p w14:paraId="5775DCBA" w14:textId="1B14551C" w:rsidR="005F7A57" w:rsidRDefault="005F7A57" w:rsidP="00EF2FE7">
      <w:pPr>
        <w:pStyle w:val="ParaLevel1"/>
      </w:pPr>
      <w:r>
        <w:t xml:space="preserve">Mr Billingham explained that </w:t>
      </w:r>
      <w:r w:rsidR="00D946D8">
        <w:t xml:space="preserve">in 2014 the technology and telecoms sector was </w:t>
      </w:r>
      <w:r w:rsidR="00B033F4">
        <w:t>one in which the interest of private equity firms was relatively new.</w:t>
      </w:r>
      <w:r w:rsidR="005C08DB">
        <w:t xml:space="preserve">  </w:t>
      </w:r>
      <w:r w:rsidR="00B96FF7">
        <w:t>K</w:t>
      </w:r>
      <w:r w:rsidR="005C08DB">
        <w:t>night had not then done a private equity deal.</w:t>
      </w:r>
      <w:r w:rsidR="005659B8">
        <w:t xml:space="preserve">  The idea of doing such a deal, as opposed to one with a trade buyer, would have been his.</w:t>
      </w:r>
      <w:r w:rsidR="000E1A9D">
        <w:t xml:space="preserve">  He explained that Ms Cockburn’s professional background had been in private equity.</w:t>
      </w:r>
    </w:p>
    <w:p w14:paraId="7ADD1E38" w14:textId="6BCDFC0D" w:rsidR="00CA6F67" w:rsidRDefault="009245A7" w:rsidP="00EF2FE7">
      <w:pPr>
        <w:pStyle w:val="ParaLevel1"/>
      </w:pPr>
      <w:r>
        <w:t xml:space="preserve">Mr Billingham </w:t>
      </w:r>
      <w:r w:rsidR="00CA6F67">
        <w:t xml:space="preserve">recognised that the sending out </w:t>
      </w:r>
      <w:r w:rsidR="00B96FF7">
        <w:t xml:space="preserve">of </w:t>
      </w:r>
      <w:r w:rsidR="00CA6F67">
        <w:t xml:space="preserve">a teaser document in </w:t>
      </w:r>
      <w:r w:rsidR="00E4431C">
        <w:t>early</w:t>
      </w:r>
      <w:r w:rsidR="002D6BB3">
        <w:t xml:space="preserve"> 2014</w:t>
      </w:r>
      <w:r w:rsidR="00CA6F67">
        <w:t xml:space="preserve"> had not generated a great number of expressions of interest (through requests for an information pack) but said that he did not feel particularly disappointed by that.  He said that there was a lot of interest in information technology business</w:t>
      </w:r>
      <w:r w:rsidR="00A66FEB">
        <w:t>es</w:t>
      </w:r>
      <w:r w:rsidR="00CA6F67">
        <w:t xml:space="preserve"> at the time but that IPS UK was of a smaller scale than many of them.  He also explained that the level of interest in a potential acquisition is to a large extent dependent upon timing and whether or not a potential purchaser or investor might already be tied up pursuing another transaction.  </w:t>
      </w:r>
    </w:p>
    <w:p w14:paraId="2F4106E7" w14:textId="64EA8325" w:rsidR="002F5F2A" w:rsidRDefault="002F5F2A" w:rsidP="00EF2FE7">
      <w:pPr>
        <w:pStyle w:val="ParaLevel1"/>
      </w:pPr>
      <w:r>
        <w:t xml:space="preserve">He </w:t>
      </w:r>
      <w:r w:rsidR="004173B1">
        <w:t xml:space="preserve">explained this when he was asked about a list of 15 potential trade buyers </w:t>
      </w:r>
      <w:r w:rsidR="00290470">
        <w:t>“</w:t>
      </w:r>
      <w:r w:rsidR="00290470" w:rsidRPr="001B62F7">
        <w:rPr>
          <w:i/>
          <w:iCs/>
        </w:rPr>
        <w:t xml:space="preserve">we think </w:t>
      </w:r>
      <w:r w:rsidR="001B62F7" w:rsidRPr="001B62F7">
        <w:rPr>
          <w:i/>
          <w:iCs/>
        </w:rPr>
        <w:t>could be interested in a transaction that involves a significant earn out</w:t>
      </w:r>
      <w:r w:rsidR="001B62F7">
        <w:t>”</w:t>
      </w:r>
      <w:r w:rsidR="00B5344C">
        <w:t xml:space="preserve"> which he sent to the Claimants on 14 March 2014.  Having </w:t>
      </w:r>
      <w:r w:rsidR="00022103">
        <w:t xml:space="preserve">accepted that </w:t>
      </w:r>
      <w:r w:rsidR="00527210">
        <w:t xml:space="preserve">Knight would probably need to verify some of those </w:t>
      </w:r>
      <w:r w:rsidR="00F579EB">
        <w:t>on the list a little further, he said this in response to the suggestion that he would not have left any realistic potential buyers off the list:</w:t>
      </w:r>
    </w:p>
    <w:p w14:paraId="13B611CA" w14:textId="2D6521CC" w:rsidR="00F579EB" w:rsidRDefault="00887F21" w:rsidP="00EF2FE7">
      <w:pPr>
        <w:pStyle w:val="ParaLevel1"/>
        <w:numPr>
          <w:ilvl w:val="0"/>
          <w:numId w:val="0"/>
        </w:numPr>
        <w:ind w:left="1134"/>
        <w:rPr>
          <w:i/>
          <w:iCs/>
        </w:rPr>
      </w:pPr>
      <w:r>
        <w:t>“</w:t>
      </w:r>
      <w:r w:rsidR="00B443A9" w:rsidRPr="00887F21">
        <w:rPr>
          <w:i/>
          <w:iCs/>
        </w:rPr>
        <w:t>The -- the -- the main reason would be timing. If they were doing their own transaction, or if they got another</w:t>
      </w:r>
      <w:r w:rsidR="003F3941" w:rsidRPr="00887F21">
        <w:rPr>
          <w:i/>
          <w:iCs/>
        </w:rPr>
        <w:t xml:space="preserve"> </w:t>
      </w:r>
      <w:r w:rsidR="00B443A9" w:rsidRPr="00887F21">
        <w:rPr>
          <w:i/>
          <w:iCs/>
        </w:rPr>
        <w:t>transaction on, we might have had a conversation with</w:t>
      </w:r>
      <w:r w:rsidR="003F3941" w:rsidRPr="00887F21">
        <w:rPr>
          <w:i/>
          <w:iCs/>
        </w:rPr>
        <w:t xml:space="preserve"> </w:t>
      </w:r>
      <w:r w:rsidR="00B443A9" w:rsidRPr="00887F21">
        <w:rPr>
          <w:i/>
          <w:iCs/>
        </w:rPr>
        <w:t>them and they'd be saying -- because we talked to buyers</w:t>
      </w:r>
      <w:r w:rsidR="003F3941" w:rsidRPr="00887F21">
        <w:rPr>
          <w:i/>
          <w:iCs/>
        </w:rPr>
        <w:t xml:space="preserve"> </w:t>
      </w:r>
      <w:r w:rsidR="00B443A9" w:rsidRPr="00887F21">
        <w:rPr>
          <w:i/>
          <w:iCs/>
        </w:rPr>
        <w:t>all the time in the market a sort of -- partly where we</w:t>
      </w:r>
      <w:r w:rsidR="003F3941" w:rsidRPr="00887F21">
        <w:rPr>
          <w:i/>
          <w:iCs/>
        </w:rPr>
        <w:t xml:space="preserve"> </w:t>
      </w:r>
      <w:r w:rsidR="00B443A9" w:rsidRPr="00887F21">
        <w:rPr>
          <w:i/>
          <w:iCs/>
        </w:rPr>
        <w:t>add value, you know, we focus on the market, but we do</w:t>
      </w:r>
      <w:r w:rsidR="003F3941" w:rsidRPr="00887F21">
        <w:rPr>
          <w:i/>
          <w:iCs/>
        </w:rPr>
        <w:t xml:space="preserve"> </w:t>
      </w:r>
      <w:r w:rsidR="00B443A9" w:rsidRPr="00887F21">
        <w:rPr>
          <w:i/>
          <w:iCs/>
        </w:rPr>
        <w:t>talk to the buyers knowing what they're looking for and</w:t>
      </w:r>
      <w:r w:rsidR="003F3941" w:rsidRPr="00887F21">
        <w:rPr>
          <w:i/>
          <w:iCs/>
        </w:rPr>
        <w:t xml:space="preserve"> </w:t>
      </w:r>
      <w:r w:rsidR="00B443A9" w:rsidRPr="00887F21">
        <w:rPr>
          <w:i/>
          <w:iCs/>
        </w:rPr>
        <w:t>there would be times when a buyer you think is a right</w:t>
      </w:r>
      <w:r w:rsidR="003F3941" w:rsidRPr="00887F21">
        <w:rPr>
          <w:i/>
          <w:iCs/>
        </w:rPr>
        <w:t xml:space="preserve"> </w:t>
      </w:r>
      <w:r w:rsidR="00B443A9" w:rsidRPr="00887F21">
        <w:rPr>
          <w:i/>
          <w:iCs/>
        </w:rPr>
        <w:t>buyer for a business but it's not just the right time</w:t>
      </w:r>
      <w:r w:rsidR="003F3941" w:rsidRPr="00887F21">
        <w:rPr>
          <w:i/>
          <w:iCs/>
        </w:rPr>
        <w:t xml:space="preserve"> </w:t>
      </w:r>
      <w:r w:rsidR="00B443A9" w:rsidRPr="00887F21">
        <w:rPr>
          <w:i/>
          <w:iCs/>
        </w:rPr>
        <w:t>because they're either maybe doing their own private</w:t>
      </w:r>
      <w:r w:rsidR="003F3941" w:rsidRPr="00887F21">
        <w:rPr>
          <w:i/>
          <w:iCs/>
        </w:rPr>
        <w:t xml:space="preserve"> </w:t>
      </w:r>
      <w:r w:rsidR="00B443A9" w:rsidRPr="00887F21">
        <w:rPr>
          <w:i/>
          <w:iCs/>
        </w:rPr>
        <w:t>equity process or they've got another transaction on, so</w:t>
      </w:r>
      <w:r w:rsidR="003F3941" w:rsidRPr="00887F21">
        <w:rPr>
          <w:i/>
          <w:iCs/>
        </w:rPr>
        <w:t xml:space="preserve"> </w:t>
      </w:r>
      <w:r w:rsidR="00B443A9" w:rsidRPr="00887F21">
        <w:rPr>
          <w:i/>
          <w:iCs/>
        </w:rPr>
        <w:t>therefore wouldn't include them at that time.</w:t>
      </w:r>
      <w:r w:rsidRPr="00887F21">
        <w:rPr>
          <w:i/>
          <w:iCs/>
        </w:rPr>
        <w:t>”</w:t>
      </w:r>
    </w:p>
    <w:p w14:paraId="1BCE52FF" w14:textId="20C8C95B" w:rsidR="00887F21" w:rsidRDefault="008A2870" w:rsidP="00EF2FE7">
      <w:pPr>
        <w:pStyle w:val="ParaLevel1"/>
        <w:numPr>
          <w:ilvl w:val="0"/>
          <w:numId w:val="0"/>
        </w:numPr>
        <w:ind w:left="720"/>
      </w:pPr>
      <w:r>
        <w:t xml:space="preserve">and (having explained that Knight would </w:t>
      </w:r>
      <w:r w:rsidR="007C362B">
        <w:t xml:space="preserve">know if a </w:t>
      </w:r>
      <w:r w:rsidR="005F149C">
        <w:t>business was engaged in another transaction) he said:</w:t>
      </w:r>
    </w:p>
    <w:p w14:paraId="51E179BB" w14:textId="4F3EBE94" w:rsidR="003E09A5" w:rsidRPr="00FD49E1" w:rsidRDefault="00696129" w:rsidP="00EF2FE7">
      <w:pPr>
        <w:pStyle w:val="ParaLevel1"/>
        <w:numPr>
          <w:ilvl w:val="0"/>
          <w:numId w:val="0"/>
        </w:numPr>
        <w:ind w:left="1134"/>
        <w:rPr>
          <w:i/>
          <w:iCs/>
        </w:rPr>
      </w:pPr>
      <w:r>
        <w:t>“</w:t>
      </w:r>
      <w:r w:rsidRPr="00FD49E1">
        <w:rPr>
          <w:i/>
          <w:iCs/>
        </w:rPr>
        <w:t xml:space="preserve">Well, not even necessarily with us because, you know, they would be saying -- we're constantly asking people are you looking for opportunities and any one time they might say "yes, we are now" or "no we're not because we've got a transaction on." We wouldn't know who it was but </w:t>
      </w:r>
      <w:r w:rsidR="00FD49E1" w:rsidRPr="00FD49E1">
        <w:rPr>
          <w:i/>
          <w:iCs/>
        </w:rPr>
        <w:t>–"</w:t>
      </w:r>
    </w:p>
    <w:p w14:paraId="6658840A" w14:textId="34969174" w:rsidR="005F149C" w:rsidRDefault="00CA27C7" w:rsidP="00EF2FE7">
      <w:pPr>
        <w:pStyle w:val="ParaLevel1"/>
        <w:numPr>
          <w:ilvl w:val="0"/>
          <w:numId w:val="0"/>
        </w:numPr>
        <w:ind w:left="1134"/>
      </w:pPr>
      <w:r>
        <w:t xml:space="preserve"> </w:t>
      </w:r>
    </w:p>
    <w:p w14:paraId="4F25C4F8" w14:textId="7DA25E79" w:rsidR="00887F21" w:rsidRDefault="00FD49E1" w:rsidP="00EF2FE7">
      <w:pPr>
        <w:pStyle w:val="ParaLevel1"/>
      </w:pPr>
      <w:r>
        <w:t xml:space="preserve">Mr Knight </w:t>
      </w:r>
      <w:r w:rsidR="009D0120">
        <w:t>went on to say that, casting his mind back to 20</w:t>
      </w:r>
      <w:r w:rsidR="00354513">
        <w:t>1</w:t>
      </w:r>
      <w:r w:rsidR="009D0120">
        <w:t xml:space="preserve">4, he could not think of any potential buyers he </w:t>
      </w:r>
      <w:r w:rsidR="00E67D25">
        <w:t xml:space="preserve">would have left off the list for this reason.  However, his general point about the </w:t>
      </w:r>
      <w:r w:rsidR="00765E54">
        <w:t xml:space="preserve">interest of particular potential buyers being sensitive to timing was </w:t>
      </w:r>
      <w:r w:rsidR="00AB7571">
        <w:t xml:space="preserve">borne out by what he said about </w:t>
      </w:r>
      <w:r w:rsidR="00890712">
        <w:t>Knight</w:t>
      </w:r>
      <w:r w:rsidR="0051179A">
        <w:t>’s dealings with GCI in 2014.</w:t>
      </w:r>
      <w:r w:rsidR="007C362B">
        <w:t xml:space="preserve"> </w:t>
      </w:r>
      <w:r w:rsidR="00197710">
        <w:t>He also explained that another private equity firm</w:t>
      </w:r>
      <w:r w:rsidR="004F64A2">
        <w:t xml:space="preserve"> included on his initial list</w:t>
      </w:r>
      <w:r w:rsidR="003A4724">
        <w:t>, BGF</w:t>
      </w:r>
      <w:r w:rsidR="004F64A2">
        <w:t xml:space="preserve">, </w:t>
      </w:r>
      <w:r w:rsidR="00197710">
        <w:t xml:space="preserve">had already invested in GCI and </w:t>
      </w:r>
      <w:r w:rsidR="00DD28DB">
        <w:t xml:space="preserve">had </w:t>
      </w:r>
      <w:r w:rsidR="00044E2D">
        <w:t xml:space="preserve">said they did not want to be conflicted.  </w:t>
      </w:r>
      <w:r w:rsidR="0086706A">
        <w:t xml:space="preserve">Knight reported </w:t>
      </w:r>
      <w:r w:rsidR="00A400AC">
        <w:t xml:space="preserve">in May 2014 </w:t>
      </w:r>
      <w:r w:rsidR="0086706A">
        <w:t>that BG</w:t>
      </w:r>
      <w:r w:rsidR="00695D5D">
        <w:t>F</w:t>
      </w:r>
      <w:r w:rsidR="0086706A">
        <w:t xml:space="preserve"> were “</w:t>
      </w:r>
      <w:r w:rsidR="0086706A" w:rsidRPr="0086706A">
        <w:rPr>
          <w:i/>
          <w:iCs/>
        </w:rPr>
        <w:t>c</w:t>
      </w:r>
      <w:r w:rsidR="004D44C4" w:rsidRPr="0086706A">
        <w:rPr>
          <w:i/>
          <w:iCs/>
        </w:rPr>
        <w:t>onsidering through GCI only</w:t>
      </w:r>
      <w:r w:rsidR="0086706A">
        <w:t>.”</w:t>
      </w:r>
      <w:r w:rsidR="00520E9B">
        <w:t xml:space="preserve"> </w:t>
      </w:r>
    </w:p>
    <w:p w14:paraId="6B76E549" w14:textId="03317832" w:rsidR="00E80B57" w:rsidRDefault="003C0875" w:rsidP="00EF2FE7">
      <w:pPr>
        <w:pStyle w:val="ParaLevel1"/>
      </w:pPr>
      <w:r>
        <w:t xml:space="preserve">Mr Billingham’s witness statement </w:t>
      </w:r>
      <w:r w:rsidR="00D947F9">
        <w:t xml:space="preserve">summarised the </w:t>
      </w:r>
      <w:r w:rsidR="00182754">
        <w:t>outline offers made by interested parties after Knight had met with them: (1) Livin</w:t>
      </w:r>
      <w:r w:rsidR="00F64D7C">
        <w:t xml:space="preserve">gbridge at </w:t>
      </w:r>
      <w:r w:rsidR="00F655DA">
        <w:t>7.5x EBITDA</w:t>
      </w:r>
      <w:r w:rsidR="00F64D7C">
        <w:t xml:space="preserve">; (2) </w:t>
      </w:r>
      <w:r w:rsidR="00F655DA">
        <w:t xml:space="preserve">GCI </w:t>
      </w:r>
      <w:r w:rsidR="00F64D7C">
        <w:t>at u</w:t>
      </w:r>
      <w:r w:rsidR="00F655DA">
        <w:t xml:space="preserve">p to 6x EBITDA </w:t>
      </w:r>
      <w:r w:rsidR="00F64D7C">
        <w:t>p</w:t>
      </w:r>
      <w:r w:rsidR="00F655DA">
        <w:t xml:space="preserve">lus </w:t>
      </w:r>
      <w:r w:rsidR="00F64D7C">
        <w:t xml:space="preserve">an </w:t>
      </w:r>
      <w:r w:rsidR="00F655DA">
        <w:t>earn-out</w:t>
      </w:r>
      <w:r w:rsidR="00F64D7C">
        <w:t xml:space="preserve">; (3) </w:t>
      </w:r>
      <w:r w:rsidR="006F7A6E">
        <w:t>I</w:t>
      </w:r>
      <w:r w:rsidR="00F655DA">
        <w:t>ntercity</w:t>
      </w:r>
      <w:r w:rsidR="006F7A6E">
        <w:t xml:space="preserve"> at u</w:t>
      </w:r>
      <w:r w:rsidR="00F655DA">
        <w:t>p to 5x EBITDA</w:t>
      </w:r>
      <w:r w:rsidR="006F7A6E">
        <w:t xml:space="preserve">;  and (4) </w:t>
      </w:r>
      <w:r w:rsidR="00F655DA">
        <w:t>Adept</w:t>
      </w:r>
      <w:r w:rsidR="00BE6F5C">
        <w:t xml:space="preserve"> at </w:t>
      </w:r>
      <w:r w:rsidR="00F655DA">
        <w:t>5x EBITDA</w:t>
      </w:r>
      <w:r w:rsidR="00BE6F5C">
        <w:t xml:space="preserve">.  He explained that the </w:t>
      </w:r>
      <w:r w:rsidR="00FA219C">
        <w:t xml:space="preserve">multipliers were of an EBITDA </w:t>
      </w:r>
      <w:r w:rsidR="00F655DA">
        <w:t xml:space="preserve">of </w:t>
      </w:r>
      <w:r w:rsidR="00FA219C">
        <w:t xml:space="preserve">approximately </w:t>
      </w:r>
      <w:r w:rsidR="00F655DA">
        <w:t>£0.94m</w:t>
      </w:r>
      <w:r w:rsidR="00390082">
        <w:t xml:space="preserve">, adding </w:t>
      </w:r>
      <w:r w:rsidR="00390082" w:rsidRPr="00390082">
        <w:rPr>
          <w:i/>
          <w:iCs/>
        </w:rPr>
        <w:t>“[</w:t>
      </w:r>
      <w:r w:rsidR="00F655DA" w:rsidRPr="00390082">
        <w:rPr>
          <w:i/>
          <w:iCs/>
        </w:rPr>
        <w:t>H</w:t>
      </w:r>
      <w:r w:rsidR="00390082" w:rsidRPr="00390082">
        <w:rPr>
          <w:i/>
          <w:iCs/>
        </w:rPr>
        <w:t>]</w:t>
      </w:r>
      <w:r w:rsidR="00F655DA" w:rsidRPr="00390082">
        <w:rPr>
          <w:i/>
          <w:iCs/>
        </w:rPr>
        <w:t>owever, during this process the actual run rate EBITDA increased to c£1.2m, which increased the</w:t>
      </w:r>
      <w:r w:rsidR="00390082" w:rsidRPr="00390082">
        <w:rPr>
          <w:i/>
          <w:iCs/>
        </w:rPr>
        <w:t xml:space="preserve"> </w:t>
      </w:r>
      <w:r w:rsidR="00F655DA" w:rsidRPr="00390082">
        <w:rPr>
          <w:i/>
          <w:iCs/>
        </w:rPr>
        <w:t>value of the four respective offers</w:t>
      </w:r>
      <w:r w:rsidR="00390082">
        <w:t xml:space="preserve">.” </w:t>
      </w:r>
    </w:p>
    <w:p w14:paraId="10692292" w14:textId="03A9E36E" w:rsidR="00CA27C7" w:rsidRDefault="00EC4140" w:rsidP="00EF2FE7">
      <w:pPr>
        <w:pStyle w:val="ParaLevel1"/>
      </w:pPr>
      <w:r>
        <w:t xml:space="preserve">In testimony, </w:t>
      </w:r>
      <w:r w:rsidR="002F5F2A">
        <w:t xml:space="preserve">Mr Billingham </w:t>
      </w:r>
      <w:r w:rsidR="00CA6F67">
        <w:t xml:space="preserve">explained that by early May 2014 </w:t>
      </w:r>
      <w:r w:rsidR="00573AC9">
        <w:t xml:space="preserve">the </w:t>
      </w:r>
      <w:r w:rsidR="00342D82">
        <w:t xml:space="preserve">interest in IPS UK was limited to that of GCI, Livingbridge and </w:t>
      </w:r>
      <w:r w:rsidR="00034BBC">
        <w:t>M</w:t>
      </w:r>
      <w:r w:rsidR="004635C7">
        <w:t>aven</w:t>
      </w:r>
      <w:r>
        <w:t xml:space="preserve"> who had </w:t>
      </w:r>
      <w:r w:rsidR="00B14D1B">
        <w:t xml:space="preserve">also </w:t>
      </w:r>
      <w:r w:rsidR="009C4810">
        <w:t>made an outline o</w:t>
      </w:r>
      <w:r w:rsidR="003D1302">
        <w:t>ffer of 5</w:t>
      </w:r>
      <w:r w:rsidR="00C42361">
        <w:t>x</w:t>
      </w:r>
      <w:r w:rsidR="003D1302">
        <w:t xml:space="preserve"> EBITDA</w:t>
      </w:r>
      <w:r w:rsidR="009C4810">
        <w:t>.  However, Maven</w:t>
      </w:r>
      <w:r w:rsidR="003D1302">
        <w:t xml:space="preserve"> </w:t>
      </w:r>
      <w:r w:rsidR="004F61C0">
        <w:t xml:space="preserve">was not regarded as competitive and by June </w:t>
      </w:r>
      <w:r w:rsidR="003966E0">
        <w:t xml:space="preserve">only </w:t>
      </w:r>
      <w:r w:rsidR="001F1EF8">
        <w:t xml:space="preserve">Livingbridge and GCI were in contention.  </w:t>
      </w:r>
      <w:r w:rsidR="004932B2">
        <w:t>He said “</w:t>
      </w:r>
      <w:r w:rsidR="004932B2" w:rsidRPr="009B2AF1">
        <w:rPr>
          <w:i/>
          <w:iCs/>
        </w:rPr>
        <w:t xml:space="preserve">it would have been nice to have </w:t>
      </w:r>
      <w:r w:rsidR="009B2AF1" w:rsidRPr="009B2AF1">
        <w:rPr>
          <w:i/>
          <w:iCs/>
        </w:rPr>
        <w:t>at least one other str</w:t>
      </w:r>
      <w:r w:rsidR="006D0FD9">
        <w:rPr>
          <w:i/>
          <w:iCs/>
        </w:rPr>
        <w:t>o</w:t>
      </w:r>
      <w:r w:rsidR="009B2AF1" w:rsidRPr="009B2AF1">
        <w:rPr>
          <w:i/>
          <w:iCs/>
        </w:rPr>
        <w:t>ng private equity offer</w:t>
      </w:r>
      <w:r w:rsidR="009B2AF1">
        <w:t>”</w:t>
      </w:r>
      <w:r w:rsidR="00C3039C">
        <w:t xml:space="preserve"> but explained that, at the time, the </w:t>
      </w:r>
      <w:r w:rsidR="00EB003F">
        <w:t>business of IPS UK was at the smaller end of the market from the perspective of private equity interest.</w:t>
      </w:r>
    </w:p>
    <w:p w14:paraId="3F12ECC2" w14:textId="77777777" w:rsidR="00A2167E" w:rsidRDefault="001F1EF8" w:rsidP="00EF2FE7">
      <w:pPr>
        <w:pStyle w:val="ParaLevel1"/>
      </w:pPr>
      <w:r>
        <w:t>He said that</w:t>
      </w:r>
      <w:r w:rsidR="005B09D9">
        <w:t xml:space="preserve"> negotiations </w:t>
      </w:r>
      <w:r w:rsidR="00045BDC">
        <w:t xml:space="preserve">with GCI slipped because of their involvement in another deal but, in any event and confirming the view he expressed in the contemporaneous correspondence, </w:t>
      </w:r>
      <w:r w:rsidR="002D55D3">
        <w:t xml:space="preserve">said that </w:t>
      </w:r>
      <w:r w:rsidR="005D0C2C">
        <w:t>Kn</w:t>
      </w:r>
      <w:r w:rsidR="002D55D3">
        <w:t xml:space="preserve">ight clearly favoured the offer from Livingbridge.  </w:t>
      </w:r>
      <w:r w:rsidR="00974AFA">
        <w:t xml:space="preserve">Mr Billingham clarified that </w:t>
      </w:r>
      <w:r w:rsidR="00570C00">
        <w:t>the offer from Livingbridge involved a higher multiplier of EBITDA (7.5</w:t>
      </w:r>
      <w:r w:rsidR="00F12994">
        <w:t>x</w:t>
      </w:r>
      <w:r w:rsidR="00570C00">
        <w:t xml:space="preserve">) </w:t>
      </w:r>
      <w:r w:rsidR="00413E5E">
        <w:t xml:space="preserve">because it had by then become the practice of private equity firms to offer a higher value for shareholdings </w:t>
      </w:r>
      <w:r w:rsidR="00FC78D8">
        <w:t xml:space="preserve">on the basis </w:t>
      </w:r>
      <w:r w:rsidR="0071082D">
        <w:t xml:space="preserve">they would enjoy a priority </w:t>
      </w:r>
      <w:r w:rsidR="000D5538">
        <w:t>over any later sale proceeds from the business under loan notes held by them.</w:t>
      </w:r>
    </w:p>
    <w:p w14:paraId="0FDD4AB3" w14:textId="08DA04BE" w:rsidR="00CA6F67" w:rsidRDefault="00357DAE" w:rsidP="00EF2FE7">
      <w:pPr>
        <w:pStyle w:val="ParaLevel1"/>
      </w:pPr>
      <w:r>
        <w:t xml:space="preserve">So far as GCI was concerned, </w:t>
      </w:r>
      <w:r w:rsidR="00E93B15">
        <w:t xml:space="preserve">Mr Billingham did harbour doubts about GCI being a credible buyer of IPS UK.  This was because </w:t>
      </w:r>
      <w:r w:rsidR="00594822">
        <w:t>“</w:t>
      </w:r>
      <w:r w:rsidR="00594822" w:rsidRPr="00CE058A">
        <w:rPr>
          <w:i/>
          <w:iCs/>
        </w:rPr>
        <w:t xml:space="preserve">it would have been their first sizeable </w:t>
      </w:r>
      <w:r w:rsidR="00CE058A" w:rsidRPr="00CE058A">
        <w:rPr>
          <w:i/>
          <w:iCs/>
        </w:rPr>
        <w:t>transaction since the BGF investment</w:t>
      </w:r>
      <w:r w:rsidR="00CE058A">
        <w:t>.”</w:t>
      </w:r>
      <w:r w:rsidR="00B34189">
        <w:t xml:space="preserve"> </w:t>
      </w:r>
      <w:r w:rsidR="00CE058A">
        <w:t xml:space="preserve">  </w:t>
      </w:r>
      <w:r w:rsidR="001B7B2A">
        <w:t xml:space="preserve">However, his evidence was that </w:t>
      </w:r>
      <w:r w:rsidR="00E11002">
        <w:t xml:space="preserve">Mr Wayne Martin (the CEO of GCI) remained keen. </w:t>
      </w:r>
      <w:r w:rsidR="003B4E5A">
        <w:t>He rejected the suggestion that BGF (a substantial minority shareholder in GCI</w:t>
      </w:r>
      <w:r w:rsidR="007A63A4">
        <w:t>) would not have been keen on the purchase of IPS UK</w:t>
      </w:r>
      <w:r w:rsidR="00983D26">
        <w:t>, saying</w:t>
      </w:r>
      <w:r w:rsidR="00140E43">
        <w:t>:</w:t>
      </w:r>
    </w:p>
    <w:p w14:paraId="67F5EEB1" w14:textId="4755F623" w:rsidR="00140E43" w:rsidRPr="000E48DE" w:rsidRDefault="000E48DE" w:rsidP="00EF2FE7">
      <w:pPr>
        <w:pStyle w:val="ParaLevel1"/>
        <w:numPr>
          <w:ilvl w:val="0"/>
          <w:numId w:val="0"/>
        </w:numPr>
        <w:ind w:left="1134"/>
        <w:rPr>
          <w:i/>
          <w:iCs/>
        </w:rPr>
      </w:pPr>
      <w:r>
        <w:t>“</w:t>
      </w:r>
      <w:r w:rsidR="00140E43" w:rsidRPr="000E48DE">
        <w:rPr>
          <w:i/>
          <w:iCs/>
        </w:rPr>
        <w:t>I don't recall that being the case. I mean, Wayne was a CEO and still -- a founder CEO and still -- I think he still held 80 per cent of -- of the equity, roughly, at the time. So he was still the senior party, but obviously BGF would have had consent matters.</w:t>
      </w:r>
      <w:r w:rsidRPr="000E48DE">
        <w:rPr>
          <w:i/>
          <w:iCs/>
        </w:rPr>
        <w:t>”</w:t>
      </w:r>
    </w:p>
    <w:p w14:paraId="2EF4A90B" w14:textId="7B87D93F" w:rsidR="00140E43" w:rsidRDefault="00140E43" w:rsidP="00EF2FE7">
      <w:pPr>
        <w:pStyle w:val="ParaLevel1"/>
        <w:numPr>
          <w:ilvl w:val="0"/>
          <w:numId w:val="0"/>
        </w:numPr>
        <w:ind w:left="1134"/>
      </w:pPr>
      <w:r w:rsidRPr="000E48DE">
        <w:rPr>
          <w:i/>
          <w:iCs/>
        </w:rPr>
        <w:t>“But I don't recall BGF being against it, it was more</w:t>
      </w:r>
      <w:r w:rsidR="000E48DE" w:rsidRPr="000E48DE">
        <w:rPr>
          <w:i/>
          <w:iCs/>
        </w:rPr>
        <w:t xml:space="preserve"> </w:t>
      </w:r>
      <w:r w:rsidRPr="000E48DE">
        <w:rPr>
          <w:i/>
          <w:iCs/>
        </w:rPr>
        <w:t>that they hadn't been -- I don't think Wayne had brought</w:t>
      </w:r>
      <w:r w:rsidR="000E48DE" w:rsidRPr="000E48DE">
        <w:rPr>
          <w:i/>
          <w:iCs/>
        </w:rPr>
        <w:t xml:space="preserve"> </w:t>
      </w:r>
      <w:r w:rsidRPr="000E48DE">
        <w:rPr>
          <w:i/>
          <w:iCs/>
        </w:rPr>
        <w:t>them into the process at that stage because they were</w:t>
      </w:r>
      <w:r w:rsidR="000E48DE" w:rsidRPr="000E48DE">
        <w:rPr>
          <w:i/>
          <w:iCs/>
        </w:rPr>
        <w:t xml:space="preserve"> </w:t>
      </w:r>
      <w:r w:rsidRPr="000E48DE">
        <w:rPr>
          <w:i/>
          <w:iCs/>
        </w:rPr>
        <w:t>looking at this other one</w:t>
      </w:r>
      <w:r>
        <w:t>.</w:t>
      </w:r>
      <w:r w:rsidR="000E48DE">
        <w:t>”</w:t>
      </w:r>
    </w:p>
    <w:p w14:paraId="137C7232" w14:textId="2049C8EB" w:rsidR="008C7D3E" w:rsidRDefault="007271E7" w:rsidP="00EF2FE7">
      <w:pPr>
        <w:pStyle w:val="ParaLevel1"/>
      </w:pPr>
      <w:r>
        <w:t>Mr Billingham explained that i</w:t>
      </w:r>
      <w:r w:rsidR="00F35282">
        <w:t xml:space="preserve">t was </w:t>
      </w:r>
      <w:r w:rsidR="0085607C">
        <w:t xml:space="preserve">because </w:t>
      </w:r>
      <w:r>
        <w:t xml:space="preserve">GCI were engaged in another deal that </w:t>
      </w:r>
      <w:r w:rsidR="00E32E7F">
        <w:t xml:space="preserve">heads of terms were only drawn up for </w:t>
      </w:r>
      <w:r w:rsidR="0071285E">
        <w:t xml:space="preserve">the </w:t>
      </w:r>
      <w:r w:rsidR="00E32E7F">
        <w:t>Livingbridge</w:t>
      </w:r>
      <w:r w:rsidR="0071285E">
        <w:t xml:space="preserve"> offer</w:t>
      </w:r>
      <w:r w:rsidR="008C7D3E">
        <w:t>.</w:t>
      </w:r>
      <w:r w:rsidR="00E32E7F">
        <w:t xml:space="preserve">  He said:</w:t>
      </w:r>
    </w:p>
    <w:p w14:paraId="618049D1" w14:textId="165E9632" w:rsidR="00E32E7F" w:rsidRDefault="00D50097" w:rsidP="00EF2FE7">
      <w:pPr>
        <w:pStyle w:val="ParaLevel1"/>
        <w:numPr>
          <w:ilvl w:val="0"/>
          <w:numId w:val="0"/>
        </w:numPr>
        <w:ind w:left="1134"/>
      </w:pPr>
      <w:r>
        <w:t>“</w:t>
      </w:r>
      <w:r w:rsidRPr="00362977">
        <w:rPr>
          <w:i/>
          <w:iCs/>
        </w:rPr>
        <w:t xml:space="preserve">Well, as I said, I think we probably said rather than draft heads of terms for both let's focus on the ISIS offer for now because, as it says, GCI were closing </w:t>
      </w:r>
      <w:r w:rsidR="00362977" w:rsidRPr="00362977">
        <w:rPr>
          <w:i/>
          <w:iCs/>
        </w:rPr>
        <w:t>another deal, so we had a bit more time anyway, there was no rush for GCI.</w:t>
      </w:r>
      <w:r w:rsidR="00362977">
        <w:t>”</w:t>
      </w:r>
    </w:p>
    <w:p w14:paraId="051A60DD" w14:textId="0366F61F" w:rsidR="00A054C1" w:rsidRDefault="007E1D73" w:rsidP="00EF2FE7">
      <w:pPr>
        <w:pStyle w:val="ParaLevel1"/>
      </w:pPr>
      <w:r>
        <w:t xml:space="preserve">Mr </w:t>
      </w:r>
      <w:r w:rsidR="00A054C1">
        <w:t xml:space="preserve">Billingham gave that answer by reference to </w:t>
      </w:r>
      <w:r w:rsidR="00F50E43">
        <w:t>his email of 16 June 2014 to the Claimants and Mr Howitt in which he reported that GCI “</w:t>
      </w:r>
      <w:r w:rsidR="00F50E43" w:rsidRPr="00F50E43">
        <w:rPr>
          <w:i/>
          <w:iCs/>
        </w:rPr>
        <w:t>are trying to close a deal in the next 2 weeks and then IPS will become their priority</w:t>
      </w:r>
      <w:r w:rsidR="00F50E43">
        <w:t xml:space="preserve">.”  </w:t>
      </w:r>
      <w:r w:rsidR="009E2A51">
        <w:t xml:space="preserve">On 7 July 2014 </w:t>
      </w:r>
      <w:r w:rsidR="00E26BAE">
        <w:t>he reported that he had spoken to Mr Martin who had told him that the completion of GCI’s other deal</w:t>
      </w:r>
      <w:r w:rsidR="00695D5D">
        <w:t xml:space="preserve"> </w:t>
      </w:r>
      <w:r w:rsidR="00E26BAE">
        <w:t>had slipped to late July.</w:t>
      </w:r>
      <w:r w:rsidR="008D5935">
        <w:t xml:space="preserve">  </w:t>
      </w:r>
      <w:r w:rsidR="000A3AC9">
        <w:t xml:space="preserve">Mr Billingham accepted that the meeting </w:t>
      </w:r>
      <w:r w:rsidR="00623F5A">
        <w:t>with BG</w:t>
      </w:r>
      <w:r w:rsidR="00695D5D">
        <w:t>F</w:t>
      </w:r>
      <w:r w:rsidR="00623F5A">
        <w:t xml:space="preserve"> that Mr Martin had </w:t>
      </w:r>
      <w:r w:rsidR="006E5C76">
        <w:t xml:space="preserve">suggested to him did not take place and that matters </w:t>
      </w:r>
      <w:r w:rsidR="00AA59FA">
        <w:t>th</w:t>
      </w:r>
      <w:r w:rsidR="00C73E37">
        <w:t>ereafter</w:t>
      </w:r>
      <w:r w:rsidR="00AA59FA">
        <w:t xml:space="preserve"> slipped </w:t>
      </w:r>
      <w:r w:rsidR="00C73E37">
        <w:t>with GCI</w:t>
      </w:r>
      <w:r w:rsidR="00D1594F">
        <w:t xml:space="preserve"> because of their other deal and the decision of the Claimants to focus upon Livingbridge</w:t>
      </w:r>
      <w:r w:rsidR="00C73E37">
        <w:t>.</w:t>
      </w:r>
    </w:p>
    <w:p w14:paraId="7F79CEFD" w14:textId="4746D342" w:rsidR="000B508A" w:rsidRDefault="00033674" w:rsidP="00EF2FE7">
      <w:pPr>
        <w:pStyle w:val="ParaLevel1"/>
      </w:pPr>
      <w:r>
        <w:t xml:space="preserve">So far as </w:t>
      </w:r>
      <w:r w:rsidR="001664D2">
        <w:t xml:space="preserve">concerns </w:t>
      </w:r>
      <w:r>
        <w:t xml:space="preserve">the value of the </w:t>
      </w:r>
      <w:r w:rsidR="00AA59FA">
        <w:t xml:space="preserve">offer which </w:t>
      </w:r>
      <w:r>
        <w:t xml:space="preserve">GCI </w:t>
      </w:r>
      <w:r w:rsidR="00AA59FA">
        <w:t>had by then made</w:t>
      </w:r>
      <w:r w:rsidR="001664D2">
        <w:t xml:space="preserve">, </w:t>
      </w:r>
      <w:r w:rsidR="00B7190D">
        <w:t xml:space="preserve">Mr Billingham </w:t>
      </w:r>
      <w:r w:rsidR="0071285E">
        <w:t>explained ho</w:t>
      </w:r>
      <w:r w:rsidR="00FC34B9">
        <w:t>w</w:t>
      </w:r>
      <w:r w:rsidR="000861C5">
        <w:t xml:space="preserve">, by early May 2014 and </w:t>
      </w:r>
      <w:r w:rsidR="00FC34B9">
        <w:t>using the forecasts in the Information Memorandum</w:t>
      </w:r>
      <w:r w:rsidR="00A07F15">
        <w:t xml:space="preserve"> </w:t>
      </w:r>
      <w:r w:rsidR="00BB4352">
        <w:t>(and EBITDA of</w:t>
      </w:r>
      <w:r w:rsidR="00361EA6">
        <w:t xml:space="preserve"> approximately </w:t>
      </w:r>
      <w:r w:rsidR="00F14EC6">
        <w:t xml:space="preserve">£0.94m), </w:t>
      </w:r>
      <w:r w:rsidR="00FD44D4">
        <w:t xml:space="preserve">GCI were proposing </w:t>
      </w:r>
      <w:r w:rsidR="00485936">
        <w:t xml:space="preserve">an initial consideration of £4m, deferred consideration of £1m </w:t>
      </w:r>
      <w:r w:rsidR="003872AF">
        <w:t xml:space="preserve">in </w:t>
      </w:r>
      <w:r w:rsidR="007E393E">
        <w:t xml:space="preserve">GCI shares </w:t>
      </w:r>
      <w:r w:rsidR="00485936">
        <w:t>(conditional upon the EBITDA being maintained</w:t>
      </w:r>
      <w:r w:rsidR="009F7408">
        <w:t xml:space="preserve"> at completion of the deal</w:t>
      </w:r>
      <w:r w:rsidR="00485936">
        <w:t>)</w:t>
      </w:r>
      <w:r w:rsidR="006E7938">
        <w:t xml:space="preserve"> and an earnout to be measured at the end of 2 years</w:t>
      </w:r>
      <w:r w:rsidR="008F2087">
        <w:t xml:space="preserve"> on the basis that the EBITDA would be multiplied 6x and the two </w:t>
      </w:r>
      <w:r w:rsidR="005631BF">
        <w:t xml:space="preserve">cash </w:t>
      </w:r>
      <w:r w:rsidR="008F2087">
        <w:t xml:space="preserve">payments would then be deducted.  </w:t>
      </w:r>
      <w:r w:rsidR="00886E89">
        <w:t xml:space="preserve">The </w:t>
      </w:r>
      <w:r w:rsidR="00666429">
        <w:t xml:space="preserve">net earnout payment would be as to the first £2m in cash, the next </w:t>
      </w:r>
      <w:r w:rsidR="000A464F">
        <w:t xml:space="preserve">£4m </w:t>
      </w:r>
      <w:r w:rsidR="00666429">
        <w:t>in GCI shares (</w:t>
      </w:r>
      <w:r w:rsidR="004869B1">
        <w:t xml:space="preserve">valued at 10x EBITDA) and </w:t>
      </w:r>
      <w:r w:rsidR="000A464F">
        <w:t>any</w:t>
      </w:r>
      <w:r w:rsidR="004869B1">
        <w:t xml:space="preserve"> balance in cash.  </w:t>
      </w:r>
      <w:r w:rsidR="00BB4352">
        <w:t xml:space="preserve"> </w:t>
      </w:r>
    </w:p>
    <w:p w14:paraId="08E902D6" w14:textId="31AFB51F" w:rsidR="00E32E7F" w:rsidRDefault="00CE5EF5" w:rsidP="00EF2FE7">
      <w:pPr>
        <w:pStyle w:val="ParaLevel1"/>
      </w:pPr>
      <w:r>
        <w:t xml:space="preserve">Although Mr Richards had suggested </w:t>
      </w:r>
      <w:r w:rsidR="000B508A">
        <w:t xml:space="preserve">they might press for less than £4m to be in GCI shares, Mr Billingham was concerned that might send out the wrong message to GCI </w:t>
      </w:r>
      <w:r w:rsidR="001068A7">
        <w:t xml:space="preserve">and sour </w:t>
      </w:r>
      <w:r w:rsidR="000B508A">
        <w:t xml:space="preserve">negotiations.  </w:t>
      </w:r>
      <w:r w:rsidR="00BF332D">
        <w:t xml:space="preserve">The proposal that the </w:t>
      </w:r>
      <w:r w:rsidR="003B62DA">
        <w:t>Claimants</w:t>
      </w:r>
      <w:r w:rsidR="00F91EB2">
        <w:t>’</w:t>
      </w:r>
      <w:r w:rsidR="003B62DA">
        <w:t xml:space="preserve"> share</w:t>
      </w:r>
      <w:r w:rsidR="00F91EB2">
        <w:t>holding</w:t>
      </w:r>
      <w:r w:rsidR="003B62DA">
        <w:t xml:space="preserve"> should benefit from a ratcheted dividend if GCI was not sold after 2 years (so that there would be a financial incentive for GCI to buy them out rather than pay such a dividend</w:t>
      </w:r>
      <w:r w:rsidR="00F91EB2">
        <w:t>)</w:t>
      </w:r>
      <w:r w:rsidR="003B62DA">
        <w:t xml:space="preserve"> was rejected</w:t>
      </w:r>
      <w:r w:rsidR="00604859">
        <w:t>.  GCI’s response was “</w:t>
      </w:r>
      <w:r w:rsidR="00604859" w:rsidRPr="00604859">
        <w:rPr>
          <w:i/>
          <w:iCs/>
        </w:rPr>
        <w:t>not agreed, but there is a dividend policy already in place and this will apply to these shares.</w:t>
      </w:r>
      <w:r w:rsidR="00604859">
        <w:t>”</w:t>
      </w:r>
    </w:p>
    <w:p w14:paraId="58DDCC3C" w14:textId="77777777" w:rsidR="00B15190" w:rsidRDefault="00506B09" w:rsidP="00EF2FE7">
      <w:pPr>
        <w:pStyle w:val="ParaLevel1"/>
      </w:pPr>
      <w:r>
        <w:t xml:space="preserve">The proposal </w:t>
      </w:r>
      <w:r w:rsidR="0070359B">
        <w:t xml:space="preserve">also involved the Claimants continuing with their salaries of £90,000.  Mr </w:t>
      </w:r>
      <w:r w:rsidR="00C11D37">
        <w:t xml:space="preserve">Billingham pointed out that </w:t>
      </w:r>
      <w:r w:rsidR="009E0ECF">
        <w:t xml:space="preserve">this was probably on the low side but </w:t>
      </w:r>
      <w:r w:rsidR="00063B41">
        <w:t>beneficial to the EBITDA on earnout “</w:t>
      </w:r>
      <w:r w:rsidR="00063B41" w:rsidRPr="006C70D4">
        <w:rPr>
          <w:i/>
          <w:iCs/>
        </w:rPr>
        <w:t xml:space="preserve">because every pound of salary </w:t>
      </w:r>
      <w:r w:rsidR="006C70D4" w:rsidRPr="006C70D4">
        <w:rPr>
          <w:i/>
          <w:iCs/>
        </w:rPr>
        <w:t>would have cost £6 on the earnou</w:t>
      </w:r>
      <w:r w:rsidR="006C70D4" w:rsidRPr="00DE5223">
        <w:rPr>
          <w:i/>
          <w:iCs/>
        </w:rPr>
        <w:t>t</w:t>
      </w:r>
      <w:r w:rsidR="006C70D4">
        <w:t xml:space="preserve">.”  He also </w:t>
      </w:r>
      <w:r w:rsidR="00C95340">
        <w:t xml:space="preserve">considered that there would be cost-saving synergies on a trade deal with GCI </w:t>
      </w:r>
      <w:r w:rsidR="003A1126">
        <w:t>(</w:t>
      </w:r>
      <w:r w:rsidR="00837F09">
        <w:t xml:space="preserve">proposed to be </w:t>
      </w:r>
      <w:r w:rsidR="003A1126">
        <w:t xml:space="preserve">split </w:t>
      </w:r>
      <w:r w:rsidR="00BF6ED1" w:rsidRPr="00BF6ED1">
        <w:t>75%</w:t>
      </w:r>
      <w:r w:rsidR="003A1126">
        <w:t xml:space="preserve"> </w:t>
      </w:r>
      <w:r w:rsidR="00837F09">
        <w:t>to</w:t>
      </w:r>
      <w:r w:rsidR="003A1126">
        <w:t xml:space="preserve"> GCI and 2</w:t>
      </w:r>
      <w:r w:rsidR="00BF6ED1" w:rsidRPr="00BF6ED1">
        <w:t xml:space="preserve">5% </w:t>
      </w:r>
      <w:r w:rsidR="00837F09">
        <w:t>to</w:t>
      </w:r>
      <w:r w:rsidR="003A1126">
        <w:t xml:space="preserve"> </w:t>
      </w:r>
      <w:r w:rsidR="00BF6ED1" w:rsidRPr="00BF6ED1">
        <w:t>IPS</w:t>
      </w:r>
      <w:r w:rsidR="002F19BE">
        <w:t xml:space="preserve"> </w:t>
      </w:r>
      <w:r w:rsidR="00837F09">
        <w:t xml:space="preserve">UK </w:t>
      </w:r>
      <w:r w:rsidR="002F19BE">
        <w:t xml:space="preserve">for </w:t>
      </w:r>
      <w:r w:rsidR="00837F09">
        <w:t xml:space="preserve">the purpose of </w:t>
      </w:r>
      <w:r w:rsidR="002F19BE">
        <w:t>EBITDA calculations</w:t>
      </w:r>
      <w:r w:rsidR="003A1126">
        <w:t xml:space="preserve">) </w:t>
      </w:r>
      <w:r w:rsidR="00837F09">
        <w:t xml:space="preserve">and </w:t>
      </w:r>
      <w:r w:rsidR="003D3F0B">
        <w:t>although there would not be massive synergies there would be some financially beneficial ones.</w:t>
      </w:r>
    </w:p>
    <w:p w14:paraId="47DAED5A" w14:textId="140B3E4B" w:rsidR="002359A7" w:rsidRDefault="00F63AD8" w:rsidP="00EF2FE7">
      <w:pPr>
        <w:pStyle w:val="ParaLevel1"/>
      </w:pPr>
      <w:r>
        <w:t>That is how matters stood with GCI by mid-May 2014.</w:t>
      </w:r>
      <w:r w:rsidR="009D7F0B">
        <w:t xml:space="preserve"> </w:t>
      </w:r>
      <w:r w:rsidR="00877A77">
        <w:t xml:space="preserve">Having </w:t>
      </w:r>
      <w:r w:rsidR="0008221B">
        <w:t xml:space="preserve">by then </w:t>
      </w:r>
      <w:r w:rsidR="00900BC4">
        <w:t xml:space="preserve">had a meeting with Mr Morris </w:t>
      </w:r>
      <w:r w:rsidR="000E14BE">
        <w:t xml:space="preserve">and received </w:t>
      </w:r>
      <w:r w:rsidR="00900BC4">
        <w:t>Livin</w:t>
      </w:r>
      <w:r w:rsidR="00AF09B1">
        <w:t>g</w:t>
      </w:r>
      <w:r w:rsidR="00900BC4">
        <w:t>bridge</w:t>
      </w:r>
      <w:r w:rsidR="000E14BE">
        <w:t>’s offer letter on 2</w:t>
      </w:r>
      <w:r w:rsidR="00D24FEB">
        <w:t>5 June 2014</w:t>
      </w:r>
      <w:r w:rsidR="00900BC4">
        <w:t xml:space="preserve">, </w:t>
      </w:r>
      <w:r w:rsidR="00336DC0">
        <w:t xml:space="preserve">Mr Richards </w:t>
      </w:r>
      <w:r w:rsidR="00046E5A">
        <w:t>later</w:t>
      </w:r>
      <w:r w:rsidR="000F2446">
        <w:t xml:space="preserve"> sent</w:t>
      </w:r>
      <w:r w:rsidR="00046E5A">
        <w:t xml:space="preserve"> </w:t>
      </w:r>
      <w:r w:rsidR="00336DC0">
        <w:t xml:space="preserve">an email to </w:t>
      </w:r>
      <w:r w:rsidR="00AF09B1">
        <w:t>Mr Billingham</w:t>
      </w:r>
      <w:r w:rsidR="00046E5A">
        <w:t>,</w:t>
      </w:r>
      <w:r w:rsidR="00AF09B1">
        <w:t xml:space="preserve"> on 27 June 2014</w:t>
      </w:r>
      <w:r w:rsidR="00046E5A">
        <w:t>,</w:t>
      </w:r>
      <w:r w:rsidR="00AF09B1">
        <w:t xml:space="preserve"> saying </w:t>
      </w:r>
      <w:r w:rsidR="006C1B41">
        <w:t xml:space="preserve">he and Mr Purves did not feel </w:t>
      </w:r>
      <w:r w:rsidR="007F4C9C" w:rsidRPr="007F4C9C">
        <w:t>able to proceed with the GCI deal as it stood</w:t>
      </w:r>
      <w:r w:rsidR="008D5AB3">
        <w:t xml:space="preserve"> (he </w:t>
      </w:r>
      <w:r w:rsidR="00433574">
        <w:t xml:space="preserve">also </w:t>
      </w:r>
      <w:r w:rsidR="004A1AAD">
        <w:t xml:space="preserve">said </w:t>
      </w:r>
      <w:r w:rsidR="00867421">
        <w:t xml:space="preserve">the Livingbridge terms were unacceptable and too weighted </w:t>
      </w:r>
      <w:r w:rsidR="00B05A8D">
        <w:t>against them</w:t>
      </w:r>
      <w:r w:rsidR="008D5AB3">
        <w:t>)</w:t>
      </w:r>
      <w:r w:rsidR="00B05A8D">
        <w:t>.  So far as GCI was concerned, t</w:t>
      </w:r>
      <w:r w:rsidR="006C1B41">
        <w:t xml:space="preserve">hey said </w:t>
      </w:r>
      <w:r w:rsidR="00046E5A">
        <w:t>t</w:t>
      </w:r>
      <w:r w:rsidR="007F4C9C" w:rsidRPr="007F4C9C">
        <w:t>hey would require a cash only deal, with no shares, or one where the shares attracted a significant dividend until sold with a long stop date of 24 months before GCI were obliged to buy them</w:t>
      </w:r>
      <w:r w:rsidR="00046E5A">
        <w:t>.</w:t>
      </w:r>
    </w:p>
    <w:p w14:paraId="316F57CB" w14:textId="3CD1627D" w:rsidR="00130BB7" w:rsidRPr="00130BB7" w:rsidRDefault="008D5AB3" w:rsidP="00EF2FE7">
      <w:pPr>
        <w:pStyle w:val="ParaLevel1"/>
      </w:pPr>
      <w:r>
        <w:t xml:space="preserve">Mr Billingham confirmed that </w:t>
      </w:r>
      <w:r w:rsidR="002359A7">
        <w:t xml:space="preserve">matters did not thereafter develop with GCI while the Claimants engaged with </w:t>
      </w:r>
      <w:r w:rsidR="00832F7E">
        <w:t>the</w:t>
      </w:r>
      <w:r w:rsidR="002359A7">
        <w:t xml:space="preserve"> revised </w:t>
      </w:r>
      <w:r w:rsidR="00832F7E">
        <w:t xml:space="preserve">proposal made by Livingbridge on 11 July 2014.  </w:t>
      </w:r>
      <w:r w:rsidR="00457676">
        <w:t xml:space="preserve">That was the </w:t>
      </w:r>
      <w:r w:rsidR="005F4883">
        <w:t xml:space="preserve">situation </w:t>
      </w:r>
      <w:r w:rsidR="001160E2">
        <w:t>which Mr Billingham was addressing when he said there was “</w:t>
      </w:r>
      <w:r w:rsidR="001160E2" w:rsidRPr="00B60238">
        <w:rPr>
          <w:i/>
          <w:iCs/>
        </w:rPr>
        <w:t>no rush</w:t>
      </w:r>
      <w:r w:rsidR="00B60238">
        <w:rPr>
          <w:i/>
          <w:iCs/>
        </w:rPr>
        <w:t xml:space="preserve"> for GCI</w:t>
      </w:r>
      <w:r w:rsidR="001160E2">
        <w:t>”.  In his email of 27 June</w:t>
      </w:r>
      <w:r w:rsidR="00E42A28">
        <w:t xml:space="preserve">, </w:t>
      </w:r>
      <w:r w:rsidR="00130BB7" w:rsidRPr="00130BB7">
        <w:t xml:space="preserve">Mr Richards said they would like to have a meeting with GCI over the </w:t>
      </w:r>
      <w:r w:rsidR="00E42A28">
        <w:t xml:space="preserve">Claimants’ </w:t>
      </w:r>
      <w:r w:rsidR="00130BB7" w:rsidRPr="00130BB7">
        <w:t xml:space="preserve">suggested terms within the next fortnight with a view to </w:t>
      </w:r>
      <w:r w:rsidR="00E42A28">
        <w:t xml:space="preserve">then </w:t>
      </w:r>
      <w:r w:rsidR="00130BB7" w:rsidRPr="00130BB7">
        <w:t>commencing the due diligence process with them.  He concluded: “</w:t>
      </w:r>
      <w:r w:rsidR="00130BB7" w:rsidRPr="00B60238">
        <w:rPr>
          <w:i/>
          <w:iCs/>
        </w:rPr>
        <w:t>[I]f we are unable to proceed with the GCI deal with a deal structure similar to the terms outlined above then we should park the process and review our options again in January 2015</w:t>
      </w:r>
      <w:r w:rsidR="00130BB7" w:rsidRPr="00130BB7">
        <w:t>.”</w:t>
      </w:r>
    </w:p>
    <w:p w14:paraId="3CD8CB91" w14:textId="70E6B527" w:rsidR="00130BB7" w:rsidRDefault="00B60238" w:rsidP="00EF2FE7">
      <w:pPr>
        <w:pStyle w:val="ParaLevel1"/>
      </w:pPr>
      <w:r>
        <w:t>In his witness statement</w:t>
      </w:r>
      <w:r w:rsidR="00175E1D">
        <w:t>, Mr Billingham said:</w:t>
      </w:r>
    </w:p>
    <w:p w14:paraId="4FDC6222" w14:textId="1FD91457" w:rsidR="00175E1D" w:rsidRPr="009F7759" w:rsidRDefault="00175E1D" w:rsidP="00EF2FE7">
      <w:pPr>
        <w:pStyle w:val="ParaLevel1"/>
        <w:numPr>
          <w:ilvl w:val="0"/>
          <w:numId w:val="0"/>
        </w:numPr>
        <w:ind w:left="1134"/>
        <w:rPr>
          <w:i/>
          <w:iCs/>
        </w:rPr>
      </w:pPr>
      <w:r>
        <w:t>“</w:t>
      </w:r>
      <w:r w:rsidRPr="009F7759">
        <w:rPr>
          <w:i/>
          <w:iCs/>
        </w:rPr>
        <w:t>15.</w:t>
      </w:r>
      <w:r w:rsidRPr="009F7759">
        <w:rPr>
          <w:i/>
          <w:iCs/>
        </w:rPr>
        <w:tab/>
        <w:t>During what became a longer than expected process, transactional activity in the telecoms sector remained buoyant, and had the transaction not completed with ISIS there would have been an opportunity to go back to the other parties that had made offers, particularly GCI, to start negotiations again. This period would also have allowed new parties to review the business and to consider making an offer as new potential buyers were entering the sector as a result of increased private equity investment in communications technology providers (both directly and indirectly).</w:t>
      </w:r>
    </w:p>
    <w:p w14:paraId="5DC091CD" w14:textId="6BFE5EF5" w:rsidR="00175E1D" w:rsidRPr="009F7759" w:rsidRDefault="00175E1D" w:rsidP="00EF2FE7">
      <w:pPr>
        <w:pStyle w:val="ParaLevel1"/>
        <w:numPr>
          <w:ilvl w:val="0"/>
          <w:numId w:val="0"/>
        </w:numPr>
        <w:ind w:left="1134"/>
        <w:rPr>
          <w:i/>
          <w:iCs/>
        </w:rPr>
      </w:pPr>
      <w:r w:rsidRPr="009F7759">
        <w:rPr>
          <w:i/>
          <w:iCs/>
        </w:rPr>
        <w:t>16. During the exclusive process with ISIS, Wayne Martin, founder and CEO of GCI, made it very clear to the Claimants and Knight that should negotiations not complete he would be very interested in revisiting their offer.”</w:t>
      </w:r>
    </w:p>
    <w:p w14:paraId="188DDB1C" w14:textId="77777777" w:rsidR="000F2494" w:rsidRDefault="000F2494" w:rsidP="00EF2FE7">
      <w:pPr>
        <w:pStyle w:val="ParaLevel1"/>
        <w:numPr>
          <w:ilvl w:val="0"/>
          <w:numId w:val="0"/>
        </w:numPr>
        <w:ind w:left="1134"/>
      </w:pPr>
    </w:p>
    <w:p w14:paraId="08851019" w14:textId="77777777" w:rsidR="00577AC6" w:rsidRDefault="001B10B3" w:rsidP="00EF2FE7">
      <w:pPr>
        <w:pStyle w:val="ParaLevel1"/>
      </w:pPr>
      <w:r>
        <w:t>The contemporaneous documents and the evidence</w:t>
      </w:r>
      <w:r w:rsidR="000F2494">
        <w:t xml:space="preserve"> which</w:t>
      </w:r>
      <w:r>
        <w:t xml:space="preserve"> Mr Billingham gave about them</w:t>
      </w:r>
      <w:r w:rsidR="002B7F09">
        <w:t xml:space="preserve">, and about </w:t>
      </w:r>
      <w:r w:rsidR="008A0EF6">
        <w:t xml:space="preserve">how the appetite of a particular </w:t>
      </w:r>
      <w:r w:rsidR="00B86855">
        <w:t xml:space="preserve">buyer may well depend upon whether other </w:t>
      </w:r>
      <w:r w:rsidR="000F2494">
        <w:t>transactions are in progress,</w:t>
      </w:r>
      <w:r>
        <w:t xml:space="preserve"> support </w:t>
      </w:r>
      <w:r w:rsidR="009F7759">
        <w:t xml:space="preserve">those statements.  </w:t>
      </w:r>
    </w:p>
    <w:p w14:paraId="2874EF33" w14:textId="2343B338" w:rsidR="00175E1D" w:rsidRDefault="00AD012C" w:rsidP="00EF2FE7">
      <w:pPr>
        <w:pStyle w:val="ParaLevel1"/>
      </w:pPr>
      <w:r>
        <w:t xml:space="preserve">I </w:t>
      </w:r>
      <w:r w:rsidR="00577AC6">
        <w:t xml:space="preserve">accept Mr Billingham’s evidence as </w:t>
      </w:r>
      <w:r w:rsidR="00270DC2">
        <w:t xml:space="preserve">demonstrating that the </w:t>
      </w:r>
      <w:r w:rsidR="0017424E">
        <w:t>prospects for the Claimants</w:t>
      </w:r>
      <w:r w:rsidR="003E5DAD">
        <w:t xml:space="preserve"> securing another purchaser for IPS UK in late 2014 were favourable.</w:t>
      </w:r>
    </w:p>
    <w:p w14:paraId="622C6903" w14:textId="77777777" w:rsidR="00724383" w:rsidRDefault="00724383" w:rsidP="00EF2FE7">
      <w:pPr>
        <w:pStyle w:val="ParaLevel1"/>
        <w:numPr>
          <w:ilvl w:val="0"/>
          <w:numId w:val="0"/>
        </w:numPr>
        <w:ind w:left="720"/>
      </w:pPr>
    </w:p>
    <w:p w14:paraId="1278D2A0" w14:textId="2CF5107C" w:rsidR="00557E26" w:rsidRPr="005051F0" w:rsidRDefault="00557E26" w:rsidP="00EF2FE7">
      <w:pPr>
        <w:pStyle w:val="ParaLevel1"/>
        <w:numPr>
          <w:ilvl w:val="0"/>
          <w:numId w:val="0"/>
        </w:numPr>
        <w:ind w:left="153" w:firstLine="567"/>
        <w:rPr>
          <w:b/>
          <w:bCs/>
          <w:u w:val="single"/>
        </w:rPr>
      </w:pPr>
      <w:r w:rsidRPr="005051F0">
        <w:rPr>
          <w:b/>
          <w:bCs/>
          <w:u w:val="single"/>
        </w:rPr>
        <w:t>T</w:t>
      </w:r>
      <w:r w:rsidR="00C327B3">
        <w:rPr>
          <w:b/>
          <w:bCs/>
          <w:u w:val="single"/>
        </w:rPr>
        <w:t>HE  EXPERT  EVIDENCE</w:t>
      </w:r>
    </w:p>
    <w:p w14:paraId="15B2E8D7" w14:textId="18464489" w:rsidR="00557E26" w:rsidRDefault="00E52F75" w:rsidP="00EF2FE7">
      <w:pPr>
        <w:pStyle w:val="ParaLevel1"/>
      </w:pPr>
      <w:r>
        <w:t xml:space="preserve">The case management </w:t>
      </w:r>
      <w:r w:rsidR="003367DF">
        <w:t>o</w:t>
      </w:r>
      <w:r>
        <w:t xml:space="preserve">rder </w:t>
      </w:r>
      <w:r w:rsidR="003367DF">
        <w:t xml:space="preserve">of HHJ Pelling QC </w:t>
      </w:r>
      <w:r>
        <w:t xml:space="preserve">dated </w:t>
      </w:r>
      <w:r w:rsidR="00BD79DA">
        <w:t xml:space="preserve">16 April 2021 gave each party permission to call experts in the field of forensic accountancy with the evidence to be confined to the issues of the valuation of the Claimants’ shareholdings in IPS UK Ltd and the Company as at 3 December 2014 </w:t>
      </w:r>
      <w:r w:rsidR="00BD79DA" w:rsidRPr="00BD79DA">
        <w:t>(“</w:t>
      </w:r>
      <w:r w:rsidR="00BD79DA" w:rsidRPr="00BD79DA">
        <w:rPr>
          <w:b/>
          <w:bCs/>
        </w:rPr>
        <w:t>the First Valuation Date</w:t>
      </w:r>
      <w:r w:rsidR="00BD79DA" w:rsidRPr="00BD79DA">
        <w:t xml:space="preserve">”) </w:t>
      </w:r>
      <w:r w:rsidR="00BD79DA">
        <w:t>and 29 July 2015 (“</w:t>
      </w:r>
      <w:r w:rsidR="00BD79DA" w:rsidRPr="00BD79DA">
        <w:rPr>
          <w:b/>
          <w:bCs/>
        </w:rPr>
        <w:t>the Second Valuation Date</w:t>
      </w:r>
      <w:r w:rsidR="00BD79DA" w:rsidRPr="00BD79DA">
        <w:t>”</w:t>
      </w:r>
      <w:r w:rsidR="00BD79DA">
        <w:t xml:space="preserve">) respectively.  </w:t>
      </w:r>
    </w:p>
    <w:p w14:paraId="7FD50170" w14:textId="1EA6A628" w:rsidR="00E50FCA" w:rsidRDefault="00750B10" w:rsidP="00EF2FE7">
      <w:pPr>
        <w:pStyle w:val="ParaLevel1"/>
      </w:pPr>
      <w:r>
        <w:t>The Claimants called Mr Stephen Skeels FCA (“</w:t>
      </w:r>
      <w:r w:rsidRPr="00750B10">
        <w:rPr>
          <w:b/>
          <w:bCs/>
        </w:rPr>
        <w:t>Mr Skeels</w:t>
      </w:r>
      <w:r>
        <w:t>”)</w:t>
      </w:r>
      <w:r w:rsidR="00B76954">
        <w:t xml:space="preserve"> as their expert</w:t>
      </w:r>
      <w:r>
        <w:t xml:space="preserve">.  </w:t>
      </w:r>
      <w:r w:rsidR="00C914AA">
        <w:t xml:space="preserve">Mr Skeels is </w:t>
      </w:r>
      <w:r w:rsidR="005C4CEB">
        <w:t>a partner at Mazars LLP, London, and the firm’s Global Head of Valuation</w:t>
      </w:r>
      <w:r w:rsidR="00E81DDC">
        <w:t xml:space="preserve">s.  </w:t>
      </w:r>
      <w:r w:rsidR="00B03E62">
        <w:t>Mr Skeels has considerable experience in providing expert opinions on valuation matters though he</w:t>
      </w:r>
      <w:r w:rsidR="00BF63B3">
        <w:t xml:space="preserve"> accepted he had previously only provided expert evidence in one High Court matter.</w:t>
      </w:r>
    </w:p>
    <w:p w14:paraId="0496F357" w14:textId="0411260F" w:rsidR="00C914AA" w:rsidRDefault="00C914AA" w:rsidP="00EF2FE7">
      <w:pPr>
        <w:pStyle w:val="ParaLevel1"/>
      </w:pPr>
      <w:r>
        <w:t xml:space="preserve">The Company called </w:t>
      </w:r>
      <w:r w:rsidR="00E81DDC">
        <w:t xml:space="preserve">Mr </w:t>
      </w:r>
      <w:r w:rsidR="00E40691">
        <w:t xml:space="preserve">Mark Taylor </w:t>
      </w:r>
      <w:r w:rsidR="009A6EB7">
        <w:t>F</w:t>
      </w:r>
      <w:r w:rsidR="000E60B7">
        <w:t>CA (“</w:t>
      </w:r>
      <w:r w:rsidR="000E60B7" w:rsidRPr="00453EE1">
        <w:rPr>
          <w:b/>
          <w:bCs/>
        </w:rPr>
        <w:t>Mr Taylor</w:t>
      </w:r>
      <w:r w:rsidR="000E60B7">
        <w:t xml:space="preserve">”) </w:t>
      </w:r>
      <w:r w:rsidR="00E40691">
        <w:t xml:space="preserve">as </w:t>
      </w:r>
      <w:r w:rsidR="00B76954">
        <w:t>its expert.</w:t>
      </w:r>
      <w:r w:rsidR="000E60B7">
        <w:t xml:space="preserve">  Mr Taylor is </w:t>
      </w:r>
      <w:r w:rsidR="00B91C95">
        <w:t xml:space="preserve">the Managing Director of </w:t>
      </w:r>
      <w:r w:rsidR="00BD79DA">
        <w:t>t</w:t>
      </w:r>
      <w:r w:rsidR="00984F18">
        <w:t xml:space="preserve">he London office of Secretariat International UK Ltd. </w:t>
      </w:r>
      <w:r w:rsidR="00453EE1">
        <w:t xml:space="preserve">He has worked in </w:t>
      </w:r>
      <w:r w:rsidR="00984F18">
        <w:t>forensic and investigative accounting since</w:t>
      </w:r>
      <w:r w:rsidR="00453EE1">
        <w:t xml:space="preserve"> </w:t>
      </w:r>
      <w:r w:rsidR="00984F18">
        <w:t>1991</w:t>
      </w:r>
      <w:r w:rsidR="00453EE1">
        <w:t xml:space="preserve"> and given expert evidence</w:t>
      </w:r>
      <w:r w:rsidR="00DA3A45">
        <w:t xml:space="preserve"> in civil litigation, arbitrations and criminal prosecutions</w:t>
      </w:r>
      <w:r w:rsidR="00453EE1">
        <w:t xml:space="preserve">.  </w:t>
      </w:r>
    </w:p>
    <w:p w14:paraId="7D3B1824" w14:textId="5066DAEC" w:rsidR="0005325D" w:rsidRDefault="00F7518C" w:rsidP="00EF2FE7">
      <w:pPr>
        <w:pStyle w:val="ParaLevel1"/>
      </w:pPr>
      <w:r>
        <w:t xml:space="preserve">The experts were asked to express their opinion upon the </w:t>
      </w:r>
      <w:r w:rsidR="00D53E05">
        <w:t xml:space="preserve">value of the Claimants’ shareholdings </w:t>
      </w:r>
      <w:r w:rsidR="00BD79DA">
        <w:t xml:space="preserve">as at the two </w:t>
      </w:r>
      <w:r w:rsidR="00D53E05">
        <w:t xml:space="preserve">dates.  </w:t>
      </w:r>
      <w:r w:rsidR="00C17963">
        <w:t xml:space="preserve">The </w:t>
      </w:r>
      <w:r w:rsidR="00C35F97">
        <w:t>First Valuation Date</w:t>
      </w:r>
      <w:r w:rsidR="001C2252">
        <w:t xml:space="preserve"> was </w:t>
      </w:r>
      <w:r w:rsidR="006C5A15">
        <w:t>date of the Transaction when</w:t>
      </w:r>
      <w:r w:rsidR="001C2252">
        <w:t xml:space="preserve"> the Claimants sold their combined </w:t>
      </w:r>
      <w:r w:rsidR="002B42CC">
        <w:t>8</w:t>
      </w:r>
      <w:r w:rsidR="00F54607">
        <w:t>5</w:t>
      </w:r>
      <w:r w:rsidR="002B42CC">
        <w:t>.</w:t>
      </w:r>
      <w:r w:rsidR="00F54607">
        <w:t>9</w:t>
      </w:r>
      <w:r w:rsidR="002B42CC">
        <w:t>% shareholding in IPS UK.</w:t>
      </w:r>
      <w:r w:rsidR="004436AD">
        <w:t xml:space="preserve">  </w:t>
      </w:r>
      <w:r w:rsidR="00C35F97">
        <w:t>The S</w:t>
      </w:r>
      <w:r w:rsidR="002B42CC">
        <w:t xml:space="preserve">econd </w:t>
      </w:r>
      <w:r w:rsidR="00C35F97">
        <w:t>V</w:t>
      </w:r>
      <w:r w:rsidR="002B42CC">
        <w:t xml:space="preserve">aluation </w:t>
      </w:r>
      <w:r w:rsidR="00C35F97">
        <w:t>D</w:t>
      </w:r>
      <w:r w:rsidR="002B42CC">
        <w:t xml:space="preserve">ate </w:t>
      </w:r>
      <w:r w:rsidR="00C35F97">
        <w:t>was</w:t>
      </w:r>
      <w:r w:rsidR="00853B0E">
        <w:t xml:space="preserve"> the date of </w:t>
      </w:r>
      <w:r w:rsidR="00E40691">
        <w:t>the Claimants’ dismissal from the Company.</w:t>
      </w:r>
      <w:r w:rsidR="0005325D">
        <w:t xml:space="preserve"> The subject matter of their valuation as at that date was the Claimant’s combined 60% shareholding in the Company, both </w:t>
      </w:r>
      <w:r w:rsidR="00FB4CA0">
        <w:t xml:space="preserve">on the basis that it was subject to the RPP and not </w:t>
      </w:r>
      <w:r w:rsidR="00A32D49">
        <w:t>subject to it.</w:t>
      </w:r>
    </w:p>
    <w:p w14:paraId="14E981C7" w14:textId="5E7F8C94" w:rsidR="00F359CF" w:rsidRDefault="00F359CF" w:rsidP="00EF2FE7">
      <w:pPr>
        <w:pStyle w:val="ParaLevel1"/>
      </w:pPr>
      <w:r>
        <w:t xml:space="preserve">The experts agreed that </w:t>
      </w:r>
      <w:r w:rsidR="00BF5188">
        <w:t xml:space="preserve">the </w:t>
      </w:r>
      <w:bookmarkStart w:id="2" w:name="_Hlk99183237"/>
      <w:r w:rsidR="00BF5188">
        <w:t>First Valuation Date</w:t>
      </w:r>
      <w:r w:rsidR="00DB48FC">
        <w:t>, in accordance with their respective instructions,</w:t>
      </w:r>
      <w:r w:rsidR="00BF5188">
        <w:t xml:space="preserve"> was to be treated as immediately before the </w:t>
      </w:r>
      <w:r w:rsidR="00221B2F">
        <w:t>Transaction took place</w:t>
      </w:r>
      <w:bookmarkEnd w:id="2"/>
      <w:r w:rsidR="00221B2F">
        <w:t>.</w:t>
      </w:r>
    </w:p>
    <w:p w14:paraId="35EE3EEC" w14:textId="4068DAFE" w:rsidR="003E092C" w:rsidRDefault="003E092C" w:rsidP="00EF2FE7">
      <w:pPr>
        <w:pStyle w:val="ParaLevel1"/>
      </w:pPr>
      <w:r w:rsidRPr="003E092C">
        <w:t xml:space="preserve">The experts </w:t>
      </w:r>
      <w:r w:rsidR="00F359CF">
        <w:t xml:space="preserve">also </w:t>
      </w:r>
      <w:r w:rsidRPr="003E092C">
        <w:t>agreed that “fair market value” was an appropriate standard of valuation and that fair market value can be defined as the price at which an asset would change hands between a hypothetical willing and able buyer and a hypothetical willing and able seller, acting at arm’s length in an open and unrestricted market, when neither is under compulsion to buy or sell and when both have reasonable knowledge of the relevant facts.</w:t>
      </w:r>
      <w:r w:rsidR="00DF3725">
        <w:t xml:space="preserve">  </w:t>
      </w:r>
    </w:p>
    <w:p w14:paraId="6C2CC438" w14:textId="598E2C1F" w:rsidR="00CC25A5" w:rsidRDefault="00B62BBD" w:rsidP="00EF2FE7">
      <w:pPr>
        <w:pStyle w:val="ParaLevel1"/>
      </w:pPr>
      <w:r w:rsidRPr="00B62BBD">
        <w:t>The</w:t>
      </w:r>
      <w:r>
        <w:t xml:space="preserve"> experts </w:t>
      </w:r>
      <w:r w:rsidR="0030170C">
        <w:t xml:space="preserve">also </w:t>
      </w:r>
      <w:r w:rsidRPr="00B62BBD">
        <w:t>agree</w:t>
      </w:r>
      <w:r>
        <w:t>d</w:t>
      </w:r>
      <w:r w:rsidRPr="00B62BBD">
        <w:t xml:space="preserve"> that</w:t>
      </w:r>
      <w:r w:rsidR="005A0B95">
        <w:t>,</w:t>
      </w:r>
      <w:r w:rsidRPr="00B62BBD">
        <w:t xml:space="preserve"> </w:t>
      </w:r>
      <w:r w:rsidR="00396D1F">
        <w:t xml:space="preserve">for </w:t>
      </w:r>
      <w:r w:rsidRPr="00B62BBD">
        <w:t>the enterprise value (“</w:t>
      </w:r>
      <w:r w:rsidRPr="00B62BBD">
        <w:rPr>
          <w:b/>
          <w:bCs/>
        </w:rPr>
        <w:t>EV</w:t>
      </w:r>
      <w:r w:rsidRPr="00B62BBD">
        <w:t>”)</w:t>
      </w:r>
      <w:r w:rsidR="005A0B95">
        <w:t xml:space="preserve">, </w:t>
      </w:r>
      <w:r w:rsidRPr="00B62BBD">
        <w:t>the Earnings Before Interest, Tax, Depreciation and Amortisation (“</w:t>
      </w:r>
      <w:r w:rsidRPr="00B62BBD">
        <w:rPr>
          <w:b/>
          <w:bCs/>
        </w:rPr>
        <w:t>EBITDA</w:t>
      </w:r>
      <w:r w:rsidRPr="00B62BBD">
        <w:t xml:space="preserve">”) multiples approach was the most appropriate methodology to assess the </w:t>
      </w:r>
      <w:r w:rsidR="00DE5223">
        <w:t>value</w:t>
      </w:r>
      <w:r w:rsidRPr="00B62BBD">
        <w:t xml:space="preserve"> of both IPS UK and the Company.  </w:t>
      </w:r>
    </w:p>
    <w:p w14:paraId="08C79942" w14:textId="7ED9BF7C" w:rsidR="00CC25A5" w:rsidRDefault="00CC25A5" w:rsidP="00EF2FE7">
      <w:pPr>
        <w:pStyle w:val="ParaLevel1"/>
      </w:pPr>
      <w:r>
        <w:t>As Mr Skeels explained, the EBITDA multiple is the best proxy for enterprise free cash flows because it incorporates both the revenue and operating costs of the business and excludes non-cash depreciation and amortisation items.  It is therefore commonly used where stable profits have been generated by a company and where market conditions do not affect the volatility of a company’s profitability, such that profit multiples are a good indicator of value</w:t>
      </w:r>
      <w:r w:rsidR="00AB1122">
        <w:t>.</w:t>
      </w:r>
    </w:p>
    <w:p w14:paraId="4B3A6ED9" w14:textId="58FB3527" w:rsidR="00B62BBD" w:rsidRDefault="00B62BBD" w:rsidP="00EF2FE7">
      <w:pPr>
        <w:pStyle w:val="ParaLevel1"/>
      </w:pPr>
      <w:r w:rsidRPr="00B62BBD">
        <w:t>The</w:t>
      </w:r>
      <w:r w:rsidR="00CC25A5">
        <w:t xml:space="preserve"> experts </w:t>
      </w:r>
      <w:r w:rsidRPr="00B62BBD">
        <w:t>assumed that the underlying business (and therefore the approach to the calculation of the EV) of IPS UK and the Company remained largely the same between the two valuation dates</w:t>
      </w:r>
      <w:r w:rsidR="00381532">
        <w:t>.</w:t>
      </w:r>
    </w:p>
    <w:p w14:paraId="09C64C97" w14:textId="7BFBF756" w:rsidR="00097869" w:rsidRPr="00097869" w:rsidRDefault="00ED73BC" w:rsidP="00EF2FE7">
      <w:pPr>
        <w:pStyle w:val="ParaLevel1"/>
      </w:pPr>
      <w:r>
        <w:t xml:space="preserve">Mr Skeels calculated the value of the Claimant’s Shareholdings </w:t>
      </w:r>
      <w:r w:rsidR="00936805">
        <w:t xml:space="preserve">in IPS UK </w:t>
      </w:r>
      <w:r w:rsidR="001479C3">
        <w:t xml:space="preserve">at the First Valuation Date to be £8m.  He </w:t>
      </w:r>
      <w:r w:rsidR="00BF7E4E">
        <w:t xml:space="preserve">based this on a pro rata </w:t>
      </w:r>
      <w:r w:rsidR="003B0777">
        <w:t xml:space="preserve">share </w:t>
      </w:r>
      <w:r w:rsidR="00F54607">
        <w:t xml:space="preserve">(85.9%) </w:t>
      </w:r>
      <w:r w:rsidR="003B0777">
        <w:t xml:space="preserve">of the equity value of the </w:t>
      </w:r>
      <w:r w:rsidR="00B80396">
        <w:t>business</w:t>
      </w:r>
      <w:r w:rsidR="003B0777">
        <w:t xml:space="preserve"> of IPS UK valued at £</w:t>
      </w:r>
      <w:r w:rsidR="00B80396">
        <w:t>9.4m.</w:t>
      </w:r>
      <w:r w:rsidR="00884A5F">
        <w:t xml:space="preserve">  </w:t>
      </w:r>
      <w:r w:rsidR="00097869" w:rsidRPr="00097869">
        <w:t>For the First Valuation Date, Mr Skeels adopted multiple of 8.2x EBITDA.  This is the midpoint of range of EBITDA multiples between 7.7x and 8.7x</w:t>
      </w:r>
      <w:r w:rsidR="00C819DD">
        <w:t xml:space="preserve"> and it was applied to maintainable EBITDA of £1.1m p</w:t>
      </w:r>
      <w:r w:rsidR="00C35F97">
        <w:t>er annum</w:t>
      </w:r>
      <w:r w:rsidR="00C819DD">
        <w:t>.</w:t>
      </w:r>
    </w:p>
    <w:p w14:paraId="1ECCB308" w14:textId="68D476F5" w:rsidR="00DC1FC9" w:rsidRPr="00DC1FC9" w:rsidRDefault="00884A5F" w:rsidP="00EF2FE7">
      <w:pPr>
        <w:pStyle w:val="ParaLevel1"/>
      </w:pPr>
      <w:r>
        <w:t xml:space="preserve">Mr Skeels </w:t>
      </w:r>
      <w:r w:rsidR="00936805">
        <w:t>valued their shareholdings in the Company at t</w:t>
      </w:r>
      <w:r w:rsidR="00ED4C40">
        <w:t>he Second Valuation Date a</w:t>
      </w:r>
      <w:r w:rsidR="00AE5E45">
        <w:t>t</w:t>
      </w:r>
      <w:r w:rsidR="00ED4C40">
        <w:t xml:space="preserve"> £3.5m</w:t>
      </w:r>
      <w:r w:rsidR="005004BC">
        <w:t xml:space="preserve"> (</w:t>
      </w:r>
      <w:r w:rsidR="0044170A">
        <w:t xml:space="preserve">his midpoint figure, </w:t>
      </w:r>
      <w:r w:rsidR="000B3824">
        <w:t xml:space="preserve">assuming </w:t>
      </w:r>
      <w:r w:rsidR="0044170A">
        <w:t xml:space="preserve">the </w:t>
      </w:r>
      <w:r w:rsidR="000B3824">
        <w:t>RPP</w:t>
      </w:r>
      <w:r w:rsidR="0044170A">
        <w:t xml:space="preserve"> had no impact on their value</w:t>
      </w:r>
      <w:r w:rsidR="000B3824">
        <w:t>)</w:t>
      </w:r>
      <w:r w:rsidR="00ED4C40">
        <w:t xml:space="preserve">.  </w:t>
      </w:r>
      <w:r w:rsidR="00FB5BA8">
        <w:t xml:space="preserve">This was based upon an equity value of the </w:t>
      </w:r>
      <w:r w:rsidR="005004BC">
        <w:t xml:space="preserve">Company of £6.3m of which </w:t>
      </w:r>
      <w:r w:rsidR="000B3824">
        <w:t xml:space="preserve">£5.5m </w:t>
      </w:r>
      <w:r w:rsidR="00925EE9">
        <w:t xml:space="preserve">was available for distribution after </w:t>
      </w:r>
      <w:r w:rsidR="00CC7752">
        <w:t xml:space="preserve">making </w:t>
      </w:r>
      <w:r>
        <w:t>deduct</w:t>
      </w:r>
      <w:r w:rsidR="00CC7752">
        <w:t>ions for the</w:t>
      </w:r>
      <w:r>
        <w:t xml:space="preserve"> priority distributions to the A and B shareholders </w:t>
      </w:r>
      <w:r w:rsidR="00DA79A2">
        <w:t xml:space="preserve">(604,000 representing the </w:t>
      </w:r>
      <w:r>
        <w:t xml:space="preserve">issue price of each class and the accrued interest on </w:t>
      </w:r>
      <w:r w:rsidR="00DA79A2">
        <w:t xml:space="preserve">the </w:t>
      </w:r>
      <w:r>
        <w:t>B shares</w:t>
      </w:r>
      <w:r w:rsidR="00DA79A2">
        <w:t xml:space="preserve">) and </w:t>
      </w:r>
      <w:r w:rsidR="005A7396">
        <w:t>for the issue price of the shares in Classes C and D (</w:t>
      </w:r>
      <w:r w:rsidR="00F0629A">
        <w:t>£195,000)</w:t>
      </w:r>
      <w:r w:rsidR="00AE5E45">
        <w:t>.</w:t>
      </w:r>
      <w:r w:rsidR="003F49CE">
        <w:t xml:space="preserve">  </w:t>
      </w:r>
      <w:r w:rsidR="00BE3D87">
        <w:t xml:space="preserve">Mr Skeels </w:t>
      </w:r>
      <w:r w:rsidR="00303EB8">
        <w:t>used an</w:t>
      </w:r>
      <w:r w:rsidR="00BE3D87">
        <w:t xml:space="preserve"> EBITDA multiple</w:t>
      </w:r>
      <w:r w:rsidR="00303EB8">
        <w:t xml:space="preserve"> of </w:t>
      </w:r>
      <w:r w:rsidR="00280A4A">
        <w:t xml:space="preserve">8.3 to reach </w:t>
      </w:r>
      <w:r w:rsidR="004D291B">
        <w:t>his valuation</w:t>
      </w:r>
      <w:r w:rsidR="001144E4">
        <w:t xml:space="preserve">, this </w:t>
      </w:r>
      <w:r w:rsidR="00303EB8">
        <w:t xml:space="preserve">being </w:t>
      </w:r>
      <w:r w:rsidR="008D133F">
        <w:t xml:space="preserve">the midpoint of a range of multiples of </w:t>
      </w:r>
      <w:r w:rsidR="00BE3D87">
        <w:t>8.1x and 8.4x</w:t>
      </w:r>
      <w:r w:rsidR="008D133F">
        <w:t xml:space="preserve">. </w:t>
      </w:r>
      <w:r w:rsidR="00DC1FC9" w:rsidRPr="00DC1FC9">
        <w:t xml:space="preserve">  </w:t>
      </w:r>
      <w:r w:rsidR="00065848">
        <w:t>He adopted an EBITDA of £1.3m p</w:t>
      </w:r>
      <w:r w:rsidR="00C35F97">
        <w:t>er annum</w:t>
      </w:r>
      <w:r w:rsidR="00065848">
        <w:t>.</w:t>
      </w:r>
    </w:p>
    <w:p w14:paraId="35EC5453" w14:textId="2C85E9E6" w:rsidR="00742348" w:rsidRDefault="00C25C59" w:rsidP="00EF2FE7">
      <w:pPr>
        <w:pStyle w:val="ParaLevel1"/>
      </w:pPr>
      <w:r>
        <w:t xml:space="preserve">Mr Taylor valued the Claimants’ shareholding in </w:t>
      </w:r>
      <w:r w:rsidR="00DF1BE1">
        <w:t>IPS UK</w:t>
      </w:r>
      <w:r w:rsidR="001E7676">
        <w:t xml:space="preserve"> at the First Valuation Date </w:t>
      </w:r>
      <w:r w:rsidR="00920907">
        <w:t>at</w:t>
      </w:r>
      <w:r w:rsidR="001E7676">
        <w:t xml:space="preserve"> </w:t>
      </w:r>
      <w:r w:rsidR="007303E6">
        <w:t>£4.6 million</w:t>
      </w:r>
      <w:r w:rsidR="007D4865">
        <w:t xml:space="preserve">.  This was based upon him taking 85.9% of the </w:t>
      </w:r>
      <w:r w:rsidR="007303E6">
        <w:t xml:space="preserve">midpoint of </w:t>
      </w:r>
      <w:r w:rsidR="00266DFB">
        <w:t xml:space="preserve">his range of valuations of the equity of IPS UK </w:t>
      </w:r>
      <w:r w:rsidR="00893F4C">
        <w:t>of</w:t>
      </w:r>
      <w:r w:rsidR="00DF1BE1">
        <w:t xml:space="preserve"> £4.1m and</w:t>
      </w:r>
      <w:r w:rsidR="001E7676">
        <w:t xml:space="preserve"> </w:t>
      </w:r>
      <w:r w:rsidR="00DF1BE1">
        <w:t>£6.5</w:t>
      </w:r>
      <w:r w:rsidR="00893F4C">
        <w:t>m.</w:t>
      </w:r>
      <w:r w:rsidR="00485CF0">
        <w:t xml:space="preserve">  </w:t>
      </w:r>
      <w:r w:rsidR="00367A21">
        <w:t>He</w:t>
      </w:r>
      <w:r w:rsidR="004A266A">
        <w:t xml:space="preserve"> consider</w:t>
      </w:r>
      <w:r w:rsidR="00367A21">
        <w:t>ed</w:t>
      </w:r>
      <w:r w:rsidR="004A266A">
        <w:t xml:space="preserve"> that a range of multiples between 4.2x</w:t>
      </w:r>
      <w:r w:rsidR="00367A21">
        <w:t xml:space="preserve"> </w:t>
      </w:r>
      <w:r w:rsidR="004A266A">
        <w:t xml:space="preserve">and 6.0x </w:t>
      </w:r>
      <w:r w:rsidR="00367A21">
        <w:t>EBITDA wa</w:t>
      </w:r>
      <w:r w:rsidR="004A266A">
        <w:t>s appropriate to value IPS UK as at 3 December 2014</w:t>
      </w:r>
      <w:r w:rsidR="00171E63">
        <w:t xml:space="preserve"> based on the offers received for IPS UK in 2014.  </w:t>
      </w:r>
      <w:r w:rsidR="00E41EC4">
        <w:t xml:space="preserve">Like </w:t>
      </w:r>
      <w:r w:rsidR="00B577F5">
        <w:t xml:space="preserve">Mr Skeels, he used a maintainable EBITDA figure </w:t>
      </w:r>
      <w:r w:rsidR="00BF3094">
        <w:t xml:space="preserve">of £1.1m p.a. </w:t>
      </w:r>
      <w:r w:rsidR="00B577F5">
        <w:t>for his high and midpoint valuations (but one of £1</w:t>
      </w:r>
      <w:r w:rsidR="00BF3094">
        <w:t xml:space="preserve">m for his low valuation).  </w:t>
      </w:r>
      <w:r w:rsidR="001E144B">
        <w:t xml:space="preserve">He noted that his valuation was materially similar to the </w:t>
      </w:r>
      <w:r w:rsidR="002354B7">
        <w:t xml:space="preserve">sum of </w:t>
      </w:r>
      <w:r w:rsidR="00102094">
        <w:t xml:space="preserve">just short of the </w:t>
      </w:r>
      <w:r w:rsidR="001E144B">
        <w:t xml:space="preserve">£4.6 million </w:t>
      </w:r>
      <w:r w:rsidR="00102094">
        <w:t xml:space="preserve">cash which </w:t>
      </w:r>
      <w:r w:rsidR="001E144B">
        <w:t xml:space="preserve">the Claimants received on 3 December 2014 pursuant to the Transaction, which </w:t>
      </w:r>
      <w:r w:rsidR="0025104B">
        <w:t xml:space="preserve">he said </w:t>
      </w:r>
      <w:r w:rsidR="001E144B">
        <w:t>indicate</w:t>
      </w:r>
      <w:r w:rsidR="0025104B">
        <w:t>d</w:t>
      </w:r>
      <w:r w:rsidR="001E144B">
        <w:t xml:space="preserve"> that the Claimants received fair market</w:t>
      </w:r>
      <w:r w:rsidR="0025104B">
        <w:t xml:space="preserve"> </w:t>
      </w:r>
      <w:r w:rsidR="001E144B">
        <w:t>value for their interest in IPS UK at the time of the Transaction</w:t>
      </w:r>
      <w:r w:rsidR="00D7365F">
        <w:t xml:space="preserve">.  </w:t>
      </w:r>
    </w:p>
    <w:p w14:paraId="42E96EBC" w14:textId="7F3D7EA3" w:rsidR="005E69EF" w:rsidRDefault="00485CF0" w:rsidP="00EF2FE7">
      <w:pPr>
        <w:pStyle w:val="ParaLevel1"/>
      </w:pPr>
      <w:r>
        <w:t xml:space="preserve">Mr Taylor </w:t>
      </w:r>
      <w:r w:rsidR="005E69EF">
        <w:t xml:space="preserve">valued the Claimants’ shareholding in the Company at the Second Valuation Date at </w:t>
      </w:r>
      <w:r w:rsidR="00972C25">
        <w:t xml:space="preserve">nil, even before </w:t>
      </w:r>
      <w:r w:rsidR="001A674C">
        <w:t xml:space="preserve">any deduction for the RPP.  </w:t>
      </w:r>
      <w:r w:rsidR="00867323">
        <w:t xml:space="preserve">This was based upon </w:t>
      </w:r>
      <w:r w:rsidR="00A66460">
        <w:t xml:space="preserve">his assessment that, as that date, the Company had a negative equity value of </w:t>
      </w:r>
      <w:r w:rsidR="007304C6">
        <w:t xml:space="preserve">between </w:t>
      </w:r>
      <w:r w:rsidR="003F640F">
        <w:t xml:space="preserve">(negative) </w:t>
      </w:r>
      <w:r w:rsidR="007304C6">
        <w:t>£2.6m</w:t>
      </w:r>
      <w:r w:rsidR="003F640F">
        <w:t xml:space="preserve"> </w:t>
      </w:r>
      <w:r w:rsidR="007304C6">
        <w:t>and £0.9m</w:t>
      </w:r>
      <w:r w:rsidR="00834F85">
        <w:t xml:space="preserve"> and </w:t>
      </w:r>
      <w:r w:rsidR="008F4C9B">
        <w:t>his use of an EBITDA multiple in the</w:t>
      </w:r>
      <w:r w:rsidR="00834F85" w:rsidRPr="00834F85">
        <w:t xml:space="preserve"> range of 4.0x to 6.6x </w:t>
      </w:r>
      <w:r w:rsidR="00723D87">
        <w:t xml:space="preserve">(the midpoint being </w:t>
      </w:r>
      <w:r w:rsidR="00824A5B">
        <w:t xml:space="preserve">5.3x) </w:t>
      </w:r>
      <w:r w:rsidR="00834F85" w:rsidRPr="00834F85">
        <w:t xml:space="preserve">as at </w:t>
      </w:r>
      <w:r w:rsidR="008F4C9B">
        <w:t>that date</w:t>
      </w:r>
      <w:r w:rsidR="00834F85" w:rsidRPr="00834F85">
        <w:t>.</w:t>
      </w:r>
      <w:r w:rsidR="00C32C87">
        <w:t xml:space="preserve">  This was applied to </w:t>
      </w:r>
      <w:r w:rsidR="00D2629A">
        <w:t>a</w:t>
      </w:r>
      <w:r w:rsidR="004C6156">
        <w:t xml:space="preserve"> range of EBITDA between £0.6m and £0.9m</w:t>
      </w:r>
      <w:r w:rsidR="0049132B">
        <w:t xml:space="preserve"> p.a.</w:t>
      </w:r>
      <w:r w:rsidR="00FE1416">
        <w:t xml:space="preserve"> </w:t>
      </w:r>
      <w:r w:rsidR="00723D87">
        <w:t>(the midpoint being £0.7m)</w:t>
      </w:r>
      <w:r w:rsidR="0049132B">
        <w:t>.</w:t>
      </w:r>
      <w:r w:rsidR="00834F85">
        <w:t xml:space="preserve"> </w:t>
      </w:r>
    </w:p>
    <w:p w14:paraId="5F9A7993" w14:textId="08AE6EFC" w:rsidR="0055300A" w:rsidRDefault="0055300A" w:rsidP="00EF2FE7">
      <w:pPr>
        <w:pStyle w:val="ParaLevel1"/>
      </w:pPr>
      <w:r>
        <w:t xml:space="preserve">The </w:t>
      </w:r>
      <w:r w:rsidR="000C2C23">
        <w:t xml:space="preserve">principal </w:t>
      </w:r>
      <w:r>
        <w:t xml:space="preserve">areas of agreement and disagreement between the expert were set out in their Joint Statement dated </w:t>
      </w:r>
      <w:r w:rsidR="00E31553">
        <w:t>25 November 2021.</w:t>
      </w:r>
    </w:p>
    <w:p w14:paraId="5BEEF839" w14:textId="7C784E46" w:rsidR="009B4EA0" w:rsidRDefault="00A54A17" w:rsidP="00EF2FE7">
      <w:pPr>
        <w:pStyle w:val="ParaLevel1"/>
      </w:pPr>
      <w:r>
        <w:t>As I have noted, f</w:t>
      </w:r>
      <w:r w:rsidR="00D81C92">
        <w:t xml:space="preserve">or the purposes of valuing the shareholding in IPS UK </w:t>
      </w:r>
      <w:r w:rsidR="001A00CF">
        <w:t xml:space="preserve">on the </w:t>
      </w:r>
      <w:r w:rsidR="001C2050">
        <w:t>F</w:t>
      </w:r>
      <w:r w:rsidR="001A00CF">
        <w:t xml:space="preserve">irst </w:t>
      </w:r>
      <w:r w:rsidR="001C2050">
        <w:t>V</w:t>
      </w:r>
      <w:r w:rsidR="001A00CF">
        <w:t xml:space="preserve">aluation </w:t>
      </w:r>
      <w:r w:rsidR="001C2050">
        <w:t>D</w:t>
      </w:r>
      <w:r w:rsidR="001A00CF">
        <w:t xml:space="preserve">ate they agreed </w:t>
      </w:r>
      <w:r w:rsidR="00D81C92">
        <w:t xml:space="preserve">that </w:t>
      </w:r>
      <w:r w:rsidR="008130F6">
        <w:t xml:space="preserve">the figure of £1.1m was an appropriate estimate of EBITDA </w:t>
      </w:r>
      <w:r w:rsidR="000907DA">
        <w:t xml:space="preserve">(that figure had been </w:t>
      </w:r>
      <w:r w:rsidR="00D81C92">
        <w:t>recorded by Livingbridge’s financial advisors, Baker Tilly, in the</w:t>
      </w:r>
      <w:r w:rsidR="00C35F97">
        <w:t>ir</w:t>
      </w:r>
      <w:r w:rsidR="00D81C92">
        <w:t xml:space="preserve"> </w:t>
      </w:r>
      <w:r w:rsidR="00C35F97">
        <w:t>F</w:t>
      </w:r>
      <w:r w:rsidR="00D81C92">
        <w:t xml:space="preserve">inancial </w:t>
      </w:r>
      <w:r w:rsidR="00C35F97">
        <w:t>D</w:t>
      </w:r>
      <w:r w:rsidR="00D81C92">
        <w:t>ue</w:t>
      </w:r>
      <w:r w:rsidR="000907DA">
        <w:t xml:space="preserve"> </w:t>
      </w:r>
      <w:r w:rsidR="00C35F97">
        <w:t>D</w:t>
      </w:r>
      <w:r w:rsidR="00D81C92">
        <w:t xml:space="preserve">iligence </w:t>
      </w:r>
      <w:r w:rsidR="00C35F97">
        <w:t>R</w:t>
      </w:r>
      <w:r w:rsidR="00D81C92">
        <w:t xml:space="preserve">eport </w:t>
      </w:r>
      <w:r w:rsidR="00C35F97">
        <w:t xml:space="preserve">dated 20 November 2014 in relation to </w:t>
      </w:r>
      <w:r w:rsidR="003A3DDD">
        <w:t xml:space="preserve">the </w:t>
      </w:r>
      <w:r w:rsidR="00993DD9">
        <w:t>T</w:t>
      </w:r>
      <w:r w:rsidR="003A3DDD">
        <w:t xml:space="preserve">ransaction).  </w:t>
      </w:r>
      <w:r w:rsidR="00011ECA">
        <w:t>That said, M</w:t>
      </w:r>
      <w:r w:rsidR="00011ECA" w:rsidRPr="00011ECA">
        <w:t>r Taylor ha</w:t>
      </w:r>
      <w:r w:rsidR="00C35F97">
        <w:t>d</w:t>
      </w:r>
      <w:r w:rsidR="00011ECA" w:rsidRPr="00011ECA">
        <w:t xml:space="preserve"> also </w:t>
      </w:r>
      <w:r w:rsidR="00011ECA">
        <w:t>used a figure of</w:t>
      </w:r>
      <w:r w:rsidR="00011ECA" w:rsidRPr="00011ECA">
        <w:t xml:space="preserve"> £1.0m </w:t>
      </w:r>
      <w:r w:rsidR="00161EA4">
        <w:t>for the</w:t>
      </w:r>
      <w:r w:rsidR="00011ECA" w:rsidRPr="00011ECA">
        <w:t xml:space="preserve"> low end of his maintainable earnings range</w:t>
      </w:r>
      <w:r w:rsidR="00246741">
        <w:t>.</w:t>
      </w:r>
      <w:r w:rsidR="003C359A">
        <w:t xml:space="preserve">  This was </w:t>
      </w:r>
      <w:r w:rsidR="00875A41">
        <w:t>derived from a Due Diligence Report prepared by Livingbridge’s advisers</w:t>
      </w:r>
      <w:r w:rsidR="00C35F97">
        <w:t>,</w:t>
      </w:r>
      <w:r w:rsidR="00875A41">
        <w:t xml:space="preserve"> CIL</w:t>
      </w:r>
      <w:r w:rsidR="00E63C66">
        <w:t xml:space="preserve"> Management Consultants </w:t>
      </w:r>
      <w:r w:rsidR="00C07297">
        <w:t>(“</w:t>
      </w:r>
      <w:r w:rsidR="00C07297" w:rsidRPr="00C07297">
        <w:rPr>
          <w:b/>
          <w:bCs/>
        </w:rPr>
        <w:t>CIL</w:t>
      </w:r>
      <w:r w:rsidR="00C07297">
        <w:t>”)</w:t>
      </w:r>
      <w:r w:rsidR="00325671">
        <w:t xml:space="preserve"> on </w:t>
      </w:r>
      <w:r w:rsidR="00706D69">
        <w:t>14 November 2014</w:t>
      </w:r>
      <w:r w:rsidR="00C35F97">
        <w:t xml:space="preserve">, </w:t>
      </w:r>
      <w:r w:rsidR="00706D69">
        <w:t xml:space="preserve">just </w:t>
      </w:r>
      <w:r w:rsidR="00C35F97">
        <w:t>6 days earlier</w:t>
      </w:r>
      <w:r w:rsidR="00875A41">
        <w:t>.</w:t>
      </w:r>
    </w:p>
    <w:p w14:paraId="201B6A32" w14:textId="5627D92C" w:rsidR="004B2859" w:rsidRDefault="005F6E6B" w:rsidP="00EF2FE7">
      <w:pPr>
        <w:pStyle w:val="ParaLevel1"/>
      </w:pPr>
      <w:r>
        <w:t xml:space="preserve">For the purposes of the valuation </w:t>
      </w:r>
      <w:r w:rsidR="007C2430">
        <w:t xml:space="preserve">on the </w:t>
      </w:r>
      <w:r w:rsidR="00C35F97">
        <w:t>S</w:t>
      </w:r>
      <w:r w:rsidR="00E450FA">
        <w:t xml:space="preserve">econd </w:t>
      </w:r>
      <w:r w:rsidR="00C35F97">
        <w:t>V</w:t>
      </w:r>
      <w:r w:rsidR="00E450FA">
        <w:t xml:space="preserve">aluation </w:t>
      </w:r>
      <w:r w:rsidR="00C35F97">
        <w:t>D</w:t>
      </w:r>
      <w:r w:rsidR="00E450FA">
        <w:t>ate t</w:t>
      </w:r>
      <w:r w:rsidR="00246741">
        <w:t xml:space="preserve">he </w:t>
      </w:r>
      <w:r w:rsidR="00E450FA">
        <w:t>e</w:t>
      </w:r>
      <w:r w:rsidR="00246741">
        <w:t>xperts agree</w:t>
      </w:r>
      <w:r w:rsidR="00E450FA">
        <w:t>d that the Company’</w:t>
      </w:r>
      <w:r w:rsidR="00246741">
        <w:t>s total debt at th</w:t>
      </w:r>
      <w:r w:rsidR="00E450FA">
        <w:t>at date</w:t>
      </w:r>
      <w:r w:rsidR="00246741">
        <w:t xml:space="preserve"> was £5.4 million and that surplus cash should be deducted from the</w:t>
      </w:r>
      <w:r w:rsidR="00E450FA">
        <w:t xml:space="preserve"> </w:t>
      </w:r>
      <w:r w:rsidR="00246741">
        <w:t xml:space="preserve">total debt to calculate net debt. </w:t>
      </w:r>
      <w:r w:rsidR="00C51390">
        <w:t xml:space="preserve">They disagreed about the </w:t>
      </w:r>
      <w:r w:rsidR="00D948D8">
        <w:t xml:space="preserve">amount of surplus cash but were agreed that the amount of net debt was immaterial to the valuation. </w:t>
      </w:r>
      <w:r w:rsidR="00246741">
        <w:t>The</w:t>
      </w:r>
      <w:r w:rsidR="00D25587">
        <w:t xml:space="preserve">y were agreed the </w:t>
      </w:r>
      <w:r w:rsidR="00246741">
        <w:t>Claimants’ shareholding</w:t>
      </w:r>
      <w:r w:rsidR="00D25587">
        <w:t>s</w:t>
      </w:r>
      <w:r w:rsidR="00246741">
        <w:t xml:space="preserve"> </w:t>
      </w:r>
      <w:r w:rsidR="00EE618E">
        <w:t xml:space="preserve">at that date had no </w:t>
      </w:r>
      <w:r w:rsidR="00246741">
        <w:t xml:space="preserve">value if it </w:t>
      </w:r>
      <w:r w:rsidR="00EE618E">
        <w:t xml:space="preserve">was </w:t>
      </w:r>
      <w:r w:rsidR="00246741">
        <w:t>appropriate to apply the R</w:t>
      </w:r>
      <w:r w:rsidR="00EE618E">
        <w:t>PP.</w:t>
      </w:r>
      <w:r w:rsidR="00B06C21">
        <w:t xml:space="preserve">  However, t</w:t>
      </w:r>
      <w:r w:rsidR="00AB0DAE">
        <w:t xml:space="preserve">here was a significant difference between the experts so far as the </w:t>
      </w:r>
      <w:r w:rsidR="00E44047">
        <w:t>EBITDA</w:t>
      </w:r>
      <w:r w:rsidR="00AB0DAE">
        <w:t xml:space="preserve"> and </w:t>
      </w:r>
      <w:r w:rsidR="00C133D4">
        <w:t>the EBITDA multiple were concerned.</w:t>
      </w:r>
      <w:r w:rsidR="00FD5799">
        <w:t xml:space="preserve">  </w:t>
      </w:r>
    </w:p>
    <w:p w14:paraId="0A7039D7" w14:textId="436C9F04" w:rsidR="0097782D" w:rsidRPr="006909AE" w:rsidRDefault="006909AE" w:rsidP="00EF2FE7">
      <w:pPr>
        <w:pStyle w:val="ParaLevel1"/>
        <w:numPr>
          <w:ilvl w:val="0"/>
          <w:numId w:val="0"/>
        </w:numPr>
        <w:ind w:left="720"/>
        <w:rPr>
          <w:b/>
          <w:bCs/>
          <w:u w:val="single"/>
        </w:rPr>
      </w:pPr>
      <w:r>
        <w:rPr>
          <w:b/>
          <w:bCs/>
          <w:u w:val="single"/>
        </w:rPr>
        <w:t>A Summary of the Expert</w:t>
      </w:r>
      <w:r w:rsidR="001D35F1">
        <w:rPr>
          <w:b/>
          <w:bCs/>
          <w:u w:val="single"/>
        </w:rPr>
        <w:t>s’</w:t>
      </w:r>
      <w:r>
        <w:rPr>
          <w:b/>
          <w:bCs/>
          <w:u w:val="single"/>
        </w:rPr>
        <w:t xml:space="preserve"> Disagreement</w:t>
      </w:r>
    </w:p>
    <w:p w14:paraId="688FC52D" w14:textId="6803358C" w:rsidR="0044170A" w:rsidRDefault="00E31553" w:rsidP="00EF2FE7">
      <w:pPr>
        <w:pStyle w:val="ParaLevel1"/>
      </w:pPr>
      <w:r>
        <w:t xml:space="preserve">Section 4 of the </w:t>
      </w:r>
      <w:r w:rsidR="00974483">
        <w:t xml:space="preserve">Experts’ </w:t>
      </w:r>
      <w:r>
        <w:t xml:space="preserve">Joint Statement </w:t>
      </w:r>
      <w:r w:rsidR="00F12968">
        <w:t xml:space="preserve">summarised the areas of disagreement between them. </w:t>
      </w:r>
      <w:r w:rsidR="003E1CEA">
        <w:t>This was helpfully s</w:t>
      </w:r>
      <w:r w:rsidR="006766E4">
        <w:t>hown</w:t>
      </w:r>
      <w:r w:rsidR="003E1CEA">
        <w:t xml:space="preserve"> in the following table</w:t>
      </w:r>
      <w:r w:rsidR="0044170A">
        <w:t>s</w:t>
      </w:r>
    </w:p>
    <w:p w14:paraId="280E72D5" w14:textId="77777777" w:rsidR="00DE5223" w:rsidRDefault="00DE5223" w:rsidP="00EF2FE7">
      <w:pPr>
        <w:pStyle w:val="ParaLevel1"/>
        <w:numPr>
          <w:ilvl w:val="0"/>
          <w:numId w:val="0"/>
        </w:numPr>
        <w:ind w:left="720"/>
        <w:rPr>
          <w:b/>
          <w:bCs/>
        </w:rPr>
      </w:pPr>
    </w:p>
    <w:p w14:paraId="149BAB04" w14:textId="3E3F939B" w:rsidR="0044170A" w:rsidRPr="0044170A" w:rsidRDefault="0044170A" w:rsidP="00EF2FE7">
      <w:pPr>
        <w:pStyle w:val="ParaLevel1"/>
        <w:numPr>
          <w:ilvl w:val="0"/>
          <w:numId w:val="0"/>
        </w:numPr>
        <w:ind w:left="720"/>
        <w:rPr>
          <w:b/>
          <w:bCs/>
        </w:rPr>
      </w:pPr>
      <w:r w:rsidRPr="0044170A">
        <w:rPr>
          <w:b/>
          <w:bCs/>
        </w:rPr>
        <w:t>The First Valuation Date</w:t>
      </w:r>
    </w:p>
    <w:p w14:paraId="666CFA8B" w14:textId="77777777" w:rsidR="0044170A" w:rsidRPr="0044170A" w:rsidRDefault="0044170A" w:rsidP="00EF2FE7">
      <w:pPr>
        <w:widowControl w:val="0"/>
        <w:jc w:val="both"/>
        <w:rPr>
          <w:rFonts w:ascii="Garamond" w:hAnsi="Garamond"/>
          <w:kern w:val="1"/>
          <w:lang w:eastAsia="en-GB"/>
        </w:rPr>
      </w:pPr>
    </w:p>
    <w:tbl>
      <w:tblPr>
        <w:tblStyle w:val="TableGrid"/>
        <w:tblW w:w="9326" w:type="dxa"/>
        <w:tblInd w:w="567" w:type="dxa"/>
        <w:tblLook w:val="04A0" w:firstRow="1" w:lastRow="0" w:firstColumn="1" w:lastColumn="0" w:noHBand="0" w:noVBand="1"/>
      </w:tblPr>
      <w:tblGrid>
        <w:gridCol w:w="3341"/>
        <w:gridCol w:w="1019"/>
        <w:gridCol w:w="994"/>
        <w:gridCol w:w="983"/>
        <w:gridCol w:w="11"/>
        <w:gridCol w:w="1293"/>
        <w:gridCol w:w="825"/>
        <w:gridCol w:w="860"/>
      </w:tblGrid>
      <w:tr w:rsidR="0044170A" w:rsidRPr="0044170A" w14:paraId="59B11802" w14:textId="77777777" w:rsidTr="0044170A">
        <w:trPr>
          <w:trHeight w:val="283"/>
        </w:trPr>
        <w:tc>
          <w:tcPr>
            <w:tcW w:w="3341" w:type="dxa"/>
            <w:tcBorders>
              <w:top w:val="nil"/>
              <w:left w:val="nil"/>
              <w:bottom w:val="nil"/>
              <w:right w:val="single" w:sz="12" w:space="0" w:color="auto"/>
            </w:tcBorders>
          </w:tcPr>
          <w:p w14:paraId="7DD49037" w14:textId="77777777" w:rsidR="0044170A" w:rsidRPr="0044170A" w:rsidRDefault="0044170A" w:rsidP="00EF2FE7">
            <w:pPr>
              <w:rPr>
                <w:rFonts w:ascii="Garamond" w:hAnsi="Garamond" w:cs="Calibri"/>
                <w:kern w:val="1"/>
                <w:sz w:val="20"/>
                <w:szCs w:val="20"/>
                <w:lang w:eastAsia="en-GB"/>
              </w:rPr>
            </w:pPr>
          </w:p>
        </w:tc>
        <w:tc>
          <w:tcPr>
            <w:tcW w:w="2996" w:type="dxa"/>
            <w:gridSpan w:val="3"/>
            <w:tcBorders>
              <w:top w:val="single" w:sz="12" w:space="0" w:color="auto"/>
              <w:left w:val="single" w:sz="12" w:space="0" w:color="auto"/>
              <w:bottom w:val="single" w:sz="4" w:space="0" w:color="auto"/>
              <w:right w:val="single" w:sz="12" w:space="0" w:color="auto"/>
            </w:tcBorders>
            <w:shd w:val="clear" w:color="auto" w:fill="BFBFBF"/>
          </w:tcPr>
          <w:p w14:paraId="5EAD997F"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Skeels 1</w:t>
            </w:r>
          </w:p>
        </w:tc>
        <w:tc>
          <w:tcPr>
            <w:tcW w:w="2989" w:type="dxa"/>
            <w:gridSpan w:val="4"/>
            <w:tcBorders>
              <w:top w:val="single" w:sz="12" w:space="0" w:color="auto"/>
              <w:left w:val="single" w:sz="12" w:space="0" w:color="auto"/>
              <w:bottom w:val="single" w:sz="4" w:space="0" w:color="auto"/>
              <w:right w:val="single" w:sz="12" w:space="0" w:color="auto"/>
            </w:tcBorders>
            <w:shd w:val="clear" w:color="auto" w:fill="BFBFBF"/>
          </w:tcPr>
          <w:p w14:paraId="44E67F5E"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Taylor 1</w:t>
            </w:r>
          </w:p>
        </w:tc>
      </w:tr>
      <w:tr w:rsidR="0044170A" w:rsidRPr="0044170A" w14:paraId="6253295C" w14:textId="77777777" w:rsidTr="00210B0F">
        <w:trPr>
          <w:trHeight w:val="283"/>
        </w:trPr>
        <w:tc>
          <w:tcPr>
            <w:tcW w:w="3341" w:type="dxa"/>
            <w:tcBorders>
              <w:top w:val="nil"/>
              <w:left w:val="nil"/>
              <w:bottom w:val="single" w:sz="12" w:space="0" w:color="auto"/>
              <w:right w:val="single" w:sz="12" w:space="0" w:color="auto"/>
            </w:tcBorders>
          </w:tcPr>
          <w:p w14:paraId="79F2DCEA" w14:textId="77777777" w:rsidR="0044170A" w:rsidRPr="0044170A" w:rsidRDefault="0044170A" w:rsidP="00EF2FE7">
            <w:pPr>
              <w:rPr>
                <w:rFonts w:ascii="Garamond" w:hAnsi="Garamond" w:cs="Calibri"/>
                <w:b/>
                <w:kern w:val="1"/>
                <w:sz w:val="20"/>
                <w:szCs w:val="20"/>
                <w:lang w:eastAsia="en-GB"/>
              </w:rPr>
            </w:pPr>
            <w:r w:rsidRPr="0044170A">
              <w:rPr>
                <w:rFonts w:ascii="Garamond" w:hAnsi="Garamond" w:cs="Calibri"/>
                <w:b/>
                <w:bCs/>
                <w:kern w:val="1"/>
                <w:sz w:val="20"/>
                <w:szCs w:val="20"/>
                <w:lang w:eastAsia="en-GB"/>
              </w:rPr>
              <w:t>£ million</w:t>
            </w:r>
          </w:p>
        </w:tc>
        <w:tc>
          <w:tcPr>
            <w:tcW w:w="1019" w:type="dxa"/>
            <w:tcBorders>
              <w:left w:val="single" w:sz="12" w:space="0" w:color="auto"/>
              <w:bottom w:val="single" w:sz="12" w:space="0" w:color="auto"/>
              <w:right w:val="single" w:sz="4" w:space="0" w:color="auto"/>
            </w:tcBorders>
          </w:tcPr>
          <w:p w14:paraId="7511F531"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Midpoint</w:t>
            </w:r>
          </w:p>
        </w:tc>
        <w:tc>
          <w:tcPr>
            <w:tcW w:w="994" w:type="dxa"/>
            <w:tcBorders>
              <w:left w:val="single" w:sz="4" w:space="0" w:color="auto"/>
              <w:bottom w:val="single" w:sz="12" w:space="0" w:color="auto"/>
              <w:right w:val="single" w:sz="4" w:space="0" w:color="auto"/>
            </w:tcBorders>
          </w:tcPr>
          <w:p w14:paraId="4CF84020"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Low</w:t>
            </w:r>
          </w:p>
        </w:tc>
        <w:tc>
          <w:tcPr>
            <w:tcW w:w="994" w:type="dxa"/>
            <w:gridSpan w:val="2"/>
            <w:tcBorders>
              <w:left w:val="single" w:sz="4" w:space="0" w:color="auto"/>
              <w:bottom w:val="single" w:sz="12" w:space="0" w:color="auto"/>
              <w:right w:val="single" w:sz="12" w:space="0" w:color="auto"/>
            </w:tcBorders>
          </w:tcPr>
          <w:p w14:paraId="6AC0F80B"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High</w:t>
            </w:r>
          </w:p>
        </w:tc>
        <w:tc>
          <w:tcPr>
            <w:tcW w:w="1293" w:type="dxa"/>
            <w:tcBorders>
              <w:left w:val="single" w:sz="12" w:space="0" w:color="auto"/>
              <w:bottom w:val="single" w:sz="12" w:space="0" w:color="auto"/>
              <w:right w:val="single" w:sz="4" w:space="0" w:color="auto"/>
            </w:tcBorders>
          </w:tcPr>
          <w:p w14:paraId="07F8B7D5"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Midpoint</w:t>
            </w:r>
          </w:p>
        </w:tc>
        <w:tc>
          <w:tcPr>
            <w:tcW w:w="825" w:type="dxa"/>
            <w:tcBorders>
              <w:left w:val="single" w:sz="4" w:space="0" w:color="auto"/>
              <w:bottom w:val="single" w:sz="12" w:space="0" w:color="auto"/>
            </w:tcBorders>
          </w:tcPr>
          <w:p w14:paraId="6BB12731"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Low</w:t>
            </w:r>
          </w:p>
        </w:tc>
        <w:tc>
          <w:tcPr>
            <w:tcW w:w="860" w:type="dxa"/>
            <w:tcBorders>
              <w:bottom w:val="single" w:sz="12" w:space="0" w:color="auto"/>
              <w:right w:val="single" w:sz="12" w:space="0" w:color="auto"/>
            </w:tcBorders>
          </w:tcPr>
          <w:p w14:paraId="06396137"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High</w:t>
            </w:r>
          </w:p>
        </w:tc>
      </w:tr>
      <w:tr w:rsidR="0044170A" w:rsidRPr="0044170A" w14:paraId="4C8DA9C1" w14:textId="77777777" w:rsidTr="00210B0F">
        <w:trPr>
          <w:trHeight w:val="283"/>
        </w:trPr>
        <w:tc>
          <w:tcPr>
            <w:tcW w:w="3341" w:type="dxa"/>
            <w:tcBorders>
              <w:top w:val="single" w:sz="12" w:space="0" w:color="auto"/>
              <w:left w:val="single" w:sz="12" w:space="0" w:color="auto"/>
              <w:right w:val="single" w:sz="12" w:space="0" w:color="auto"/>
            </w:tcBorders>
          </w:tcPr>
          <w:p w14:paraId="2B6698F9" w14:textId="77777777" w:rsidR="0044170A" w:rsidRPr="0044170A" w:rsidRDefault="0044170A" w:rsidP="00EF2FE7">
            <w:pPr>
              <w:rPr>
                <w:rFonts w:ascii="Garamond" w:hAnsi="Garamond" w:cs="Calibri"/>
                <w:kern w:val="1"/>
                <w:sz w:val="20"/>
                <w:szCs w:val="20"/>
                <w:lang w:eastAsia="en-GB"/>
              </w:rPr>
            </w:pPr>
            <w:bookmarkStart w:id="3" w:name="_Hlk99891229"/>
            <w:r w:rsidRPr="0044170A">
              <w:rPr>
                <w:rFonts w:ascii="Garamond" w:hAnsi="Garamond" w:cs="Calibri"/>
                <w:kern w:val="1"/>
                <w:sz w:val="20"/>
                <w:szCs w:val="20"/>
                <w:lang w:eastAsia="en-GB"/>
              </w:rPr>
              <w:t>EV/EBITDA Multiple</w:t>
            </w:r>
          </w:p>
        </w:tc>
        <w:tc>
          <w:tcPr>
            <w:tcW w:w="1019" w:type="dxa"/>
            <w:tcBorders>
              <w:top w:val="single" w:sz="12" w:space="0" w:color="auto"/>
              <w:left w:val="single" w:sz="12" w:space="0" w:color="auto"/>
              <w:right w:val="single" w:sz="4" w:space="0" w:color="auto"/>
            </w:tcBorders>
          </w:tcPr>
          <w:p w14:paraId="1A07472D"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8.2x</w:t>
            </w:r>
          </w:p>
        </w:tc>
        <w:tc>
          <w:tcPr>
            <w:tcW w:w="994" w:type="dxa"/>
            <w:tcBorders>
              <w:top w:val="single" w:sz="12" w:space="0" w:color="auto"/>
              <w:left w:val="single" w:sz="4" w:space="0" w:color="auto"/>
              <w:right w:val="single" w:sz="4" w:space="0" w:color="auto"/>
            </w:tcBorders>
          </w:tcPr>
          <w:p w14:paraId="24423E19"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7.7x</w:t>
            </w:r>
          </w:p>
        </w:tc>
        <w:tc>
          <w:tcPr>
            <w:tcW w:w="994" w:type="dxa"/>
            <w:gridSpan w:val="2"/>
            <w:tcBorders>
              <w:top w:val="single" w:sz="12" w:space="0" w:color="auto"/>
              <w:left w:val="single" w:sz="4" w:space="0" w:color="auto"/>
              <w:right w:val="single" w:sz="12" w:space="0" w:color="auto"/>
            </w:tcBorders>
          </w:tcPr>
          <w:p w14:paraId="1C551A21"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8.7x</w:t>
            </w:r>
          </w:p>
        </w:tc>
        <w:tc>
          <w:tcPr>
            <w:tcW w:w="1293" w:type="dxa"/>
            <w:tcBorders>
              <w:top w:val="single" w:sz="12" w:space="0" w:color="auto"/>
              <w:left w:val="single" w:sz="12" w:space="0" w:color="auto"/>
              <w:right w:val="single" w:sz="4" w:space="0" w:color="auto"/>
            </w:tcBorders>
          </w:tcPr>
          <w:p w14:paraId="07D81DB0"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5.1x</w:t>
            </w:r>
          </w:p>
        </w:tc>
        <w:tc>
          <w:tcPr>
            <w:tcW w:w="825" w:type="dxa"/>
            <w:tcBorders>
              <w:top w:val="single" w:sz="12" w:space="0" w:color="auto"/>
              <w:left w:val="single" w:sz="4" w:space="0" w:color="auto"/>
            </w:tcBorders>
          </w:tcPr>
          <w:p w14:paraId="08F7972C"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kern w:val="1"/>
                <w:sz w:val="20"/>
                <w:szCs w:val="20"/>
                <w:lang w:eastAsia="en-GB"/>
              </w:rPr>
              <w:t>4.2x</w:t>
            </w:r>
          </w:p>
        </w:tc>
        <w:tc>
          <w:tcPr>
            <w:tcW w:w="860" w:type="dxa"/>
            <w:tcBorders>
              <w:top w:val="single" w:sz="12" w:space="0" w:color="auto"/>
              <w:right w:val="single" w:sz="12" w:space="0" w:color="auto"/>
            </w:tcBorders>
          </w:tcPr>
          <w:p w14:paraId="1D6F293C"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kern w:val="1"/>
                <w:sz w:val="20"/>
                <w:szCs w:val="20"/>
                <w:lang w:eastAsia="en-GB"/>
              </w:rPr>
              <w:t>6.0x</w:t>
            </w:r>
          </w:p>
        </w:tc>
      </w:tr>
      <w:tr w:rsidR="0044170A" w:rsidRPr="0044170A" w14:paraId="52E4246F" w14:textId="77777777" w:rsidTr="00210B0F">
        <w:trPr>
          <w:trHeight w:val="283"/>
        </w:trPr>
        <w:tc>
          <w:tcPr>
            <w:tcW w:w="3341" w:type="dxa"/>
            <w:tcBorders>
              <w:left w:val="single" w:sz="12" w:space="0" w:color="auto"/>
              <w:right w:val="single" w:sz="12" w:space="0" w:color="auto"/>
            </w:tcBorders>
          </w:tcPr>
          <w:p w14:paraId="71B62B79" w14:textId="77777777" w:rsidR="0044170A" w:rsidRPr="0044170A" w:rsidRDefault="0044170A" w:rsidP="00EF2FE7">
            <w:pPr>
              <w:rPr>
                <w:rFonts w:ascii="Garamond" w:hAnsi="Garamond" w:cs="Calibri"/>
                <w:kern w:val="1"/>
                <w:sz w:val="20"/>
                <w:szCs w:val="20"/>
                <w:lang w:eastAsia="en-GB"/>
              </w:rPr>
            </w:pPr>
            <w:r w:rsidRPr="0044170A">
              <w:rPr>
                <w:rFonts w:ascii="Garamond" w:hAnsi="Garamond" w:cs="Calibri"/>
                <w:kern w:val="1"/>
                <w:sz w:val="20"/>
                <w:szCs w:val="20"/>
                <w:lang w:eastAsia="en-GB"/>
              </w:rPr>
              <w:t>EBITDA</w:t>
            </w:r>
          </w:p>
        </w:tc>
        <w:tc>
          <w:tcPr>
            <w:tcW w:w="1019" w:type="dxa"/>
            <w:tcBorders>
              <w:left w:val="single" w:sz="12" w:space="0" w:color="auto"/>
              <w:right w:val="single" w:sz="4" w:space="0" w:color="auto"/>
            </w:tcBorders>
          </w:tcPr>
          <w:p w14:paraId="74AEC368"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c>
          <w:tcPr>
            <w:tcW w:w="994" w:type="dxa"/>
            <w:tcBorders>
              <w:left w:val="single" w:sz="4" w:space="0" w:color="auto"/>
              <w:right w:val="single" w:sz="4" w:space="0" w:color="auto"/>
            </w:tcBorders>
          </w:tcPr>
          <w:p w14:paraId="6F8B4FC2"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c>
          <w:tcPr>
            <w:tcW w:w="994" w:type="dxa"/>
            <w:gridSpan w:val="2"/>
            <w:tcBorders>
              <w:left w:val="single" w:sz="4" w:space="0" w:color="auto"/>
              <w:right w:val="single" w:sz="12" w:space="0" w:color="auto"/>
            </w:tcBorders>
          </w:tcPr>
          <w:p w14:paraId="4E7FC3BB"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c>
          <w:tcPr>
            <w:tcW w:w="1293" w:type="dxa"/>
            <w:tcBorders>
              <w:left w:val="single" w:sz="12" w:space="0" w:color="auto"/>
              <w:right w:val="single" w:sz="4" w:space="0" w:color="auto"/>
            </w:tcBorders>
          </w:tcPr>
          <w:p w14:paraId="1684B953"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c>
          <w:tcPr>
            <w:tcW w:w="825" w:type="dxa"/>
            <w:tcBorders>
              <w:left w:val="single" w:sz="4" w:space="0" w:color="auto"/>
            </w:tcBorders>
          </w:tcPr>
          <w:p w14:paraId="7CC65733"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1.0</w:t>
            </w:r>
          </w:p>
        </w:tc>
        <w:tc>
          <w:tcPr>
            <w:tcW w:w="860" w:type="dxa"/>
            <w:tcBorders>
              <w:right w:val="single" w:sz="12" w:space="0" w:color="auto"/>
            </w:tcBorders>
          </w:tcPr>
          <w:p w14:paraId="600C4C9E"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r>
      <w:tr w:rsidR="0044170A" w:rsidRPr="0044170A" w14:paraId="3643C28E" w14:textId="77777777" w:rsidTr="00210B0F">
        <w:trPr>
          <w:trHeight w:val="283"/>
        </w:trPr>
        <w:tc>
          <w:tcPr>
            <w:tcW w:w="3341" w:type="dxa"/>
            <w:tcBorders>
              <w:left w:val="single" w:sz="12" w:space="0" w:color="auto"/>
              <w:right w:val="single" w:sz="12" w:space="0" w:color="auto"/>
            </w:tcBorders>
          </w:tcPr>
          <w:p w14:paraId="1556AAC4" w14:textId="77777777" w:rsidR="0044170A" w:rsidRPr="0044170A" w:rsidRDefault="0044170A" w:rsidP="00EF2FE7">
            <w:pPr>
              <w:rPr>
                <w:rFonts w:ascii="Garamond" w:hAnsi="Garamond" w:cs="Calibri"/>
                <w:b/>
                <w:kern w:val="1"/>
                <w:sz w:val="20"/>
                <w:szCs w:val="20"/>
                <w:lang w:eastAsia="en-GB"/>
              </w:rPr>
            </w:pPr>
            <w:r w:rsidRPr="0044170A">
              <w:rPr>
                <w:rFonts w:ascii="Garamond" w:hAnsi="Garamond" w:cs="Calibri"/>
                <w:b/>
                <w:kern w:val="1"/>
                <w:sz w:val="20"/>
                <w:szCs w:val="20"/>
                <w:lang w:eastAsia="en-GB"/>
              </w:rPr>
              <w:t>Enterprise Value</w:t>
            </w:r>
          </w:p>
        </w:tc>
        <w:tc>
          <w:tcPr>
            <w:tcW w:w="1019" w:type="dxa"/>
            <w:tcBorders>
              <w:left w:val="single" w:sz="12" w:space="0" w:color="auto"/>
              <w:right w:val="single" w:sz="4" w:space="0" w:color="auto"/>
            </w:tcBorders>
          </w:tcPr>
          <w:p w14:paraId="38E1DF05"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9.4</w:t>
            </w:r>
          </w:p>
        </w:tc>
        <w:tc>
          <w:tcPr>
            <w:tcW w:w="994" w:type="dxa"/>
            <w:tcBorders>
              <w:left w:val="single" w:sz="4" w:space="0" w:color="auto"/>
              <w:right w:val="single" w:sz="4" w:space="0" w:color="auto"/>
            </w:tcBorders>
          </w:tcPr>
          <w:p w14:paraId="4C359709"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8.8</w:t>
            </w:r>
          </w:p>
        </w:tc>
        <w:tc>
          <w:tcPr>
            <w:tcW w:w="994" w:type="dxa"/>
            <w:gridSpan w:val="2"/>
            <w:tcBorders>
              <w:left w:val="single" w:sz="4" w:space="0" w:color="auto"/>
              <w:right w:val="single" w:sz="12" w:space="0" w:color="auto"/>
            </w:tcBorders>
          </w:tcPr>
          <w:p w14:paraId="3EF01467"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9.9</w:t>
            </w:r>
          </w:p>
        </w:tc>
        <w:tc>
          <w:tcPr>
            <w:tcW w:w="1293" w:type="dxa"/>
            <w:tcBorders>
              <w:left w:val="single" w:sz="12" w:space="0" w:color="auto"/>
              <w:right w:val="single" w:sz="4" w:space="0" w:color="auto"/>
            </w:tcBorders>
          </w:tcPr>
          <w:p w14:paraId="1B4B8EFC"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5.4</w:t>
            </w:r>
          </w:p>
        </w:tc>
        <w:tc>
          <w:tcPr>
            <w:tcW w:w="825" w:type="dxa"/>
            <w:tcBorders>
              <w:left w:val="single" w:sz="4" w:space="0" w:color="auto"/>
            </w:tcBorders>
          </w:tcPr>
          <w:p w14:paraId="3CB90BAD"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4.2</w:t>
            </w:r>
          </w:p>
        </w:tc>
        <w:tc>
          <w:tcPr>
            <w:tcW w:w="860" w:type="dxa"/>
            <w:tcBorders>
              <w:right w:val="single" w:sz="12" w:space="0" w:color="auto"/>
            </w:tcBorders>
          </w:tcPr>
          <w:p w14:paraId="2201B32E"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6.6</w:t>
            </w:r>
          </w:p>
        </w:tc>
      </w:tr>
      <w:tr w:rsidR="0044170A" w:rsidRPr="0044170A" w14:paraId="2FDA1230" w14:textId="77777777" w:rsidTr="00210B0F">
        <w:trPr>
          <w:trHeight w:val="283"/>
        </w:trPr>
        <w:tc>
          <w:tcPr>
            <w:tcW w:w="3341" w:type="dxa"/>
            <w:tcBorders>
              <w:left w:val="single" w:sz="12" w:space="0" w:color="auto"/>
              <w:right w:val="single" w:sz="12" w:space="0" w:color="auto"/>
            </w:tcBorders>
          </w:tcPr>
          <w:p w14:paraId="608B8911" w14:textId="77777777" w:rsidR="0044170A" w:rsidRPr="0044170A" w:rsidRDefault="0044170A" w:rsidP="00EF2FE7">
            <w:pPr>
              <w:rPr>
                <w:rFonts w:ascii="Garamond" w:hAnsi="Garamond" w:cs="Calibri"/>
                <w:kern w:val="1"/>
                <w:sz w:val="20"/>
                <w:szCs w:val="20"/>
                <w:lang w:eastAsia="en-GB"/>
              </w:rPr>
            </w:pPr>
            <w:r w:rsidRPr="0044170A">
              <w:rPr>
                <w:rFonts w:ascii="Garamond" w:hAnsi="Garamond" w:cs="Calibri"/>
                <w:kern w:val="1"/>
                <w:sz w:val="20"/>
                <w:szCs w:val="20"/>
                <w:lang w:eastAsia="en-GB"/>
              </w:rPr>
              <w:t>Net debt</w:t>
            </w:r>
          </w:p>
        </w:tc>
        <w:tc>
          <w:tcPr>
            <w:tcW w:w="1019" w:type="dxa"/>
            <w:tcBorders>
              <w:left w:val="single" w:sz="12" w:space="0" w:color="auto"/>
              <w:right w:val="single" w:sz="4" w:space="0" w:color="auto"/>
            </w:tcBorders>
          </w:tcPr>
          <w:p w14:paraId="641635F4"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w:t>
            </w:r>
          </w:p>
        </w:tc>
        <w:tc>
          <w:tcPr>
            <w:tcW w:w="994" w:type="dxa"/>
            <w:tcBorders>
              <w:left w:val="single" w:sz="4" w:space="0" w:color="auto"/>
              <w:right w:val="single" w:sz="4" w:space="0" w:color="auto"/>
            </w:tcBorders>
          </w:tcPr>
          <w:p w14:paraId="4320B73E"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w:t>
            </w:r>
          </w:p>
        </w:tc>
        <w:tc>
          <w:tcPr>
            <w:tcW w:w="994" w:type="dxa"/>
            <w:gridSpan w:val="2"/>
            <w:tcBorders>
              <w:left w:val="single" w:sz="4" w:space="0" w:color="auto"/>
              <w:right w:val="single" w:sz="12" w:space="0" w:color="auto"/>
            </w:tcBorders>
          </w:tcPr>
          <w:p w14:paraId="5922AB0D"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w:t>
            </w:r>
          </w:p>
        </w:tc>
        <w:tc>
          <w:tcPr>
            <w:tcW w:w="1293" w:type="dxa"/>
            <w:tcBorders>
              <w:left w:val="single" w:sz="12" w:space="0" w:color="auto"/>
              <w:right w:val="single" w:sz="4" w:space="0" w:color="auto"/>
            </w:tcBorders>
          </w:tcPr>
          <w:p w14:paraId="2208F049"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(0.1)</w:t>
            </w:r>
          </w:p>
        </w:tc>
        <w:tc>
          <w:tcPr>
            <w:tcW w:w="825" w:type="dxa"/>
            <w:tcBorders>
              <w:left w:val="single" w:sz="4" w:space="0" w:color="auto"/>
            </w:tcBorders>
          </w:tcPr>
          <w:p w14:paraId="4BF6DCD6"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(0.1)</w:t>
            </w:r>
          </w:p>
        </w:tc>
        <w:tc>
          <w:tcPr>
            <w:tcW w:w="860" w:type="dxa"/>
            <w:tcBorders>
              <w:right w:val="single" w:sz="12" w:space="0" w:color="auto"/>
            </w:tcBorders>
          </w:tcPr>
          <w:p w14:paraId="5882E00C"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(0.1)</w:t>
            </w:r>
          </w:p>
        </w:tc>
      </w:tr>
      <w:bookmarkEnd w:id="3"/>
      <w:tr w:rsidR="0044170A" w:rsidRPr="0044170A" w14:paraId="0A2E5228" w14:textId="77777777" w:rsidTr="00210B0F">
        <w:trPr>
          <w:trHeight w:val="283"/>
        </w:trPr>
        <w:tc>
          <w:tcPr>
            <w:tcW w:w="3341" w:type="dxa"/>
            <w:tcBorders>
              <w:left w:val="single" w:sz="12" w:space="0" w:color="auto"/>
              <w:right w:val="single" w:sz="12" w:space="0" w:color="auto"/>
            </w:tcBorders>
          </w:tcPr>
          <w:p w14:paraId="5BF88F81" w14:textId="77777777" w:rsidR="0044170A" w:rsidRPr="0044170A" w:rsidRDefault="0044170A" w:rsidP="00EF2FE7">
            <w:pPr>
              <w:rPr>
                <w:rFonts w:ascii="Garamond" w:hAnsi="Garamond" w:cs="Calibri"/>
                <w:kern w:val="1"/>
                <w:sz w:val="20"/>
                <w:szCs w:val="20"/>
                <w:lang w:eastAsia="en-GB"/>
              </w:rPr>
            </w:pPr>
            <w:r w:rsidRPr="0044170A">
              <w:rPr>
                <w:rFonts w:ascii="Garamond" w:hAnsi="Garamond" w:cs="Calibri"/>
                <w:kern w:val="1"/>
                <w:sz w:val="20"/>
                <w:szCs w:val="20"/>
                <w:lang w:eastAsia="en-GB"/>
              </w:rPr>
              <w:t>Equity value</w:t>
            </w:r>
          </w:p>
        </w:tc>
        <w:tc>
          <w:tcPr>
            <w:tcW w:w="1019" w:type="dxa"/>
            <w:tcBorders>
              <w:left w:val="single" w:sz="12" w:space="0" w:color="auto"/>
              <w:right w:val="single" w:sz="4" w:space="0" w:color="auto"/>
            </w:tcBorders>
          </w:tcPr>
          <w:p w14:paraId="69A6406C"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9.3</w:t>
            </w:r>
          </w:p>
        </w:tc>
        <w:tc>
          <w:tcPr>
            <w:tcW w:w="994" w:type="dxa"/>
            <w:tcBorders>
              <w:left w:val="single" w:sz="4" w:space="0" w:color="auto"/>
              <w:right w:val="single" w:sz="4" w:space="0" w:color="auto"/>
            </w:tcBorders>
          </w:tcPr>
          <w:p w14:paraId="2A02530A"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8.8</w:t>
            </w:r>
          </w:p>
        </w:tc>
        <w:tc>
          <w:tcPr>
            <w:tcW w:w="994" w:type="dxa"/>
            <w:gridSpan w:val="2"/>
            <w:tcBorders>
              <w:left w:val="single" w:sz="4" w:space="0" w:color="auto"/>
              <w:right w:val="single" w:sz="12" w:space="0" w:color="auto"/>
            </w:tcBorders>
          </w:tcPr>
          <w:p w14:paraId="36387E60"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9.9</w:t>
            </w:r>
          </w:p>
        </w:tc>
        <w:tc>
          <w:tcPr>
            <w:tcW w:w="1293" w:type="dxa"/>
            <w:tcBorders>
              <w:left w:val="single" w:sz="12" w:space="0" w:color="auto"/>
              <w:right w:val="single" w:sz="4" w:space="0" w:color="auto"/>
            </w:tcBorders>
          </w:tcPr>
          <w:p w14:paraId="3054F740"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5.3</w:t>
            </w:r>
          </w:p>
        </w:tc>
        <w:tc>
          <w:tcPr>
            <w:tcW w:w="825" w:type="dxa"/>
            <w:tcBorders>
              <w:left w:val="single" w:sz="4" w:space="0" w:color="auto"/>
            </w:tcBorders>
          </w:tcPr>
          <w:p w14:paraId="469E2BF0"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4.1</w:t>
            </w:r>
          </w:p>
        </w:tc>
        <w:tc>
          <w:tcPr>
            <w:tcW w:w="860" w:type="dxa"/>
            <w:tcBorders>
              <w:right w:val="single" w:sz="12" w:space="0" w:color="auto"/>
            </w:tcBorders>
          </w:tcPr>
          <w:p w14:paraId="3D088049"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6.5</w:t>
            </w:r>
          </w:p>
        </w:tc>
      </w:tr>
      <w:tr w:rsidR="0044170A" w:rsidRPr="0044170A" w14:paraId="479E8342" w14:textId="77777777" w:rsidTr="00210B0F">
        <w:trPr>
          <w:trHeight w:val="271"/>
        </w:trPr>
        <w:tc>
          <w:tcPr>
            <w:tcW w:w="3341" w:type="dxa"/>
            <w:tcBorders>
              <w:left w:val="single" w:sz="12" w:space="0" w:color="auto"/>
              <w:bottom w:val="single" w:sz="12" w:space="0" w:color="auto"/>
              <w:right w:val="single" w:sz="12" w:space="0" w:color="auto"/>
            </w:tcBorders>
          </w:tcPr>
          <w:p w14:paraId="2E126FA5" w14:textId="77777777" w:rsidR="0044170A" w:rsidRPr="0044170A" w:rsidRDefault="0044170A" w:rsidP="00EF2FE7">
            <w:pPr>
              <w:rPr>
                <w:rFonts w:ascii="Garamond" w:hAnsi="Garamond" w:cs="Calibri"/>
                <w:b/>
                <w:kern w:val="1"/>
                <w:sz w:val="20"/>
                <w:szCs w:val="20"/>
                <w:lang w:eastAsia="en-GB"/>
              </w:rPr>
            </w:pPr>
            <w:r w:rsidRPr="0044170A">
              <w:rPr>
                <w:rFonts w:ascii="Garamond" w:hAnsi="Garamond" w:cs="Calibri"/>
                <w:b/>
                <w:kern w:val="1"/>
                <w:sz w:val="20"/>
                <w:szCs w:val="20"/>
                <w:lang w:eastAsia="en-GB"/>
              </w:rPr>
              <w:t>Claimants’ 85.9% share</w:t>
            </w:r>
          </w:p>
        </w:tc>
        <w:tc>
          <w:tcPr>
            <w:tcW w:w="1019" w:type="dxa"/>
            <w:tcBorders>
              <w:left w:val="single" w:sz="12" w:space="0" w:color="auto"/>
              <w:bottom w:val="single" w:sz="12" w:space="0" w:color="auto"/>
              <w:right w:val="single" w:sz="4" w:space="0" w:color="auto"/>
            </w:tcBorders>
          </w:tcPr>
          <w:p w14:paraId="1451DFBD"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8.0</w:t>
            </w:r>
          </w:p>
        </w:tc>
        <w:tc>
          <w:tcPr>
            <w:tcW w:w="994" w:type="dxa"/>
            <w:tcBorders>
              <w:left w:val="single" w:sz="4" w:space="0" w:color="auto"/>
              <w:bottom w:val="single" w:sz="12" w:space="0" w:color="auto"/>
              <w:right w:val="single" w:sz="4" w:space="0" w:color="auto"/>
            </w:tcBorders>
          </w:tcPr>
          <w:p w14:paraId="2401247D"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7.5</w:t>
            </w:r>
          </w:p>
        </w:tc>
        <w:tc>
          <w:tcPr>
            <w:tcW w:w="994" w:type="dxa"/>
            <w:gridSpan w:val="2"/>
            <w:tcBorders>
              <w:left w:val="single" w:sz="4" w:space="0" w:color="auto"/>
              <w:bottom w:val="single" w:sz="12" w:space="0" w:color="auto"/>
              <w:right w:val="single" w:sz="12" w:space="0" w:color="auto"/>
            </w:tcBorders>
          </w:tcPr>
          <w:p w14:paraId="5AE1862E"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8.5</w:t>
            </w:r>
          </w:p>
        </w:tc>
        <w:tc>
          <w:tcPr>
            <w:tcW w:w="1293" w:type="dxa"/>
            <w:tcBorders>
              <w:left w:val="single" w:sz="12" w:space="0" w:color="auto"/>
              <w:bottom w:val="single" w:sz="12" w:space="0" w:color="auto"/>
              <w:right w:val="single" w:sz="4" w:space="0" w:color="auto"/>
            </w:tcBorders>
          </w:tcPr>
          <w:p w14:paraId="18E58A73"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4.6</w:t>
            </w:r>
          </w:p>
        </w:tc>
        <w:tc>
          <w:tcPr>
            <w:tcW w:w="825" w:type="dxa"/>
            <w:tcBorders>
              <w:left w:val="single" w:sz="4" w:space="0" w:color="auto"/>
              <w:bottom w:val="single" w:sz="12" w:space="0" w:color="auto"/>
            </w:tcBorders>
          </w:tcPr>
          <w:p w14:paraId="38FD1B4B"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3.5</w:t>
            </w:r>
          </w:p>
        </w:tc>
        <w:tc>
          <w:tcPr>
            <w:tcW w:w="860" w:type="dxa"/>
            <w:tcBorders>
              <w:bottom w:val="single" w:sz="12" w:space="0" w:color="auto"/>
              <w:right w:val="single" w:sz="12" w:space="0" w:color="auto"/>
            </w:tcBorders>
          </w:tcPr>
          <w:p w14:paraId="610CEAF4"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5.6</w:t>
            </w:r>
          </w:p>
        </w:tc>
      </w:tr>
    </w:tbl>
    <w:p w14:paraId="271E550B" w14:textId="77777777" w:rsidR="0044170A" w:rsidRPr="0044170A" w:rsidRDefault="0044170A" w:rsidP="00EF2FE7">
      <w:pPr>
        <w:widowControl w:val="0"/>
        <w:spacing w:after="120"/>
        <w:jc w:val="both"/>
        <w:rPr>
          <w:rFonts w:ascii="Garamond" w:hAnsi="Garamond"/>
          <w:kern w:val="1"/>
          <w:lang w:eastAsia="en-GB"/>
        </w:rPr>
      </w:pPr>
      <w:r w:rsidRPr="0044170A">
        <w:rPr>
          <w:rFonts w:ascii="Garamond" w:hAnsi="Garamond"/>
          <w:kern w:val="1"/>
          <w:lang w:eastAsia="en-GB"/>
        </w:rPr>
        <w:t xml:space="preserve"> </w:t>
      </w:r>
    </w:p>
    <w:p w14:paraId="35529D06" w14:textId="7308EB7E" w:rsidR="0044170A" w:rsidRDefault="0044170A" w:rsidP="00EF2FE7">
      <w:pPr>
        <w:pStyle w:val="ParaLevel1"/>
        <w:numPr>
          <w:ilvl w:val="0"/>
          <w:numId w:val="0"/>
        </w:numPr>
        <w:ind w:left="720" w:hanging="720"/>
        <w:rPr>
          <w:b/>
          <w:bCs/>
        </w:rPr>
      </w:pPr>
      <w:r>
        <w:tab/>
      </w:r>
      <w:r w:rsidRPr="0044170A">
        <w:rPr>
          <w:b/>
          <w:bCs/>
        </w:rPr>
        <w:t>The Second Valuation Date</w:t>
      </w:r>
    </w:p>
    <w:p w14:paraId="2C8E9B4B" w14:textId="77777777" w:rsidR="0044170A" w:rsidRPr="0044170A" w:rsidRDefault="0044170A" w:rsidP="00EF2FE7">
      <w:pPr>
        <w:widowControl w:val="0"/>
        <w:contextualSpacing/>
        <w:jc w:val="both"/>
        <w:rPr>
          <w:rFonts w:ascii="Garamond" w:hAnsi="Garamond"/>
          <w:kern w:val="1"/>
          <w:lang w:eastAsia="en-GB"/>
        </w:rPr>
      </w:pPr>
    </w:p>
    <w:tbl>
      <w:tblPr>
        <w:tblStyle w:val="TableGrid"/>
        <w:tblW w:w="9047" w:type="dxa"/>
        <w:tblInd w:w="851" w:type="dxa"/>
        <w:tblLook w:val="04A0" w:firstRow="1" w:lastRow="0" w:firstColumn="1" w:lastColumn="0" w:noHBand="0" w:noVBand="1"/>
      </w:tblPr>
      <w:tblGrid>
        <w:gridCol w:w="2995"/>
        <w:gridCol w:w="1256"/>
        <w:gridCol w:w="802"/>
        <w:gridCol w:w="969"/>
        <w:gridCol w:w="1010"/>
        <w:gridCol w:w="1004"/>
        <w:gridCol w:w="1011"/>
      </w:tblGrid>
      <w:tr w:rsidR="0044170A" w:rsidRPr="0044170A" w14:paraId="6F77C335" w14:textId="77777777" w:rsidTr="0044170A">
        <w:trPr>
          <w:trHeight w:val="271"/>
        </w:trPr>
        <w:tc>
          <w:tcPr>
            <w:tcW w:w="2998" w:type="dxa"/>
            <w:tcBorders>
              <w:top w:val="nil"/>
              <w:left w:val="nil"/>
              <w:bottom w:val="nil"/>
              <w:right w:val="single" w:sz="12" w:space="0" w:color="auto"/>
            </w:tcBorders>
          </w:tcPr>
          <w:p w14:paraId="75E86389" w14:textId="77777777" w:rsidR="0044170A" w:rsidRPr="0044170A" w:rsidRDefault="0044170A" w:rsidP="00EF2FE7">
            <w:pPr>
              <w:rPr>
                <w:rFonts w:ascii="Garamond" w:hAnsi="Garamond" w:cs="Calibri"/>
                <w:kern w:val="1"/>
                <w:sz w:val="20"/>
                <w:szCs w:val="20"/>
                <w:lang w:eastAsia="en-GB"/>
              </w:rPr>
            </w:pPr>
            <w:bookmarkStart w:id="4" w:name="_Hlk99891357"/>
          </w:p>
        </w:tc>
        <w:tc>
          <w:tcPr>
            <w:tcW w:w="3027" w:type="dxa"/>
            <w:gridSpan w:val="3"/>
            <w:tcBorders>
              <w:top w:val="single" w:sz="12" w:space="0" w:color="auto"/>
              <w:left w:val="single" w:sz="12" w:space="0" w:color="auto"/>
              <w:right w:val="single" w:sz="12" w:space="0" w:color="auto"/>
            </w:tcBorders>
            <w:shd w:val="clear" w:color="auto" w:fill="BFBFBF"/>
          </w:tcPr>
          <w:p w14:paraId="6F3F700F"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Skeels 1</w:t>
            </w:r>
          </w:p>
        </w:tc>
        <w:tc>
          <w:tcPr>
            <w:tcW w:w="3022" w:type="dxa"/>
            <w:gridSpan w:val="3"/>
            <w:tcBorders>
              <w:top w:val="single" w:sz="12" w:space="0" w:color="auto"/>
              <w:left w:val="single" w:sz="12" w:space="0" w:color="auto"/>
              <w:bottom w:val="single" w:sz="4" w:space="0" w:color="auto"/>
              <w:right w:val="single" w:sz="12" w:space="0" w:color="auto"/>
            </w:tcBorders>
            <w:shd w:val="clear" w:color="auto" w:fill="BFBFBF"/>
          </w:tcPr>
          <w:p w14:paraId="6FBAE1DD"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Taylor 1</w:t>
            </w:r>
          </w:p>
        </w:tc>
      </w:tr>
      <w:tr w:rsidR="0044170A" w:rsidRPr="0044170A" w14:paraId="18E58B5C" w14:textId="77777777" w:rsidTr="00210B0F">
        <w:trPr>
          <w:trHeight w:val="271"/>
        </w:trPr>
        <w:tc>
          <w:tcPr>
            <w:tcW w:w="2998" w:type="dxa"/>
            <w:tcBorders>
              <w:top w:val="nil"/>
              <w:left w:val="nil"/>
              <w:bottom w:val="single" w:sz="12" w:space="0" w:color="auto"/>
              <w:right w:val="single" w:sz="12" w:space="0" w:color="auto"/>
            </w:tcBorders>
          </w:tcPr>
          <w:p w14:paraId="6088C60F" w14:textId="77777777" w:rsidR="0044170A" w:rsidRPr="0044170A" w:rsidRDefault="0044170A" w:rsidP="00EF2FE7">
            <w:pPr>
              <w:rPr>
                <w:rFonts w:ascii="Garamond" w:hAnsi="Garamond" w:cs="Calibri"/>
                <w:b/>
                <w:kern w:val="1"/>
                <w:sz w:val="20"/>
                <w:szCs w:val="20"/>
                <w:lang w:eastAsia="en-GB"/>
              </w:rPr>
            </w:pPr>
            <w:r w:rsidRPr="0044170A">
              <w:rPr>
                <w:rFonts w:ascii="Garamond" w:hAnsi="Garamond" w:cs="Calibri"/>
                <w:b/>
                <w:bCs/>
                <w:kern w:val="1"/>
                <w:sz w:val="20"/>
                <w:szCs w:val="20"/>
                <w:lang w:eastAsia="en-GB"/>
              </w:rPr>
              <w:t>£ million</w:t>
            </w:r>
          </w:p>
        </w:tc>
        <w:tc>
          <w:tcPr>
            <w:tcW w:w="1256" w:type="dxa"/>
            <w:tcBorders>
              <w:left w:val="single" w:sz="12" w:space="0" w:color="auto"/>
              <w:bottom w:val="single" w:sz="12" w:space="0" w:color="auto"/>
            </w:tcBorders>
          </w:tcPr>
          <w:p w14:paraId="7A230663"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Midpoint</w:t>
            </w:r>
          </w:p>
        </w:tc>
        <w:tc>
          <w:tcPr>
            <w:tcW w:w="802" w:type="dxa"/>
            <w:tcBorders>
              <w:bottom w:val="single" w:sz="12" w:space="0" w:color="auto"/>
            </w:tcBorders>
          </w:tcPr>
          <w:p w14:paraId="2CB8F51C"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Low</w:t>
            </w:r>
          </w:p>
        </w:tc>
        <w:tc>
          <w:tcPr>
            <w:tcW w:w="969" w:type="dxa"/>
            <w:tcBorders>
              <w:bottom w:val="single" w:sz="12" w:space="0" w:color="auto"/>
              <w:right w:val="single" w:sz="12" w:space="0" w:color="auto"/>
            </w:tcBorders>
          </w:tcPr>
          <w:p w14:paraId="4E9FF170"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High</w:t>
            </w:r>
          </w:p>
        </w:tc>
        <w:tc>
          <w:tcPr>
            <w:tcW w:w="1006" w:type="dxa"/>
            <w:tcBorders>
              <w:bottom w:val="single" w:sz="12" w:space="0" w:color="auto"/>
              <w:right w:val="single" w:sz="4" w:space="0" w:color="auto"/>
            </w:tcBorders>
          </w:tcPr>
          <w:p w14:paraId="68FE2D5A"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Midpoint</w:t>
            </w:r>
          </w:p>
        </w:tc>
        <w:tc>
          <w:tcPr>
            <w:tcW w:w="1005" w:type="dxa"/>
            <w:tcBorders>
              <w:left w:val="single" w:sz="4" w:space="0" w:color="auto"/>
              <w:bottom w:val="single" w:sz="12" w:space="0" w:color="auto"/>
              <w:right w:val="single" w:sz="4" w:space="0" w:color="auto"/>
            </w:tcBorders>
          </w:tcPr>
          <w:p w14:paraId="7A1EC376"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Low</w:t>
            </w:r>
          </w:p>
        </w:tc>
        <w:tc>
          <w:tcPr>
            <w:tcW w:w="1011" w:type="dxa"/>
            <w:tcBorders>
              <w:left w:val="single" w:sz="4" w:space="0" w:color="auto"/>
              <w:bottom w:val="single" w:sz="12" w:space="0" w:color="auto"/>
              <w:right w:val="single" w:sz="12" w:space="0" w:color="auto"/>
            </w:tcBorders>
          </w:tcPr>
          <w:p w14:paraId="093D8A0B" w14:textId="77777777" w:rsidR="0044170A" w:rsidRPr="0044170A" w:rsidRDefault="0044170A" w:rsidP="00EF2FE7">
            <w:pPr>
              <w:jc w:val="center"/>
              <w:rPr>
                <w:rFonts w:ascii="Garamond" w:hAnsi="Garamond" w:cs="Calibri"/>
                <w:b/>
                <w:bCs/>
                <w:kern w:val="1"/>
                <w:sz w:val="20"/>
                <w:szCs w:val="20"/>
                <w:lang w:eastAsia="en-GB"/>
              </w:rPr>
            </w:pPr>
            <w:r w:rsidRPr="0044170A">
              <w:rPr>
                <w:rFonts w:ascii="Garamond" w:hAnsi="Garamond" w:cs="Calibri"/>
                <w:b/>
                <w:bCs/>
                <w:kern w:val="1"/>
                <w:sz w:val="20"/>
                <w:szCs w:val="20"/>
                <w:lang w:eastAsia="en-GB"/>
              </w:rPr>
              <w:t>High</w:t>
            </w:r>
          </w:p>
        </w:tc>
      </w:tr>
      <w:tr w:rsidR="0044170A" w:rsidRPr="0044170A" w14:paraId="778AD0A9" w14:textId="77777777" w:rsidTr="00210B0F">
        <w:trPr>
          <w:trHeight w:val="271"/>
        </w:trPr>
        <w:tc>
          <w:tcPr>
            <w:tcW w:w="2998" w:type="dxa"/>
            <w:tcBorders>
              <w:top w:val="single" w:sz="12" w:space="0" w:color="auto"/>
              <w:left w:val="single" w:sz="12" w:space="0" w:color="auto"/>
              <w:right w:val="single" w:sz="12" w:space="0" w:color="auto"/>
            </w:tcBorders>
          </w:tcPr>
          <w:p w14:paraId="39200736" w14:textId="77777777" w:rsidR="0044170A" w:rsidRPr="0044170A" w:rsidRDefault="0044170A" w:rsidP="00EF2FE7">
            <w:pPr>
              <w:rPr>
                <w:rFonts w:ascii="Garamond" w:hAnsi="Garamond" w:cs="Calibri"/>
                <w:kern w:val="1"/>
                <w:sz w:val="20"/>
                <w:szCs w:val="20"/>
                <w:lang w:eastAsia="en-GB"/>
              </w:rPr>
            </w:pPr>
            <w:r w:rsidRPr="0044170A">
              <w:rPr>
                <w:rFonts w:ascii="Garamond" w:hAnsi="Garamond" w:cs="Calibri"/>
                <w:kern w:val="1"/>
                <w:sz w:val="20"/>
                <w:szCs w:val="20"/>
                <w:lang w:eastAsia="en-GB"/>
              </w:rPr>
              <w:t>EV/EBITDA Multiple</w:t>
            </w:r>
          </w:p>
        </w:tc>
        <w:tc>
          <w:tcPr>
            <w:tcW w:w="1256" w:type="dxa"/>
            <w:tcBorders>
              <w:top w:val="single" w:sz="12" w:space="0" w:color="auto"/>
              <w:left w:val="single" w:sz="12" w:space="0" w:color="auto"/>
            </w:tcBorders>
          </w:tcPr>
          <w:p w14:paraId="1CC184B3"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8.3x</w:t>
            </w:r>
          </w:p>
        </w:tc>
        <w:tc>
          <w:tcPr>
            <w:tcW w:w="802" w:type="dxa"/>
            <w:tcBorders>
              <w:top w:val="single" w:sz="12" w:space="0" w:color="auto"/>
            </w:tcBorders>
          </w:tcPr>
          <w:p w14:paraId="470C97F3"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8.1x</w:t>
            </w:r>
          </w:p>
        </w:tc>
        <w:tc>
          <w:tcPr>
            <w:tcW w:w="969" w:type="dxa"/>
            <w:tcBorders>
              <w:top w:val="single" w:sz="12" w:space="0" w:color="auto"/>
              <w:right w:val="single" w:sz="12" w:space="0" w:color="auto"/>
            </w:tcBorders>
          </w:tcPr>
          <w:p w14:paraId="492E25B6"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8.4x</w:t>
            </w:r>
          </w:p>
        </w:tc>
        <w:tc>
          <w:tcPr>
            <w:tcW w:w="1006" w:type="dxa"/>
            <w:tcBorders>
              <w:top w:val="single" w:sz="12" w:space="0" w:color="auto"/>
              <w:right w:val="single" w:sz="4" w:space="0" w:color="auto"/>
            </w:tcBorders>
          </w:tcPr>
          <w:p w14:paraId="0A698831"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5.3x</w:t>
            </w:r>
          </w:p>
        </w:tc>
        <w:tc>
          <w:tcPr>
            <w:tcW w:w="1005" w:type="dxa"/>
            <w:tcBorders>
              <w:top w:val="single" w:sz="12" w:space="0" w:color="auto"/>
              <w:left w:val="single" w:sz="4" w:space="0" w:color="auto"/>
              <w:right w:val="single" w:sz="4" w:space="0" w:color="auto"/>
            </w:tcBorders>
          </w:tcPr>
          <w:p w14:paraId="0D9A87CF"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4.0x</w:t>
            </w:r>
          </w:p>
        </w:tc>
        <w:tc>
          <w:tcPr>
            <w:tcW w:w="1011" w:type="dxa"/>
            <w:tcBorders>
              <w:top w:val="single" w:sz="12" w:space="0" w:color="auto"/>
              <w:left w:val="single" w:sz="4" w:space="0" w:color="auto"/>
              <w:right w:val="single" w:sz="12" w:space="0" w:color="auto"/>
            </w:tcBorders>
          </w:tcPr>
          <w:p w14:paraId="7C58D907"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6.6x</w:t>
            </w:r>
          </w:p>
        </w:tc>
      </w:tr>
      <w:tr w:rsidR="0044170A" w:rsidRPr="0044170A" w14:paraId="7AAAA8B7" w14:textId="77777777" w:rsidTr="00210B0F">
        <w:trPr>
          <w:trHeight w:val="271"/>
        </w:trPr>
        <w:tc>
          <w:tcPr>
            <w:tcW w:w="2998" w:type="dxa"/>
            <w:tcBorders>
              <w:left w:val="single" w:sz="12" w:space="0" w:color="auto"/>
              <w:right w:val="single" w:sz="12" w:space="0" w:color="auto"/>
            </w:tcBorders>
          </w:tcPr>
          <w:p w14:paraId="2373CB9F" w14:textId="77777777" w:rsidR="0044170A" w:rsidRPr="0044170A" w:rsidRDefault="0044170A" w:rsidP="00EF2FE7">
            <w:pPr>
              <w:rPr>
                <w:rFonts w:ascii="Garamond" w:hAnsi="Garamond" w:cs="Calibri"/>
                <w:kern w:val="1"/>
                <w:sz w:val="20"/>
                <w:szCs w:val="20"/>
                <w:lang w:eastAsia="en-GB"/>
              </w:rPr>
            </w:pPr>
            <w:r w:rsidRPr="0044170A">
              <w:rPr>
                <w:rFonts w:ascii="Garamond" w:hAnsi="Garamond" w:cs="Calibri"/>
                <w:kern w:val="1"/>
                <w:sz w:val="20"/>
                <w:szCs w:val="20"/>
                <w:lang w:eastAsia="en-GB"/>
              </w:rPr>
              <w:t>EBITDA</w:t>
            </w:r>
          </w:p>
        </w:tc>
        <w:tc>
          <w:tcPr>
            <w:tcW w:w="1256" w:type="dxa"/>
            <w:tcBorders>
              <w:left w:val="single" w:sz="12" w:space="0" w:color="auto"/>
            </w:tcBorders>
          </w:tcPr>
          <w:p w14:paraId="2C575FB7"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1.3</w:t>
            </w:r>
          </w:p>
        </w:tc>
        <w:tc>
          <w:tcPr>
            <w:tcW w:w="802" w:type="dxa"/>
          </w:tcPr>
          <w:p w14:paraId="2EFFB7DD"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1.3</w:t>
            </w:r>
          </w:p>
        </w:tc>
        <w:tc>
          <w:tcPr>
            <w:tcW w:w="969" w:type="dxa"/>
            <w:tcBorders>
              <w:right w:val="single" w:sz="12" w:space="0" w:color="auto"/>
            </w:tcBorders>
          </w:tcPr>
          <w:p w14:paraId="233D5E99"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1.3</w:t>
            </w:r>
          </w:p>
        </w:tc>
        <w:tc>
          <w:tcPr>
            <w:tcW w:w="1006" w:type="dxa"/>
            <w:tcBorders>
              <w:right w:val="single" w:sz="4" w:space="0" w:color="auto"/>
            </w:tcBorders>
          </w:tcPr>
          <w:p w14:paraId="0462C7BC"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0.7</w:t>
            </w:r>
          </w:p>
        </w:tc>
        <w:tc>
          <w:tcPr>
            <w:tcW w:w="1005" w:type="dxa"/>
            <w:tcBorders>
              <w:left w:val="single" w:sz="4" w:space="0" w:color="auto"/>
              <w:right w:val="single" w:sz="4" w:space="0" w:color="auto"/>
            </w:tcBorders>
          </w:tcPr>
          <w:p w14:paraId="5C953AF5"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0.6</w:t>
            </w:r>
          </w:p>
        </w:tc>
        <w:tc>
          <w:tcPr>
            <w:tcW w:w="1011" w:type="dxa"/>
            <w:tcBorders>
              <w:left w:val="single" w:sz="4" w:space="0" w:color="auto"/>
              <w:right w:val="single" w:sz="12" w:space="0" w:color="auto"/>
            </w:tcBorders>
          </w:tcPr>
          <w:p w14:paraId="6403A3AA"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0.9</w:t>
            </w:r>
          </w:p>
        </w:tc>
      </w:tr>
      <w:tr w:rsidR="0044170A" w:rsidRPr="0044170A" w14:paraId="26A7FE88" w14:textId="77777777" w:rsidTr="00210B0F">
        <w:trPr>
          <w:trHeight w:val="271"/>
        </w:trPr>
        <w:tc>
          <w:tcPr>
            <w:tcW w:w="2998" w:type="dxa"/>
            <w:tcBorders>
              <w:left w:val="single" w:sz="12" w:space="0" w:color="auto"/>
              <w:right w:val="single" w:sz="12" w:space="0" w:color="auto"/>
            </w:tcBorders>
          </w:tcPr>
          <w:p w14:paraId="00176D45" w14:textId="77777777" w:rsidR="0044170A" w:rsidRPr="0044170A" w:rsidRDefault="0044170A" w:rsidP="00EF2FE7">
            <w:pPr>
              <w:rPr>
                <w:rFonts w:ascii="Garamond" w:hAnsi="Garamond" w:cs="Calibri"/>
                <w:b/>
                <w:kern w:val="1"/>
                <w:sz w:val="20"/>
                <w:szCs w:val="20"/>
                <w:lang w:eastAsia="en-GB"/>
              </w:rPr>
            </w:pPr>
            <w:r w:rsidRPr="0044170A">
              <w:rPr>
                <w:rFonts w:ascii="Garamond" w:hAnsi="Garamond" w:cs="Calibri"/>
                <w:b/>
                <w:kern w:val="1"/>
                <w:sz w:val="20"/>
                <w:szCs w:val="20"/>
                <w:lang w:eastAsia="en-GB"/>
              </w:rPr>
              <w:t>Enterprise Value</w:t>
            </w:r>
          </w:p>
        </w:tc>
        <w:tc>
          <w:tcPr>
            <w:tcW w:w="1256" w:type="dxa"/>
            <w:tcBorders>
              <w:left w:val="single" w:sz="12" w:space="0" w:color="auto"/>
            </w:tcBorders>
          </w:tcPr>
          <w:p w14:paraId="1DC79C0D"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11.0</w:t>
            </w:r>
          </w:p>
        </w:tc>
        <w:tc>
          <w:tcPr>
            <w:tcW w:w="802" w:type="dxa"/>
          </w:tcPr>
          <w:p w14:paraId="0DBA6A1B"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10.8</w:t>
            </w:r>
          </w:p>
        </w:tc>
        <w:tc>
          <w:tcPr>
            <w:tcW w:w="969" w:type="dxa"/>
            <w:tcBorders>
              <w:right w:val="single" w:sz="12" w:space="0" w:color="auto"/>
            </w:tcBorders>
          </w:tcPr>
          <w:p w14:paraId="43854495"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11.2</w:t>
            </w:r>
          </w:p>
        </w:tc>
        <w:tc>
          <w:tcPr>
            <w:tcW w:w="1006" w:type="dxa"/>
            <w:tcBorders>
              <w:right w:val="single" w:sz="4" w:space="0" w:color="auto"/>
            </w:tcBorders>
          </w:tcPr>
          <w:p w14:paraId="6AA4D980"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4.2</w:t>
            </w:r>
          </w:p>
        </w:tc>
        <w:tc>
          <w:tcPr>
            <w:tcW w:w="1005" w:type="dxa"/>
            <w:tcBorders>
              <w:left w:val="single" w:sz="4" w:space="0" w:color="auto"/>
              <w:right w:val="single" w:sz="4" w:space="0" w:color="auto"/>
            </w:tcBorders>
          </w:tcPr>
          <w:p w14:paraId="5138E761"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2.4</w:t>
            </w:r>
          </w:p>
        </w:tc>
        <w:tc>
          <w:tcPr>
            <w:tcW w:w="1011" w:type="dxa"/>
            <w:tcBorders>
              <w:left w:val="single" w:sz="4" w:space="0" w:color="auto"/>
              <w:right w:val="single" w:sz="12" w:space="0" w:color="auto"/>
            </w:tcBorders>
          </w:tcPr>
          <w:p w14:paraId="0F1152F3"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5.9</w:t>
            </w:r>
          </w:p>
        </w:tc>
      </w:tr>
      <w:tr w:rsidR="0044170A" w:rsidRPr="0044170A" w14:paraId="489B1F37" w14:textId="77777777" w:rsidTr="00210B0F">
        <w:trPr>
          <w:trHeight w:val="271"/>
        </w:trPr>
        <w:tc>
          <w:tcPr>
            <w:tcW w:w="2998" w:type="dxa"/>
            <w:tcBorders>
              <w:left w:val="single" w:sz="12" w:space="0" w:color="auto"/>
              <w:right w:val="single" w:sz="12" w:space="0" w:color="auto"/>
            </w:tcBorders>
          </w:tcPr>
          <w:p w14:paraId="15DC8179" w14:textId="77777777" w:rsidR="0044170A" w:rsidRPr="0044170A" w:rsidRDefault="0044170A" w:rsidP="00EF2FE7">
            <w:pPr>
              <w:rPr>
                <w:rFonts w:ascii="Garamond" w:hAnsi="Garamond" w:cs="Calibri"/>
                <w:kern w:val="1"/>
                <w:sz w:val="20"/>
                <w:szCs w:val="20"/>
                <w:lang w:eastAsia="en-GB"/>
              </w:rPr>
            </w:pPr>
            <w:r w:rsidRPr="0044170A">
              <w:rPr>
                <w:rFonts w:ascii="Garamond" w:hAnsi="Garamond" w:cs="Calibri"/>
                <w:kern w:val="1"/>
                <w:sz w:val="20"/>
                <w:szCs w:val="20"/>
                <w:lang w:eastAsia="en-GB"/>
              </w:rPr>
              <w:t>Net debt</w:t>
            </w:r>
          </w:p>
        </w:tc>
        <w:tc>
          <w:tcPr>
            <w:tcW w:w="1256" w:type="dxa"/>
            <w:tcBorders>
              <w:left w:val="single" w:sz="12" w:space="0" w:color="auto"/>
            </w:tcBorders>
          </w:tcPr>
          <w:p w14:paraId="475FBF2C"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(4.7)</w:t>
            </w:r>
          </w:p>
        </w:tc>
        <w:tc>
          <w:tcPr>
            <w:tcW w:w="802" w:type="dxa"/>
          </w:tcPr>
          <w:p w14:paraId="3F35C803"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(4.7)</w:t>
            </w:r>
          </w:p>
        </w:tc>
        <w:tc>
          <w:tcPr>
            <w:tcW w:w="969" w:type="dxa"/>
            <w:tcBorders>
              <w:right w:val="single" w:sz="12" w:space="0" w:color="auto"/>
            </w:tcBorders>
          </w:tcPr>
          <w:p w14:paraId="0D46EA71"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(4.7)</w:t>
            </w:r>
          </w:p>
        </w:tc>
        <w:tc>
          <w:tcPr>
            <w:tcW w:w="1006" w:type="dxa"/>
            <w:tcBorders>
              <w:right w:val="single" w:sz="4" w:space="0" w:color="auto"/>
            </w:tcBorders>
          </w:tcPr>
          <w:p w14:paraId="749CB23C"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(5.0)</w:t>
            </w:r>
          </w:p>
        </w:tc>
        <w:tc>
          <w:tcPr>
            <w:tcW w:w="1005" w:type="dxa"/>
            <w:tcBorders>
              <w:left w:val="single" w:sz="4" w:space="0" w:color="auto"/>
              <w:right w:val="single" w:sz="4" w:space="0" w:color="auto"/>
            </w:tcBorders>
          </w:tcPr>
          <w:p w14:paraId="3A6EA90D"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(5.0)</w:t>
            </w:r>
          </w:p>
        </w:tc>
        <w:tc>
          <w:tcPr>
            <w:tcW w:w="1011" w:type="dxa"/>
            <w:tcBorders>
              <w:left w:val="single" w:sz="4" w:space="0" w:color="auto"/>
              <w:right w:val="single" w:sz="12" w:space="0" w:color="auto"/>
            </w:tcBorders>
          </w:tcPr>
          <w:p w14:paraId="425817F0"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(5.0)</w:t>
            </w:r>
          </w:p>
        </w:tc>
      </w:tr>
      <w:tr w:rsidR="0044170A" w:rsidRPr="0044170A" w14:paraId="590B23AE" w14:textId="77777777" w:rsidTr="00210B0F">
        <w:trPr>
          <w:trHeight w:val="271"/>
        </w:trPr>
        <w:tc>
          <w:tcPr>
            <w:tcW w:w="2998" w:type="dxa"/>
            <w:tcBorders>
              <w:left w:val="single" w:sz="12" w:space="0" w:color="auto"/>
              <w:right w:val="single" w:sz="12" w:space="0" w:color="auto"/>
            </w:tcBorders>
          </w:tcPr>
          <w:p w14:paraId="02095055" w14:textId="77777777" w:rsidR="0044170A" w:rsidRPr="0044170A" w:rsidRDefault="0044170A" w:rsidP="00EF2FE7">
            <w:pPr>
              <w:rPr>
                <w:rFonts w:ascii="Garamond" w:hAnsi="Garamond" w:cs="Calibri"/>
                <w:kern w:val="1"/>
                <w:sz w:val="20"/>
                <w:szCs w:val="20"/>
                <w:lang w:eastAsia="en-GB"/>
              </w:rPr>
            </w:pPr>
            <w:r w:rsidRPr="0044170A">
              <w:rPr>
                <w:rFonts w:ascii="Garamond" w:hAnsi="Garamond" w:cs="Calibri"/>
                <w:kern w:val="1"/>
                <w:sz w:val="20"/>
                <w:szCs w:val="20"/>
                <w:lang w:eastAsia="en-GB"/>
              </w:rPr>
              <w:t>Equity value</w:t>
            </w:r>
          </w:p>
        </w:tc>
        <w:tc>
          <w:tcPr>
            <w:tcW w:w="1256" w:type="dxa"/>
            <w:tcBorders>
              <w:left w:val="single" w:sz="12" w:space="0" w:color="auto"/>
            </w:tcBorders>
          </w:tcPr>
          <w:p w14:paraId="3A5B8E11"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6.3</w:t>
            </w:r>
          </w:p>
        </w:tc>
        <w:tc>
          <w:tcPr>
            <w:tcW w:w="802" w:type="dxa"/>
          </w:tcPr>
          <w:p w14:paraId="6565FD10"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6.1</w:t>
            </w:r>
          </w:p>
        </w:tc>
        <w:tc>
          <w:tcPr>
            <w:tcW w:w="969" w:type="dxa"/>
            <w:tcBorders>
              <w:right w:val="single" w:sz="12" w:space="0" w:color="auto"/>
            </w:tcBorders>
          </w:tcPr>
          <w:p w14:paraId="14AA4C52"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6.5</w:t>
            </w:r>
          </w:p>
        </w:tc>
        <w:tc>
          <w:tcPr>
            <w:tcW w:w="1006" w:type="dxa"/>
            <w:tcBorders>
              <w:right w:val="single" w:sz="4" w:space="0" w:color="auto"/>
            </w:tcBorders>
          </w:tcPr>
          <w:p w14:paraId="643EA2C7"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(0.9)</w:t>
            </w:r>
          </w:p>
        </w:tc>
        <w:tc>
          <w:tcPr>
            <w:tcW w:w="1005" w:type="dxa"/>
            <w:tcBorders>
              <w:left w:val="single" w:sz="4" w:space="0" w:color="auto"/>
              <w:right w:val="single" w:sz="4" w:space="0" w:color="auto"/>
            </w:tcBorders>
          </w:tcPr>
          <w:p w14:paraId="51F7A6F3"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(2.6)</w:t>
            </w:r>
          </w:p>
        </w:tc>
        <w:tc>
          <w:tcPr>
            <w:tcW w:w="1011" w:type="dxa"/>
            <w:tcBorders>
              <w:left w:val="single" w:sz="4" w:space="0" w:color="auto"/>
              <w:right w:val="single" w:sz="12" w:space="0" w:color="auto"/>
            </w:tcBorders>
          </w:tcPr>
          <w:p w14:paraId="24CC9F61" w14:textId="77777777" w:rsidR="0044170A" w:rsidRPr="0044170A" w:rsidRDefault="0044170A"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0.9</w:t>
            </w:r>
          </w:p>
        </w:tc>
      </w:tr>
      <w:tr w:rsidR="0044170A" w:rsidRPr="0044170A" w14:paraId="7385DD78" w14:textId="77777777" w:rsidTr="00210B0F">
        <w:trPr>
          <w:trHeight w:val="271"/>
        </w:trPr>
        <w:tc>
          <w:tcPr>
            <w:tcW w:w="2998" w:type="dxa"/>
            <w:tcBorders>
              <w:left w:val="single" w:sz="12" w:space="0" w:color="auto"/>
              <w:bottom w:val="single" w:sz="4" w:space="0" w:color="auto"/>
              <w:right w:val="single" w:sz="12" w:space="0" w:color="auto"/>
            </w:tcBorders>
          </w:tcPr>
          <w:p w14:paraId="1B64A314" w14:textId="77777777" w:rsidR="0044170A" w:rsidRPr="0044170A" w:rsidRDefault="0044170A" w:rsidP="00EF2FE7">
            <w:pPr>
              <w:rPr>
                <w:rFonts w:ascii="Garamond" w:hAnsi="Garamond" w:cs="Calibri"/>
                <w:b/>
                <w:kern w:val="1"/>
                <w:sz w:val="20"/>
                <w:szCs w:val="20"/>
                <w:lang w:eastAsia="en-GB"/>
              </w:rPr>
            </w:pPr>
            <w:r w:rsidRPr="0044170A">
              <w:rPr>
                <w:rFonts w:ascii="Garamond" w:hAnsi="Garamond" w:cs="Calibri"/>
                <w:b/>
                <w:kern w:val="1"/>
                <w:sz w:val="20"/>
                <w:szCs w:val="20"/>
                <w:lang w:eastAsia="en-GB"/>
              </w:rPr>
              <w:t>Claimants’ 60% share (no RPP)</w:t>
            </w:r>
          </w:p>
        </w:tc>
        <w:tc>
          <w:tcPr>
            <w:tcW w:w="1256" w:type="dxa"/>
            <w:tcBorders>
              <w:left w:val="single" w:sz="12" w:space="0" w:color="auto"/>
              <w:bottom w:val="single" w:sz="4" w:space="0" w:color="auto"/>
            </w:tcBorders>
          </w:tcPr>
          <w:p w14:paraId="7ED0FA12"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3.5</w:t>
            </w:r>
          </w:p>
        </w:tc>
        <w:tc>
          <w:tcPr>
            <w:tcW w:w="802" w:type="dxa"/>
            <w:tcBorders>
              <w:bottom w:val="single" w:sz="4" w:space="0" w:color="auto"/>
            </w:tcBorders>
          </w:tcPr>
          <w:p w14:paraId="32169381"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3.4</w:t>
            </w:r>
          </w:p>
        </w:tc>
        <w:tc>
          <w:tcPr>
            <w:tcW w:w="969" w:type="dxa"/>
            <w:tcBorders>
              <w:bottom w:val="single" w:sz="4" w:space="0" w:color="auto"/>
              <w:right w:val="single" w:sz="12" w:space="0" w:color="auto"/>
            </w:tcBorders>
          </w:tcPr>
          <w:p w14:paraId="27258538"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3.6</w:t>
            </w:r>
          </w:p>
        </w:tc>
        <w:tc>
          <w:tcPr>
            <w:tcW w:w="1006" w:type="dxa"/>
            <w:tcBorders>
              <w:bottom w:val="single" w:sz="4" w:space="0" w:color="auto"/>
              <w:right w:val="single" w:sz="4" w:space="0" w:color="auto"/>
            </w:tcBorders>
          </w:tcPr>
          <w:p w14:paraId="65748883" w14:textId="051813D9" w:rsidR="0044170A" w:rsidRPr="0044170A" w:rsidRDefault="00BA65F3"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N</w:t>
            </w:r>
            <w:r w:rsidR="0044170A" w:rsidRPr="0044170A">
              <w:rPr>
                <w:rFonts w:ascii="Garamond" w:hAnsi="Garamond" w:cs="Calibri"/>
                <w:b/>
                <w:kern w:val="1"/>
                <w:sz w:val="20"/>
                <w:szCs w:val="20"/>
                <w:lang w:eastAsia="en-GB"/>
              </w:rPr>
              <w:t>il</w:t>
            </w:r>
          </w:p>
        </w:tc>
        <w:tc>
          <w:tcPr>
            <w:tcW w:w="1005" w:type="dxa"/>
            <w:tcBorders>
              <w:left w:val="single" w:sz="4" w:space="0" w:color="auto"/>
              <w:bottom w:val="single" w:sz="4" w:space="0" w:color="auto"/>
              <w:right w:val="single" w:sz="4" w:space="0" w:color="auto"/>
            </w:tcBorders>
          </w:tcPr>
          <w:p w14:paraId="42A5FB42"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nil</w:t>
            </w:r>
          </w:p>
        </w:tc>
        <w:tc>
          <w:tcPr>
            <w:tcW w:w="1011" w:type="dxa"/>
            <w:tcBorders>
              <w:left w:val="single" w:sz="4" w:space="0" w:color="auto"/>
              <w:bottom w:val="single" w:sz="4" w:space="0" w:color="auto"/>
              <w:right w:val="single" w:sz="12" w:space="0" w:color="auto"/>
            </w:tcBorders>
          </w:tcPr>
          <w:p w14:paraId="74A4DB81"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0.5</w:t>
            </w:r>
          </w:p>
        </w:tc>
      </w:tr>
      <w:tr w:rsidR="0044170A" w:rsidRPr="0044170A" w14:paraId="1BD31443" w14:textId="77777777" w:rsidTr="00210B0F">
        <w:trPr>
          <w:trHeight w:val="271"/>
        </w:trPr>
        <w:tc>
          <w:tcPr>
            <w:tcW w:w="2998" w:type="dxa"/>
            <w:tcBorders>
              <w:left w:val="single" w:sz="12" w:space="0" w:color="auto"/>
              <w:bottom w:val="single" w:sz="12" w:space="0" w:color="auto"/>
              <w:right w:val="single" w:sz="12" w:space="0" w:color="auto"/>
            </w:tcBorders>
          </w:tcPr>
          <w:p w14:paraId="718E3D4D" w14:textId="77777777" w:rsidR="0044170A" w:rsidRPr="0044170A" w:rsidRDefault="0044170A" w:rsidP="00EF2FE7">
            <w:pPr>
              <w:rPr>
                <w:rFonts w:ascii="Garamond" w:hAnsi="Garamond" w:cs="Calibri"/>
                <w:b/>
                <w:kern w:val="1"/>
                <w:sz w:val="20"/>
                <w:szCs w:val="20"/>
                <w:lang w:eastAsia="en-GB"/>
              </w:rPr>
            </w:pPr>
            <w:r w:rsidRPr="0044170A">
              <w:rPr>
                <w:rFonts w:ascii="Garamond" w:hAnsi="Garamond" w:cs="Calibri"/>
                <w:b/>
                <w:kern w:val="1"/>
                <w:sz w:val="20"/>
                <w:szCs w:val="20"/>
                <w:lang w:eastAsia="en-GB"/>
              </w:rPr>
              <w:t>Claimants’ 60% share (with RPP)</w:t>
            </w:r>
          </w:p>
        </w:tc>
        <w:tc>
          <w:tcPr>
            <w:tcW w:w="1256" w:type="dxa"/>
            <w:tcBorders>
              <w:left w:val="single" w:sz="12" w:space="0" w:color="auto"/>
              <w:bottom w:val="single" w:sz="12" w:space="0" w:color="auto"/>
            </w:tcBorders>
          </w:tcPr>
          <w:p w14:paraId="78D2A4C9" w14:textId="273F077E" w:rsidR="0044170A" w:rsidRPr="0044170A" w:rsidRDefault="00B54494"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N</w:t>
            </w:r>
            <w:r w:rsidR="0044170A" w:rsidRPr="0044170A">
              <w:rPr>
                <w:rFonts w:ascii="Garamond" w:hAnsi="Garamond" w:cs="Calibri"/>
                <w:b/>
                <w:kern w:val="1"/>
                <w:sz w:val="20"/>
                <w:szCs w:val="20"/>
                <w:lang w:eastAsia="en-GB"/>
              </w:rPr>
              <w:t>il</w:t>
            </w:r>
          </w:p>
        </w:tc>
        <w:tc>
          <w:tcPr>
            <w:tcW w:w="802" w:type="dxa"/>
            <w:tcBorders>
              <w:bottom w:val="single" w:sz="12" w:space="0" w:color="auto"/>
            </w:tcBorders>
          </w:tcPr>
          <w:p w14:paraId="4408AFED" w14:textId="44E1C097" w:rsidR="0044170A" w:rsidRPr="0044170A" w:rsidRDefault="00DE2876"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N</w:t>
            </w:r>
            <w:r w:rsidR="0044170A" w:rsidRPr="0044170A">
              <w:rPr>
                <w:rFonts w:ascii="Garamond" w:hAnsi="Garamond" w:cs="Calibri"/>
                <w:b/>
                <w:kern w:val="1"/>
                <w:sz w:val="20"/>
                <w:szCs w:val="20"/>
                <w:lang w:eastAsia="en-GB"/>
              </w:rPr>
              <w:t>il</w:t>
            </w:r>
          </w:p>
        </w:tc>
        <w:tc>
          <w:tcPr>
            <w:tcW w:w="969" w:type="dxa"/>
            <w:tcBorders>
              <w:bottom w:val="single" w:sz="12" w:space="0" w:color="auto"/>
              <w:right w:val="single" w:sz="12" w:space="0" w:color="auto"/>
            </w:tcBorders>
          </w:tcPr>
          <w:p w14:paraId="1C51E926"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0.2</w:t>
            </w:r>
          </w:p>
        </w:tc>
        <w:tc>
          <w:tcPr>
            <w:tcW w:w="1006" w:type="dxa"/>
            <w:tcBorders>
              <w:bottom w:val="single" w:sz="12" w:space="0" w:color="auto"/>
              <w:right w:val="single" w:sz="4" w:space="0" w:color="auto"/>
            </w:tcBorders>
          </w:tcPr>
          <w:p w14:paraId="0D6A0650" w14:textId="572406D1" w:rsidR="0044170A" w:rsidRPr="0044170A" w:rsidRDefault="00BA65F3"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N</w:t>
            </w:r>
            <w:r w:rsidR="0044170A" w:rsidRPr="0044170A">
              <w:rPr>
                <w:rFonts w:ascii="Garamond" w:hAnsi="Garamond" w:cs="Calibri"/>
                <w:b/>
                <w:kern w:val="1"/>
                <w:sz w:val="20"/>
                <w:szCs w:val="20"/>
                <w:lang w:eastAsia="en-GB"/>
              </w:rPr>
              <w:t>il</w:t>
            </w:r>
          </w:p>
        </w:tc>
        <w:tc>
          <w:tcPr>
            <w:tcW w:w="1005" w:type="dxa"/>
            <w:tcBorders>
              <w:left w:val="single" w:sz="4" w:space="0" w:color="auto"/>
              <w:bottom w:val="single" w:sz="12" w:space="0" w:color="auto"/>
              <w:right w:val="single" w:sz="4" w:space="0" w:color="auto"/>
            </w:tcBorders>
          </w:tcPr>
          <w:p w14:paraId="3780E4AF"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nil</w:t>
            </w:r>
          </w:p>
        </w:tc>
        <w:tc>
          <w:tcPr>
            <w:tcW w:w="1011" w:type="dxa"/>
            <w:tcBorders>
              <w:left w:val="single" w:sz="4" w:space="0" w:color="auto"/>
              <w:bottom w:val="single" w:sz="12" w:space="0" w:color="auto"/>
              <w:right w:val="single" w:sz="12" w:space="0" w:color="auto"/>
            </w:tcBorders>
          </w:tcPr>
          <w:p w14:paraId="66D1DB33" w14:textId="77777777" w:rsidR="0044170A" w:rsidRPr="0044170A" w:rsidRDefault="0044170A" w:rsidP="00EF2FE7">
            <w:pPr>
              <w:jc w:val="center"/>
              <w:rPr>
                <w:rFonts w:ascii="Garamond" w:hAnsi="Garamond" w:cs="Calibri"/>
                <w:b/>
                <w:kern w:val="1"/>
                <w:sz w:val="20"/>
                <w:szCs w:val="20"/>
                <w:lang w:eastAsia="en-GB"/>
              </w:rPr>
            </w:pPr>
            <w:r w:rsidRPr="0044170A">
              <w:rPr>
                <w:rFonts w:ascii="Garamond" w:hAnsi="Garamond" w:cs="Calibri"/>
                <w:b/>
                <w:kern w:val="1"/>
                <w:sz w:val="20"/>
                <w:szCs w:val="20"/>
                <w:lang w:eastAsia="en-GB"/>
              </w:rPr>
              <w:t>nil</w:t>
            </w:r>
          </w:p>
        </w:tc>
      </w:tr>
      <w:bookmarkEnd w:id="4"/>
    </w:tbl>
    <w:p w14:paraId="0BBD14ED" w14:textId="77777777" w:rsidR="0044170A" w:rsidRPr="0044170A" w:rsidRDefault="0044170A" w:rsidP="00EF2FE7">
      <w:pPr>
        <w:widowControl w:val="0"/>
        <w:spacing w:after="120"/>
        <w:jc w:val="both"/>
        <w:rPr>
          <w:rFonts w:ascii="Garamond" w:hAnsi="Garamond"/>
          <w:kern w:val="1"/>
          <w:lang w:eastAsia="en-GB"/>
        </w:rPr>
      </w:pPr>
    </w:p>
    <w:p w14:paraId="17BCE709" w14:textId="2D834F2C" w:rsidR="0044170A" w:rsidRDefault="00B54494" w:rsidP="00EF2FE7">
      <w:pPr>
        <w:pStyle w:val="ParaLevel1"/>
      </w:pPr>
      <w:r>
        <w:t>The</w:t>
      </w:r>
      <w:r w:rsidR="00F926D0">
        <w:t xml:space="preserve"> most significant areas of disagreement </w:t>
      </w:r>
      <w:r w:rsidR="00F91F0C">
        <w:t>between the experts were therefore over the appropriate EBITDA multiple</w:t>
      </w:r>
      <w:r w:rsidR="00D6415C">
        <w:t xml:space="preserve">, </w:t>
      </w:r>
      <w:r w:rsidR="00956DCF">
        <w:t>for the purposes of the First Valuation Date and the Second Valuation Date</w:t>
      </w:r>
      <w:r w:rsidR="00D6415C">
        <w:t xml:space="preserve">, </w:t>
      </w:r>
      <w:r w:rsidR="00956DCF">
        <w:t xml:space="preserve">and the appropriate EBITDA </w:t>
      </w:r>
      <w:r w:rsidR="00D6415C">
        <w:t>figure for the Second Valuation Date.</w:t>
      </w:r>
    </w:p>
    <w:p w14:paraId="21811072" w14:textId="6E30522D" w:rsidR="00D6415C" w:rsidRDefault="00D6415C" w:rsidP="00EF2FE7">
      <w:pPr>
        <w:pStyle w:val="ParaLevel1"/>
      </w:pPr>
      <w:r>
        <w:t xml:space="preserve">The first of these </w:t>
      </w:r>
      <w:r w:rsidR="00DB1CB4">
        <w:t xml:space="preserve">differences reflected </w:t>
      </w:r>
      <w:r w:rsidR="00671B33">
        <w:t>their diff</w:t>
      </w:r>
      <w:r w:rsidR="00DF5E18">
        <w:t xml:space="preserve">ering approaches to the calculation of </w:t>
      </w:r>
      <w:r w:rsidR="008A3E78">
        <w:t>the EV</w:t>
      </w:r>
      <w:r w:rsidR="00980005">
        <w:t xml:space="preserve"> of both IPS UK and the Company</w:t>
      </w:r>
      <w:r w:rsidR="008A3E78">
        <w:t>.</w:t>
      </w:r>
    </w:p>
    <w:p w14:paraId="772A7497" w14:textId="2C352CC4" w:rsidR="0044170A" w:rsidRDefault="003561DF" w:rsidP="00EF2FE7">
      <w:pPr>
        <w:pStyle w:val="ParaLevel1"/>
      </w:pPr>
      <w:r>
        <w:t xml:space="preserve">Mr Skeels’ range of EBITDA multiples for </w:t>
      </w:r>
      <w:r w:rsidR="00C13743">
        <w:t xml:space="preserve">IPS UK at the First Valuation Date was </w:t>
      </w:r>
      <w:r w:rsidR="00401B5A">
        <w:t xml:space="preserve">derived from the Comparable Companies and Comparable Transactions identified in his report and then adjusted </w:t>
      </w:r>
      <w:r w:rsidR="00896EBD">
        <w:t>with a discount of 44% for lack of marketability (“</w:t>
      </w:r>
      <w:r w:rsidR="00896EBD" w:rsidRPr="00B25521">
        <w:rPr>
          <w:b/>
          <w:bCs/>
        </w:rPr>
        <w:t>DLOM</w:t>
      </w:r>
      <w:r w:rsidR="00896EBD">
        <w:t>”)</w:t>
      </w:r>
      <w:r w:rsidR="00192E5C">
        <w:t xml:space="preserve"> and a </w:t>
      </w:r>
      <w:r w:rsidR="00B25521">
        <w:t>premium of 30</w:t>
      </w:r>
      <w:r w:rsidR="00B6177D">
        <w:t xml:space="preserve">% </w:t>
      </w:r>
      <w:r w:rsidR="00B25521">
        <w:t xml:space="preserve">for </w:t>
      </w:r>
      <w:r w:rsidR="00B6177D">
        <w:t xml:space="preserve">the fact that </w:t>
      </w:r>
      <w:r w:rsidR="00EA66D1">
        <w:t>the Claimants’ shares gave control (a</w:t>
      </w:r>
      <w:r w:rsidR="00D81DD8">
        <w:t xml:space="preserve"> </w:t>
      </w:r>
      <w:r w:rsidR="00EA66D1">
        <w:t>“</w:t>
      </w:r>
      <w:r w:rsidR="00401B5A" w:rsidRPr="00EA66D1">
        <w:rPr>
          <w:b/>
          <w:bCs/>
        </w:rPr>
        <w:t>Control Premium</w:t>
      </w:r>
      <w:r w:rsidR="00EA66D1">
        <w:t>”)</w:t>
      </w:r>
      <w:r w:rsidR="00192E5C">
        <w:t xml:space="preserve"> </w:t>
      </w:r>
      <w:r w:rsidR="00EA66D1">
        <w:t>together with</w:t>
      </w:r>
      <w:r w:rsidR="00223C5C">
        <w:t xml:space="preserve"> </w:t>
      </w:r>
      <w:r w:rsidR="00401B5A">
        <w:t>other relevant adjustments</w:t>
      </w:r>
      <w:r w:rsidR="00223C5C">
        <w:t>.</w:t>
      </w:r>
      <w:r w:rsidR="007C2D8C">
        <w:t xml:space="preserve">  </w:t>
      </w:r>
      <w:r w:rsidR="0001092C">
        <w:t xml:space="preserve">He did not rely upon the Transaction (and whatever EBITDA </w:t>
      </w:r>
      <w:r w:rsidR="00022C07">
        <w:t xml:space="preserve">multiple might be implied from it) because </w:t>
      </w:r>
      <w:r w:rsidR="00DE2876">
        <w:t xml:space="preserve">he was </w:t>
      </w:r>
      <w:r w:rsidR="005F4C48">
        <w:t xml:space="preserve">assessing fair market value </w:t>
      </w:r>
      <w:r w:rsidR="00D81DD8">
        <w:t>immediately before the Transaction.</w:t>
      </w:r>
    </w:p>
    <w:p w14:paraId="45FEA21B" w14:textId="5F67943E" w:rsidR="00240610" w:rsidRDefault="00C73D9D" w:rsidP="00EF2FE7">
      <w:pPr>
        <w:pStyle w:val="ParaLevel1"/>
      </w:pPr>
      <w:r>
        <w:t>Mr Taylor</w:t>
      </w:r>
      <w:r w:rsidR="002D4199">
        <w:t xml:space="preserve">, on the other hand, </w:t>
      </w:r>
      <w:r w:rsidR="00EC4467">
        <w:t xml:space="preserve">derived his EBITDA multiples from the Transaction (and his analysis of </w:t>
      </w:r>
      <w:r w:rsidR="007011F3">
        <w:t xml:space="preserve">what Livinbridge considered the </w:t>
      </w:r>
      <w:r w:rsidR="00374A0C">
        <w:t xml:space="preserve">implied range of multiples </w:t>
      </w:r>
      <w:r w:rsidR="00972A32">
        <w:t xml:space="preserve">to be) and the other indicative offers made in 2014.  </w:t>
      </w:r>
      <w:r w:rsidR="00240610">
        <w:t>He</w:t>
      </w:r>
      <w:r w:rsidR="006B3531">
        <w:t xml:space="preserve"> consider</w:t>
      </w:r>
      <w:r w:rsidR="00240610">
        <w:t>ed</w:t>
      </w:r>
      <w:r w:rsidR="006B3531">
        <w:t xml:space="preserve"> the multiples implied by the Transaction and the indicative offers to be the best indicator of market value, given the Claimants’ pleaded case that they would have agreed terms with an alternative investor </w:t>
      </w:r>
      <w:r w:rsidR="00240610">
        <w:t>had they not concluded the Transaction.</w:t>
      </w:r>
      <w:r w:rsidR="00C56AE2">
        <w:t xml:space="preserve">  </w:t>
      </w:r>
      <w:r w:rsidR="002A3C0A">
        <w:t>Mr Taylor agreed that some of t</w:t>
      </w:r>
      <w:r w:rsidR="00943014">
        <w:t xml:space="preserve">he Comparable Companies identified by Mr Skeels were comparable to </w:t>
      </w:r>
      <w:r w:rsidR="008A4978">
        <w:t xml:space="preserve">IPS UK and </w:t>
      </w:r>
      <w:r w:rsidR="00BC21E4">
        <w:t xml:space="preserve">5 </w:t>
      </w:r>
      <w:r w:rsidR="0087019B">
        <w:t xml:space="preserve">such </w:t>
      </w:r>
      <w:r w:rsidR="00BC21E4">
        <w:t>companies</w:t>
      </w:r>
      <w:r w:rsidR="0087019B">
        <w:t xml:space="preserve"> were common to </w:t>
      </w:r>
      <w:r w:rsidR="004D097D">
        <w:t xml:space="preserve">their separate lists of comparables.  However, </w:t>
      </w:r>
      <w:r w:rsidR="00FB3964">
        <w:t xml:space="preserve">Mr Skeels included 4 others </w:t>
      </w:r>
      <w:r w:rsidR="000077A3">
        <w:t xml:space="preserve">(and would have included a fifth if </w:t>
      </w:r>
      <w:r w:rsidR="00BB0919">
        <w:t xml:space="preserve">a </w:t>
      </w:r>
      <w:r w:rsidR="000077A3">
        <w:t>mean</w:t>
      </w:r>
      <w:r w:rsidR="00141465">
        <w:t xml:space="preserve">ingful multiple could have been derived from it) </w:t>
      </w:r>
      <w:r w:rsidR="00CC51B7">
        <w:t>which were not agreed and Mr Taylor included one which was not recognised by Mr Skeels.</w:t>
      </w:r>
      <w:r w:rsidR="00BC21E4">
        <w:t xml:space="preserve"> </w:t>
      </w:r>
      <w:r w:rsidR="00F249CC">
        <w:t xml:space="preserve">Mr Taylor considered Mr Skeels’ </w:t>
      </w:r>
      <w:r w:rsidR="005C3077">
        <w:t xml:space="preserve">DLOM of 44% to be reasonable but challenged </w:t>
      </w:r>
      <w:r w:rsidR="003972DD">
        <w:t xml:space="preserve">his use of a Control Premium of 30%.  </w:t>
      </w:r>
      <w:r w:rsidR="003C3166">
        <w:t xml:space="preserve">Mr Taylor did not regard the Comparable Transactions </w:t>
      </w:r>
      <w:r w:rsidR="0077444B">
        <w:t>identified by Mr Skeels to be appropriate comparables</w:t>
      </w:r>
      <w:r w:rsidR="0094622D">
        <w:t xml:space="preserve"> and there was limited overlap between </w:t>
      </w:r>
      <w:r w:rsidR="000064C8">
        <w:t xml:space="preserve">those identified by Mr Skeels and those </w:t>
      </w:r>
      <w:r w:rsidR="00C65AC2">
        <w:t xml:space="preserve">which Mr Taylor would have relied upon </w:t>
      </w:r>
      <w:r w:rsidR="00DA241E">
        <w:t>if he had adopted Mr Skeels’ basis of valuation</w:t>
      </w:r>
      <w:r w:rsidR="0077444B">
        <w:t>.</w:t>
      </w:r>
    </w:p>
    <w:p w14:paraId="7BEE3FE5" w14:textId="3F5364BF" w:rsidR="00240610" w:rsidRDefault="001B66C3" w:rsidP="00EF2FE7">
      <w:pPr>
        <w:pStyle w:val="ParaLevel1"/>
      </w:pPr>
      <w:r>
        <w:t xml:space="preserve">On their conflicting analysis of the </w:t>
      </w:r>
      <w:r w:rsidR="002C184C">
        <w:t>Transaction, t</w:t>
      </w:r>
      <w:r w:rsidR="00240610">
        <w:t xml:space="preserve">he </w:t>
      </w:r>
      <w:r w:rsidR="001F2987">
        <w:t>experts disagreed upon the</w:t>
      </w:r>
      <w:r w:rsidR="002C184C">
        <w:t xml:space="preserve"> </w:t>
      </w:r>
      <w:r w:rsidR="00574BE6">
        <w:t xml:space="preserve">implied </w:t>
      </w:r>
      <w:r w:rsidR="002C184C">
        <w:t>EBITDA</w:t>
      </w:r>
      <w:r w:rsidR="001F2987">
        <w:t xml:space="preserve"> </w:t>
      </w:r>
      <w:r w:rsidR="00574BE6">
        <w:t xml:space="preserve">multiple within it.  At the risk of gross simplification, this </w:t>
      </w:r>
      <w:r w:rsidR="005A3723">
        <w:t xml:space="preserve">turned upon </w:t>
      </w:r>
      <w:r w:rsidR="00F27FB3">
        <w:t>whether</w:t>
      </w:r>
      <w:r w:rsidR="000426B8">
        <w:t xml:space="preserve">, under the Transaction and in addition to </w:t>
      </w:r>
      <w:r w:rsidR="00E32771">
        <w:t>£4.6m cash paid,</w:t>
      </w:r>
      <w:r w:rsidR="00F27FB3">
        <w:t xml:space="preserve"> the Claimants</w:t>
      </w:r>
      <w:r w:rsidR="000426B8">
        <w:t xml:space="preserve"> </w:t>
      </w:r>
      <w:r w:rsidR="006E3224">
        <w:t xml:space="preserve">and Mr Lindsell </w:t>
      </w:r>
      <w:r w:rsidR="000426B8">
        <w:t xml:space="preserve">had received </w:t>
      </w:r>
      <w:r w:rsidR="00474289">
        <w:t xml:space="preserve">shares in the Company </w:t>
      </w:r>
      <w:r w:rsidR="008E7432">
        <w:t>whose equity value at th</w:t>
      </w:r>
      <w:r w:rsidR="00D768FE">
        <w:t xml:space="preserve">at point was nil </w:t>
      </w:r>
      <w:r w:rsidR="008F368C">
        <w:t xml:space="preserve">because </w:t>
      </w:r>
      <w:r w:rsidR="00301C17">
        <w:t xml:space="preserve">the Company was loaded with debt </w:t>
      </w:r>
      <w:r w:rsidR="00D768FE">
        <w:t>(per Mr Taylor) or</w:t>
      </w:r>
      <w:r w:rsidR="00301C17">
        <w:t xml:space="preserve"> which </w:t>
      </w:r>
      <w:r w:rsidR="008C78EB">
        <w:t xml:space="preserve">had an entry value of £5.7m (per Mr </w:t>
      </w:r>
      <w:r w:rsidR="00FE313E">
        <w:t>Skeels</w:t>
      </w:r>
      <w:r w:rsidR="008C78EB">
        <w:t xml:space="preserve">).  </w:t>
      </w:r>
      <w:r w:rsidR="0003767B">
        <w:t>Th</w:t>
      </w:r>
      <w:r w:rsidR="00CF1E10">
        <w:t xml:space="preserve">e disagreement between them does not rest upon the RPP impacting upon </w:t>
      </w:r>
      <w:r w:rsidR="009E373A">
        <w:t xml:space="preserve">the value of the Claimants’ shareholding in the Company: Mr Taylor’s point was that the Company’s indebtedness to Livingbridge under </w:t>
      </w:r>
      <w:r w:rsidR="003F70F7">
        <w:t xml:space="preserve">the loan notes meant that none of the shares </w:t>
      </w:r>
      <w:r w:rsidR="007D3D5A">
        <w:t xml:space="preserve">in the Company were worth anything at the First Valuation Date.  Again, </w:t>
      </w:r>
      <w:r w:rsidR="00550004">
        <w:t xml:space="preserve">Mr Skeels said that the agreement that the First Valuation Date was </w:t>
      </w:r>
      <w:r w:rsidR="00D704A0">
        <w:t xml:space="preserve">immediately before the actual sale to Livingbridge meant that </w:t>
      </w:r>
      <w:r w:rsidR="00223B6E">
        <w:t>there was no need to consider the value of the Company as at that date.</w:t>
      </w:r>
    </w:p>
    <w:p w14:paraId="371BD64A" w14:textId="223A9771" w:rsidR="00A332A2" w:rsidRDefault="0064192D" w:rsidP="00EF2FE7">
      <w:pPr>
        <w:pStyle w:val="ParaLevel1"/>
      </w:pPr>
      <w:r>
        <w:t xml:space="preserve">For the Second Valuation Date, Mr Skeels </w:t>
      </w:r>
      <w:r w:rsidR="00A66D98">
        <w:t xml:space="preserve">again used the Comparable Companies </w:t>
      </w:r>
      <w:r w:rsidR="0085421D">
        <w:t>to calculate the range of EBITDA multiples</w:t>
      </w:r>
      <w:r w:rsidR="00037A68">
        <w:t xml:space="preserve">.  </w:t>
      </w:r>
      <w:r w:rsidR="002715A5">
        <w:t>He applied a DLOM of 40%</w:t>
      </w:r>
      <w:r w:rsidR="000E5D21">
        <w:t xml:space="preserve"> and a Control Pre</w:t>
      </w:r>
      <w:r w:rsidR="00D5371F">
        <w:t xml:space="preserve">mium of 30%.  </w:t>
      </w:r>
      <w:r w:rsidR="00037A68">
        <w:t xml:space="preserve">For this valuation he used Comparable Transactions </w:t>
      </w:r>
      <w:r w:rsidR="00CE441B">
        <w:t xml:space="preserve">(adding three and removing one from the list he had used for the First </w:t>
      </w:r>
      <w:r w:rsidR="00D8655B">
        <w:t xml:space="preserve">Valuation Date) </w:t>
      </w:r>
      <w:r w:rsidR="00037A68">
        <w:t xml:space="preserve">only as a cross-check </w:t>
      </w:r>
      <w:r w:rsidR="00BE1597">
        <w:t xml:space="preserve">of those multiples.  </w:t>
      </w:r>
    </w:p>
    <w:p w14:paraId="73F3311A" w14:textId="11ACDF6A" w:rsidR="002E4575" w:rsidRDefault="00A332A2" w:rsidP="00EF2FE7">
      <w:pPr>
        <w:pStyle w:val="ParaLevel1"/>
      </w:pPr>
      <w:r>
        <w:t>Mr Taylor</w:t>
      </w:r>
      <w:r w:rsidR="00332E29">
        <w:t xml:space="preserve">, on the other hand, </w:t>
      </w:r>
      <w:r w:rsidR="00606BBB">
        <w:t xml:space="preserve">continued to use the </w:t>
      </w:r>
      <w:r w:rsidR="008B7F57">
        <w:t xml:space="preserve">Transaction and the </w:t>
      </w:r>
      <w:r w:rsidR="00606BBB">
        <w:t>offers received</w:t>
      </w:r>
      <w:r w:rsidR="00D760C7">
        <w:t xml:space="preserve"> by the Claimants in 2014 as a starting point </w:t>
      </w:r>
      <w:r w:rsidR="002E7DC1">
        <w:t xml:space="preserve">and updated his multiples </w:t>
      </w:r>
      <w:r w:rsidR="00034F13">
        <w:t xml:space="preserve">for the </w:t>
      </w:r>
      <w:r w:rsidR="00C509C5">
        <w:t>First</w:t>
      </w:r>
      <w:r w:rsidR="00034F13">
        <w:t xml:space="preserve"> Valuation Date by </w:t>
      </w:r>
      <w:r w:rsidR="00C509C5">
        <w:t>measuring the impact of changes in the</w:t>
      </w:r>
      <w:r w:rsidR="00332E29">
        <w:t xml:space="preserve"> </w:t>
      </w:r>
      <w:r w:rsidR="00C509C5">
        <w:t>industry by calculating the movement in the multiples</w:t>
      </w:r>
      <w:r w:rsidR="00332E29">
        <w:t xml:space="preserve"> </w:t>
      </w:r>
      <w:r w:rsidR="00C509C5">
        <w:t>obtained for comparable public companies between the</w:t>
      </w:r>
      <w:r w:rsidR="00332E29">
        <w:t xml:space="preserve"> </w:t>
      </w:r>
      <w:r w:rsidR="00C509C5">
        <w:t>First Valuation Date and the Second Valuation Date</w:t>
      </w:r>
      <w:r w:rsidR="00332E29">
        <w:t>.</w:t>
      </w:r>
      <w:r w:rsidR="00784F51">
        <w:t xml:space="preserve">  He did this by </w:t>
      </w:r>
      <w:r w:rsidR="00872C72">
        <w:t>looking at</w:t>
      </w:r>
      <w:r w:rsidR="00784F51">
        <w:t xml:space="preserve"> </w:t>
      </w:r>
      <w:r w:rsidR="00FF4088">
        <w:t xml:space="preserve">the comparable companies </w:t>
      </w:r>
      <w:r w:rsidR="00167E40">
        <w:t xml:space="preserve">he had </w:t>
      </w:r>
      <w:r w:rsidR="00FF4088">
        <w:t xml:space="preserve">identified </w:t>
      </w:r>
      <w:r w:rsidR="00167E40">
        <w:t>i</w:t>
      </w:r>
      <w:r w:rsidR="001122E3">
        <w:t>n engaging with Mr Skeels</w:t>
      </w:r>
      <w:r w:rsidR="00167E40">
        <w:t xml:space="preserve">’ approach to </w:t>
      </w:r>
      <w:r w:rsidR="001122E3">
        <w:t>the First Valuation Date (</w:t>
      </w:r>
      <w:r w:rsidR="00167E40">
        <w:t xml:space="preserve">and resisting </w:t>
      </w:r>
      <w:r w:rsidR="00882BE8">
        <w:t>Mr Skeels’</w:t>
      </w:r>
      <w:r w:rsidR="00D274C0">
        <w:t xml:space="preserve"> addition of the further company for which no meaningful data was available a</w:t>
      </w:r>
      <w:r w:rsidR="00D431FD">
        <w:t xml:space="preserve">s at that date) and </w:t>
      </w:r>
      <w:r w:rsidR="00872C72">
        <w:t xml:space="preserve">taking </w:t>
      </w:r>
      <w:r w:rsidR="00C4031D">
        <w:t>the</w:t>
      </w:r>
      <w:r w:rsidR="00224802">
        <w:t xml:space="preserve"> </w:t>
      </w:r>
      <w:r w:rsidR="00C4031D">
        <w:t>percentage change in the</w:t>
      </w:r>
      <w:r w:rsidR="00872C72">
        <w:t>ir</w:t>
      </w:r>
      <w:r w:rsidR="00C4031D">
        <w:t xml:space="preserve"> median and mean multiples</w:t>
      </w:r>
      <w:r w:rsidR="00872C72">
        <w:t xml:space="preserve"> </w:t>
      </w:r>
      <w:r w:rsidR="00C4031D">
        <w:t xml:space="preserve">between the First </w:t>
      </w:r>
      <w:r w:rsidR="00872C72">
        <w:t xml:space="preserve">Valuation Date </w:t>
      </w:r>
      <w:r w:rsidR="00C4031D">
        <w:t>and</w:t>
      </w:r>
      <w:r w:rsidR="00872C72">
        <w:t xml:space="preserve"> the </w:t>
      </w:r>
      <w:r w:rsidR="00C4031D">
        <w:t>Second Valuation Date</w:t>
      </w:r>
      <w:r w:rsidR="00872C72">
        <w:t>.</w:t>
      </w:r>
      <w:r w:rsidR="003F2222" w:rsidRPr="003F2222">
        <w:t xml:space="preserve"> Mr Taylor considered Mr Skeels’ DLOM of 4</w:t>
      </w:r>
      <w:r w:rsidR="003F2222">
        <w:t>0</w:t>
      </w:r>
      <w:r w:rsidR="003F2222" w:rsidRPr="003F2222">
        <w:t xml:space="preserve">% to be reasonable but </w:t>
      </w:r>
      <w:r w:rsidR="003F2222">
        <w:t xml:space="preserve">again </w:t>
      </w:r>
      <w:r w:rsidR="003F2222" w:rsidRPr="003F2222">
        <w:t>challenged his use of a Control Premium of 30%</w:t>
      </w:r>
    </w:p>
    <w:p w14:paraId="10772F02" w14:textId="23A685CA" w:rsidR="00762561" w:rsidRDefault="00F41193" w:rsidP="00EF2FE7">
      <w:pPr>
        <w:pStyle w:val="ParaLevel1"/>
      </w:pPr>
      <w:r>
        <w:t xml:space="preserve">The </w:t>
      </w:r>
      <w:r w:rsidR="00946278">
        <w:t xml:space="preserve">significant </w:t>
      </w:r>
      <w:r>
        <w:t xml:space="preserve">difference between the experts over the appropriate EBITDA for </w:t>
      </w:r>
      <w:r w:rsidR="00946278">
        <w:t>the Company at the Second Valuation Date</w:t>
      </w:r>
      <w:r w:rsidR="00E10322">
        <w:t xml:space="preserve"> </w:t>
      </w:r>
      <w:r w:rsidR="00C2726C">
        <w:t>reflected Mr Skeels</w:t>
      </w:r>
      <w:r w:rsidR="00BC3CB1">
        <w:t>’</w:t>
      </w:r>
      <w:r w:rsidR="00C2726C">
        <w:t xml:space="preserve"> adoption of the Spur 57 </w:t>
      </w:r>
      <w:r w:rsidR="00400C34">
        <w:t>m</w:t>
      </w:r>
      <w:r w:rsidR="00C2726C">
        <w:t xml:space="preserve">odel </w:t>
      </w:r>
      <w:r w:rsidR="00826395">
        <w:t>(</w:t>
      </w:r>
      <w:r w:rsidR="00261A99">
        <w:t>dated 3 December 2014</w:t>
      </w:r>
      <w:r w:rsidR="00826395">
        <w:t>)</w:t>
      </w:r>
      <w:r w:rsidR="009B053F">
        <w:t xml:space="preserve"> and Mr Taylor’s reliance upon </w:t>
      </w:r>
      <w:r w:rsidR="00D44240">
        <w:t>subsequent refor</w:t>
      </w:r>
      <w:r w:rsidR="00933166">
        <w:t xml:space="preserve">ecasts of </w:t>
      </w:r>
      <w:r w:rsidR="00762561">
        <w:t>the Company’s performance.</w:t>
      </w:r>
    </w:p>
    <w:p w14:paraId="46C8B88E" w14:textId="65518DC2" w:rsidR="003E1CEA" w:rsidRDefault="00762561" w:rsidP="00EF2FE7">
      <w:pPr>
        <w:pStyle w:val="ParaLevel1"/>
      </w:pPr>
      <w:r>
        <w:t xml:space="preserve">Mr Skeels said Spur 57 </w:t>
      </w:r>
      <w:r w:rsidR="001207D2">
        <w:t>was agreed by the parties as part of the Transaction and adopted an EBITDA of £1.3m</w:t>
      </w:r>
      <w:r w:rsidR="00F95260">
        <w:t xml:space="preserve"> p.a.</w:t>
      </w:r>
      <w:r w:rsidR="001207D2">
        <w:t xml:space="preserve">.  Mr Taylor </w:t>
      </w:r>
      <w:r w:rsidR="00A574D5">
        <w:t xml:space="preserve">relied upon </w:t>
      </w:r>
      <w:r w:rsidR="0094714D">
        <w:t>management reforecasts</w:t>
      </w:r>
      <w:r w:rsidR="00101719">
        <w:t xml:space="preserve"> of July 2015 and September 2015 (saying the figures in the latter w</w:t>
      </w:r>
      <w:r w:rsidR="005C2E3B">
        <w:t>as based on actual figures to July 2015 which would have been known to the Company)</w:t>
      </w:r>
      <w:r w:rsidR="009F5460">
        <w:t xml:space="preserve">.  </w:t>
      </w:r>
      <w:r w:rsidR="00597E18">
        <w:t xml:space="preserve">Allowing for the deduction of </w:t>
      </w:r>
      <w:r w:rsidR="009E26AB">
        <w:t>management costs</w:t>
      </w:r>
      <w:r w:rsidR="00F8383A">
        <w:t xml:space="preserve">, this produced a </w:t>
      </w:r>
      <w:r w:rsidR="00F95260" w:rsidRPr="00F95260">
        <w:t>range of £0.6m to £0.9m</w:t>
      </w:r>
      <w:r w:rsidR="00F95260">
        <w:t xml:space="preserve"> p.a..</w:t>
      </w:r>
      <w:r w:rsidR="00B27BD7">
        <w:t xml:space="preserve">  Mr Skeels said (and Mr Richards’ evidence gave some support for this) that </w:t>
      </w:r>
      <w:r w:rsidR="003239BD">
        <w:t xml:space="preserve">the reforecasts reflected a slower revenue growth than anticipated in the </w:t>
      </w:r>
      <w:r w:rsidR="00452A0C">
        <w:t xml:space="preserve">first few months of 2015 and were not an indication of material long term </w:t>
      </w:r>
      <w:r w:rsidR="00BD23A0">
        <w:t>decline.</w:t>
      </w:r>
      <w:r w:rsidR="0046068E">
        <w:t xml:space="preserve">  </w:t>
      </w:r>
      <w:r w:rsidR="002C2140">
        <w:t xml:space="preserve">He also said that </w:t>
      </w:r>
      <w:r w:rsidR="00AB1B6F">
        <w:t xml:space="preserve">Mr Taylor had incorrectly made adjustments for certain </w:t>
      </w:r>
      <w:r w:rsidR="00BD55C4">
        <w:t xml:space="preserve">costs (in particular Livingbridge’s advisory fees) which </w:t>
      </w:r>
      <w:r w:rsidR="007962D6">
        <w:t>should be regarded as one-off rather than costs incurred in the normal course of business.</w:t>
      </w:r>
    </w:p>
    <w:p w14:paraId="43CF9735" w14:textId="77777777" w:rsidR="00492CFC" w:rsidRDefault="00492CFC" w:rsidP="00EF2FE7">
      <w:pPr>
        <w:pStyle w:val="ParaLevel1"/>
        <w:numPr>
          <w:ilvl w:val="0"/>
          <w:numId w:val="0"/>
        </w:numPr>
        <w:ind w:left="720"/>
        <w:rPr>
          <w:b/>
          <w:bCs/>
          <w:u w:val="single"/>
        </w:rPr>
      </w:pPr>
    </w:p>
    <w:p w14:paraId="279DD06C" w14:textId="1762C942" w:rsidR="005B7718" w:rsidRPr="005051F0" w:rsidRDefault="00C327B3" w:rsidP="00EF2FE7">
      <w:pPr>
        <w:pStyle w:val="ParaLevel1"/>
        <w:numPr>
          <w:ilvl w:val="0"/>
          <w:numId w:val="0"/>
        </w:numPr>
        <w:ind w:left="720"/>
        <w:rPr>
          <w:b/>
          <w:bCs/>
          <w:u w:val="single"/>
        </w:rPr>
      </w:pPr>
      <w:r>
        <w:rPr>
          <w:b/>
          <w:bCs/>
          <w:u w:val="single"/>
        </w:rPr>
        <w:t xml:space="preserve">Criticism of </w:t>
      </w:r>
      <w:r w:rsidR="005B7718" w:rsidRPr="005051F0">
        <w:rPr>
          <w:b/>
          <w:bCs/>
          <w:u w:val="single"/>
        </w:rPr>
        <w:t>Mr Skeels</w:t>
      </w:r>
      <w:r w:rsidR="00210B0F">
        <w:rPr>
          <w:b/>
          <w:bCs/>
          <w:u w:val="single"/>
        </w:rPr>
        <w:t>’ Approach</w:t>
      </w:r>
    </w:p>
    <w:p w14:paraId="056FDCBB" w14:textId="287FDD53" w:rsidR="00B155F2" w:rsidRDefault="00734E3F" w:rsidP="00EF2FE7">
      <w:pPr>
        <w:pStyle w:val="ParaLevel1"/>
      </w:pPr>
      <w:r>
        <w:t>Mr Tozzi’s cross-examination of Mr Skeels b</w:t>
      </w:r>
      <w:r w:rsidR="00B155F2">
        <w:t xml:space="preserve">egan with Mr Skeels accepting that in the one High Court matter in which he had given expert evidence </w:t>
      </w:r>
      <w:r w:rsidR="007A2949">
        <w:t xml:space="preserve">that evidence had not been accepted. The case in question was included in a supplemental bundle of authorities.  I </w:t>
      </w:r>
      <w:r w:rsidR="007E1766">
        <w:t>put no store by th</w:t>
      </w:r>
      <w:r w:rsidR="00AD3522">
        <w:t xml:space="preserve">is </w:t>
      </w:r>
      <w:r w:rsidR="007E1766">
        <w:t xml:space="preserve">point.  It </w:t>
      </w:r>
      <w:r w:rsidR="00B2147B">
        <w:t xml:space="preserve">provides </w:t>
      </w:r>
      <w:r w:rsidR="007E1766">
        <w:t xml:space="preserve">scant material for </w:t>
      </w:r>
      <w:r w:rsidR="00AD3522">
        <w:t>some kind of “similar fact” reasoning</w:t>
      </w:r>
      <w:r w:rsidR="006718B3">
        <w:t xml:space="preserve">, </w:t>
      </w:r>
      <w:r w:rsidR="00AD3522">
        <w:t>particular</w:t>
      </w:r>
      <w:r w:rsidR="006718B3">
        <w:t>ly</w:t>
      </w:r>
      <w:r w:rsidR="00AD3522">
        <w:t xml:space="preserve"> when in the present case</w:t>
      </w:r>
      <w:r w:rsidR="00B2147B">
        <w:t xml:space="preserve"> Mr Skeels </w:t>
      </w:r>
      <w:r w:rsidR="006662CA">
        <w:t>stuck resolutely to the analysis in his report</w:t>
      </w:r>
      <w:r w:rsidR="006718B3">
        <w:t xml:space="preserve">.  If previous lack of success </w:t>
      </w:r>
      <w:r w:rsidR="00E44DB4">
        <w:t xml:space="preserve">on the part of professionals appearing </w:t>
      </w:r>
      <w:r w:rsidR="00A619CA">
        <w:t>in</w:t>
      </w:r>
      <w:r w:rsidR="00E44DB4">
        <w:t xml:space="preserve"> court was to be held against them </w:t>
      </w:r>
      <w:r w:rsidR="00A11850">
        <w:t xml:space="preserve">in </w:t>
      </w:r>
      <w:r w:rsidR="00E44DB4">
        <w:t xml:space="preserve">future </w:t>
      </w:r>
      <w:r w:rsidR="00A11850">
        <w:t xml:space="preserve">cases then </w:t>
      </w:r>
      <w:r w:rsidR="00955B71">
        <w:t xml:space="preserve">many </w:t>
      </w:r>
      <w:r w:rsidR="00A11850">
        <w:t xml:space="preserve">litigants would </w:t>
      </w:r>
      <w:r w:rsidR="00955B71">
        <w:t>quite soon find themselves without satisfactory representation.</w:t>
      </w:r>
      <w:r w:rsidR="00E44DB4">
        <w:t xml:space="preserve"> </w:t>
      </w:r>
      <w:r w:rsidR="00AD3522">
        <w:t xml:space="preserve"> </w:t>
      </w:r>
    </w:p>
    <w:p w14:paraId="2B20FA74" w14:textId="1875D5F1" w:rsidR="005B7718" w:rsidRDefault="005B7718" w:rsidP="00EF2FE7">
      <w:pPr>
        <w:pStyle w:val="ParaLevel1"/>
      </w:pPr>
      <w:r>
        <w:t>The main criticisms levelled by the Firm against Mr Skeels</w:t>
      </w:r>
      <w:r w:rsidR="006102AA">
        <w:t>’</w:t>
      </w:r>
      <w:r>
        <w:t xml:space="preserve"> valuation were directed to:</w:t>
      </w:r>
    </w:p>
    <w:p w14:paraId="27A5CAAF" w14:textId="7F8D4DA3" w:rsidR="00463947" w:rsidRDefault="00463947" w:rsidP="00EF2FE7">
      <w:pPr>
        <w:pStyle w:val="ParaLevel2"/>
      </w:pPr>
      <w:r>
        <w:t>H</w:t>
      </w:r>
      <w:r w:rsidRPr="00463947">
        <w:t xml:space="preserve">is reliance upon </w:t>
      </w:r>
      <w:r>
        <w:t>Comparable Companies and (for the First Valuat</w:t>
      </w:r>
      <w:r w:rsidR="00BF54EF">
        <w:t>i</w:t>
      </w:r>
      <w:r>
        <w:t>on Date) Comparable Tra</w:t>
      </w:r>
      <w:r w:rsidR="006613C6">
        <w:t>n</w:t>
      </w:r>
      <w:r>
        <w:t>sactio</w:t>
      </w:r>
      <w:r w:rsidR="006613C6">
        <w:t>n</w:t>
      </w:r>
      <w:r>
        <w:t xml:space="preserve"> </w:t>
      </w:r>
      <w:r w:rsidRPr="00463947">
        <w:t xml:space="preserve">methodology in his </w:t>
      </w:r>
      <w:r w:rsidR="00801F70">
        <w:t>valuation when, as Mr Skeels explained</w:t>
      </w:r>
      <w:r w:rsidR="001D414A">
        <w:t xml:space="preserve"> in his Report</w:t>
      </w:r>
      <w:r w:rsidR="00801F70">
        <w:t xml:space="preserve">, </w:t>
      </w:r>
      <w:r w:rsidR="008A547B">
        <w:t xml:space="preserve">the </w:t>
      </w:r>
      <w:r w:rsidRPr="00463947">
        <w:t>Market Approach</w:t>
      </w:r>
      <w:r w:rsidR="00533A36">
        <w:t xml:space="preserve"> involved (with the Firm’s emphasis) </w:t>
      </w:r>
      <w:r w:rsidR="001813E6">
        <w:t xml:space="preserve"> </w:t>
      </w:r>
      <w:r w:rsidR="00674322" w:rsidRPr="00674322">
        <w:rPr>
          <w:i/>
          <w:iCs/>
        </w:rPr>
        <w:t xml:space="preserve">“…analysing metrics derived from the financial performance of, and/or transactions involving shares in, the subject company if on an arm’s length basis or, </w:t>
      </w:r>
      <w:r w:rsidR="00674322" w:rsidRPr="00E860F7">
        <w:rPr>
          <w:i/>
          <w:iCs/>
          <w:u w:val="single"/>
        </w:rPr>
        <w:t>if such information is not available</w:t>
      </w:r>
      <w:r w:rsidR="00674322" w:rsidRPr="00674322">
        <w:rPr>
          <w:i/>
          <w:iCs/>
        </w:rPr>
        <w:t>, companies which are considered “comparable” to the subject company, for example companies operating in the same or similar sector and geographic location for which such information is publicly available</w:t>
      </w:r>
      <w:r w:rsidR="00674322" w:rsidRPr="00674322">
        <w:t>”</w:t>
      </w:r>
      <w:r w:rsidR="00674322">
        <w:t>.</w:t>
      </w:r>
      <w:r w:rsidR="00674322" w:rsidRPr="00674322">
        <w:t xml:space="preserve"> </w:t>
      </w:r>
      <w:r w:rsidR="00801F70">
        <w:t xml:space="preserve"> </w:t>
      </w:r>
    </w:p>
    <w:p w14:paraId="3869D3E5" w14:textId="39660A51" w:rsidR="00094F0B" w:rsidRDefault="00463947" w:rsidP="00EF2FE7">
      <w:pPr>
        <w:pStyle w:val="ParaLevel2"/>
      </w:pPr>
      <w:r>
        <w:t xml:space="preserve">Accordingly, </w:t>
      </w:r>
      <w:r w:rsidR="00DC63BD">
        <w:t>h</w:t>
      </w:r>
      <w:r w:rsidR="00094F0B">
        <w:t xml:space="preserve">is </w:t>
      </w:r>
      <w:r w:rsidR="009525FE">
        <w:t xml:space="preserve">disregard of </w:t>
      </w:r>
      <w:r w:rsidR="00094F0B">
        <w:t xml:space="preserve">the Transaction for the purposes of </w:t>
      </w:r>
      <w:r w:rsidR="009525FE">
        <w:t>the First Valuation Date</w:t>
      </w:r>
      <w:r w:rsidR="005F473B">
        <w:t xml:space="preserve"> because it post-dated that date</w:t>
      </w:r>
      <w:r w:rsidR="009525FE">
        <w:t xml:space="preserve">. </w:t>
      </w:r>
      <w:r w:rsidR="005F473B">
        <w:t>The Firm said that, as a result he had ignored the best real evidence of the value</w:t>
      </w:r>
      <w:r w:rsidR="00EB62A7">
        <w:t xml:space="preserve"> of the business</w:t>
      </w:r>
      <w:r w:rsidR="00BE00D2">
        <w:t xml:space="preserve"> and </w:t>
      </w:r>
      <w:r w:rsidR="007E44E8">
        <w:t xml:space="preserve">the extensive </w:t>
      </w:r>
      <w:r w:rsidR="00DA5A8E">
        <w:t xml:space="preserve">pre-Transaction </w:t>
      </w:r>
      <w:r w:rsidR="007E44E8">
        <w:t xml:space="preserve">documentation about the </w:t>
      </w:r>
      <w:r w:rsidR="00094F0B">
        <w:t xml:space="preserve">consideration payable </w:t>
      </w:r>
      <w:r w:rsidR="007E44E8">
        <w:t xml:space="preserve">under </w:t>
      </w:r>
      <w:r w:rsidR="00BE00D2">
        <w:t>the Transatction</w:t>
      </w:r>
      <w:r w:rsidR="00407732">
        <w:t xml:space="preserve">, including </w:t>
      </w:r>
      <w:r w:rsidR="00407732" w:rsidRPr="00407732">
        <w:t>what had been identified as the consideration for the Claimant’s shares in IPS</w:t>
      </w:r>
      <w:r w:rsidR="00732B53">
        <w:t xml:space="preserve"> </w:t>
      </w:r>
      <w:r w:rsidR="00407732" w:rsidRPr="00407732">
        <w:t>UK in their 2015 tax returns</w:t>
      </w:r>
      <w:r w:rsidR="00BB1F4D">
        <w:t>.</w:t>
      </w:r>
    </w:p>
    <w:p w14:paraId="42A069DC" w14:textId="355BD127" w:rsidR="005904B0" w:rsidRDefault="005904B0" w:rsidP="00EF2FE7">
      <w:pPr>
        <w:pStyle w:val="ParaLevel2"/>
      </w:pPr>
      <w:r w:rsidRPr="005904B0">
        <w:t xml:space="preserve">His omission of any reference to the Livingbridge Investment Committee Memorandum </w:t>
      </w:r>
      <w:r w:rsidR="00210B0F">
        <w:t xml:space="preserve">dated </w:t>
      </w:r>
      <w:r w:rsidR="006102AA">
        <w:t>7 November 2014 (“</w:t>
      </w:r>
      <w:r w:rsidR="006102AA" w:rsidRPr="006102AA">
        <w:rPr>
          <w:b/>
          <w:bCs/>
        </w:rPr>
        <w:t>the LIM</w:t>
      </w:r>
      <w:r w:rsidR="006102AA">
        <w:t xml:space="preserve">”) </w:t>
      </w:r>
      <w:r w:rsidRPr="005904B0">
        <w:t>when deriving the implied multiples for the Transaction</w:t>
      </w:r>
      <w:r w:rsidR="001C16C3">
        <w:t xml:space="preserve"> even though he relied upon Mr Billingham’s </w:t>
      </w:r>
      <w:r w:rsidR="00A05537">
        <w:t>explanation of the EBITDA multiple.</w:t>
      </w:r>
    </w:p>
    <w:p w14:paraId="5500081C" w14:textId="00235FB0" w:rsidR="00094F0B" w:rsidRDefault="00DA5A8E" w:rsidP="00EF2FE7">
      <w:pPr>
        <w:pStyle w:val="ParaLevel2"/>
      </w:pPr>
      <w:r>
        <w:t xml:space="preserve">His </w:t>
      </w:r>
      <w:r w:rsidR="008405F1">
        <w:t xml:space="preserve">disregard of the Transaction </w:t>
      </w:r>
      <w:r w:rsidR="004A37CF">
        <w:t>for the purposes of valuing the Company at the Second Valuation Date</w:t>
      </w:r>
      <w:r w:rsidR="00094F0B">
        <w:t>.</w:t>
      </w:r>
    </w:p>
    <w:p w14:paraId="74879DA8" w14:textId="35CC5251" w:rsidR="007638DA" w:rsidRPr="007638DA" w:rsidRDefault="007638DA" w:rsidP="00EF2FE7">
      <w:pPr>
        <w:pStyle w:val="ParaLevel2"/>
      </w:pPr>
      <w:r>
        <w:t xml:space="preserve">His </w:t>
      </w:r>
      <w:r w:rsidR="000D01E2">
        <w:t xml:space="preserve">reliance upon </w:t>
      </w:r>
      <w:r w:rsidR="000D01E2" w:rsidRPr="000D01E2">
        <w:t xml:space="preserve">Mazars “house view” </w:t>
      </w:r>
      <w:r w:rsidR="000D01E2">
        <w:t xml:space="preserve">for using a Control Premium </w:t>
      </w:r>
      <w:r w:rsidR="00E837A8">
        <w:t xml:space="preserve">of 30% when it emerged in cross-examination that he had relied </w:t>
      </w:r>
      <w:r w:rsidRPr="007638DA">
        <w:t>on data from the Capital IQ database</w:t>
      </w:r>
      <w:r w:rsidR="00E837A8">
        <w:t xml:space="preserve"> which he had </w:t>
      </w:r>
      <w:r w:rsidRPr="007638DA">
        <w:t xml:space="preserve">failed to exhibit </w:t>
      </w:r>
      <w:r w:rsidR="008D42AD">
        <w:t xml:space="preserve">to his report (which exhibited older </w:t>
      </w:r>
      <w:r w:rsidRPr="007638DA">
        <w:t>data</w:t>
      </w:r>
      <w:r w:rsidR="008D42AD">
        <w:t>)</w:t>
      </w:r>
      <w:r w:rsidRPr="007638DA">
        <w:t>.</w:t>
      </w:r>
      <w:r w:rsidR="0013308A">
        <w:t xml:space="preserve">  This was </w:t>
      </w:r>
      <w:r w:rsidR="0013308A" w:rsidRPr="0013308A">
        <w:t>criticised as being “slapdash”</w:t>
      </w:r>
    </w:p>
    <w:p w14:paraId="745CD719" w14:textId="77777777" w:rsidR="0022069C" w:rsidRDefault="008D42AD" w:rsidP="00EF2FE7">
      <w:pPr>
        <w:pStyle w:val="ParaLevel2"/>
      </w:pPr>
      <w:r>
        <w:t xml:space="preserve">His failure to </w:t>
      </w:r>
      <w:r w:rsidR="00CA0149">
        <w:t>take account of the</w:t>
      </w:r>
      <w:r w:rsidR="00094F0B">
        <w:t xml:space="preserve"> CIL report when considering maintainable EBITDA as at the first valuation date, </w:t>
      </w:r>
      <w:r w:rsidR="002A6B35">
        <w:t xml:space="preserve">saying it </w:t>
      </w:r>
      <w:r w:rsidR="00AE061E">
        <w:t xml:space="preserve">was </w:t>
      </w:r>
      <w:r w:rsidR="00094F0B">
        <w:t>older than the Baker Tilly report</w:t>
      </w:r>
      <w:r w:rsidR="00AE061E">
        <w:t xml:space="preserve">, when it was only 6 days older and, </w:t>
      </w:r>
      <w:r w:rsidR="00094F0B">
        <w:t>as Mr Skeels accepted, the core of those reports would be based on the same data.</w:t>
      </w:r>
    </w:p>
    <w:p w14:paraId="04A2FEA1" w14:textId="35B43DF4" w:rsidR="00E36809" w:rsidRDefault="0022069C" w:rsidP="00EF2FE7">
      <w:pPr>
        <w:pStyle w:val="ParaLevel2"/>
      </w:pPr>
      <w:r>
        <w:t>H</w:t>
      </w:r>
      <w:r w:rsidR="00094F0B">
        <w:t xml:space="preserve">is adherence to the appropriateness of Spur 57 in calculating the EBITDA for the </w:t>
      </w:r>
      <w:r>
        <w:t>S</w:t>
      </w:r>
      <w:r w:rsidR="00094F0B">
        <w:t xml:space="preserve">econd </w:t>
      </w:r>
      <w:r>
        <w:t>V</w:t>
      </w:r>
      <w:r w:rsidR="00094F0B">
        <w:t xml:space="preserve">aluation </w:t>
      </w:r>
      <w:r>
        <w:t>D</w:t>
      </w:r>
      <w:r w:rsidR="00094F0B">
        <w:t xml:space="preserve">ate, even </w:t>
      </w:r>
      <w:r w:rsidR="00A65F14">
        <w:t xml:space="preserve">though </w:t>
      </w:r>
      <w:r w:rsidR="00E03EFD">
        <w:t xml:space="preserve">(as emerged in the Leaver Litigation) </w:t>
      </w:r>
      <w:r w:rsidR="00A65F14">
        <w:t>t</w:t>
      </w:r>
      <w:r w:rsidR="00094F0B">
        <w:t xml:space="preserve">he </w:t>
      </w:r>
      <w:r w:rsidR="00E36809">
        <w:t xml:space="preserve">Claimants and the Company had come to regard the </w:t>
      </w:r>
      <w:r w:rsidR="00094F0B">
        <w:t xml:space="preserve">model as unreliable.  </w:t>
      </w:r>
    </w:p>
    <w:p w14:paraId="0D66AE89" w14:textId="4D5820D5" w:rsidR="00CE7BC2" w:rsidRDefault="00094F0B" w:rsidP="00EF2FE7">
      <w:pPr>
        <w:pStyle w:val="ParaLevel2"/>
      </w:pPr>
      <w:r>
        <w:t xml:space="preserve">His discounting </w:t>
      </w:r>
      <w:r w:rsidR="00CE353E">
        <w:t xml:space="preserve">of </w:t>
      </w:r>
      <w:r w:rsidR="00000639">
        <w:t>a</w:t>
      </w:r>
      <w:r>
        <w:t xml:space="preserve"> BDO </w:t>
      </w:r>
      <w:r w:rsidR="00000639">
        <w:t>LLP R</w:t>
      </w:r>
      <w:r>
        <w:t xml:space="preserve">eport on maintainable EBITDA as at the </w:t>
      </w:r>
      <w:r w:rsidR="0094674E">
        <w:t>S</w:t>
      </w:r>
      <w:r>
        <w:t xml:space="preserve">econd </w:t>
      </w:r>
      <w:r w:rsidR="0094674E">
        <w:t>V</w:t>
      </w:r>
      <w:r>
        <w:t xml:space="preserve">aluation </w:t>
      </w:r>
      <w:r w:rsidR="0094674E">
        <w:t>D</w:t>
      </w:r>
      <w:r>
        <w:t xml:space="preserve">ate, </w:t>
      </w:r>
      <w:r w:rsidR="0094674E">
        <w:t xml:space="preserve">for reasons which </w:t>
      </w:r>
      <w:r w:rsidR="00073821">
        <w:t xml:space="preserve">included an iteration of a Board forecast dated </w:t>
      </w:r>
      <w:r w:rsidR="00F04553">
        <w:t>8 September 20</w:t>
      </w:r>
      <w:r w:rsidR="00DE5223">
        <w:t>1</w:t>
      </w:r>
      <w:r w:rsidR="00F04553">
        <w:t>5 when</w:t>
      </w:r>
      <w:r w:rsidR="00EC4DD7">
        <w:t>, as Mr Taylor pointed out,</w:t>
      </w:r>
      <w:r w:rsidR="00F04553">
        <w:t xml:space="preserve"> </w:t>
      </w:r>
      <w:r w:rsidR="003F791F">
        <w:t xml:space="preserve">the Board pack of that date used EBITDA materially identical </w:t>
      </w:r>
      <w:r w:rsidR="00145BBA">
        <w:t xml:space="preserve">to (in fact marginally higher than) </w:t>
      </w:r>
      <w:r w:rsidR="00C159FC">
        <w:t xml:space="preserve">the earlier July 2015 forecast </w:t>
      </w:r>
      <w:r w:rsidR="005058B6">
        <w:t xml:space="preserve">referred to by </w:t>
      </w:r>
      <w:r w:rsidR="00CE7BC2">
        <w:t>Mr Skeels</w:t>
      </w:r>
      <w:r w:rsidR="00453C48">
        <w:t>.</w:t>
      </w:r>
    </w:p>
    <w:p w14:paraId="4D868B25" w14:textId="480131A6" w:rsidR="00094F0B" w:rsidRDefault="00613E27" w:rsidP="00EF2FE7">
      <w:pPr>
        <w:pStyle w:val="ParaLevel2"/>
      </w:pPr>
      <w:r>
        <w:t xml:space="preserve">His use of </w:t>
      </w:r>
      <w:r w:rsidR="00094F0B">
        <w:t xml:space="preserve">“cross-checks”, which were </w:t>
      </w:r>
      <w:r>
        <w:t xml:space="preserve">said to be </w:t>
      </w:r>
      <w:r w:rsidR="00094F0B">
        <w:t xml:space="preserve">nothing of the sort.  </w:t>
      </w:r>
      <w:r>
        <w:t>In particular, Mr Skeels said the E</w:t>
      </w:r>
      <w:r w:rsidR="00B23629">
        <w:t xml:space="preserve">V </w:t>
      </w:r>
      <w:r w:rsidR="00094F0B">
        <w:t xml:space="preserve">of the business had risen by about 20% </w:t>
      </w:r>
      <w:r w:rsidR="00940D6A">
        <w:t xml:space="preserve">by the Second Valuation Date </w:t>
      </w:r>
      <w:r w:rsidR="00094F0B">
        <w:t xml:space="preserve">(even though </w:t>
      </w:r>
      <w:r w:rsidR="00B23629">
        <w:t xml:space="preserve">the Firm said it </w:t>
      </w:r>
      <w:r w:rsidR="00094F0B">
        <w:t>had s</w:t>
      </w:r>
      <w:r w:rsidR="00181FDC">
        <w:t>ignificantly</w:t>
      </w:r>
      <w:r w:rsidR="00094F0B">
        <w:t xml:space="preserve"> under-performed), but his revenue multiple cross-check </w:t>
      </w:r>
      <w:r w:rsidR="003854B5">
        <w:t xml:space="preserve">(using a multiple of </w:t>
      </w:r>
      <w:r w:rsidR="00CF06FF">
        <w:t xml:space="preserve">between </w:t>
      </w:r>
      <w:r w:rsidR="003854B5">
        <w:t>1.</w:t>
      </w:r>
      <w:r w:rsidR="00727209">
        <w:t>6</w:t>
      </w:r>
      <w:r w:rsidR="003854B5">
        <w:t xml:space="preserve">x </w:t>
      </w:r>
      <w:r w:rsidR="00CF06FF">
        <w:t xml:space="preserve">and 1.7x </w:t>
      </w:r>
      <w:r w:rsidR="00236A87">
        <w:t>based on the Comparable Companies, as adjusted</w:t>
      </w:r>
      <w:r w:rsidR="00F77C1C">
        <w:t xml:space="preserve">) produced a </w:t>
      </w:r>
      <w:r w:rsidR="00940D6A">
        <w:t xml:space="preserve">very </w:t>
      </w:r>
      <w:r w:rsidR="00F77C1C">
        <w:t xml:space="preserve">significantly </w:t>
      </w:r>
      <w:r w:rsidR="00940D6A">
        <w:t xml:space="preserve">greater </w:t>
      </w:r>
      <w:r w:rsidR="00094F0B">
        <w:t xml:space="preserve">value, </w:t>
      </w:r>
      <w:r w:rsidR="00940D6A">
        <w:t xml:space="preserve">whereas </w:t>
      </w:r>
      <w:r w:rsidR="009A0FBC">
        <w:t>hi</w:t>
      </w:r>
      <w:r w:rsidR="00094F0B">
        <w:t xml:space="preserve">s </w:t>
      </w:r>
      <w:r w:rsidR="009A0FBC">
        <w:t xml:space="preserve">alternative </w:t>
      </w:r>
      <w:r w:rsidR="00094F0B">
        <w:t xml:space="preserve">Income Approach </w:t>
      </w:r>
      <w:r w:rsidR="009A0FBC">
        <w:t xml:space="preserve">valuation </w:t>
      </w:r>
      <w:r w:rsidR="00094F0B">
        <w:t>actually saw its value fall.  Th</w:t>
      </w:r>
      <w:r w:rsidR="00982DBD">
        <w:t xml:space="preserve">e Firm said this </w:t>
      </w:r>
      <w:r w:rsidR="00094F0B">
        <w:t xml:space="preserve">made a nonsense of the whole exercise.  </w:t>
      </w:r>
    </w:p>
    <w:p w14:paraId="54E0D009" w14:textId="67666630" w:rsidR="005B7718" w:rsidRDefault="00716D71" w:rsidP="00EF2FE7">
      <w:pPr>
        <w:pStyle w:val="ParaLevel1"/>
        <w:numPr>
          <w:ilvl w:val="0"/>
          <w:numId w:val="0"/>
        </w:numPr>
        <w:ind w:left="720"/>
      </w:pPr>
      <w:r>
        <w:t xml:space="preserve">  </w:t>
      </w:r>
    </w:p>
    <w:p w14:paraId="15D0D54A" w14:textId="5C63E3F6" w:rsidR="005B7718" w:rsidRPr="005051F0" w:rsidRDefault="00210B0F" w:rsidP="00EF2FE7">
      <w:pPr>
        <w:pStyle w:val="ParaLevel1"/>
        <w:numPr>
          <w:ilvl w:val="0"/>
          <w:numId w:val="0"/>
        </w:numPr>
        <w:ind w:left="720"/>
        <w:rPr>
          <w:b/>
          <w:bCs/>
          <w:u w:val="single"/>
        </w:rPr>
      </w:pPr>
      <w:r>
        <w:rPr>
          <w:b/>
          <w:bCs/>
          <w:u w:val="single"/>
        </w:rPr>
        <w:t>Criticisms of Mr Taylor’s Approach</w:t>
      </w:r>
    </w:p>
    <w:p w14:paraId="44F483A6" w14:textId="1522C918" w:rsidR="00305AF2" w:rsidRDefault="006102AA" w:rsidP="00EF2FE7">
      <w:pPr>
        <w:pStyle w:val="ParaLevel1"/>
      </w:pPr>
      <w:r>
        <w:t>The Claimants’ main criticism of Mr Taylor’s approach to the valuation on the First Valuation Date was that he had valued the business of IPS UK (immediately before the Transaction) by reference to the structure adopted by Livingbridge to carry the Transaction into effect.  This involved him ascrib</w:t>
      </w:r>
      <w:r w:rsidR="00E21888">
        <w:t>ing</w:t>
      </w:r>
      <w:r>
        <w:t xml:space="preserve"> a value of nil to the Company, because the Company was from the outset laden with Livingbridge debt, and to feed that into his valuation of business of IPS </w:t>
      </w:r>
      <w:r w:rsidR="00305AF2">
        <w:t xml:space="preserve">on a sale basis (i.e. debt free basis, much as I </w:t>
      </w:r>
      <w:r w:rsidR="00C07297">
        <w:t xml:space="preserve">seek to </w:t>
      </w:r>
      <w:r w:rsidR="00305AF2">
        <w:t xml:space="preserve">explain </w:t>
      </w:r>
      <w:r w:rsidR="00C07297">
        <w:t>below o</w:t>
      </w:r>
      <w:r w:rsidR="00305AF2">
        <w:t>n the quite separate analysis of article 18.4.1) prior to the Transaction.</w:t>
      </w:r>
    </w:p>
    <w:p w14:paraId="32EA7D07" w14:textId="3C299DDB" w:rsidR="006102AA" w:rsidRDefault="00305AF2" w:rsidP="00EF2FE7">
      <w:pPr>
        <w:pStyle w:val="ParaLevel1"/>
      </w:pPr>
      <w:r>
        <w:t xml:space="preserve">A closely related criticism was that Mr Taylor had misunderstood the LIM and how the EBITDA multiple he derived from it </w:t>
      </w:r>
      <w:r w:rsidR="00EF6A31">
        <w:t xml:space="preserve">– a range of 4.0x to 5.3x according to whether the EBITDA was taken to be £1.2m or £0.9m - </w:t>
      </w:r>
      <w:r>
        <w:t xml:space="preserve">was at odds with how Livingbridge and Oakley </w:t>
      </w:r>
      <w:r w:rsidR="00140D97">
        <w:t>(</w:t>
      </w:r>
      <w:r>
        <w:t>whose draft Exit Report dated 17 October 2014 the LIM relied upon) approached the valuation of IPS UK prior to the Transaction.</w:t>
      </w:r>
      <w:r w:rsidR="00EF6A31">
        <w:t xml:space="preserve">  Mr Taylor used the range of multiples implied by the Transaction (on his analysis of it) to support his conclusion that 4.2x to 6x was a reasonable range of multiples at the First Valuation Date.</w:t>
      </w:r>
    </w:p>
    <w:p w14:paraId="52E83B0C" w14:textId="6565FE79" w:rsidR="00E63C66" w:rsidRDefault="00E63C66" w:rsidP="00EF2FE7">
      <w:pPr>
        <w:pStyle w:val="ParaLevel1"/>
      </w:pPr>
      <w:r>
        <w:t xml:space="preserve">Mr Taylor was criticised by the Claimants for taking an EBITDA of £1m p.a. for his low point valuation </w:t>
      </w:r>
      <w:r w:rsidR="00C07297">
        <w:t xml:space="preserve">(though not his high and midpoint ones) </w:t>
      </w:r>
      <w:r>
        <w:t xml:space="preserve">at the First Valuation Date when </w:t>
      </w:r>
      <w:r w:rsidR="00C07297">
        <w:t>the CIL Report, upon which he relied in doing so, showed the figure for 2014 to be £1.2m.</w:t>
      </w:r>
    </w:p>
    <w:p w14:paraId="2C3683C7" w14:textId="3427189F" w:rsidR="00305AF2" w:rsidRDefault="00E63C66" w:rsidP="00EF2FE7">
      <w:pPr>
        <w:pStyle w:val="ParaLevel1"/>
      </w:pPr>
      <w:r>
        <w:t>The Claimants said that Mr Taylor’s approach at the Second Valuation Date was also confusing.  He had taken his valuation on the First Valuation Date (which they said was flawed for the reasons just outlined) and then used the Comparable Companies methodology, which he had previously rejected, to adjust that valuation for the passage of time.</w:t>
      </w:r>
      <w:r w:rsidR="00C07297">
        <w:t xml:space="preserve">  They said his preferred EBITDA figure of £0.6m was contrary to the figure of £0.9m which he said was “knowable” to the Company’s Board by July 2015.</w:t>
      </w:r>
    </w:p>
    <w:p w14:paraId="0544871B" w14:textId="77777777" w:rsidR="005A0129" w:rsidRDefault="005A0129" w:rsidP="00EF2FE7">
      <w:pPr>
        <w:pStyle w:val="ParaLevel1"/>
        <w:numPr>
          <w:ilvl w:val="0"/>
          <w:numId w:val="0"/>
        </w:numPr>
        <w:ind w:left="720"/>
      </w:pPr>
    </w:p>
    <w:p w14:paraId="2D05D57F" w14:textId="556BBF8E" w:rsidR="008D084E" w:rsidRPr="008D084E" w:rsidRDefault="00210B0F" w:rsidP="00EF2FE7">
      <w:pPr>
        <w:pStyle w:val="ParaLevel1"/>
        <w:numPr>
          <w:ilvl w:val="0"/>
          <w:numId w:val="0"/>
        </w:numPr>
        <w:ind w:left="720" w:hanging="153"/>
      </w:pPr>
      <w:r>
        <w:rPr>
          <w:b/>
          <w:bCs/>
          <w:u w:val="single"/>
        </w:rPr>
        <w:t xml:space="preserve">The </w:t>
      </w:r>
      <w:r w:rsidR="008D084E">
        <w:rPr>
          <w:b/>
          <w:bCs/>
          <w:u w:val="single"/>
        </w:rPr>
        <w:t>Expert Evidence</w:t>
      </w:r>
      <w:r>
        <w:rPr>
          <w:b/>
          <w:bCs/>
          <w:u w:val="single"/>
        </w:rPr>
        <w:t xml:space="preserve">: </w:t>
      </w:r>
      <w:r w:rsidR="004A7A8E">
        <w:rPr>
          <w:b/>
          <w:bCs/>
          <w:u w:val="single"/>
        </w:rPr>
        <w:t>Conclusion</w:t>
      </w:r>
      <w:r w:rsidR="00EF6A31">
        <w:rPr>
          <w:b/>
          <w:bCs/>
          <w:u w:val="single"/>
        </w:rPr>
        <w:t>s</w:t>
      </w:r>
      <w:r w:rsidR="004A7A8E">
        <w:rPr>
          <w:b/>
          <w:bCs/>
          <w:u w:val="single"/>
        </w:rPr>
        <w:t xml:space="preserve"> and Reasoning in Support</w:t>
      </w:r>
    </w:p>
    <w:p w14:paraId="5E934BE0" w14:textId="7042ACDA" w:rsidR="00192173" w:rsidRDefault="00C07297" w:rsidP="00EF2FE7">
      <w:pPr>
        <w:pStyle w:val="ParaLevel1"/>
      </w:pPr>
      <w:r>
        <w:t>I am satisfied that</w:t>
      </w:r>
      <w:r w:rsidR="008D084E">
        <w:t xml:space="preserve"> Mr Skeels and Mr Taylor were clearly doing their best to </w:t>
      </w:r>
      <w:r w:rsidR="00101A37">
        <w:t>assist the court on what are far from straightforward valuation exercises.</w:t>
      </w:r>
      <w:r w:rsidR="00603ABB">
        <w:t xml:space="preserve">  </w:t>
      </w:r>
    </w:p>
    <w:p w14:paraId="084094FA" w14:textId="64F6511B" w:rsidR="00101A37" w:rsidRDefault="00BD7D55" w:rsidP="00EF2FE7">
      <w:pPr>
        <w:pStyle w:val="ParaLevel1"/>
      </w:pPr>
      <w:r>
        <w:t xml:space="preserve">I do not accept the </w:t>
      </w:r>
      <w:r w:rsidR="006023AD">
        <w:t>Firm’</w:t>
      </w:r>
      <w:r>
        <w:t>s description of Mr Skeels as an unsatisfactory and partisan expert.</w:t>
      </w:r>
      <w:r w:rsidR="006E6041">
        <w:t xml:space="preserve">  Th</w:t>
      </w:r>
      <w:r w:rsidR="009A6E26">
        <w:t xml:space="preserve">e </w:t>
      </w:r>
      <w:r w:rsidR="00E50059">
        <w:t xml:space="preserve">Firm </w:t>
      </w:r>
      <w:r w:rsidR="009A6E26">
        <w:t xml:space="preserve">described him as such on the assumption that </w:t>
      </w:r>
      <w:r w:rsidR="002635B7">
        <w:t>Mr Skeels’ approach to the valu</w:t>
      </w:r>
      <w:r w:rsidR="00C138D2">
        <w:t>ing IPS UK and the Company</w:t>
      </w:r>
      <w:r w:rsidR="002635B7">
        <w:t xml:space="preserve"> was wrong, not least </w:t>
      </w:r>
      <w:r w:rsidR="00C401AE">
        <w:t>because he took no account</w:t>
      </w:r>
      <w:r w:rsidR="00C138D2">
        <w:t xml:space="preserve"> of the</w:t>
      </w:r>
      <w:r w:rsidR="00C401AE">
        <w:t xml:space="preserve"> </w:t>
      </w:r>
      <w:r w:rsidR="00AB483C">
        <w:t>Transaction in reaching</w:t>
      </w:r>
      <w:r w:rsidR="00C138D2">
        <w:t xml:space="preserve"> his value</w:t>
      </w:r>
      <w:r w:rsidR="00E50059">
        <w:t xml:space="preserve"> </w:t>
      </w:r>
      <w:r w:rsidR="00C138D2">
        <w:t>for</w:t>
      </w:r>
      <w:r w:rsidR="00E50059">
        <w:t xml:space="preserve"> either of them</w:t>
      </w:r>
      <w:r w:rsidR="00C138D2">
        <w:t xml:space="preserve"> and </w:t>
      </w:r>
      <w:r w:rsidR="00184CD1">
        <w:t>he had ignored the L</w:t>
      </w:r>
      <w:r w:rsidR="006102AA">
        <w:t>I</w:t>
      </w:r>
      <w:r w:rsidR="00476C2F">
        <w:t>M</w:t>
      </w:r>
      <w:r w:rsidR="006102AA">
        <w:t xml:space="preserve"> and </w:t>
      </w:r>
      <w:r w:rsidR="007E2985">
        <w:t>the conclusions drawn from that by Mr Taylor.</w:t>
      </w:r>
      <w:r w:rsidR="00E50059">
        <w:t xml:space="preserve"> </w:t>
      </w:r>
      <w:r w:rsidR="00C138D2">
        <w:t xml:space="preserve"> </w:t>
      </w:r>
    </w:p>
    <w:p w14:paraId="5825C01F" w14:textId="628A4DEC" w:rsidR="00192173" w:rsidRDefault="00192173" w:rsidP="00EF2FE7">
      <w:pPr>
        <w:pStyle w:val="ParaLevel1"/>
      </w:pPr>
      <w:r>
        <w:t>N</w:t>
      </w:r>
      <w:r w:rsidR="00210B0F">
        <w:t>or</w:t>
      </w:r>
      <w:r>
        <w:t xml:space="preserve"> do I accept that </w:t>
      </w:r>
      <w:r w:rsidR="003930F4">
        <w:t xml:space="preserve">Mr Taylor’s independence was somehow compromised, as the Claimants suggested it was by him taking </w:t>
      </w:r>
      <w:r w:rsidR="00277484">
        <w:t xml:space="preserve">(for the purpose of his lower valuation) </w:t>
      </w:r>
      <w:r w:rsidR="003930F4">
        <w:t xml:space="preserve">an EBITDA </w:t>
      </w:r>
      <w:r w:rsidR="00EC158F">
        <w:t xml:space="preserve">of £1m from </w:t>
      </w:r>
      <w:r w:rsidR="00E63C66">
        <w:t xml:space="preserve">the </w:t>
      </w:r>
      <w:r w:rsidR="00EC158F">
        <w:t xml:space="preserve">CIL Report when </w:t>
      </w:r>
      <w:r w:rsidR="00374D8C">
        <w:t>the figure for 201</w:t>
      </w:r>
      <w:r w:rsidR="00C07297">
        <w:t>4</w:t>
      </w:r>
      <w:r w:rsidR="00374D8C">
        <w:t xml:space="preserve"> in that report was £</w:t>
      </w:r>
      <w:r w:rsidR="00FD1AB0">
        <w:t>1.2m</w:t>
      </w:r>
      <w:r w:rsidR="00033CCC">
        <w:t xml:space="preserve">. </w:t>
      </w:r>
      <w:r w:rsidR="0099136F">
        <w:t xml:space="preserve"> </w:t>
      </w:r>
      <w:r w:rsidR="004C5849">
        <w:t xml:space="preserve">He said </w:t>
      </w:r>
      <w:r w:rsidR="009E0427">
        <w:t>“</w:t>
      </w:r>
      <w:r w:rsidR="009E0427" w:rsidRPr="00A77DC2">
        <w:rPr>
          <w:i/>
          <w:iCs/>
        </w:rPr>
        <w:t xml:space="preserve">I am looking at </w:t>
      </w:r>
      <w:r w:rsidR="00A77DC2" w:rsidRPr="00A77DC2">
        <w:rPr>
          <w:i/>
          <w:iCs/>
        </w:rPr>
        <w:t>providing the range and I think that is something that would inform the view of somebody buying</w:t>
      </w:r>
      <w:r w:rsidR="00A77DC2">
        <w:t>.”</w:t>
      </w:r>
    </w:p>
    <w:p w14:paraId="6EDC3524" w14:textId="77777777" w:rsidR="00277484" w:rsidRDefault="00277484" w:rsidP="00EF2FE7">
      <w:pPr>
        <w:pStyle w:val="ParaLevel1"/>
        <w:numPr>
          <w:ilvl w:val="0"/>
          <w:numId w:val="0"/>
        </w:numPr>
        <w:ind w:left="720"/>
      </w:pPr>
    </w:p>
    <w:p w14:paraId="0B575067" w14:textId="1B6764DD" w:rsidR="004A7A8E" w:rsidRPr="007B5910" w:rsidRDefault="004A7A8E" w:rsidP="00EF2FE7">
      <w:pPr>
        <w:pStyle w:val="ParaLevel1"/>
        <w:numPr>
          <w:ilvl w:val="0"/>
          <w:numId w:val="0"/>
        </w:numPr>
        <w:ind w:left="720"/>
        <w:rPr>
          <w:b/>
          <w:bCs/>
          <w:u w:val="single"/>
        </w:rPr>
      </w:pPr>
      <w:r w:rsidRPr="007B5910">
        <w:rPr>
          <w:b/>
          <w:bCs/>
          <w:u w:val="single"/>
        </w:rPr>
        <w:t>Conclusion</w:t>
      </w:r>
    </w:p>
    <w:p w14:paraId="17843144" w14:textId="544549AD" w:rsidR="004A44C7" w:rsidRDefault="0036599A" w:rsidP="00EF2FE7">
      <w:pPr>
        <w:pStyle w:val="ParaLevel1"/>
      </w:pPr>
      <w:r>
        <w:t xml:space="preserve">Having heard the experts and reflected upon their </w:t>
      </w:r>
      <w:r w:rsidR="001D35F1">
        <w:t>R</w:t>
      </w:r>
      <w:r>
        <w:t xml:space="preserve">eports and </w:t>
      </w:r>
      <w:r w:rsidR="001D35F1">
        <w:t>their Joint Statement I have concluded that Mr Skeels’ evidence is to be preferred.</w:t>
      </w:r>
    </w:p>
    <w:p w14:paraId="01285AC0" w14:textId="059C9DC6" w:rsidR="001D35F1" w:rsidRDefault="009D57E9" w:rsidP="00EF2FE7">
      <w:pPr>
        <w:pStyle w:val="ParaLevel1"/>
      </w:pPr>
      <w:r>
        <w:t xml:space="preserve">I have reached this conclusion for </w:t>
      </w:r>
      <w:r w:rsidR="00D20764">
        <w:t>5</w:t>
      </w:r>
      <w:r>
        <w:t xml:space="preserve"> principal reasons which, in summary, are:</w:t>
      </w:r>
    </w:p>
    <w:p w14:paraId="57185E4D" w14:textId="174D4C1F" w:rsidR="009D57E9" w:rsidRDefault="000417AA" w:rsidP="00EF2FE7">
      <w:pPr>
        <w:pStyle w:val="ParaLevel2"/>
      </w:pPr>
      <w:r>
        <w:t xml:space="preserve">Mr Skeels’ use of the Market Approach was justified in circumstances where the experts were agreed that </w:t>
      </w:r>
      <w:r w:rsidRPr="000417AA">
        <w:t>First Valuation Date</w:t>
      </w:r>
      <w:r>
        <w:t xml:space="preserve"> </w:t>
      </w:r>
      <w:r w:rsidRPr="000417AA">
        <w:t>was to be treated as immediately before the Transaction took place</w:t>
      </w:r>
      <w:r w:rsidR="009F3070">
        <w:t>;</w:t>
      </w:r>
    </w:p>
    <w:p w14:paraId="60D7DFF6" w14:textId="052E1D99" w:rsidR="00F91AFA" w:rsidRDefault="002810E5" w:rsidP="00EF2FE7">
      <w:pPr>
        <w:pStyle w:val="ParaLevel2"/>
      </w:pPr>
      <w:r>
        <w:t xml:space="preserve">Mr Skeels gave convincing evidence to support his use of Comparable Companies </w:t>
      </w:r>
      <w:r w:rsidR="00280A13">
        <w:t xml:space="preserve">and Comparable Transactions (the latter </w:t>
      </w:r>
      <w:r w:rsidR="00C23751">
        <w:t xml:space="preserve">in his calculation of EV at </w:t>
      </w:r>
      <w:r w:rsidR="00280A13">
        <w:t>the First Valuation Date</w:t>
      </w:r>
      <w:r w:rsidR="00C23751">
        <w:t xml:space="preserve"> and as something of a cross-check for his valuation at the Second Valuation Date)</w:t>
      </w:r>
      <w:r w:rsidR="009F3070">
        <w:t>;</w:t>
      </w:r>
    </w:p>
    <w:p w14:paraId="3423CDFA" w14:textId="0C3FD10A" w:rsidR="000417AA" w:rsidRDefault="009F3070" w:rsidP="00EF2FE7">
      <w:pPr>
        <w:pStyle w:val="ParaLevel2"/>
      </w:pPr>
      <w:r>
        <w:t>a</w:t>
      </w:r>
      <w:r w:rsidR="00AE6C53" w:rsidRPr="00AE6C53">
        <w:t xml:space="preserve">lthough Mr Taylor disputed Mr Skeels’ use of a Control Premium, </w:t>
      </w:r>
      <w:r w:rsidR="00AE6C53">
        <w:t>I find that a premium of 30</w:t>
      </w:r>
      <w:r w:rsidR="00DA1916">
        <w:t>% was a reasonable one for M</w:t>
      </w:r>
      <w:r w:rsidR="005D0D65">
        <w:t>r</w:t>
      </w:r>
      <w:r w:rsidR="00DA1916">
        <w:t xml:space="preserve"> Skeels to use.  </w:t>
      </w:r>
      <w:r w:rsidR="00484688">
        <w:t xml:space="preserve">Mr Taylor </w:t>
      </w:r>
      <w:r w:rsidR="00F91AFA">
        <w:t>accepted the DLOM of 44% (First Valuation Date) and 40% (Second Valuation Date) applied by Mr Skeels in his Market Appro</w:t>
      </w:r>
      <w:r w:rsidR="00063597">
        <w:t>a</w:t>
      </w:r>
      <w:r w:rsidR="00F91AFA">
        <w:t>ch</w:t>
      </w:r>
      <w:r>
        <w:t>;</w:t>
      </w:r>
    </w:p>
    <w:p w14:paraId="662C9757" w14:textId="62D24691" w:rsidR="00F91AFA" w:rsidRDefault="009F3070" w:rsidP="00EF2FE7">
      <w:pPr>
        <w:pStyle w:val="ParaLevel2"/>
      </w:pPr>
      <w:r>
        <w:t>t</w:t>
      </w:r>
      <w:r w:rsidR="003C3005">
        <w:t xml:space="preserve">he use of an EBITDA of £1.1m for the First Valuation Date </w:t>
      </w:r>
      <w:r>
        <w:t xml:space="preserve">was reasonable; and </w:t>
      </w:r>
    </w:p>
    <w:p w14:paraId="55271D4A" w14:textId="48E68CD6" w:rsidR="000417AA" w:rsidRDefault="00484688" w:rsidP="00EF2FE7">
      <w:pPr>
        <w:pStyle w:val="ParaLevel2"/>
      </w:pPr>
      <w:r>
        <w:t xml:space="preserve">Mr Skeels’ </w:t>
      </w:r>
      <w:r w:rsidR="000417AA">
        <w:t xml:space="preserve">analysis of the Transaction, for the purpose of ascertaining implied EBITDA multiples is to be preferred to Mr Taylor’s analysis.  The implied multiple in the range of 8.2x (based on an EBITDA of £1.1m) which Mr Skeels derived from the terms of the Transaction supports his range of </w:t>
      </w:r>
      <w:r>
        <w:t>7.7</w:t>
      </w:r>
      <w:r w:rsidR="00DE5223">
        <w:t>x</w:t>
      </w:r>
      <w:r>
        <w:t xml:space="preserve"> to 8.7x (midpoint 8.2x) obtained using the Market Approach.</w:t>
      </w:r>
      <w:r w:rsidR="00125DD4">
        <w:t xml:space="preserve">  My </w:t>
      </w:r>
      <w:r w:rsidR="00E80FDF">
        <w:t xml:space="preserve">preference of Mr Skeels’ analysis (when </w:t>
      </w:r>
      <w:r w:rsidR="00365E53">
        <w:t>he did not rely upon the terms of the Transaction as the basis of his valuation at the First Valuation Date but Mr Taylor did) is a significant factor in my decision to prefer generally the evidence of Mr Skeels.</w:t>
      </w:r>
    </w:p>
    <w:p w14:paraId="36CCF487" w14:textId="0D85F11F" w:rsidR="00F12978" w:rsidRDefault="0079398A" w:rsidP="00EF2FE7">
      <w:pPr>
        <w:pStyle w:val="ParaLevel1"/>
      </w:pPr>
      <w:r>
        <w:t xml:space="preserve">That said, </w:t>
      </w:r>
      <w:r w:rsidR="00CD59C9">
        <w:t>I have concluded that</w:t>
      </w:r>
      <w:r>
        <w:t xml:space="preserve"> Mr Skeels’ EBITDA of £1.3m for the Second Valuation Date </w:t>
      </w:r>
      <w:r w:rsidR="00BF663A">
        <w:t>i</w:t>
      </w:r>
      <w:r>
        <w:t xml:space="preserve">s too </w:t>
      </w:r>
      <w:r w:rsidR="00BF663A">
        <w:t>high a figure</w:t>
      </w:r>
      <w:r>
        <w:t>.  I</w:t>
      </w:r>
      <w:r w:rsidR="007203CC">
        <w:t>n my judgment, it would not have been</w:t>
      </w:r>
      <w:r>
        <w:t xml:space="preserve"> agreed by the hypothetical seller and buyer to have been as low as Mr Taylor’s </w:t>
      </w:r>
      <w:r w:rsidR="004E6D26">
        <w:t>£</w:t>
      </w:r>
      <w:r>
        <w:t>0.6</w:t>
      </w:r>
      <w:r w:rsidR="004E6D26">
        <w:t>m</w:t>
      </w:r>
      <w:r>
        <w:t xml:space="preserve"> to </w:t>
      </w:r>
      <w:r w:rsidR="004E6D26">
        <w:t>£</w:t>
      </w:r>
      <w:r>
        <w:t>0.9</w:t>
      </w:r>
      <w:r w:rsidR="004E6D26">
        <w:t>m</w:t>
      </w:r>
      <w:r>
        <w:t xml:space="preserve"> </w:t>
      </w:r>
      <w:r w:rsidR="0010580C">
        <w:t xml:space="preserve">but the disagreement between the experts, by reference to </w:t>
      </w:r>
      <w:r w:rsidR="00D534EC">
        <w:t>financial material available by July 2015, has led me to conclude that the EBITDA for the Second Val</w:t>
      </w:r>
      <w:r w:rsidR="00210DA1">
        <w:t>u</w:t>
      </w:r>
      <w:r w:rsidR="00D534EC">
        <w:t xml:space="preserve">ation </w:t>
      </w:r>
      <w:r w:rsidR="00210DA1">
        <w:t>D</w:t>
      </w:r>
      <w:r w:rsidR="00D534EC">
        <w:t xml:space="preserve">ate should be </w:t>
      </w:r>
      <w:r w:rsidR="00AF7B4B">
        <w:t>£</w:t>
      </w:r>
      <w:r w:rsidR="00D10431">
        <w:t>1.1m</w:t>
      </w:r>
      <w:r>
        <w:t>.</w:t>
      </w:r>
      <w:r w:rsidR="00D10431">
        <w:t xml:space="preserve">  This </w:t>
      </w:r>
      <w:r w:rsidR="00701FF9">
        <w:t>is</w:t>
      </w:r>
      <w:r w:rsidR="009B35C8">
        <w:t xml:space="preserve"> the mid-point between Mr Skeels</w:t>
      </w:r>
      <w:r w:rsidR="00A9361B">
        <w:t>’</w:t>
      </w:r>
      <w:r w:rsidR="009B35C8">
        <w:t xml:space="preserve"> figure and Mr Taylor’s higher figure.  </w:t>
      </w:r>
      <w:r w:rsidR="00E72172">
        <w:t>I</w:t>
      </w:r>
      <w:r w:rsidR="00241CFF">
        <w:t xml:space="preserve">t is the same EBITDA as that used for </w:t>
      </w:r>
      <w:r w:rsidR="00F824C8">
        <w:t xml:space="preserve">IPS UK on </w:t>
      </w:r>
      <w:r w:rsidR="00241CFF">
        <w:t xml:space="preserve">the First Valuation Date </w:t>
      </w:r>
      <w:r w:rsidR="003D666D">
        <w:t xml:space="preserve">only about 8 months earlier.  As I explain further below, the competing evidence </w:t>
      </w:r>
      <w:r w:rsidR="00C30260">
        <w:t>over the EBITDA at the Second Valuation Date</w:t>
      </w:r>
      <w:r w:rsidR="00527A67">
        <w:t xml:space="preserve">, by reference to the Company’s performance </w:t>
      </w:r>
      <w:r w:rsidR="00C629E8">
        <w:t xml:space="preserve">in the 7 months following the </w:t>
      </w:r>
      <w:r w:rsidR="005260E6">
        <w:t>Transaction,</w:t>
      </w:r>
      <w:r w:rsidR="00C30260">
        <w:t xml:space="preserve"> has led me to conclude that it is safest to revert to the </w:t>
      </w:r>
      <w:r w:rsidR="00540DED">
        <w:t xml:space="preserve">consensus about what it </w:t>
      </w:r>
      <w:r w:rsidR="00CA458C">
        <w:t xml:space="preserve">was </w:t>
      </w:r>
      <w:r w:rsidR="00540DED">
        <w:t xml:space="preserve">taken to </w:t>
      </w:r>
      <w:r w:rsidR="00CA458C">
        <w:t xml:space="preserve">be (for </w:t>
      </w:r>
      <w:r w:rsidR="00701FF9">
        <w:t xml:space="preserve">IPS UK) </w:t>
      </w:r>
      <w:r w:rsidR="005260E6">
        <w:t>just before the Transaction took place</w:t>
      </w:r>
      <w:r w:rsidR="00527A67">
        <w:t>.</w:t>
      </w:r>
      <w:r>
        <w:t xml:space="preserve"> </w:t>
      </w:r>
    </w:p>
    <w:p w14:paraId="1787FDD7" w14:textId="77077A7A" w:rsidR="004A7A8E" w:rsidRDefault="004A7A8E" w:rsidP="00EF2FE7">
      <w:pPr>
        <w:pStyle w:val="ParaLevel1"/>
      </w:pPr>
      <w:r>
        <w:t>Having assessed the expert evidence I conclude that the value of the Claimants’ shareholding in IPS UK at the First Valuation Date was £</w:t>
      </w:r>
      <w:r w:rsidR="00075E62">
        <w:t>8m</w:t>
      </w:r>
      <w:r w:rsidR="007D2588">
        <w:t xml:space="preserve">.  </w:t>
      </w:r>
      <w:r>
        <w:t>I conclude that the value of their shareholding in the Company at the Second Valuation Date was £</w:t>
      </w:r>
      <w:r w:rsidR="007D2588">
        <w:t>2.57m.</w:t>
      </w:r>
    </w:p>
    <w:p w14:paraId="0D5D0CB4" w14:textId="65BDE8AD" w:rsidR="00210DA1" w:rsidRDefault="00210DA1" w:rsidP="00EF2FE7">
      <w:pPr>
        <w:pStyle w:val="ParaLevel1"/>
      </w:pPr>
      <w:r>
        <w:t>Th</w:t>
      </w:r>
      <w:r w:rsidR="00DD4E6F">
        <w:t xml:space="preserve">ese </w:t>
      </w:r>
      <w:r w:rsidR="00F97795">
        <w:t xml:space="preserve">valuations </w:t>
      </w:r>
      <w:r w:rsidR="00DD4E6F">
        <w:t>are</w:t>
      </w:r>
      <w:r>
        <w:t xml:space="preserve"> explained by the following table</w:t>
      </w:r>
      <w:r w:rsidR="00845E98">
        <w:t>s</w:t>
      </w:r>
      <w:r w:rsidR="00164E2D">
        <w:t>.  F</w:t>
      </w:r>
      <w:r w:rsidR="000F5079">
        <w:t>or the purposes of the Second Valuation Date, in circumstances where the experts agreed that the Company’s net debt was immaterial</w:t>
      </w:r>
      <w:r w:rsidR="00196A0D">
        <w:t>,</w:t>
      </w:r>
      <w:r w:rsidR="000F5079">
        <w:t xml:space="preserve"> I have </w:t>
      </w:r>
      <w:r w:rsidR="00164E2D">
        <w:t>split the difference between them to reach a net debt figure of £4.85m</w:t>
      </w:r>
      <w:r>
        <w:t>:</w:t>
      </w:r>
    </w:p>
    <w:p w14:paraId="761A3B9D" w14:textId="4A8D12B9" w:rsidR="006F206E" w:rsidRPr="00843623" w:rsidRDefault="006F206E" w:rsidP="00EF2FE7">
      <w:pPr>
        <w:pStyle w:val="ParaLevel1"/>
        <w:numPr>
          <w:ilvl w:val="0"/>
          <w:numId w:val="0"/>
        </w:numPr>
        <w:ind w:left="567"/>
      </w:pPr>
      <w:r w:rsidRPr="006F206E">
        <w:rPr>
          <w:u w:val="single"/>
        </w:rPr>
        <w:t>First Valuation Date</w:t>
      </w:r>
      <w:r w:rsidR="00843623">
        <w:t xml:space="preserve"> (£ million)</w:t>
      </w:r>
    </w:p>
    <w:tbl>
      <w:tblPr>
        <w:tblStyle w:val="TableGrid"/>
        <w:tblW w:w="9326" w:type="dxa"/>
        <w:tblInd w:w="567" w:type="dxa"/>
        <w:tblLook w:val="04A0" w:firstRow="1" w:lastRow="0" w:firstColumn="1" w:lastColumn="0" w:noHBand="0" w:noVBand="1"/>
      </w:tblPr>
      <w:tblGrid>
        <w:gridCol w:w="4909"/>
        <w:gridCol w:w="1497"/>
        <w:gridCol w:w="1460"/>
        <w:gridCol w:w="1460"/>
      </w:tblGrid>
      <w:tr w:rsidR="00845E98" w:rsidRPr="0044170A" w14:paraId="5351A46D" w14:textId="77777777" w:rsidTr="00405DC7">
        <w:trPr>
          <w:trHeight w:val="283"/>
        </w:trPr>
        <w:tc>
          <w:tcPr>
            <w:tcW w:w="3341" w:type="dxa"/>
            <w:tcBorders>
              <w:top w:val="single" w:sz="12" w:space="0" w:color="auto"/>
              <w:left w:val="single" w:sz="12" w:space="0" w:color="auto"/>
              <w:right w:val="single" w:sz="12" w:space="0" w:color="auto"/>
            </w:tcBorders>
          </w:tcPr>
          <w:p w14:paraId="43DC563B" w14:textId="77777777" w:rsidR="00845E98" w:rsidRPr="0044170A" w:rsidRDefault="00845E98" w:rsidP="00EF2FE7">
            <w:pPr>
              <w:rPr>
                <w:rFonts w:ascii="Garamond" w:hAnsi="Garamond" w:cs="Calibri"/>
                <w:kern w:val="1"/>
                <w:sz w:val="20"/>
                <w:szCs w:val="20"/>
                <w:lang w:eastAsia="en-GB"/>
              </w:rPr>
            </w:pPr>
            <w:bookmarkStart w:id="5" w:name="_Hlk99891523"/>
            <w:r w:rsidRPr="0044170A">
              <w:rPr>
                <w:rFonts w:ascii="Garamond" w:hAnsi="Garamond" w:cs="Calibri"/>
                <w:kern w:val="1"/>
                <w:sz w:val="20"/>
                <w:szCs w:val="20"/>
                <w:lang w:eastAsia="en-GB"/>
              </w:rPr>
              <w:t>EV/EBITDA Multiple</w:t>
            </w:r>
          </w:p>
        </w:tc>
        <w:tc>
          <w:tcPr>
            <w:tcW w:w="1019" w:type="dxa"/>
            <w:tcBorders>
              <w:top w:val="single" w:sz="12" w:space="0" w:color="auto"/>
              <w:left w:val="single" w:sz="12" w:space="0" w:color="auto"/>
              <w:right w:val="single" w:sz="4" w:space="0" w:color="auto"/>
            </w:tcBorders>
          </w:tcPr>
          <w:p w14:paraId="76E4F9D6" w14:textId="77777777" w:rsidR="00845E98" w:rsidRPr="0044170A" w:rsidRDefault="00845E98"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8.2x</w:t>
            </w:r>
          </w:p>
        </w:tc>
        <w:tc>
          <w:tcPr>
            <w:tcW w:w="994" w:type="dxa"/>
            <w:tcBorders>
              <w:top w:val="single" w:sz="12" w:space="0" w:color="auto"/>
              <w:left w:val="single" w:sz="4" w:space="0" w:color="auto"/>
              <w:right w:val="single" w:sz="4" w:space="0" w:color="auto"/>
            </w:tcBorders>
          </w:tcPr>
          <w:p w14:paraId="49516FDE" w14:textId="77777777" w:rsidR="00845E98" w:rsidRPr="0044170A" w:rsidRDefault="00845E98"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7.7x</w:t>
            </w:r>
          </w:p>
        </w:tc>
        <w:tc>
          <w:tcPr>
            <w:tcW w:w="994" w:type="dxa"/>
            <w:tcBorders>
              <w:top w:val="single" w:sz="12" w:space="0" w:color="auto"/>
              <w:left w:val="single" w:sz="4" w:space="0" w:color="auto"/>
              <w:right w:val="single" w:sz="12" w:space="0" w:color="auto"/>
            </w:tcBorders>
          </w:tcPr>
          <w:p w14:paraId="543D6B7E" w14:textId="77777777" w:rsidR="00845E98" w:rsidRPr="0044170A" w:rsidRDefault="00845E98"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8.7x</w:t>
            </w:r>
          </w:p>
        </w:tc>
      </w:tr>
      <w:tr w:rsidR="00845E98" w:rsidRPr="0044170A" w14:paraId="6D7DA118" w14:textId="77777777" w:rsidTr="00405DC7">
        <w:trPr>
          <w:trHeight w:val="283"/>
        </w:trPr>
        <w:tc>
          <w:tcPr>
            <w:tcW w:w="3341" w:type="dxa"/>
            <w:tcBorders>
              <w:left w:val="single" w:sz="12" w:space="0" w:color="auto"/>
              <w:right w:val="single" w:sz="12" w:space="0" w:color="auto"/>
            </w:tcBorders>
          </w:tcPr>
          <w:p w14:paraId="7E1DD9C3" w14:textId="77777777" w:rsidR="00845E98" w:rsidRPr="00A87D83" w:rsidRDefault="00845E98" w:rsidP="00EF2FE7">
            <w:pPr>
              <w:rPr>
                <w:rFonts w:ascii="Garamond" w:hAnsi="Garamond" w:cs="Calibri"/>
                <w:b/>
                <w:bCs/>
                <w:kern w:val="1"/>
                <w:sz w:val="20"/>
                <w:szCs w:val="20"/>
                <w:lang w:eastAsia="en-GB"/>
              </w:rPr>
            </w:pPr>
            <w:r w:rsidRPr="0044170A">
              <w:rPr>
                <w:rFonts w:ascii="Garamond" w:hAnsi="Garamond" w:cs="Calibri"/>
                <w:kern w:val="1"/>
                <w:sz w:val="20"/>
                <w:szCs w:val="20"/>
                <w:lang w:eastAsia="en-GB"/>
              </w:rPr>
              <w:t>EBITDA</w:t>
            </w:r>
          </w:p>
        </w:tc>
        <w:tc>
          <w:tcPr>
            <w:tcW w:w="1019" w:type="dxa"/>
            <w:tcBorders>
              <w:left w:val="single" w:sz="12" w:space="0" w:color="auto"/>
              <w:right w:val="single" w:sz="4" w:space="0" w:color="auto"/>
            </w:tcBorders>
          </w:tcPr>
          <w:p w14:paraId="5A380AD2" w14:textId="77777777" w:rsidR="00845E98" w:rsidRPr="0044170A" w:rsidRDefault="00845E98"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c>
          <w:tcPr>
            <w:tcW w:w="994" w:type="dxa"/>
            <w:tcBorders>
              <w:left w:val="single" w:sz="4" w:space="0" w:color="auto"/>
              <w:right w:val="single" w:sz="4" w:space="0" w:color="auto"/>
            </w:tcBorders>
          </w:tcPr>
          <w:p w14:paraId="3303F33B" w14:textId="77777777" w:rsidR="00845E98" w:rsidRPr="0044170A" w:rsidRDefault="00845E98"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c>
          <w:tcPr>
            <w:tcW w:w="994" w:type="dxa"/>
            <w:tcBorders>
              <w:left w:val="single" w:sz="4" w:space="0" w:color="auto"/>
              <w:right w:val="single" w:sz="12" w:space="0" w:color="auto"/>
            </w:tcBorders>
          </w:tcPr>
          <w:p w14:paraId="3996E936" w14:textId="77777777" w:rsidR="00845E98" w:rsidRPr="0044170A" w:rsidRDefault="00845E98"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r>
      <w:tr w:rsidR="00845E98" w:rsidRPr="0044170A" w14:paraId="165D480A" w14:textId="77777777" w:rsidTr="00405DC7">
        <w:trPr>
          <w:trHeight w:val="283"/>
        </w:trPr>
        <w:tc>
          <w:tcPr>
            <w:tcW w:w="3341" w:type="dxa"/>
            <w:tcBorders>
              <w:left w:val="single" w:sz="12" w:space="0" w:color="auto"/>
              <w:right w:val="single" w:sz="12" w:space="0" w:color="auto"/>
            </w:tcBorders>
          </w:tcPr>
          <w:p w14:paraId="079A05D1" w14:textId="77777777" w:rsidR="00845E98" w:rsidRPr="00A87D83" w:rsidRDefault="00845E98" w:rsidP="00EF2FE7">
            <w:pPr>
              <w:rPr>
                <w:rFonts w:ascii="Garamond" w:hAnsi="Garamond" w:cs="Calibri"/>
                <w:bCs/>
                <w:kern w:val="1"/>
                <w:sz w:val="20"/>
                <w:szCs w:val="20"/>
                <w:lang w:eastAsia="en-GB"/>
              </w:rPr>
            </w:pPr>
            <w:r w:rsidRPr="00A87D83">
              <w:rPr>
                <w:rFonts w:ascii="Garamond" w:hAnsi="Garamond" w:cs="Calibri"/>
                <w:bCs/>
                <w:kern w:val="1"/>
                <w:sz w:val="20"/>
                <w:szCs w:val="20"/>
                <w:lang w:eastAsia="en-GB"/>
              </w:rPr>
              <w:t>Enterprise Value</w:t>
            </w:r>
          </w:p>
        </w:tc>
        <w:tc>
          <w:tcPr>
            <w:tcW w:w="1019" w:type="dxa"/>
            <w:tcBorders>
              <w:left w:val="single" w:sz="12" w:space="0" w:color="auto"/>
              <w:right w:val="single" w:sz="4" w:space="0" w:color="auto"/>
            </w:tcBorders>
          </w:tcPr>
          <w:p w14:paraId="3ADDCC36" w14:textId="77777777" w:rsidR="00845E98" w:rsidRPr="00A87D83" w:rsidRDefault="00845E98" w:rsidP="00EF2FE7">
            <w:pPr>
              <w:jc w:val="center"/>
              <w:rPr>
                <w:rFonts w:ascii="Garamond" w:hAnsi="Garamond" w:cs="Calibri"/>
                <w:bCs/>
                <w:kern w:val="1"/>
                <w:sz w:val="20"/>
                <w:szCs w:val="20"/>
                <w:lang w:eastAsia="en-GB"/>
              </w:rPr>
            </w:pPr>
            <w:r w:rsidRPr="00A87D83">
              <w:rPr>
                <w:rFonts w:ascii="Garamond" w:hAnsi="Garamond" w:cs="Calibri"/>
                <w:bCs/>
                <w:kern w:val="1"/>
                <w:sz w:val="20"/>
                <w:szCs w:val="20"/>
                <w:lang w:eastAsia="en-GB"/>
              </w:rPr>
              <w:t>9.4</w:t>
            </w:r>
          </w:p>
        </w:tc>
        <w:tc>
          <w:tcPr>
            <w:tcW w:w="994" w:type="dxa"/>
            <w:tcBorders>
              <w:left w:val="single" w:sz="4" w:space="0" w:color="auto"/>
              <w:right w:val="single" w:sz="4" w:space="0" w:color="auto"/>
            </w:tcBorders>
          </w:tcPr>
          <w:p w14:paraId="69F010AD" w14:textId="77777777" w:rsidR="00845E98" w:rsidRPr="00A87D83" w:rsidRDefault="00845E98" w:rsidP="00EF2FE7">
            <w:pPr>
              <w:jc w:val="center"/>
              <w:rPr>
                <w:rFonts w:ascii="Garamond" w:hAnsi="Garamond" w:cs="Calibri"/>
                <w:bCs/>
                <w:kern w:val="1"/>
                <w:sz w:val="20"/>
                <w:szCs w:val="20"/>
                <w:lang w:eastAsia="en-GB"/>
              </w:rPr>
            </w:pPr>
            <w:r w:rsidRPr="00A87D83">
              <w:rPr>
                <w:rFonts w:ascii="Garamond" w:hAnsi="Garamond" w:cs="Calibri"/>
                <w:bCs/>
                <w:kern w:val="1"/>
                <w:sz w:val="20"/>
                <w:szCs w:val="20"/>
                <w:lang w:eastAsia="en-GB"/>
              </w:rPr>
              <w:t>8.8</w:t>
            </w:r>
          </w:p>
        </w:tc>
        <w:tc>
          <w:tcPr>
            <w:tcW w:w="994" w:type="dxa"/>
            <w:tcBorders>
              <w:left w:val="single" w:sz="4" w:space="0" w:color="auto"/>
              <w:right w:val="single" w:sz="12" w:space="0" w:color="auto"/>
            </w:tcBorders>
          </w:tcPr>
          <w:p w14:paraId="39BCAD9E" w14:textId="77777777" w:rsidR="00845E98" w:rsidRPr="00A87D83" w:rsidRDefault="00845E98" w:rsidP="00EF2FE7">
            <w:pPr>
              <w:jc w:val="center"/>
              <w:rPr>
                <w:rFonts w:ascii="Garamond" w:hAnsi="Garamond" w:cs="Calibri"/>
                <w:bCs/>
                <w:kern w:val="1"/>
                <w:sz w:val="20"/>
                <w:szCs w:val="20"/>
                <w:lang w:eastAsia="en-GB"/>
              </w:rPr>
            </w:pPr>
            <w:r w:rsidRPr="00A87D83">
              <w:rPr>
                <w:rFonts w:ascii="Garamond" w:hAnsi="Garamond" w:cs="Calibri"/>
                <w:bCs/>
                <w:kern w:val="1"/>
                <w:sz w:val="20"/>
                <w:szCs w:val="20"/>
                <w:lang w:eastAsia="en-GB"/>
              </w:rPr>
              <w:t>9.9</w:t>
            </w:r>
          </w:p>
        </w:tc>
      </w:tr>
      <w:tr w:rsidR="00845E98" w:rsidRPr="0044170A" w14:paraId="31EA6EB3" w14:textId="77777777" w:rsidTr="00405DC7">
        <w:trPr>
          <w:trHeight w:val="283"/>
        </w:trPr>
        <w:tc>
          <w:tcPr>
            <w:tcW w:w="3341" w:type="dxa"/>
            <w:tcBorders>
              <w:left w:val="single" w:sz="12" w:space="0" w:color="auto"/>
              <w:right w:val="single" w:sz="12" w:space="0" w:color="auto"/>
            </w:tcBorders>
          </w:tcPr>
          <w:p w14:paraId="13A15F9B" w14:textId="77777777" w:rsidR="00845E98" w:rsidRPr="0044170A" w:rsidRDefault="00845E98" w:rsidP="00EF2FE7">
            <w:pPr>
              <w:rPr>
                <w:rFonts w:ascii="Garamond" w:hAnsi="Garamond" w:cs="Calibri"/>
                <w:kern w:val="1"/>
                <w:sz w:val="20"/>
                <w:szCs w:val="20"/>
                <w:lang w:eastAsia="en-GB"/>
              </w:rPr>
            </w:pPr>
            <w:r w:rsidRPr="0044170A">
              <w:rPr>
                <w:rFonts w:ascii="Garamond" w:hAnsi="Garamond" w:cs="Calibri"/>
                <w:kern w:val="1"/>
                <w:sz w:val="20"/>
                <w:szCs w:val="20"/>
                <w:lang w:eastAsia="en-GB"/>
              </w:rPr>
              <w:t>Net debt</w:t>
            </w:r>
          </w:p>
        </w:tc>
        <w:tc>
          <w:tcPr>
            <w:tcW w:w="1019" w:type="dxa"/>
            <w:tcBorders>
              <w:left w:val="single" w:sz="12" w:space="0" w:color="auto"/>
              <w:right w:val="single" w:sz="4" w:space="0" w:color="auto"/>
            </w:tcBorders>
          </w:tcPr>
          <w:p w14:paraId="30DD8B16" w14:textId="77777777" w:rsidR="00845E98" w:rsidRPr="0044170A" w:rsidRDefault="00845E98"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w:t>
            </w:r>
          </w:p>
        </w:tc>
        <w:tc>
          <w:tcPr>
            <w:tcW w:w="994" w:type="dxa"/>
            <w:tcBorders>
              <w:left w:val="single" w:sz="4" w:space="0" w:color="auto"/>
              <w:right w:val="single" w:sz="4" w:space="0" w:color="auto"/>
            </w:tcBorders>
          </w:tcPr>
          <w:p w14:paraId="3E2D934C" w14:textId="77777777" w:rsidR="00845E98" w:rsidRPr="0044170A" w:rsidRDefault="00845E98"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w:t>
            </w:r>
          </w:p>
        </w:tc>
        <w:tc>
          <w:tcPr>
            <w:tcW w:w="994" w:type="dxa"/>
            <w:tcBorders>
              <w:left w:val="single" w:sz="4" w:space="0" w:color="auto"/>
              <w:right w:val="single" w:sz="12" w:space="0" w:color="auto"/>
            </w:tcBorders>
          </w:tcPr>
          <w:p w14:paraId="7578AF4F" w14:textId="77777777" w:rsidR="00845E98" w:rsidRPr="0044170A" w:rsidRDefault="00845E98"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w:t>
            </w:r>
          </w:p>
        </w:tc>
      </w:tr>
      <w:tr w:rsidR="00F44E32" w:rsidRPr="0044170A" w14:paraId="3642A352" w14:textId="77777777" w:rsidTr="00405DC7">
        <w:trPr>
          <w:trHeight w:val="283"/>
        </w:trPr>
        <w:tc>
          <w:tcPr>
            <w:tcW w:w="3341" w:type="dxa"/>
            <w:tcBorders>
              <w:left w:val="single" w:sz="12" w:space="0" w:color="auto"/>
              <w:right w:val="single" w:sz="12" w:space="0" w:color="auto"/>
            </w:tcBorders>
          </w:tcPr>
          <w:p w14:paraId="6F338472" w14:textId="065A243B" w:rsidR="00F44E32" w:rsidRPr="00A87D83" w:rsidRDefault="00F44E32" w:rsidP="00EF2FE7">
            <w:pPr>
              <w:rPr>
                <w:rFonts w:ascii="Garamond" w:hAnsi="Garamond" w:cs="Calibri"/>
                <w:b/>
                <w:bCs/>
                <w:kern w:val="1"/>
                <w:sz w:val="20"/>
                <w:szCs w:val="20"/>
                <w:lang w:eastAsia="en-GB"/>
              </w:rPr>
            </w:pPr>
            <w:r w:rsidRPr="00A87D83">
              <w:rPr>
                <w:rFonts w:ascii="Garamond" w:hAnsi="Garamond" w:cs="Calibri"/>
                <w:b/>
                <w:bCs/>
                <w:kern w:val="1"/>
                <w:sz w:val="20"/>
                <w:szCs w:val="20"/>
                <w:lang w:eastAsia="en-GB"/>
              </w:rPr>
              <w:t xml:space="preserve">Claimants’ </w:t>
            </w:r>
            <w:r w:rsidR="00682258" w:rsidRPr="00A87D83">
              <w:rPr>
                <w:rFonts w:ascii="Garamond" w:hAnsi="Garamond" w:cs="Calibri"/>
                <w:b/>
                <w:bCs/>
                <w:kern w:val="1"/>
                <w:sz w:val="20"/>
                <w:szCs w:val="20"/>
                <w:lang w:eastAsia="en-GB"/>
              </w:rPr>
              <w:t xml:space="preserve">85.9% Share </w:t>
            </w:r>
          </w:p>
        </w:tc>
        <w:tc>
          <w:tcPr>
            <w:tcW w:w="1019" w:type="dxa"/>
            <w:tcBorders>
              <w:left w:val="single" w:sz="12" w:space="0" w:color="auto"/>
              <w:right w:val="single" w:sz="4" w:space="0" w:color="auto"/>
            </w:tcBorders>
          </w:tcPr>
          <w:p w14:paraId="266D0B0B" w14:textId="1E8919D4" w:rsidR="00F44E32" w:rsidRPr="006F206E" w:rsidRDefault="00A87D83" w:rsidP="00EF2FE7">
            <w:pPr>
              <w:jc w:val="center"/>
              <w:rPr>
                <w:rFonts w:ascii="Garamond" w:hAnsi="Garamond" w:cs="Calibri"/>
                <w:b/>
                <w:bCs/>
                <w:kern w:val="1"/>
                <w:sz w:val="20"/>
                <w:szCs w:val="20"/>
                <w:lang w:eastAsia="en-GB"/>
              </w:rPr>
            </w:pPr>
            <w:r w:rsidRPr="006F206E">
              <w:rPr>
                <w:rFonts w:ascii="Garamond" w:hAnsi="Garamond" w:cs="Calibri"/>
                <w:b/>
                <w:bCs/>
                <w:kern w:val="1"/>
                <w:sz w:val="20"/>
                <w:szCs w:val="20"/>
                <w:lang w:eastAsia="en-GB"/>
              </w:rPr>
              <w:t>8.0</w:t>
            </w:r>
          </w:p>
        </w:tc>
        <w:tc>
          <w:tcPr>
            <w:tcW w:w="994" w:type="dxa"/>
            <w:tcBorders>
              <w:left w:val="single" w:sz="4" w:space="0" w:color="auto"/>
              <w:right w:val="single" w:sz="4" w:space="0" w:color="auto"/>
            </w:tcBorders>
          </w:tcPr>
          <w:p w14:paraId="404D61C3" w14:textId="25F8C466" w:rsidR="00F44E32" w:rsidRPr="0044170A" w:rsidRDefault="00A87D83" w:rsidP="00EF2FE7">
            <w:pPr>
              <w:jc w:val="center"/>
              <w:rPr>
                <w:rFonts w:ascii="Garamond" w:hAnsi="Garamond" w:cs="Calibri"/>
                <w:kern w:val="1"/>
                <w:sz w:val="20"/>
                <w:szCs w:val="20"/>
                <w:lang w:eastAsia="en-GB"/>
              </w:rPr>
            </w:pPr>
            <w:r>
              <w:rPr>
                <w:rFonts w:ascii="Garamond" w:hAnsi="Garamond" w:cs="Calibri"/>
                <w:kern w:val="1"/>
                <w:sz w:val="20"/>
                <w:szCs w:val="20"/>
                <w:lang w:eastAsia="en-GB"/>
              </w:rPr>
              <w:t>7.5</w:t>
            </w:r>
          </w:p>
        </w:tc>
        <w:tc>
          <w:tcPr>
            <w:tcW w:w="994" w:type="dxa"/>
            <w:tcBorders>
              <w:left w:val="single" w:sz="4" w:space="0" w:color="auto"/>
              <w:right w:val="single" w:sz="12" w:space="0" w:color="auto"/>
            </w:tcBorders>
          </w:tcPr>
          <w:p w14:paraId="73AC5B97" w14:textId="156BA47D" w:rsidR="00F44E32" w:rsidRPr="0044170A" w:rsidRDefault="00A87D83" w:rsidP="00EF2FE7">
            <w:pPr>
              <w:jc w:val="center"/>
              <w:rPr>
                <w:rFonts w:ascii="Garamond" w:hAnsi="Garamond" w:cs="Calibri"/>
                <w:kern w:val="1"/>
                <w:sz w:val="20"/>
                <w:szCs w:val="20"/>
                <w:lang w:eastAsia="en-GB"/>
              </w:rPr>
            </w:pPr>
            <w:r>
              <w:rPr>
                <w:rFonts w:ascii="Garamond" w:hAnsi="Garamond" w:cs="Calibri"/>
                <w:kern w:val="1"/>
                <w:sz w:val="20"/>
                <w:szCs w:val="20"/>
                <w:lang w:eastAsia="en-GB"/>
              </w:rPr>
              <w:t>8.5</w:t>
            </w:r>
          </w:p>
        </w:tc>
      </w:tr>
      <w:bookmarkEnd w:id="5"/>
    </w:tbl>
    <w:p w14:paraId="557F7421" w14:textId="52C63492" w:rsidR="00210DA1" w:rsidRDefault="00210DA1" w:rsidP="00EF2FE7">
      <w:pPr>
        <w:pStyle w:val="ParaLevel1"/>
        <w:numPr>
          <w:ilvl w:val="0"/>
          <w:numId w:val="0"/>
        </w:numPr>
        <w:ind w:left="720" w:hanging="720"/>
      </w:pPr>
    </w:p>
    <w:p w14:paraId="18DBB1EA" w14:textId="20B7499F" w:rsidR="006F206E" w:rsidRPr="00843623" w:rsidRDefault="00843623" w:rsidP="00EF2FE7">
      <w:pPr>
        <w:pStyle w:val="ParaLevel1"/>
        <w:numPr>
          <w:ilvl w:val="0"/>
          <w:numId w:val="0"/>
        </w:numPr>
        <w:ind w:left="1287" w:hanging="720"/>
      </w:pPr>
      <w:r w:rsidRPr="00843623">
        <w:rPr>
          <w:u w:val="single"/>
        </w:rPr>
        <w:t>Second Valuation Date</w:t>
      </w:r>
      <w:r>
        <w:t xml:space="preserve"> (£ million)</w:t>
      </w:r>
    </w:p>
    <w:tbl>
      <w:tblPr>
        <w:tblStyle w:val="TableGrid"/>
        <w:tblW w:w="9326" w:type="dxa"/>
        <w:tblInd w:w="567" w:type="dxa"/>
        <w:tblLook w:val="04A0" w:firstRow="1" w:lastRow="0" w:firstColumn="1" w:lastColumn="0" w:noHBand="0" w:noVBand="1"/>
      </w:tblPr>
      <w:tblGrid>
        <w:gridCol w:w="4909"/>
        <w:gridCol w:w="1497"/>
        <w:gridCol w:w="1460"/>
        <w:gridCol w:w="1460"/>
      </w:tblGrid>
      <w:tr w:rsidR="009F2E50" w:rsidRPr="0044170A" w14:paraId="5F379214" w14:textId="77777777" w:rsidTr="00405DC7">
        <w:trPr>
          <w:trHeight w:val="283"/>
        </w:trPr>
        <w:tc>
          <w:tcPr>
            <w:tcW w:w="3341" w:type="dxa"/>
            <w:tcBorders>
              <w:top w:val="single" w:sz="12" w:space="0" w:color="auto"/>
              <w:left w:val="single" w:sz="12" w:space="0" w:color="auto"/>
              <w:right w:val="single" w:sz="12" w:space="0" w:color="auto"/>
            </w:tcBorders>
          </w:tcPr>
          <w:p w14:paraId="4FAE53F3" w14:textId="77777777" w:rsidR="009F2E50" w:rsidRPr="0044170A" w:rsidRDefault="009F2E50" w:rsidP="00EF2FE7">
            <w:pPr>
              <w:rPr>
                <w:rFonts w:ascii="Garamond" w:hAnsi="Garamond" w:cs="Calibri"/>
                <w:kern w:val="1"/>
                <w:sz w:val="20"/>
                <w:szCs w:val="20"/>
                <w:lang w:eastAsia="en-GB"/>
              </w:rPr>
            </w:pPr>
            <w:r w:rsidRPr="0044170A">
              <w:rPr>
                <w:rFonts w:ascii="Garamond" w:hAnsi="Garamond" w:cs="Calibri"/>
                <w:kern w:val="1"/>
                <w:sz w:val="20"/>
                <w:szCs w:val="20"/>
                <w:lang w:eastAsia="en-GB"/>
              </w:rPr>
              <w:t>EV/EBITDA Multiple</w:t>
            </w:r>
          </w:p>
        </w:tc>
        <w:tc>
          <w:tcPr>
            <w:tcW w:w="1019" w:type="dxa"/>
            <w:tcBorders>
              <w:top w:val="single" w:sz="12" w:space="0" w:color="auto"/>
              <w:left w:val="single" w:sz="12" w:space="0" w:color="auto"/>
              <w:right w:val="single" w:sz="4" w:space="0" w:color="auto"/>
            </w:tcBorders>
          </w:tcPr>
          <w:p w14:paraId="6DD75EE7" w14:textId="28433C82" w:rsidR="009F2E50" w:rsidRPr="0044170A" w:rsidRDefault="009F2E50"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8.</w:t>
            </w:r>
            <w:r w:rsidR="009F23BD">
              <w:rPr>
                <w:rFonts w:ascii="Garamond" w:hAnsi="Garamond" w:cs="Calibri"/>
                <w:kern w:val="1"/>
                <w:sz w:val="20"/>
                <w:szCs w:val="20"/>
                <w:lang w:eastAsia="en-GB"/>
              </w:rPr>
              <w:t>3</w:t>
            </w:r>
            <w:r w:rsidRPr="0044170A">
              <w:rPr>
                <w:rFonts w:ascii="Garamond" w:hAnsi="Garamond" w:cs="Calibri"/>
                <w:kern w:val="1"/>
                <w:sz w:val="20"/>
                <w:szCs w:val="20"/>
                <w:lang w:eastAsia="en-GB"/>
              </w:rPr>
              <w:t>x</w:t>
            </w:r>
          </w:p>
        </w:tc>
        <w:tc>
          <w:tcPr>
            <w:tcW w:w="994" w:type="dxa"/>
            <w:tcBorders>
              <w:top w:val="single" w:sz="12" w:space="0" w:color="auto"/>
              <w:left w:val="single" w:sz="4" w:space="0" w:color="auto"/>
              <w:right w:val="single" w:sz="4" w:space="0" w:color="auto"/>
            </w:tcBorders>
          </w:tcPr>
          <w:p w14:paraId="7A60A4A6" w14:textId="4C7C436B" w:rsidR="009F2E50" w:rsidRPr="0044170A" w:rsidRDefault="009F23BD" w:rsidP="00EF2FE7">
            <w:pPr>
              <w:jc w:val="center"/>
              <w:rPr>
                <w:rFonts w:ascii="Garamond" w:hAnsi="Garamond" w:cs="Calibri"/>
                <w:kern w:val="1"/>
                <w:sz w:val="20"/>
                <w:szCs w:val="20"/>
                <w:lang w:eastAsia="en-GB"/>
              </w:rPr>
            </w:pPr>
            <w:r>
              <w:rPr>
                <w:rFonts w:ascii="Garamond" w:hAnsi="Garamond" w:cs="Calibri"/>
                <w:kern w:val="1"/>
                <w:sz w:val="20"/>
                <w:szCs w:val="20"/>
                <w:lang w:eastAsia="en-GB"/>
              </w:rPr>
              <w:t>8.1</w:t>
            </w:r>
            <w:r w:rsidR="009F2E50" w:rsidRPr="0044170A">
              <w:rPr>
                <w:rFonts w:ascii="Garamond" w:hAnsi="Garamond" w:cs="Calibri"/>
                <w:kern w:val="1"/>
                <w:sz w:val="20"/>
                <w:szCs w:val="20"/>
                <w:lang w:eastAsia="en-GB"/>
              </w:rPr>
              <w:t>x</w:t>
            </w:r>
          </w:p>
        </w:tc>
        <w:tc>
          <w:tcPr>
            <w:tcW w:w="994" w:type="dxa"/>
            <w:tcBorders>
              <w:top w:val="single" w:sz="12" w:space="0" w:color="auto"/>
              <w:left w:val="single" w:sz="4" w:space="0" w:color="auto"/>
              <w:right w:val="single" w:sz="12" w:space="0" w:color="auto"/>
            </w:tcBorders>
          </w:tcPr>
          <w:p w14:paraId="68996153" w14:textId="03FDC687" w:rsidR="009F2E50" w:rsidRPr="0044170A" w:rsidRDefault="009F2E50"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8.</w:t>
            </w:r>
            <w:r w:rsidR="009F23BD">
              <w:rPr>
                <w:rFonts w:ascii="Garamond" w:hAnsi="Garamond" w:cs="Calibri"/>
                <w:kern w:val="1"/>
                <w:sz w:val="20"/>
                <w:szCs w:val="20"/>
                <w:lang w:eastAsia="en-GB"/>
              </w:rPr>
              <w:t>4</w:t>
            </w:r>
            <w:r w:rsidRPr="0044170A">
              <w:rPr>
                <w:rFonts w:ascii="Garamond" w:hAnsi="Garamond" w:cs="Calibri"/>
                <w:kern w:val="1"/>
                <w:sz w:val="20"/>
                <w:szCs w:val="20"/>
                <w:lang w:eastAsia="en-GB"/>
              </w:rPr>
              <w:t>x</w:t>
            </w:r>
          </w:p>
        </w:tc>
      </w:tr>
      <w:tr w:rsidR="009F2E50" w:rsidRPr="0044170A" w14:paraId="52EF8E32" w14:textId="77777777" w:rsidTr="00405DC7">
        <w:trPr>
          <w:trHeight w:val="283"/>
        </w:trPr>
        <w:tc>
          <w:tcPr>
            <w:tcW w:w="3341" w:type="dxa"/>
            <w:tcBorders>
              <w:left w:val="single" w:sz="12" w:space="0" w:color="auto"/>
              <w:right w:val="single" w:sz="12" w:space="0" w:color="auto"/>
            </w:tcBorders>
          </w:tcPr>
          <w:p w14:paraId="71EBFCCD" w14:textId="77777777" w:rsidR="009F2E50" w:rsidRPr="0044170A" w:rsidRDefault="009F2E50" w:rsidP="00EF2FE7">
            <w:pPr>
              <w:rPr>
                <w:rFonts w:ascii="Garamond" w:hAnsi="Garamond" w:cs="Calibri"/>
                <w:kern w:val="1"/>
                <w:sz w:val="20"/>
                <w:szCs w:val="20"/>
                <w:lang w:eastAsia="en-GB"/>
              </w:rPr>
            </w:pPr>
            <w:r w:rsidRPr="0044170A">
              <w:rPr>
                <w:rFonts w:ascii="Garamond" w:hAnsi="Garamond" w:cs="Calibri"/>
                <w:kern w:val="1"/>
                <w:sz w:val="20"/>
                <w:szCs w:val="20"/>
                <w:lang w:eastAsia="en-GB"/>
              </w:rPr>
              <w:t>EBITDA</w:t>
            </w:r>
          </w:p>
        </w:tc>
        <w:tc>
          <w:tcPr>
            <w:tcW w:w="1019" w:type="dxa"/>
            <w:tcBorders>
              <w:left w:val="single" w:sz="12" w:space="0" w:color="auto"/>
              <w:right w:val="single" w:sz="4" w:space="0" w:color="auto"/>
            </w:tcBorders>
          </w:tcPr>
          <w:p w14:paraId="054E4820" w14:textId="77777777" w:rsidR="009F2E50" w:rsidRPr="0044170A" w:rsidRDefault="009F2E50"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c>
          <w:tcPr>
            <w:tcW w:w="994" w:type="dxa"/>
            <w:tcBorders>
              <w:left w:val="single" w:sz="4" w:space="0" w:color="auto"/>
              <w:right w:val="single" w:sz="4" w:space="0" w:color="auto"/>
            </w:tcBorders>
          </w:tcPr>
          <w:p w14:paraId="2731ACA6" w14:textId="77777777" w:rsidR="009F2E50" w:rsidRPr="0044170A" w:rsidRDefault="009F2E50"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c>
          <w:tcPr>
            <w:tcW w:w="994" w:type="dxa"/>
            <w:tcBorders>
              <w:left w:val="single" w:sz="4" w:space="0" w:color="auto"/>
              <w:right w:val="single" w:sz="12" w:space="0" w:color="auto"/>
            </w:tcBorders>
          </w:tcPr>
          <w:p w14:paraId="37B9188C" w14:textId="77777777" w:rsidR="009F2E50" w:rsidRPr="0044170A" w:rsidRDefault="009F2E50" w:rsidP="00EF2FE7">
            <w:pPr>
              <w:jc w:val="center"/>
              <w:rPr>
                <w:rFonts w:ascii="Garamond" w:hAnsi="Garamond" w:cs="Calibri"/>
                <w:kern w:val="1"/>
                <w:sz w:val="20"/>
                <w:szCs w:val="20"/>
                <w:lang w:eastAsia="en-GB"/>
              </w:rPr>
            </w:pPr>
            <w:r w:rsidRPr="0044170A">
              <w:rPr>
                <w:rFonts w:ascii="Garamond" w:hAnsi="Garamond" w:cs="Calibri"/>
                <w:kern w:val="1"/>
                <w:sz w:val="20"/>
                <w:szCs w:val="20"/>
                <w:lang w:eastAsia="en-GB"/>
              </w:rPr>
              <w:t>1.1</w:t>
            </w:r>
          </w:p>
        </w:tc>
      </w:tr>
      <w:tr w:rsidR="009F2E50" w:rsidRPr="0044170A" w14:paraId="4D1BE4D9" w14:textId="77777777" w:rsidTr="00405DC7">
        <w:trPr>
          <w:trHeight w:val="283"/>
        </w:trPr>
        <w:tc>
          <w:tcPr>
            <w:tcW w:w="3341" w:type="dxa"/>
            <w:tcBorders>
              <w:left w:val="single" w:sz="12" w:space="0" w:color="auto"/>
              <w:right w:val="single" w:sz="12" w:space="0" w:color="auto"/>
            </w:tcBorders>
          </w:tcPr>
          <w:p w14:paraId="4B2EFE1D" w14:textId="77777777" w:rsidR="009F2E50" w:rsidRPr="00BC2066" w:rsidRDefault="009F2E50" w:rsidP="00EF2FE7">
            <w:pPr>
              <w:rPr>
                <w:rFonts w:ascii="Garamond" w:hAnsi="Garamond" w:cs="Calibri"/>
                <w:bCs/>
                <w:kern w:val="1"/>
                <w:sz w:val="20"/>
                <w:szCs w:val="20"/>
                <w:lang w:eastAsia="en-GB"/>
              </w:rPr>
            </w:pPr>
            <w:r w:rsidRPr="00BC2066">
              <w:rPr>
                <w:rFonts w:ascii="Garamond" w:hAnsi="Garamond" w:cs="Calibri"/>
                <w:bCs/>
                <w:kern w:val="1"/>
                <w:sz w:val="20"/>
                <w:szCs w:val="20"/>
                <w:lang w:eastAsia="en-GB"/>
              </w:rPr>
              <w:t>Enterprise Value</w:t>
            </w:r>
          </w:p>
        </w:tc>
        <w:tc>
          <w:tcPr>
            <w:tcW w:w="1019" w:type="dxa"/>
            <w:tcBorders>
              <w:left w:val="single" w:sz="12" w:space="0" w:color="auto"/>
              <w:right w:val="single" w:sz="4" w:space="0" w:color="auto"/>
            </w:tcBorders>
          </w:tcPr>
          <w:p w14:paraId="64D7723A" w14:textId="3C36B1E8" w:rsidR="009F2E50" w:rsidRPr="00BC2066" w:rsidRDefault="009F2E50" w:rsidP="00EF2FE7">
            <w:pPr>
              <w:jc w:val="center"/>
              <w:rPr>
                <w:rFonts w:ascii="Garamond" w:hAnsi="Garamond" w:cs="Calibri"/>
                <w:bCs/>
                <w:kern w:val="1"/>
                <w:sz w:val="20"/>
                <w:szCs w:val="20"/>
                <w:lang w:eastAsia="en-GB"/>
              </w:rPr>
            </w:pPr>
            <w:r w:rsidRPr="00BC2066">
              <w:rPr>
                <w:rFonts w:ascii="Garamond" w:hAnsi="Garamond" w:cs="Calibri"/>
                <w:bCs/>
                <w:kern w:val="1"/>
                <w:sz w:val="20"/>
                <w:szCs w:val="20"/>
                <w:lang w:eastAsia="en-GB"/>
              </w:rPr>
              <w:t>9.</w:t>
            </w:r>
            <w:r w:rsidR="001E71E4" w:rsidRPr="00BC2066">
              <w:rPr>
                <w:rFonts w:ascii="Garamond" w:hAnsi="Garamond" w:cs="Calibri"/>
                <w:bCs/>
                <w:kern w:val="1"/>
                <w:sz w:val="20"/>
                <w:szCs w:val="20"/>
                <w:lang w:eastAsia="en-GB"/>
              </w:rPr>
              <w:t>13</w:t>
            </w:r>
          </w:p>
        </w:tc>
        <w:tc>
          <w:tcPr>
            <w:tcW w:w="994" w:type="dxa"/>
            <w:tcBorders>
              <w:left w:val="single" w:sz="4" w:space="0" w:color="auto"/>
              <w:right w:val="single" w:sz="4" w:space="0" w:color="auto"/>
            </w:tcBorders>
          </w:tcPr>
          <w:p w14:paraId="38461727" w14:textId="03654ACD" w:rsidR="009F2E50" w:rsidRPr="00BC2066" w:rsidRDefault="009F2E50" w:rsidP="00EF2FE7">
            <w:pPr>
              <w:jc w:val="center"/>
              <w:rPr>
                <w:rFonts w:ascii="Garamond" w:hAnsi="Garamond" w:cs="Calibri"/>
                <w:bCs/>
                <w:kern w:val="1"/>
                <w:sz w:val="20"/>
                <w:szCs w:val="20"/>
                <w:lang w:eastAsia="en-GB"/>
              </w:rPr>
            </w:pPr>
            <w:r w:rsidRPr="00BC2066">
              <w:rPr>
                <w:rFonts w:ascii="Garamond" w:hAnsi="Garamond" w:cs="Calibri"/>
                <w:bCs/>
                <w:kern w:val="1"/>
                <w:sz w:val="20"/>
                <w:szCs w:val="20"/>
                <w:lang w:eastAsia="en-GB"/>
              </w:rPr>
              <w:t>8.</w:t>
            </w:r>
            <w:r w:rsidR="00C50689" w:rsidRPr="00BC2066">
              <w:rPr>
                <w:rFonts w:ascii="Garamond" w:hAnsi="Garamond" w:cs="Calibri"/>
                <w:bCs/>
                <w:kern w:val="1"/>
                <w:sz w:val="20"/>
                <w:szCs w:val="20"/>
                <w:lang w:eastAsia="en-GB"/>
              </w:rPr>
              <w:t>91</w:t>
            </w:r>
          </w:p>
        </w:tc>
        <w:tc>
          <w:tcPr>
            <w:tcW w:w="994" w:type="dxa"/>
            <w:tcBorders>
              <w:left w:val="single" w:sz="4" w:space="0" w:color="auto"/>
              <w:right w:val="single" w:sz="12" w:space="0" w:color="auto"/>
            </w:tcBorders>
          </w:tcPr>
          <w:p w14:paraId="73F30536" w14:textId="624C5CDA" w:rsidR="009F2E50" w:rsidRPr="00BC2066" w:rsidRDefault="009F2E50" w:rsidP="00EF2FE7">
            <w:pPr>
              <w:jc w:val="center"/>
              <w:rPr>
                <w:rFonts w:ascii="Garamond" w:hAnsi="Garamond" w:cs="Calibri"/>
                <w:bCs/>
                <w:kern w:val="1"/>
                <w:sz w:val="20"/>
                <w:szCs w:val="20"/>
                <w:lang w:eastAsia="en-GB"/>
              </w:rPr>
            </w:pPr>
            <w:r w:rsidRPr="00BC2066">
              <w:rPr>
                <w:rFonts w:ascii="Garamond" w:hAnsi="Garamond" w:cs="Calibri"/>
                <w:bCs/>
                <w:kern w:val="1"/>
                <w:sz w:val="20"/>
                <w:szCs w:val="20"/>
                <w:lang w:eastAsia="en-GB"/>
              </w:rPr>
              <w:t>9.</w:t>
            </w:r>
            <w:r w:rsidR="00C50689" w:rsidRPr="00BC2066">
              <w:rPr>
                <w:rFonts w:ascii="Garamond" w:hAnsi="Garamond" w:cs="Calibri"/>
                <w:bCs/>
                <w:kern w:val="1"/>
                <w:sz w:val="20"/>
                <w:szCs w:val="20"/>
                <w:lang w:eastAsia="en-GB"/>
              </w:rPr>
              <w:t>24</w:t>
            </w:r>
          </w:p>
        </w:tc>
      </w:tr>
      <w:tr w:rsidR="009F2E50" w:rsidRPr="0044170A" w14:paraId="60016BFC" w14:textId="77777777" w:rsidTr="00405DC7">
        <w:trPr>
          <w:trHeight w:val="283"/>
        </w:trPr>
        <w:tc>
          <w:tcPr>
            <w:tcW w:w="3341" w:type="dxa"/>
            <w:tcBorders>
              <w:left w:val="single" w:sz="12" w:space="0" w:color="auto"/>
              <w:right w:val="single" w:sz="12" w:space="0" w:color="auto"/>
            </w:tcBorders>
          </w:tcPr>
          <w:p w14:paraId="422738F7" w14:textId="77777777" w:rsidR="009F2E50" w:rsidRPr="0044170A" w:rsidRDefault="009F2E50" w:rsidP="00EF2FE7">
            <w:pPr>
              <w:rPr>
                <w:rFonts w:ascii="Garamond" w:hAnsi="Garamond" w:cs="Calibri"/>
                <w:kern w:val="1"/>
                <w:sz w:val="20"/>
                <w:szCs w:val="20"/>
                <w:lang w:eastAsia="en-GB"/>
              </w:rPr>
            </w:pPr>
            <w:r w:rsidRPr="0044170A">
              <w:rPr>
                <w:rFonts w:ascii="Garamond" w:hAnsi="Garamond" w:cs="Calibri"/>
                <w:kern w:val="1"/>
                <w:sz w:val="20"/>
                <w:szCs w:val="20"/>
                <w:lang w:eastAsia="en-GB"/>
              </w:rPr>
              <w:t>Net debt</w:t>
            </w:r>
          </w:p>
        </w:tc>
        <w:tc>
          <w:tcPr>
            <w:tcW w:w="1019" w:type="dxa"/>
            <w:tcBorders>
              <w:left w:val="single" w:sz="12" w:space="0" w:color="auto"/>
              <w:right w:val="single" w:sz="4" w:space="0" w:color="auto"/>
            </w:tcBorders>
          </w:tcPr>
          <w:p w14:paraId="75C1374A" w14:textId="6588B3BB" w:rsidR="009F2E50" w:rsidRPr="0044170A" w:rsidRDefault="00F17748" w:rsidP="00EF2FE7">
            <w:pPr>
              <w:jc w:val="center"/>
              <w:rPr>
                <w:rFonts w:ascii="Garamond" w:hAnsi="Garamond" w:cs="Calibri"/>
                <w:kern w:val="1"/>
                <w:sz w:val="20"/>
                <w:szCs w:val="20"/>
                <w:lang w:eastAsia="en-GB"/>
              </w:rPr>
            </w:pPr>
            <w:r>
              <w:rPr>
                <w:rFonts w:ascii="Garamond" w:hAnsi="Garamond" w:cs="Calibri"/>
                <w:kern w:val="1"/>
                <w:sz w:val="20"/>
                <w:szCs w:val="20"/>
                <w:lang w:eastAsia="en-GB"/>
              </w:rPr>
              <w:t>(</w:t>
            </w:r>
            <w:r w:rsidR="00410183">
              <w:rPr>
                <w:rFonts w:ascii="Garamond" w:hAnsi="Garamond" w:cs="Calibri"/>
                <w:kern w:val="1"/>
                <w:sz w:val="20"/>
                <w:szCs w:val="20"/>
                <w:lang w:eastAsia="en-GB"/>
              </w:rPr>
              <w:t>4.</w:t>
            </w:r>
            <w:r w:rsidR="0086575D">
              <w:rPr>
                <w:rFonts w:ascii="Garamond" w:hAnsi="Garamond" w:cs="Calibri"/>
                <w:kern w:val="1"/>
                <w:sz w:val="20"/>
                <w:szCs w:val="20"/>
                <w:lang w:eastAsia="en-GB"/>
              </w:rPr>
              <w:t>85</w:t>
            </w:r>
            <w:r w:rsidR="00410183">
              <w:rPr>
                <w:rFonts w:ascii="Garamond" w:hAnsi="Garamond" w:cs="Calibri"/>
                <w:kern w:val="1"/>
                <w:sz w:val="20"/>
                <w:szCs w:val="20"/>
                <w:lang w:eastAsia="en-GB"/>
              </w:rPr>
              <w:t>)</w:t>
            </w:r>
          </w:p>
        </w:tc>
        <w:tc>
          <w:tcPr>
            <w:tcW w:w="994" w:type="dxa"/>
            <w:tcBorders>
              <w:left w:val="single" w:sz="4" w:space="0" w:color="auto"/>
              <w:right w:val="single" w:sz="4" w:space="0" w:color="auto"/>
            </w:tcBorders>
          </w:tcPr>
          <w:p w14:paraId="107310BD" w14:textId="411A9409" w:rsidR="009F2E50" w:rsidRPr="0044170A" w:rsidRDefault="00410183" w:rsidP="00EF2FE7">
            <w:pPr>
              <w:jc w:val="center"/>
              <w:rPr>
                <w:rFonts w:ascii="Garamond" w:hAnsi="Garamond" w:cs="Calibri"/>
                <w:kern w:val="1"/>
                <w:sz w:val="20"/>
                <w:szCs w:val="20"/>
                <w:lang w:eastAsia="en-GB"/>
              </w:rPr>
            </w:pPr>
            <w:r>
              <w:rPr>
                <w:rFonts w:ascii="Garamond" w:hAnsi="Garamond" w:cs="Calibri"/>
                <w:kern w:val="1"/>
                <w:sz w:val="20"/>
                <w:szCs w:val="20"/>
                <w:lang w:eastAsia="en-GB"/>
              </w:rPr>
              <w:t>(4.</w:t>
            </w:r>
            <w:r w:rsidR="008034C1">
              <w:rPr>
                <w:rFonts w:ascii="Garamond" w:hAnsi="Garamond" w:cs="Calibri"/>
                <w:kern w:val="1"/>
                <w:sz w:val="20"/>
                <w:szCs w:val="20"/>
                <w:lang w:eastAsia="en-GB"/>
              </w:rPr>
              <w:t>85)</w:t>
            </w:r>
          </w:p>
        </w:tc>
        <w:tc>
          <w:tcPr>
            <w:tcW w:w="994" w:type="dxa"/>
            <w:tcBorders>
              <w:left w:val="single" w:sz="4" w:space="0" w:color="auto"/>
              <w:right w:val="single" w:sz="12" w:space="0" w:color="auto"/>
            </w:tcBorders>
          </w:tcPr>
          <w:p w14:paraId="2955EA12" w14:textId="0F5EE32F" w:rsidR="009F2E50" w:rsidRPr="0044170A" w:rsidRDefault="00410183" w:rsidP="00EF2FE7">
            <w:pPr>
              <w:jc w:val="center"/>
              <w:rPr>
                <w:rFonts w:ascii="Garamond" w:hAnsi="Garamond" w:cs="Calibri"/>
                <w:kern w:val="1"/>
                <w:sz w:val="20"/>
                <w:szCs w:val="20"/>
                <w:lang w:eastAsia="en-GB"/>
              </w:rPr>
            </w:pPr>
            <w:r>
              <w:rPr>
                <w:rFonts w:ascii="Garamond" w:hAnsi="Garamond" w:cs="Calibri"/>
                <w:kern w:val="1"/>
                <w:sz w:val="20"/>
                <w:szCs w:val="20"/>
                <w:lang w:eastAsia="en-GB"/>
              </w:rPr>
              <w:t>(4.</w:t>
            </w:r>
            <w:r w:rsidR="00485858">
              <w:rPr>
                <w:rFonts w:ascii="Garamond" w:hAnsi="Garamond" w:cs="Calibri"/>
                <w:kern w:val="1"/>
                <w:sz w:val="20"/>
                <w:szCs w:val="20"/>
                <w:lang w:eastAsia="en-GB"/>
              </w:rPr>
              <w:t>85)</w:t>
            </w:r>
          </w:p>
        </w:tc>
      </w:tr>
      <w:tr w:rsidR="0091015A" w:rsidRPr="0044170A" w14:paraId="1D7B8369" w14:textId="77777777" w:rsidTr="00405DC7">
        <w:trPr>
          <w:trHeight w:val="283"/>
        </w:trPr>
        <w:tc>
          <w:tcPr>
            <w:tcW w:w="3341" w:type="dxa"/>
            <w:tcBorders>
              <w:left w:val="single" w:sz="12" w:space="0" w:color="auto"/>
              <w:right w:val="single" w:sz="12" w:space="0" w:color="auto"/>
            </w:tcBorders>
          </w:tcPr>
          <w:p w14:paraId="021A7662" w14:textId="6EE5B858" w:rsidR="0091015A" w:rsidRPr="0044170A" w:rsidRDefault="0091015A" w:rsidP="00EF2FE7">
            <w:pPr>
              <w:rPr>
                <w:rFonts w:ascii="Garamond" w:hAnsi="Garamond" w:cs="Calibri"/>
                <w:kern w:val="1"/>
                <w:sz w:val="20"/>
                <w:szCs w:val="20"/>
                <w:lang w:eastAsia="en-GB"/>
              </w:rPr>
            </w:pPr>
            <w:r>
              <w:rPr>
                <w:rFonts w:ascii="Garamond" w:hAnsi="Garamond" w:cs="Calibri"/>
                <w:kern w:val="1"/>
                <w:sz w:val="20"/>
                <w:szCs w:val="20"/>
                <w:lang w:eastAsia="en-GB"/>
              </w:rPr>
              <w:t>Equity Value</w:t>
            </w:r>
          </w:p>
        </w:tc>
        <w:tc>
          <w:tcPr>
            <w:tcW w:w="1019" w:type="dxa"/>
            <w:tcBorders>
              <w:left w:val="single" w:sz="12" w:space="0" w:color="auto"/>
              <w:right w:val="single" w:sz="4" w:space="0" w:color="auto"/>
            </w:tcBorders>
          </w:tcPr>
          <w:p w14:paraId="4C3C3EE7" w14:textId="7F77A7DC" w:rsidR="0091015A" w:rsidRDefault="00725925" w:rsidP="00EF2FE7">
            <w:pPr>
              <w:jc w:val="center"/>
              <w:rPr>
                <w:rFonts w:ascii="Garamond" w:hAnsi="Garamond" w:cs="Calibri"/>
                <w:kern w:val="1"/>
                <w:sz w:val="20"/>
                <w:szCs w:val="20"/>
                <w:lang w:eastAsia="en-GB"/>
              </w:rPr>
            </w:pPr>
            <w:r>
              <w:rPr>
                <w:rFonts w:ascii="Garamond" w:hAnsi="Garamond" w:cs="Calibri"/>
                <w:kern w:val="1"/>
                <w:sz w:val="20"/>
                <w:szCs w:val="20"/>
                <w:lang w:eastAsia="en-GB"/>
              </w:rPr>
              <w:t>4.</w:t>
            </w:r>
            <w:r w:rsidR="0086575D">
              <w:rPr>
                <w:rFonts w:ascii="Garamond" w:hAnsi="Garamond" w:cs="Calibri"/>
                <w:kern w:val="1"/>
                <w:sz w:val="20"/>
                <w:szCs w:val="20"/>
                <w:lang w:eastAsia="en-GB"/>
              </w:rPr>
              <w:t>28</w:t>
            </w:r>
          </w:p>
        </w:tc>
        <w:tc>
          <w:tcPr>
            <w:tcW w:w="994" w:type="dxa"/>
            <w:tcBorders>
              <w:left w:val="single" w:sz="4" w:space="0" w:color="auto"/>
              <w:right w:val="single" w:sz="4" w:space="0" w:color="auto"/>
            </w:tcBorders>
          </w:tcPr>
          <w:p w14:paraId="3E4611B1" w14:textId="3A3C9062" w:rsidR="0091015A" w:rsidRDefault="00D148E3" w:rsidP="00EF2FE7">
            <w:pPr>
              <w:jc w:val="center"/>
              <w:rPr>
                <w:rFonts w:ascii="Garamond" w:hAnsi="Garamond" w:cs="Calibri"/>
                <w:kern w:val="1"/>
                <w:sz w:val="20"/>
                <w:szCs w:val="20"/>
                <w:lang w:eastAsia="en-GB"/>
              </w:rPr>
            </w:pPr>
            <w:r>
              <w:rPr>
                <w:rFonts w:ascii="Garamond" w:hAnsi="Garamond" w:cs="Calibri"/>
                <w:kern w:val="1"/>
                <w:sz w:val="20"/>
                <w:szCs w:val="20"/>
                <w:lang w:eastAsia="en-GB"/>
              </w:rPr>
              <w:t>4.</w:t>
            </w:r>
            <w:r w:rsidR="00485858">
              <w:rPr>
                <w:rFonts w:ascii="Garamond" w:hAnsi="Garamond" w:cs="Calibri"/>
                <w:kern w:val="1"/>
                <w:sz w:val="20"/>
                <w:szCs w:val="20"/>
                <w:lang w:eastAsia="en-GB"/>
              </w:rPr>
              <w:t>06</w:t>
            </w:r>
          </w:p>
        </w:tc>
        <w:tc>
          <w:tcPr>
            <w:tcW w:w="994" w:type="dxa"/>
            <w:tcBorders>
              <w:left w:val="single" w:sz="4" w:space="0" w:color="auto"/>
              <w:right w:val="single" w:sz="12" w:space="0" w:color="auto"/>
            </w:tcBorders>
          </w:tcPr>
          <w:p w14:paraId="212181C1" w14:textId="68C6354D" w:rsidR="0091015A" w:rsidRDefault="00F573B9" w:rsidP="00EF2FE7">
            <w:pPr>
              <w:jc w:val="center"/>
              <w:rPr>
                <w:rFonts w:ascii="Garamond" w:hAnsi="Garamond" w:cs="Calibri"/>
                <w:kern w:val="1"/>
                <w:sz w:val="20"/>
                <w:szCs w:val="20"/>
                <w:lang w:eastAsia="en-GB"/>
              </w:rPr>
            </w:pPr>
            <w:r>
              <w:rPr>
                <w:rFonts w:ascii="Garamond" w:hAnsi="Garamond" w:cs="Calibri"/>
                <w:kern w:val="1"/>
                <w:sz w:val="20"/>
                <w:szCs w:val="20"/>
                <w:lang w:eastAsia="en-GB"/>
              </w:rPr>
              <w:t>4.</w:t>
            </w:r>
            <w:r w:rsidR="00075E62">
              <w:rPr>
                <w:rFonts w:ascii="Garamond" w:hAnsi="Garamond" w:cs="Calibri"/>
                <w:kern w:val="1"/>
                <w:sz w:val="20"/>
                <w:szCs w:val="20"/>
                <w:lang w:eastAsia="en-GB"/>
              </w:rPr>
              <w:t>39</w:t>
            </w:r>
          </w:p>
        </w:tc>
      </w:tr>
      <w:tr w:rsidR="009700D7" w:rsidRPr="0044170A" w14:paraId="291E1A22" w14:textId="77777777" w:rsidTr="00405DC7">
        <w:trPr>
          <w:trHeight w:val="283"/>
        </w:trPr>
        <w:tc>
          <w:tcPr>
            <w:tcW w:w="3341" w:type="dxa"/>
            <w:tcBorders>
              <w:left w:val="single" w:sz="12" w:space="0" w:color="auto"/>
              <w:right w:val="single" w:sz="12" w:space="0" w:color="auto"/>
            </w:tcBorders>
          </w:tcPr>
          <w:p w14:paraId="2D3EE771" w14:textId="6572C2F6" w:rsidR="009700D7" w:rsidRPr="00BC2066" w:rsidRDefault="009C2B7C" w:rsidP="00EF2FE7">
            <w:pPr>
              <w:rPr>
                <w:rFonts w:ascii="Garamond" w:hAnsi="Garamond" w:cs="Calibri"/>
                <w:b/>
                <w:bCs/>
                <w:kern w:val="1"/>
                <w:sz w:val="20"/>
                <w:szCs w:val="20"/>
                <w:lang w:eastAsia="en-GB"/>
              </w:rPr>
            </w:pPr>
            <w:r w:rsidRPr="00BC2066">
              <w:rPr>
                <w:rFonts w:ascii="Garamond" w:hAnsi="Garamond" w:cs="Calibri"/>
                <w:b/>
                <w:bCs/>
                <w:kern w:val="1"/>
                <w:sz w:val="20"/>
                <w:szCs w:val="20"/>
                <w:lang w:eastAsia="en-GB"/>
              </w:rPr>
              <w:t>Claimants’ 60% Share (no RPP)</w:t>
            </w:r>
          </w:p>
        </w:tc>
        <w:tc>
          <w:tcPr>
            <w:tcW w:w="1019" w:type="dxa"/>
            <w:tcBorders>
              <w:left w:val="single" w:sz="12" w:space="0" w:color="auto"/>
              <w:right w:val="single" w:sz="4" w:space="0" w:color="auto"/>
            </w:tcBorders>
          </w:tcPr>
          <w:p w14:paraId="6141A055" w14:textId="2C24A862" w:rsidR="009700D7" w:rsidRPr="006F206E" w:rsidRDefault="008A4BBA" w:rsidP="00EF2FE7">
            <w:pPr>
              <w:jc w:val="center"/>
              <w:rPr>
                <w:rFonts w:ascii="Garamond" w:hAnsi="Garamond" w:cs="Calibri"/>
                <w:b/>
                <w:bCs/>
                <w:kern w:val="1"/>
                <w:sz w:val="20"/>
                <w:szCs w:val="20"/>
                <w:lang w:eastAsia="en-GB"/>
              </w:rPr>
            </w:pPr>
            <w:r w:rsidRPr="006F206E">
              <w:rPr>
                <w:rFonts w:ascii="Garamond" w:hAnsi="Garamond" w:cs="Calibri"/>
                <w:b/>
                <w:bCs/>
                <w:kern w:val="1"/>
                <w:sz w:val="20"/>
                <w:szCs w:val="20"/>
                <w:lang w:eastAsia="en-GB"/>
              </w:rPr>
              <w:t>2.</w:t>
            </w:r>
            <w:r w:rsidR="008034C1">
              <w:rPr>
                <w:rFonts w:ascii="Garamond" w:hAnsi="Garamond" w:cs="Calibri"/>
                <w:b/>
                <w:bCs/>
                <w:kern w:val="1"/>
                <w:sz w:val="20"/>
                <w:szCs w:val="20"/>
                <w:lang w:eastAsia="en-GB"/>
              </w:rPr>
              <w:t>57</w:t>
            </w:r>
          </w:p>
        </w:tc>
        <w:tc>
          <w:tcPr>
            <w:tcW w:w="994" w:type="dxa"/>
            <w:tcBorders>
              <w:left w:val="single" w:sz="4" w:space="0" w:color="auto"/>
              <w:right w:val="single" w:sz="4" w:space="0" w:color="auto"/>
            </w:tcBorders>
          </w:tcPr>
          <w:p w14:paraId="2DB0C541" w14:textId="6A6B10A9" w:rsidR="009700D7" w:rsidRPr="0044170A" w:rsidRDefault="00A93F05" w:rsidP="00EF2FE7">
            <w:pPr>
              <w:jc w:val="center"/>
              <w:rPr>
                <w:rFonts w:ascii="Garamond" w:hAnsi="Garamond" w:cs="Calibri"/>
                <w:kern w:val="1"/>
                <w:sz w:val="20"/>
                <w:szCs w:val="20"/>
                <w:lang w:eastAsia="en-GB"/>
              </w:rPr>
            </w:pPr>
            <w:r>
              <w:rPr>
                <w:rFonts w:ascii="Garamond" w:hAnsi="Garamond" w:cs="Calibri"/>
                <w:kern w:val="1"/>
                <w:sz w:val="20"/>
                <w:szCs w:val="20"/>
                <w:lang w:eastAsia="en-GB"/>
              </w:rPr>
              <w:t>2.</w:t>
            </w:r>
            <w:r w:rsidR="00485858">
              <w:rPr>
                <w:rFonts w:ascii="Garamond" w:hAnsi="Garamond" w:cs="Calibri"/>
                <w:kern w:val="1"/>
                <w:sz w:val="20"/>
                <w:szCs w:val="20"/>
                <w:lang w:eastAsia="en-GB"/>
              </w:rPr>
              <w:t>.44</w:t>
            </w:r>
          </w:p>
        </w:tc>
        <w:tc>
          <w:tcPr>
            <w:tcW w:w="994" w:type="dxa"/>
            <w:tcBorders>
              <w:left w:val="single" w:sz="4" w:space="0" w:color="auto"/>
              <w:right w:val="single" w:sz="12" w:space="0" w:color="auto"/>
            </w:tcBorders>
          </w:tcPr>
          <w:p w14:paraId="718C296C" w14:textId="5DCDA295" w:rsidR="009700D7" w:rsidRPr="0044170A" w:rsidRDefault="008F74EB" w:rsidP="00EF2FE7">
            <w:pPr>
              <w:jc w:val="center"/>
              <w:rPr>
                <w:rFonts w:ascii="Garamond" w:hAnsi="Garamond" w:cs="Calibri"/>
                <w:kern w:val="1"/>
                <w:sz w:val="20"/>
                <w:szCs w:val="20"/>
                <w:lang w:eastAsia="en-GB"/>
              </w:rPr>
            </w:pPr>
            <w:r>
              <w:rPr>
                <w:rFonts w:ascii="Garamond" w:hAnsi="Garamond" w:cs="Calibri"/>
                <w:kern w:val="1"/>
                <w:sz w:val="20"/>
                <w:szCs w:val="20"/>
                <w:lang w:eastAsia="en-GB"/>
              </w:rPr>
              <w:t>2.</w:t>
            </w:r>
            <w:r w:rsidR="003B21E6">
              <w:rPr>
                <w:rFonts w:ascii="Garamond" w:hAnsi="Garamond" w:cs="Calibri"/>
                <w:kern w:val="1"/>
                <w:sz w:val="20"/>
                <w:szCs w:val="20"/>
                <w:lang w:eastAsia="en-GB"/>
              </w:rPr>
              <w:t>63</w:t>
            </w:r>
          </w:p>
        </w:tc>
      </w:tr>
    </w:tbl>
    <w:p w14:paraId="7711E49C" w14:textId="30FFC2F1" w:rsidR="009F2E50" w:rsidRDefault="009F2E50" w:rsidP="00EF2FE7">
      <w:pPr>
        <w:pStyle w:val="ParaLevel1"/>
        <w:numPr>
          <w:ilvl w:val="0"/>
          <w:numId w:val="0"/>
        </w:numPr>
        <w:ind w:left="1287" w:hanging="720"/>
      </w:pPr>
    </w:p>
    <w:p w14:paraId="67AFF30C" w14:textId="17896E43" w:rsidR="00C10D36" w:rsidRPr="007203CC" w:rsidRDefault="00843623" w:rsidP="00EF2FE7">
      <w:pPr>
        <w:pStyle w:val="ParaLevel1"/>
        <w:numPr>
          <w:ilvl w:val="0"/>
          <w:numId w:val="0"/>
        </w:numPr>
        <w:ind w:left="720"/>
        <w:rPr>
          <w:b/>
          <w:bCs/>
          <w:u w:val="single"/>
        </w:rPr>
      </w:pPr>
      <w:r>
        <w:rPr>
          <w:b/>
          <w:bCs/>
          <w:u w:val="single"/>
        </w:rPr>
        <w:t>R</w:t>
      </w:r>
      <w:r w:rsidR="007203CC" w:rsidRPr="007203CC">
        <w:rPr>
          <w:b/>
          <w:bCs/>
          <w:u w:val="single"/>
        </w:rPr>
        <w:t>easons</w:t>
      </w:r>
    </w:p>
    <w:p w14:paraId="66B86716" w14:textId="6FA78A21" w:rsidR="00BF663A" w:rsidRDefault="00C10D36" w:rsidP="00EF2FE7">
      <w:pPr>
        <w:pStyle w:val="ParaLevel1"/>
      </w:pPr>
      <w:r>
        <w:t>I now expand upon the reasons for my conclusions above</w:t>
      </w:r>
      <w:r w:rsidR="009E6626">
        <w:t xml:space="preserve"> by </w:t>
      </w:r>
      <w:r w:rsidR="00FF0B4E">
        <w:t>focus</w:t>
      </w:r>
      <w:r w:rsidR="009E6626">
        <w:t xml:space="preserve">ing upon the most important points to emerge from the </w:t>
      </w:r>
      <w:r w:rsidR="00B21EDC">
        <w:t xml:space="preserve">voluminous and </w:t>
      </w:r>
      <w:r w:rsidR="0001240F">
        <w:t>detailed expert evidence</w:t>
      </w:r>
      <w:r>
        <w:t>.</w:t>
      </w:r>
    </w:p>
    <w:p w14:paraId="11E91480" w14:textId="5C8A621F" w:rsidR="00635DE4" w:rsidRDefault="00635DE4" w:rsidP="00EF2FE7">
      <w:pPr>
        <w:pStyle w:val="ParaLevel1"/>
        <w:numPr>
          <w:ilvl w:val="0"/>
          <w:numId w:val="0"/>
        </w:numPr>
        <w:ind w:left="720"/>
      </w:pPr>
    </w:p>
    <w:p w14:paraId="78376575" w14:textId="16415706" w:rsidR="004A7A8E" w:rsidRPr="004A7A8E" w:rsidRDefault="004A7A8E" w:rsidP="00EF2FE7">
      <w:pPr>
        <w:pStyle w:val="ParaLevel1"/>
        <w:numPr>
          <w:ilvl w:val="0"/>
          <w:numId w:val="0"/>
        </w:numPr>
        <w:ind w:left="720"/>
        <w:rPr>
          <w:u w:val="single"/>
        </w:rPr>
      </w:pPr>
      <w:r w:rsidRPr="004A7A8E">
        <w:rPr>
          <w:u w:val="single"/>
        </w:rPr>
        <w:t>The Market Approach</w:t>
      </w:r>
    </w:p>
    <w:p w14:paraId="4D416EF5" w14:textId="4CB78399" w:rsidR="004C45FA" w:rsidRDefault="00E62327" w:rsidP="00EF2FE7">
      <w:pPr>
        <w:pStyle w:val="ParaLevel1"/>
      </w:pPr>
      <w:r>
        <w:t xml:space="preserve">Mr Skeels’ </w:t>
      </w:r>
      <w:r w:rsidR="002F1CC3">
        <w:t xml:space="preserve">use of </w:t>
      </w:r>
      <w:r w:rsidR="004C45FA">
        <w:t>C</w:t>
      </w:r>
      <w:r w:rsidR="002F1CC3">
        <w:t xml:space="preserve">omparable </w:t>
      </w:r>
      <w:r w:rsidR="004C45FA">
        <w:t>C</w:t>
      </w:r>
      <w:r w:rsidR="002F1CC3">
        <w:t>ompanies and (for the First Valuat</w:t>
      </w:r>
      <w:r w:rsidR="00DB5EA1">
        <w:t>i</w:t>
      </w:r>
      <w:r w:rsidR="002F1CC3">
        <w:t xml:space="preserve">on Date) </w:t>
      </w:r>
      <w:r w:rsidR="004C45FA">
        <w:t>C</w:t>
      </w:r>
      <w:r w:rsidR="002F1CC3">
        <w:t xml:space="preserve">omparable </w:t>
      </w:r>
      <w:r w:rsidR="004C45FA">
        <w:t>T</w:t>
      </w:r>
      <w:r w:rsidR="002F1CC3">
        <w:t xml:space="preserve">ransactions </w:t>
      </w:r>
      <w:r w:rsidR="004C45FA">
        <w:t xml:space="preserve">methodology </w:t>
      </w:r>
      <w:r w:rsidR="00DB5EA1">
        <w:t xml:space="preserve">was in accordance with </w:t>
      </w:r>
      <w:r w:rsidR="00AE61FC">
        <w:t>International V</w:t>
      </w:r>
      <w:r w:rsidR="000220DB">
        <w:t xml:space="preserve">aluation </w:t>
      </w:r>
      <w:r w:rsidR="00AE61FC">
        <w:t>S</w:t>
      </w:r>
      <w:r w:rsidR="000220DB">
        <w:t>tandard</w:t>
      </w:r>
      <w:r w:rsidR="00AE61FC">
        <w:t xml:space="preserve"> 105</w:t>
      </w:r>
      <w:r w:rsidR="000220DB">
        <w:t xml:space="preserve">.  </w:t>
      </w:r>
      <w:r w:rsidR="00124493">
        <w:t>I</w:t>
      </w:r>
      <w:r w:rsidR="009E2DBB">
        <w:t xml:space="preserve">VS 105 explains that the </w:t>
      </w:r>
      <w:r w:rsidR="000417AA">
        <w:t>M</w:t>
      </w:r>
      <w:r w:rsidR="009E2DBB">
        <w:t xml:space="preserve">arket </w:t>
      </w:r>
      <w:r w:rsidR="000417AA">
        <w:t>A</w:t>
      </w:r>
      <w:r w:rsidR="009E2DBB">
        <w:t>pproach is most applicable where</w:t>
      </w:r>
      <w:r w:rsidR="004C45FA">
        <w:t>:</w:t>
      </w:r>
    </w:p>
    <w:p w14:paraId="1F732446" w14:textId="77777777" w:rsidR="004C45FA" w:rsidRDefault="004C45FA" w:rsidP="00EF2FE7">
      <w:pPr>
        <w:pStyle w:val="ParaLevel1"/>
        <w:numPr>
          <w:ilvl w:val="0"/>
          <w:numId w:val="0"/>
        </w:numPr>
        <w:ind w:left="1134"/>
      </w:pPr>
      <w:r>
        <w:t xml:space="preserve"> </w:t>
      </w:r>
      <w:r w:rsidR="009E2DBB" w:rsidRPr="004C45FA">
        <w:rPr>
          <w:i/>
          <w:iCs/>
        </w:rPr>
        <w:t>“(a) the subject asset has recently been sold in a transaction appropriate for consideration</w:t>
      </w:r>
      <w:r w:rsidR="00124493" w:rsidRPr="004C45FA">
        <w:rPr>
          <w:i/>
          <w:iCs/>
        </w:rPr>
        <w:t xml:space="preserve"> </w:t>
      </w:r>
      <w:r w:rsidR="009E2DBB" w:rsidRPr="004C45FA">
        <w:rPr>
          <w:i/>
          <w:iCs/>
        </w:rPr>
        <w:t>under the basis of value,</w:t>
      </w:r>
    </w:p>
    <w:p w14:paraId="2C1197B0" w14:textId="77777777" w:rsidR="004C45FA" w:rsidRDefault="004C45FA" w:rsidP="00EF2FE7">
      <w:pPr>
        <w:pStyle w:val="ParaLevel1"/>
        <w:numPr>
          <w:ilvl w:val="0"/>
          <w:numId w:val="0"/>
        </w:numPr>
        <w:ind w:left="1134"/>
        <w:rPr>
          <w:i/>
          <w:iCs/>
        </w:rPr>
      </w:pPr>
      <w:r>
        <w:t>(</w:t>
      </w:r>
      <w:r w:rsidR="009E2DBB" w:rsidRPr="00311CEB">
        <w:rPr>
          <w:i/>
          <w:iCs/>
        </w:rPr>
        <w:t>b) the subject asset or substantially similar assets are actively publicly traded, and/or</w:t>
      </w:r>
      <w:r>
        <w:rPr>
          <w:i/>
          <w:iCs/>
        </w:rPr>
        <w:t xml:space="preserve"> </w:t>
      </w:r>
    </w:p>
    <w:p w14:paraId="704B8746" w14:textId="60088812" w:rsidR="00E62327" w:rsidRDefault="009E2DBB" w:rsidP="00EF2FE7">
      <w:pPr>
        <w:pStyle w:val="ParaLevel1"/>
        <w:numPr>
          <w:ilvl w:val="0"/>
          <w:numId w:val="0"/>
        </w:numPr>
        <w:ind w:left="1134"/>
        <w:rPr>
          <w:i/>
          <w:iCs/>
        </w:rPr>
      </w:pPr>
      <w:r w:rsidRPr="00311CEB">
        <w:rPr>
          <w:i/>
          <w:iCs/>
        </w:rPr>
        <w:t>(c) there are frequent and/or recent observable transactions in substantially similar assets</w:t>
      </w:r>
      <w:r w:rsidR="00E80960" w:rsidRPr="00311CEB">
        <w:rPr>
          <w:i/>
          <w:iCs/>
        </w:rPr>
        <w:t>.</w:t>
      </w:r>
      <w:r w:rsidRPr="00311CEB">
        <w:rPr>
          <w:i/>
          <w:iCs/>
        </w:rPr>
        <w:t>”</w:t>
      </w:r>
    </w:p>
    <w:p w14:paraId="4258FF05" w14:textId="77777777" w:rsidR="005326EC" w:rsidRPr="00311CEB" w:rsidRDefault="005326EC" w:rsidP="00EF2FE7">
      <w:pPr>
        <w:pStyle w:val="ParaLevel1"/>
        <w:numPr>
          <w:ilvl w:val="0"/>
          <w:numId w:val="0"/>
        </w:numPr>
        <w:ind w:left="1134"/>
        <w:rPr>
          <w:i/>
          <w:iCs/>
        </w:rPr>
      </w:pPr>
    </w:p>
    <w:p w14:paraId="5E3337DC" w14:textId="3DD881D0" w:rsidR="00F035BA" w:rsidRDefault="00F035BA" w:rsidP="00EF2FE7">
      <w:pPr>
        <w:pStyle w:val="ParaLevel1"/>
      </w:pPr>
      <w:r>
        <w:t>Mr Taylor’s evidence was that the use of Comparable Companies and Comparable Transactions was not justified</w:t>
      </w:r>
      <w:r w:rsidR="0058404D">
        <w:t>, as the First Valuation Date,</w:t>
      </w:r>
      <w:r>
        <w:t xml:space="preserve"> where objective market data was available in the form of the Transaction and the indicative bids that were made for IPS UK in 2014.  In oral evidence, Mr Taylor said:</w:t>
      </w:r>
    </w:p>
    <w:p w14:paraId="23D471AA" w14:textId="77777777" w:rsidR="007F69B7" w:rsidRDefault="00F035BA" w:rsidP="00EF2FE7">
      <w:pPr>
        <w:pStyle w:val="ParaLevel1"/>
        <w:numPr>
          <w:ilvl w:val="0"/>
          <w:numId w:val="0"/>
        </w:numPr>
        <w:ind w:left="1134"/>
        <w:rPr>
          <w:i/>
          <w:iCs/>
        </w:rPr>
      </w:pPr>
      <w:r w:rsidRPr="00F035BA">
        <w:rPr>
          <w:i/>
          <w:iCs/>
        </w:rPr>
        <w:t>“[i]t depends what evidence you’ve got available to you.  And sometimes when you are valuing a company the market comparables is all you’ve got or the comparable transactions, and so in – if that is all you’ve got, then that might be what you have to rely on.  But if you’ve got information about the actual company and you’ve got what people are actually willing to pay for it and companies have done detailed due diligence and have given you all the information you need, then you don’t need to go to rule of thumb, multiple of valuation and try and infer values when you’ve got the hard evidence available to you</w:t>
      </w:r>
      <w:r w:rsidR="007F69B7">
        <w:rPr>
          <w:i/>
          <w:iCs/>
        </w:rPr>
        <w:t>.</w:t>
      </w:r>
      <w:r w:rsidRPr="00F035BA">
        <w:rPr>
          <w:i/>
          <w:iCs/>
        </w:rPr>
        <w:t>”</w:t>
      </w:r>
    </w:p>
    <w:p w14:paraId="6DF2E868" w14:textId="412782DF" w:rsidR="00F035BA" w:rsidRPr="00F035BA" w:rsidRDefault="00F035BA" w:rsidP="00EF2FE7">
      <w:pPr>
        <w:pStyle w:val="ParaLevel1"/>
        <w:numPr>
          <w:ilvl w:val="0"/>
          <w:numId w:val="0"/>
        </w:numPr>
        <w:ind w:left="1134"/>
        <w:rPr>
          <w:i/>
          <w:iCs/>
        </w:rPr>
      </w:pPr>
      <w:r w:rsidRPr="00F035BA">
        <w:rPr>
          <w:i/>
          <w:iCs/>
        </w:rPr>
        <w:t xml:space="preserve"> </w:t>
      </w:r>
    </w:p>
    <w:p w14:paraId="481569D0" w14:textId="4248FDFB" w:rsidR="00124493" w:rsidRDefault="001D414A" w:rsidP="00EF2FE7">
      <w:pPr>
        <w:pStyle w:val="ParaLevel1"/>
      </w:pPr>
      <w:r>
        <w:t xml:space="preserve">At the First Valuation Date there had been no transactions in IPS UK’s shares.  There had been the other indicative bids, alongside Livingbridge’s, but they were not </w:t>
      </w:r>
      <w:r w:rsidR="004A7A8E">
        <w:t>“</w:t>
      </w:r>
      <w:r>
        <w:t>transactions</w:t>
      </w:r>
      <w:r w:rsidR="004A7A8E">
        <w:t>” within the meaning of IVS 105</w:t>
      </w:r>
      <w:r>
        <w:t>.   This is illustrated by the fact that each of those other indicative bids were based on EBITDA of circa £0.9m p.a. when, as Mr Billingham explained, the actual run rate EBITDA increased to circa £1.2m during the offer process.</w:t>
      </w:r>
    </w:p>
    <w:p w14:paraId="1F2D56E6" w14:textId="77777777" w:rsidR="00B66C98" w:rsidRDefault="00C2539A" w:rsidP="00EF2FE7">
      <w:pPr>
        <w:pStyle w:val="ParaLevel1"/>
      </w:pPr>
      <w:r>
        <w:t>I</w:t>
      </w:r>
      <w:r w:rsidR="00506D0C">
        <w:t xml:space="preserve">n these circumstances, Mr Skeels’ approach </w:t>
      </w:r>
      <w:r w:rsidR="00A44659">
        <w:t xml:space="preserve">of </w:t>
      </w:r>
      <w:r w:rsidR="00E647E4">
        <w:t xml:space="preserve">adopting the Market Approach by </w:t>
      </w:r>
      <w:r w:rsidR="00603A73">
        <w:t xml:space="preserve">considering Comparable Companies and Comparable Transactions </w:t>
      </w:r>
      <w:r w:rsidR="005644DD">
        <w:t>(assuming them to be such) was justified</w:t>
      </w:r>
      <w:r w:rsidR="00265A47">
        <w:t xml:space="preserve"> </w:t>
      </w:r>
      <w:r w:rsidR="00152FAA">
        <w:t>and an appropriate method by which to derive EBITDA multiples for IPS U</w:t>
      </w:r>
      <w:r w:rsidR="002955BD">
        <w:t>K</w:t>
      </w:r>
      <w:r w:rsidR="005644DD">
        <w:t>.</w:t>
      </w:r>
      <w:r w:rsidR="00467D7C">
        <w:t xml:space="preserve"> </w:t>
      </w:r>
    </w:p>
    <w:p w14:paraId="76A65E13" w14:textId="71327141" w:rsidR="00B66C98" w:rsidRDefault="008C68C8" w:rsidP="00EF2FE7">
      <w:pPr>
        <w:pStyle w:val="ParaLevel1"/>
      </w:pPr>
      <w:r>
        <w:t xml:space="preserve">This conclusion is reinforced </w:t>
      </w:r>
      <w:r w:rsidR="008C2D42">
        <w:t xml:space="preserve">to a </w:t>
      </w:r>
      <w:r w:rsidR="004F2368">
        <w:t xml:space="preserve">limited </w:t>
      </w:r>
      <w:r w:rsidR="008C2D42">
        <w:t xml:space="preserve">degree </w:t>
      </w:r>
      <w:r>
        <w:t>by the fact that Mr Taylor adopted the approach of looking at Comparable Companies for the Second Valuation Date</w:t>
      </w:r>
      <w:r w:rsidR="0065198B">
        <w:t xml:space="preserve">, though </w:t>
      </w:r>
      <w:r w:rsidR="004F2368">
        <w:t xml:space="preserve">it is important to </w:t>
      </w:r>
      <w:r w:rsidR="003A2C5E">
        <w:t xml:space="preserve">note that </w:t>
      </w:r>
      <w:r w:rsidR="008C16A4">
        <w:t xml:space="preserve">he was doing so </w:t>
      </w:r>
      <w:r w:rsidR="00DB224D">
        <w:t xml:space="preserve">for the purpose of </w:t>
      </w:r>
      <w:r w:rsidR="00BB5F4B">
        <w:t xml:space="preserve">checking </w:t>
      </w:r>
      <w:r w:rsidR="003332C0">
        <w:t xml:space="preserve">for variances from his </w:t>
      </w:r>
      <w:r w:rsidR="005A2D1F">
        <w:t>EBITDA multiple calculation derived from his analysis of the Transaction.  As he put it in cross-examination</w:t>
      </w:r>
      <w:r w:rsidR="00B66C98">
        <w:t>:</w:t>
      </w:r>
    </w:p>
    <w:p w14:paraId="037CE669" w14:textId="070451A3" w:rsidR="00753786" w:rsidRDefault="00A124E6" w:rsidP="00EF2FE7">
      <w:pPr>
        <w:pStyle w:val="ParaLevel1"/>
        <w:numPr>
          <w:ilvl w:val="0"/>
          <w:numId w:val="0"/>
        </w:numPr>
        <w:ind w:left="1134"/>
        <w:rPr>
          <w:i/>
          <w:iCs/>
        </w:rPr>
      </w:pPr>
      <w:r>
        <w:t>“</w:t>
      </w:r>
      <w:r w:rsidR="005B43C8" w:rsidRPr="00A124E6">
        <w:rPr>
          <w:i/>
          <w:iCs/>
        </w:rPr>
        <w:t>all the</w:t>
      </w:r>
      <w:r w:rsidR="00B21373" w:rsidRPr="00A124E6">
        <w:rPr>
          <w:i/>
          <w:iCs/>
        </w:rPr>
        <w:t xml:space="preserve"> </w:t>
      </w:r>
      <w:r w:rsidR="005B43C8" w:rsidRPr="00A124E6">
        <w:rPr>
          <w:i/>
          <w:iCs/>
        </w:rPr>
        <w:t>detailed data that I relied on for the transaction was</w:t>
      </w:r>
      <w:r w:rsidR="00B21373" w:rsidRPr="00A124E6">
        <w:rPr>
          <w:i/>
          <w:iCs/>
        </w:rPr>
        <w:t xml:space="preserve"> </w:t>
      </w:r>
      <w:r w:rsidR="005B43C8" w:rsidRPr="00A124E6">
        <w:rPr>
          <w:i/>
          <w:iCs/>
        </w:rPr>
        <w:t>back at December 2014, so I thought I ought to see what</w:t>
      </w:r>
      <w:r w:rsidR="00B21373" w:rsidRPr="00A124E6">
        <w:rPr>
          <w:i/>
          <w:iCs/>
        </w:rPr>
        <w:t xml:space="preserve"> </w:t>
      </w:r>
      <w:r w:rsidR="005B43C8" w:rsidRPr="00A124E6">
        <w:rPr>
          <w:i/>
          <w:iCs/>
        </w:rPr>
        <w:t>I can do to update it, so I tried to see if there was</w:t>
      </w:r>
      <w:r w:rsidR="00B21373" w:rsidRPr="00A124E6">
        <w:rPr>
          <w:i/>
          <w:iCs/>
        </w:rPr>
        <w:t xml:space="preserve"> </w:t>
      </w:r>
      <w:r w:rsidR="005B43C8" w:rsidRPr="00A124E6">
        <w:rPr>
          <w:i/>
          <w:iCs/>
        </w:rPr>
        <w:t>any evidence from the comparables and what I found was</w:t>
      </w:r>
      <w:r w:rsidR="00B21373" w:rsidRPr="00A124E6">
        <w:rPr>
          <w:i/>
          <w:iCs/>
        </w:rPr>
        <w:t xml:space="preserve"> </w:t>
      </w:r>
      <w:r w:rsidR="005B43C8" w:rsidRPr="00A124E6">
        <w:rPr>
          <w:i/>
          <w:iCs/>
        </w:rPr>
        <w:t>that some went up and some went down.</w:t>
      </w:r>
      <w:r w:rsidR="00B21373" w:rsidRPr="00A124E6">
        <w:rPr>
          <w:i/>
          <w:iCs/>
        </w:rPr>
        <w:t xml:space="preserve"> I</w:t>
      </w:r>
      <w:r w:rsidR="005B43C8" w:rsidRPr="00A124E6">
        <w:rPr>
          <w:i/>
          <w:iCs/>
        </w:rPr>
        <w:t>t's not particularly helpful, so I widened my</w:t>
      </w:r>
      <w:r w:rsidR="00B21373" w:rsidRPr="00A124E6">
        <w:rPr>
          <w:i/>
          <w:iCs/>
        </w:rPr>
        <w:t xml:space="preserve"> </w:t>
      </w:r>
      <w:r w:rsidR="005B43C8" w:rsidRPr="00A124E6">
        <w:rPr>
          <w:i/>
          <w:iCs/>
        </w:rPr>
        <w:t>range. So the high end of the range went up a little</w:t>
      </w:r>
      <w:r w:rsidR="00B21373" w:rsidRPr="00A124E6">
        <w:rPr>
          <w:i/>
          <w:iCs/>
        </w:rPr>
        <w:t xml:space="preserve"> </w:t>
      </w:r>
      <w:r w:rsidR="005B43C8" w:rsidRPr="00A124E6">
        <w:rPr>
          <w:i/>
          <w:iCs/>
        </w:rPr>
        <w:t>bit and the low end of the range went down a little bit.</w:t>
      </w:r>
      <w:r w:rsidRPr="00A124E6">
        <w:rPr>
          <w:i/>
          <w:iCs/>
        </w:rPr>
        <w:t xml:space="preserve"> </w:t>
      </w:r>
      <w:r w:rsidR="005B43C8" w:rsidRPr="00A124E6">
        <w:rPr>
          <w:i/>
          <w:iCs/>
        </w:rPr>
        <w:t>So -- so it wasn't a particularly conclusive</w:t>
      </w:r>
      <w:r w:rsidRPr="00A124E6">
        <w:rPr>
          <w:i/>
          <w:iCs/>
        </w:rPr>
        <w:t xml:space="preserve"> </w:t>
      </w:r>
      <w:r w:rsidR="005B43C8" w:rsidRPr="00A124E6">
        <w:rPr>
          <w:i/>
          <w:iCs/>
        </w:rPr>
        <w:t>exercise, it wasn't a particularly clear evidence of</w:t>
      </w:r>
      <w:r w:rsidRPr="00A124E6">
        <w:rPr>
          <w:i/>
          <w:iCs/>
        </w:rPr>
        <w:t xml:space="preserve"> </w:t>
      </w:r>
      <w:r w:rsidR="005B43C8" w:rsidRPr="00A124E6">
        <w:rPr>
          <w:i/>
          <w:iCs/>
        </w:rPr>
        <w:t xml:space="preserve"> movement.</w:t>
      </w:r>
      <w:r w:rsidRPr="00A124E6">
        <w:rPr>
          <w:i/>
          <w:iCs/>
        </w:rPr>
        <w:t>”</w:t>
      </w:r>
    </w:p>
    <w:p w14:paraId="4BBC9CFA" w14:textId="77777777" w:rsidR="00450EF2" w:rsidRDefault="00450EF2" w:rsidP="00EF2FE7">
      <w:pPr>
        <w:pStyle w:val="ParaLevel1"/>
        <w:numPr>
          <w:ilvl w:val="0"/>
          <w:numId w:val="0"/>
        </w:numPr>
        <w:ind w:left="1134"/>
      </w:pPr>
    </w:p>
    <w:p w14:paraId="1DBD569B" w14:textId="3C1E3CD6" w:rsidR="00277CEF" w:rsidRDefault="00805A17" w:rsidP="00EF2FE7">
      <w:pPr>
        <w:pStyle w:val="ParaLevel1"/>
      </w:pPr>
      <w:r>
        <w:t xml:space="preserve">As Mr Leiper QC highlighted during his cross-examination of </w:t>
      </w:r>
      <w:r w:rsidR="00182E4D">
        <w:t xml:space="preserve">Mr Taylor, it is noteworthy that </w:t>
      </w:r>
      <w:r w:rsidR="000452A7">
        <w:t>in January 2016 the Company’s solicitors in the Leaver Litigation</w:t>
      </w:r>
      <w:r w:rsidR="00805630">
        <w:t>, DMH Stallard,</w:t>
      </w:r>
      <w:r w:rsidR="000452A7">
        <w:t xml:space="preserve"> </w:t>
      </w:r>
      <w:r w:rsidR="00805630">
        <w:t xml:space="preserve">wrote to the Claimants’ then solicitors, Clyde &amp; Co, </w:t>
      </w:r>
      <w:r w:rsidR="009249B0">
        <w:t xml:space="preserve">in terms designed to show that </w:t>
      </w:r>
      <w:r w:rsidR="00E8584C">
        <w:t xml:space="preserve">the Claimants’ shareholding </w:t>
      </w:r>
      <w:r w:rsidR="006E775B">
        <w:t xml:space="preserve">in the Company </w:t>
      </w:r>
      <w:r w:rsidR="00E8584C">
        <w:t xml:space="preserve">was worthless with or without the impact of the RPP.  </w:t>
      </w:r>
      <w:r w:rsidR="00753786">
        <w:t xml:space="preserve">The </w:t>
      </w:r>
      <w:r w:rsidR="0004097F">
        <w:t>solicitors</w:t>
      </w:r>
      <w:r w:rsidR="005F1547">
        <w:t xml:space="preserve"> set out the Company’s valuation methodology a “</w:t>
      </w:r>
      <w:r w:rsidR="005F1547" w:rsidRPr="00215A68">
        <w:rPr>
          <w:i/>
          <w:iCs/>
        </w:rPr>
        <w:t>Sector Valuation Multiple</w:t>
      </w:r>
      <w:r w:rsidR="005F1547">
        <w:t xml:space="preserve">” (of </w:t>
      </w:r>
      <w:r w:rsidR="00FE29EA">
        <w:t xml:space="preserve">7.9x </w:t>
      </w:r>
      <w:r w:rsidR="001702C5">
        <w:t>which was adjusted to 7.1</w:t>
      </w:r>
      <w:r w:rsidR="001E0C28">
        <w:t xml:space="preserve">7x to reflect a liquidity </w:t>
      </w:r>
      <w:r w:rsidR="00FE29EA">
        <w:t>discount</w:t>
      </w:r>
      <w:r w:rsidR="001E0C28">
        <w:t xml:space="preserve"> of 10%) which was </w:t>
      </w:r>
      <w:r w:rsidR="008D7E41">
        <w:t>“</w:t>
      </w:r>
      <w:r w:rsidR="008D7E41" w:rsidRPr="00215A68">
        <w:rPr>
          <w:i/>
          <w:iCs/>
        </w:rPr>
        <w:t>[P]er a bucket of comparable transactions subject to liquidity discount due to scale</w:t>
      </w:r>
      <w:r w:rsidR="00215A68">
        <w:t>”</w:t>
      </w:r>
      <w:r w:rsidR="008D7E41" w:rsidRPr="008D7E41">
        <w:t>.</w:t>
      </w:r>
      <w:r w:rsidR="00FE29EA">
        <w:t xml:space="preserve"> </w:t>
      </w:r>
      <w:r w:rsidR="006F6827">
        <w:t xml:space="preserve">  Mr Taylor </w:t>
      </w:r>
      <w:r w:rsidR="0095173F">
        <w:t xml:space="preserve">said </w:t>
      </w:r>
      <w:r w:rsidR="009E28BF">
        <w:t>the underlying analysis</w:t>
      </w:r>
      <w:r w:rsidR="005B6323">
        <w:t xml:space="preserve"> was not clear or how it fitted with the DLOM applied by Mr Skeels</w:t>
      </w:r>
      <w:r w:rsidR="00B11264">
        <w:t xml:space="preserve">.  </w:t>
      </w:r>
      <w:r w:rsidR="00A00A40">
        <w:t>However, the</w:t>
      </w:r>
      <w:r w:rsidR="005D68B0">
        <w:t xml:space="preserve"> </w:t>
      </w:r>
      <w:r w:rsidR="0000237B">
        <w:t>range of multiples identified in the letter were closer to those adopted by Mr Skeels for the Second Valuation Date than Mr Taylor’s.</w:t>
      </w:r>
    </w:p>
    <w:p w14:paraId="19B51855" w14:textId="14A2E723" w:rsidR="007407DA" w:rsidRDefault="00B11264" w:rsidP="00EF2FE7">
      <w:pPr>
        <w:pStyle w:val="ParaLevel1"/>
      </w:pPr>
      <w:r>
        <w:t>A</w:t>
      </w:r>
      <w:r w:rsidR="00852E39">
        <w:t xml:space="preserve"> </w:t>
      </w:r>
      <w:r w:rsidR="003A5A73">
        <w:t>cost</w:t>
      </w:r>
      <w:r w:rsidR="00F73E50">
        <w:t>s</w:t>
      </w:r>
      <w:r w:rsidR="003A5A73">
        <w:t xml:space="preserve"> budget filed by </w:t>
      </w:r>
      <w:r w:rsidR="00352222">
        <w:t>DMH Stallard</w:t>
      </w:r>
      <w:r w:rsidR="003A5A73">
        <w:t xml:space="preserve"> at the end of the previous month shows that the Company had already incurred </w:t>
      </w:r>
      <w:r w:rsidR="00FA129C">
        <w:t xml:space="preserve">legal costs of </w:t>
      </w:r>
      <w:r w:rsidR="003A5A73">
        <w:t xml:space="preserve">approximately </w:t>
      </w:r>
      <w:r w:rsidR="00FA129C">
        <w:t>£12,000 in connection with expert evidence</w:t>
      </w:r>
      <w:r w:rsidR="007D115A">
        <w:t>.  This was most</w:t>
      </w:r>
      <w:r w:rsidR="00FA129C">
        <w:t xml:space="preserve"> likely with B</w:t>
      </w:r>
      <w:r w:rsidR="004F6218">
        <w:t>DO</w:t>
      </w:r>
      <w:r w:rsidR="00CD62AF">
        <w:t xml:space="preserve"> who </w:t>
      </w:r>
      <w:r w:rsidR="00753881">
        <w:t xml:space="preserve">later </w:t>
      </w:r>
      <w:r w:rsidR="00CD62AF">
        <w:t>produced their Report in April 2016</w:t>
      </w:r>
      <w:r w:rsidR="005971C0">
        <w:t xml:space="preserve"> and to </w:t>
      </w:r>
      <w:r w:rsidR="002B6DF2">
        <w:t xml:space="preserve">aspects of </w:t>
      </w:r>
      <w:r w:rsidR="005971C0">
        <w:t xml:space="preserve">which I return </w:t>
      </w:r>
      <w:r w:rsidR="00277CEF">
        <w:t xml:space="preserve">again </w:t>
      </w:r>
      <w:r w:rsidR="005971C0">
        <w:t>below.</w:t>
      </w:r>
      <w:r w:rsidR="00D67666">
        <w:t xml:space="preserve"> </w:t>
      </w:r>
      <w:r w:rsidR="00A36385">
        <w:t xml:space="preserve">Having identified a range of </w:t>
      </w:r>
      <w:r w:rsidR="00BC61FE">
        <w:t>EBITDA multiples by reference to the comparable companies identified by them</w:t>
      </w:r>
      <w:r w:rsidR="00753881">
        <w:t>, BDO said “[</w:t>
      </w:r>
      <w:r w:rsidR="00A36385" w:rsidRPr="005731D2">
        <w:rPr>
          <w:i/>
          <w:iCs/>
        </w:rPr>
        <w:t>W</w:t>
      </w:r>
      <w:r w:rsidR="00753881" w:rsidRPr="005731D2">
        <w:rPr>
          <w:i/>
          <w:iCs/>
        </w:rPr>
        <w:t>]</w:t>
      </w:r>
      <w:r w:rsidR="00A36385" w:rsidRPr="005731D2">
        <w:rPr>
          <w:i/>
          <w:iCs/>
        </w:rPr>
        <w:t>e have therefore taken a 25% discount to the “low” FY15 and FY16 multiples,</w:t>
      </w:r>
      <w:r w:rsidR="00753881" w:rsidRPr="005731D2">
        <w:rPr>
          <w:i/>
          <w:iCs/>
        </w:rPr>
        <w:t xml:space="preserve"> </w:t>
      </w:r>
      <w:r w:rsidR="00A36385" w:rsidRPr="005731D2">
        <w:rPr>
          <w:i/>
          <w:iCs/>
        </w:rPr>
        <w:t>to arrive at range of 8x and 7.2x</w:t>
      </w:r>
      <w:r w:rsidR="005731D2">
        <w:t>” for the Company</w:t>
      </w:r>
      <w:r w:rsidR="00A36385">
        <w:t>.</w:t>
      </w:r>
      <w:r w:rsidR="008318AE">
        <w:t xml:space="preserve"> </w:t>
      </w:r>
      <w:r w:rsidR="000205C5">
        <w:t xml:space="preserve"> </w:t>
      </w:r>
    </w:p>
    <w:p w14:paraId="057582EC" w14:textId="7158E3C3" w:rsidR="00F035BA" w:rsidRDefault="00F035BA" w:rsidP="00EF2FE7">
      <w:pPr>
        <w:pStyle w:val="ParaLevel1"/>
      </w:pPr>
      <w:r>
        <w:t>As for Mr Taylor’s analysis of the Transaction, this was</w:t>
      </w:r>
      <w:r w:rsidR="00DA697B">
        <w:t xml:space="preserve">, </w:t>
      </w:r>
      <w:r>
        <w:t>for the purposes of the valuation</w:t>
      </w:r>
      <w:r w:rsidR="00DA697B">
        <w:t xml:space="preserve"> exercise,</w:t>
      </w:r>
      <w:r>
        <w:t xml:space="preserve"> </w:t>
      </w:r>
      <w:r w:rsidRPr="00F035BA">
        <w:rPr>
          <w:i/>
          <w:iCs/>
        </w:rPr>
        <w:t>after</w:t>
      </w:r>
      <w:r>
        <w:t xml:space="preserve"> the date to be taken for estimating the price between the hypothetical willing seller and willing buyer </w:t>
      </w:r>
      <w:r w:rsidR="00DA697B">
        <w:t xml:space="preserve">(which, per IVS 104 quoted by Mr Skeels in his Report, does not mean a </w:t>
      </w:r>
      <w:r w:rsidR="00DA697B" w:rsidRPr="00DA697B">
        <w:rPr>
          <w:i/>
          <w:iCs/>
        </w:rPr>
        <w:t>particular</w:t>
      </w:r>
      <w:r w:rsidR="00DA697B">
        <w:t xml:space="preserve"> willing buyer),  However, to the extent that Mr Taylor prays in aid the common sense of looking at what Livingbridge was “</w:t>
      </w:r>
      <w:r w:rsidR="00DA697B" w:rsidRPr="00DA697B">
        <w:rPr>
          <w:i/>
          <w:iCs/>
        </w:rPr>
        <w:t>actually willing to pay</w:t>
      </w:r>
      <w:r w:rsidR="00DA697B">
        <w:t>” for ISIS UK then, as mentioned above and developed further below, I believe the exercise supports Mr Skeels</w:t>
      </w:r>
      <w:r w:rsidR="004A7A8E">
        <w:t>’ evidence</w:t>
      </w:r>
      <w:r w:rsidR="00DA697B">
        <w:t>.</w:t>
      </w:r>
    </w:p>
    <w:p w14:paraId="7ACFD45D" w14:textId="77777777" w:rsidR="00CA54A3" w:rsidRDefault="00CA54A3" w:rsidP="00EF2FE7">
      <w:pPr>
        <w:pStyle w:val="ParaLevel1"/>
        <w:numPr>
          <w:ilvl w:val="0"/>
          <w:numId w:val="0"/>
        </w:numPr>
      </w:pPr>
    </w:p>
    <w:p w14:paraId="64793E0B" w14:textId="7A829B12" w:rsidR="004A7A8E" w:rsidRPr="004A7A8E" w:rsidRDefault="004A7A8E" w:rsidP="00EF2FE7">
      <w:pPr>
        <w:pStyle w:val="ParaLevel1"/>
        <w:numPr>
          <w:ilvl w:val="0"/>
          <w:numId w:val="0"/>
        </w:numPr>
        <w:ind w:left="720"/>
        <w:rPr>
          <w:u w:val="single"/>
        </w:rPr>
      </w:pPr>
      <w:r w:rsidRPr="004A7A8E">
        <w:rPr>
          <w:u w:val="single"/>
        </w:rPr>
        <w:t>Comparable Companies</w:t>
      </w:r>
    </w:p>
    <w:p w14:paraId="6BEC82BA" w14:textId="2688F6C6" w:rsidR="00754729" w:rsidRDefault="00453C48" w:rsidP="00EF2FE7">
      <w:pPr>
        <w:pStyle w:val="ParaLevel1"/>
      </w:pPr>
      <w:r>
        <w:t>In challenging Mr Skeels</w:t>
      </w:r>
      <w:r w:rsidR="003A2C5E">
        <w:t>’</w:t>
      </w:r>
      <w:r>
        <w:t xml:space="preserve"> reliance upon the Comparable Companies identified in his report, Mr Tozzi QC suggested that he had identified inappropriate companies as comparable ones.  The ones he selected were listed companies with significantly greater turnover than IPS UK.</w:t>
      </w:r>
    </w:p>
    <w:p w14:paraId="7BAE0409" w14:textId="241F998A" w:rsidR="002955BD" w:rsidRDefault="002955BD" w:rsidP="00EF2FE7">
      <w:pPr>
        <w:pStyle w:val="ParaLevel1"/>
      </w:pPr>
      <w:r>
        <w:t xml:space="preserve">The disagreement between the experts </w:t>
      </w:r>
      <w:r w:rsidR="009861F9">
        <w:t xml:space="preserve">over the choice of Comparable Companies was summarised in </w:t>
      </w:r>
      <w:r w:rsidR="00601C1D">
        <w:t>paragraph 4.8 of the Joint Statement</w:t>
      </w:r>
      <w:r w:rsidR="0087001B">
        <w:t xml:space="preserve">.  Of the 9 companies identified by Mr Skeels’ Report (though he </w:t>
      </w:r>
      <w:r w:rsidR="00FE73D4">
        <w:t>had excluded the EBITDA multiple of one on the basis that it was an outlier</w:t>
      </w:r>
      <w:r w:rsidR="00E87115">
        <w:t>, with a significantly higher multiple than the other companies) Mr Taylor</w:t>
      </w:r>
      <w:r w:rsidR="00A66FC3">
        <w:t xml:space="preserve"> agreed that </w:t>
      </w:r>
      <w:r w:rsidR="009812F6">
        <w:t xml:space="preserve">5 </w:t>
      </w:r>
      <w:r w:rsidR="00492099">
        <w:t xml:space="preserve">(including that outlier) </w:t>
      </w:r>
      <w:r w:rsidR="009812F6">
        <w:t xml:space="preserve">were </w:t>
      </w:r>
      <w:r w:rsidR="00492099">
        <w:t xml:space="preserve">comparable to IPS UK at the First Valuation Date.  </w:t>
      </w:r>
      <w:r w:rsidR="00BE51EA">
        <w:t xml:space="preserve">Mr Taylor had included a sixth company in his list of comparable ones, which Mr Skeels had not, </w:t>
      </w:r>
      <w:r w:rsidR="003B0AFD">
        <w:t xml:space="preserve">but </w:t>
      </w:r>
      <w:r w:rsidR="0038552F">
        <w:t xml:space="preserve"> </w:t>
      </w:r>
      <w:r w:rsidR="00DE5223">
        <w:t xml:space="preserve">Mr Taylor’s view was that </w:t>
      </w:r>
      <w:r w:rsidR="00A35753">
        <w:t xml:space="preserve">a very low </w:t>
      </w:r>
      <w:r w:rsidR="004300DB">
        <w:t xml:space="preserve">EBITDA for the last 12 </w:t>
      </w:r>
      <w:r w:rsidR="00FF7A29">
        <w:t>months (</w:t>
      </w:r>
      <w:r w:rsidR="001B093D">
        <w:t xml:space="preserve">“LTM”, </w:t>
      </w:r>
      <w:r w:rsidR="00FF7A29">
        <w:t xml:space="preserve">as at that date) and no reported EBITDA for the next 12 months </w:t>
      </w:r>
      <w:r w:rsidR="001B093D">
        <w:t>(“NTM”)</w:t>
      </w:r>
      <w:r w:rsidR="006B678B">
        <w:t xml:space="preserve"> </w:t>
      </w:r>
      <w:r w:rsidR="00FF7A29">
        <w:t xml:space="preserve">meant that </w:t>
      </w:r>
      <w:r w:rsidR="00E90DC8">
        <w:t>an EBITDA multiple from that company was not meaningful.</w:t>
      </w:r>
    </w:p>
    <w:p w14:paraId="2B525462" w14:textId="043E4589" w:rsidR="004B75BD" w:rsidRPr="004B75BD" w:rsidRDefault="004B75BD" w:rsidP="00EF2FE7">
      <w:pPr>
        <w:pStyle w:val="ParaLevel1"/>
      </w:pPr>
      <w:r>
        <w:t xml:space="preserve">In addition to </w:t>
      </w:r>
      <w:r w:rsidR="00946D9B">
        <w:t xml:space="preserve">5 companies that </w:t>
      </w:r>
      <w:r w:rsidR="00554963">
        <w:t>were common to Mr Skeels’ and Mr Taylor</w:t>
      </w:r>
      <w:r w:rsidR="00824EA4">
        <w:t>’s lists</w:t>
      </w:r>
      <w:r w:rsidR="008606D7">
        <w:t xml:space="preserve">, </w:t>
      </w:r>
      <w:r w:rsidRPr="004B75BD">
        <w:t xml:space="preserve">BDO’s Report dated 25 April 2016 identified </w:t>
      </w:r>
      <w:r w:rsidR="008606D7">
        <w:t xml:space="preserve">(for the purpose of valuing the </w:t>
      </w:r>
      <w:r w:rsidR="007021F0">
        <w:t xml:space="preserve">Company as at 29 July 2015) a </w:t>
      </w:r>
      <w:r w:rsidRPr="004B75BD">
        <w:t>six</w:t>
      </w:r>
      <w:r w:rsidR="007021F0">
        <w:t xml:space="preserve">th which Mr Skeels had </w:t>
      </w:r>
      <w:r w:rsidR="00EA027A">
        <w:t xml:space="preserve">also included: KCOM Group Plc. </w:t>
      </w:r>
      <w:r w:rsidR="0096591C">
        <w:t xml:space="preserve">Those </w:t>
      </w:r>
      <w:r w:rsidR="00E82ECE">
        <w:t>six</w:t>
      </w:r>
      <w:r w:rsidR="0096591C">
        <w:t xml:space="preserve">, and </w:t>
      </w:r>
      <w:r w:rsidR="00533AB2">
        <w:t xml:space="preserve">another company </w:t>
      </w:r>
      <w:r w:rsidR="003E02A5">
        <w:t xml:space="preserve">for which no meaningful data </w:t>
      </w:r>
      <w:r w:rsidR="00ED214B">
        <w:t xml:space="preserve">could be obtained, were </w:t>
      </w:r>
      <w:r w:rsidR="00BD3606">
        <w:t xml:space="preserve">said by BDO to be </w:t>
      </w:r>
      <w:r w:rsidR="00ED214B">
        <w:t xml:space="preserve">ones </w:t>
      </w:r>
      <w:r w:rsidRPr="004B75BD">
        <w:t>“</w:t>
      </w:r>
      <w:r w:rsidRPr="00BD3606">
        <w:rPr>
          <w:i/>
          <w:iCs/>
        </w:rPr>
        <w:t>which we have identified as being comparable to [the Company]</w:t>
      </w:r>
      <w:r w:rsidRPr="004B75BD">
        <w:t xml:space="preserve">”.  </w:t>
      </w:r>
    </w:p>
    <w:p w14:paraId="60A8A6A7" w14:textId="5528BB4D" w:rsidR="00C6157F" w:rsidRDefault="00757F96" w:rsidP="00EF2FE7">
      <w:pPr>
        <w:pStyle w:val="ParaLevel1"/>
      </w:pPr>
      <w:r>
        <w:t xml:space="preserve">Mr Taylor said that </w:t>
      </w:r>
      <w:r w:rsidR="00F71DF5">
        <w:t xml:space="preserve">Mr Skeels </w:t>
      </w:r>
      <w:r w:rsidR="00FC46B8">
        <w:t xml:space="preserve">was wrong to include other companies </w:t>
      </w:r>
      <w:r w:rsidR="00D6177F">
        <w:t>within his</w:t>
      </w:r>
      <w:r w:rsidR="00FC46B8">
        <w:t xml:space="preserve"> Comparable Companies.  He said </w:t>
      </w:r>
      <w:r w:rsidR="00201AA1">
        <w:t>the turnover of two of them was too large (</w:t>
      </w:r>
      <w:r w:rsidR="003516C5">
        <w:t>o</w:t>
      </w:r>
      <w:r w:rsidR="00201AA1">
        <w:t>ver £500m</w:t>
      </w:r>
      <w:r w:rsidR="003516C5">
        <w:t xml:space="preserve">) to be comparable to IPS UK </w:t>
      </w:r>
      <w:r w:rsidR="005D65B7">
        <w:t>or the Company</w:t>
      </w:r>
      <w:r w:rsidR="00C766A3">
        <w:t xml:space="preserve"> </w:t>
      </w:r>
      <w:r w:rsidR="003516C5">
        <w:t xml:space="preserve">and that the business descriptions of </w:t>
      </w:r>
      <w:r w:rsidR="005D65B7">
        <w:t>two others indicated that they did not operate in the same industry a</w:t>
      </w:r>
      <w:r w:rsidR="00C766A3">
        <w:t xml:space="preserve">s them.  </w:t>
      </w:r>
      <w:r w:rsidR="00AD04F0">
        <w:t>One of these was KCOM</w:t>
      </w:r>
      <w:r w:rsidR="00F315DC">
        <w:t xml:space="preserve"> Group which </w:t>
      </w:r>
      <w:r w:rsidR="000A092D">
        <w:t xml:space="preserve">I note </w:t>
      </w:r>
      <w:r w:rsidR="00F315DC">
        <w:t xml:space="preserve">BDO had identified </w:t>
      </w:r>
      <w:r w:rsidR="00E713A6">
        <w:t xml:space="preserve">in their report </w:t>
      </w:r>
      <w:r w:rsidR="00F315DC">
        <w:t xml:space="preserve">as </w:t>
      </w:r>
      <w:r w:rsidR="001D616C">
        <w:t>a</w:t>
      </w:r>
      <w:r w:rsidR="00F315DC">
        <w:t xml:space="preserve"> comparable.</w:t>
      </w:r>
      <w:r w:rsidR="00AD04F0">
        <w:t xml:space="preserve"> </w:t>
      </w:r>
    </w:p>
    <w:p w14:paraId="5B8B17E1" w14:textId="674FE8D6" w:rsidR="00CF4093" w:rsidRPr="00CF4093" w:rsidRDefault="00CF4093" w:rsidP="00EF2FE7">
      <w:pPr>
        <w:pStyle w:val="ParaLevel1"/>
      </w:pPr>
      <w:r w:rsidRPr="00CF4093">
        <w:t xml:space="preserve">The court is inevitably in something of a quandary on a point like this when presented with a stark difference of opinion presented by two highly experienced and qualified experts.  Mr Taylor said they had applied different search criteria and had come up with different comparables and </w:t>
      </w:r>
      <w:r w:rsidR="00D545F8">
        <w:t xml:space="preserve">he </w:t>
      </w:r>
      <w:r w:rsidRPr="00CF4093">
        <w:t xml:space="preserve">recognised that Mr Skeels was considering the previous 2 year period rather than his own 5 year period.  He fairly recognised that </w:t>
      </w:r>
      <w:r w:rsidRPr="00CF4093">
        <w:rPr>
          <w:i/>
          <w:iCs/>
        </w:rPr>
        <w:t>two</w:t>
      </w:r>
      <w:r w:rsidRPr="00CF4093">
        <w:t xml:space="preserve"> valuers looking for comparables “</w:t>
      </w:r>
      <w:r w:rsidRPr="00CF4093">
        <w:rPr>
          <w:i/>
          <w:iCs/>
        </w:rPr>
        <w:t>are always going to come up with a slightly different population</w:t>
      </w:r>
      <w:r w:rsidRPr="00CF4093">
        <w:t xml:space="preserve">.”.  </w:t>
      </w:r>
    </w:p>
    <w:p w14:paraId="45C4662B" w14:textId="3536D2A6" w:rsidR="00754729" w:rsidRDefault="00C766A3" w:rsidP="00EF2FE7">
      <w:pPr>
        <w:pStyle w:val="ParaLevel1"/>
      </w:pPr>
      <w:r>
        <w:t>Mr Skeels said he had made adjustments for size in relation to the two</w:t>
      </w:r>
      <w:r w:rsidR="00D6177F">
        <w:t xml:space="preserve"> large companies </w:t>
      </w:r>
      <w:r w:rsidR="003736C2">
        <w:t>questioned by Mr Taylor</w:t>
      </w:r>
      <w:r w:rsidR="000C7FDE">
        <w:t xml:space="preserve">.  As to </w:t>
      </w:r>
      <w:r w:rsidR="00DE5223">
        <w:t xml:space="preserve">the </w:t>
      </w:r>
      <w:r w:rsidR="003736C2">
        <w:t xml:space="preserve">other </w:t>
      </w:r>
      <w:r w:rsidR="000C7FDE">
        <w:t xml:space="preserve">two, he said their </w:t>
      </w:r>
      <w:r w:rsidR="00124224">
        <w:t xml:space="preserve">business was within </w:t>
      </w:r>
      <w:r w:rsidR="00DE5223">
        <w:t xml:space="preserve">the </w:t>
      </w:r>
      <w:r w:rsidR="00124224">
        <w:t>same sector of business operations of IPS UK</w:t>
      </w:r>
      <w:r w:rsidR="00E06981">
        <w:t xml:space="preserve">.  In </w:t>
      </w:r>
      <w:r w:rsidR="00CE1EFF">
        <w:t xml:space="preserve">cross-examination he </w:t>
      </w:r>
      <w:r w:rsidR="007E30AB">
        <w:t xml:space="preserve">accepted that IPS UK (and the Company) </w:t>
      </w:r>
      <w:r w:rsidR="00D92223">
        <w:t>occupied “</w:t>
      </w:r>
      <w:r w:rsidR="00D92223" w:rsidRPr="007E524F">
        <w:rPr>
          <w:i/>
          <w:iCs/>
        </w:rPr>
        <w:t>a different space</w:t>
      </w:r>
      <w:r w:rsidR="00D92223">
        <w:t xml:space="preserve">” within the IT sector </w:t>
      </w:r>
      <w:r w:rsidR="00124224">
        <w:t xml:space="preserve"> </w:t>
      </w:r>
      <w:r w:rsidR="00285B96">
        <w:t xml:space="preserve">but these other companies were relevant </w:t>
      </w:r>
      <w:r w:rsidR="0022266B">
        <w:t xml:space="preserve">as comparators when in most cases there is </w:t>
      </w:r>
      <w:r w:rsidR="007E524F">
        <w:t xml:space="preserve">never a </w:t>
      </w:r>
      <w:r w:rsidR="005843B0">
        <w:t>direc</w:t>
      </w:r>
      <w:r w:rsidR="00F97396">
        <w:t xml:space="preserve">tly comparable business doing the exactly the same as the company being valued.  </w:t>
      </w:r>
      <w:r w:rsidR="003736C2">
        <w:t xml:space="preserve">His view was that </w:t>
      </w:r>
      <w:r w:rsidR="00D31E72">
        <w:t xml:space="preserve">IPS UK could be benchmarked against others within the wider sector. </w:t>
      </w:r>
      <w:r w:rsidR="00E06981">
        <w:t xml:space="preserve">He </w:t>
      </w:r>
      <w:r w:rsidR="00D92223">
        <w:t>al</w:t>
      </w:r>
      <w:r w:rsidR="00285B96">
        <w:t xml:space="preserve">so </w:t>
      </w:r>
      <w:r w:rsidR="00E06981">
        <w:t xml:space="preserve">said </w:t>
      </w:r>
      <w:r w:rsidR="006A32E1">
        <w:t>that, if the</w:t>
      </w:r>
      <w:r w:rsidR="00A7187D">
        <w:t xml:space="preserve"> two </w:t>
      </w:r>
      <w:r w:rsidR="00ED5123">
        <w:t>c</w:t>
      </w:r>
      <w:r w:rsidR="00A7187D">
        <w:t xml:space="preserve">ompanies in question </w:t>
      </w:r>
      <w:r w:rsidR="006A32E1">
        <w:t xml:space="preserve">were to be excluded from his calculations, </w:t>
      </w:r>
      <w:r w:rsidR="0069146D">
        <w:t xml:space="preserve">there would be no impact on his median EBITDA multiple </w:t>
      </w:r>
      <w:r w:rsidR="00B5330F">
        <w:t>(of 10.</w:t>
      </w:r>
      <w:r w:rsidR="00930C35">
        <w:t xml:space="preserve">7x before adjustments) </w:t>
      </w:r>
      <w:r w:rsidR="0069146D">
        <w:t xml:space="preserve">and </w:t>
      </w:r>
      <w:r w:rsidR="00930C35">
        <w:t xml:space="preserve">his </w:t>
      </w:r>
      <w:r w:rsidR="004325D1">
        <w:t>average</w:t>
      </w:r>
      <w:r w:rsidR="00930C35">
        <w:t xml:space="preserve"> multiple would increase (from</w:t>
      </w:r>
      <w:r w:rsidR="00C75936">
        <w:t xml:space="preserve"> 10.3x</w:t>
      </w:r>
      <w:r w:rsidR="00930C35">
        <w:t xml:space="preserve"> to 10.5x </w:t>
      </w:r>
      <w:r w:rsidR="004E3BB6">
        <w:t>before adjustments).</w:t>
      </w:r>
    </w:p>
    <w:p w14:paraId="027CBFCF" w14:textId="3C172997" w:rsidR="00ED5123" w:rsidRDefault="00ED5123" w:rsidP="00EF2FE7">
      <w:pPr>
        <w:pStyle w:val="ParaLevel1"/>
      </w:pPr>
      <w:r>
        <w:t>Th</w:t>
      </w:r>
      <w:r w:rsidR="00BD2813">
        <w:t xml:space="preserve">ose answers from Mr Skeels, together with the </w:t>
      </w:r>
      <w:r>
        <w:t xml:space="preserve">overlap between </w:t>
      </w:r>
      <w:r w:rsidR="00BD2813">
        <w:t>his s</w:t>
      </w:r>
      <w:r w:rsidR="00A014BC">
        <w:t>e</w:t>
      </w:r>
      <w:r w:rsidR="00BD2813">
        <w:t xml:space="preserve">lection of </w:t>
      </w:r>
      <w:r w:rsidR="00C700F1">
        <w:t xml:space="preserve">Comparable Companies </w:t>
      </w:r>
      <w:r w:rsidR="00D15B49">
        <w:t>and those identified by Mr Taylor (and BDO)</w:t>
      </w:r>
      <w:r w:rsidR="00225231">
        <w:t xml:space="preserve">, </w:t>
      </w:r>
      <w:r w:rsidR="003C4127">
        <w:t xml:space="preserve">indicate that his approach </w:t>
      </w:r>
      <w:r w:rsidR="00F965DB">
        <w:t>to their selection was a valid one.</w:t>
      </w:r>
      <w:r w:rsidR="00A014BC">
        <w:t xml:space="preserve"> </w:t>
      </w:r>
      <w:r w:rsidR="00D15B49">
        <w:t xml:space="preserve"> </w:t>
      </w:r>
    </w:p>
    <w:p w14:paraId="20B6D0BE" w14:textId="0C9D882C" w:rsidR="00A116E6" w:rsidRPr="00A116E6" w:rsidRDefault="00A116E6" w:rsidP="00EF2FE7">
      <w:pPr>
        <w:pStyle w:val="ParaLevel1"/>
      </w:pPr>
      <w:r w:rsidRPr="00A116E6">
        <w:t>A comparison of the expert reports (Skeels para. 5.4.4 and Appendix 5.2 and Taylor para. 5.2.27 and Appendix 6) does not reveal a significant discrepancy between the EBITDA multiples derived by the experts for the</w:t>
      </w:r>
      <w:r>
        <w:t>ir</w:t>
      </w:r>
      <w:r w:rsidRPr="00A116E6">
        <w:t xml:space="preserve"> common Comparable Companies, save that Mr Skeels did reach a materially higher multiple for one: Alternative Networks Plc, at 14.8x, compared with Mr Taylor’s 12.1x (LTM) and 7.6x (NTM).  I have no reason to question the analysis adopted by Mr Skeels at his Appendix 5.2. </w:t>
      </w:r>
    </w:p>
    <w:p w14:paraId="4EFC06E9" w14:textId="77777777" w:rsidR="000A02F1" w:rsidRDefault="000A02F1" w:rsidP="00EF2FE7">
      <w:pPr>
        <w:pStyle w:val="ParaLevel1"/>
        <w:numPr>
          <w:ilvl w:val="0"/>
          <w:numId w:val="0"/>
        </w:numPr>
        <w:ind w:left="720"/>
      </w:pPr>
    </w:p>
    <w:p w14:paraId="011D4508" w14:textId="3EDBA7E4" w:rsidR="002B18FA" w:rsidRPr="00754729" w:rsidRDefault="00754729" w:rsidP="00EF2FE7">
      <w:pPr>
        <w:pStyle w:val="ParaLevel1"/>
        <w:numPr>
          <w:ilvl w:val="0"/>
          <w:numId w:val="0"/>
        </w:numPr>
        <w:ind w:left="720"/>
        <w:rPr>
          <w:u w:val="single"/>
        </w:rPr>
      </w:pPr>
      <w:r w:rsidRPr="00754729">
        <w:rPr>
          <w:u w:val="single"/>
        </w:rPr>
        <w:t>Control Premium</w:t>
      </w:r>
      <w:r w:rsidR="00453C48" w:rsidRPr="00754729">
        <w:rPr>
          <w:u w:val="single"/>
        </w:rPr>
        <w:t xml:space="preserve"> </w:t>
      </w:r>
      <w:r>
        <w:rPr>
          <w:u w:val="single"/>
        </w:rPr>
        <w:t>and other adjustments</w:t>
      </w:r>
    </w:p>
    <w:p w14:paraId="3B087CB0" w14:textId="77777777" w:rsidR="00583E30" w:rsidRDefault="002B18FA" w:rsidP="00EF2FE7">
      <w:pPr>
        <w:pStyle w:val="ParaLevel1"/>
      </w:pPr>
      <w:r>
        <w:t>Mr Skeels adopted</w:t>
      </w:r>
      <w:r w:rsidR="00453C48">
        <w:t xml:space="preserve"> a Control Premium of 30% and DLOM of 44% </w:t>
      </w:r>
      <w:r>
        <w:t xml:space="preserve">(40% at the Second Valuation Date) </w:t>
      </w:r>
      <w:r w:rsidR="00250A31">
        <w:t xml:space="preserve">in </w:t>
      </w:r>
      <w:r w:rsidR="00453C48">
        <w:t>reach</w:t>
      </w:r>
      <w:r w:rsidR="00250A31">
        <w:t xml:space="preserve">ing </w:t>
      </w:r>
      <w:r w:rsidR="00453C48">
        <w:t>the EBITDA multiple for IPS UK.</w:t>
      </w:r>
    </w:p>
    <w:p w14:paraId="5C019715" w14:textId="6DF2DF7F" w:rsidR="00D85293" w:rsidRDefault="00BE7521" w:rsidP="00EF2FE7">
      <w:pPr>
        <w:pStyle w:val="ParaLevel1"/>
      </w:pPr>
      <w:r>
        <w:t xml:space="preserve"> </w:t>
      </w:r>
      <w:r w:rsidR="00D85293">
        <w:t xml:space="preserve">However, it is important to note, as Mr Skeels explained in his evidence, that the Control Premium </w:t>
      </w:r>
      <w:r w:rsidR="00286F0E">
        <w:t xml:space="preserve">applied by him related to the Comparable Companies </w:t>
      </w:r>
      <w:r w:rsidR="00A8106F">
        <w:t>and he had used it only in the context of those</w:t>
      </w:r>
      <w:r w:rsidR="000E194F">
        <w:t xml:space="preserve"> companies.  This was because </w:t>
      </w:r>
      <w:r w:rsidR="009C7AEA">
        <w:t xml:space="preserve">the market prices shown by the data for those </w:t>
      </w:r>
      <w:r w:rsidR="008C730B">
        <w:t xml:space="preserve">listed companies </w:t>
      </w:r>
      <w:r w:rsidR="008D62CA">
        <w:t xml:space="preserve">revealed prices for a marketable minority </w:t>
      </w:r>
      <w:r w:rsidR="005669F0">
        <w:t xml:space="preserve">parcel </w:t>
      </w:r>
      <w:r w:rsidR="008D62CA">
        <w:t>of shares</w:t>
      </w:r>
      <w:r w:rsidR="005669F0">
        <w:t xml:space="preserve">, so </w:t>
      </w:r>
      <w:r w:rsidR="00E70C0E">
        <w:t xml:space="preserve">a Control Premium has to be added to reflect what </w:t>
      </w:r>
      <w:r w:rsidR="00672406">
        <w:t xml:space="preserve">the buyer would have to pay to acquire a controlling stake. </w:t>
      </w:r>
      <w:r w:rsidR="0006760D">
        <w:t xml:space="preserve"> </w:t>
      </w:r>
      <w:r w:rsidR="00E66BE1">
        <w:t>The following exchange summarised his position on the Control Premium and DLOM</w:t>
      </w:r>
      <w:r w:rsidR="00B15744">
        <w:t xml:space="preserve"> (the figures in his Table </w:t>
      </w:r>
      <w:r w:rsidR="0028363C">
        <w:t xml:space="preserve">5.2 </w:t>
      </w:r>
      <w:r w:rsidR="0055106A">
        <w:t xml:space="preserve">showed </w:t>
      </w:r>
      <w:r w:rsidR="00DE5E83">
        <w:t xml:space="preserve">his figures for </w:t>
      </w:r>
      <w:r w:rsidR="0055106A">
        <w:t xml:space="preserve">the </w:t>
      </w:r>
      <w:r w:rsidR="00DE5E83">
        <w:t>revenue, EV and last 12 months EBITDA multiple of the Comparable Companies identified by him)</w:t>
      </w:r>
      <w:r w:rsidR="00975BCB">
        <w:t>:</w:t>
      </w:r>
      <w:r w:rsidR="00672406">
        <w:t xml:space="preserve"> </w:t>
      </w:r>
      <w:r w:rsidR="008D62CA">
        <w:t xml:space="preserve"> </w:t>
      </w:r>
    </w:p>
    <w:p w14:paraId="45B2FFEF" w14:textId="2248A088" w:rsidR="0006177A" w:rsidRDefault="00754A89" w:rsidP="00EF2FE7">
      <w:pPr>
        <w:pStyle w:val="ParaLevel1"/>
        <w:numPr>
          <w:ilvl w:val="0"/>
          <w:numId w:val="0"/>
        </w:numPr>
        <w:ind w:left="1134"/>
      </w:pPr>
      <w:r>
        <w:t>“</w:t>
      </w:r>
      <w:r w:rsidR="003C4CE0">
        <w:t xml:space="preserve">JUDGE </w:t>
      </w:r>
      <w:r w:rsidR="0006177A">
        <w:t>RUSSEN QC: So -- then you've done a sort of negative</w:t>
      </w:r>
      <w:r w:rsidR="003C4CE0">
        <w:t xml:space="preserve"> </w:t>
      </w:r>
      <w:r w:rsidR="0006177A">
        <w:t xml:space="preserve">against IP Solutions in relation to the DOLM </w:t>
      </w:r>
      <w:r w:rsidR="003C4CE0">
        <w:t xml:space="preserve">[sic] </w:t>
      </w:r>
      <w:r w:rsidR="0006177A">
        <w:t>and you've</w:t>
      </w:r>
      <w:r w:rsidR="003C4CE0">
        <w:t xml:space="preserve"> </w:t>
      </w:r>
      <w:r w:rsidR="0006177A">
        <w:t>done a positive in relation to the control premium?</w:t>
      </w:r>
    </w:p>
    <w:p w14:paraId="7F114472" w14:textId="7BFAC930" w:rsidR="0006177A" w:rsidRDefault="0006177A" w:rsidP="00EF2FE7">
      <w:pPr>
        <w:pStyle w:val="ParaLevel1"/>
        <w:numPr>
          <w:ilvl w:val="0"/>
          <w:numId w:val="0"/>
        </w:numPr>
        <w:ind w:left="1134"/>
      </w:pPr>
      <w:r>
        <w:t>A. Correct.</w:t>
      </w:r>
    </w:p>
    <w:p w14:paraId="631FDE19" w14:textId="74873703" w:rsidR="0006177A" w:rsidRDefault="0006177A" w:rsidP="00EF2FE7">
      <w:pPr>
        <w:pStyle w:val="ParaLevel1"/>
        <w:numPr>
          <w:ilvl w:val="0"/>
          <w:numId w:val="0"/>
        </w:numPr>
        <w:ind w:left="1134"/>
      </w:pPr>
      <w:r>
        <w:t>JUDGE RUSSEN QC: So the point, as I presently understand</w:t>
      </w:r>
      <w:r w:rsidR="003C4CE0">
        <w:t xml:space="preserve"> </w:t>
      </w:r>
      <w:r>
        <w:t>you, Mr Skeels, is that your point about control premium</w:t>
      </w:r>
      <w:r w:rsidR="003C4CE0">
        <w:t xml:space="preserve"> </w:t>
      </w:r>
      <w:r>
        <w:t>is: please bear in mind that the figures in the table at</w:t>
      </w:r>
      <w:r w:rsidR="003C4CE0">
        <w:t xml:space="preserve"> </w:t>
      </w:r>
      <w:r>
        <w:t>page -- sorry, table 5.2, are not reflective of control</w:t>
      </w:r>
      <w:r w:rsidR="003C4CE0">
        <w:t xml:space="preserve"> </w:t>
      </w:r>
      <w:r>
        <w:t>premia?</w:t>
      </w:r>
    </w:p>
    <w:p w14:paraId="0F638FFF" w14:textId="0508D5CC" w:rsidR="00975BCB" w:rsidRDefault="0006177A" w:rsidP="00EF2FE7">
      <w:pPr>
        <w:pStyle w:val="ParaLevel1"/>
        <w:numPr>
          <w:ilvl w:val="0"/>
          <w:numId w:val="0"/>
        </w:numPr>
        <w:ind w:left="1134"/>
      </w:pPr>
      <w:r>
        <w:t>A. Correct, effectively what those are -- yes, so what I've</w:t>
      </w:r>
      <w:r w:rsidR="003C4CE0">
        <w:t xml:space="preserve"> </w:t>
      </w:r>
      <w:r>
        <w:t>done is I've taken the market capitalisation effectively</w:t>
      </w:r>
      <w:r w:rsidR="003C4CE0">
        <w:t xml:space="preserve"> o</w:t>
      </w:r>
      <w:r>
        <w:t>f each of the comparable companies and I've grossed it</w:t>
      </w:r>
      <w:r w:rsidR="003C4CE0">
        <w:t xml:space="preserve"> </w:t>
      </w:r>
      <w:r>
        <w:t>up by 30 per cent and then reduced it by 44 per cent to</w:t>
      </w:r>
      <w:r w:rsidR="003C4CE0">
        <w:t xml:space="preserve"> </w:t>
      </w:r>
      <w:r>
        <w:t>end up at a multiple that can then be used to value the</w:t>
      </w:r>
      <w:r w:rsidR="003C4CE0">
        <w:t xml:space="preserve"> </w:t>
      </w:r>
      <w:r>
        <w:t>company.</w:t>
      </w:r>
    </w:p>
    <w:p w14:paraId="6B4EA99E" w14:textId="034417DA" w:rsidR="0010405E" w:rsidRDefault="0010405E" w:rsidP="00EF2FE7">
      <w:pPr>
        <w:pStyle w:val="ParaLevel1"/>
        <w:numPr>
          <w:ilvl w:val="0"/>
          <w:numId w:val="0"/>
        </w:numPr>
        <w:ind w:left="1134"/>
      </w:pPr>
      <w:r>
        <w:t xml:space="preserve">JUDGE RUSSEN QC: For an off-market purchase of a majority stake in IPS UK? </w:t>
      </w:r>
    </w:p>
    <w:p w14:paraId="3EFEB186" w14:textId="165623F7" w:rsidR="0030098A" w:rsidRDefault="0010405E" w:rsidP="00EF2FE7">
      <w:pPr>
        <w:pStyle w:val="ParaLevel1"/>
        <w:numPr>
          <w:ilvl w:val="0"/>
          <w:numId w:val="0"/>
        </w:numPr>
        <w:ind w:left="1134"/>
      </w:pPr>
      <w:r>
        <w:t>A. Indeed. I'm not saying that you would pay a premium or not for IPS, I'm just saying in terms of the methodology used to come up with a value of the business, you have to make those adjustments to make that data comparable.”</w:t>
      </w:r>
    </w:p>
    <w:p w14:paraId="01AE769A" w14:textId="77777777" w:rsidR="0010405E" w:rsidRDefault="0010405E" w:rsidP="00EF2FE7">
      <w:pPr>
        <w:pStyle w:val="ParaLevel1"/>
        <w:numPr>
          <w:ilvl w:val="0"/>
          <w:numId w:val="0"/>
        </w:numPr>
        <w:ind w:left="720"/>
      </w:pPr>
    </w:p>
    <w:p w14:paraId="1A003434" w14:textId="71F79F49" w:rsidR="00975BCB" w:rsidRDefault="00E66BE1" w:rsidP="00EF2FE7">
      <w:pPr>
        <w:pStyle w:val="ParaLevel1"/>
      </w:pPr>
      <w:r w:rsidRPr="00E66BE1">
        <w:t>The DLOM was not challenged by Mr Taylor but Mr Skeels’ use of a Control Premium was</w:t>
      </w:r>
      <w:r w:rsidR="00975BCB">
        <w:t>.</w:t>
      </w:r>
    </w:p>
    <w:p w14:paraId="59955F82" w14:textId="00DC2EE8" w:rsidR="002B18FA" w:rsidRDefault="00BE7521" w:rsidP="00EF2FE7">
      <w:pPr>
        <w:pStyle w:val="ParaLevel1"/>
      </w:pPr>
      <w:r w:rsidRPr="00BE7521">
        <w:t xml:space="preserve">Mr Taylor confirmed in his oral evidence that </w:t>
      </w:r>
      <w:r>
        <w:t>the</w:t>
      </w:r>
      <w:r w:rsidRPr="00BE7521">
        <w:t xml:space="preserve"> Control Premium “</w:t>
      </w:r>
      <w:r w:rsidRPr="00694EAC">
        <w:rPr>
          <w:i/>
          <w:iCs/>
        </w:rPr>
        <w:t xml:space="preserve">…could be zero…” </w:t>
      </w:r>
      <w:r w:rsidRPr="00BE7521">
        <w:t>, and that in this particular case he had “…</w:t>
      </w:r>
      <w:r w:rsidRPr="00694EAC">
        <w:rPr>
          <w:i/>
          <w:iCs/>
        </w:rPr>
        <w:t>seen no evidence that supports the application of a control premium, so I have applied a zero control premium</w:t>
      </w:r>
      <w:r w:rsidRPr="00BE7521">
        <w:t>”</w:t>
      </w:r>
      <w:r>
        <w:t>.</w:t>
      </w:r>
      <w:r w:rsidR="00AB442B">
        <w:t xml:space="preserve">  Mr Skeels said that </w:t>
      </w:r>
      <w:r w:rsidR="00C743C1">
        <w:t xml:space="preserve">Mr Taylor had </w:t>
      </w:r>
      <w:r w:rsidR="00756AC0">
        <w:t>“</w:t>
      </w:r>
      <w:r w:rsidR="00C743C1" w:rsidRPr="00694EAC">
        <w:rPr>
          <w:i/>
          <w:iCs/>
        </w:rPr>
        <w:t xml:space="preserve">confused the issue </w:t>
      </w:r>
      <w:r w:rsidR="00694EAC" w:rsidRPr="00694EAC">
        <w:rPr>
          <w:i/>
          <w:iCs/>
        </w:rPr>
        <w:t>by talking about control premiums more generally to do with other transactions. I only use it in the context of those comparable companies</w:t>
      </w:r>
      <w:r w:rsidR="00694EAC">
        <w:t>.”</w:t>
      </w:r>
    </w:p>
    <w:p w14:paraId="68A60A87" w14:textId="2EF0E631" w:rsidR="002B18FA" w:rsidRDefault="002B18FA" w:rsidP="00EF2FE7">
      <w:pPr>
        <w:pStyle w:val="ParaLevel1"/>
      </w:pPr>
      <w:r>
        <w:t>When</w:t>
      </w:r>
      <w:r w:rsidR="00334509">
        <w:t>, in the context of the Leaver Litigation,</w:t>
      </w:r>
      <w:r>
        <w:t xml:space="preserve"> </w:t>
      </w:r>
      <w:r w:rsidR="00334509">
        <w:t>Mr Nicholls of Ernst &amp; Young gave the court the benefit of his opinion on the approach to the valuation of the Claimants’ shares under the Articles (as I explain below in the next section of this judgment) he said that, if he had been directed to value a minority stake, then he would consider applying a “[</w:t>
      </w:r>
      <w:r w:rsidRPr="00334509">
        <w:rPr>
          <w:i/>
          <w:iCs/>
        </w:rPr>
        <w:t>D</w:t>
      </w:r>
      <w:r w:rsidR="00334509" w:rsidRPr="00334509">
        <w:rPr>
          <w:i/>
          <w:iCs/>
        </w:rPr>
        <w:t>]</w:t>
      </w:r>
      <w:r w:rsidRPr="00334509">
        <w:rPr>
          <w:i/>
          <w:iCs/>
        </w:rPr>
        <w:t>iscount for lack of control, or “minority discount”, reflecting that holders of a minority</w:t>
      </w:r>
      <w:r w:rsidR="00334509" w:rsidRPr="00334509">
        <w:rPr>
          <w:i/>
          <w:iCs/>
        </w:rPr>
        <w:t xml:space="preserve"> </w:t>
      </w:r>
      <w:r w:rsidRPr="00334509">
        <w:rPr>
          <w:i/>
          <w:iCs/>
        </w:rPr>
        <w:t>parcel of shares are unable to control, amongst other things, the strategy and direction of</w:t>
      </w:r>
      <w:r w:rsidR="00334509" w:rsidRPr="00334509">
        <w:rPr>
          <w:i/>
          <w:iCs/>
        </w:rPr>
        <w:t xml:space="preserve"> </w:t>
      </w:r>
      <w:r w:rsidRPr="00334509">
        <w:rPr>
          <w:i/>
          <w:iCs/>
        </w:rPr>
        <w:t>the business, as well as timing and method of exit</w:t>
      </w:r>
      <w:r w:rsidR="00334509">
        <w:t xml:space="preserve">”.  </w:t>
      </w:r>
      <w:r w:rsidR="00754729">
        <w:t xml:space="preserve">As Mr Taylor accepted, </w:t>
      </w:r>
      <w:r w:rsidR="00334509">
        <w:t>Mr Skeels’ Control Premium is the inverse of such a “</w:t>
      </w:r>
      <w:r w:rsidR="00334509" w:rsidRPr="00E04B5A">
        <w:rPr>
          <w:b/>
          <w:bCs/>
        </w:rPr>
        <w:t>DLOC</w:t>
      </w:r>
      <w:r w:rsidR="00334509">
        <w:t>”.</w:t>
      </w:r>
    </w:p>
    <w:p w14:paraId="02CD52D9" w14:textId="38E3E4C3" w:rsidR="00312689" w:rsidRPr="00312689" w:rsidRDefault="00312689" w:rsidP="00EF2FE7">
      <w:pPr>
        <w:pStyle w:val="ParaLevel1"/>
      </w:pPr>
      <w:r w:rsidRPr="00312689">
        <w:t xml:space="preserve">Mr Taylor’s Supplemental Report (prepared after the Joint Statement) </w:t>
      </w:r>
      <w:r>
        <w:t xml:space="preserve">set out in some detail the controversy over the routine application of a Control Premium and, referring to the previous recognition of it in the US courts, said: </w:t>
      </w:r>
      <w:r w:rsidRPr="00A6450A">
        <w:rPr>
          <w:i/>
          <w:iCs/>
        </w:rPr>
        <w:t>“[I]t is thus apparent that there is a strong body of opinion that control premiums should not be applied unless there are very specific circumstances that justify one</w:t>
      </w:r>
      <w:r>
        <w:t>.”   Mr Taylor recognised that “</w:t>
      </w:r>
      <w:r w:rsidRPr="00A6450A">
        <w:rPr>
          <w:i/>
          <w:iCs/>
        </w:rPr>
        <w:t>when a buyer perceives that a company’s profit is not being maximised or the overall value of the target can be enhanced, the buyer might be persuaded to pay a premium above the established market price.</w:t>
      </w:r>
      <w:r>
        <w:t>”</w:t>
      </w:r>
      <w:r w:rsidR="00A6450A">
        <w:t xml:space="preserve"> His view was that control premiums only exist where the hypothetical purchaser would have an opportunity to materially improve the cash flow or economic benefits generated by the business and would be willing to pay for that opportunity</w:t>
      </w:r>
      <w:r w:rsidR="00FB6050">
        <w:t>.</w:t>
      </w:r>
      <w:r>
        <w:t xml:space="preserve"> </w:t>
      </w:r>
      <w:r w:rsidR="00A6450A">
        <w:t>He said he had seen no evidence that this was the case in respect of IPS UK and that a “</w:t>
      </w:r>
      <w:r w:rsidR="00A6450A" w:rsidRPr="00A6450A">
        <w:rPr>
          <w:i/>
          <w:iCs/>
        </w:rPr>
        <w:t>generic and universal intent</w:t>
      </w:r>
      <w:r w:rsidR="00A6450A">
        <w:t>” on the part of the management and Livin</w:t>
      </w:r>
      <w:r w:rsidR="00754729">
        <w:t>g</w:t>
      </w:r>
      <w:r w:rsidR="00A6450A">
        <w:t xml:space="preserve">bridge to improve the future operations of the business, which is how he described the matters relied upon by Mr Skeels, was </w:t>
      </w:r>
      <w:r w:rsidR="007B17C3">
        <w:t xml:space="preserve">not </w:t>
      </w:r>
      <w:r w:rsidR="00A6450A">
        <w:t xml:space="preserve">sufficient to justify one. </w:t>
      </w:r>
    </w:p>
    <w:p w14:paraId="189BFEFD" w14:textId="568827CA" w:rsidR="00312689" w:rsidRDefault="006D0950" w:rsidP="00EF2FE7">
      <w:pPr>
        <w:pStyle w:val="ParaLevel1"/>
      </w:pPr>
      <w:r>
        <w:t xml:space="preserve">As I have explained above, this </w:t>
      </w:r>
      <w:r w:rsidR="002A22CE">
        <w:t xml:space="preserve">was </w:t>
      </w:r>
      <w:r w:rsidR="00DA385D">
        <w:t>not the context in which Mr Skeels was applying his Control Premium.  Mr Skeels said</w:t>
      </w:r>
      <w:r w:rsidR="00DB6628">
        <w:t xml:space="preserve"> in evidence</w:t>
      </w:r>
      <w:r w:rsidR="0097038E">
        <w:t xml:space="preserve">: </w:t>
      </w:r>
      <w:r w:rsidR="00DB6628">
        <w:t>“</w:t>
      </w:r>
      <w:r w:rsidR="00DB6628" w:rsidRPr="00893FD4">
        <w:rPr>
          <w:i/>
          <w:iCs/>
        </w:rPr>
        <w:t>I'm slightly puzzled because I'm using control premium to deal with the comparable companies</w:t>
      </w:r>
      <w:r w:rsidR="00DB6628">
        <w:t>.”</w:t>
      </w:r>
      <w:r w:rsidR="00002C01">
        <w:t xml:space="preserve">  His Report said: </w:t>
      </w:r>
      <w:r w:rsidR="00177778" w:rsidRPr="00177778">
        <w:rPr>
          <w:i/>
          <w:iCs/>
        </w:rPr>
        <w:t>“[</w:t>
      </w:r>
      <w:r w:rsidR="00893FD4" w:rsidRPr="00177778">
        <w:rPr>
          <w:i/>
          <w:iCs/>
        </w:rPr>
        <w:t>A</w:t>
      </w:r>
      <w:r w:rsidR="00177778" w:rsidRPr="00177778">
        <w:rPr>
          <w:i/>
          <w:iCs/>
        </w:rPr>
        <w:t>]</w:t>
      </w:r>
      <w:r w:rsidR="00893FD4" w:rsidRPr="00177778">
        <w:rPr>
          <w:i/>
          <w:iCs/>
        </w:rPr>
        <w:t>fter application of the DLOM and Control Premium, the Average EBITDA multiple derived from Comparable Companies is 7.5x and the median is 7.8x.</w:t>
      </w:r>
      <w:r w:rsidR="00177778" w:rsidRPr="00177778">
        <w:rPr>
          <w:i/>
          <w:iCs/>
        </w:rPr>
        <w:t>”</w:t>
      </w:r>
    </w:p>
    <w:p w14:paraId="115433BA" w14:textId="79E2A90C" w:rsidR="00453C48" w:rsidRDefault="00453C48" w:rsidP="00EF2FE7">
      <w:pPr>
        <w:pStyle w:val="ParaLevel1"/>
      </w:pPr>
      <w:r>
        <w:t xml:space="preserve">Mr Skeels </w:t>
      </w:r>
      <w:r w:rsidR="002B18FA">
        <w:t xml:space="preserve">was criticised by the Firm for taking what he </w:t>
      </w:r>
      <w:r>
        <w:t xml:space="preserve">described as the Mazars “house view” (derived from a range of 25% to 40% for </w:t>
      </w:r>
      <w:r w:rsidR="00C07297">
        <w:t>C</w:t>
      </w:r>
      <w:r>
        <w:t xml:space="preserve">ontrol </w:t>
      </w:r>
      <w:r w:rsidR="00C07297">
        <w:t>P</w:t>
      </w:r>
      <w:r>
        <w:t xml:space="preserve">remium) </w:t>
      </w:r>
      <w:r w:rsidR="00334509">
        <w:t>of</w:t>
      </w:r>
      <w:r>
        <w:t xml:space="preserve"> the appropriate premium </w:t>
      </w:r>
      <w:r w:rsidR="008026AD">
        <w:t xml:space="preserve">– 30% - </w:t>
      </w:r>
      <w:r>
        <w:t>to be applied to reflect the value of acquiring control of the company through the purchased shares</w:t>
      </w:r>
      <w:r w:rsidR="00334509">
        <w:t xml:space="preserve"> when t</w:t>
      </w:r>
      <w:r>
        <w:t>he guidance on control premiums indicates that the appropriate premium in any particular case depends upon a number of company-specific factors.  It also emerged during Mr Skeels</w:t>
      </w:r>
      <w:r w:rsidR="00334509">
        <w:t>’</w:t>
      </w:r>
      <w:r>
        <w:t xml:space="preserve"> cross-examination that he had used more recent Capital IQ “merger stat” data on this aspect than that exhibited to the report (which was based on data from the United States).</w:t>
      </w:r>
      <w:r w:rsidR="00A039FF">
        <w:t xml:space="preserve">  In his testimony</w:t>
      </w:r>
      <w:r w:rsidR="00B11771">
        <w:t>, Mr Skeels said</w:t>
      </w:r>
      <w:r w:rsidR="00D15926">
        <w:t>:</w:t>
      </w:r>
    </w:p>
    <w:p w14:paraId="0090A7C4" w14:textId="3D73B11B" w:rsidR="00263CB9" w:rsidRDefault="00605F50" w:rsidP="00EF2FE7">
      <w:pPr>
        <w:pStyle w:val="ParaLevel1"/>
        <w:numPr>
          <w:ilvl w:val="0"/>
          <w:numId w:val="0"/>
        </w:numPr>
        <w:ind w:left="1134"/>
      </w:pPr>
      <w:r>
        <w:t>“</w:t>
      </w:r>
      <w:r w:rsidR="00263CB9" w:rsidRPr="00605F50">
        <w:rPr>
          <w:i/>
          <w:iCs/>
        </w:rPr>
        <w:t>If you look at the empirical data for listed company takeovers where effectively people have bought a controlling stake or compan</w:t>
      </w:r>
      <w:r w:rsidR="00244C0D" w:rsidRPr="00605F50">
        <w:rPr>
          <w:i/>
          <w:iCs/>
        </w:rPr>
        <w:t>i</w:t>
      </w:r>
      <w:r w:rsidR="00263CB9" w:rsidRPr="00605F50">
        <w:rPr>
          <w:i/>
          <w:iCs/>
        </w:rPr>
        <w:t>es have bought a controlling stake in that business, generally speaking</w:t>
      </w:r>
      <w:r w:rsidR="00244C0D" w:rsidRPr="00605F50">
        <w:rPr>
          <w:i/>
          <w:iCs/>
        </w:rPr>
        <w:t xml:space="preserve"> </w:t>
      </w:r>
      <w:r w:rsidR="00263CB9" w:rsidRPr="00605F50">
        <w:rPr>
          <w:i/>
          <w:iCs/>
        </w:rPr>
        <w:t>the price that ends up being paid is somewhere between</w:t>
      </w:r>
      <w:r w:rsidR="00244C0D" w:rsidRPr="00605F50">
        <w:rPr>
          <w:i/>
          <w:iCs/>
        </w:rPr>
        <w:t xml:space="preserve"> 25</w:t>
      </w:r>
      <w:r w:rsidR="00263CB9" w:rsidRPr="00605F50">
        <w:rPr>
          <w:i/>
          <w:iCs/>
        </w:rPr>
        <w:t xml:space="preserve"> and 40 per cent higher than the day before the</w:t>
      </w:r>
      <w:r w:rsidR="00244C0D" w:rsidRPr="00605F50">
        <w:rPr>
          <w:i/>
          <w:iCs/>
        </w:rPr>
        <w:t xml:space="preserve"> </w:t>
      </w:r>
      <w:r w:rsidR="00263CB9" w:rsidRPr="00605F50">
        <w:rPr>
          <w:i/>
          <w:iCs/>
        </w:rPr>
        <w:t>announcement of the transaction</w:t>
      </w:r>
      <w:r>
        <w:t>.”</w:t>
      </w:r>
    </w:p>
    <w:p w14:paraId="5A663C7B" w14:textId="5004C111" w:rsidR="00E04B5A" w:rsidRDefault="00754729" w:rsidP="00EF2FE7">
      <w:pPr>
        <w:pStyle w:val="ParaLevel1"/>
      </w:pPr>
      <w:r>
        <w:t>Although it is unsatisfactory that Mr Skeels had relied upon unexhibited data</w:t>
      </w:r>
      <w:r w:rsidR="00693090">
        <w:t xml:space="preserve"> to support his Control Premium</w:t>
      </w:r>
      <w:r>
        <w:t xml:space="preserve">, </w:t>
      </w:r>
      <w:r w:rsidR="00693090">
        <w:t>I have been persuaded by his evidence that a Control Premium should be applied to reflect the fact that the quoted share prices of listed comparable companies will reflect the purchase of a</w:t>
      </w:r>
      <w:r w:rsidR="00E04B5A">
        <w:t xml:space="preserve"> “</w:t>
      </w:r>
      <w:r w:rsidR="00E04B5A" w:rsidRPr="00E04B5A">
        <w:rPr>
          <w:i/>
          <w:iCs/>
        </w:rPr>
        <w:t>marketable minority</w:t>
      </w:r>
      <w:r w:rsidR="00E04B5A">
        <w:t xml:space="preserve">” holding.  As Mr Skeels said in his Report, the minority investor typically cannot influence the strategic direction of the business and/or have access to its cash flows in the same way that a controlling shareholder of a private company can. As such the difference between a controlling stake and a marketable minority stake is the Control Premium. </w:t>
      </w:r>
    </w:p>
    <w:p w14:paraId="58603E36" w14:textId="27875A9B" w:rsidR="00FB6050" w:rsidRDefault="00E04B5A" w:rsidP="00EF2FE7">
      <w:pPr>
        <w:pStyle w:val="ParaLevel1"/>
      </w:pPr>
      <w:r>
        <w:t xml:space="preserve">Although </w:t>
      </w:r>
      <w:r w:rsidR="00E77190">
        <w:t xml:space="preserve">Mr Taylor’s Supplemental Report </w:t>
      </w:r>
      <w:r w:rsidR="00FB6050">
        <w:t xml:space="preserve">had </w:t>
      </w:r>
      <w:r w:rsidR="00FF0B4E">
        <w:t>focus</w:t>
      </w:r>
      <w:r w:rsidR="00FB6050">
        <w:t xml:space="preserve">ed upon the need for a Control Premium to be justified by specific financial benefits to be gained through the acquisition of control, and he maintained his position that in this case the premium was zero, the answers he gave in cross-examination </w:t>
      </w:r>
      <w:r w:rsidR="005C244E">
        <w:t xml:space="preserve">put a bit of a gloss on that.  </w:t>
      </w:r>
      <w:r w:rsidR="00657035">
        <w:t>I refer to the following exchanges</w:t>
      </w:r>
      <w:r w:rsidR="005C244E">
        <w:t xml:space="preserve"> in the transcript</w:t>
      </w:r>
      <w:r w:rsidR="00FB6050">
        <w:t>:</w:t>
      </w:r>
    </w:p>
    <w:p w14:paraId="2A949D05" w14:textId="2F01473F" w:rsidR="00657035" w:rsidRDefault="005C244E" w:rsidP="00EF2FE7">
      <w:pPr>
        <w:pStyle w:val="ParaLevel1"/>
        <w:numPr>
          <w:ilvl w:val="0"/>
          <w:numId w:val="0"/>
        </w:numPr>
        <w:ind w:left="1134"/>
      </w:pPr>
      <w:r>
        <w:t>“</w:t>
      </w:r>
      <w:r w:rsidR="00657035">
        <w:t>Q ……… Can we then go to your supplemental report which is 13 at C/2581. You here describe at 3.2.2 the principle of control premium. And could you just read that paragraph 3.2.2 to yourself?</w:t>
      </w:r>
    </w:p>
    <w:p w14:paraId="22587F84" w14:textId="782B68BF" w:rsidR="00657035" w:rsidRDefault="00657035" w:rsidP="00EF2FE7">
      <w:pPr>
        <w:pStyle w:val="ParaLevel1"/>
        <w:numPr>
          <w:ilvl w:val="0"/>
          <w:numId w:val="0"/>
        </w:numPr>
        <w:ind w:left="1134"/>
      </w:pPr>
      <w:r>
        <w:t>(Pause)</w:t>
      </w:r>
    </w:p>
    <w:p w14:paraId="3820B55C" w14:textId="7098B938" w:rsidR="00657035" w:rsidRDefault="00657035" w:rsidP="00EF2FE7">
      <w:pPr>
        <w:pStyle w:val="ParaLevel1"/>
        <w:numPr>
          <w:ilvl w:val="0"/>
          <w:numId w:val="0"/>
        </w:numPr>
        <w:ind w:left="1134"/>
      </w:pPr>
      <w:r>
        <w:t>A. Yes, I've read that.</w:t>
      </w:r>
    </w:p>
    <w:p w14:paraId="6EE76235" w14:textId="2152FD7B" w:rsidR="00657035" w:rsidRDefault="00657035" w:rsidP="00EF2FE7">
      <w:pPr>
        <w:pStyle w:val="ParaLevel1"/>
        <w:numPr>
          <w:ilvl w:val="0"/>
          <w:numId w:val="0"/>
        </w:numPr>
        <w:ind w:left="1134"/>
      </w:pPr>
      <w:r>
        <w:t>Q. So in effect what you are describing here is that on occasion a buyer will pay a premium because they believe that they're particularly able to create additional value over and above other purchasers of the same interest?</w:t>
      </w:r>
    </w:p>
    <w:p w14:paraId="779FA995" w14:textId="4A78F6C3" w:rsidR="00657035" w:rsidRDefault="00657035" w:rsidP="00EF2FE7">
      <w:pPr>
        <w:pStyle w:val="ParaLevel1"/>
        <w:numPr>
          <w:ilvl w:val="0"/>
          <w:numId w:val="0"/>
        </w:numPr>
        <w:ind w:left="1134"/>
      </w:pPr>
      <w:r>
        <w:t>A. That's what I say there, yes.</w:t>
      </w:r>
    </w:p>
    <w:p w14:paraId="3F01BAB6" w14:textId="4EEEEA95" w:rsidR="00657035" w:rsidRDefault="00657035" w:rsidP="00EF2FE7">
      <w:pPr>
        <w:pStyle w:val="ParaLevel1"/>
        <w:numPr>
          <w:ilvl w:val="0"/>
          <w:numId w:val="0"/>
        </w:numPr>
        <w:ind w:left="1134"/>
      </w:pPr>
      <w:r>
        <w:t>Q. And so a business is for sale in its entirety, so 100 per cent. There are two possible purchasers. One is prepared to pay a certain value, but another is prepared to pay a premium because they believe that they are going to be able to achieve particular synergies, create additional value, more than the other purchaser will be able to; that's what you are describing here?</w:t>
      </w:r>
    </w:p>
    <w:p w14:paraId="40649BC7" w14:textId="24213632" w:rsidR="00657035" w:rsidRDefault="00657035" w:rsidP="00EF2FE7">
      <w:pPr>
        <w:pStyle w:val="ParaLevel1"/>
        <w:numPr>
          <w:ilvl w:val="0"/>
          <w:numId w:val="0"/>
        </w:numPr>
        <w:ind w:left="1134"/>
      </w:pPr>
      <w:r>
        <w:t>A. That's right, yes.</w:t>
      </w:r>
    </w:p>
    <w:p w14:paraId="3D4D055E" w14:textId="1C9FCF19" w:rsidR="00657035" w:rsidRDefault="00657035" w:rsidP="00EF2FE7">
      <w:pPr>
        <w:pStyle w:val="ParaLevel1"/>
        <w:numPr>
          <w:ilvl w:val="0"/>
          <w:numId w:val="0"/>
        </w:numPr>
        <w:ind w:left="1134"/>
      </w:pPr>
      <w:r>
        <w:t>Q. And that is different, isn't it, from identifying the difference between paying to acquire a small number of trading shares and paying to acquire a controlling majority?</w:t>
      </w:r>
    </w:p>
    <w:p w14:paraId="4ED3AE68" w14:textId="6A279F77" w:rsidR="00657035" w:rsidRDefault="00657035" w:rsidP="00EF2FE7">
      <w:pPr>
        <w:pStyle w:val="ParaLevel1"/>
        <w:numPr>
          <w:ilvl w:val="0"/>
          <w:numId w:val="0"/>
        </w:numPr>
        <w:ind w:left="1134"/>
      </w:pPr>
      <w:r>
        <w:t>A. I think so, yes, yes.</w:t>
      </w:r>
    </w:p>
    <w:p w14:paraId="182A04BE" w14:textId="68045BB3" w:rsidR="00657035" w:rsidRDefault="00657035" w:rsidP="00EF2FE7">
      <w:pPr>
        <w:pStyle w:val="ParaLevel1"/>
        <w:numPr>
          <w:ilvl w:val="0"/>
          <w:numId w:val="0"/>
        </w:numPr>
        <w:ind w:left="1134"/>
      </w:pPr>
      <w:r>
        <w:t>Q. Now, if we could look, please, at the joint report at C/35. So looking at the right-hand column -- sorry, I'll give you a moment to find the page.</w:t>
      </w:r>
    </w:p>
    <w:p w14:paraId="1F049A6F" w14:textId="5B165829" w:rsidR="00657035" w:rsidRDefault="00657035" w:rsidP="00EF2FE7">
      <w:pPr>
        <w:pStyle w:val="ParaLevel1"/>
        <w:numPr>
          <w:ilvl w:val="0"/>
          <w:numId w:val="0"/>
        </w:numPr>
        <w:ind w:left="1134"/>
      </w:pPr>
      <w:r>
        <w:t>A. Okay.</w:t>
      </w:r>
    </w:p>
    <w:p w14:paraId="0EA54AA7" w14:textId="7C7E9149" w:rsidR="00657035" w:rsidRDefault="00657035" w:rsidP="00EF2FE7">
      <w:pPr>
        <w:pStyle w:val="ParaLevel1"/>
        <w:numPr>
          <w:ilvl w:val="0"/>
          <w:numId w:val="0"/>
        </w:numPr>
        <w:ind w:left="1134"/>
      </w:pPr>
      <w:r>
        <w:t>(Pause)</w:t>
      </w:r>
    </w:p>
    <w:p w14:paraId="762D903A" w14:textId="01BB0B3F" w:rsidR="00657035" w:rsidRDefault="00657035" w:rsidP="00EF2FE7">
      <w:pPr>
        <w:pStyle w:val="ParaLevel1"/>
        <w:numPr>
          <w:ilvl w:val="0"/>
          <w:numId w:val="0"/>
        </w:numPr>
        <w:ind w:left="1134"/>
      </w:pPr>
      <w:r>
        <w:t>Yes.</w:t>
      </w:r>
    </w:p>
    <w:p w14:paraId="057D0E72" w14:textId="22A68C76" w:rsidR="00657035" w:rsidRDefault="00657035" w:rsidP="00EF2FE7">
      <w:pPr>
        <w:pStyle w:val="ParaLevel1"/>
        <w:numPr>
          <w:ilvl w:val="0"/>
          <w:numId w:val="0"/>
        </w:numPr>
        <w:ind w:left="1134"/>
      </w:pPr>
      <w:r>
        <w:t>Q. So looking at the right-hand column, your overall position is that no control premium should be applied. Mr Skeels suggests a figure of 30 per cent is a reasonable estimate for a control premium. You make a number of criticisms of that, which we went through</w:t>
      </w:r>
      <w:r w:rsidR="00C45899">
        <w:t xml:space="preserve"> </w:t>
      </w:r>
      <w:r>
        <w:t>yesterday. You haven't suggested an alternative</w:t>
      </w:r>
      <w:r w:rsidR="00C45899">
        <w:t xml:space="preserve"> </w:t>
      </w:r>
      <w:r>
        <w:t>reasonable estimate, have you?</w:t>
      </w:r>
    </w:p>
    <w:p w14:paraId="299FD2E7" w14:textId="1B4D2867" w:rsidR="00657035" w:rsidRDefault="00657035" w:rsidP="00EF2FE7">
      <w:pPr>
        <w:pStyle w:val="ParaLevel1"/>
        <w:numPr>
          <w:ilvl w:val="0"/>
          <w:numId w:val="0"/>
        </w:numPr>
        <w:ind w:left="567" w:firstLine="567"/>
      </w:pPr>
      <w:r>
        <w:t>A. Zero.</w:t>
      </w:r>
    </w:p>
    <w:p w14:paraId="736AB730" w14:textId="62336678" w:rsidR="00657035" w:rsidRDefault="00657035" w:rsidP="00EF2FE7">
      <w:pPr>
        <w:pStyle w:val="ParaLevel1"/>
        <w:numPr>
          <w:ilvl w:val="0"/>
          <w:numId w:val="0"/>
        </w:numPr>
        <w:ind w:left="1134"/>
      </w:pPr>
      <w:r>
        <w:t>Q. Okay.</w:t>
      </w:r>
    </w:p>
    <w:p w14:paraId="6002B362" w14:textId="33E1F998" w:rsidR="00657035" w:rsidRDefault="00657035" w:rsidP="00EF2FE7">
      <w:pPr>
        <w:pStyle w:val="ParaLevel1"/>
        <w:numPr>
          <w:ilvl w:val="0"/>
          <w:numId w:val="0"/>
        </w:numPr>
        <w:ind w:left="1134"/>
      </w:pPr>
      <w:r>
        <w:t>A. I've said no control premium, so yes.</w:t>
      </w:r>
    </w:p>
    <w:p w14:paraId="34514414" w14:textId="3E411E54" w:rsidR="00657035" w:rsidRDefault="00657035" w:rsidP="00EF2FE7">
      <w:pPr>
        <w:pStyle w:val="ParaLevel1"/>
        <w:numPr>
          <w:ilvl w:val="0"/>
          <w:numId w:val="0"/>
        </w:numPr>
        <w:ind w:left="1134"/>
      </w:pPr>
      <w:r>
        <w:t>Q. So you are saying no control premium, it's zero and</w:t>
      </w:r>
      <w:r w:rsidR="00C45899">
        <w:t xml:space="preserve"> </w:t>
      </w:r>
      <w:r>
        <w:t>that's it. So there isn't an alternative hypothesis</w:t>
      </w:r>
      <w:r w:rsidR="00C45899">
        <w:t xml:space="preserve"> </w:t>
      </w:r>
      <w:r>
        <w:t>where you posit a figure of say 20 per cent, you just</w:t>
      </w:r>
      <w:r w:rsidR="00C45899">
        <w:t xml:space="preserve"> </w:t>
      </w:r>
      <w:r>
        <w:t>aren't prepared to go there?</w:t>
      </w:r>
    </w:p>
    <w:p w14:paraId="0552CE4D" w14:textId="133A4DE9" w:rsidR="00657035" w:rsidRDefault="00657035" w:rsidP="00EF2FE7">
      <w:pPr>
        <w:pStyle w:val="ParaLevel1"/>
        <w:numPr>
          <w:ilvl w:val="0"/>
          <w:numId w:val="0"/>
        </w:numPr>
        <w:ind w:left="1134"/>
      </w:pPr>
      <w:r>
        <w:t>A. No, I've seen no evidence that supports the application</w:t>
      </w:r>
      <w:r w:rsidR="00C45899">
        <w:t xml:space="preserve"> </w:t>
      </w:r>
      <w:r>
        <w:t>of a control premium, so I have applied a zero control</w:t>
      </w:r>
      <w:r w:rsidR="00C45899">
        <w:t xml:space="preserve"> </w:t>
      </w:r>
      <w:r>
        <w:t>premium.</w:t>
      </w:r>
    </w:p>
    <w:p w14:paraId="0C030C40" w14:textId="47AC92BA" w:rsidR="00657035" w:rsidRDefault="00657035" w:rsidP="00EF2FE7">
      <w:pPr>
        <w:pStyle w:val="ParaLevel1"/>
        <w:numPr>
          <w:ilvl w:val="0"/>
          <w:numId w:val="0"/>
        </w:numPr>
        <w:ind w:left="1134"/>
      </w:pPr>
      <w:r>
        <w:t>Q. Now, could I ask you to look back in your original</w:t>
      </w:r>
      <w:r w:rsidR="00C45899">
        <w:t xml:space="preserve"> </w:t>
      </w:r>
      <w:r>
        <w:t>report at 2234 in C.</w:t>
      </w:r>
    </w:p>
    <w:p w14:paraId="000D53B0" w14:textId="12BE7551" w:rsidR="00657035" w:rsidRDefault="00657035" w:rsidP="00EF2FE7">
      <w:pPr>
        <w:pStyle w:val="ParaLevel1"/>
        <w:numPr>
          <w:ilvl w:val="0"/>
          <w:numId w:val="0"/>
        </w:numPr>
        <w:ind w:left="1134"/>
      </w:pPr>
      <w:r>
        <w:t>JUDGE RUSSEN QC: Just on that point, you say it's zero,</w:t>
      </w:r>
      <w:r w:rsidR="00C45899">
        <w:t xml:space="preserve"> </w:t>
      </w:r>
      <w:r>
        <w:t>Mr Taylor. Is that because, as I read in your principal</w:t>
      </w:r>
      <w:r w:rsidR="00C45899">
        <w:t xml:space="preserve"> </w:t>
      </w:r>
      <w:r>
        <w:t>report, paragraph 4.2.5, that the exercise of reaching</w:t>
      </w:r>
      <w:r w:rsidR="00C45899">
        <w:t xml:space="preserve"> </w:t>
      </w:r>
      <w:r>
        <w:t>market value is:</w:t>
      </w:r>
    </w:p>
    <w:p w14:paraId="7B4B576D" w14:textId="2BF29565" w:rsidR="00657035" w:rsidRDefault="00657035" w:rsidP="00EF2FE7">
      <w:pPr>
        <w:pStyle w:val="ParaLevel1"/>
        <w:numPr>
          <w:ilvl w:val="0"/>
          <w:numId w:val="0"/>
        </w:numPr>
        <w:ind w:left="1548"/>
      </w:pPr>
      <w:r>
        <w:t>"... a hypothetical one which assumes that neither</w:t>
      </w:r>
      <w:r w:rsidR="00C45899">
        <w:t xml:space="preserve"> </w:t>
      </w:r>
      <w:r>
        <w:t>the buyer nor the seller is under any compulsion,</w:t>
      </w:r>
      <w:r w:rsidR="00C45899">
        <w:t xml:space="preserve"> </w:t>
      </w:r>
      <w:r>
        <w:t>transaction is at arm's length [et cetera]. This means</w:t>
      </w:r>
      <w:r w:rsidR="00C45899">
        <w:t xml:space="preserve"> </w:t>
      </w:r>
      <w:r>
        <w:t>that FMV is an impersonal standard of value rather than</w:t>
      </w:r>
      <w:r w:rsidR="00C45899">
        <w:t xml:space="preserve"> </w:t>
      </w:r>
      <w:r>
        <w:t>a personal standard of value."</w:t>
      </w:r>
    </w:p>
    <w:p w14:paraId="042FA2F2" w14:textId="7651F5C2" w:rsidR="00C45899" w:rsidRDefault="00657035" w:rsidP="00EF2FE7">
      <w:pPr>
        <w:pStyle w:val="ParaLevel1"/>
        <w:numPr>
          <w:ilvl w:val="0"/>
          <w:numId w:val="0"/>
        </w:numPr>
        <w:ind w:left="1134"/>
      </w:pPr>
      <w:r>
        <w:t>Tell me if that is a different point, but is that</w:t>
      </w:r>
      <w:r w:rsidR="00C45899" w:rsidRPr="00C45899">
        <w:t xml:space="preserve"> </w:t>
      </w:r>
      <w:r w:rsidR="00C45899">
        <w:t>part of the reason why you say you don't look to the hypothetical willing buyer and assume that buyer's acquiring a majority or --</w:t>
      </w:r>
    </w:p>
    <w:p w14:paraId="327D0EEA" w14:textId="126A409A" w:rsidR="00C45899" w:rsidRDefault="00C45899" w:rsidP="00EF2FE7">
      <w:pPr>
        <w:pStyle w:val="ParaLevel1"/>
        <w:numPr>
          <w:ilvl w:val="0"/>
          <w:numId w:val="0"/>
        </w:numPr>
        <w:ind w:left="1134"/>
      </w:pPr>
      <w:r>
        <w:t>A. No, that's a slightly different point, this would -- being an impersonal standard is -- is taking into account that there are no synergies. So if – when buying a company you could combine them and make savings, then there would be a particular value to you for getting those synergies and so you would be willing to pay more. The control premium is more that if you have control over the whole company you can improve it in some way that would increase the value of the company. So you would be willing to pay more because you think if you control it you can do better than it's doing at the market -- at the multiple of the -- of the market price, yes.</w:t>
      </w:r>
    </w:p>
    <w:p w14:paraId="02E2AA7B" w14:textId="2781E12D" w:rsidR="00C45899" w:rsidRDefault="00C45899" w:rsidP="00EF2FE7">
      <w:pPr>
        <w:pStyle w:val="ParaLevel1"/>
        <w:numPr>
          <w:ilvl w:val="0"/>
          <w:numId w:val="0"/>
        </w:numPr>
        <w:ind w:left="1134"/>
      </w:pPr>
      <w:r>
        <w:t>JUDGE RUSSEN QC: Thank you. Yes, thank you, I interrupted you, Mr Leiper.</w:t>
      </w:r>
    </w:p>
    <w:p w14:paraId="622F0D64" w14:textId="77777777" w:rsidR="00C45899" w:rsidRDefault="00C45899" w:rsidP="00EF2FE7">
      <w:pPr>
        <w:pStyle w:val="ParaLevel1"/>
        <w:numPr>
          <w:ilvl w:val="0"/>
          <w:numId w:val="0"/>
        </w:numPr>
        <w:ind w:left="1134"/>
      </w:pPr>
      <w:r>
        <w:t>MR LEIPER: Just looking back, if we may, at C/2581, paragraph 3.2.2, you are describing whether or not you take into account synergies. So if when buying a company you'd combine them and make savings, so there would be particular value to you for getting those synergies and so you would be willing to pay more, that's what you are describing in that paragraph, 3.2.2,</w:t>
      </w:r>
      <w:r w:rsidR="00754729">
        <w:t xml:space="preserve"> </w:t>
      </w:r>
      <w:r>
        <w:t>isn't it?</w:t>
      </w:r>
    </w:p>
    <w:p w14:paraId="42219C81" w14:textId="5C08B0D1" w:rsidR="00C45899" w:rsidRDefault="00C45899" w:rsidP="00EF2FE7">
      <w:pPr>
        <w:pStyle w:val="ParaLevel1"/>
        <w:numPr>
          <w:ilvl w:val="0"/>
          <w:numId w:val="0"/>
        </w:numPr>
        <w:ind w:left="1134"/>
      </w:pPr>
      <w:r>
        <w:t>A. Yes.</w:t>
      </w:r>
    </w:p>
    <w:p w14:paraId="5DEB552C" w14:textId="6520D8D1" w:rsidR="00C45899" w:rsidRDefault="00C45899" w:rsidP="00EF2FE7">
      <w:pPr>
        <w:pStyle w:val="ParaLevel1"/>
        <w:numPr>
          <w:ilvl w:val="0"/>
          <w:numId w:val="0"/>
        </w:numPr>
        <w:ind w:left="1134"/>
      </w:pPr>
      <w:r>
        <w:t>Q. And that is what you describe as the principle of control premium?</w:t>
      </w:r>
    </w:p>
    <w:p w14:paraId="282F6389" w14:textId="56D967E0" w:rsidR="00C45899" w:rsidRDefault="00C45899" w:rsidP="00EF2FE7">
      <w:pPr>
        <w:pStyle w:val="ParaLevel1"/>
        <w:numPr>
          <w:ilvl w:val="0"/>
          <w:numId w:val="0"/>
        </w:numPr>
        <w:ind w:left="1134"/>
      </w:pPr>
      <w:r>
        <w:t>A. Yes, yes.</w:t>
      </w:r>
    </w:p>
    <w:p w14:paraId="6E6FF14B" w14:textId="35E30C27" w:rsidR="00C45899" w:rsidRDefault="00C45899" w:rsidP="00EF2FE7">
      <w:pPr>
        <w:pStyle w:val="ParaLevel1"/>
        <w:numPr>
          <w:ilvl w:val="0"/>
          <w:numId w:val="0"/>
        </w:numPr>
        <w:ind w:left="1134"/>
      </w:pPr>
      <w:r>
        <w:t>Q. But in your answer to his Lordship you said that the control premium was different. It's more that if you have control over the whole company you can improve it in some way. So you appear don't you -- just let me finish the question -- you appear, don't you, to be confusing your definitions of control premium?</w:t>
      </w:r>
    </w:p>
    <w:p w14:paraId="1C749353" w14:textId="02B7E213" w:rsidR="00C45899" w:rsidRDefault="00C45899" w:rsidP="00EF2FE7">
      <w:pPr>
        <w:pStyle w:val="ParaLevel1"/>
        <w:numPr>
          <w:ilvl w:val="0"/>
          <w:numId w:val="0"/>
        </w:numPr>
        <w:ind w:left="1134"/>
      </w:pPr>
      <w:r>
        <w:t>A. In the exhibits that I attached and discussed the control premium we can see that there's schools of thought that there are different levels of control premium, one is financial control premium and one is strategic control premium, and we are being a little ambiguous in our language in not explicitly saying which one we're talking about. And they're in my exhibits and there are charts that show them, we can -- I can find a reference and for, my Lord, if that would be helpful. But yes, there are two different aspects of control premium and we have been confusing them a bit.</w:t>
      </w:r>
    </w:p>
    <w:p w14:paraId="7D4B6F4D" w14:textId="76C1CF5B" w:rsidR="00BE7521" w:rsidRDefault="00C45899" w:rsidP="00EF2FE7">
      <w:pPr>
        <w:pStyle w:val="ParaLevel1"/>
        <w:numPr>
          <w:ilvl w:val="0"/>
          <w:numId w:val="0"/>
        </w:numPr>
        <w:ind w:left="1134"/>
      </w:pPr>
      <w:r>
        <w:t>Q. Well, you say "we", you've been very clear in your supplemental report about how you are defining the principle of control premium, haven't you?</w:t>
      </w:r>
    </w:p>
    <w:p w14:paraId="62536D22" w14:textId="7A9EB124" w:rsidR="005C244E" w:rsidRDefault="005C244E" w:rsidP="00EF2FE7">
      <w:pPr>
        <w:pStyle w:val="ParaLevel1"/>
        <w:numPr>
          <w:ilvl w:val="0"/>
          <w:numId w:val="0"/>
        </w:numPr>
        <w:ind w:left="1134"/>
      </w:pPr>
      <w:r>
        <w:t xml:space="preserve">A. I have taken the view that there is no control premium and that is putting both of them together. </w:t>
      </w:r>
    </w:p>
    <w:p w14:paraId="1092A822" w14:textId="2EC01939" w:rsidR="005C244E" w:rsidRDefault="005C244E" w:rsidP="00EF2FE7">
      <w:pPr>
        <w:pStyle w:val="ParaLevel1"/>
        <w:numPr>
          <w:ilvl w:val="0"/>
          <w:numId w:val="0"/>
        </w:numPr>
        <w:ind w:left="1134"/>
      </w:pPr>
      <w:r>
        <w:t>Q. You have been -- if I may repeat the question – you have been very clear in your definition of control premium for the purposes of your supplemental report in paragraph 3.2.2, haven't you?</w:t>
      </w:r>
    </w:p>
    <w:p w14:paraId="0966CEB1" w14:textId="23EBEAE2" w:rsidR="005C244E" w:rsidRDefault="005C244E" w:rsidP="00EF2FE7">
      <w:pPr>
        <w:pStyle w:val="ParaLevel1"/>
        <w:numPr>
          <w:ilvl w:val="0"/>
          <w:numId w:val="0"/>
        </w:numPr>
        <w:ind w:left="1134"/>
      </w:pPr>
      <w:r>
        <w:t>A. I think, no, it's -- it's usually by operating the company in a more efficient manner or by benefiting from synergies, and then when a buyer perceives that a company's profit is not being maximised, I'd say that definition now of control premium is -- is the two effectively put together in what I am now apologising for being a slightly ambiguous way when we could have gone deeper into the theory of control premium and split them out.</w:t>
      </w:r>
    </w:p>
    <w:p w14:paraId="043CCF99" w14:textId="20A33521" w:rsidR="005C244E" w:rsidRDefault="005C244E" w:rsidP="00EF2FE7">
      <w:pPr>
        <w:pStyle w:val="ParaLevel1"/>
        <w:numPr>
          <w:ilvl w:val="0"/>
          <w:numId w:val="0"/>
        </w:numPr>
        <w:ind w:left="1134"/>
      </w:pPr>
      <w:r>
        <w:t>Q. I am not going to go over your earlier answers, let's move on.  ………”</w:t>
      </w:r>
    </w:p>
    <w:p w14:paraId="3039FE84" w14:textId="77777777" w:rsidR="005C244E" w:rsidRDefault="005C244E" w:rsidP="00EF2FE7">
      <w:pPr>
        <w:pStyle w:val="ParaLevel1"/>
        <w:numPr>
          <w:ilvl w:val="0"/>
          <w:numId w:val="0"/>
        </w:numPr>
        <w:ind w:left="1134"/>
      </w:pPr>
    </w:p>
    <w:p w14:paraId="7A418115" w14:textId="6DB6F930" w:rsidR="00244379" w:rsidRDefault="00244379" w:rsidP="00EF2FE7">
      <w:pPr>
        <w:pStyle w:val="ParaLevel1"/>
      </w:pPr>
      <w:r w:rsidRPr="00244379">
        <w:t xml:space="preserve">Mr Taylor’s answers about strategic control </w:t>
      </w:r>
      <w:r w:rsidR="00F34654">
        <w:t xml:space="preserve">acquired by </w:t>
      </w:r>
      <w:r w:rsidRPr="00244379">
        <w:t>the buyer provide some support for the application of a Control Premium to reflect the more general advantages to a buyer acquiring strategic control over the direction of the business.</w:t>
      </w:r>
      <w:r w:rsidR="00EC195B">
        <w:t xml:space="preserve">  </w:t>
      </w:r>
      <w:r w:rsidR="00EC3E29">
        <w:t xml:space="preserve">Although Mr Skeels had applied it in reaching his EBITDA multiples for the Comparable Companies, </w:t>
      </w:r>
      <w:r w:rsidR="00EC195B">
        <w:t>I note that the LIM (</w:t>
      </w:r>
      <w:r w:rsidR="009470DE" w:rsidRPr="009470DE">
        <w:t xml:space="preserve">Section 1A </w:t>
      </w:r>
      <w:r w:rsidR="009470DE">
        <w:t xml:space="preserve">: </w:t>
      </w:r>
      <w:r w:rsidR="00EC195B">
        <w:t>“Investment Case”</w:t>
      </w:r>
      <w:r w:rsidR="009470DE">
        <w:t xml:space="preserve"> and Section E: “Commercial”</w:t>
      </w:r>
      <w:r w:rsidR="00EC195B">
        <w:t>) and the minute of the meeting of the Livingbridge Investment Committee on 11 November 2014, at which final approval to proceed with the Transaction was given, indicate that Livingbridge considered there to be some advantages to the business in the Company acquiring strategic control</w:t>
      </w:r>
      <w:r w:rsidR="009470DE">
        <w:t xml:space="preserve"> of it</w:t>
      </w:r>
      <w:r w:rsidR="00EC195B">
        <w:t xml:space="preserve">. </w:t>
      </w:r>
    </w:p>
    <w:p w14:paraId="034DFCFA" w14:textId="45551844" w:rsidR="00244379" w:rsidRDefault="00244379" w:rsidP="00EF2FE7">
      <w:pPr>
        <w:pStyle w:val="ParaLevel1"/>
      </w:pPr>
      <w:r w:rsidRPr="00244379">
        <w:t xml:space="preserve">When BDO </w:t>
      </w:r>
      <w:r>
        <w:t xml:space="preserve">LLP </w:t>
      </w:r>
      <w:r w:rsidRPr="00244379">
        <w:t xml:space="preserve">prepared a Report dated 25 April 2016 for the Company, headed “Valuation of Minority C Shares”, they made the point that they had not been appointed as independent expert valuers under the Articles and that </w:t>
      </w:r>
      <w:r w:rsidRPr="00244379">
        <w:rPr>
          <w:i/>
          <w:iCs/>
        </w:rPr>
        <w:t>“[P]ro-rata valuations will lead to a higher valuation of minority shareholdings because, in assuming that a hypothetical third party acquirer is purchasing the entirety of the business it is assumed that a premium would be payable for control and liquidity</w:t>
      </w:r>
      <w:r w:rsidRPr="00244379">
        <w:t>.” BDO explained that when looking at the EBITDA multiples of comparable quoted companies, where those “</w:t>
      </w:r>
      <w:r w:rsidRPr="00244379">
        <w:rPr>
          <w:i/>
          <w:iCs/>
        </w:rPr>
        <w:t>multiples reflect a minority position, we have adjusted our analysis to include a bid premium of 30%, on the assumption that in a buy-out of the business, a purchaser would pay a premium to acquire control.</w:t>
      </w:r>
      <w:r w:rsidRPr="00244379">
        <w:t xml:space="preserve">”  </w:t>
      </w:r>
      <w:r w:rsidR="008401E6">
        <w:t xml:space="preserve">Like Mr Skeels, BDO applied the premium in their analysis </w:t>
      </w:r>
      <w:r w:rsidR="00636D5C">
        <w:t>of their comparable companies.  Their approach</w:t>
      </w:r>
      <w:r w:rsidRPr="00244379">
        <w:t xml:space="preserve"> lends </w:t>
      </w:r>
      <w:r>
        <w:t xml:space="preserve">further </w:t>
      </w:r>
      <w:r w:rsidRPr="00244379">
        <w:t xml:space="preserve">credibility to Mr Skeels’ </w:t>
      </w:r>
      <w:r>
        <w:t xml:space="preserve">inclusion of </w:t>
      </w:r>
      <w:r w:rsidRPr="00244379">
        <w:t>Control Premium.  By a Note dated 27 May 2016, Alix Partners commen</w:t>
      </w:r>
      <w:r w:rsidR="00EC3786">
        <w:t>t</w:t>
      </w:r>
      <w:r w:rsidRPr="00244379">
        <w:t>ed upon that report.  They noted that “</w:t>
      </w:r>
      <w:r w:rsidRPr="007B1BB4">
        <w:rPr>
          <w:i/>
          <w:iCs/>
        </w:rPr>
        <w:t>[C]</w:t>
      </w:r>
      <w:r w:rsidRPr="000F7C42">
        <w:rPr>
          <w:i/>
          <w:iCs/>
        </w:rPr>
        <w:t>ontrol premiums are an area of debate in the valuation community</w:t>
      </w:r>
      <w:r w:rsidRPr="00244379">
        <w:t>” and that BDO had applied one of 30% but did not criticise the percentage adopted</w:t>
      </w:r>
      <w:r w:rsidR="00781693">
        <w:t>.</w:t>
      </w:r>
    </w:p>
    <w:p w14:paraId="56231E2D" w14:textId="176F7252" w:rsidR="00693090" w:rsidRDefault="00693090" w:rsidP="00EF2FE7">
      <w:pPr>
        <w:pStyle w:val="ParaLevel1"/>
      </w:pPr>
      <w:r>
        <w:t>The fact that BDO used the same percentage</w:t>
      </w:r>
      <w:r w:rsidR="00244379">
        <w:t>, and Mr Skeels’ reference to his firm recognising a range of 25% to 40% for Control Premium,</w:t>
      </w:r>
      <w:r>
        <w:t xml:space="preserve"> indicates to me that a Control Premium of 30% </w:t>
      </w:r>
      <w:r w:rsidR="00244379">
        <w:t>wa</w:t>
      </w:r>
      <w:r w:rsidR="00E04B5A">
        <w:t>s</w:t>
      </w:r>
      <w:r>
        <w:t xml:space="preserve"> a reasonable one</w:t>
      </w:r>
      <w:r w:rsidR="00E04B5A">
        <w:t xml:space="preserve"> for </w:t>
      </w:r>
      <w:r w:rsidR="00244379">
        <w:t xml:space="preserve">him </w:t>
      </w:r>
      <w:r w:rsidR="00E04B5A">
        <w:t>to adopt</w:t>
      </w:r>
      <w:r>
        <w:t>.</w:t>
      </w:r>
    </w:p>
    <w:p w14:paraId="4A9F5F5E" w14:textId="77777777" w:rsidR="002B18FA" w:rsidRDefault="00453C48" w:rsidP="00EF2FE7">
      <w:pPr>
        <w:pStyle w:val="ParaLevel1"/>
      </w:pPr>
      <w:r>
        <w:t xml:space="preserve">Aside from the DLOM and Control Premium, Mr Skeels had made what he accepted in cross-examination were largely subjective adjustments </w:t>
      </w:r>
      <w:r w:rsidR="00412E85">
        <w:t xml:space="preserve">to take account of such factors as </w:t>
      </w:r>
      <w:r w:rsidR="00E52C5A">
        <w:t>size, diversity of operations and other specific issues relevant to the Comparable Companies.</w:t>
      </w:r>
      <w:r w:rsidR="002B18FA">
        <w:t xml:space="preserve">  Looking at what BDO had done in April 2016, Alix Partners said: </w:t>
      </w:r>
    </w:p>
    <w:p w14:paraId="665112C7" w14:textId="27DC546B" w:rsidR="00453C48" w:rsidRPr="002B18FA" w:rsidRDefault="002B18FA" w:rsidP="00EF2FE7">
      <w:pPr>
        <w:pStyle w:val="ParaLevel1"/>
        <w:numPr>
          <w:ilvl w:val="0"/>
          <w:numId w:val="0"/>
        </w:numPr>
        <w:ind w:left="1134"/>
        <w:rPr>
          <w:i/>
          <w:iCs/>
        </w:rPr>
      </w:pPr>
      <w:r w:rsidRPr="002B18FA">
        <w:rPr>
          <w:i/>
          <w:iCs/>
        </w:rPr>
        <w:t xml:space="preserve">“[G]enerally, we would prefer not to discount multiples by completely subjective amounts – it makes a mockery of conducting the comparable company exercise. It is sometimes necessary where there are limited comparables or a proxy sector has to be used but in a contentious situation this approach would be attacked. Moreover, if the adjustment is significant, and 25% is, it starts to suggest a lack of real comparability anyway. A preferred approach is to identify different potential forecasts.” </w:t>
      </w:r>
    </w:p>
    <w:p w14:paraId="5F059ACF" w14:textId="359FD043" w:rsidR="004A7A8E" w:rsidRDefault="008A1BBC" w:rsidP="00EF2FE7">
      <w:pPr>
        <w:pStyle w:val="ParaLevel1"/>
      </w:pPr>
      <w:r>
        <w:t>This was put to Mr Skeels in cross-examination</w:t>
      </w:r>
      <w:r w:rsidR="008E1E56">
        <w:t>.  He did not agree with it</w:t>
      </w:r>
      <w:r w:rsidR="00824B2C">
        <w:t xml:space="preserve">.  He said </w:t>
      </w:r>
      <w:r w:rsidR="00824B2C" w:rsidRPr="007C4747">
        <w:rPr>
          <w:i/>
          <w:iCs/>
        </w:rPr>
        <w:t xml:space="preserve">“[I]t’s </w:t>
      </w:r>
      <w:r w:rsidR="00C04362" w:rsidRPr="007C4747">
        <w:rPr>
          <w:i/>
          <w:iCs/>
        </w:rPr>
        <w:t xml:space="preserve">general accepted practice in the market to is [sic] to </w:t>
      </w:r>
      <w:r w:rsidR="00316CFF" w:rsidRPr="007C4747">
        <w:rPr>
          <w:i/>
          <w:iCs/>
        </w:rPr>
        <w:t>use comparable data set to which there are subjective adjustments made.</w:t>
      </w:r>
      <w:r w:rsidR="00316CFF">
        <w:t xml:space="preserve">”  </w:t>
      </w:r>
      <w:r w:rsidR="00C17489">
        <w:t>He said the adjustments could often be of a significant amount, say 25</w:t>
      </w:r>
      <w:r w:rsidR="00131F64">
        <w:t xml:space="preserve">% to 40%.  When </w:t>
      </w:r>
      <w:r w:rsidR="00AF4DA4">
        <w:t xml:space="preserve">it was suggested to him that the </w:t>
      </w:r>
      <w:r w:rsidR="00F11823">
        <w:t xml:space="preserve">IPS </w:t>
      </w:r>
      <w:r w:rsidR="00852266">
        <w:t xml:space="preserve">was an immature business with a turnover of approximately £6m </w:t>
      </w:r>
      <w:r w:rsidR="00C148D7">
        <w:t xml:space="preserve">and could not properly be compared with any of the companies listed in his Table 5.2, Mr Skeels </w:t>
      </w:r>
      <w:r w:rsidR="00554599">
        <w:t xml:space="preserve">agreed and said </w:t>
      </w:r>
      <w:r w:rsidR="006E1AC0">
        <w:t>“</w:t>
      </w:r>
      <w:r w:rsidR="006E1AC0" w:rsidRPr="00DF2B4F">
        <w:rPr>
          <w:i/>
          <w:iCs/>
        </w:rPr>
        <w:t xml:space="preserve">to </w:t>
      </w:r>
      <w:r w:rsidR="00DF2B4F" w:rsidRPr="00DF2B4F">
        <w:rPr>
          <w:i/>
          <w:iCs/>
        </w:rPr>
        <w:t>become a listed company, which is what comparable companies are, you won't get listed if you are as small as our company was and they would always be bigger</w:t>
      </w:r>
      <w:r w:rsidR="00DF2B4F">
        <w:t xml:space="preserve">.”  </w:t>
      </w:r>
      <w:r w:rsidR="00ED18AE">
        <w:t xml:space="preserve">He said </w:t>
      </w:r>
      <w:r w:rsidR="00CD5CCA">
        <w:t xml:space="preserve">that it was relevant to look at </w:t>
      </w:r>
      <w:r w:rsidR="008D653A">
        <w:t>other companies</w:t>
      </w:r>
      <w:r w:rsidR="00E76DD9">
        <w:t xml:space="preserve">, large and small, for the purpose of </w:t>
      </w:r>
      <w:r w:rsidR="00257988">
        <w:t xml:space="preserve">establishing the market view of the sector, provided an appropriate adjustment is made </w:t>
      </w:r>
      <w:r w:rsidR="00A92261">
        <w:t>for the difference in size.</w:t>
      </w:r>
    </w:p>
    <w:p w14:paraId="7281BBD8" w14:textId="025B1AF0" w:rsidR="002B18FA" w:rsidRDefault="002B18FA" w:rsidP="00EF2FE7">
      <w:pPr>
        <w:pStyle w:val="ParaLevel1"/>
        <w:numPr>
          <w:ilvl w:val="0"/>
          <w:numId w:val="0"/>
        </w:numPr>
        <w:ind w:left="720"/>
      </w:pPr>
    </w:p>
    <w:p w14:paraId="040A8161" w14:textId="40376892" w:rsidR="004A7A8E" w:rsidRPr="004A7A8E" w:rsidRDefault="004A7A8E" w:rsidP="00EF2FE7">
      <w:pPr>
        <w:pStyle w:val="ParaLevel1"/>
        <w:numPr>
          <w:ilvl w:val="0"/>
          <w:numId w:val="0"/>
        </w:numPr>
        <w:ind w:left="720"/>
        <w:rPr>
          <w:u w:val="single"/>
        </w:rPr>
      </w:pPr>
      <w:r w:rsidRPr="004A7A8E">
        <w:rPr>
          <w:u w:val="single"/>
        </w:rPr>
        <w:t>Comparable Transactions</w:t>
      </w:r>
    </w:p>
    <w:p w14:paraId="08C617CB" w14:textId="799E56BD" w:rsidR="003B1877" w:rsidRDefault="00453C48" w:rsidP="00EF2FE7">
      <w:pPr>
        <w:pStyle w:val="ParaLevel1"/>
      </w:pPr>
      <w:r>
        <w:t>Mr Skeels</w:t>
      </w:r>
      <w:r w:rsidR="0079398A">
        <w:t>’</w:t>
      </w:r>
      <w:r>
        <w:t xml:space="preserve"> further reliance upon what he said were Comparable Transactions, in order to provide a range of EBITDA multipliers for the First Valuation Date, was also criticised on the basis that the transactions identified by him were not in fact comparable.  Mr Tozzi </w:t>
      </w:r>
      <w:r w:rsidR="00900C39">
        <w:t xml:space="preserve">QC </w:t>
      </w:r>
      <w:r>
        <w:t>challenged those relied upon by Mr Skeel</w:t>
      </w:r>
      <w:r w:rsidR="005E21CC">
        <w:t>s</w:t>
      </w:r>
      <w:r>
        <w:t xml:space="preserve"> both by reference to the nature of the business carried on by the relevant company which was the subject matter of the transaction and the significantly greater EV of th</w:t>
      </w:r>
      <w:r w:rsidR="0000183D">
        <w:t>at</w:t>
      </w:r>
      <w:r>
        <w:t xml:space="preserve"> business. </w:t>
      </w:r>
    </w:p>
    <w:p w14:paraId="05DDC2E5" w14:textId="4E3833D1" w:rsidR="00F34654" w:rsidRDefault="00945AF3" w:rsidP="00EF2FE7">
      <w:pPr>
        <w:pStyle w:val="ParaLevel1"/>
      </w:pPr>
      <w:r>
        <w:t xml:space="preserve">The experts summarised their differences </w:t>
      </w:r>
      <w:r w:rsidR="00F635B9">
        <w:t>over the selection of Comparable Transactions</w:t>
      </w:r>
      <w:r w:rsidR="00700F5F">
        <w:t>, for the purposes of the First Valuation Date,</w:t>
      </w:r>
      <w:r w:rsidR="00F635B9">
        <w:t xml:space="preserve"> </w:t>
      </w:r>
      <w:r w:rsidR="00700F5F">
        <w:t>at</w:t>
      </w:r>
      <w:r w:rsidR="00F635B9">
        <w:t xml:space="preserve"> paragraph 4.9</w:t>
      </w:r>
      <w:r w:rsidR="00700F5F">
        <w:t xml:space="preserve"> of their Joint Statement (and, less significantly given that they were used by Mr Skeels only as a cross-check, at </w:t>
      </w:r>
      <w:r w:rsidR="00B21ABD">
        <w:t xml:space="preserve">paragraph 4.15 in relation to the Second Valuation Date). </w:t>
      </w:r>
      <w:r w:rsidR="006E0369">
        <w:t>T</w:t>
      </w:r>
      <w:r w:rsidR="00A851B7" w:rsidRPr="00A851B7">
        <w:t>here was limited overlap between those identified by Mr Skeels and those which Mr Taylor would have relied upon if he had adopted Mr Skeels’ basis of valuation</w:t>
      </w:r>
      <w:r w:rsidR="00B21ABD">
        <w:t>.</w:t>
      </w:r>
      <w:r w:rsidR="00DA77AA">
        <w:t xml:space="preserve">  Mr Taylor</w:t>
      </w:r>
      <w:r w:rsidR="005D627D">
        <w:t xml:space="preserve">’s view was that there were no appropriate </w:t>
      </w:r>
      <w:r w:rsidR="00A0531F">
        <w:t>Comparable Transactions as at the First Valuation Date.</w:t>
      </w:r>
    </w:p>
    <w:p w14:paraId="06B0E39F" w14:textId="6326F850" w:rsidR="00794584" w:rsidRDefault="00DE2ECC" w:rsidP="00EF2FE7">
      <w:pPr>
        <w:pStyle w:val="ParaLevel1"/>
      </w:pPr>
      <w:r>
        <w:t>As with the</w:t>
      </w:r>
      <w:r w:rsidR="006A4A6C">
        <w:t xml:space="preserve">ir </w:t>
      </w:r>
      <w:r w:rsidR="00C71081">
        <w:t>search for</w:t>
      </w:r>
      <w:r>
        <w:t xml:space="preserve"> Comparable Companies, th</w:t>
      </w:r>
      <w:r w:rsidR="00C71081">
        <w:t xml:space="preserve">e </w:t>
      </w:r>
      <w:r w:rsidR="009C1A13">
        <w:t xml:space="preserve">difference </w:t>
      </w:r>
      <w:r w:rsidR="00F90728">
        <w:t xml:space="preserve">between them </w:t>
      </w:r>
      <w:r w:rsidR="009C1A13">
        <w:t xml:space="preserve">reflected different search criteria.  Mr Skeels </w:t>
      </w:r>
      <w:r w:rsidR="00CC715A">
        <w:t xml:space="preserve">had </w:t>
      </w:r>
      <w:r w:rsidR="004F32D5">
        <w:t xml:space="preserve">searched for transactions in the industries of (a) internet services and infrastructure; (b) IT consulting and other services; (c) integrated telecommunication services; and (d) wireless telecommunication services.  </w:t>
      </w:r>
      <w:r w:rsidR="009037D5">
        <w:t xml:space="preserve">Mr Taylor had </w:t>
      </w:r>
      <w:r w:rsidR="00CC715A">
        <w:t xml:space="preserve">searched </w:t>
      </w:r>
      <w:r w:rsidR="007066CE">
        <w:t>for the acquisitions of majority stakes in companies operating in the IT or telecommunication services industries</w:t>
      </w:r>
      <w:r w:rsidR="004F0829">
        <w:t>.</w:t>
      </w:r>
      <w:r w:rsidR="00051E9F">
        <w:t xml:space="preserve">  </w:t>
      </w:r>
      <w:r w:rsidR="0088513D">
        <w:t xml:space="preserve">In his Report he </w:t>
      </w:r>
      <w:r w:rsidR="00793057">
        <w:t>al</w:t>
      </w:r>
      <w:r w:rsidR="003153D7">
        <w:t xml:space="preserve">so </w:t>
      </w:r>
      <w:r w:rsidR="00793057">
        <w:t>addressed</w:t>
      </w:r>
      <w:r w:rsidR="0088513D">
        <w:t xml:space="preserve"> 3 comparable transactions which BDO had </w:t>
      </w:r>
      <w:r w:rsidR="00793057">
        <w:t>considered to be comparable transactions but</w:t>
      </w:r>
      <w:r w:rsidR="00D31CD7">
        <w:t xml:space="preserve">, having researched the target companies, concluded that </w:t>
      </w:r>
      <w:r w:rsidR="00B571B2" w:rsidRPr="00794584">
        <w:rPr>
          <w:i/>
          <w:iCs/>
        </w:rPr>
        <w:t>“</w:t>
      </w:r>
      <w:r w:rsidR="00E00B02" w:rsidRPr="00794584">
        <w:rPr>
          <w:i/>
          <w:iCs/>
        </w:rPr>
        <w:t xml:space="preserve">[G]iven the inherent and important differences of these transactions to IPS UK, I do not consider </w:t>
      </w:r>
      <w:r w:rsidR="009B7FEA" w:rsidRPr="00794584">
        <w:rPr>
          <w:i/>
          <w:iCs/>
        </w:rPr>
        <w:t xml:space="preserve">it appropriate to use these multiples to derive a valuation of </w:t>
      </w:r>
      <w:r w:rsidR="004E6ED9" w:rsidRPr="00794584">
        <w:rPr>
          <w:i/>
          <w:iCs/>
        </w:rPr>
        <w:t>IPS UK as at the First Valuation Date.”</w:t>
      </w:r>
    </w:p>
    <w:p w14:paraId="639DA01D" w14:textId="48E6F192" w:rsidR="00C43B1E" w:rsidRDefault="00C43B1E" w:rsidP="00EF2FE7">
      <w:pPr>
        <w:pStyle w:val="ParaLevel1"/>
      </w:pPr>
      <w:r>
        <w:t xml:space="preserve">As with </w:t>
      </w:r>
      <w:r w:rsidR="0000183D">
        <w:t>his selection of Comparable Companies</w:t>
      </w:r>
      <w:r>
        <w:t xml:space="preserve">, </w:t>
      </w:r>
      <w:r w:rsidR="00C97D34">
        <w:t xml:space="preserve">the </w:t>
      </w:r>
      <w:r w:rsidR="00FD172D">
        <w:t xml:space="preserve">issue is one of assessing the reliability of Mr Skeels’ approach.  </w:t>
      </w:r>
      <w:r w:rsidR="00C63041">
        <w:t>M</w:t>
      </w:r>
      <w:r w:rsidR="009B275C">
        <w:t xml:space="preserve">r Taylor did accept in cross-examination that BDO had </w:t>
      </w:r>
      <w:r w:rsidR="0012132B">
        <w:t xml:space="preserve">identified </w:t>
      </w:r>
      <w:r w:rsidR="005D28F8">
        <w:t xml:space="preserve">two transactions upon which Mr Skeels had relied but </w:t>
      </w:r>
      <w:r w:rsidR="00C95487">
        <w:t xml:space="preserve">which he (Mr Taylor) did not consider to be appropriate Comparable Transactions.  In </w:t>
      </w:r>
      <w:r w:rsidR="00EF42D1">
        <w:t xml:space="preserve">including them within their list, BDO had said: </w:t>
      </w:r>
      <w:r w:rsidR="00EF42D1" w:rsidRPr="00EF42D1">
        <w:rPr>
          <w:i/>
          <w:iCs/>
        </w:rPr>
        <w:t>“[W]e have sought to identify transactions in the market where the acquired company is sufficiently comparable to IPS to support a valuation.”</w:t>
      </w:r>
      <w:r w:rsidR="00EF42D1">
        <w:t xml:space="preserve"> Oakley</w:t>
      </w:r>
      <w:r w:rsidR="009161F7">
        <w:t xml:space="preserve"> had also identified one of those</w:t>
      </w:r>
      <w:r w:rsidR="00C0449A">
        <w:t xml:space="preserve"> two as a comparable transaction in their draft Report.</w:t>
      </w:r>
    </w:p>
    <w:p w14:paraId="3FB95C34" w14:textId="3DF31C83" w:rsidR="00EF42D1" w:rsidRDefault="00191938" w:rsidP="00EF2FE7">
      <w:pPr>
        <w:pStyle w:val="ParaLevel1"/>
      </w:pPr>
      <w:r>
        <w:t>When challenged over his selection of Comparable Transactions</w:t>
      </w:r>
      <w:r w:rsidR="00EF42D1">
        <w:t>,</w:t>
      </w:r>
      <w:r>
        <w:t xml:space="preserve"> Mr Skeels said:</w:t>
      </w:r>
      <w:r w:rsidR="00EF42D1">
        <w:t xml:space="preserve"> </w:t>
      </w:r>
    </w:p>
    <w:p w14:paraId="3E14C23B" w14:textId="085A9493" w:rsidR="00191938" w:rsidRPr="00162E31" w:rsidRDefault="00162E31" w:rsidP="00EF2FE7">
      <w:pPr>
        <w:pStyle w:val="ParaLevel1"/>
        <w:numPr>
          <w:ilvl w:val="0"/>
          <w:numId w:val="0"/>
        </w:numPr>
        <w:ind w:left="1134"/>
        <w:rPr>
          <w:i/>
          <w:iCs/>
        </w:rPr>
      </w:pPr>
      <w:r>
        <w:t>“</w:t>
      </w:r>
      <w:r w:rsidR="00191938" w:rsidRPr="00162E31">
        <w:rPr>
          <w:i/>
          <w:iCs/>
        </w:rPr>
        <w:t>Well, it's the same answer as I gave for the companies,</w:t>
      </w:r>
      <w:r w:rsidRPr="00162E31">
        <w:rPr>
          <w:i/>
          <w:iCs/>
        </w:rPr>
        <w:t xml:space="preserve"> </w:t>
      </w:r>
      <w:r w:rsidR="00191938" w:rsidRPr="00162E31">
        <w:rPr>
          <w:i/>
          <w:iCs/>
        </w:rPr>
        <w:t>there's never a direct list of completely and exactly</w:t>
      </w:r>
      <w:r w:rsidRPr="00162E31">
        <w:rPr>
          <w:i/>
          <w:iCs/>
        </w:rPr>
        <w:t xml:space="preserve"> </w:t>
      </w:r>
      <w:r w:rsidR="00191938" w:rsidRPr="00162E31">
        <w:rPr>
          <w:i/>
          <w:iCs/>
        </w:rPr>
        <w:t>comparable transactions, it's the job of the valuer to</w:t>
      </w:r>
      <w:r w:rsidRPr="00162E31">
        <w:rPr>
          <w:i/>
          <w:iCs/>
        </w:rPr>
        <w:t xml:space="preserve"> </w:t>
      </w:r>
      <w:r w:rsidR="00191938" w:rsidRPr="00162E31">
        <w:rPr>
          <w:i/>
          <w:iCs/>
        </w:rPr>
        <w:t>find ones which are comparable enough to be used in the</w:t>
      </w:r>
      <w:r w:rsidRPr="00162E31">
        <w:rPr>
          <w:i/>
          <w:iCs/>
        </w:rPr>
        <w:t xml:space="preserve"> </w:t>
      </w:r>
      <w:r w:rsidR="00191938" w:rsidRPr="00162E31">
        <w:rPr>
          <w:i/>
          <w:iCs/>
        </w:rPr>
        <w:t>exercise and obviously that's a matter of subjective</w:t>
      </w:r>
      <w:r w:rsidRPr="00162E31">
        <w:rPr>
          <w:i/>
          <w:iCs/>
        </w:rPr>
        <w:t xml:space="preserve"> </w:t>
      </w:r>
      <w:r w:rsidR="00191938" w:rsidRPr="00162E31">
        <w:rPr>
          <w:i/>
          <w:iCs/>
        </w:rPr>
        <w:t>judgment.</w:t>
      </w:r>
      <w:r w:rsidRPr="00162E31">
        <w:rPr>
          <w:i/>
          <w:iCs/>
        </w:rPr>
        <w:t>”</w:t>
      </w:r>
    </w:p>
    <w:p w14:paraId="50EA91EA" w14:textId="2FDEA3E4" w:rsidR="00C72AAD" w:rsidRDefault="00C72AAD" w:rsidP="00EF2FE7">
      <w:pPr>
        <w:pStyle w:val="ParaLevel1"/>
      </w:pPr>
      <w:r>
        <w:t xml:space="preserve">As with my conclusion in relation to the Comparable Companies, </w:t>
      </w:r>
      <w:r w:rsidR="00A13DCB">
        <w:t xml:space="preserve">albeit with </w:t>
      </w:r>
      <w:r w:rsidR="001930E8">
        <w:t xml:space="preserve">significantly </w:t>
      </w:r>
      <w:r w:rsidR="00A13DCB">
        <w:t xml:space="preserve">less </w:t>
      </w:r>
      <w:r w:rsidR="00350840">
        <w:t>support from other</w:t>
      </w:r>
      <w:r w:rsidR="004C3E53">
        <w:t xml:space="preserve"> valuers identifying the same ones</w:t>
      </w:r>
      <w:r w:rsidR="00143DA2">
        <w:t xml:space="preserve">, I consider Mr Skeels’ approach to the </w:t>
      </w:r>
      <w:r w:rsidR="001930E8">
        <w:t>selection of Comparable Transaction</w:t>
      </w:r>
      <w:r w:rsidR="00ED696E">
        <w:t>s</w:t>
      </w:r>
      <w:r w:rsidR="00350840">
        <w:t xml:space="preserve"> </w:t>
      </w:r>
      <w:r w:rsidR="004C3E53">
        <w:t>to be a valid one.</w:t>
      </w:r>
    </w:p>
    <w:p w14:paraId="69D0461E" w14:textId="77777777" w:rsidR="00B21EDC" w:rsidRDefault="00B21EDC" w:rsidP="00EF2FE7">
      <w:pPr>
        <w:pStyle w:val="ParaLevel1"/>
        <w:numPr>
          <w:ilvl w:val="0"/>
          <w:numId w:val="0"/>
        </w:numPr>
        <w:ind w:left="720"/>
        <w:rPr>
          <w:u w:val="single"/>
        </w:rPr>
      </w:pPr>
    </w:p>
    <w:p w14:paraId="4F4A3C93" w14:textId="096B05F5" w:rsidR="00453C48" w:rsidRPr="00AD4555" w:rsidRDefault="003B1877" w:rsidP="00EF2FE7">
      <w:pPr>
        <w:pStyle w:val="ParaLevel1"/>
        <w:numPr>
          <w:ilvl w:val="0"/>
          <w:numId w:val="0"/>
        </w:numPr>
        <w:ind w:left="720"/>
        <w:rPr>
          <w:u w:val="single"/>
        </w:rPr>
      </w:pPr>
      <w:r w:rsidRPr="00AD4555">
        <w:rPr>
          <w:u w:val="single"/>
        </w:rPr>
        <w:t xml:space="preserve">EBITDA for the First Valuation Date </w:t>
      </w:r>
      <w:r w:rsidR="00453C48" w:rsidRPr="00AD4555">
        <w:rPr>
          <w:u w:val="single"/>
        </w:rPr>
        <w:t xml:space="preserve"> </w:t>
      </w:r>
    </w:p>
    <w:p w14:paraId="14938BC0" w14:textId="13B65624" w:rsidR="00CC186A" w:rsidRDefault="00097B22" w:rsidP="00EF2FE7">
      <w:pPr>
        <w:pStyle w:val="ParaLevel1"/>
      </w:pPr>
      <w:r>
        <w:t xml:space="preserve">As appears from the table in paragraph </w:t>
      </w:r>
      <w:r w:rsidR="001F135E">
        <w:t>20</w:t>
      </w:r>
      <w:r w:rsidR="005E0A56">
        <w:t>7</w:t>
      </w:r>
      <w:r>
        <w:t xml:space="preserve"> above, the experts were agreed that an </w:t>
      </w:r>
      <w:r w:rsidR="00AD4555">
        <w:t>EBITDA of £1</w:t>
      </w:r>
      <w:r>
        <w:t>.1</w:t>
      </w:r>
      <w:r w:rsidR="00AD4555">
        <w:t xml:space="preserve">m </w:t>
      </w:r>
      <w:r w:rsidR="001C4005">
        <w:t>was appropriate for the First Valuation Date, though</w:t>
      </w:r>
      <w:r w:rsidR="007877F6">
        <w:t xml:space="preserve"> for his low end valuation Mr Taylor had used an EBITDA of £1m. </w:t>
      </w:r>
      <w:r w:rsidR="008212DA">
        <w:t xml:space="preserve"> </w:t>
      </w:r>
      <w:r w:rsidR="004731F2">
        <w:t xml:space="preserve">He took this from the </w:t>
      </w:r>
      <w:r w:rsidR="004731F2" w:rsidRPr="004731F2">
        <w:t xml:space="preserve">CIL Report dated 14 November 2014 </w:t>
      </w:r>
      <w:r w:rsidR="004731F2">
        <w:t xml:space="preserve">which </w:t>
      </w:r>
      <w:r w:rsidR="00423D58">
        <w:t xml:space="preserve">used an EBITDA of £1m for 2015.  </w:t>
      </w:r>
      <w:r w:rsidR="008212DA">
        <w:t xml:space="preserve">Although </w:t>
      </w:r>
      <w:r w:rsidR="0015316A">
        <w:t xml:space="preserve">he recognised that </w:t>
      </w:r>
      <w:r w:rsidR="0068404F">
        <w:t>the £1.1m figure that he and Mr Skeels had agreed upon was “</w:t>
      </w:r>
      <w:r w:rsidR="0068404F" w:rsidRPr="0068404F">
        <w:rPr>
          <w:i/>
          <w:iCs/>
        </w:rPr>
        <w:t>a good figure</w:t>
      </w:r>
      <w:r w:rsidR="0068404F">
        <w:t>”</w:t>
      </w:r>
      <w:r w:rsidR="000D53C9">
        <w:t xml:space="preserve"> (it was </w:t>
      </w:r>
      <w:r w:rsidR="00C80164">
        <w:t xml:space="preserve">the one adopted by Baker Tilly </w:t>
      </w:r>
      <w:r w:rsidR="007C4A9E">
        <w:t>for 2014 i</w:t>
      </w:r>
      <w:r w:rsidR="00C80164">
        <w:t>n their Due Diligence Report dated 20 November 2014)</w:t>
      </w:r>
      <w:r w:rsidR="0068404F">
        <w:t xml:space="preserve"> he said that</w:t>
      </w:r>
      <w:r w:rsidR="00CC186A">
        <w:t xml:space="preserve">, if available, the CIL </w:t>
      </w:r>
      <w:r w:rsidR="00A74BB2">
        <w:t>Report</w:t>
      </w:r>
      <w:r w:rsidR="00CC186A">
        <w:t xml:space="preserve"> would inform the view of a potential purchaser.</w:t>
      </w:r>
    </w:p>
    <w:p w14:paraId="69F368C7" w14:textId="68144115" w:rsidR="00453C48" w:rsidRDefault="006245F5" w:rsidP="00EF2FE7">
      <w:pPr>
        <w:pStyle w:val="ParaLevel1"/>
      </w:pPr>
      <w:r>
        <w:t xml:space="preserve">In cross-examination, Mr Taylor was asked why a prospective purchaser would not </w:t>
      </w:r>
      <w:r w:rsidR="00CC1AF7">
        <w:t xml:space="preserve">also be informed by CIL’s </w:t>
      </w:r>
      <w:r w:rsidR="00556A78">
        <w:t xml:space="preserve">EBITDA </w:t>
      </w:r>
      <w:r w:rsidR="00CC1AF7">
        <w:t>figures for 2014 (</w:t>
      </w:r>
      <w:r w:rsidR="00D3265C">
        <w:t>£1.2m) and 2016 (£1.6m)</w:t>
      </w:r>
      <w:r w:rsidR="002B1C89">
        <w:t xml:space="preserve"> and why </w:t>
      </w:r>
      <w:r w:rsidR="00556A78">
        <w:t xml:space="preserve">the Baker Tilly and CIL figures for </w:t>
      </w:r>
      <w:r w:rsidR="001E1ADD">
        <w:t>2014 should not be averaged out.  Mr Taylor’s response was “</w:t>
      </w:r>
      <w:r w:rsidR="001E1ADD" w:rsidRPr="00F12FB8">
        <w:rPr>
          <w:i/>
          <w:iCs/>
        </w:rPr>
        <w:t>I think the range could have been 1 to 1.2</w:t>
      </w:r>
      <w:r w:rsidR="001E1ADD">
        <w:t>”.</w:t>
      </w:r>
    </w:p>
    <w:p w14:paraId="6C11B711" w14:textId="5D6246D3" w:rsidR="00F12FB8" w:rsidRDefault="00F12FB8" w:rsidP="00EF2FE7">
      <w:pPr>
        <w:pStyle w:val="ParaLevel1"/>
      </w:pPr>
      <w:r>
        <w:t xml:space="preserve">In my judgment, this confirms the correctness of the £1.1m </w:t>
      </w:r>
      <w:r w:rsidR="001D7CFA">
        <w:t>EBITDA figure on which the experts were otherwise agreed.</w:t>
      </w:r>
    </w:p>
    <w:p w14:paraId="372A677F" w14:textId="0E13DCB0" w:rsidR="00CB2E2D" w:rsidRDefault="000509D2" w:rsidP="00EF2FE7">
      <w:pPr>
        <w:pStyle w:val="ParaLevel1"/>
        <w:numPr>
          <w:ilvl w:val="0"/>
          <w:numId w:val="0"/>
        </w:numPr>
        <w:ind w:left="1134"/>
      </w:pPr>
      <w:r w:rsidRPr="000509D2">
        <w:t xml:space="preserve">  </w:t>
      </w:r>
    </w:p>
    <w:p w14:paraId="2B05FF1D" w14:textId="183EEECB" w:rsidR="004A7A8E" w:rsidRPr="004A7A8E" w:rsidRDefault="004A7A8E" w:rsidP="00EF2FE7">
      <w:pPr>
        <w:pStyle w:val="ParaLevel1"/>
        <w:numPr>
          <w:ilvl w:val="0"/>
          <w:numId w:val="0"/>
        </w:numPr>
        <w:ind w:left="1287" w:hanging="720"/>
        <w:rPr>
          <w:u w:val="single"/>
        </w:rPr>
      </w:pPr>
      <w:r w:rsidRPr="004A7A8E">
        <w:rPr>
          <w:u w:val="single"/>
        </w:rPr>
        <w:t>EBITDA multiple implied by the Transaction</w:t>
      </w:r>
    </w:p>
    <w:p w14:paraId="579404D8" w14:textId="0090627B" w:rsidR="00CB2E2D" w:rsidRDefault="00EF6A31" w:rsidP="00EF2FE7">
      <w:pPr>
        <w:pStyle w:val="ParaLevel1"/>
      </w:pPr>
      <w:r>
        <w:t>Mr Taylor said the Transaction implied an EBITDA multiple of 4.0x if the EBITDA was taken to be £1.2m or 5.3x if the EBITDA was £0.9m.  This was on the basis that the Transaction indicated that IPS UK had an EV of approximately £4.9m at the First Valuation Date.</w:t>
      </w:r>
      <w:r w:rsidR="0075366C">
        <w:t xml:space="preserve">  He also referred to the LIM (which was dated 7 November 2014) which, he said, showed that Livingbridge had valued IPS UK at £5.7m based on an EBITDA multiple of 4.7x (using a forecast EBITDA of £1.2m) and 5.3x (using an EBITDA of £0.9m) which Knight had used in their Information Memorandum of March 2014.</w:t>
      </w:r>
    </w:p>
    <w:p w14:paraId="55191EE4" w14:textId="47094B87" w:rsidR="00535E60" w:rsidRDefault="00535E60" w:rsidP="00EF2FE7">
      <w:pPr>
        <w:pStyle w:val="ParaLevel1"/>
      </w:pPr>
      <w:r>
        <w:t xml:space="preserve">Mr Taylor took his £4.9m </w:t>
      </w:r>
      <w:r w:rsidR="00397AC3">
        <w:t>figure from the cash consideration of £4</w:t>
      </w:r>
      <w:r w:rsidR="00732311">
        <w:t>.</w:t>
      </w:r>
      <w:r w:rsidR="00397AC3">
        <w:t xml:space="preserve">7m odd which Livingbridge had paid under the Transaction and the £195,000 retained for the subscription of shares in the Company by the Claimants and Mr Lindsell.  </w:t>
      </w:r>
      <w:r w:rsidR="0015642F">
        <w:t xml:space="preserve">In fact, as Mr Taylor recognised in cross-examination, it was the Company which purchased the shares in IPS UK (using the monies provided by the Livingbridge Investors). </w:t>
      </w:r>
      <w:r w:rsidR="00397AC3">
        <w:t xml:space="preserve">The </w:t>
      </w:r>
      <w:r w:rsidR="0015642F">
        <w:t>3</w:t>
      </w:r>
      <w:r w:rsidR="00397AC3">
        <w:t>5% equity stake in the Company which Livingbridge acquired had “</w:t>
      </w:r>
      <w:r w:rsidR="00397AC3" w:rsidRPr="0015642F">
        <w:rPr>
          <w:i/>
          <w:iCs/>
        </w:rPr>
        <w:t>minimal or nil equity value</w:t>
      </w:r>
      <w:r w:rsidR="00397AC3">
        <w:t xml:space="preserve">”. </w:t>
      </w:r>
    </w:p>
    <w:p w14:paraId="2F36AD31" w14:textId="06D4D86D" w:rsidR="00397AC3" w:rsidRDefault="00732311" w:rsidP="00EF2FE7">
      <w:pPr>
        <w:pStyle w:val="ParaLevel1"/>
      </w:pPr>
      <w:r w:rsidRPr="00732311">
        <w:t xml:space="preserve">Mr Skeels </w:t>
      </w:r>
      <w:r>
        <w:t>took a fundamentally different view of the amount invested by Livin</w:t>
      </w:r>
      <w:r w:rsidR="00826BF8">
        <w:t>g</w:t>
      </w:r>
      <w:r>
        <w:t>bridge under the Transaction.  He said that, in addition to the cash of £4.</w:t>
      </w:r>
      <w:r w:rsidR="002048B7">
        <w:t>7</w:t>
      </w:r>
      <w:r>
        <w:t>m and the £195,000 for the subscription of the C and D Shares, Livingbridge had</w:t>
      </w:r>
      <w:r w:rsidR="002048B7">
        <w:t xml:space="preserve"> also</w:t>
      </w:r>
      <w:r>
        <w:t xml:space="preserve"> invested £105,000 in A Shares, £480,000 in B Shares and £5.2m in the form of loan stock issued by the Company: an additional £5.7m.  The cash sum having been paid to the shareholders of IPS UK, he described the £5.7m as the entry value of the Company.  On the basis that the Claimants acquired 60% of </w:t>
      </w:r>
      <w:r w:rsidR="002048B7">
        <w:t xml:space="preserve">the Company with that entry value (i.e. £3.4m) and received approximately £4.6m of the cash it could </w:t>
      </w:r>
      <w:r w:rsidR="00153CC9">
        <w:t xml:space="preserve">therefore </w:t>
      </w:r>
      <w:r w:rsidR="002048B7">
        <w:t>be said that they had received £8m for their combined 85.9% shareholding in IPS UK.  This would indicate that the value of IPS UK (100% of its equity) was £9.4m.  Accordingly, based on an EBITDA of £1.1m, the Transaction gave an implied multiple on the range of 8.2x.</w:t>
      </w:r>
      <w:r w:rsidR="00650CBB">
        <w:t xml:space="preserve">  As </w:t>
      </w:r>
      <w:r w:rsidR="00397AC3" w:rsidRPr="00397AC3">
        <w:t>noted above, Mr Skeels was criticised by the Firm for not referring to the LIM.  He said it was not relevant</w:t>
      </w:r>
      <w:r w:rsidR="002636D0">
        <w:t>, having dealt with the implied value of the Transaction in his report</w:t>
      </w:r>
      <w:r w:rsidR="00397AC3" w:rsidRPr="00397AC3">
        <w:t xml:space="preserve">.  </w:t>
      </w:r>
    </w:p>
    <w:p w14:paraId="06DFD892" w14:textId="4FE84FC5" w:rsidR="000D53A5" w:rsidRDefault="000D53A5" w:rsidP="00EF2FE7">
      <w:pPr>
        <w:pStyle w:val="ParaLevel1"/>
      </w:pPr>
      <w:r>
        <w:t xml:space="preserve">I return below to the issue of the value of the Claimants’ C Shares in the Company (as opposed to their acquisition cost) when addressing the points made about the treatment of them in their tax returns.  Mr Taylor’s point in relation to </w:t>
      </w:r>
      <w:r w:rsidR="00353570">
        <w:t>implied multiple at the First Valua</w:t>
      </w:r>
      <w:r w:rsidR="00650CBB">
        <w:t>t</w:t>
      </w:r>
      <w:r w:rsidR="00353570">
        <w:t xml:space="preserve">ion Date </w:t>
      </w:r>
      <w:r>
        <w:t>was that the Company had no equity value “</w:t>
      </w:r>
      <w:r w:rsidRPr="000D53A5">
        <w:rPr>
          <w:i/>
          <w:iCs/>
        </w:rPr>
        <w:t>from just before to just after the Transaction</w:t>
      </w:r>
      <w:r>
        <w:t>” because its EV comprised only Livingbridge’s loan notes, so that Livingbridge’s 35% shareholding had no value.</w:t>
      </w:r>
    </w:p>
    <w:p w14:paraId="6E2095ED" w14:textId="1FE47189" w:rsidR="00CB11CD" w:rsidRDefault="00353570" w:rsidP="00EF2FE7">
      <w:pPr>
        <w:pStyle w:val="ParaLevel1"/>
      </w:pPr>
      <w:r>
        <w:t xml:space="preserve">As Mr Leiper put the point to Mr Taylor in cross-examination, this </w:t>
      </w:r>
      <w:r w:rsidR="00650CBB">
        <w:t xml:space="preserve">reasoning does appear to bring into account the post-Transaction debt in the exercise of the pre-Transaction valuation of the business.  This is not just a point about the First Valuation Date being immediately before the Transaction.  On Mr Taylor’s approach, the existence of the Livingbridge loan notes </w:t>
      </w:r>
      <w:r w:rsidR="00E1599D">
        <w:t>sub</w:t>
      </w:r>
      <w:r w:rsidR="000748A7">
        <w:t xml:space="preserve">stantially </w:t>
      </w:r>
      <w:r w:rsidR="00224804">
        <w:t xml:space="preserve">reduces </w:t>
      </w:r>
      <w:r w:rsidR="00650CBB">
        <w:t xml:space="preserve">the value of the business (in the Company’s ownership) </w:t>
      </w:r>
      <w:r w:rsidR="000748A7">
        <w:t xml:space="preserve">by </w:t>
      </w:r>
      <w:r w:rsidR="00122981">
        <w:t xml:space="preserve">reference </w:t>
      </w:r>
      <w:r w:rsidR="007C26D1">
        <w:t>the fact that m</w:t>
      </w:r>
      <w:r w:rsidR="00717A34">
        <w:t>ost of the monies used to fund its acquisition were borrowed on the security of the loan notes</w:t>
      </w:r>
      <w:r w:rsidR="00650CBB">
        <w:t xml:space="preserve">.  When the subject matter of the valuation on the First Valuation Date is the shareholding in IPS UK, and that is determined by </w:t>
      </w:r>
      <w:r w:rsidR="00BB5F73">
        <w:t xml:space="preserve">reference to </w:t>
      </w:r>
      <w:r w:rsidR="00650CBB">
        <w:t xml:space="preserve">the EV of that </w:t>
      </w:r>
      <w:r w:rsidR="00BB5F73">
        <w:t>company which owns the business</w:t>
      </w:r>
      <w:r w:rsidR="00650CBB">
        <w:t>,</w:t>
      </w:r>
      <w:r w:rsidR="00BB5F73">
        <w:t xml:space="preserve"> there is in my judgment limited value in looking at the manner in which the purchaser of the business proposes to </w:t>
      </w:r>
      <w:r w:rsidR="00FC754B">
        <w:t xml:space="preserve">structure and </w:t>
      </w:r>
      <w:r w:rsidR="00BB5F73">
        <w:t xml:space="preserve">fund the purchase. </w:t>
      </w:r>
      <w:r w:rsidR="00796393">
        <w:t>T</w:t>
      </w:r>
      <w:r w:rsidR="00CB11CD">
        <w:t xml:space="preserve">he price of an </w:t>
      </w:r>
      <w:r w:rsidR="00D973C0">
        <w:t xml:space="preserve">asset </w:t>
      </w:r>
      <w:r w:rsidR="00CB11CD">
        <w:t>does not depend upon whether the buyer is flush with cash or in the red</w:t>
      </w:r>
      <w:r w:rsidR="00041691">
        <w:t xml:space="preserve"> </w:t>
      </w:r>
      <w:r w:rsidR="00EC424E">
        <w:t>(an</w:t>
      </w:r>
      <w:r w:rsidR="00B9414D">
        <w:t>y</w:t>
      </w:r>
      <w:r w:rsidR="00EC424E">
        <w:t xml:space="preserve"> more than </w:t>
      </w:r>
      <w:r w:rsidR="00AB2688">
        <w:t>it depend</w:t>
      </w:r>
      <w:r w:rsidR="00EC424E">
        <w:t>s</w:t>
      </w:r>
      <w:r w:rsidR="00AB2688">
        <w:t xml:space="preserve"> upon priority distribution rights as between different classes of shareholder of the buyer</w:t>
      </w:r>
      <w:r w:rsidR="00961F78">
        <w:t xml:space="preserve">, </w:t>
      </w:r>
      <w:r w:rsidR="00AB2688">
        <w:t>such as the RPP</w:t>
      </w:r>
      <w:r w:rsidR="00961F78">
        <w:t>,</w:t>
      </w:r>
      <w:r w:rsidR="00D973C0">
        <w:t xml:space="preserve"> </w:t>
      </w:r>
      <w:r w:rsidR="00EC424E">
        <w:t xml:space="preserve">which </w:t>
      </w:r>
      <w:r w:rsidR="00D973C0">
        <w:t>govern the position when the asset comes to be re-sold</w:t>
      </w:r>
      <w:r w:rsidR="00961F78">
        <w:t>)</w:t>
      </w:r>
      <w:r w:rsidR="00AB2688">
        <w:t>.</w:t>
      </w:r>
      <w:r w:rsidR="00CB11CD">
        <w:t xml:space="preserve"> </w:t>
      </w:r>
    </w:p>
    <w:p w14:paraId="198D5AF4" w14:textId="4645FB8B" w:rsidR="00EB4170" w:rsidRPr="00EB4170" w:rsidRDefault="00BB5F73" w:rsidP="00EF2FE7">
      <w:pPr>
        <w:pStyle w:val="ParaLevel1"/>
      </w:pPr>
      <w:r>
        <w:t xml:space="preserve">When the investment in the Company, as purchaser, takes the form not just of lending but also an equity stake (the A, B, C and D Shareholdings held by Livingbridge, the Claimants and Mr Lindsell) it is </w:t>
      </w:r>
      <w:r w:rsidR="00FC754B">
        <w:t>not un</w:t>
      </w:r>
      <w:r>
        <w:t>reasonable to assume that the shareholders in the Company</w:t>
      </w:r>
      <w:r w:rsidR="002636D0">
        <w:t xml:space="preserve">, as the willing buyer, </w:t>
      </w:r>
      <w:r w:rsidR="00FC754B">
        <w:t xml:space="preserve">consider it has acquired a business of some value. </w:t>
      </w:r>
      <w:r w:rsidR="002636D0">
        <w:t>As Mr Leiper observed, a willing buyer does not value the hope of a future return from the business at nil.</w:t>
      </w:r>
      <w:r w:rsidR="00FC754B">
        <w:t xml:space="preserve"> </w:t>
      </w:r>
      <w:r w:rsidR="00EB4170" w:rsidRPr="00EB4170">
        <w:t>As the LIM</w:t>
      </w:r>
      <w:r w:rsidR="00C35252">
        <w:t xml:space="preserve">, which I address below, </w:t>
      </w:r>
      <w:r w:rsidR="00EB4170" w:rsidRPr="00EB4170">
        <w:t>expressed the point in relation to the C and D Shares</w:t>
      </w:r>
      <w:r w:rsidR="00C35252">
        <w:t xml:space="preserve"> (in </w:t>
      </w:r>
      <w:r w:rsidR="00C35252" w:rsidRPr="00C35252">
        <w:t>Section 1B: “Deal Structure”)</w:t>
      </w:r>
      <w:r w:rsidR="00C35252">
        <w:t>:</w:t>
      </w:r>
      <w:r w:rsidR="00EB4170" w:rsidRPr="00EB4170">
        <w:t xml:space="preserve"> “</w:t>
      </w:r>
      <w:r w:rsidR="00EB4170" w:rsidRPr="00EB4170">
        <w:rPr>
          <w:i/>
          <w:iCs/>
        </w:rPr>
        <w:t xml:space="preserve">[M]anagement are rolling </w:t>
      </w:r>
      <w:r w:rsidR="00EB4170" w:rsidRPr="00EB4170">
        <w:rPr>
          <w:i/>
          <w:iCs/>
          <w:u w:val="single"/>
        </w:rPr>
        <w:t>existing value</w:t>
      </w:r>
      <w:r w:rsidR="00EB4170" w:rsidRPr="00EB4170">
        <w:rPr>
          <w:i/>
          <w:iCs/>
        </w:rPr>
        <w:t xml:space="preserve"> into ordinary shares</w:t>
      </w:r>
      <w:r w:rsidR="00EB4170" w:rsidRPr="00EB4170">
        <w:t xml:space="preserve">” (my emphasis).  </w:t>
      </w:r>
      <w:r w:rsidR="00EB4170">
        <w:t xml:space="preserve">Given the </w:t>
      </w:r>
      <w:r w:rsidR="004015C5">
        <w:t>investment recommendation in the LIM, which noted the proposed RPP, Livingbridge must surely have thought the A and B Shares also ha</w:t>
      </w:r>
      <w:r w:rsidR="00AB2688">
        <w:t>d</w:t>
      </w:r>
      <w:r w:rsidR="004015C5">
        <w:t xml:space="preserve"> value</w:t>
      </w:r>
      <w:r w:rsidR="00AB2688">
        <w:t xml:space="preserve"> (especially given the RPP) notwithstanding the debt owed by the Company to Livingbridge</w:t>
      </w:r>
      <w:r w:rsidR="004015C5">
        <w:t>.</w:t>
      </w:r>
      <w:r w:rsidR="00AB2688">
        <w:t xml:space="preserve">  I deal below with the pre-Transaction correspondence from Livingbridge indicating what </w:t>
      </w:r>
      <w:r w:rsidR="00C35C71" w:rsidRPr="00C35C71">
        <w:t>(in excess of the £5.1m odd owed to it)</w:t>
      </w:r>
      <w:r w:rsidR="00C35C71">
        <w:t xml:space="preserve"> </w:t>
      </w:r>
      <w:r w:rsidR="00AB2688">
        <w:t xml:space="preserve">it considered </w:t>
      </w:r>
      <w:r w:rsidR="00C35C71">
        <w:t>the value of the business acquired from IPS UK to be.</w:t>
      </w:r>
      <w:r w:rsidR="004015C5">
        <w:t xml:space="preserve"> </w:t>
      </w:r>
    </w:p>
    <w:p w14:paraId="3986FE67" w14:textId="46C21A5C" w:rsidR="00353570" w:rsidRDefault="00FC754B" w:rsidP="00EF2FE7">
      <w:pPr>
        <w:pStyle w:val="ParaLevel1"/>
      </w:pPr>
      <w:r>
        <w:t xml:space="preserve">However, the real focus at the First Valuation Date is upon the value of the business in the hands of IPS UK as </w:t>
      </w:r>
      <w:r w:rsidR="002636D0">
        <w:t>the willing seller</w:t>
      </w:r>
      <w:r>
        <w:t>.</w:t>
      </w:r>
      <w:r w:rsidR="00650CBB">
        <w:t xml:space="preserve">  </w:t>
      </w:r>
    </w:p>
    <w:p w14:paraId="7ED3D4F3" w14:textId="4577DEF7" w:rsidR="00441D56" w:rsidRDefault="00F12994" w:rsidP="00EF2FE7">
      <w:pPr>
        <w:pStyle w:val="ParaLevel1"/>
      </w:pPr>
      <w:r>
        <w:t>In his testimony, Mr Billingham</w:t>
      </w:r>
      <w:r w:rsidR="006659F9">
        <w:t xml:space="preserve"> explained that “</w:t>
      </w:r>
      <w:r w:rsidR="006659F9" w:rsidRPr="006659F9">
        <w:rPr>
          <w:i/>
          <w:iCs/>
        </w:rPr>
        <w:t>the way to look at a private equity offer is how much are you giving up of your business, for the cash amount and how much are you retaining</w:t>
      </w:r>
      <w:r w:rsidR="006659F9">
        <w:t>.”</w:t>
      </w:r>
      <w:r w:rsidR="00441D56" w:rsidRPr="00441D56">
        <w:t xml:space="preserve"> </w:t>
      </w:r>
      <w:r w:rsidR="006659F9">
        <w:t>In his email to the Claimants of 19 May 2014, attaching Livingbridge’s formal offer, he said:</w:t>
      </w:r>
    </w:p>
    <w:p w14:paraId="576F719D" w14:textId="31EF27E2" w:rsidR="006659F9" w:rsidRPr="006659F9" w:rsidRDefault="006659F9" w:rsidP="00EF2FE7">
      <w:pPr>
        <w:pStyle w:val="ParaLevel1"/>
        <w:numPr>
          <w:ilvl w:val="0"/>
          <w:numId w:val="0"/>
        </w:numPr>
        <w:ind w:left="1134"/>
        <w:rPr>
          <w:i/>
          <w:iCs/>
        </w:rPr>
      </w:pPr>
      <w:r>
        <w:t>“</w:t>
      </w:r>
      <w:r w:rsidRPr="006659F9">
        <w:rPr>
          <w:i/>
          <w:iCs/>
        </w:rPr>
        <w:t>As always with PE you could look at the valuation a number of ways, but broadly valuations on day 1;</w:t>
      </w:r>
    </w:p>
    <w:p w14:paraId="69667C68" w14:textId="0CA6ECC3" w:rsidR="006659F9" w:rsidRPr="006659F9" w:rsidRDefault="006659F9" w:rsidP="00EF2FE7">
      <w:pPr>
        <w:pStyle w:val="ParaLevel1"/>
        <w:numPr>
          <w:ilvl w:val="0"/>
          <w:numId w:val="0"/>
        </w:numPr>
        <w:ind w:left="1548"/>
        <w:rPr>
          <w:i/>
          <w:iCs/>
        </w:rPr>
      </w:pPr>
      <w:r w:rsidRPr="006659F9">
        <w:rPr>
          <w:i/>
          <w:iCs/>
        </w:rPr>
        <w:t>o Isis paying £5.</w:t>
      </w:r>
      <w:r w:rsidR="00EC2573">
        <w:rPr>
          <w:i/>
          <w:iCs/>
        </w:rPr>
        <w:t>5</w:t>
      </w:r>
      <w:r w:rsidRPr="006659F9">
        <w:rPr>
          <w:i/>
          <w:iCs/>
        </w:rPr>
        <w:t>m for a 35% stake (and £5.4m loan note)= £10.31</w:t>
      </w:r>
    </w:p>
    <w:p w14:paraId="21DB708A" w14:textId="3B66C5C1" w:rsidR="006659F9" w:rsidRPr="006659F9" w:rsidRDefault="006659F9" w:rsidP="00EF2FE7">
      <w:pPr>
        <w:pStyle w:val="ParaLevel1"/>
        <w:numPr>
          <w:ilvl w:val="0"/>
          <w:numId w:val="0"/>
        </w:numPr>
        <w:ind w:left="1548"/>
        <w:rPr>
          <w:i/>
          <w:iCs/>
        </w:rPr>
      </w:pPr>
      <w:r w:rsidRPr="006659F9">
        <w:rPr>
          <w:i/>
          <w:iCs/>
        </w:rPr>
        <w:t>o Paul and Keith receiving £2m each to dilute them by 17.5% (and factoring in a 25% 'share of loan note)= £10.08m</w:t>
      </w:r>
    </w:p>
    <w:p w14:paraId="22B177BC" w14:textId="69AC66F3" w:rsidR="006659F9" w:rsidRPr="006659F9" w:rsidRDefault="006659F9" w:rsidP="00EF2FE7">
      <w:pPr>
        <w:pStyle w:val="ParaLevel1"/>
        <w:numPr>
          <w:ilvl w:val="0"/>
          <w:numId w:val="0"/>
        </w:numPr>
        <w:ind w:left="1134"/>
        <w:rPr>
          <w:i/>
          <w:iCs/>
        </w:rPr>
      </w:pPr>
      <w:r w:rsidRPr="006659F9">
        <w:rPr>
          <w:i/>
          <w:iCs/>
        </w:rPr>
        <w:t>This is clearly a huge premium on the Day 1 valuation of a trade deal”</w:t>
      </w:r>
    </w:p>
    <w:p w14:paraId="15F66FCA" w14:textId="77777777" w:rsidR="006659F9" w:rsidRDefault="006659F9" w:rsidP="00EF2FE7">
      <w:pPr>
        <w:pStyle w:val="ParaLevel1"/>
        <w:numPr>
          <w:ilvl w:val="0"/>
          <w:numId w:val="0"/>
        </w:numPr>
        <w:ind w:left="1134"/>
      </w:pPr>
    </w:p>
    <w:p w14:paraId="21265EE1" w14:textId="0146C920" w:rsidR="00EC2573" w:rsidRDefault="00AC26EA" w:rsidP="00EF2FE7">
      <w:pPr>
        <w:pStyle w:val="ParaLevel1"/>
      </w:pPr>
      <w:r>
        <w:t xml:space="preserve">When asked about </w:t>
      </w:r>
      <w:r w:rsidR="00EC2573">
        <w:t>Mr Billingham’s</w:t>
      </w:r>
      <w:r>
        <w:t xml:space="preserve"> calculation, Mr Taylor said it did not make any sense at all.  </w:t>
      </w:r>
      <w:r w:rsidR="00EC2573">
        <w:t>He said t</w:t>
      </w:r>
      <w:r>
        <w:t>he Company</w:t>
      </w:r>
      <w:r w:rsidR="00EC2573">
        <w:t>:</w:t>
      </w:r>
    </w:p>
    <w:p w14:paraId="472108B8" w14:textId="12DE4700" w:rsidR="00AC26EA" w:rsidRDefault="00AC26EA" w:rsidP="00EF2FE7">
      <w:pPr>
        <w:pStyle w:val="ParaLevel1"/>
        <w:numPr>
          <w:ilvl w:val="0"/>
          <w:numId w:val="0"/>
        </w:numPr>
        <w:ind w:left="1134"/>
      </w:pPr>
      <w:r>
        <w:t>“</w:t>
      </w:r>
      <w:r w:rsidR="00EC2573">
        <w:rPr>
          <w:i/>
          <w:iCs/>
        </w:rPr>
        <w:t>……</w:t>
      </w:r>
      <w:r w:rsidRPr="00AC26EA">
        <w:rPr>
          <w:i/>
          <w:iCs/>
        </w:rPr>
        <w:t xml:space="preserve"> is worth about 5 million and it owes about 5 million, and then they have tried to give an upside to the various parties as to what might happen in the future by issuing shares in Newco. But at the time of the transaction those shares in Newco have no value because Newco has just got debt and an asset that are of equal and opposite value</w:t>
      </w:r>
      <w:r>
        <w:t>.”</w:t>
      </w:r>
    </w:p>
    <w:p w14:paraId="74568EF5" w14:textId="77777777" w:rsidR="00EC2573" w:rsidRDefault="00EC2573" w:rsidP="00EF2FE7">
      <w:pPr>
        <w:pStyle w:val="ParaLevel1"/>
        <w:numPr>
          <w:ilvl w:val="0"/>
          <w:numId w:val="0"/>
        </w:numPr>
        <w:ind w:left="1134"/>
      </w:pPr>
    </w:p>
    <w:p w14:paraId="434A6190" w14:textId="77777777" w:rsidR="00EC2573" w:rsidRDefault="00EC2573" w:rsidP="00EF2FE7">
      <w:pPr>
        <w:pStyle w:val="ParaLevel1"/>
      </w:pPr>
      <w:r>
        <w:t>However, Mr Billingham’s explanation for it was:</w:t>
      </w:r>
    </w:p>
    <w:p w14:paraId="383F5D2E" w14:textId="744B7605" w:rsidR="00EC2573" w:rsidRDefault="00EC2573" w:rsidP="00EF2FE7">
      <w:pPr>
        <w:pStyle w:val="ParaLevel1"/>
        <w:numPr>
          <w:ilvl w:val="0"/>
          <w:numId w:val="0"/>
        </w:numPr>
        <w:ind w:left="1134"/>
      </w:pPr>
      <w:r>
        <w:t>“</w:t>
      </w:r>
      <w:r w:rsidRPr="00EC2573">
        <w:rPr>
          <w:i/>
          <w:iCs/>
        </w:rPr>
        <w:t>It’s all to do with structuring. At the end of the day, if someone’s paying 5.5 million for a 35 per cent stake surely to get to 100 per cent valuation you’d divide five and half by the 35%</w:t>
      </w:r>
      <w:r>
        <w:t xml:space="preserve">.” </w:t>
      </w:r>
    </w:p>
    <w:p w14:paraId="0DFB9A47" w14:textId="77777777" w:rsidR="00EC2573" w:rsidRDefault="00EC2573" w:rsidP="00EF2FE7">
      <w:pPr>
        <w:pStyle w:val="ParaLevel1"/>
        <w:numPr>
          <w:ilvl w:val="0"/>
          <w:numId w:val="0"/>
        </w:numPr>
        <w:ind w:left="1134"/>
      </w:pPr>
    </w:p>
    <w:p w14:paraId="75444842" w14:textId="7E3E9BEF" w:rsidR="00AB2688" w:rsidRDefault="00AB2688" w:rsidP="00EF2FE7">
      <w:pPr>
        <w:pStyle w:val="ParaLevel1"/>
      </w:pPr>
      <w:r>
        <w:t xml:space="preserve">On Mr Billingham’s approach, therefore, </w:t>
      </w:r>
      <w:r w:rsidR="00C35C71">
        <w:t>the fact that the Company had borrowed from Livingbridge</w:t>
      </w:r>
      <w:r w:rsidR="00D973C0">
        <w:t xml:space="preserve">, under secured loan notes, the monies used to acquire IPS UK </w:t>
      </w:r>
      <w:r w:rsidR="00106490">
        <w:t xml:space="preserve">should not </w:t>
      </w:r>
      <w:r w:rsidR="00D973C0">
        <w:t xml:space="preserve">distract from the point that Livingbridge was prepared to pay £5.5m for a 35% shareholding in the Company which had acquired the business.  </w:t>
      </w:r>
      <w:r w:rsidR="00106490">
        <w:t>His</w:t>
      </w:r>
      <w:r w:rsidR="0054748C">
        <w:t xml:space="preserve"> </w:t>
      </w:r>
      <w:r w:rsidR="00D973C0">
        <w:t xml:space="preserve">calculation of £10.31m did not ignore the </w:t>
      </w:r>
      <w:r w:rsidR="00C35252">
        <w:t>debt owed to Livingbridge</w:t>
      </w:r>
      <w:r w:rsidR="00D973C0">
        <w:t>.</w:t>
      </w:r>
      <w:r w:rsidR="00C35252">
        <w:t xml:space="preserve">  After the grossing up suggested by his answer above (which produces a figure of £15.71m) he deducted the amount of the loan (£5.4m) to reach £10.31m.</w:t>
      </w:r>
    </w:p>
    <w:p w14:paraId="4EBBFA34" w14:textId="01EB9337" w:rsidR="005D2EDC" w:rsidRDefault="00C35252" w:rsidP="00EF2FE7">
      <w:pPr>
        <w:pStyle w:val="ParaLevel1"/>
      </w:pPr>
      <w:r>
        <w:t xml:space="preserve">In my judgment, Mr Billingham’s approach </w:t>
      </w:r>
      <w:r w:rsidR="00414CC3">
        <w:t xml:space="preserve">correctly </w:t>
      </w:r>
      <w:r>
        <w:t xml:space="preserve">focuses upon the </w:t>
      </w:r>
      <w:r w:rsidR="00414CC3">
        <w:t xml:space="preserve">question of what the Livingbridge offer indicated the value of the business to be in the hands of IPS UK, the seller, without the distraction of a different valuation of the buyer (which is put at nil because of the way the </w:t>
      </w:r>
      <w:r w:rsidR="006241D3">
        <w:t>purchase was funded).</w:t>
      </w:r>
      <w:r w:rsidR="000E23DE">
        <w:t xml:space="preserve">  </w:t>
      </w:r>
      <w:r w:rsidR="00BB73B7">
        <w:t xml:space="preserve">Mr </w:t>
      </w:r>
      <w:r w:rsidR="006908B7">
        <w:t>Skeels correctly summarised th</w:t>
      </w:r>
      <w:r w:rsidR="00DA51C0">
        <w:t xml:space="preserve">is basic point when he said the EV </w:t>
      </w:r>
      <w:r w:rsidR="00C2306A">
        <w:t>is “</w:t>
      </w:r>
      <w:r w:rsidR="00665B4B" w:rsidRPr="00A507BA">
        <w:rPr>
          <w:i/>
          <w:iCs/>
        </w:rPr>
        <w:t>the same the day before and the day after</w:t>
      </w:r>
      <w:r w:rsidR="00C2306A">
        <w:t xml:space="preserve">” and </w:t>
      </w:r>
      <w:r w:rsidR="00496D46">
        <w:t>“</w:t>
      </w:r>
      <w:r w:rsidR="00496D46" w:rsidRPr="00A507BA">
        <w:rPr>
          <w:i/>
          <w:iCs/>
        </w:rPr>
        <w:t>[S</w:t>
      </w:r>
      <w:r w:rsidR="00A507BA" w:rsidRPr="00A507BA">
        <w:rPr>
          <w:i/>
          <w:iCs/>
        </w:rPr>
        <w:t>]</w:t>
      </w:r>
      <w:r w:rsidR="00496D46" w:rsidRPr="00A507BA">
        <w:rPr>
          <w:i/>
          <w:iCs/>
        </w:rPr>
        <w:t>o the enterprise value, in my view, hadn't</w:t>
      </w:r>
      <w:r w:rsidR="00A507BA" w:rsidRPr="00A507BA">
        <w:rPr>
          <w:i/>
          <w:iCs/>
        </w:rPr>
        <w:t xml:space="preserve"> </w:t>
      </w:r>
      <w:r w:rsidR="00496D46" w:rsidRPr="00A507BA">
        <w:rPr>
          <w:i/>
          <w:iCs/>
        </w:rPr>
        <w:t>changed between the two dates; how you allocate that</w:t>
      </w:r>
      <w:r w:rsidR="00A507BA" w:rsidRPr="00A507BA">
        <w:rPr>
          <w:i/>
          <w:iCs/>
        </w:rPr>
        <w:t xml:space="preserve"> </w:t>
      </w:r>
      <w:r w:rsidR="00496D46" w:rsidRPr="00A507BA">
        <w:rPr>
          <w:i/>
          <w:iCs/>
        </w:rPr>
        <w:t>value has</w:t>
      </w:r>
      <w:r w:rsidR="00A507BA">
        <w:t>.”</w:t>
      </w:r>
      <w:r w:rsidR="00361A73">
        <w:t xml:space="preserve"> </w:t>
      </w:r>
      <w:r w:rsidR="00BF072A">
        <w:t>He explained</w:t>
      </w:r>
      <w:r w:rsidR="0072463D">
        <w:t xml:space="preserve"> further</w:t>
      </w:r>
      <w:r w:rsidR="005D2EDC">
        <w:t>:</w:t>
      </w:r>
    </w:p>
    <w:p w14:paraId="6B8F18FE" w14:textId="7D91FBD8" w:rsidR="00C35252" w:rsidRDefault="005D2EDC" w:rsidP="00EF2FE7">
      <w:pPr>
        <w:pStyle w:val="ParaLevel1"/>
        <w:numPr>
          <w:ilvl w:val="0"/>
          <w:numId w:val="0"/>
        </w:numPr>
        <w:ind w:left="1134"/>
        <w:rPr>
          <w:i/>
          <w:iCs/>
        </w:rPr>
      </w:pPr>
      <w:r w:rsidRPr="008E71D0">
        <w:rPr>
          <w:i/>
          <w:iCs/>
        </w:rPr>
        <w:t>“</w:t>
      </w:r>
      <w:r w:rsidR="009A0FD7" w:rsidRPr="008E71D0">
        <w:rPr>
          <w:i/>
          <w:iCs/>
        </w:rPr>
        <w:t>Yes, I think I'm taking the -- my view of what the business is worth prior to the transaction happening, and effectively saying it cannot have changed value at that level over -- over a two-day period. So on the day before, all of that value is attributable to the</w:t>
      </w:r>
      <w:r w:rsidR="008E71D0" w:rsidRPr="008E71D0">
        <w:rPr>
          <w:i/>
          <w:iCs/>
        </w:rPr>
        <w:t xml:space="preserve"> </w:t>
      </w:r>
      <w:r w:rsidR="009A0FD7" w:rsidRPr="008E71D0">
        <w:rPr>
          <w:i/>
          <w:iCs/>
        </w:rPr>
        <w:t>vendors; the day after they effectively have received</w:t>
      </w:r>
      <w:r w:rsidR="008E71D0" w:rsidRPr="008E71D0">
        <w:rPr>
          <w:i/>
          <w:iCs/>
        </w:rPr>
        <w:t xml:space="preserve"> </w:t>
      </w:r>
      <w:r w:rsidR="009A0FD7" w:rsidRPr="008E71D0">
        <w:rPr>
          <w:i/>
          <w:iCs/>
        </w:rPr>
        <w:t>4.6 million and there's a balance of -- they own</w:t>
      </w:r>
      <w:r w:rsidR="008E71D0" w:rsidRPr="008E71D0">
        <w:rPr>
          <w:i/>
          <w:iCs/>
        </w:rPr>
        <w:t xml:space="preserve"> </w:t>
      </w:r>
      <w:r w:rsidR="009A0FD7" w:rsidRPr="008E71D0">
        <w:rPr>
          <w:i/>
          <w:iCs/>
        </w:rPr>
        <w:t>60 per cent of the company which has whatever that debt</w:t>
      </w:r>
      <w:r w:rsidR="008E71D0" w:rsidRPr="008E71D0">
        <w:rPr>
          <w:i/>
          <w:iCs/>
        </w:rPr>
        <w:t xml:space="preserve"> </w:t>
      </w:r>
      <w:r w:rsidR="009A0FD7" w:rsidRPr="008E71D0">
        <w:rPr>
          <w:i/>
          <w:iCs/>
        </w:rPr>
        <w:t>is 5.5 million of debt 5.7 million of debt in it and the</w:t>
      </w:r>
      <w:r w:rsidR="008E71D0" w:rsidRPr="008E71D0">
        <w:rPr>
          <w:i/>
          <w:iCs/>
        </w:rPr>
        <w:t xml:space="preserve"> </w:t>
      </w:r>
      <w:r w:rsidR="009A0FD7" w:rsidRPr="008E71D0">
        <w:rPr>
          <w:i/>
          <w:iCs/>
        </w:rPr>
        <w:t>enterprise value is the same, you take off the 5.7 of</w:t>
      </w:r>
      <w:r w:rsidR="008E71D0" w:rsidRPr="008E71D0">
        <w:rPr>
          <w:i/>
          <w:iCs/>
        </w:rPr>
        <w:t xml:space="preserve"> </w:t>
      </w:r>
      <w:r w:rsidR="009A0FD7" w:rsidRPr="008E71D0">
        <w:rPr>
          <w:i/>
          <w:iCs/>
        </w:rPr>
        <w:t>the debt and what's left is effectively the value for</w:t>
      </w:r>
      <w:r w:rsidR="008E71D0" w:rsidRPr="008E71D0">
        <w:rPr>
          <w:i/>
          <w:iCs/>
        </w:rPr>
        <w:t xml:space="preserve"> </w:t>
      </w:r>
      <w:r w:rsidR="009A0FD7" w:rsidRPr="008E71D0">
        <w:rPr>
          <w:i/>
          <w:iCs/>
        </w:rPr>
        <w:t>the total equity of the business at that point in time.</w:t>
      </w:r>
      <w:r w:rsidR="008E71D0" w:rsidRPr="008E71D0">
        <w:rPr>
          <w:i/>
          <w:iCs/>
        </w:rPr>
        <w:t>”</w:t>
      </w:r>
    </w:p>
    <w:p w14:paraId="647781AE" w14:textId="77777777" w:rsidR="00206C71" w:rsidRPr="008E71D0" w:rsidRDefault="00206C71" w:rsidP="00EF2FE7">
      <w:pPr>
        <w:pStyle w:val="ParaLevel1"/>
        <w:numPr>
          <w:ilvl w:val="0"/>
          <w:numId w:val="0"/>
        </w:numPr>
        <w:ind w:left="1134"/>
        <w:rPr>
          <w:i/>
          <w:iCs/>
        </w:rPr>
      </w:pPr>
    </w:p>
    <w:p w14:paraId="112773B7" w14:textId="1800308E" w:rsidR="00F75167" w:rsidRPr="00F75167" w:rsidRDefault="00F75167" w:rsidP="00EF2FE7">
      <w:pPr>
        <w:pStyle w:val="ParaLevel1"/>
      </w:pPr>
      <w:r w:rsidRPr="00F75167">
        <w:t xml:space="preserve">In section 4.3 of his first Report, Mr Taylor explained that the EV of a business </w:t>
      </w:r>
      <w:r>
        <w:t>will always equal the sum of all investment interests in the business and he explained that the investment interests can consist of equity, debt securities and unsecured loans.</w:t>
      </w:r>
      <w:r w:rsidR="00E372C6">
        <w:t xml:space="preserve">  It seems to me that, by focusing upon the investment interests in the Company, and essentially upon the Livingbridge debt rather than the shares which he regarded as worthless</w:t>
      </w:r>
      <w:r w:rsidR="00F819E6">
        <w:t xml:space="preserve"> because of that debt</w:t>
      </w:r>
      <w:r w:rsidR="00E372C6">
        <w:t xml:space="preserve">, Mr Taylor has allowed his analysis of the EV of the Company (or possibly even what amounts to a net asset valuation of the Company) to devalue the EV of IPS UK. </w:t>
      </w:r>
      <w:r>
        <w:t xml:space="preserve">  </w:t>
      </w:r>
    </w:p>
    <w:p w14:paraId="39505C27" w14:textId="2B249D67" w:rsidR="00EC2573" w:rsidRDefault="00EC2573" w:rsidP="00EF2FE7">
      <w:pPr>
        <w:pStyle w:val="ParaLevel1"/>
      </w:pPr>
      <w:r w:rsidRPr="00EC2573">
        <w:t>On Mr Taylor’s analysis, there is something of a self-fulfilling prophecy in his conclusion that the Claimants, through the cash received of £4.6m, obtained from Livingbridge full market value for their shares in IPS UK because it gives no credit (beyond par value) for their shareholding in Company which has acquired what was clearly regarded by all parties to the Transaction as a valuable business.  To express the point another way, as Mr Le</w:t>
      </w:r>
      <w:r w:rsidR="001519CA">
        <w:t>i</w:t>
      </w:r>
      <w:r w:rsidRPr="00EC2573">
        <w:t>per did, it is as if the £5.7m odd invested by Livingbridge in the Company (over £5.1m of loan stock and approximately £585,000 for the A and B Shares) was made notwithstanding they had already paid the Claimants full market value for the business.  This does indeed seem counterintuitive.</w:t>
      </w:r>
    </w:p>
    <w:p w14:paraId="5C158462" w14:textId="69B37393" w:rsidR="00FC754B" w:rsidRDefault="00FC754B" w:rsidP="00EF2FE7">
      <w:pPr>
        <w:pStyle w:val="ParaLevel1"/>
      </w:pPr>
      <w:r>
        <w:t xml:space="preserve">The </w:t>
      </w:r>
      <w:r w:rsidR="002636D0">
        <w:t xml:space="preserve">Firm and Mr Taylor </w:t>
      </w:r>
      <w:r w:rsidR="00206C71">
        <w:t xml:space="preserve">also </w:t>
      </w:r>
      <w:r w:rsidR="002636D0">
        <w:t xml:space="preserve">placed </w:t>
      </w:r>
      <w:r w:rsidR="00C35252">
        <w:t xml:space="preserve">significant </w:t>
      </w:r>
      <w:r w:rsidR="002636D0">
        <w:t xml:space="preserve">reliance upon the </w:t>
      </w:r>
      <w:r>
        <w:t>LIM</w:t>
      </w:r>
      <w:r w:rsidR="002636D0">
        <w:t>.  Mr Morris was one of the three authors of this document but there was no evidence from any of them as to what they meant by the section relied upon by the Firm</w:t>
      </w:r>
      <w:r>
        <w:t>.</w:t>
      </w:r>
      <w:r w:rsidR="002636D0">
        <w:t xml:space="preserve">  </w:t>
      </w:r>
      <w:r w:rsidR="00CD2DA5">
        <w:t>In particular, the Firm referred to the following passage in the LIM (again in the section addressing the structure of the deal):</w:t>
      </w:r>
    </w:p>
    <w:p w14:paraId="4762C011" w14:textId="37F02D19" w:rsidR="00CD2DA5" w:rsidRPr="00DE3606" w:rsidRDefault="001519CA" w:rsidP="00EF2FE7">
      <w:pPr>
        <w:pStyle w:val="ParaLevel1"/>
        <w:numPr>
          <w:ilvl w:val="0"/>
          <w:numId w:val="0"/>
        </w:numPr>
        <w:ind w:left="1134"/>
        <w:rPr>
          <w:i/>
          <w:iCs/>
        </w:rPr>
      </w:pPr>
      <w:r>
        <w:rPr>
          <w:i/>
          <w:iCs/>
        </w:rPr>
        <w:t>“</w:t>
      </w:r>
      <w:r w:rsidR="00CD2DA5" w:rsidRPr="00DE3606">
        <w:rPr>
          <w:i/>
          <w:iCs/>
        </w:rPr>
        <w:t xml:space="preserve">4. </w:t>
      </w:r>
      <w:r w:rsidR="00CD2DA5" w:rsidRPr="00DE3606">
        <w:rPr>
          <w:i/>
          <w:iCs/>
          <w:u w:val="single"/>
        </w:rPr>
        <w:t>Entry pricing</w:t>
      </w:r>
    </w:p>
    <w:p w14:paraId="278E6C25" w14:textId="18A63A59" w:rsidR="00DE3606" w:rsidRPr="00DE3606" w:rsidRDefault="00CD2DA5" w:rsidP="00EF2FE7">
      <w:pPr>
        <w:pStyle w:val="ParaLevel1"/>
        <w:numPr>
          <w:ilvl w:val="0"/>
          <w:numId w:val="0"/>
        </w:numPr>
        <w:ind w:left="1134"/>
        <w:rPr>
          <w:i/>
          <w:iCs/>
        </w:rPr>
      </w:pPr>
      <w:bookmarkStart w:id="6" w:name="_Hlk99366860"/>
      <w:r w:rsidRPr="00DE3606">
        <w:rPr>
          <w:i/>
          <w:iCs/>
        </w:rPr>
        <w:t xml:space="preserve">Due to management rolling into ordinary equity </w:t>
      </w:r>
      <w:bookmarkEnd w:id="6"/>
      <w:r w:rsidRPr="00DE3606">
        <w:rPr>
          <w:i/>
          <w:iCs/>
        </w:rPr>
        <w:t>we are measuring entry pricing on a money back basis. Having agreed the</w:t>
      </w:r>
      <w:r w:rsidR="00DE3606" w:rsidRPr="00DE3606">
        <w:rPr>
          <w:i/>
          <w:iCs/>
        </w:rPr>
        <w:t xml:space="preserve"> </w:t>
      </w:r>
      <w:r w:rsidRPr="00DE3606">
        <w:rPr>
          <w:i/>
          <w:iCs/>
        </w:rPr>
        <w:t>deal pre-FD costs the business is expected to achieve £1 .2m EB</w:t>
      </w:r>
      <w:r w:rsidR="00220973">
        <w:rPr>
          <w:i/>
          <w:iCs/>
        </w:rPr>
        <w:t>I</w:t>
      </w:r>
      <w:r w:rsidR="004015C5">
        <w:rPr>
          <w:i/>
          <w:iCs/>
        </w:rPr>
        <w:t>TDA</w:t>
      </w:r>
      <w:r w:rsidRPr="00DE3606">
        <w:rPr>
          <w:i/>
          <w:iCs/>
        </w:rPr>
        <w:t xml:space="preserve"> out</w:t>
      </w:r>
      <w:r w:rsidR="004015C5">
        <w:rPr>
          <w:i/>
          <w:iCs/>
        </w:rPr>
        <w:t xml:space="preserve">turn </w:t>
      </w:r>
      <w:r w:rsidRPr="00DE3606">
        <w:rPr>
          <w:i/>
          <w:iCs/>
        </w:rPr>
        <w:t>and a 4.75x entry multiple. Annualised Run</w:t>
      </w:r>
      <w:r w:rsidR="00DE3606" w:rsidRPr="00DE3606">
        <w:rPr>
          <w:i/>
          <w:iCs/>
        </w:rPr>
        <w:t xml:space="preserve"> </w:t>
      </w:r>
      <w:r w:rsidRPr="00DE3606">
        <w:rPr>
          <w:i/>
          <w:iCs/>
        </w:rPr>
        <w:t>Rate at 31s</w:t>
      </w:r>
      <w:r w:rsidR="004015C5">
        <w:rPr>
          <w:i/>
          <w:iCs/>
        </w:rPr>
        <w:t>t</w:t>
      </w:r>
      <w:r w:rsidRPr="00DE3606">
        <w:rPr>
          <w:i/>
          <w:iCs/>
        </w:rPr>
        <w:t xml:space="preserve"> October 2014 is £1.38m (adjusted for FD costs and CTO payrise) implying an entry multiple of c 4.2x.</w:t>
      </w:r>
      <w:r w:rsidR="00DE3606" w:rsidRPr="00DE3606">
        <w:rPr>
          <w:i/>
          <w:iCs/>
        </w:rPr>
        <w:t xml:space="preserve"> </w:t>
      </w:r>
    </w:p>
    <w:p w14:paraId="4E16A95E" w14:textId="1874BD6E" w:rsidR="00CD2DA5" w:rsidRDefault="00CD2DA5" w:rsidP="00EF2FE7">
      <w:pPr>
        <w:pStyle w:val="ParaLevel1"/>
        <w:numPr>
          <w:ilvl w:val="0"/>
          <w:numId w:val="0"/>
        </w:numPr>
        <w:ind w:left="1134"/>
        <w:rPr>
          <w:i/>
          <w:iCs/>
        </w:rPr>
      </w:pPr>
      <w:r w:rsidRPr="00DE3606">
        <w:rPr>
          <w:i/>
          <w:iCs/>
        </w:rPr>
        <w:t>We are comfortable with entry pricing in the context of both comparables and trading multiples provided by Oakley with</w:t>
      </w:r>
      <w:r w:rsidR="00DE3606" w:rsidRPr="00DE3606">
        <w:rPr>
          <w:i/>
          <w:iCs/>
        </w:rPr>
        <w:t xml:space="preserve"> </w:t>
      </w:r>
      <w:r w:rsidRPr="00DE3606">
        <w:rPr>
          <w:i/>
          <w:iCs/>
        </w:rPr>
        <w:t>trading peers and comparable transaction c7-9x. The discount applied to entry is based on two factors i) immature business</w:t>
      </w:r>
      <w:r w:rsidR="00DE3606" w:rsidRPr="00DE3606">
        <w:rPr>
          <w:i/>
          <w:iCs/>
        </w:rPr>
        <w:t xml:space="preserve"> </w:t>
      </w:r>
      <w:r w:rsidRPr="00DE3606">
        <w:rPr>
          <w:i/>
          <w:iCs/>
        </w:rPr>
        <w:t>model and ii) dealer contribution to overall profitability. However, smaller assets continue to attract similar multiples,</w:t>
      </w:r>
      <w:r w:rsidR="00DE3606" w:rsidRPr="00DE3606">
        <w:rPr>
          <w:i/>
          <w:iCs/>
        </w:rPr>
        <w:t xml:space="preserve"> </w:t>
      </w:r>
      <w:r w:rsidRPr="00DE3606">
        <w:rPr>
          <w:i/>
          <w:iCs/>
        </w:rPr>
        <w:t>validated by the acquisition of Proximity Communications (FYDEC13 EB</w:t>
      </w:r>
      <w:r w:rsidR="003C42E5">
        <w:rPr>
          <w:i/>
          <w:iCs/>
        </w:rPr>
        <w:t>I</w:t>
      </w:r>
      <w:r w:rsidR="004015C5">
        <w:rPr>
          <w:i/>
          <w:iCs/>
        </w:rPr>
        <w:t>TDA</w:t>
      </w:r>
      <w:r w:rsidRPr="00DE3606">
        <w:rPr>
          <w:i/>
          <w:iCs/>
        </w:rPr>
        <w:t xml:space="preserve"> of £1 .3m) to Maintel earlier in October for c.7.4x. Proximity had lower growth and margins and only 50% recurring revenue vs IPS c90% recurring revenue</w:t>
      </w:r>
      <w:r w:rsidR="00DE3606" w:rsidRPr="00DE3606">
        <w:rPr>
          <w:i/>
          <w:iCs/>
        </w:rPr>
        <w:t>.”</w:t>
      </w:r>
    </w:p>
    <w:p w14:paraId="2B0D0628" w14:textId="77777777" w:rsidR="00DE3606" w:rsidRPr="00DE3606" w:rsidRDefault="00DE3606" w:rsidP="00EF2FE7">
      <w:pPr>
        <w:pStyle w:val="ParaLevel1"/>
        <w:numPr>
          <w:ilvl w:val="0"/>
          <w:numId w:val="0"/>
        </w:numPr>
        <w:ind w:left="1134"/>
        <w:rPr>
          <w:i/>
          <w:iCs/>
        </w:rPr>
      </w:pPr>
    </w:p>
    <w:p w14:paraId="0B42FD3E" w14:textId="77777777" w:rsidR="003C42E5" w:rsidRPr="003C42E5" w:rsidRDefault="003C42E5" w:rsidP="00EF2FE7">
      <w:pPr>
        <w:pStyle w:val="ParaLevel1"/>
      </w:pPr>
      <w:r w:rsidRPr="003C42E5">
        <w:t>At their meeting on 11 November 2014, the Livingbridge Investment Committee noted that “[</w:t>
      </w:r>
      <w:r w:rsidRPr="003C42E5">
        <w:rPr>
          <w:i/>
          <w:iCs/>
        </w:rPr>
        <w:t>T]he investment team confirmed that they believe the entry price for acquiring the asset is attractive</w:t>
      </w:r>
      <w:r w:rsidRPr="003C42E5">
        <w:t>.”</w:t>
      </w:r>
    </w:p>
    <w:p w14:paraId="44D66E04" w14:textId="647077DA" w:rsidR="00CD2DA5" w:rsidRDefault="003C42E5" w:rsidP="00EF2FE7">
      <w:pPr>
        <w:pStyle w:val="ParaLevel1"/>
      </w:pPr>
      <w:r>
        <w:t>M</w:t>
      </w:r>
      <w:r w:rsidR="00DE3606">
        <w:t>r Tozzi</w:t>
      </w:r>
      <w:r>
        <w:t xml:space="preserve"> QC </w:t>
      </w:r>
      <w:r w:rsidR="00DE3606">
        <w:t xml:space="preserve">questioned Mr Skeels as to why he had ignored this clear evidence </w:t>
      </w:r>
      <w:r>
        <w:t xml:space="preserve">in the LIM </w:t>
      </w:r>
      <w:r w:rsidR="00DE3606">
        <w:t>that Livingbridge had calculated the multiple at 4.2x to 4.75x.</w:t>
      </w:r>
      <w:r w:rsidR="00FA0623">
        <w:t xml:space="preserve">  Mr Skeels said </w:t>
      </w:r>
      <w:r w:rsidR="00D44E47">
        <w:t xml:space="preserve">he had not </w:t>
      </w:r>
      <w:r w:rsidR="00AB4793">
        <w:t>referred to it because “</w:t>
      </w:r>
      <w:r w:rsidR="00AB4793" w:rsidRPr="00AB4793">
        <w:rPr>
          <w:i/>
          <w:iCs/>
        </w:rPr>
        <w:t>I don’t think that’s the right value for the business at the first valuation date</w:t>
      </w:r>
      <w:r w:rsidR="00AB4793">
        <w:t xml:space="preserve">.”  However, he said that his </w:t>
      </w:r>
      <w:r w:rsidR="005449D8">
        <w:t xml:space="preserve">report had dealt with the </w:t>
      </w:r>
      <w:r w:rsidR="00920705">
        <w:t xml:space="preserve">implied value </w:t>
      </w:r>
      <w:r w:rsidR="00F47775">
        <w:t xml:space="preserve">of the Company </w:t>
      </w:r>
      <w:r w:rsidR="00920705">
        <w:t>(£5.7m</w:t>
      </w:r>
      <w:r w:rsidR="00F47775">
        <w:t xml:space="preserve">) based on the Livingbridge </w:t>
      </w:r>
      <w:r w:rsidR="00463CCE">
        <w:t>investment amount</w:t>
      </w:r>
      <w:r w:rsidR="00F47775">
        <w:t xml:space="preserve">.  </w:t>
      </w:r>
      <w:r w:rsidR="008108F0">
        <w:t xml:space="preserve">His </w:t>
      </w:r>
      <w:r w:rsidR="00D63350">
        <w:t xml:space="preserve">implied multiple (of 5x </w:t>
      </w:r>
      <w:r w:rsidR="00AC4CCE">
        <w:t xml:space="preserve">by reference to that amount) was in essence the same thing as </w:t>
      </w:r>
      <w:r w:rsidR="00D12A56">
        <w:t>what he described as “</w:t>
      </w:r>
      <w:r w:rsidR="00D12A56" w:rsidRPr="00D12A56">
        <w:rPr>
          <w:i/>
          <w:iCs/>
        </w:rPr>
        <w:t>the cash multiple</w:t>
      </w:r>
      <w:r w:rsidR="002C3E52">
        <w:rPr>
          <w:i/>
          <w:iCs/>
        </w:rPr>
        <w:t xml:space="preserve"> of what they’ve put up for the business</w:t>
      </w:r>
      <w:r w:rsidR="00D12A56">
        <w:t xml:space="preserve">” </w:t>
      </w:r>
      <w:r w:rsidR="0094489C">
        <w:t xml:space="preserve">which was </w:t>
      </w:r>
      <w:r w:rsidR="00D12A56">
        <w:t>shown by the LIM.</w:t>
      </w:r>
      <w:r w:rsidR="00D02199">
        <w:t xml:space="preserve">  Mr Skeels </w:t>
      </w:r>
      <w:r w:rsidR="00C36882">
        <w:t xml:space="preserve">said the multiples of 4.2x to 4.75x </w:t>
      </w:r>
      <w:r w:rsidR="0088119F">
        <w:t xml:space="preserve">were addressing the initial upfront consideration.  </w:t>
      </w:r>
      <w:r w:rsidR="004F7C85">
        <w:t>By</w:t>
      </w:r>
      <w:r w:rsidR="00844CBE">
        <w:t xml:space="preserve"> “</w:t>
      </w:r>
      <w:r w:rsidR="00844CBE" w:rsidRPr="00844CBE">
        <w:rPr>
          <w:i/>
          <w:iCs/>
        </w:rPr>
        <w:t>cash multiple</w:t>
      </w:r>
      <w:r w:rsidR="00844CBE">
        <w:t xml:space="preserve">” he </w:t>
      </w:r>
      <w:r w:rsidR="004F7C85">
        <w:t xml:space="preserve">meant that Livingbridge were </w:t>
      </w:r>
      <w:r w:rsidR="00FF0B4E">
        <w:t>focus</w:t>
      </w:r>
      <w:r w:rsidR="004F7C85">
        <w:t xml:space="preserve">ing upon the </w:t>
      </w:r>
      <w:r w:rsidR="00026641">
        <w:t xml:space="preserve">cash return on their investment and that those </w:t>
      </w:r>
      <w:r w:rsidR="008900AC">
        <w:t xml:space="preserve">particular </w:t>
      </w:r>
      <w:r w:rsidR="00026641">
        <w:t xml:space="preserve">multiples did not </w:t>
      </w:r>
      <w:r w:rsidR="000A001F">
        <w:t xml:space="preserve">take account of </w:t>
      </w:r>
      <w:r w:rsidR="002A4CF4">
        <w:t>the deferred elements (or equity value</w:t>
      </w:r>
      <w:r w:rsidR="006E4A69">
        <w:t xml:space="preserve"> of the Company</w:t>
      </w:r>
      <w:r w:rsidR="002A4CF4">
        <w:t xml:space="preserve">) </w:t>
      </w:r>
      <w:r w:rsidR="006E4A69">
        <w:t xml:space="preserve">under </w:t>
      </w:r>
      <w:r w:rsidR="002A4CF4">
        <w:t>the Transaction.</w:t>
      </w:r>
      <w:r w:rsidR="00E2771B">
        <w:t xml:space="preserve"> </w:t>
      </w:r>
      <w:r w:rsidR="00D63350">
        <w:t xml:space="preserve"> </w:t>
      </w:r>
    </w:p>
    <w:p w14:paraId="6CF0CDA5" w14:textId="13FEF96B" w:rsidR="00DE3606" w:rsidRDefault="00DE3606" w:rsidP="00EF2FE7">
      <w:pPr>
        <w:pStyle w:val="ParaLevel1"/>
      </w:pPr>
      <w:r>
        <w:t xml:space="preserve">With some trepidation, given that none of the authors of the LIM were before me to explain it, </w:t>
      </w:r>
      <w:r w:rsidR="00CB17BE">
        <w:t>I have concluded that the Firm has read too much into the quoted passage which</w:t>
      </w:r>
      <w:r w:rsidR="00FF76CE">
        <w:t>, I note,</w:t>
      </w:r>
      <w:r w:rsidR="00CB17BE">
        <w:t xml:space="preserve"> begins with the statement “</w:t>
      </w:r>
      <w:r w:rsidR="00CB17BE" w:rsidRPr="00CB17BE">
        <w:rPr>
          <w:i/>
          <w:iCs/>
        </w:rPr>
        <w:t>Due to management rolling into ordinary equity we are measuring entry pricing on a money back basis</w:t>
      </w:r>
      <w:r w:rsidR="00CB17BE">
        <w:t>.”  Mr Taylor said he did not think the phrase “</w:t>
      </w:r>
      <w:r w:rsidR="00CB17BE" w:rsidRPr="00CB17BE">
        <w:rPr>
          <w:i/>
          <w:iCs/>
        </w:rPr>
        <w:t>on a money back basis</w:t>
      </w:r>
      <w:r w:rsidR="00CB17BE">
        <w:t>” was a term of art, though he did recognise that the focus appeared to be on their return from their investment.  However, he maintained that it indicated the price they were willing to pay under the Tran</w:t>
      </w:r>
      <w:r w:rsidR="004015C5">
        <w:t>s</w:t>
      </w:r>
      <w:r w:rsidR="00CB17BE">
        <w:t>action</w:t>
      </w:r>
      <w:r w:rsidR="001519CA">
        <w:t>.</w:t>
      </w:r>
    </w:p>
    <w:p w14:paraId="7C0004AF" w14:textId="37B32F79" w:rsidR="00ED4519" w:rsidRDefault="004763D3" w:rsidP="00EF2FE7">
      <w:pPr>
        <w:pStyle w:val="ParaLevel1"/>
      </w:pPr>
      <w:r>
        <w:t>Looking at Section 1B of the LIM it is clear that the entry multiples of 4.75x and 4.2x are derived from the £5.7m explained at the beginning of that section, according to whether the EBITDA is taken to be £1.2m or £1.38m.  I would note</w:t>
      </w:r>
      <w:r w:rsidR="00220973">
        <w:t xml:space="preserve"> here</w:t>
      </w:r>
      <w:r>
        <w:t xml:space="preserve"> that, if the EBITDA is taken as the £1.1m adopted by the experts for the First Valuation Date</w:t>
      </w:r>
      <w:r w:rsidR="00220973">
        <w:t>,</w:t>
      </w:r>
      <w:r>
        <w:t xml:space="preserve"> then the reverse calculation would lead to a multiple of approximately 5.2x.  Mr Taylor sa</w:t>
      </w:r>
      <w:r w:rsidR="00220973">
        <w:t>id</w:t>
      </w:r>
      <w:r>
        <w:t xml:space="preserve"> the LIM indicates the price Livingbridge were willing to pay for the business.  However, as I read it, the reverse calculation of the different multiples is based upon the </w:t>
      </w:r>
      <w:r w:rsidR="00BD04CE">
        <w:t xml:space="preserve">amount of funding </w:t>
      </w:r>
      <w:r>
        <w:t>Livingbridge</w:t>
      </w:r>
      <w:r w:rsidR="00BD04CE">
        <w:t xml:space="preserve"> was committing to the Transaction.</w:t>
      </w:r>
      <w:r>
        <w:t xml:space="preserve"> The two are different things, especially when (as explained in the section: “</w:t>
      </w:r>
      <w:r w:rsidRPr="00D35C2B">
        <w:rPr>
          <w:i/>
          <w:iCs/>
        </w:rPr>
        <w:t>Sources</w:t>
      </w:r>
      <w:r>
        <w:t>” and “</w:t>
      </w:r>
      <w:r w:rsidRPr="00D35C2B">
        <w:rPr>
          <w:i/>
          <w:iCs/>
        </w:rPr>
        <w:t>Uses</w:t>
      </w:r>
      <w:r>
        <w:t xml:space="preserve">”) </w:t>
      </w:r>
      <w:r w:rsidR="00ED4519">
        <w:t>£</w:t>
      </w:r>
      <w:r w:rsidR="00ED4519" w:rsidRPr="00ED4519">
        <w:t>1</w:t>
      </w:r>
      <w:r w:rsidR="00220973">
        <w:t>.</w:t>
      </w:r>
      <w:r w:rsidR="00ED4519" w:rsidRPr="00ED4519">
        <w:t>021</w:t>
      </w:r>
      <w:r w:rsidR="00ED4519">
        <w:t>m of that £5.7m was going in “</w:t>
      </w:r>
      <w:r w:rsidR="00ED4519" w:rsidRPr="00D35C2B">
        <w:rPr>
          <w:i/>
          <w:iCs/>
        </w:rPr>
        <w:t>deal fees</w:t>
      </w:r>
      <w:r w:rsidR="00ED4519">
        <w:t>”, leaving an “</w:t>
      </w:r>
      <w:r w:rsidR="00ED4519" w:rsidRPr="00D35C2B">
        <w:rPr>
          <w:i/>
          <w:iCs/>
        </w:rPr>
        <w:t>EV</w:t>
      </w:r>
      <w:r w:rsidR="00ED4519">
        <w:t xml:space="preserve">” of £4.716m.  </w:t>
      </w:r>
      <w:r w:rsidR="00D35C2B">
        <w:t>When commenting upon Livingbridge’s formal offer of 19 May 2014, which referred to the funding of transaction fees of £1m, Mr Billingham said this was “</w:t>
      </w:r>
      <w:r w:rsidR="00D35C2B" w:rsidRPr="00D35C2B">
        <w:rPr>
          <w:i/>
          <w:iCs/>
        </w:rPr>
        <w:t>incredibly high but not unusual</w:t>
      </w:r>
      <w:r w:rsidR="00D35C2B">
        <w:t xml:space="preserve">” and said the Claimants should suggest that Knight’s fees were also included.  </w:t>
      </w:r>
      <w:r w:rsidR="00ED4519">
        <w:t xml:space="preserve">The </w:t>
      </w:r>
      <w:r w:rsidR="00FF76CE">
        <w:t xml:space="preserve">transaction </w:t>
      </w:r>
      <w:r w:rsidR="00ED4519">
        <w:t xml:space="preserve">fees and costs associated with making an investment are highly relevant to the return </w:t>
      </w:r>
      <w:r w:rsidR="00FF76CE">
        <w:t xml:space="preserve">that the investor (incurring those costs in an amount specific to him) </w:t>
      </w:r>
      <w:r w:rsidR="00BD04CE">
        <w:t>but whether they should influence the price of the investment is quite another matter</w:t>
      </w:r>
      <w:r w:rsidR="00FF76CE">
        <w:t xml:space="preserve">.   </w:t>
      </w:r>
    </w:p>
    <w:p w14:paraId="281666AD" w14:textId="4B02F54B" w:rsidR="00D163BE" w:rsidRDefault="00FF76CE" w:rsidP="00EF2FE7">
      <w:pPr>
        <w:pStyle w:val="ParaLevel1"/>
      </w:pPr>
      <w:r>
        <w:t xml:space="preserve">It therefore seems to me that this section of the LIM was </w:t>
      </w:r>
      <w:r w:rsidR="00796393">
        <w:t xml:space="preserve">illustrating the multiple </w:t>
      </w:r>
      <w:r w:rsidR="00D163BE">
        <w:t xml:space="preserve">that would be </w:t>
      </w:r>
      <w:r w:rsidR="00796393">
        <w:t xml:space="preserve">required </w:t>
      </w:r>
      <w:r>
        <w:t xml:space="preserve">(at the different EBITDA figures) </w:t>
      </w:r>
      <w:r w:rsidR="00796393">
        <w:t xml:space="preserve">for Livingbridge </w:t>
      </w:r>
      <w:r>
        <w:t xml:space="preserve">to secure the repayment of the principal amount of their </w:t>
      </w:r>
      <w:r w:rsidR="00796393">
        <w:t>funding (i.e. “</w:t>
      </w:r>
      <w:r w:rsidR="00796393" w:rsidRPr="00D163BE">
        <w:rPr>
          <w:i/>
          <w:iCs/>
        </w:rPr>
        <w:t>on a money back basis</w:t>
      </w:r>
      <w:r w:rsidR="00796393">
        <w:t xml:space="preserve">”).  This approach </w:t>
      </w:r>
      <w:r w:rsidR="00254327">
        <w:t>seems to have been prompted by the fact that the Claimants and Mr Lindsell were rolling over equity into the Company (“[</w:t>
      </w:r>
      <w:r w:rsidR="00254327" w:rsidRPr="00D163BE">
        <w:rPr>
          <w:i/>
          <w:iCs/>
        </w:rPr>
        <w:t>D]ue to management rolling into ordinary equity</w:t>
      </w:r>
      <w:r w:rsidR="00254327">
        <w:t>”) and</w:t>
      </w:r>
      <w:r w:rsidR="00D163BE">
        <w:t xml:space="preserve"> </w:t>
      </w:r>
      <w:r w:rsidR="00254327">
        <w:t xml:space="preserve">the implied EBITDA multiples </w:t>
      </w:r>
      <w:r w:rsidR="00D163BE">
        <w:t xml:space="preserve">seem to have been calculated from the perspective of Livingbridge as funder.  Although the £5.7m </w:t>
      </w:r>
      <w:r w:rsidR="00220973">
        <w:t>does include</w:t>
      </w:r>
      <w:r w:rsidR="00D163BE">
        <w:t xml:space="preserve"> the nominal value of its shareholding in the Company as well as its loan stock, the implied multiple</w:t>
      </w:r>
      <w:r w:rsidR="00153CC9">
        <w:t>s</w:t>
      </w:r>
      <w:r w:rsidR="00D163BE">
        <w:t xml:space="preserve"> </w:t>
      </w:r>
      <w:r w:rsidR="00153CC9">
        <w:t>required for Livingbridge to get its money back took no</w:t>
      </w:r>
      <w:r w:rsidR="00D163BE">
        <w:t xml:space="preserve"> account of the RPP attached to the Livingbridge shareholding; though in the same section its impact had been illustrated with the observation that “</w:t>
      </w:r>
      <w:r w:rsidR="00D163BE" w:rsidRPr="00D163BE">
        <w:rPr>
          <w:i/>
          <w:iCs/>
        </w:rPr>
        <w:t>…. if we sold IPS the day after completion for £11.5m, all proceeds would come to ISIS as all value would shift in the equity structure to ISIS until 2 x returns is achieved</w:t>
      </w:r>
      <w:r w:rsidR="00D163BE">
        <w:t>”.</w:t>
      </w:r>
    </w:p>
    <w:p w14:paraId="46D96AFD" w14:textId="4F649C4D" w:rsidR="00ED4519" w:rsidRDefault="00D163BE" w:rsidP="00EF2FE7">
      <w:pPr>
        <w:pStyle w:val="ParaLevel1"/>
      </w:pPr>
      <w:r>
        <w:t xml:space="preserve">Therefore, following on from </w:t>
      </w:r>
      <w:r w:rsidR="00153CC9">
        <w:t>my observations</w:t>
      </w:r>
      <w:r>
        <w:t xml:space="preserve"> above</w:t>
      </w:r>
      <w:r w:rsidR="00153CC9">
        <w:t xml:space="preserve"> in relation to the EBITDA implied by the Transaction</w:t>
      </w:r>
      <w:r>
        <w:t xml:space="preserve">, the calculation </w:t>
      </w:r>
      <w:r w:rsidR="00153CC9">
        <w:t>of the implied multiples in the LIM do</w:t>
      </w:r>
      <w:r w:rsidR="00220973">
        <w:t xml:space="preserve">es </w:t>
      </w:r>
      <w:r w:rsidR="00153CC9">
        <w:t>not appear to have taken account of th</w:t>
      </w:r>
      <w:r w:rsidR="00220973">
        <w:t>at part of the EV of IPS UK which was carried into the shareholdings in the Company.</w:t>
      </w:r>
      <w:r w:rsidR="00153CC9">
        <w:t xml:space="preserve">  </w:t>
      </w:r>
      <w:r w:rsidR="00254327">
        <w:t xml:space="preserve">  </w:t>
      </w:r>
    </w:p>
    <w:p w14:paraId="6F795C89" w14:textId="2E0701E5" w:rsidR="00441D56" w:rsidRPr="00397AC3" w:rsidRDefault="0015642F" w:rsidP="00EF2FE7">
      <w:pPr>
        <w:pStyle w:val="ParaLevel1"/>
      </w:pPr>
      <w:r>
        <w:t xml:space="preserve">The implied range of EBITDA multiples which Mr Taylor derived from the </w:t>
      </w:r>
      <w:r w:rsidR="00254327">
        <w:t xml:space="preserve">LIM and from </w:t>
      </w:r>
      <w:r>
        <w:t xml:space="preserve">Transaction terms is also at odds with the multiple which Mr Morris on behalf of Livingbridge was using in the run up to the Transaction. </w:t>
      </w:r>
    </w:p>
    <w:p w14:paraId="621349E9" w14:textId="4136E140" w:rsidR="00397AC3" w:rsidRDefault="004969A1" w:rsidP="00EF2FE7">
      <w:pPr>
        <w:pStyle w:val="ParaLevel1"/>
      </w:pPr>
      <w:r>
        <w:t xml:space="preserve">On </w:t>
      </w:r>
      <w:r w:rsidR="00EF1EBA">
        <w:t>24 March 2014, Mr Morris wrote with Livingbridge’s indicative offer which he said was</w:t>
      </w:r>
      <w:r w:rsidR="00EF1EBA" w:rsidRPr="00EF1EBA">
        <w:t xml:space="preserve"> </w:t>
      </w:r>
      <w:r w:rsidR="00EF1EBA">
        <w:t>“</w:t>
      </w:r>
      <w:r w:rsidR="00EF1EBA" w:rsidRPr="00EF1EBA">
        <w:rPr>
          <w:i/>
          <w:iCs/>
        </w:rPr>
        <w:t>based on an Enterprise Value of £.7 mlllion which represents 7.5x FY14 EBIT of £935k as detailed in the I[nformation] M[emorandum].</w:t>
      </w:r>
      <w:r w:rsidR="00EF1EBA">
        <w:t xml:space="preserve">” </w:t>
      </w:r>
    </w:p>
    <w:p w14:paraId="51081E04" w14:textId="77777777" w:rsidR="00DD7D08" w:rsidRDefault="00F502FD" w:rsidP="00EF2FE7">
      <w:pPr>
        <w:pStyle w:val="ParaLevel1"/>
      </w:pPr>
      <w:r>
        <w:t>On 19 May 2014 Mr Morris submitted Livingbridge’s formal offer which, at that stage contemplated that the Claimants would each receive £2m in cash (Mr Lindsell £500,000) and, because of the sweet equity arrangement then proposed, a 25% shareholding in the Company.  This was on the basis that Livingbridge would provide £6.5m of funding (including £1m for transaction fees) and one of the conditions of the offer was Livingbridge being “</w:t>
      </w:r>
      <w:r w:rsidRPr="00DD7D08">
        <w:rPr>
          <w:i/>
          <w:iCs/>
        </w:rPr>
        <w:t>satisfied with the adjusted underlying EBITDA for the year ended 30 November 2014 being not materially less than £1.1m.</w:t>
      </w:r>
      <w:r>
        <w:t xml:space="preserve">” </w:t>
      </w:r>
    </w:p>
    <w:p w14:paraId="3F173182" w14:textId="0DA19D3A" w:rsidR="00F502FD" w:rsidRDefault="00F502FD" w:rsidP="00EF2FE7">
      <w:pPr>
        <w:pStyle w:val="ParaLevel1"/>
      </w:pPr>
      <w:r>
        <w:t xml:space="preserve">The formal offer did not </w:t>
      </w:r>
      <w:r w:rsidR="001519CA">
        <w:t>refer to</w:t>
      </w:r>
      <w:r w:rsidR="00DD7D08">
        <w:t xml:space="preserve"> any multiple of that figure. However, on 2 July 2014, Mr Morris wrote to </w:t>
      </w:r>
      <w:r w:rsidR="003D1D8C">
        <w:t>Mr Billingham with further proposals from Livinbridge.  These included: “</w:t>
      </w:r>
      <w:r w:rsidR="003D1D8C" w:rsidRPr="003D1D8C">
        <w:rPr>
          <w:i/>
          <w:iCs/>
        </w:rPr>
        <w:t>I propose that we acquire a further 10% from Kevin and Paul at a cost of £1m. This is a premium to the current valuation we have applied of 7.5x the earnings of £1.1 m. ISIS will therefore hold 45% of Newco and Kevin and Paul will hold 21.5% each</w:t>
      </w:r>
      <w:r w:rsidR="003D1D8C">
        <w:t>.”</w:t>
      </w:r>
    </w:p>
    <w:p w14:paraId="220EE6E1" w14:textId="28C79DFE" w:rsidR="00DD7D08" w:rsidRDefault="003D1D8C" w:rsidP="00EF2FE7">
      <w:pPr>
        <w:pStyle w:val="ParaLevel1"/>
      </w:pPr>
      <w:r>
        <w:t xml:space="preserve">As </w:t>
      </w:r>
      <w:r w:rsidR="00DD7D08">
        <w:t xml:space="preserve">Mr Taylor </w:t>
      </w:r>
      <w:r>
        <w:t xml:space="preserve">recognised, the premium price of £1m for an additional 10% shareholding was in excess of the £825,000 which the current valuation of £8.25m (7.5x £1.1m) adopted by Livingbridge would indicate.  He </w:t>
      </w:r>
      <w:r w:rsidR="00DD7D08">
        <w:t>accepted in cross-examinati</w:t>
      </w:r>
      <w:r>
        <w:t xml:space="preserve">on </w:t>
      </w:r>
      <w:r w:rsidR="00DD7D08">
        <w:t xml:space="preserve">that on 24 March and 2 July 2014 </w:t>
      </w:r>
      <w:r w:rsidR="00C525FF">
        <w:t xml:space="preserve">Livingbridge </w:t>
      </w:r>
      <w:r w:rsidR="00DD7D08">
        <w:t>were talking about a</w:t>
      </w:r>
      <w:r>
        <w:t xml:space="preserve">n EBITDA </w:t>
      </w:r>
      <w:r w:rsidR="00DD7D08">
        <w:t>multiple of 7.5x.</w:t>
      </w:r>
      <w:r>
        <w:t xml:space="preserve"> </w:t>
      </w:r>
    </w:p>
    <w:p w14:paraId="0DA0B0C3" w14:textId="7B281FAC" w:rsidR="003B1877" w:rsidRDefault="00F46226" w:rsidP="00EF2FE7">
      <w:pPr>
        <w:pStyle w:val="ParaLevel1"/>
      </w:pPr>
      <w:r>
        <w:t xml:space="preserve">The contemporaneous documents </w:t>
      </w:r>
      <w:r w:rsidR="008678AE">
        <w:t xml:space="preserve">also </w:t>
      </w:r>
      <w:r>
        <w:t>show that Mr Crossl</w:t>
      </w:r>
      <w:r w:rsidR="00EF6A31">
        <w:t>e</w:t>
      </w:r>
      <w:r>
        <w:t xml:space="preserve">y understood that </w:t>
      </w:r>
      <w:r w:rsidR="00053D1D">
        <w:t>Livingbridge were basing their offer on a 7.5x EBITDA multiple. On 26 August 2014, Ms Cockburn sent him and the Claimants (copying Mr Billingham) an email which was directed to the “hurdle” for the issue of the sweet equity contemplated at that time.  She set out her understanding of the proposal in three points, the first of which was: “</w:t>
      </w:r>
      <w:r w:rsidR="00053D1D" w:rsidRPr="00053D1D">
        <w:rPr>
          <w:i/>
          <w:iCs/>
        </w:rPr>
        <w:t>The business is currently valued at £8.25m by Isis based on £1.lm EBITDA rate multiplied by 7.5.</w:t>
      </w:r>
      <w:r w:rsidR="00053D1D">
        <w:t>”  Mr Crossley</w:t>
      </w:r>
      <w:r w:rsidR="00053D1D" w:rsidRPr="00053D1D">
        <w:t xml:space="preserve"> </w:t>
      </w:r>
      <w:r w:rsidR="00053D1D">
        <w:t>began his response with “</w:t>
      </w:r>
      <w:r w:rsidR="00053D1D" w:rsidRPr="00053D1D">
        <w:rPr>
          <w:i/>
          <w:iCs/>
        </w:rPr>
        <w:t>I agree with your understanding as set out below</w:t>
      </w:r>
      <w:r w:rsidR="00053D1D">
        <w:t xml:space="preserve">.” </w:t>
      </w:r>
      <w:r w:rsidR="003B1877">
        <w:t xml:space="preserve">His handwritten notes on the draft Articles </w:t>
      </w:r>
      <w:r w:rsidR="003D1D8C">
        <w:t xml:space="preserve">reviewed by him </w:t>
      </w:r>
      <w:r w:rsidR="003B1877">
        <w:t>also referred to:</w:t>
      </w:r>
    </w:p>
    <w:p w14:paraId="6DCFEFDF" w14:textId="6B35E50A" w:rsidR="003B1877" w:rsidRPr="00535E60" w:rsidRDefault="003B1877" w:rsidP="00EF2FE7">
      <w:pPr>
        <w:pStyle w:val="ParaLevel1"/>
        <w:numPr>
          <w:ilvl w:val="0"/>
          <w:numId w:val="0"/>
        </w:numPr>
        <w:ind w:left="1134"/>
        <w:rPr>
          <w:i/>
          <w:iCs/>
        </w:rPr>
      </w:pPr>
      <w:r>
        <w:t>“</w:t>
      </w:r>
      <w:r w:rsidRPr="00535E60">
        <w:rPr>
          <w:i/>
          <w:iCs/>
        </w:rPr>
        <w:t>Value co</w:t>
      </w:r>
    </w:p>
    <w:p w14:paraId="5AF6B8BF" w14:textId="77777777" w:rsidR="003B1877" w:rsidRPr="00535E60" w:rsidRDefault="003B1877" w:rsidP="00EF2FE7">
      <w:pPr>
        <w:pStyle w:val="ParaLevel1"/>
        <w:numPr>
          <w:ilvl w:val="0"/>
          <w:numId w:val="0"/>
        </w:numPr>
        <w:ind w:left="1134"/>
        <w:rPr>
          <w:i/>
          <w:iCs/>
        </w:rPr>
      </w:pPr>
      <w:r w:rsidRPr="00535E60">
        <w:rPr>
          <w:i/>
          <w:iCs/>
        </w:rPr>
        <w:t xml:space="preserve">7 x 5 x 1.1 EBITDA </w:t>
      </w:r>
    </w:p>
    <w:p w14:paraId="68C6758A" w14:textId="68A9F3B1" w:rsidR="003B1877" w:rsidRPr="00535E60" w:rsidRDefault="003B1877" w:rsidP="00EF2FE7">
      <w:pPr>
        <w:pStyle w:val="ParaLevel1"/>
        <w:numPr>
          <w:ilvl w:val="0"/>
          <w:numId w:val="0"/>
        </w:numPr>
        <w:ind w:left="1134"/>
        <w:rPr>
          <w:i/>
          <w:iCs/>
        </w:rPr>
      </w:pPr>
      <w:r w:rsidRPr="00535E60">
        <w:rPr>
          <w:i/>
          <w:iCs/>
        </w:rPr>
        <w:t>-&gt; 8.2%</w:t>
      </w:r>
    </w:p>
    <w:p w14:paraId="20981FD4" w14:textId="77777777" w:rsidR="003B1877" w:rsidRPr="00535E60" w:rsidRDefault="003B1877" w:rsidP="00EF2FE7">
      <w:pPr>
        <w:pStyle w:val="ParaLevel1"/>
        <w:numPr>
          <w:ilvl w:val="0"/>
          <w:numId w:val="0"/>
        </w:numPr>
        <w:ind w:left="1134"/>
        <w:rPr>
          <w:i/>
          <w:iCs/>
        </w:rPr>
      </w:pPr>
      <w:r w:rsidRPr="00535E60">
        <w:rPr>
          <w:i/>
          <w:iCs/>
        </w:rPr>
        <w:t>2m cash</w:t>
      </w:r>
    </w:p>
    <w:p w14:paraId="0709C2B0" w14:textId="77777777" w:rsidR="003B1877" w:rsidRPr="00535E60" w:rsidRDefault="003B1877" w:rsidP="00EF2FE7">
      <w:pPr>
        <w:pStyle w:val="ParaLevel1"/>
        <w:numPr>
          <w:ilvl w:val="0"/>
          <w:numId w:val="0"/>
        </w:numPr>
        <w:ind w:left="1134"/>
        <w:rPr>
          <w:i/>
          <w:iCs/>
        </w:rPr>
      </w:pPr>
      <w:r w:rsidRPr="00535E60">
        <w:rPr>
          <w:i/>
          <w:iCs/>
        </w:rPr>
        <w:t>1.589m rolled</w:t>
      </w:r>
    </w:p>
    <w:p w14:paraId="1C7E9608" w14:textId="77777777" w:rsidR="003B1877" w:rsidRPr="00535E60" w:rsidRDefault="003B1877" w:rsidP="00EF2FE7">
      <w:pPr>
        <w:pStyle w:val="ParaLevel1"/>
        <w:numPr>
          <w:ilvl w:val="0"/>
          <w:numId w:val="0"/>
        </w:numPr>
        <w:ind w:left="1134"/>
        <w:rPr>
          <w:i/>
          <w:iCs/>
        </w:rPr>
      </w:pPr>
      <w:r w:rsidRPr="00535E60">
        <w:rPr>
          <w:i/>
          <w:iCs/>
        </w:rPr>
        <w:t>-&gt; 17.2 hard</w:t>
      </w:r>
    </w:p>
    <w:p w14:paraId="3F4E7E4F" w14:textId="77777777" w:rsidR="003B1877" w:rsidRPr="00535E60" w:rsidRDefault="003B1877" w:rsidP="00EF2FE7">
      <w:pPr>
        <w:pStyle w:val="ParaLevel1"/>
        <w:numPr>
          <w:ilvl w:val="0"/>
          <w:numId w:val="0"/>
        </w:numPr>
        <w:ind w:left="1134"/>
        <w:rPr>
          <w:i/>
          <w:iCs/>
        </w:rPr>
      </w:pPr>
      <w:r w:rsidRPr="00535E60">
        <w:rPr>
          <w:i/>
          <w:iCs/>
        </w:rPr>
        <w:t>26.5 with sweet</w:t>
      </w:r>
    </w:p>
    <w:p w14:paraId="63FBF207" w14:textId="6ACD6C37" w:rsidR="00244379" w:rsidRPr="00535E60" w:rsidRDefault="003B1877" w:rsidP="00EF2FE7">
      <w:pPr>
        <w:pStyle w:val="ParaLevel1"/>
        <w:numPr>
          <w:ilvl w:val="0"/>
          <w:numId w:val="0"/>
        </w:numPr>
        <w:ind w:left="1134"/>
        <w:rPr>
          <w:i/>
          <w:iCs/>
        </w:rPr>
      </w:pPr>
      <w:r w:rsidRPr="00535E60">
        <w:rPr>
          <w:i/>
          <w:iCs/>
          <w:u w:val="single"/>
        </w:rPr>
        <w:t>65%</w:t>
      </w:r>
      <w:r w:rsidRPr="00535E60">
        <w:rPr>
          <w:i/>
          <w:iCs/>
        </w:rPr>
        <w:t>”</w:t>
      </w:r>
    </w:p>
    <w:p w14:paraId="2E700C91" w14:textId="77777777" w:rsidR="003B1877" w:rsidRDefault="003B1877" w:rsidP="00EF2FE7">
      <w:pPr>
        <w:pStyle w:val="ParaLevel1"/>
        <w:numPr>
          <w:ilvl w:val="0"/>
          <w:numId w:val="0"/>
        </w:numPr>
        <w:ind w:left="720"/>
      </w:pPr>
    </w:p>
    <w:p w14:paraId="1384D39B" w14:textId="05EA78F5" w:rsidR="003B1877" w:rsidRDefault="003B1877" w:rsidP="00EF2FE7">
      <w:pPr>
        <w:pStyle w:val="ParaLevel1"/>
      </w:pPr>
      <w:r>
        <w:t>In addition to providing an indication that the rolled over equity in the Company was being treated as having more value than the nominal price of the shares (see below) this shows that the 7.5x multiple was clearly in Mr Crossley’s mind.</w:t>
      </w:r>
    </w:p>
    <w:p w14:paraId="19E52106" w14:textId="241642B3" w:rsidR="008F4ED2" w:rsidRDefault="007C53AE" w:rsidP="00EF2FE7">
      <w:pPr>
        <w:pStyle w:val="ParaLevel1"/>
      </w:pPr>
      <w:r>
        <w:t>The Firm contend</w:t>
      </w:r>
      <w:r w:rsidR="003D1D8C">
        <w:t xml:space="preserve">ed </w:t>
      </w:r>
      <w:r>
        <w:t xml:space="preserve">that Mr Taylor’s </w:t>
      </w:r>
      <w:r w:rsidR="008F4ED2">
        <w:t xml:space="preserve">analysis </w:t>
      </w:r>
      <w:r w:rsidR="005A1ADF">
        <w:t xml:space="preserve">that a </w:t>
      </w:r>
      <w:r w:rsidR="008F4ED2" w:rsidRPr="008F4ED2">
        <w:t xml:space="preserve">consideration </w:t>
      </w:r>
      <w:r w:rsidR="005A1ADF">
        <w:t xml:space="preserve">of </w:t>
      </w:r>
      <w:r w:rsidR="005A1ADF" w:rsidRPr="005A1ADF">
        <w:t>£4,910,842</w:t>
      </w:r>
      <w:r w:rsidR="00FA4A07">
        <w:t xml:space="preserve"> (before adjustments)</w:t>
      </w:r>
      <w:r w:rsidR="005A1ADF">
        <w:t xml:space="preserve"> was </w:t>
      </w:r>
      <w:r w:rsidR="008F4ED2" w:rsidRPr="008F4ED2">
        <w:t xml:space="preserve">paid for the </w:t>
      </w:r>
      <w:r w:rsidR="005A1ADF">
        <w:t>shares</w:t>
      </w:r>
      <w:r w:rsidR="008F4ED2" w:rsidRPr="008F4ED2">
        <w:t xml:space="preserve"> IPS UK </w:t>
      </w:r>
      <w:r w:rsidR="005A1ADF">
        <w:t>was supported by</w:t>
      </w:r>
      <w:r w:rsidR="008F4ED2" w:rsidRPr="008F4ED2">
        <w:t xml:space="preserve"> clause 3 of the S</w:t>
      </w:r>
      <w:r w:rsidR="008F4ED2">
        <w:t xml:space="preserve">hare </w:t>
      </w:r>
      <w:r w:rsidR="008F4ED2" w:rsidRPr="008F4ED2">
        <w:t>P</w:t>
      </w:r>
      <w:r w:rsidR="008F4ED2">
        <w:t xml:space="preserve">urchase </w:t>
      </w:r>
      <w:r w:rsidR="008F4ED2" w:rsidRPr="008F4ED2">
        <w:t>A</w:t>
      </w:r>
      <w:r w:rsidR="008F4ED2">
        <w:t xml:space="preserve">greement, a </w:t>
      </w:r>
      <w:r w:rsidR="008F4ED2" w:rsidRPr="008F4ED2">
        <w:t>consideration table prepared by PwC in October 2014</w:t>
      </w:r>
      <w:r w:rsidR="008F4ED2">
        <w:t>, the Firm’s tax clearance letter (which adopted that analysis of the consideration) mentioned below, and the Claimants’ own tax returns.</w:t>
      </w:r>
    </w:p>
    <w:p w14:paraId="089AA823" w14:textId="77777777" w:rsidR="00E36FF4" w:rsidRDefault="00FD59B5" w:rsidP="00EF2FE7">
      <w:pPr>
        <w:pStyle w:val="ParaLevel1"/>
      </w:pPr>
      <w:r>
        <w:t>On my reading of them</w:t>
      </w:r>
      <w:r w:rsidR="003D1D8C">
        <w:t>,</w:t>
      </w:r>
      <w:r>
        <w:t xml:space="preserve"> each of these documents shows what the consideration was </w:t>
      </w:r>
      <w:r w:rsidR="00FA4A07">
        <w:t xml:space="preserve">(or was proposed to be) </w:t>
      </w:r>
      <w:r>
        <w:t xml:space="preserve">under the Transaction but none of them </w:t>
      </w:r>
      <w:r w:rsidR="005A1ADF">
        <w:t xml:space="preserve">provides the basis for inferring that was the EV of IPS UK.  In order for that to follow the </w:t>
      </w:r>
      <w:r w:rsidR="00E36FF4">
        <w:t xml:space="preserve">value of the </w:t>
      </w:r>
      <w:r w:rsidR="00EE1317">
        <w:t xml:space="preserve">consideration </w:t>
      </w:r>
      <w:r w:rsidR="005A1ADF">
        <w:t>shares in the Company (which has acquired the enterprise) would have to the same as their nominal value</w:t>
      </w:r>
      <w:r w:rsidR="000354C3">
        <w:t xml:space="preserve"> of </w:t>
      </w:r>
      <w:r w:rsidR="00EE1317">
        <w:t>£0.01 each</w:t>
      </w:r>
      <w:r w:rsidR="005A1ADF">
        <w:t xml:space="preserve">: </w:t>
      </w:r>
      <w:r w:rsidR="00EE1317">
        <w:t xml:space="preserve">a total of £205,000 across the Claimants’ 18 million (odd) C Shares and Mr Lindsell’s 1.5 million </w:t>
      </w:r>
      <w:r w:rsidR="007E4DF1">
        <w:t>D</w:t>
      </w:r>
      <w:r w:rsidR="00EE1317">
        <w:t xml:space="preserve"> Shares.  Of course, Mr Taylor says they were not even worth that, being valueless at issue regardless of the RPP, but the point is that these documents did not put a</w:t>
      </w:r>
      <w:r w:rsidR="00F40FBB">
        <w:t>ny</w:t>
      </w:r>
      <w:r w:rsidR="00EE1317">
        <w:t xml:space="preserve"> value on the rolled over equity.  </w:t>
      </w:r>
    </w:p>
    <w:p w14:paraId="579D1004" w14:textId="1FD40DC6" w:rsidR="000354C3" w:rsidRDefault="00E36FF4" w:rsidP="00EF2FE7">
      <w:pPr>
        <w:pStyle w:val="ParaLevel1"/>
      </w:pPr>
      <w:r>
        <w:t xml:space="preserve">In my judgment, this highlights the difficulty of attempting to determine the </w:t>
      </w:r>
      <w:r w:rsidR="00F40FBB">
        <w:t xml:space="preserve">EV of IPS UK </w:t>
      </w:r>
      <w:r>
        <w:t xml:space="preserve">by reference to </w:t>
      </w:r>
      <w:r w:rsidR="00F40FBB">
        <w:t xml:space="preserve">the </w:t>
      </w:r>
      <w:r w:rsidR="007E4DF1">
        <w:t xml:space="preserve">consideration </w:t>
      </w:r>
      <w:r>
        <w:t>received by its shareholders</w:t>
      </w:r>
      <w:r w:rsidR="007E4DF1">
        <w:t xml:space="preserve"> when that includes an ongoing stake in the enterprise</w:t>
      </w:r>
      <w:r>
        <w:t xml:space="preserve"> through shares in the Company: the rolled over equity. </w:t>
      </w:r>
      <w:r w:rsidR="00F40FBB">
        <w:t xml:space="preserve">A £0.01p C Share is not necessarily worth the same as </w:t>
      </w:r>
      <w:r>
        <w:t>one</w:t>
      </w:r>
      <w:r w:rsidR="00F40FBB">
        <w:t xml:space="preserve"> pen</w:t>
      </w:r>
      <w:r w:rsidR="00D61516">
        <w:t>ce</w:t>
      </w:r>
      <w:r w:rsidR="00F40FBB">
        <w:t xml:space="preserve"> of the cash consideration</w:t>
      </w:r>
      <w:r w:rsidR="00047A83">
        <w:t>.  T</w:t>
      </w:r>
      <w:r w:rsidR="00F40FBB">
        <w:t>he value of the share will reflect the Company</w:t>
      </w:r>
      <w:r w:rsidR="00C65979">
        <w:t xml:space="preserve"> whether that is measured by reference to its EV or </w:t>
      </w:r>
      <w:r w:rsidR="00010FC4">
        <w:t>some other basis of valuation</w:t>
      </w:r>
      <w:r w:rsidR="00F40FBB">
        <w:t xml:space="preserve">.  </w:t>
      </w:r>
      <w:r w:rsidR="00EE1317">
        <w:t xml:space="preserve">  </w:t>
      </w:r>
    </w:p>
    <w:p w14:paraId="5C0339A0" w14:textId="6983AAAE" w:rsidR="00831B0B" w:rsidRDefault="00EE1317" w:rsidP="00EF2FE7">
      <w:pPr>
        <w:pStyle w:val="ParaLevel1"/>
      </w:pPr>
      <w:r>
        <w:t xml:space="preserve">It is the case that </w:t>
      </w:r>
      <w:r w:rsidR="007E4DF1">
        <w:t xml:space="preserve">the PwC </w:t>
      </w:r>
      <w:r w:rsidR="00FA4A07">
        <w:t xml:space="preserve">table pre-dated the Transaction (though it was </w:t>
      </w:r>
      <w:r w:rsidR="00FF0B4E">
        <w:t>focus</w:t>
      </w:r>
      <w:r w:rsidR="00FA4A07">
        <w:t>ing upon the basic structure of it) and it was headed “</w:t>
      </w:r>
      <w:r w:rsidR="00FA4A07" w:rsidRPr="00FA4A07">
        <w:t>Project Spur - Consideration (EV £4.9m)</w:t>
      </w:r>
      <w:r w:rsidR="00FA4A07">
        <w:t xml:space="preserve">.”  </w:t>
      </w:r>
      <w:r w:rsidR="003A42CC">
        <w:t>T</w:t>
      </w:r>
      <w:r w:rsidR="00FA4A07">
        <w:t>he footnotes to the</w:t>
      </w:r>
      <w:r w:rsidR="003A42CC">
        <w:t xml:space="preserve"> table show that EV figure equates to the</w:t>
      </w:r>
      <w:r w:rsidR="00FA4A07">
        <w:t xml:space="preserve"> </w:t>
      </w:r>
      <w:r w:rsidR="003A42CC">
        <w:t>“</w:t>
      </w:r>
      <w:r w:rsidR="003A42CC" w:rsidRPr="003A42CC">
        <w:rPr>
          <w:i/>
          <w:iCs/>
        </w:rPr>
        <w:t>headline proceeds</w:t>
      </w:r>
      <w:r w:rsidR="003A42CC">
        <w:t>” which are the total of the “</w:t>
      </w:r>
      <w:r w:rsidR="003A42CC" w:rsidRPr="003A42CC">
        <w:rPr>
          <w:i/>
          <w:iCs/>
        </w:rPr>
        <w:t>implied total cash out per the offer letter</w:t>
      </w:r>
      <w:r w:rsidR="003A42CC" w:rsidRPr="003A42CC">
        <w:t xml:space="preserve"> </w:t>
      </w:r>
      <w:r w:rsidR="003A42CC" w:rsidRPr="003A42CC">
        <w:rPr>
          <w:i/>
          <w:iCs/>
        </w:rPr>
        <w:t>and the rollov</w:t>
      </w:r>
      <w:r w:rsidR="001F61EA">
        <w:rPr>
          <w:i/>
          <w:iCs/>
        </w:rPr>
        <w:t>e</w:t>
      </w:r>
      <w:r w:rsidR="003A42CC" w:rsidRPr="003A42CC">
        <w:rPr>
          <w:i/>
          <w:iCs/>
        </w:rPr>
        <w:t>r sta</w:t>
      </w:r>
      <w:r w:rsidR="003A42CC">
        <w:rPr>
          <w:i/>
          <w:iCs/>
        </w:rPr>
        <w:t xml:space="preserve">ke </w:t>
      </w:r>
      <w:r w:rsidR="003A42CC" w:rsidRPr="003A42CC">
        <w:rPr>
          <w:i/>
          <w:iCs/>
        </w:rPr>
        <w:t>(65%</w:t>
      </w:r>
      <w:r w:rsidR="003A42CC">
        <w:rPr>
          <w:i/>
          <w:iCs/>
        </w:rPr>
        <w:t xml:space="preserve">) </w:t>
      </w:r>
      <w:r w:rsidR="003A42CC" w:rsidRPr="003A42CC">
        <w:rPr>
          <w:i/>
          <w:iCs/>
        </w:rPr>
        <w:t xml:space="preserve">in </w:t>
      </w:r>
      <w:r w:rsidR="003A42CC">
        <w:rPr>
          <w:i/>
          <w:iCs/>
        </w:rPr>
        <w:t>N</w:t>
      </w:r>
      <w:r w:rsidR="003A42CC" w:rsidRPr="003A42CC">
        <w:rPr>
          <w:i/>
          <w:iCs/>
        </w:rPr>
        <w:t>ewco</w:t>
      </w:r>
      <w:r w:rsidR="003A42CC">
        <w:t xml:space="preserve">”.  Again, therefore, this appears to be an exercise in </w:t>
      </w:r>
      <w:r w:rsidR="001F61EA">
        <w:t xml:space="preserve">reverse reasoning by which the EV is assessed by reference to the consideration payable but where the </w:t>
      </w:r>
      <w:r w:rsidR="00E36FF4">
        <w:t xml:space="preserve">actual </w:t>
      </w:r>
      <w:r w:rsidR="001F61EA">
        <w:t xml:space="preserve">value of the rollover equity </w:t>
      </w:r>
      <w:r w:rsidR="00E36FF4">
        <w:t xml:space="preserve">(as opposed to its face value) </w:t>
      </w:r>
      <w:r w:rsidR="001F61EA">
        <w:t xml:space="preserve">is not known.  In my judgment, the limitations of this are obvious when the position of Mr Fawcett is considered.  As appears from the PwC table and the SPA, he was selling his 4% shareholding in IPS UK but not </w:t>
      </w:r>
      <w:r w:rsidR="00831B0B">
        <w:t xml:space="preserve">also </w:t>
      </w:r>
      <w:r w:rsidR="001F61EA">
        <w:t>“paid” any rollover equity.  Yet, as I understand the position, he acquired a 4% share of what PwC then described as the “</w:t>
      </w:r>
      <w:r w:rsidR="001F61EA" w:rsidRPr="00C140F2">
        <w:rPr>
          <w:i/>
          <w:iCs/>
        </w:rPr>
        <w:t>headline proceeds</w:t>
      </w:r>
      <w:r w:rsidR="001F61EA">
        <w:t>” (</w:t>
      </w:r>
      <w:r w:rsidR="00831B0B">
        <w:t>and, under provisions of some complexity, 4% of</w:t>
      </w:r>
      <w:r w:rsidR="001F61EA">
        <w:t xml:space="preserve"> the Purchase Price u</w:t>
      </w:r>
      <w:r w:rsidR="00831B0B">
        <w:t>n</w:t>
      </w:r>
      <w:r w:rsidR="001F61EA">
        <w:t xml:space="preserve">der the SPA). </w:t>
      </w:r>
      <w:r w:rsidR="00831B0B">
        <w:t>If so, that shows that no separate thought was given to the value of the rollover equity.</w:t>
      </w:r>
    </w:p>
    <w:p w14:paraId="42DF319D" w14:textId="4797B981" w:rsidR="00831B0B" w:rsidRDefault="00831B0B" w:rsidP="00EF2FE7">
      <w:pPr>
        <w:pStyle w:val="ParaLevel1"/>
      </w:pPr>
      <w:r>
        <w:t>In an email to Mr Crossley of 25 August 2014, Mr Usman Choudhary of P</w:t>
      </w:r>
      <w:r w:rsidR="001519CA">
        <w:t>w</w:t>
      </w:r>
      <w:r>
        <w:t>C outlined the proposed structure of the deal with Livingbridge</w:t>
      </w:r>
      <w:r w:rsidR="00572A98">
        <w:t>,</w:t>
      </w:r>
      <w:r>
        <w:t xml:space="preserve"> saying:</w:t>
      </w:r>
    </w:p>
    <w:p w14:paraId="3E99DB87" w14:textId="11D790A0" w:rsidR="000354C3" w:rsidRDefault="00831B0B" w:rsidP="00EF2FE7">
      <w:pPr>
        <w:pStyle w:val="ParaLevel1"/>
        <w:numPr>
          <w:ilvl w:val="0"/>
          <w:numId w:val="0"/>
        </w:numPr>
        <w:ind w:left="1134"/>
      </w:pPr>
      <w:r>
        <w:t>“</w:t>
      </w:r>
      <w:r w:rsidRPr="00831B0B">
        <w:rPr>
          <w:i/>
          <w:iCs/>
        </w:rPr>
        <w:t>this is a "relatively" simple way to achieve what is desired commercially and without unnecessarily complicating the tax position. In addition, this should help with the presentation of the deal, as one where the-EV of the Target is c£5m, consistent with the cash consideration which is being paid to the exiting shareholder</w:t>
      </w:r>
      <w:r>
        <w:t>".</w:t>
      </w:r>
      <w:r w:rsidR="001F61EA">
        <w:t xml:space="preserve"> </w:t>
      </w:r>
      <w:r w:rsidR="003A42CC">
        <w:t xml:space="preserve">  </w:t>
      </w:r>
    </w:p>
    <w:p w14:paraId="222A8BBC" w14:textId="069993FE" w:rsidR="00572A98" w:rsidRDefault="00572A98" w:rsidP="00EF2FE7">
      <w:pPr>
        <w:pStyle w:val="ParaLevel1"/>
      </w:pPr>
      <w:r>
        <w:t xml:space="preserve">I believe the terms of that email reinforce the limitations of a PwC valuation </w:t>
      </w:r>
      <w:r w:rsidR="00F94B7B">
        <w:t xml:space="preserve">prepared </w:t>
      </w:r>
      <w:r>
        <w:t xml:space="preserve">for tax purposes.  </w:t>
      </w:r>
      <w:r w:rsidR="00365186">
        <w:t>It is clear that Livingbridge valued IPS UK at significantly more than £5m.</w:t>
      </w:r>
    </w:p>
    <w:p w14:paraId="2ECA7C7A" w14:textId="5B713C7E" w:rsidR="00DA697B" w:rsidRDefault="00DA697B" w:rsidP="00EF2FE7">
      <w:pPr>
        <w:pStyle w:val="ParaLevel1"/>
      </w:pPr>
      <w:r>
        <w:t>The Claimants were cross-examined about what they had said in their tax returns about, firstly, the value of the consideration they had received in shares under the Transaction and, later, about the loss which they suffered for capital gains tax purposes as a result of the Quantum Judgment.  For my part, I would have been surprised if they had inserted any figure other than £90,000 for their consideration shares.  Mr Taylor talked about that being their “</w:t>
      </w:r>
      <w:r w:rsidRPr="00DA697B">
        <w:rPr>
          <w:i/>
          <w:iCs/>
        </w:rPr>
        <w:t>face value</w:t>
      </w:r>
      <w:r>
        <w:t xml:space="preserve">” and I established with him that he meant their par </w:t>
      </w:r>
      <w:r w:rsidR="00F40FBB">
        <w:t xml:space="preserve">or nominal </w:t>
      </w:r>
      <w:r>
        <w:t xml:space="preserve">value.  </w:t>
      </w:r>
    </w:p>
    <w:p w14:paraId="26D7123E" w14:textId="1CC78D4C" w:rsidR="00106741" w:rsidRDefault="000B604F" w:rsidP="00EF2FE7">
      <w:pPr>
        <w:pStyle w:val="ParaLevel1"/>
      </w:pPr>
      <w:r>
        <w:t xml:space="preserve">My broad understanding of CGT is that it is </w:t>
      </w:r>
      <w:r w:rsidR="00535660">
        <w:t xml:space="preserve">a </w:t>
      </w:r>
      <w:r>
        <w:t xml:space="preserve">tax on the gain </w:t>
      </w:r>
      <w:r w:rsidR="00A47775">
        <w:t>measured by</w:t>
      </w:r>
      <w:r>
        <w:t xml:space="preserve"> the difference between the </w:t>
      </w:r>
      <w:r w:rsidRPr="000B604F">
        <w:rPr>
          <w:i/>
          <w:iCs/>
        </w:rPr>
        <w:t>acquisition cost</w:t>
      </w:r>
      <w:r>
        <w:t xml:space="preserve"> of an asset (ignoring for present purposes that there may have been further capital expenditure upon it) and its disposal price.  </w:t>
      </w:r>
      <w:r w:rsidR="00823232">
        <w:t>It</w:t>
      </w:r>
      <w:r>
        <w:t xml:space="preserve"> may be that HMRC will deem the latter in certain circumstances to have been </w:t>
      </w:r>
      <w:r w:rsidR="008617EF">
        <w:t xml:space="preserve">a disposal </w:t>
      </w:r>
      <w:r>
        <w:t xml:space="preserve">at market value, </w:t>
      </w:r>
      <w:r w:rsidR="008617EF">
        <w:t xml:space="preserve">if the actual sale price was lower, </w:t>
      </w:r>
      <w:r w:rsidR="00120F80">
        <w:t xml:space="preserve">but </w:t>
      </w:r>
      <w:r>
        <w:t>it would be surprising if the taxpayer</w:t>
      </w:r>
      <w:r w:rsidR="008617EF">
        <w:t xml:space="preserve"> could</w:t>
      </w:r>
      <w:r>
        <w:t xml:space="preserve">, with a view to reducing or eliminating what would otherwise be the later taxable gain, </w:t>
      </w:r>
      <w:r w:rsidR="008617EF">
        <w:t>be permitted to</w:t>
      </w:r>
      <w:r>
        <w:t xml:space="preserve"> inflate the deemed acquisition cost by relying upon not what he paid for the asset but what he said it was </w:t>
      </w:r>
      <w:r w:rsidRPr="00106741">
        <w:rPr>
          <w:i/>
          <w:iCs/>
        </w:rPr>
        <w:t>worth</w:t>
      </w:r>
      <w:r w:rsidR="008617EF">
        <w:t xml:space="preserve"> when he acquired it</w:t>
      </w:r>
      <w:r>
        <w:t xml:space="preserve">.  As things turned out the Claimants reported a capital loss.  However, if </w:t>
      </w:r>
      <w:r w:rsidR="008617EF">
        <w:t xml:space="preserve">their fortunes within the Company </w:t>
      </w:r>
      <w:r>
        <w:t xml:space="preserve">had turned out as they had hoped back in </w:t>
      </w:r>
      <w:r w:rsidR="008617EF">
        <w:t xml:space="preserve">December </w:t>
      </w:r>
      <w:r>
        <w:t>2014 and they had</w:t>
      </w:r>
      <w:r w:rsidR="008617EF">
        <w:t xml:space="preserve"> each</w:t>
      </w:r>
      <w:r>
        <w:t>, say, sold their shares in the Company in 2018 for £</w:t>
      </w:r>
      <w:r w:rsidR="008617EF">
        <w:t xml:space="preserve">5m, I cannot imagine that HMRC would </w:t>
      </w:r>
      <w:r w:rsidR="00106741">
        <w:t xml:space="preserve">have </w:t>
      </w:r>
      <w:r w:rsidR="008617EF">
        <w:t>accept</w:t>
      </w:r>
      <w:r w:rsidR="00106741">
        <w:t>ed</w:t>
      </w:r>
      <w:r w:rsidR="008617EF">
        <w:t xml:space="preserve"> that they should be treated as having acquired them on the earlier date at the kind of value which Mr Skeels would have put upon them. </w:t>
      </w:r>
    </w:p>
    <w:p w14:paraId="6ADC4CD5" w14:textId="1CE14A12" w:rsidR="00106741" w:rsidRDefault="00106741" w:rsidP="00EF2FE7">
      <w:pPr>
        <w:pStyle w:val="ParaLevel1"/>
      </w:pPr>
      <w:r>
        <w:t xml:space="preserve">This understanding does not directly address the Claimants’ earlier tax returns, and their completion of those on the basis that the consideration in shares was worth £90,000 to each of them, save that it is consistent with them later reporting that, in effect, they paid that sum for them.  </w:t>
      </w:r>
      <w:r w:rsidR="00595CE4">
        <w:t xml:space="preserve">It was the par value which was reported to HMRC and not some </w:t>
      </w:r>
      <w:r w:rsidR="00824A86">
        <w:t xml:space="preserve">as yet </w:t>
      </w:r>
      <w:r w:rsidR="00595CE4">
        <w:t xml:space="preserve">unrealised price reflecting their then </w:t>
      </w:r>
      <w:r w:rsidR="00824A86">
        <w:t xml:space="preserve">value </w:t>
      </w:r>
      <w:r w:rsidR="00595CE4">
        <w:t>(whether that was the kind of value indicated by Mr Skeels or, as Mr Taylor would have it regardless of the RPP, zero).</w:t>
      </w:r>
    </w:p>
    <w:p w14:paraId="2F8B508A" w14:textId="4B35F59B" w:rsidR="00826463" w:rsidRDefault="00106741" w:rsidP="00EF2FE7">
      <w:pPr>
        <w:pStyle w:val="ParaLevel1"/>
      </w:pPr>
      <w:r>
        <w:t>However, even if my basic understanding of the tax position</w:t>
      </w:r>
      <w:r w:rsidR="00595CE4">
        <w:t xml:space="preserve"> is flawed in a material respect, the fundamental poin</w:t>
      </w:r>
      <w:r w:rsidR="00824A86">
        <w:t xml:space="preserve">t remains </w:t>
      </w:r>
      <w:r w:rsidR="00595CE4">
        <w:t>that</w:t>
      </w:r>
      <w:r w:rsidR="00824A86">
        <w:t xml:space="preserve"> the reasoning behind and the full implications of the PwC valuation</w:t>
      </w:r>
      <w:r w:rsidR="00A7277A">
        <w:t xml:space="preserve"> </w:t>
      </w:r>
      <w:r w:rsidR="003B108C">
        <w:t xml:space="preserve">could not be fully explored at trial in the absence of </w:t>
      </w:r>
      <w:r w:rsidR="00AB5896">
        <w:t>its authors</w:t>
      </w:r>
      <w:r w:rsidR="00563C5D">
        <w:t>.</w:t>
      </w:r>
      <w:r w:rsidR="00824A86">
        <w:t xml:space="preserve"> </w:t>
      </w:r>
      <w:r w:rsidR="00595CE4">
        <w:t xml:space="preserve"> </w:t>
      </w:r>
      <w:r w:rsidR="00AB5896">
        <w:t>Further, a</w:t>
      </w:r>
      <w:r w:rsidR="00563C5D">
        <w:t xml:space="preserve">s the Claimants pointed out, Mr Crossley was involved in this </w:t>
      </w:r>
      <w:r w:rsidR="00826463">
        <w:t xml:space="preserve">tax </w:t>
      </w:r>
      <w:r w:rsidR="00563C5D">
        <w:t xml:space="preserve">aspect.  He and his colleague Mr Crawford wrote to HMRC on 22 October 2014 seeking </w:t>
      </w:r>
      <w:r w:rsidR="00724779">
        <w:t xml:space="preserve">certain </w:t>
      </w:r>
      <w:r w:rsidR="00563C5D">
        <w:t>tax clearance</w:t>
      </w:r>
      <w:r w:rsidR="00B45549">
        <w:t>s</w:t>
      </w:r>
      <w:r w:rsidR="00563C5D">
        <w:t xml:space="preserve"> and</w:t>
      </w:r>
      <w:r w:rsidR="00B45549">
        <w:t xml:space="preserve"> the letter explained that there was </w:t>
      </w:r>
      <w:r w:rsidR="00674780">
        <w:t>“</w:t>
      </w:r>
      <w:r w:rsidR="00B45549" w:rsidRPr="00674780">
        <w:rPr>
          <w:i/>
          <w:iCs/>
        </w:rPr>
        <w:t>no deferred consideration</w:t>
      </w:r>
      <w:r w:rsidR="00674780">
        <w:t>”</w:t>
      </w:r>
      <w:r w:rsidR="00B45549">
        <w:t xml:space="preserve"> payable to the Claimants or Mr Lindsell but, unlike Mr Fawcett, they were required by Livingbridge to </w:t>
      </w:r>
      <w:r w:rsidR="00826463">
        <w:t>“</w:t>
      </w:r>
      <w:r w:rsidR="00826463" w:rsidRPr="00826463">
        <w:rPr>
          <w:i/>
          <w:iCs/>
        </w:rPr>
        <w:t>effectively re</w:t>
      </w:r>
      <w:r w:rsidR="00B45549" w:rsidRPr="00826463">
        <w:rPr>
          <w:i/>
          <w:iCs/>
        </w:rPr>
        <w:t xml:space="preserve">invest the </w:t>
      </w:r>
      <w:r w:rsidR="00826463" w:rsidRPr="00826463">
        <w:rPr>
          <w:i/>
          <w:iCs/>
        </w:rPr>
        <w:t>balance of the £4,910,842 equity value payable for the [IPS UK] shares (</w:t>
      </w:r>
      <w:r w:rsidR="00B45549" w:rsidRPr="00826463">
        <w:rPr>
          <w:i/>
          <w:iCs/>
        </w:rPr>
        <w:t>£195,000</w:t>
      </w:r>
      <w:r w:rsidR="00826463" w:rsidRPr="00826463">
        <w:rPr>
          <w:i/>
          <w:iCs/>
        </w:rPr>
        <w:t xml:space="preserve">) </w:t>
      </w:r>
      <w:r w:rsidR="00B45549" w:rsidRPr="00826463">
        <w:rPr>
          <w:i/>
          <w:iCs/>
        </w:rPr>
        <w:t xml:space="preserve"> into </w:t>
      </w:r>
      <w:r w:rsidR="00826463" w:rsidRPr="00826463">
        <w:rPr>
          <w:i/>
          <w:iCs/>
        </w:rPr>
        <w:t>[the Company]</w:t>
      </w:r>
      <w:r w:rsidR="00826463">
        <w:t>” and “[</w:t>
      </w:r>
      <w:r w:rsidR="00826463" w:rsidRPr="00826463">
        <w:rPr>
          <w:i/>
          <w:iCs/>
        </w:rPr>
        <w:t>t]</w:t>
      </w:r>
      <w:r w:rsidR="00B45549" w:rsidRPr="00826463">
        <w:rPr>
          <w:i/>
          <w:iCs/>
        </w:rPr>
        <w:t>he reinvestment will be achieved by them each</w:t>
      </w:r>
      <w:r w:rsidR="00826463" w:rsidRPr="00826463">
        <w:rPr>
          <w:i/>
          <w:iCs/>
        </w:rPr>
        <w:t xml:space="preserve"> </w:t>
      </w:r>
      <w:r w:rsidR="00B45549" w:rsidRPr="00826463">
        <w:rPr>
          <w:i/>
          <w:iCs/>
        </w:rPr>
        <w:t>rolling over a proportion of their shareholdings in order to achieve the final</w:t>
      </w:r>
      <w:r w:rsidR="00826463" w:rsidRPr="00826463">
        <w:rPr>
          <w:i/>
          <w:iCs/>
        </w:rPr>
        <w:t xml:space="preserve"> </w:t>
      </w:r>
      <w:r w:rsidR="00B45549" w:rsidRPr="00826463">
        <w:rPr>
          <w:i/>
          <w:iCs/>
        </w:rPr>
        <w:t xml:space="preserve">shareholding figures in </w:t>
      </w:r>
      <w:r w:rsidR="00826463" w:rsidRPr="00826463">
        <w:rPr>
          <w:i/>
          <w:iCs/>
        </w:rPr>
        <w:t xml:space="preserve">[the Company] </w:t>
      </w:r>
      <w:r w:rsidR="00B45549" w:rsidRPr="00826463">
        <w:rPr>
          <w:i/>
          <w:iCs/>
        </w:rPr>
        <w:t xml:space="preserve">Newco set out again in appendix </w:t>
      </w:r>
      <w:r w:rsidR="00826463" w:rsidRPr="00826463">
        <w:rPr>
          <w:i/>
          <w:iCs/>
        </w:rPr>
        <w:t>1.</w:t>
      </w:r>
      <w:r w:rsidR="00826463">
        <w:t xml:space="preserve">”  </w:t>
      </w:r>
    </w:p>
    <w:p w14:paraId="7906B3CE" w14:textId="0DB75464" w:rsidR="000B604F" w:rsidRDefault="00826463" w:rsidP="00EF2FE7">
      <w:pPr>
        <w:pStyle w:val="ParaLevel1"/>
      </w:pPr>
      <w:r>
        <w:t>H</w:t>
      </w:r>
      <w:r w:rsidR="00563C5D">
        <w:t xml:space="preserve">ad he been called to give evidence, </w:t>
      </w:r>
      <w:r>
        <w:t xml:space="preserve">Mr Crossley </w:t>
      </w:r>
      <w:r w:rsidR="00724779">
        <w:t>wo</w:t>
      </w:r>
      <w:r>
        <w:t>uld</w:t>
      </w:r>
      <w:r w:rsidR="00563C5D">
        <w:t xml:space="preserve"> no doubt have </w:t>
      </w:r>
      <w:r w:rsidR="00724779">
        <w:t xml:space="preserve">been asked about this and might well have </w:t>
      </w:r>
      <w:r w:rsidR="00563C5D">
        <w:t>assisted in explain</w:t>
      </w:r>
      <w:r w:rsidR="00B45549">
        <w:t>ing</w:t>
      </w:r>
      <w:r w:rsidR="00563C5D">
        <w:t xml:space="preserve"> the </w:t>
      </w:r>
      <w:r>
        <w:t xml:space="preserve">purpose and </w:t>
      </w:r>
      <w:r w:rsidR="00563C5D">
        <w:t>implications of the PwC valuation</w:t>
      </w:r>
      <w:r>
        <w:t xml:space="preserve"> so far as </w:t>
      </w:r>
      <w:r w:rsidR="00674780">
        <w:t xml:space="preserve">actual value of the required reinvestment </w:t>
      </w:r>
      <w:r w:rsidR="00724779">
        <w:t xml:space="preserve">in the Company </w:t>
      </w:r>
      <w:r w:rsidR="00674780">
        <w:t>was concerned</w:t>
      </w:r>
      <w:r w:rsidR="00563C5D">
        <w:t>.</w:t>
      </w:r>
      <w:r w:rsidR="00595CE4">
        <w:t xml:space="preserve">  </w:t>
      </w:r>
      <w:r w:rsidR="00106741">
        <w:t xml:space="preserve">  </w:t>
      </w:r>
    </w:p>
    <w:p w14:paraId="53AC5830" w14:textId="15C01C4E" w:rsidR="00863007" w:rsidRDefault="00863007" w:rsidP="00EF2FE7">
      <w:pPr>
        <w:pStyle w:val="ParaLevel1"/>
        <w:numPr>
          <w:ilvl w:val="0"/>
          <w:numId w:val="0"/>
        </w:numPr>
        <w:ind w:left="720"/>
      </w:pPr>
    </w:p>
    <w:p w14:paraId="060AA146" w14:textId="251016D1" w:rsidR="00863007" w:rsidRPr="00863007" w:rsidRDefault="00863007" w:rsidP="00EF2FE7">
      <w:pPr>
        <w:pStyle w:val="ParaLevel1"/>
        <w:numPr>
          <w:ilvl w:val="0"/>
          <w:numId w:val="0"/>
        </w:numPr>
        <w:ind w:left="720"/>
        <w:rPr>
          <w:u w:val="single"/>
        </w:rPr>
      </w:pPr>
      <w:r w:rsidRPr="00863007">
        <w:rPr>
          <w:u w:val="single"/>
        </w:rPr>
        <w:t>EBITDA for the Second Valuation Date</w:t>
      </w:r>
    </w:p>
    <w:p w14:paraId="35AE2B0D" w14:textId="24DCC267" w:rsidR="007941C5" w:rsidRDefault="006230D8" w:rsidP="00EF2FE7">
      <w:pPr>
        <w:pStyle w:val="ParaLevel1"/>
      </w:pPr>
      <w:r>
        <w:t xml:space="preserve">The </w:t>
      </w:r>
      <w:r w:rsidR="003A4443">
        <w:t xml:space="preserve">Company’s </w:t>
      </w:r>
      <w:r>
        <w:t>EBITDA to be used for the Second Valuation Date was a far more contentious matter than that to be used for the first.</w:t>
      </w:r>
      <w:r w:rsidR="00C24383">
        <w:t xml:space="preserve"> </w:t>
      </w:r>
    </w:p>
    <w:p w14:paraId="0A992122" w14:textId="0B954CA1" w:rsidR="00FE1538" w:rsidRDefault="00C24383" w:rsidP="00EF2FE7">
      <w:pPr>
        <w:pStyle w:val="ParaLevel1"/>
      </w:pPr>
      <w:r>
        <w:t xml:space="preserve">Mr Skeels </w:t>
      </w:r>
      <w:r w:rsidR="004A4985">
        <w:t xml:space="preserve">based his £1.3m </w:t>
      </w:r>
      <w:r w:rsidR="00E767F3">
        <w:t xml:space="preserve">EBITDA </w:t>
      </w:r>
      <w:r w:rsidR="004A4985">
        <w:t xml:space="preserve">figure on </w:t>
      </w:r>
      <w:r w:rsidR="000576D4">
        <w:t xml:space="preserve">the figure for 2015 in </w:t>
      </w:r>
      <w:r w:rsidR="004A4985">
        <w:t>Spur 57</w:t>
      </w:r>
      <w:r w:rsidR="00550334">
        <w:t xml:space="preserve">.  </w:t>
      </w:r>
      <w:r w:rsidR="001C7D79">
        <w:t xml:space="preserve">This had been agreed between the parties 7 months previously and </w:t>
      </w:r>
      <w:r w:rsidR="00001E0E">
        <w:t xml:space="preserve">there was no evidence </w:t>
      </w:r>
      <w:r w:rsidR="00EB60A4">
        <w:t xml:space="preserve">of any expected long-term decline in the performance of the business during that period. </w:t>
      </w:r>
      <w:r w:rsidR="007941C5">
        <w:t xml:space="preserve">Mr Taylor </w:t>
      </w:r>
      <w:r w:rsidR="00984B61">
        <w:t xml:space="preserve">said the appropriate range </w:t>
      </w:r>
      <w:r w:rsidR="00E767F3">
        <w:t xml:space="preserve">was £0.6 to £0.9m </w:t>
      </w:r>
      <w:r w:rsidR="003A4443">
        <w:t xml:space="preserve">based on </w:t>
      </w:r>
      <w:r w:rsidR="00E664FA">
        <w:t>management forecasts prepared in July 2015</w:t>
      </w:r>
      <w:r w:rsidR="009E083E">
        <w:t xml:space="preserve"> </w:t>
      </w:r>
      <w:r w:rsidR="00E664FA">
        <w:t>and</w:t>
      </w:r>
      <w:r w:rsidR="009E083E">
        <w:t xml:space="preserve"> </w:t>
      </w:r>
      <w:r w:rsidR="00E664FA">
        <w:t>the forecast presented to the Board in</w:t>
      </w:r>
      <w:r w:rsidR="009E083E">
        <w:t xml:space="preserve"> </w:t>
      </w:r>
      <w:r w:rsidR="00E664FA">
        <w:t>September 2015</w:t>
      </w:r>
      <w:r w:rsidR="003A0222">
        <w:t xml:space="preserve"> (the latter including figures </w:t>
      </w:r>
      <w:r w:rsidR="00E85756">
        <w:t xml:space="preserve">actually </w:t>
      </w:r>
      <w:r w:rsidR="003A0222">
        <w:t>known about by the Second Valuation Date)</w:t>
      </w:r>
      <w:r w:rsidR="009E083E">
        <w:t>.</w:t>
      </w:r>
      <w:r w:rsidR="006D4CB0">
        <w:t xml:space="preserve">  </w:t>
      </w:r>
      <w:r w:rsidR="00585E2E">
        <w:t>H</w:t>
      </w:r>
      <w:r w:rsidR="00534353">
        <w:t xml:space="preserve">is evidence was that the EBITDA of £0.6m </w:t>
      </w:r>
      <w:r w:rsidR="0019287F">
        <w:t xml:space="preserve">from the July 2015 forecast was the best indication of the </w:t>
      </w:r>
      <w:r w:rsidR="00033E72">
        <w:t>management’s expectations of the Company at the Second Valuation Date.</w:t>
      </w:r>
    </w:p>
    <w:p w14:paraId="370C4565" w14:textId="07323E7C" w:rsidR="006230D8" w:rsidRDefault="006D4CB0" w:rsidP="00EF2FE7">
      <w:pPr>
        <w:pStyle w:val="ParaLevel1"/>
      </w:pPr>
      <w:r>
        <w:t xml:space="preserve">The principal differences between them were summarised in </w:t>
      </w:r>
      <w:r w:rsidR="006B2301">
        <w:t>paragraph</w:t>
      </w:r>
      <w:r w:rsidR="008A67CF">
        <w:t>s</w:t>
      </w:r>
      <w:r w:rsidR="006B2301">
        <w:t xml:space="preserve"> </w:t>
      </w:r>
      <w:r w:rsidR="008A67CF">
        <w:t xml:space="preserve">4.17 and </w:t>
      </w:r>
      <w:r w:rsidR="006B2301">
        <w:t>4.18 of their Joint Report.</w:t>
      </w:r>
      <w:r w:rsidR="00463D1B">
        <w:t xml:space="preserve">  </w:t>
      </w:r>
      <w:r w:rsidR="00FE1538">
        <w:t xml:space="preserve">Mr Taylor </w:t>
      </w:r>
      <w:r w:rsidR="00120903">
        <w:t xml:space="preserve">said that the Spur 57 Model could not be relied upon when </w:t>
      </w:r>
      <w:r w:rsidR="00D43A49">
        <w:t>by the Second Valuation Date the Company was performing under forecast</w:t>
      </w:r>
      <w:r w:rsidR="00403DF5">
        <w:t xml:space="preserve"> and there had been numerous re-forecasting events by July 2015</w:t>
      </w:r>
      <w:r w:rsidR="003A0222">
        <w:t>.</w:t>
      </w:r>
      <w:r w:rsidR="004E4405">
        <w:t xml:space="preserve">  </w:t>
      </w:r>
      <w:r w:rsidR="00C8458B">
        <w:t xml:space="preserve">Mr Skeels </w:t>
      </w:r>
      <w:r w:rsidR="00784B25">
        <w:t xml:space="preserve">questioned whether </w:t>
      </w:r>
      <w:r w:rsidR="00A50375">
        <w:t xml:space="preserve">the two forecasts relied upon by Mr Taylor had been </w:t>
      </w:r>
      <w:r w:rsidR="00C65BE1">
        <w:t>prepared on a consistent basis (</w:t>
      </w:r>
      <w:r w:rsidR="00B061BD">
        <w:t xml:space="preserve">the first was “Adjusted EBITDA” and the </w:t>
      </w:r>
      <w:r w:rsidR="00E57268">
        <w:t xml:space="preserve">later one was “Trading EBITDA”).  </w:t>
      </w:r>
      <w:r w:rsidR="00127E1E">
        <w:t xml:space="preserve">He said that, by taking the </w:t>
      </w:r>
      <w:r w:rsidR="00B30D4B">
        <w:t>adjusted figure of £0.6m</w:t>
      </w:r>
      <w:r w:rsidR="00C51B5C">
        <w:t xml:space="preserve">, Mr </w:t>
      </w:r>
      <w:r w:rsidR="000C6DEA">
        <w:t xml:space="preserve">Taylor had </w:t>
      </w:r>
      <w:r w:rsidR="00067812">
        <w:t>allowed for adjustments which did not reflect costs incurred in the normal course of business</w:t>
      </w:r>
      <w:r w:rsidR="00164D21">
        <w:t xml:space="preserve"> (in particular Livingbridge’s advisory fees).  </w:t>
      </w:r>
      <w:r w:rsidR="00E3172D">
        <w:t>Mr Taylor disagreed</w:t>
      </w:r>
      <w:r w:rsidR="00706128">
        <w:t>, saying that the costs in question were incurred in the normal course of business.</w:t>
      </w:r>
    </w:p>
    <w:p w14:paraId="43D6CB61" w14:textId="027908C6" w:rsidR="00194FC8" w:rsidRDefault="00863007" w:rsidP="00EF2FE7">
      <w:pPr>
        <w:pStyle w:val="ParaLevel1"/>
      </w:pPr>
      <w:r w:rsidRPr="00863007">
        <w:t xml:space="preserve">In their Report dated </w:t>
      </w:r>
      <w:r w:rsidR="00365186">
        <w:t>25 April 2016</w:t>
      </w:r>
      <w:r w:rsidRPr="00863007">
        <w:t xml:space="preserve"> BDO</w:t>
      </w:r>
      <w:r w:rsidR="00DF47D0" w:rsidRPr="00DF47D0">
        <w:t xml:space="preserve"> </w:t>
      </w:r>
      <w:r w:rsidR="00DC28A5">
        <w:t xml:space="preserve">identified a high </w:t>
      </w:r>
      <w:r w:rsidRPr="00863007">
        <w:t xml:space="preserve">EBITDA of </w:t>
      </w:r>
      <w:r w:rsidR="00146BE7">
        <w:t>£766,000 and a low EBITDA of £211,000</w:t>
      </w:r>
      <w:r w:rsidRPr="00863007">
        <w:t xml:space="preserve">. </w:t>
      </w:r>
      <w:r w:rsidR="00146BE7">
        <w:t xml:space="preserve"> </w:t>
      </w:r>
      <w:r w:rsidR="005D5240" w:rsidRPr="005D5240">
        <w:t xml:space="preserve">By that stage BDO had available the Company’s December 2015 forecast </w:t>
      </w:r>
      <w:r w:rsidR="006E568E">
        <w:t>and t</w:t>
      </w:r>
      <w:r w:rsidR="0044776E">
        <w:t xml:space="preserve">he low </w:t>
      </w:r>
      <w:r w:rsidR="004160EA">
        <w:t xml:space="preserve">figure of £211,000 was the </w:t>
      </w:r>
      <w:r w:rsidR="00C40F67">
        <w:t xml:space="preserve">predicted EBITDA for 2016 in </w:t>
      </w:r>
      <w:r w:rsidR="006E568E">
        <w:t xml:space="preserve">that </w:t>
      </w:r>
      <w:r w:rsidR="00C40F67">
        <w:t xml:space="preserve">forecast. </w:t>
      </w:r>
      <w:r w:rsidR="006E568E">
        <w:t xml:space="preserve">It was not a figure adopted by Mr Taylor. </w:t>
      </w:r>
      <w:r w:rsidR="00C40F67">
        <w:t xml:space="preserve"> </w:t>
      </w:r>
      <w:r w:rsidR="006E568E">
        <w:t xml:space="preserve">BDO’s </w:t>
      </w:r>
      <w:r w:rsidR="00366B57">
        <w:t xml:space="preserve">high figure represented </w:t>
      </w:r>
      <w:r w:rsidR="00B97917">
        <w:t xml:space="preserve">the figure of </w:t>
      </w:r>
      <w:r w:rsidR="007826D7">
        <w:t>£897</w:t>
      </w:r>
      <w:r w:rsidR="00366B57">
        <w:t>,000</w:t>
      </w:r>
      <w:r w:rsidR="00B97917">
        <w:t xml:space="preserve"> identified</w:t>
      </w:r>
      <w:r w:rsidR="00366B57">
        <w:t xml:space="preserve"> </w:t>
      </w:r>
      <w:r w:rsidR="00B97917">
        <w:t xml:space="preserve">in </w:t>
      </w:r>
      <w:r w:rsidR="007826D7">
        <w:t xml:space="preserve">the July </w:t>
      </w:r>
      <w:r w:rsidR="00AF0347">
        <w:t>20</w:t>
      </w:r>
      <w:r w:rsidR="007826D7">
        <w:t xml:space="preserve">15 reforecast </w:t>
      </w:r>
      <w:r w:rsidR="007352A4">
        <w:t xml:space="preserve">reduced by </w:t>
      </w:r>
      <w:r w:rsidR="007826D7">
        <w:t>£131</w:t>
      </w:r>
      <w:r w:rsidR="007352A4">
        <w:t xml:space="preserve">,000 because that was said to be </w:t>
      </w:r>
      <w:r w:rsidR="007826D7">
        <w:t>a “super-profit” generated by a one-off contract with the Co-op</w:t>
      </w:r>
      <w:r w:rsidR="00E17168">
        <w:t xml:space="preserve">.  </w:t>
      </w:r>
      <w:r w:rsidR="00BA4252">
        <w:t xml:space="preserve">The resulting figure of £766,000 was within </w:t>
      </w:r>
      <w:r w:rsidR="0056334C">
        <w:t xml:space="preserve">the middle of </w:t>
      </w:r>
      <w:r w:rsidR="00BA4252">
        <w:t xml:space="preserve">Mr Taylor’s EBITDA range. </w:t>
      </w:r>
      <w:r w:rsidR="003D7171">
        <w:t xml:space="preserve"> </w:t>
      </w:r>
    </w:p>
    <w:p w14:paraId="03282729" w14:textId="389A069C" w:rsidR="0002731C" w:rsidRDefault="00896E52" w:rsidP="00EF2FE7">
      <w:pPr>
        <w:pStyle w:val="ParaLevel1"/>
      </w:pPr>
      <w:r>
        <w:t xml:space="preserve">The </w:t>
      </w:r>
      <w:r w:rsidR="00194FC8">
        <w:t xml:space="preserve">BDO </w:t>
      </w:r>
      <w:r>
        <w:t xml:space="preserve">report referred to </w:t>
      </w:r>
      <w:r w:rsidR="0002731C">
        <w:t xml:space="preserve">the buoyancy of </w:t>
      </w:r>
      <w:r w:rsidR="00EE62DC">
        <w:t xml:space="preserve">the </w:t>
      </w:r>
      <w:r w:rsidR="0002731C">
        <w:t>U</w:t>
      </w:r>
      <w:r w:rsidR="00F90821">
        <w:t xml:space="preserve">nified </w:t>
      </w:r>
      <w:r w:rsidR="0002731C">
        <w:t>C</w:t>
      </w:r>
      <w:r w:rsidR="00F90821">
        <w:t>ommunications</w:t>
      </w:r>
      <w:r w:rsidR="0002731C">
        <w:t xml:space="preserve"> market and the long-term growth</w:t>
      </w:r>
      <w:r>
        <w:t xml:space="preserve"> </w:t>
      </w:r>
      <w:r w:rsidR="0002731C">
        <w:t>expectations associated with the sector</w:t>
      </w:r>
      <w:r>
        <w:t xml:space="preserve"> but also noted “</w:t>
      </w:r>
      <w:r w:rsidR="0002731C" w:rsidRPr="007352A4">
        <w:rPr>
          <w:i/>
          <w:iCs/>
        </w:rPr>
        <w:t>the operational issues being</w:t>
      </w:r>
      <w:r w:rsidRPr="007352A4">
        <w:rPr>
          <w:i/>
          <w:iCs/>
        </w:rPr>
        <w:t xml:space="preserve"> </w:t>
      </w:r>
      <w:r w:rsidR="0002731C" w:rsidRPr="007352A4">
        <w:rPr>
          <w:i/>
          <w:iCs/>
        </w:rPr>
        <w:t>experienced by the Company at the Valuation Date</w:t>
      </w:r>
      <w:r>
        <w:t xml:space="preserve">.”  </w:t>
      </w:r>
      <w:r w:rsidR="009C7C37">
        <w:t xml:space="preserve">For </w:t>
      </w:r>
      <w:r w:rsidR="0018024E">
        <w:t xml:space="preserve">the Second Valuation Date </w:t>
      </w:r>
      <w:r w:rsidR="00F415E6">
        <w:t>(as identified in these proceedings), BDO said:</w:t>
      </w:r>
    </w:p>
    <w:p w14:paraId="6A315207" w14:textId="584ABA43" w:rsidR="00F415E6" w:rsidRPr="00993391" w:rsidRDefault="00993391" w:rsidP="00EF2FE7">
      <w:pPr>
        <w:pStyle w:val="ParaLevel1"/>
        <w:numPr>
          <w:ilvl w:val="0"/>
          <w:numId w:val="0"/>
        </w:numPr>
        <w:ind w:left="1134"/>
        <w:rPr>
          <w:i/>
          <w:iCs/>
        </w:rPr>
      </w:pPr>
      <w:r>
        <w:rPr>
          <w:i/>
          <w:iCs/>
        </w:rPr>
        <w:t>“</w:t>
      </w:r>
      <w:r w:rsidR="00F415E6" w:rsidRPr="00993391">
        <w:rPr>
          <w:i/>
          <w:iCs/>
        </w:rPr>
        <w:t>For our “high” earnings estimate we would consider that the Company could be</w:t>
      </w:r>
      <w:r w:rsidRPr="00993391">
        <w:rPr>
          <w:i/>
          <w:iCs/>
        </w:rPr>
        <w:t xml:space="preserve"> </w:t>
      </w:r>
      <w:r w:rsidR="00F415E6" w:rsidRPr="00993391">
        <w:rPr>
          <w:i/>
          <w:iCs/>
        </w:rPr>
        <w:t>priced using the 8+4 FY15 forecasts (£897k) less the super profit attributable to</w:t>
      </w:r>
      <w:r w:rsidRPr="00993391">
        <w:rPr>
          <w:i/>
          <w:iCs/>
        </w:rPr>
        <w:t xml:space="preserve"> </w:t>
      </w:r>
      <w:r w:rsidR="00F415E6" w:rsidRPr="00993391">
        <w:rPr>
          <w:i/>
          <w:iCs/>
        </w:rPr>
        <w:t>the Co-op contract (£131k), arriving at £766k. This estimate of maintainable</w:t>
      </w:r>
      <w:r w:rsidRPr="00993391">
        <w:rPr>
          <w:i/>
          <w:iCs/>
        </w:rPr>
        <w:t xml:space="preserve"> </w:t>
      </w:r>
      <w:r w:rsidR="00F415E6" w:rsidRPr="00993391">
        <w:rPr>
          <w:i/>
          <w:iCs/>
        </w:rPr>
        <w:t>earnings would likely represent the highest possible metric given it takes no</w:t>
      </w:r>
      <w:r w:rsidRPr="00993391">
        <w:rPr>
          <w:i/>
          <w:iCs/>
        </w:rPr>
        <w:t xml:space="preserve"> </w:t>
      </w:r>
      <w:r w:rsidR="00F415E6" w:rsidRPr="00993391">
        <w:rPr>
          <w:i/>
          <w:iCs/>
        </w:rPr>
        <w:t>account of the downward trajectory of earnings compared to FY14 and does not</w:t>
      </w:r>
      <w:r w:rsidRPr="00993391">
        <w:rPr>
          <w:i/>
          <w:iCs/>
        </w:rPr>
        <w:t xml:space="preserve"> </w:t>
      </w:r>
      <w:r w:rsidR="00F415E6" w:rsidRPr="00993391">
        <w:rPr>
          <w:i/>
          <w:iCs/>
        </w:rPr>
        <w:t>reflect management’s concern that EBITDA would further decrease (a concern</w:t>
      </w:r>
      <w:r w:rsidRPr="00993391">
        <w:rPr>
          <w:i/>
          <w:iCs/>
        </w:rPr>
        <w:t xml:space="preserve"> </w:t>
      </w:r>
      <w:r w:rsidR="00F415E6" w:rsidRPr="00993391">
        <w:rPr>
          <w:i/>
          <w:iCs/>
        </w:rPr>
        <w:t>reflected in the December 2015 forecasts)</w:t>
      </w:r>
      <w:r>
        <w:rPr>
          <w:i/>
          <w:iCs/>
        </w:rPr>
        <w:t>.”</w:t>
      </w:r>
    </w:p>
    <w:p w14:paraId="3672FBA7" w14:textId="77777777" w:rsidR="0002731C" w:rsidRDefault="0002731C" w:rsidP="00EF2FE7">
      <w:pPr>
        <w:pStyle w:val="ListParagraph"/>
      </w:pPr>
    </w:p>
    <w:p w14:paraId="5CC21735" w14:textId="1FB02E51" w:rsidR="00B0536C" w:rsidRDefault="00863007" w:rsidP="00EF2FE7">
      <w:pPr>
        <w:pStyle w:val="ParaLevel1"/>
      </w:pPr>
      <w:r w:rsidRPr="00863007">
        <w:t>In commenting upon that report Alix Partners said BDO had taken “</w:t>
      </w:r>
      <w:r w:rsidRPr="007457D2">
        <w:rPr>
          <w:i/>
          <w:iCs/>
        </w:rPr>
        <w:t>an overly pessimistic view of IPS’s performance and of the value of the C Shares</w:t>
      </w:r>
      <w:r w:rsidRPr="00863007">
        <w:t>”.</w:t>
      </w:r>
      <w:r w:rsidR="00E17168">
        <w:t xml:space="preserve">  Alix Partners</w:t>
      </w:r>
      <w:r w:rsidR="00D92593" w:rsidRPr="00D92593">
        <w:t xml:space="preserve"> </w:t>
      </w:r>
      <w:r w:rsidR="00D92593">
        <w:t xml:space="preserve">made it clear that they had not performed their own analysis of the Company’s past or future performance </w:t>
      </w:r>
      <w:r w:rsidR="007457D2">
        <w:t xml:space="preserve">and that </w:t>
      </w:r>
      <w:r w:rsidR="001245B4">
        <w:t xml:space="preserve">they were </w:t>
      </w:r>
      <w:r w:rsidR="001245B4" w:rsidRPr="001245B4">
        <w:t>provid</w:t>
      </w:r>
      <w:r w:rsidR="001245B4">
        <w:t xml:space="preserve">ing </w:t>
      </w:r>
      <w:r w:rsidR="001245B4" w:rsidRPr="001245B4">
        <w:t xml:space="preserve">high level comments based on the information available </w:t>
      </w:r>
      <w:r w:rsidR="001245B4">
        <w:t xml:space="preserve">to them.  </w:t>
      </w:r>
      <w:r w:rsidR="00C11B6C">
        <w:t>In relation to BDO’s EBITDA figures</w:t>
      </w:r>
      <w:r w:rsidR="00523B20">
        <w:t xml:space="preserve">, and in addition to noting that no explanation had been given for </w:t>
      </w:r>
      <w:r w:rsidR="00F53570">
        <w:t>treating</w:t>
      </w:r>
      <w:r w:rsidR="00523B20">
        <w:t xml:space="preserve"> the Co-op </w:t>
      </w:r>
      <w:r w:rsidR="00EE0076">
        <w:t xml:space="preserve">profit figure </w:t>
      </w:r>
      <w:r w:rsidR="00F53570">
        <w:t>differently from any other non-recurring item,</w:t>
      </w:r>
      <w:r w:rsidR="00C11B6C">
        <w:t xml:space="preserve"> they said:</w:t>
      </w:r>
    </w:p>
    <w:p w14:paraId="02128FB1" w14:textId="2566910D" w:rsidR="00523B20" w:rsidRPr="00461DCD" w:rsidRDefault="00461DCD" w:rsidP="00EF2FE7">
      <w:pPr>
        <w:pStyle w:val="ParaLevel1"/>
        <w:numPr>
          <w:ilvl w:val="0"/>
          <w:numId w:val="0"/>
        </w:numPr>
        <w:ind w:left="1134"/>
        <w:rPr>
          <w:i/>
          <w:iCs/>
        </w:rPr>
      </w:pPr>
      <w:r>
        <w:t>“</w:t>
      </w:r>
      <w:r w:rsidR="00523B20" w:rsidRPr="00461DCD">
        <w:rPr>
          <w:i/>
          <w:iCs/>
        </w:rPr>
        <w:t>The July 15 reforecast represents a downgrade from Dec 14. Although revenue was still projected to grow, the</w:t>
      </w:r>
      <w:r w:rsidR="00F53570" w:rsidRPr="00461DCD">
        <w:rPr>
          <w:i/>
          <w:iCs/>
        </w:rPr>
        <w:t xml:space="preserve"> </w:t>
      </w:r>
      <w:r w:rsidR="00523B20" w:rsidRPr="00461DCD">
        <w:rPr>
          <w:i/>
          <w:iCs/>
        </w:rPr>
        <w:t>EBITDA forecast declined by 32%. BDO chose to use the lower EBITDA figure (£897k) as the basis of their</w:t>
      </w:r>
      <w:r w:rsidR="00F53570" w:rsidRPr="00461DCD">
        <w:rPr>
          <w:i/>
          <w:iCs/>
        </w:rPr>
        <w:t xml:space="preserve"> </w:t>
      </w:r>
      <w:r w:rsidR="00523B20" w:rsidRPr="00461DCD">
        <w:rPr>
          <w:i/>
          <w:iCs/>
        </w:rPr>
        <w:t>maintainable earnings figure apparently without making their own assessment of:</w:t>
      </w:r>
    </w:p>
    <w:p w14:paraId="1D1F3399" w14:textId="77777777" w:rsidR="00523B20" w:rsidRPr="00461DCD" w:rsidRDefault="00523B20" w:rsidP="00EF2FE7">
      <w:pPr>
        <w:pStyle w:val="ParaLevel1"/>
        <w:numPr>
          <w:ilvl w:val="0"/>
          <w:numId w:val="0"/>
        </w:numPr>
        <w:ind w:left="1134"/>
        <w:rPr>
          <w:i/>
          <w:iCs/>
        </w:rPr>
      </w:pPr>
      <w:r w:rsidRPr="00461DCD">
        <w:rPr>
          <w:i/>
          <w:iCs/>
        </w:rPr>
        <w:t>• why earnings had moved from growth to decline;</w:t>
      </w:r>
    </w:p>
    <w:p w14:paraId="510B3433" w14:textId="77777777" w:rsidR="00523B20" w:rsidRPr="00461DCD" w:rsidRDefault="00523B20" w:rsidP="00EF2FE7">
      <w:pPr>
        <w:pStyle w:val="ParaLevel1"/>
        <w:numPr>
          <w:ilvl w:val="0"/>
          <w:numId w:val="0"/>
        </w:numPr>
        <w:ind w:left="1134"/>
        <w:rPr>
          <w:i/>
          <w:iCs/>
        </w:rPr>
      </w:pPr>
      <w:r w:rsidRPr="00461DCD">
        <w:rPr>
          <w:i/>
          <w:iCs/>
        </w:rPr>
        <w:t>• why the change was so abrupt (32% drop in EBITDA in seven months);</w:t>
      </w:r>
    </w:p>
    <w:p w14:paraId="35DE5B2D" w14:textId="77777777" w:rsidR="00523B20" w:rsidRPr="00461DCD" w:rsidRDefault="00523B20" w:rsidP="00EF2FE7">
      <w:pPr>
        <w:pStyle w:val="ParaLevel1"/>
        <w:numPr>
          <w:ilvl w:val="0"/>
          <w:numId w:val="0"/>
        </w:numPr>
        <w:ind w:left="1134"/>
        <w:rPr>
          <w:i/>
          <w:iCs/>
        </w:rPr>
      </w:pPr>
      <w:r w:rsidRPr="00461DCD">
        <w:rPr>
          <w:i/>
          <w:iCs/>
        </w:rPr>
        <w:t>• which costs had increased most significantly and whether those increases were temporary; and</w:t>
      </w:r>
    </w:p>
    <w:p w14:paraId="5F3A83F8" w14:textId="7E66B08E" w:rsidR="00523B20" w:rsidRPr="00461DCD" w:rsidRDefault="00523B20" w:rsidP="00EF2FE7">
      <w:pPr>
        <w:pStyle w:val="ParaLevel1"/>
        <w:numPr>
          <w:ilvl w:val="0"/>
          <w:numId w:val="0"/>
        </w:numPr>
        <w:ind w:left="1134"/>
        <w:rPr>
          <w:i/>
          <w:iCs/>
        </w:rPr>
      </w:pPr>
      <w:r w:rsidRPr="00461DCD">
        <w:rPr>
          <w:i/>
          <w:iCs/>
        </w:rPr>
        <w:t>• whether the “operational and strategic issues” reported to them were (i) as significant as claimed</w:t>
      </w:r>
      <w:r w:rsidR="00A2119E" w:rsidRPr="00461DCD">
        <w:rPr>
          <w:i/>
          <w:iCs/>
        </w:rPr>
        <w:t xml:space="preserve"> </w:t>
      </w:r>
      <w:r w:rsidRPr="00461DCD">
        <w:rPr>
          <w:i/>
          <w:iCs/>
        </w:rPr>
        <w:t>and (ii) relevant in circumstances where, even by the Company’s own figures, it was forecast to</w:t>
      </w:r>
      <w:r w:rsidR="00A2119E" w:rsidRPr="00461DCD">
        <w:rPr>
          <w:i/>
          <w:iCs/>
        </w:rPr>
        <w:t xml:space="preserve"> </w:t>
      </w:r>
      <w:r w:rsidRPr="00461DCD">
        <w:rPr>
          <w:i/>
          <w:iCs/>
        </w:rPr>
        <w:t>bounce back to high growth within two years.</w:t>
      </w:r>
    </w:p>
    <w:p w14:paraId="0C2DCB5D" w14:textId="32EF5F94" w:rsidR="00230722" w:rsidRPr="00461DCD" w:rsidRDefault="00523B20" w:rsidP="00EF2FE7">
      <w:pPr>
        <w:pStyle w:val="ParaLevel1"/>
        <w:numPr>
          <w:ilvl w:val="0"/>
          <w:numId w:val="0"/>
        </w:numPr>
        <w:ind w:left="1134"/>
        <w:rPr>
          <w:i/>
          <w:iCs/>
        </w:rPr>
      </w:pPr>
      <w:r w:rsidRPr="00461DCD">
        <w:rPr>
          <w:i/>
          <w:iCs/>
        </w:rPr>
        <w:t>In ‘normal’ circumstances, we would agree that the July 15 reforecast would probably present the most</w:t>
      </w:r>
      <w:r w:rsidR="00A2119E" w:rsidRPr="00461DCD">
        <w:rPr>
          <w:i/>
          <w:iCs/>
        </w:rPr>
        <w:t xml:space="preserve"> </w:t>
      </w:r>
      <w:r w:rsidRPr="00461DCD">
        <w:rPr>
          <w:i/>
          <w:iCs/>
        </w:rPr>
        <w:t>appropriate set of figures to adopt since they were prepared relatively close to the valuation date. However,</w:t>
      </w:r>
      <w:r w:rsidR="00A2119E" w:rsidRPr="00461DCD">
        <w:rPr>
          <w:i/>
          <w:iCs/>
        </w:rPr>
        <w:t xml:space="preserve"> </w:t>
      </w:r>
      <w:r w:rsidRPr="00461DCD">
        <w:rPr>
          <w:i/>
          <w:iCs/>
        </w:rPr>
        <w:t>BDO has failed to acknowledge that there is some dispute as to whether the July 15 reforecast is a fair</w:t>
      </w:r>
      <w:r w:rsidR="00A2119E" w:rsidRPr="00461DCD">
        <w:rPr>
          <w:i/>
          <w:iCs/>
        </w:rPr>
        <w:t xml:space="preserve"> </w:t>
      </w:r>
      <w:r w:rsidRPr="00461DCD">
        <w:rPr>
          <w:i/>
          <w:iCs/>
        </w:rPr>
        <w:t>representation of the business at that point, or whether the increased costs result from changes which</w:t>
      </w:r>
      <w:r w:rsidR="00A2119E" w:rsidRPr="00461DCD">
        <w:rPr>
          <w:i/>
          <w:iCs/>
        </w:rPr>
        <w:t xml:space="preserve"> </w:t>
      </w:r>
      <w:r w:rsidRPr="00461DCD">
        <w:rPr>
          <w:i/>
          <w:iCs/>
        </w:rPr>
        <w:t>Livingbridge had made (or intended to make) during FY2015 and which would unfairly prejudice the</w:t>
      </w:r>
      <w:r w:rsidR="00A2119E" w:rsidRPr="00461DCD">
        <w:rPr>
          <w:i/>
          <w:iCs/>
        </w:rPr>
        <w:t xml:space="preserve"> </w:t>
      </w:r>
      <w:r w:rsidRPr="00461DCD">
        <w:rPr>
          <w:i/>
          <w:iCs/>
        </w:rPr>
        <w:t>Shareholders if included in the valuation.</w:t>
      </w:r>
      <w:r w:rsidR="00A2119E" w:rsidRPr="00461DCD">
        <w:rPr>
          <w:i/>
          <w:iCs/>
        </w:rPr>
        <w:t>”</w:t>
      </w:r>
    </w:p>
    <w:p w14:paraId="1DF69998" w14:textId="77777777" w:rsidR="00C11B6C" w:rsidRPr="00461DCD" w:rsidRDefault="00C11B6C" w:rsidP="00EF2FE7">
      <w:pPr>
        <w:pStyle w:val="ParaLevel1"/>
        <w:numPr>
          <w:ilvl w:val="0"/>
          <w:numId w:val="0"/>
        </w:numPr>
        <w:ind w:left="1134"/>
        <w:rPr>
          <w:i/>
          <w:iCs/>
        </w:rPr>
      </w:pPr>
    </w:p>
    <w:p w14:paraId="012419B9" w14:textId="1BEE6704" w:rsidR="0033096F" w:rsidRDefault="00C11B6C" w:rsidP="00EF2FE7">
      <w:pPr>
        <w:pStyle w:val="ParaLevel1"/>
      </w:pPr>
      <w:r>
        <w:t xml:space="preserve">I mention the views of Alix Partners </w:t>
      </w:r>
      <w:r w:rsidR="00734934">
        <w:t xml:space="preserve">and BDO </w:t>
      </w:r>
      <w:r>
        <w:t>because they essentially foreshadow</w:t>
      </w:r>
      <w:r w:rsidR="001E3138">
        <w:t>ed</w:t>
      </w:r>
      <w:r>
        <w:t xml:space="preserve"> the </w:t>
      </w:r>
      <w:r w:rsidR="00384CD2">
        <w:t xml:space="preserve">conflicting evidence of </w:t>
      </w:r>
      <w:r w:rsidR="00734934">
        <w:t xml:space="preserve">Mr Skeels and </w:t>
      </w:r>
      <w:r w:rsidR="00384CD2">
        <w:t xml:space="preserve">Mr Taylor </w:t>
      </w:r>
      <w:r w:rsidR="001B7125">
        <w:t>(though</w:t>
      </w:r>
      <w:r w:rsidR="00A92672">
        <w:t>, unlike BDO,</w:t>
      </w:r>
      <w:r w:rsidR="001B7125">
        <w:t xml:space="preserve"> he placed no reliance upon the December 2015 </w:t>
      </w:r>
      <w:r w:rsidR="006A1A4C">
        <w:t>forecast which was after the Second Valuation Date)</w:t>
      </w:r>
      <w:r w:rsidR="00734934">
        <w:t>.</w:t>
      </w:r>
    </w:p>
    <w:p w14:paraId="30413182" w14:textId="689678E1" w:rsidR="00304C85" w:rsidRDefault="0036029E" w:rsidP="00EF2FE7">
      <w:pPr>
        <w:pStyle w:val="ParaLevel1"/>
      </w:pPr>
      <w:r>
        <w:t xml:space="preserve">Mr Skeels was taken in re-examination to the section in the BDO Report </w:t>
      </w:r>
      <w:r w:rsidR="00A92672">
        <w:t xml:space="preserve">which addressed </w:t>
      </w:r>
      <w:r w:rsidR="004D36CA">
        <w:t>the Company’s forecast financial performance</w:t>
      </w:r>
      <w:r w:rsidR="004F66AB">
        <w:t xml:space="preserve"> and which summarised the December 2015 forecast indicat</w:t>
      </w:r>
      <w:r w:rsidR="000A69F2">
        <w:t>ing</w:t>
      </w:r>
      <w:r w:rsidR="004F66AB">
        <w:t xml:space="preserve"> that EBITDA would reach £4.56m by 2019.</w:t>
      </w:r>
      <w:r w:rsidR="008D1236">
        <w:t xml:space="preserve">  Mr Skeels said that the timing of the Company’s growth h</w:t>
      </w:r>
      <w:r w:rsidR="00C07D2E">
        <w:t xml:space="preserve">ad changed from Spur 57 </w:t>
      </w:r>
      <w:r w:rsidR="000A69F2">
        <w:t>but</w:t>
      </w:r>
      <w:r w:rsidR="00C07D2E">
        <w:t xml:space="preserve"> “</w:t>
      </w:r>
      <w:r w:rsidR="00C07D2E" w:rsidRPr="00D31BF1">
        <w:rPr>
          <w:i/>
          <w:iCs/>
        </w:rPr>
        <w:t>effectively long-term it’s heading in the right direction</w:t>
      </w:r>
      <w:r w:rsidR="00C07D2E">
        <w:t>.”</w:t>
      </w:r>
      <w:r w:rsidR="004F66AB">
        <w:t xml:space="preserve">  </w:t>
      </w:r>
      <w:r w:rsidR="00863007" w:rsidRPr="00863007">
        <w:t xml:space="preserve"> </w:t>
      </w:r>
      <w:r w:rsidR="00FE008B">
        <w:t xml:space="preserve">Many of his answers in cross-examination were to the same effect: that </w:t>
      </w:r>
      <w:r w:rsidR="00EB4D37">
        <w:t>“</w:t>
      </w:r>
      <w:r w:rsidR="00E543C7" w:rsidRPr="00D31BF1">
        <w:rPr>
          <w:i/>
          <w:iCs/>
        </w:rPr>
        <w:t>the business was -- beginning to trend upwards, there was no longer term decline in the prospects of that business,</w:t>
      </w:r>
      <w:r w:rsidR="00D31BF1" w:rsidRPr="00D31BF1">
        <w:rPr>
          <w:i/>
          <w:iCs/>
        </w:rPr>
        <w:t xml:space="preserve"> </w:t>
      </w:r>
      <w:r w:rsidR="00E543C7" w:rsidRPr="00D31BF1">
        <w:rPr>
          <w:i/>
          <w:iCs/>
        </w:rPr>
        <w:t>the market in which it operated in was generally</w:t>
      </w:r>
      <w:r w:rsidR="00D31BF1" w:rsidRPr="00D31BF1">
        <w:rPr>
          <w:i/>
          <w:iCs/>
        </w:rPr>
        <w:t xml:space="preserve"> </w:t>
      </w:r>
      <w:r w:rsidR="00E543C7" w:rsidRPr="00D31BF1">
        <w:rPr>
          <w:i/>
          <w:iCs/>
        </w:rPr>
        <w:t>performing very well</w:t>
      </w:r>
      <w:r w:rsidR="00D31BF1">
        <w:t>.”</w:t>
      </w:r>
      <w:r w:rsidR="00AD4011">
        <w:t xml:space="preserve">  He said </w:t>
      </w:r>
      <w:r w:rsidR="00FB6B49">
        <w:t xml:space="preserve">the willing buyer and the willing seller </w:t>
      </w:r>
      <w:r w:rsidR="009E73F0">
        <w:t xml:space="preserve">would look at the forecast position as it was </w:t>
      </w:r>
      <w:r w:rsidR="00004FF2">
        <w:t>at the Second Valuation Date “</w:t>
      </w:r>
      <w:r w:rsidR="00004FF2" w:rsidRPr="0041518F">
        <w:rPr>
          <w:i/>
          <w:iCs/>
        </w:rPr>
        <w:t xml:space="preserve">and not necessarily some of the issues that caused the reduction </w:t>
      </w:r>
      <w:r w:rsidR="0041518F" w:rsidRPr="0041518F">
        <w:rPr>
          <w:i/>
          <w:iCs/>
        </w:rPr>
        <w:t>in the numbers that we just looked at in the early months of 2015</w:t>
      </w:r>
      <w:r w:rsidR="0041518F">
        <w:t>”.</w:t>
      </w:r>
      <w:r w:rsidR="00DD03AE">
        <w:t xml:space="preserve">  </w:t>
      </w:r>
    </w:p>
    <w:p w14:paraId="36837995" w14:textId="4C95FE97" w:rsidR="0041518F" w:rsidRDefault="00304C85" w:rsidP="00EF2FE7">
      <w:pPr>
        <w:pStyle w:val="ParaLevel1"/>
      </w:pPr>
      <w:r>
        <w:t>Mr Richards also gave evidence</w:t>
      </w:r>
      <w:r w:rsidR="00FF783F">
        <w:t xml:space="preserve"> that </w:t>
      </w:r>
      <w:r w:rsidR="007F37E6">
        <w:t>it was “</w:t>
      </w:r>
      <w:r w:rsidR="007F37E6" w:rsidRPr="009B5D1C">
        <w:rPr>
          <w:i/>
          <w:iCs/>
        </w:rPr>
        <w:t>documented in the various board packs that the model was three to four months behind</w:t>
      </w:r>
      <w:r w:rsidR="007F37E6">
        <w:t xml:space="preserve">” </w:t>
      </w:r>
      <w:r w:rsidR="00D64B44">
        <w:t xml:space="preserve">and </w:t>
      </w:r>
      <w:r w:rsidR="006D5F5B">
        <w:t xml:space="preserve">that, applying hindsight from what in </w:t>
      </w:r>
      <w:r w:rsidR="005A2F35">
        <w:t xml:space="preserve">fact happened in 2015, it had </w:t>
      </w:r>
      <w:r w:rsidR="00A972BC">
        <w:t xml:space="preserve">taken the wrong </w:t>
      </w:r>
      <w:r w:rsidR="005A2F35">
        <w:t xml:space="preserve">starting point for </w:t>
      </w:r>
      <w:r w:rsidR="00877B89">
        <w:t xml:space="preserve">items of </w:t>
      </w:r>
      <w:r w:rsidR="005A2F35">
        <w:t>recurring revenue</w:t>
      </w:r>
      <w:r w:rsidR="000225B3">
        <w:t xml:space="preserve"> </w:t>
      </w:r>
      <w:r w:rsidR="00A972BC">
        <w:t>which</w:t>
      </w:r>
      <w:r w:rsidR="00F6558C">
        <w:t>, he said, was 90%</w:t>
      </w:r>
      <w:r w:rsidR="009B5D1C">
        <w:t xml:space="preserve"> of the Company’s revenue.</w:t>
      </w:r>
      <w:r w:rsidR="00877B89">
        <w:t xml:space="preserve">  He thought the inputs were correct but not </w:t>
      </w:r>
      <w:r w:rsidR="008D2C2B">
        <w:t>the timing of them adopted by Spur 57.</w:t>
      </w:r>
    </w:p>
    <w:p w14:paraId="3F613B68" w14:textId="5BB13F65" w:rsidR="0017775D" w:rsidRDefault="002E4FAC" w:rsidP="00EF2FE7">
      <w:pPr>
        <w:pStyle w:val="ParaLevel1"/>
      </w:pPr>
      <w:r>
        <w:t xml:space="preserve">Mr Taylor </w:t>
      </w:r>
      <w:r w:rsidR="00C86674">
        <w:t>said of the forecast figures:</w:t>
      </w:r>
      <w:r w:rsidR="00055A4A">
        <w:t xml:space="preserve"> “</w:t>
      </w:r>
      <w:r w:rsidR="00055A4A" w:rsidRPr="00C55AB6">
        <w:rPr>
          <w:i/>
          <w:iCs/>
        </w:rPr>
        <w:t xml:space="preserve">I </w:t>
      </w:r>
      <w:r w:rsidR="006E44D6" w:rsidRPr="00C55AB6">
        <w:rPr>
          <w:i/>
          <w:iCs/>
        </w:rPr>
        <w:t>think that anybody looking at the expected future</w:t>
      </w:r>
      <w:r w:rsidR="00055A4A" w:rsidRPr="00C55AB6">
        <w:rPr>
          <w:i/>
          <w:iCs/>
        </w:rPr>
        <w:t xml:space="preserve"> </w:t>
      </w:r>
      <w:r w:rsidR="006E44D6" w:rsidRPr="00C55AB6">
        <w:rPr>
          <w:i/>
          <w:iCs/>
        </w:rPr>
        <w:t>level of the performance of a company that has</w:t>
      </w:r>
      <w:r w:rsidR="00055A4A" w:rsidRPr="00C55AB6">
        <w:rPr>
          <w:i/>
          <w:iCs/>
        </w:rPr>
        <w:t xml:space="preserve"> </w:t>
      </w:r>
      <w:r w:rsidR="006E44D6" w:rsidRPr="00C55AB6">
        <w:rPr>
          <w:i/>
          <w:iCs/>
        </w:rPr>
        <w:t>reforecast so many times in a short timescale I don't</w:t>
      </w:r>
      <w:r w:rsidR="00055A4A" w:rsidRPr="00C55AB6">
        <w:rPr>
          <w:i/>
          <w:iCs/>
        </w:rPr>
        <w:t xml:space="preserve"> </w:t>
      </w:r>
      <w:r w:rsidR="006E44D6" w:rsidRPr="00C55AB6">
        <w:rPr>
          <w:i/>
          <w:iCs/>
        </w:rPr>
        <w:t>think they'd place much value in future forecasts. So</w:t>
      </w:r>
      <w:r w:rsidR="00055A4A" w:rsidRPr="00C55AB6">
        <w:rPr>
          <w:i/>
          <w:iCs/>
        </w:rPr>
        <w:t xml:space="preserve"> </w:t>
      </w:r>
      <w:r w:rsidR="006E44D6" w:rsidRPr="00C55AB6">
        <w:rPr>
          <w:i/>
          <w:iCs/>
        </w:rPr>
        <w:t>I think the actual historic numbers are probably safer</w:t>
      </w:r>
      <w:r w:rsidR="00C55AB6" w:rsidRPr="00C55AB6">
        <w:rPr>
          <w:i/>
          <w:iCs/>
        </w:rPr>
        <w:t xml:space="preserve"> </w:t>
      </w:r>
      <w:r w:rsidR="006E44D6" w:rsidRPr="00C55AB6">
        <w:rPr>
          <w:i/>
          <w:iCs/>
        </w:rPr>
        <w:t>than looking at forecasts still</w:t>
      </w:r>
      <w:r w:rsidR="00C55AB6">
        <w:t xml:space="preserve">.” </w:t>
      </w:r>
      <w:r w:rsidR="00B75E37">
        <w:t>H</w:t>
      </w:r>
      <w:r w:rsidR="00272755">
        <w:t>owever, h</w:t>
      </w:r>
      <w:r w:rsidR="00B75E37">
        <w:t xml:space="preserve">e </w:t>
      </w:r>
      <w:r w:rsidR="002D348A">
        <w:t xml:space="preserve">accepted </w:t>
      </w:r>
      <w:r w:rsidR="00F600A8">
        <w:t>in cross-examination</w:t>
      </w:r>
      <w:r w:rsidR="002D348A">
        <w:t xml:space="preserve">, </w:t>
      </w:r>
      <w:r w:rsidR="00E939B3">
        <w:t xml:space="preserve">by reference to a summary of valuation methodology in the </w:t>
      </w:r>
      <w:r w:rsidR="00A01C92">
        <w:t>BDO Report</w:t>
      </w:r>
      <w:r w:rsidR="00E939B3">
        <w:t xml:space="preserve">, that </w:t>
      </w:r>
      <w:r w:rsidR="00A01C92">
        <w:t>in c</w:t>
      </w:r>
      <w:r w:rsidR="00F600A8">
        <w:t xml:space="preserve">onsidering the appropriate level of earnings for </w:t>
      </w:r>
      <w:r w:rsidR="00A01C92">
        <w:t xml:space="preserve">the </w:t>
      </w:r>
      <w:r w:rsidR="00F600A8">
        <w:t xml:space="preserve">company </w:t>
      </w:r>
      <w:r w:rsidR="00317D2A">
        <w:t xml:space="preserve">in question </w:t>
      </w:r>
      <w:r w:rsidR="0098276E">
        <w:t xml:space="preserve">the </w:t>
      </w:r>
      <w:r w:rsidR="00317D2A">
        <w:t>matters</w:t>
      </w:r>
      <w:r w:rsidR="00F600A8">
        <w:t xml:space="preserve"> </w:t>
      </w:r>
      <w:r w:rsidR="0098276E">
        <w:t xml:space="preserve">which are to be </w:t>
      </w:r>
      <w:r w:rsidR="00F600A8">
        <w:t>taken into account include the historical</w:t>
      </w:r>
      <w:r w:rsidR="0098276E">
        <w:t xml:space="preserve"> </w:t>
      </w:r>
      <w:r w:rsidR="00F600A8">
        <w:t>performance of the company, the expected level of future operating</w:t>
      </w:r>
      <w:r w:rsidR="0098276E">
        <w:t xml:space="preserve"> </w:t>
      </w:r>
      <w:r w:rsidR="00F600A8">
        <w:t>performance and factors such as wider industry performance</w:t>
      </w:r>
      <w:r w:rsidR="0098276E">
        <w:t>.</w:t>
      </w:r>
    </w:p>
    <w:p w14:paraId="1E16B667" w14:textId="44B34D84" w:rsidR="002B685C" w:rsidRDefault="00270156" w:rsidP="00EF2FE7">
      <w:pPr>
        <w:pStyle w:val="ParaLevel1"/>
      </w:pPr>
      <w:r>
        <w:t xml:space="preserve">Mr Skeels </w:t>
      </w:r>
      <w:r w:rsidR="00006BA1">
        <w:t>defend</w:t>
      </w:r>
      <w:r w:rsidR="00FC6D8E">
        <w:t>ed</w:t>
      </w:r>
      <w:r w:rsidR="00006BA1">
        <w:t xml:space="preserve"> his EBITDA figure of £1.3m on the basis that</w:t>
      </w:r>
      <w:r w:rsidR="002B685C">
        <w:t>:</w:t>
      </w:r>
    </w:p>
    <w:p w14:paraId="53B1344E" w14:textId="0F70ED53" w:rsidR="002B685C" w:rsidRDefault="002B685C" w:rsidP="00EF2FE7">
      <w:pPr>
        <w:pStyle w:val="ParaLevel1"/>
        <w:numPr>
          <w:ilvl w:val="0"/>
          <w:numId w:val="0"/>
        </w:numPr>
        <w:ind w:left="1134"/>
        <w:rPr>
          <w:i/>
          <w:iCs/>
        </w:rPr>
      </w:pPr>
      <w:r w:rsidRPr="002B685C">
        <w:rPr>
          <w:i/>
          <w:iCs/>
        </w:rPr>
        <w:t xml:space="preserve">“……….. </w:t>
      </w:r>
      <w:r w:rsidR="00973BED" w:rsidRPr="002B685C">
        <w:rPr>
          <w:i/>
          <w:iCs/>
        </w:rPr>
        <w:t>given that the numbers that we have for post the deal are a matter of dispute between the parties,</w:t>
      </w:r>
      <w:r w:rsidR="00042328" w:rsidRPr="002B685C">
        <w:rPr>
          <w:i/>
          <w:iCs/>
        </w:rPr>
        <w:t xml:space="preserve"> </w:t>
      </w:r>
      <w:r w:rsidR="00973BED" w:rsidRPr="002B685C">
        <w:rPr>
          <w:i/>
          <w:iCs/>
        </w:rPr>
        <w:t>and actually we're only talking about 7 or 8 months</w:t>
      </w:r>
      <w:r w:rsidR="00042328" w:rsidRPr="002B685C">
        <w:rPr>
          <w:i/>
          <w:iCs/>
        </w:rPr>
        <w:t xml:space="preserve"> </w:t>
      </w:r>
      <w:r w:rsidR="00973BED" w:rsidRPr="002B685C">
        <w:rPr>
          <w:i/>
          <w:iCs/>
        </w:rPr>
        <w:t>afterwards, I took the view that the most</w:t>
      </w:r>
      <w:r w:rsidR="00042328" w:rsidRPr="002B685C">
        <w:rPr>
          <w:i/>
          <w:iCs/>
        </w:rPr>
        <w:t xml:space="preserve"> </w:t>
      </w:r>
      <w:r w:rsidR="00973BED" w:rsidRPr="002B685C">
        <w:rPr>
          <w:i/>
          <w:iCs/>
        </w:rPr>
        <w:t>contemporaneous numbers to use were the model that was</w:t>
      </w:r>
      <w:r w:rsidR="00042328" w:rsidRPr="002B685C">
        <w:rPr>
          <w:i/>
          <w:iCs/>
        </w:rPr>
        <w:t xml:space="preserve"> </w:t>
      </w:r>
      <w:r w:rsidR="00973BED" w:rsidRPr="002B685C">
        <w:rPr>
          <w:i/>
          <w:iCs/>
        </w:rPr>
        <w:t>agreed by both sides prior to the transaction taking</w:t>
      </w:r>
      <w:r w:rsidR="00042328" w:rsidRPr="002B685C">
        <w:rPr>
          <w:i/>
          <w:iCs/>
        </w:rPr>
        <w:t xml:space="preserve"> </w:t>
      </w:r>
      <w:r w:rsidR="00973BED" w:rsidRPr="002B685C">
        <w:rPr>
          <w:i/>
          <w:iCs/>
        </w:rPr>
        <w:t>place would be the best starting point to look at to</w:t>
      </w:r>
      <w:r w:rsidR="00042328" w:rsidRPr="002B685C">
        <w:rPr>
          <w:i/>
          <w:iCs/>
        </w:rPr>
        <w:t xml:space="preserve"> </w:t>
      </w:r>
      <w:r w:rsidR="00973BED" w:rsidRPr="002B685C">
        <w:rPr>
          <w:i/>
          <w:iCs/>
        </w:rPr>
        <w:t>use -- to generate the EBITDA number</w:t>
      </w:r>
      <w:r w:rsidR="00042328" w:rsidRPr="002B685C">
        <w:rPr>
          <w:i/>
          <w:iCs/>
        </w:rPr>
        <w:t>.</w:t>
      </w:r>
      <w:r w:rsidRPr="002B685C">
        <w:rPr>
          <w:i/>
          <w:iCs/>
        </w:rPr>
        <w:t>”</w:t>
      </w:r>
    </w:p>
    <w:p w14:paraId="7A4D4697" w14:textId="77777777" w:rsidR="00B640C4" w:rsidRPr="002B685C" w:rsidRDefault="00B640C4" w:rsidP="00EF2FE7">
      <w:pPr>
        <w:pStyle w:val="ParaLevel1"/>
        <w:numPr>
          <w:ilvl w:val="0"/>
          <w:numId w:val="0"/>
        </w:numPr>
        <w:ind w:left="1134"/>
        <w:rPr>
          <w:i/>
          <w:iCs/>
        </w:rPr>
      </w:pPr>
    </w:p>
    <w:p w14:paraId="1675D87C" w14:textId="21C6FC32" w:rsidR="009E1AF7" w:rsidRDefault="00B640C4" w:rsidP="00EF2FE7">
      <w:pPr>
        <w:pStyle w:val="ParaLevel1"/>
      </w:pPr>
      <w:r>
        <w:t xml:space="preserve">Although the two dates </w:t>
      </w:r>
      <w:r w:rsidR="00244BCF">
        <w:t xml:space="preserve">of course </w:t>
      </w:r>
      <w:r w:rsidR="00E72207">
        <w:t xml:space="preserve">relate to the valuation of different companies, </w:t>
      </w:r>
      <w:r w:rsidR="002D78B0">
        <w:t xml:space="preserve">the First Valuation Date and the Second Valuation Date are only </w:t>
      </w:r>
      <w:r w:rsidR="00135A22">
        <w:t xml:space="preserve">about 8 months apart.  </w:t>
      </w:r>
      <w:r w:rsidR="00AB6980">
        <w:t>Allowing for th</w:t>
      </w:r>
      <w:r w:rsidR="00474497">
        <w:t xml:space="preserve">e </w:t>
      </w:r>
      <w:r w:rsidR="00FC0BE2">
        <w:t xml:space="preserve">inescapable point that </w:t>
      </w:r>
      <w:r w:rsidR="003049D6">
        <w:t xml:space="preserve">the operating costs of the Company were </w:t>
      </w:r>
      <w:r w:rsidR="00C76CF7">
        <w:t xml:space="preserve">obviously not the same as those of IPS UK </w:t>
      </w:r>
      <w:r w:rsidR="00A33D55">
        <w:t xml:space="preserve">(see, for example, Mr Taylor’s </w:t>
      </w:r>
      <w:r w:rsidR="008032FF">
        <w:t xml:space="preserve">use of EBITDA figures which are adjusted for </w:t>
      </w:r>
      <w:r w:rsidR="008A0DFC">
        <w:t xml:space="preserve">all the management costs associated with the Company) </w:t>
      </w:r>
      <w:r w:rsidR="00EF5410">
        <w:t xml:space="preserve">it is striking that </w:t>
      </w:r>
      <w:r w:rsidR="002A4823">
        <w:t xml:space="preserve">Mr Taylor’s </w:t>
      </w:r>
      <w:r w:rsidR="00DB0DD3">
        <w:t xml:space="preserve">suggested </w:t>
      </w:r>
      <w:r w:rsidR="00EA1E93">
        <w:t xml:space="preserve">EBITDA </w:t>
      </w:r>
      <w:r w:rsidR="00DB0DD3">
        <w:t xml:space="preserve">figure of </w:t>
      </w:r>
      <w:r w:rsidR="00E91D99">
        <w:t xml:space="preserve">£0.6m represents </w:t>
      </w:r>
      <w:r w:rsidR="00B1774E">
        <w:t>a reduction of over 45% from the £1.1m fig</w:t>
      </w:r>
      <w:r w:rsidR="00991AFB">
        <w:t xml:space="preserve">ure used for IPS UK at the First Valuation Date.  </w:t>
      </w:r>
      <w:r w:rsidR="009E1AF7">
        <w:t xml:space="preserve">That said, Mr </w:t>
      </w:r>
      <w:r w:rsidR="00CD6B3F">
        <w:t>Skeels</w:t>
      </w:r>
      <w:r w:rsidR="009E1AF7">
        <w:t xml:space="preserve"> has increased the figure </w:t>
      </w:r>
      <w:r w:rsidR="00D52739">
        <w:t xml:space="preserve">from £1.1m to £1.3m even though, as Mr Tozzi put to him, </w:t>
      </w:r>
      <w:r w:rsidR="00D560FE">
        <w:t xml:space="preserve">the Company had </w:t>
      </w:r>
      <w:r w:rsidR="00097FFB">
        <w:t xml:space="preserve">in fact </w:t>
      </w:r>
      <w:r w:rsidR="00D560FE">
        <w:t>underper</w:t>
      </w:r>
      <w:r w:rsidR="00097FFB">
        <w:t>formed against the Spur 57 projections</w:t>
      </w:r>
      <w:r w:rsidR="00055CE6">
        <w:t xml:space="preserve"> and the figures which showed </w:t>
      </w:r>
      <w:r w:rsidR="003A4888">
        <w:t xml:space="preserve">that </w:t>
      </w:r>
      <w:r w:rsidR="00055CE6">
        <w:t xml:space="preserve">had been </w:t>
      </w:r>
      <w:r w:rsidR="003A4888">
        <w:t>prepared in accordance with proper accounting practice</w:t>
      </w:r>
      <w:r w:rsidR="00097FFB">
        <w:t>.</w:t>
      </w:r>
    </w:p>
    <w:p w14:paraId="7401B755" w14:textId="6EE85528" w:rsidR="00D711B1" w:rsidRDefault="00E21CFD" w:rsidP="00EF2FE7">
      <w:pPr>
        <w:pStyle w:val="ParaLevel1"/>
      </w:pPr>
      <w:r>
        <w:t xml:space="preserve">In my </w:t>
      </w:r>
      <w:r w:rsidR="00C219BC">
        <w:t>view</w:t>
      </w:r>
      <w:r w:rsidR="00920477">
        <w:t xml:space="preserve">, there </w:t>
      </w:r>
      <w:r w:rsidR="00C271D5">
        <w:t>is</w:t>
      </w:r>
      <w:r w:rsidR="00920477">
        <w:t xml:space="preserve"> force</w:t>
      </w:r>
      <w:r w:rsidR="00C271D5">
        <w:t xml:space="preserve"> in Mr Skeels’ riposte </w:t>
      </w:r>
      <w:r w:rsidR="007862CB">
        <w:t xml:space="preserve">that the hypothetical seller and buyer </w:t>
      </w:r>
      <w:r w:rsidR="009F7E1A">
        <w:t xml:space="preserve">would look </w:t>
      </w:r>
      <w:r w:rsidR="004965A5">
        <w:t xml:space="preserve">at the underlying performance and potential of the Company over the </w:t>
      </w:r>
      <w:r w:rsidR="00AD118F">
        <w:t xml:space="preserve">next </w:t>
      </w:r>
      <w:r w:rsidR="00B3776B">
        <w:t>2 to 3 years</w:t>
      </w:r>
      <w:r w:rsidR="00720E06">
        <w:t xml:space="preserve"> when considering the maintainable earning</w:t>
      </w:r>
      <w:r w:rsidR="00E33143">
        <w:t>s of the business</w:t>
      </w:r>
      <w:r w:rsidR="00B3776B">
        <w:t>.</w:t>
      </w:r>
      <w:r w:rsidR="00E33143">
        <w:t xml:space="preserve">  </w:t>
      </w:r>
      <w:r w:rsidR="00297A47">
        <w:t xml:space="preserve">He had support for that in the </w:t>
      </w:r>
      <w:r w:rsidR="00B23C11">
        <w:t>summar</w:t>
      </w:r>
      <w:r w:rsidR="00007026">
        <w:t>ies of valuation methodolog</w:t>
      </w:r>
      <w:r w:rsidR="00B23C11">
        <w:t xml:space="preserve">y </w:t>
      </w:r>
      <w:r w:rsidR="00007026">
        <w:t xml:space="preserve">and </w:t>
      </w:r>
      <w:r w:rsidR="005E1AAA">
        <w:t xml:space="preserve">the December 2015 </w:t>
      </w:r>
      <w:r w:rsidR="009A47B8">
        <w:t>forecast figures (for 201</w:t>
      </w:r>
      <w:r w:rsidR="0053052D">
        <w:t>8</w:t>
      </w:r>
      <w:r w:rsidR="009A47B8">
        <w:t xml:space="preserve"> and 201</w:t>
      </w:r>
      <w:r w:rsidR="00F30C4F">
        <w:t>9</w:t>
      </w:r>
      <w:r w:rsidR="009A47B8">
        <w:t xml:space="preserve">) </w:t>
      </w:r>
      <w:r w:rsidR="00F30C4F">
        <w:t xml:space="preserve">contained in the BDO Report.  </w:t>
      </w:r>
      <w:r w:rsidR="00AD3B75">
        <w:t xml:space="preserve">However, </w:t>
      </w:r>
      <w:r w:rsidR="00BC5233">
        <w:t xml:space="preserve">the questions raised by Alix Partners </w:t>
      </w:r>
      <w:r w:rsidR="00741FAB">
        <w:t xml:space="preserve">upon the 2015 figures </w:t>
      </w:r>
      <w:r w:rsidR="00BC5233">
        <w:t>(paragraph</w:t>
      </w:r>
      <w:r w:rsidR="00741FAB">
        <w:t xml:space="preserve"> </w:t>
      </w:r>
      <w:r w:rsidR="00824125">
        <w:t>317</w:t>
      </w:r>
      <w:r w:rsidR="00741FAB">
        <w:t xml:space="preserve"> above) </w:t>
      </w:r>
      <w:r w:rsidR="00630FBF">
        <w:t xml:space="preserve">were </w:t>
      </w:r>
      <w:r w:rsidR="00D14D4C">
        <w:t xml:space="preserve">not </w:t>
      </w:r>
      <w:r w:rsidR="004D7737">
        <w:t xml:space="preserve">explored </w:t>
      </w:r>
      <w:r w:rsidR="004F55F2">
        <w:t>before me in a way which</w:t>
      </w:r>
      <w:r w:rsidR="005151C1">
        <w:t xml:space="preserve"> </w:t>
      </w:r>
      <w:r w:rsidR="00364997">
        <w:t xml:space="preserve">might </w:t>
      </w:r>
      <w:r w:rsidR="005151C1">
        <w:t xml:space="preserve">have enabled me to reach a firmer view </w:t>
      </w:r>
      <w:r w:rsidR="00630FBF">
        <w:t xml:space="preserve">upon whether </w:t>
      </w:r>
      <w:r w:rsidR="006E7C1D">
        <w:t>he was being unduly optimistic</w:t>
      </w:r>
      <w:r w:rsidR="00A51627">
        <w:t xml:space="preserve">, </w:t>
      </w:r>
      <w:r w:rsidR="006E7C1D">
        <w:t xml:space="preserve">Mr Taylor </w:t>
      </w:r>
      <w:r w:rsidR="009F4C9F">
        <w:t xml:space="preserve">was being </w:t>
      </w:r>
      <w:r w:rsidR="00BF5D8C">
        <w:t>too pessimistic</w:t>
      </w:r>
      <w:r w:rsidR="00D75E85">
        <w:t>,</w:t>
      </w:r>
      <w:r w:rsidR="00A51627">
        <w:t xml:space="preserve"> or perhaps a </w:t>
      </w:r>
      <w:r w:rsidR="00D75E85">
        <w:t>bit of both</w:t>
      </w:r>
      <w:r w:rsidR="00BF5D8C">
        <w:t xml:space="preserve">. </w:t>
      </w:r>
      <w:r w:rsidR="00630FBF">
        <w:t xml:space="preserve"> </w:t>
      </w:r>
      <w:r w:rsidR="00BC5233">
        <w:t xml:space="preserve"> </w:t>
      </w:r>
      <w:r w:rsidR="00D711B1">
        <w:t xml:space="preserve"> </w:t>
      </w:r>
    </w:p>
    <w:p w14:paraId="5A26D790" w14:textId="67BF6EC0" w:rsidR="0062013A" w:rsidRDefault="00317D2A" w:rsidP="00EF2FE7">
      <w:pPr>
        <w:pStyle w:val="ParaLevel1"/>
      </w:pPr>
      <w:r>
        <w:t xml:space="preserve">In my judgment, </w:t>
      </w:r>
      <w:r w:rsidR="00167A50">
        <w:t xml:space="preserve">given the </w:t>
      </w:r>
      <w:r w:rsidR="00EF193A">
        <w:t xml:space="preserve">significance </w:t>
      </w:r>
      <w:r w:rsidR="00167A50">
        <w:t>difference of opi</w:t>
      </w:r>
      <w:r w:rsidR="00E75474">
        <w:t xml:space="preserve">nion between the experts </w:t>
      </w:r>
      <w:r w:rsidR="00AB452C">
        <w:t>upon the</w:t>
      </w:r>
      <w:r w:rsidR="00E75474">
        <w:t xml:space="preserve"> implications for the Company’s </w:t>
      </w:r>
      <w:r w:rsidR="00CA5694">
        <w:t xml:space="preserve">maintainable earnings </w:t>
      </w:r>
      <w:r w:rsidR="003B7848">
        <w:t>of the figures actual</w:t>
      </w:r>
      <w:r w:rsidR="00272755">
        <w:t xml:space="preserve">ly achieved </w:t>
      </w:r>
      <w:r w:rsidR="002450EA">
        <w:t>during the short history of its trading life</w:t>
      </w:r>
      <w:r w:rsidR="00FC0870">
        <w:t xml:space="preserve"> after the First Valuation Date, </w:t>
      </w:r>
      <w:r w:rsidR="00E911FD">
        <w:t xml:space="preserve">it is </w:t>
      </w:r>
      <w:r w:rsidR="00E305E6">
        <w:t>reasonable</w:t>
      </w:r>
      <w:r w:rsidR="00CA74F9">
        <w:t xml:space="preserve"> to </w:t>
      </w:r>
      <w:r w:rsidR="007423D8">
        <w:t xml:space="preserve">take </w:t>
      </w:r>
      <w:r w:rsidR="003F1FA4">
        <w:t xml:space="preserve">their </w:t>
      </w:r>
      <w:r w:rsidR="0016030C">
        <w:t xml:space="preserve">(substantial) consensus over the earlier EBITDA for IPS </w:t>
      </w:r>
      <w:r w:rsidR="00E305E6">
        <w:t xml:space="preserve">UK as providing a </w:t>
      </w:r>
      <w:r w:rsidR="0034457D">
        <w:t xml:space="preserve">firm </w:t>
      </w:r>
      <w:r w:rsidR="00E53901">
        <w:t xml:space="preserve">steer </w:t>
      </w:r>
      <w:r w:rsidR="00AF4A5F">
        <w:t xml:space="preserve">on the </w:t>
      </w:r>
      <w:r w:rsidR="0062013A">
        <w:t xml:space="preserve">appropriate </w:t>
      </w:r>
      <w:r w:rsidR="00D9699F">
        <w:t xml:space="preserve">EBITDA figure for the Company </w:t>
      </w:r>
      <w:r w:rsidR="008F5969">
        <w:t xml:space="preserve">on the Second Valuation Date </w:t>
      </w:r>
      <w:r w:rsidR="00D9699F">
        <w:t>some 8 months later.</w:t>
      </w:r>
      <w:r w:rsidR="00172044">
        <w:t xml:space="preserve">  </w:t>
      </w:r>
    </w:p>
    <w:p w14:paraId="538BC522" w14:textId="079984F3" w:rsidR="00D31BF1" w:rsidRDefault="00C869ED" w:rsidP="00EF2FE7">
      <w:pPr>
        <w:pStyle w:val="ParaLevel1"/>
      </w:pPr>
      <w:r>
        <w:t xml:space="preserve">Adopting the same figure of £1.1m </w:t>
      </w:r>
      <w:r w:rsidR="00657C2A">
        <w:t xml:space="preserve">means that I have chosen an EBITDA which is midway between </w:t>
      </w:r>
      <w:r w:rsidR="00560A36">
        <w:t xml:space="preserve">Mr Skeels’ figure and Mr Taylor’s higher figure.  </w:t>
      </w:r>
      <w:r w:rsidR="00467ABC">
        <w:t xml:space="preserve">I believe </w:t>
      </w:r>
      <w:r w:rsidR="006C0CC5">
        <w:t xml:space="preserve">that doing so </w:t>
      </w:r>
      <w:r w:rsidR="00495F60">
        <w:t>reasonably reflects the difference</w:t>
      </w:r>
      <w:r w:rsidR="007620CB">
        <w:t xml:space="preserve">s between them over the later EBITDA </w:t>
      </w:r>
      <w:r w:rsidR="00227F23">
        <w:t>figure.</w:t>
      </w:r>
      <w:r w:rsidR="00B3776B">
        <w:t xml:space="preserve">  </w:t>
      </w:r>
      <w:r w:rsidR="00920477">
        <w:t xml:space="preserve"> </w:t>
      </w:r>
      <w:r w:rsidR="00D04878">
        <w:t xml:space="preserve"> </w:t>
      </w:r>
      <w:r w:rsidR="00AC5C62">
        <w:t xml:space="preserve"> </w:t>
      </w:r>
      <w:r w:rsidR="00132DAD">
        <w:t xml:space="preserve"> </w:t>
      </w:r>
      <w:r w:rsidR="00B640C4">
        <w:t xml:space="preserve"> </w:t>
      </w:r>
      <w:r w:rsidR="00006BA1">
        <w:t xml:space="preserve"> </w:t>
      </w:r>
    </w:p>
    <w:p w14:paraId="439A29E8" w14:textId="0C468D9D" w:rsidR="002A607D" w:rsidRDefault="002A607D" w:rsidP="00EF2FE7">
      <w:pPr>
        <w:pStyle w:val="ParaLevel1"/>
        <w:numPr>
          <w:ilvl w:val="0"/>
          <w:numId w:val="0"/>
        </w:numPr>
      </w:pPr>
    </w:p>
    <w:p w14:paraId="09B37BD5" w14:textId="6E3F5DC3" w:rsidR="002A607D" w:rsidRPr="002A607D" w:rsidRDefault="00291B88" w:rsidP="00EF2FE7">
      <w:pPr>
        <w:pStyle w:val="ParaLevel1"/>
        <w:numPr>
          <w:ilvl w:val="0"/>
          <w:numId w:val="0"/>
        </w:numPr>
        <w:rPr>
          <w:b/>
          <w:bCs/>
          <w:u w:val="single"/>
        </w:rPr>
      </w:pPr>
      <w:r>
        <w:rPr>
          <w:b/>
          <w:bCs/>
          <w:u w:val="single"/>
        </w:rPr>
        <w:t>J.</w:t>
      </w:r>
      <w:r>
        <w:rPr>
          <w:b/>
          <w:bCs/>
          <w:u w:val="single"/>
        </w:rPr>
        <w:tab/>
      </w:r>
      <w:r w:rsidR="002A607D" w:rsidRPr="002A607D">
        <w:rPr>
          <w:b/>
          <w:bCs/>
          <w:u w:val="single"/>
        </w:rPr>
        <w:t>T</w:t>
      </w:r>
      <w:r w:rsidR="005051F0">
        <w:rPr>
          <w:b/>
          <w:bCs/>
          <w:u w:val="single"/>
        </w:rPr>
        <w:t>HE  INTERPRETATION OF ARTICLE 18.4.1</w:t>
      </w:r>
    </w:p>
    <w:p w14:paraId="071E40F5" w14:textId="77777777" w:rsidR="00D54E7C" w:rsidRDefault="006D75C8" w:rsidP="00EF2FE7">
      <w:pPr>
        <w:pStyle w:val="ParaLevel1"/>
      </w:pPr>
      <w:r>
        <w:t>It is sensible at this stage to grapple with the proper interpretation of article 18.4.1</w:t>
      </w:r>
      <w:r w:rsidR="0015260F">
        <w:t>.</w:t>
      </w:r>
      <w:r w:rsidR="000440E5">
        <w:t xml:space="preserve">  The point </w:t>
      </w:r>
      <w:r w:rsidR="0062471E">
        <w:t>permeates issues of liability and causation.</w:t>
      </w:r>
      <w:r w:rsidR="006F0D0F">
        <w:t xml:space="preserve">  It is also one to </w:t>
      </w:r>
      <w:r w:rsidR="00D54E7C">
        <w:t>be determined independently of the evidence.</w:t>
      </w:r>
    </w:p>
    <w:p w14:paraId="3C2C6544" w14:textId="77777777" w:rsidR="00E33FCB" w:rsidRDefault="00E33FCB" w:rsidP="00EF2FE7">
      <w:pPr>
        <w:pStyle w:val="ParaLevel1"/>
      </w:pPr>
      <w:r>
        <w:t>I</w:t>
      </w:r>
      <w:r w:rsidR="00360981" w:rsidRPr="00360981">
        <w:t xml:space="preserve">n </w:t>
      </w:r>
      <w:r w:rsidR="00360981" w:rsidRPr="00E33FCB">
        <w:rPr>
          <w:i/>
          <w:iCs/>
        </w:rPr>
        <w:t>Arnold v Britton</w:t>
      </w:r>
      <w:r w:rsidR="00360981" w:rsidRPr="00360981">
        <w:t xml:space="preserve"> [2015] AC 1619</w:t>
      </w:r>
      <w:r w:rsidR="00503F41">
        <w:t>,</w:t>
      </w:r>
      <w:r w:rsidR="00360981" w:rsidRPr="00360981">
        <w:t xml:space="preserve"> at [17], </w:t>
      </w:r>
      <w:r w:rsidR="00503F41" w:rsidRPr="00503F41">
        <w:t xml:space="preserve">Lord Neuberger </w:t>
      </w:r>
      <w:r w:rsidR="00503F41">
        <w:t>PSC said</w:t>
      </w:r>
      <w:r>
        <w:t>:</w:t>
      </w:r>
    </w:p>
    <w:p w14:paraId="03AB2D5E" w14:textId="3CAA8594" w:rsidR="00360981" w:rsidRPr="00360981" w:rsidRDefault="00360981" w:rsidP="00EF2FE7">
      <w:pPr>
        <w:pStyle w:val="ParaLevel1"/>
        <w:numPr>
          <w:ilvl w:val="0"/>
          <w:numId w:val="0"/>
        </w:numPr>
        <w:ind w:left="1134"/>
      </w:pPr>
      <w:r w:rsidRPr="00360981">
        <w:t>“…</w:t>
      </w:r>
      <w:r w:rsidRPr="0057141B">
        <w:rPr>
          <w:i/>
          <w:iCs/>
        </w:rPr>
        <w:t>identifying what the parties meant through the eyes of a reasonable reader…save perhaps in a very unusual case, that meaning is most obviously to be gleaned from the language of the provision…</w:t>
      </w:r>
      <w:r w:rsidRPr="00360981">
        <w:t>”.</w:t>
      </w:r>
    </w:p>
    <w:p w14:paraId="369EE8BF" w14:textId="38429B90" w:rsidR="001D4309" w:rsidRDefault="008370DB" w:rsidP="00EF2FE7">
      <w:pPr>
        <w:pStyle w:val="ParaLevel1"/>
      </w:pPr>
      <w:r>
        <w:t>In “</w:t>
      </w:r>
      <w:bookmarkStart w:id="7" w:name="_Hlk98516327"/>
      <w:r w:rsidRPr="009478E4">
        <w:rPr>
          <w:i/>
          <w:iCs/>
        </w:rPr>
        <w:t>The Ocean Neptune</w:t>
      </w:r>
      <w:bookmarkEnd w:id="7"/>
      <w:r>
        <w:t>” [2018] 1 Lloyd</w:t>
      </w:r>
      <w:r w:rsidR="00814B63">
        <w:t xml:space="preserve">’s Rep 654, at [8], </w:t>
      </w:r>
      <w:r w:rsidR="0086263B">
        <w:t xml:space="preserve">Popplewell J (as he then was) provided </w:t>
      </w:r>
      <w:r w:rsidR="00056602">
        <w:t xml:space="preserve">the following </w:t>
      </w:r>
      <w:r w:rsidR="0086263B">
        <w:t xml:space="preserve">neat synopsis </w:t>
      </w:r>
      <w:r w:rsidR="00451C4E">
        <w:t xml:space="preserve">of the </w:t>
      </w:r>
      <w:r w:rsidR="00A57D7B">
        <w:t xml:space="preserve">guidance given by the House of Lords and later the Supreme Court </w:t>
      </w:r>
      <w:r w:rsidR="001D4309">
        <w:t>t</w:t>
      </w:r>
      <w:r w:rsidR="00971788">
        <w:t xml:space="preserve">o the construction of </w:t>
      </w:r>
      <w:r w:rsidR="001D4309">
        <w:t xml:space="preserve">commercial documents such as the Articles: </w:t>
      </w:r>
    </w:p>
    <w:p w14:paraId="54B29C07" w14:textId="05C672D4" w:rsidR="002A607D" w:rsidRPr="0037357E" w:rsidRDefault="0037357E" w:rsidP="00EF2FE7">
      <w:pPr>
        <w:pStyle w:val="ParaLevel1"/>
        <w:numPr>
          <w:ilvl w:val="0"/>
          <w:numId w:val="0"/>
        </w:numPr>
        <w:ind w:left="1134"/>
        <w:rPr>
          <w:i/>
          <w:iCs/>
        </w:rPr>
      </w:pPr>
      <w:r>
        <w:t>“</w:t>
      </w:r>
      <w:r w:rsidR="001D6910" w:rsidRPr="0037357E">
        <w:rPr>
          <w:i/>
          <w:iCs/>
        </w:rPr>
        <w:t>There is an abundance of recent high</w:t>
      </w:r>
      <w:r w:rsidR="00814B63" w:rsidRPr="0037357E">
        <w:rPr>
          <w:i/>
          <w:iCs/>
        </w:rPr>
        <w:t xml:space="preserve"> </w:t>
      </w:r>
      <w:r w:rsidR="001D6910" w:rsidRPr="0037357E">
        <w:rPr>
          <w:i/>
          <w:iCs/>
        </w:rPr>
        <w:t>authority on the principles applicable to the</w:t>
      </w:r>
      <w:r w:rsidR="00814B63" w:rsidRPr="0037357E">
        <w:rPr>
          <w:i/>
          <w:iCs/>
        </w:rPr>
        <w:t xml:space="preserve"> </w:t>
      </w:r>
      <w:r w:rsidR="001D6910" w:rsidRPr="0037357E">
        <w:rPr>
          <w:i/>
          <w:iCs/>
        </w:rPr>
        <w:t>construction of commercial docu</w:t>
      </w:r>
      <w:r w:rsidR="00AC5C62">
        <w:rPr>
          <w:i/>
          <w:iCs/>
        </w:rPr>
        <w:t>C</w:t>
      </w:r>
      <w:r w:rsidR="001D6910" w:rsidRPr="0037357E">
        <w:rPr>
          <w:i/>
          <w:iCs/>
        </w:rPr>
        <w:t>ments, including</w:t>
      </w:r>
      <w:r w:rsidR="00814B63" w:rsidRPr="0037357E">
        <w:rPr>
          <w:i/>
          <w:iCs/>
        </w:rPr>
        <w:t xml:space="preserve"> </w:t>
      </w:r>
      <w:r w:rsidR="001D6910" w:rsidRPr="0037357E">
        <w:rPr>
          <w:i/>
          <w:iCs/>
          <w:u w:val="single"/>
        </w:rPr>
        <w:t>Investors Compensation Scheme Ltd</w:t>
      </w:r>
      <w:r w:rsidR="001D6910" w:rsidRPr="0037357E">
        <w:rPr>
          <w:i/>
          <w:iCs/>
        </w:rPr>
        <w:t xml:space="preserve"> v </w:t>
      </w:r>
      <w:r w:rsidR="001D6910" w:rsidRPr="0037357E">
        <w:rPr>
          <w:i/>
          <w:iCs/>
          <w:u w:val="single"/>
        </w:rPr>
        <w:t>West</w:t>
      </w:r>
      <w:r w:rsidR="00814B63" w:rsidRPr="0037357E">
        <w:rPr>
          <w:i/>
          <w:iCs/>
          <w:u w:val="single"/>
        </w:rPr>
        <w:t xml:space="preserve"> </w:t>
      </w:r>
      <w:r w:rsidR="001D6910" w:rsidRPr="0037357E">
        <w:rPr>
          <w:i/>
          <w:iCs/>
          <w:u w:val="single"/>
        </w:rPr>
        <w:t>Bromwich Building Society</w:t>
      </w:r>
      <w:r w:rsidR="001D6910" w:rsidRPr="0037357E">
        <w:rPr>
          <w:i/>
          <w:iCs/>
        </w:rPr>
        <w:t xml:space="preserve"> [1998] 1 WLR 896;</w:t>
      </w:r>
      <w:r w:rsidR="00814B63" w:rsidRPr="0037357E">
        <w:rPr>
          <w:i/>
          <w:iCs/>
        </w:rPr>
        <w:t xml:space="preserve"> </w:t>
      </w:r>
      <w:r w:rsidR="001D6910" w:rsidRPr="0037357E">
        <w:rPr>
          <w:i/>
          <w:iCs/>
          <w:u w:val="single"/>
        </w:rPr>
        <w:t xml:space="preserve">Chartbrook Ltd </w:t>
      </w:r>
      <w:r w:rsidR="001D6910" w:rsidRPr="0037357E">
        <w:rPr>
          <w:i/>
          <w:iCs/>
        </w:rPr>
        <w:t xml:space="preserve">v </w:t>
      </w:r>
      <w:r w:rsidR="001D6910" w:rsidRPr="0037357E">
        <w:rPr>
          <w:i/>
          <w:iCs/>
          <w:u w:val="single"/>
        </w:rPr>
        <w:t>Persimmon Homes Ltd</w:t>
      </w:r>
      <w:r w:rsidR="001D6910" w:rsidRPr="0037357E">
        <w:rPr>
          <w:i/>
          <w:iCs/>
        </w:rPr>
        <w:t xml:space="preserve"> [2009]</w:t>
      </w:r>
      <w:r w:rsidR="00814B63" w:rsidRPr="0037357E">
        <w:rPr>
          <w:i/>
          <w:iCs/>
        </w:rPr>
        <w:t xml:space="preserve"> </w:t>
      </w:r>
      <w:r w:rsidR="001D6910" w:rsidRPr="0037357E">
        <w:rPr>
          <w:i/>
          <w:iCs/>
        </w:rPr>
        <w:t xml:space="preserve">AC 1101; </w:t>
      </w:r>
      <w:r w:rsidR="001D6910" w:rsidRPr="0037357E">
        <w:rPr>
          <w:i/>
          <w:iCs/>
          <w:u w:val="single"/>
        </w:rPr>
        <w:t>Re Sigma Finance Corporation</w:t>
      </w:r>
      <w:r w:rsidR="001D6910" w:rsidRPr="0037357E">
        <w:rPr>
          <w:i/>
          <w:iCs/>
        </w:rPr>
        <w:t xml:space="preserve"> [2010] 1</w:t>
      </w:r>
      <w:r w:rsidR="00814B63" w:rsidRPr="0037357E">
        <w:rPr>
          <w:i/>
          <w:iCs/>
        </w:rPr>
        <w:t xml:space="preserve"> </w:t>
      </w:r>
      <w:r w:rsidR="001D6910" w:rsidRPr="0037357E">
        <w:rPr>
          <w:i/>
          <w:iCs/>
        </w:rPr>
        <w:t xml:space="preserve">All ER 571; </w:t>
      </w:r>
      <w:r w:rsidR="001D6910" w:rsidRPr="0037357E">
        <w:rPr>
          <w:i/>
          <w:iCs/>
          <w:u w:val="single"/>
        </w:rPr>
        <w:t>Rainy Sky SA v Kookmin Bank</w:t>
      </w:r>
      <w:r w:rsidR="001D6910" w:rsidRPr="0037357E">
        <w:rPr>
          <w:i/>
          <w:iCs/>
        </w:rPr>
        <w:t xml:space="preserve"> [2012]</w:t>
      </w:r>
      <w:r w:rsidR="00814B63" w:rsidRPr="0037357E">
        <w:rPr>
          <w:i/>
          <w:iCs/>
        </w:rPr>
        <w:t xml:space="preserve"> </w:t>
      </w:r>
      <w:r w:rsidR="001D6910" w:rsidRPr="0037357E">
        <w:rPr>
          <w:i/>
          <w:iCs/>
        </w:rPr>
        <w:t xml:space="preserve">1 Lloyd’s Rep 34 ; [2011] 1 WLR 2900; </w:t>
      </w:r>
      <w:r w:rsidR="001D6910" w:rsidRPr="0037357E">
        <w:rPr>
          <w:i/>
          <w:iCs/>
          <w:u w:val="single"/>
        </w:rPr>
        <w:t>Arnold</w:t>
      </w:r>
      <w:r w:rsidR="00814B63" w:rsidRPr="0037357E">
        <w:rPr>
          <w:i/>
          <w:iCs/>
        </w:rPr>
        <w:t xml:space="preserve"> </w:t>
      </w:r>
      <w:r w:rsidR="001D6910" w:rsidRPr="0037357E">
        <w:rPr>
          <w:i/>
          <w:iCs/>
        </w:rPr>
        <w:t xml:space="preserve">v </w:t>
      </w:r>
      <w:r w:rsidR="001D6910" w:rsidRPr="0037357E">
        <w:rPr>
          <w:i/>
          <w:iCs/>
          <w:u w:val="single"/>
        </w:rPr>
        <w:t>Britton</w:t>
      </w:r>
      <w:r w:rsidR="001D6910" w:rsidRPr="0037357E">
        <w:rPr>
          <w:i/>
          <w:iCs/>
        </w:rPr>
        <w:t xml:space="preserve"> [2015] AC 1619; and </w:t>
      </w:r>
      <w:r w:rsidR="001D6910" w:rsidRPr="0037357E">
        <w:rPr>
          <w:i/>
          <w:iCs/>
          <w:u w:val="single"/>
        </w:rPr>
        <w:t>Wood</w:t>
      </w:r>
      <w:r w:rsidR="001D6910" w:rsidRPr="0037357E">
        <w:rPr>
          <w:i/>
          <w:iCs/>
        </w:rPr>
        <w:t xml:space="preserve"> v </w:t>
      </w:r>
      <w:r w:rsidR="001D6910" w:rsidRPr="0037357E">
        <w:rPr>
          <w:i/>
          <w:iCs/>
          <w:u w:val="single"/>
        </w:rPr>
        <w:t>Capita</w:t>
      </w:r>
      <w:r w:rsidR="00814B63" w:rsidRPr="0037357E">
        <w:rPr>
          <w:i/>
          <w:iCs/>
          <w:u w:val="single"/>
        </w:rPr>
        <w:t xml:space="preserve"> </w:t>
      </w:r>
      <w:r w:rsidR="001D6910" w:rsidRPr="0037357E">
        <w:rPr>
          <w:i/>
          <w:iCs/>
          <w:u w:val="single"/>
        </w:rPr>
        <w:t>Insurance Services Ltd</w:t>
      </w:r>
      <w:r w:rsidR="001D6910" w:rsidRPr="0037357E">
        <w:rPr>
          <w:i/>
          <w:iCs/>
        </w:rPr>
        <w:t xml:space="preserve"> [2018] Lloyd’s Rep Plus</w:t>
      </w:r>
      <w:r w:rsidR="00814B63" w:rsidRPr="0037357E">
        <w:rPr>
          <w:i/>
          <w:iCs/>
        </w:rPr>
        <w:t xml:space="preserve"> </w:t>
      </w:r>
      <w:r w:rsidR="00103A88" w:rsidRPr="0037357E">
        <w:rPr>
          <w:i/>
          <w:iCs/>
        </w:rPr>
        <w:t>1</w:t>
      </w:r>
      <w:r w:rsidR="001D6910" w:rsidRPr="0037357E">
        <w:rPr>
          <w:i/>
          <w:iCs/>
        </w:rPr>
        <w:t>3</w:t>
      </w:r>
      <w:r w:rsidR="002E7248">
        <w:rPr>
          <w:i/>
          <w:iCs/>
        </w:rPr>
        <w:t xml:space="preserve">; </w:t>
      </w:r>
      <w:r w:rsidR="001D6910" w:rsidRPr="0037357E">
        <w:rPr>
          <w:i/>
          <w:iCs/>
        </w:rPr>
        <w:t>[2017] AC 1173. The court’s task is to ascertain</w:t>
      </w:r>
      <w:r w:rsidR="009B5F11" w:rsidRPr="0037357E">
        <w:rPr>
          <w:i/>
          <w:iCs/>
        </w:rPr>
        <w:t xml:space="preserve"> </w:t>
      </w:r>
      <w:r w:rsidR="001D6910" w:rsidRPr="0037357E">
        <w:rPr>
          <w:i/>
          <w:iCs/>
        </w:rPr>
        <w:t>the objective meaning of the language which the</w:t>
      </w:r>
      <w:r w:rsidR="009B5F11" w:rsidRPr="0037357E">
        <w:rPr>
          <w:i/>
          <w:iCs/>
        </w:rPr>
        <w:t xml:space="preserve"> </w:t>
      </w:r>
      <w:r w:rsidR="001D6910" w:rsidRPr="0037357E">
        <w:rPr>
          <w:i/>
          <w:iCs/>
        </w:rPr>
        <w:t>parties have chosen in which to express their</w:t>
      </w:r>
      <w:r w:rsidR="009B5F11" w:rsidRPr="0037357E">
        <w:rPr>
          <w:i/>
          <w:iCs/>
        </w:rPr>
        <w:t xml:space="preserve"> </w:t>
      </w:r>
      <w:r w:rsidR="001D6910" w:rsidRPr="0037357E">
        <w:rPr>
          <w:i/>
          <w:iCs/>
        </w:rPr>
        <w:t>agreement. The court must consider the language</w:t>
      </w:r>
      <w:r w:rsidR="009B5F11" w:rsidRPr="0037357E">
        <w:rPr>
          <w:i/>
          <w:iCs/>
        </w:rPr>
        <w:t xml:space="preserve"> </w:t>
      </w:r>
      <w:r w:rsidR="001D6910" w:rsidRPr="0037357E">
        <w:rPr>
          <w:i/>
          <w:iCs/>
        </w:rPr>
        <w:t>used and ascertain what a reasonable person, that</w:t>
      </w:r>
      <w:r w:rsidR="009B5F11" w:rsidRPr="0037357E">
        <w:rPr>
          <w:i/>
          <w:iCs/>
        </w:rPr>
        <w:t xml:space="preserve"> </w:t>
      </w:r>
      <w:r w:rsidR="001D6910" w:rsidRPr="0037357E">
        <w:rPr>
          <w:i/>
          <w:iCs/>
        </w:rPr>
        <w:t>is a person who has all the background knowledge</w:t>
      </w:r>
      <w:r w:rsidR="009B5F11" w:rsidRPr="0037357E">
        <w:rPr>
          <w:i/>
          <w:iCs/>
        </w:rPr>
        <w:t xml:space="preserve"> </w:t>
      </w:r>
      <w:r w:rsidR="001D6910" w:rsidRPr="0037357E">
        <w:rPr>
          <w:i/>
          <w:iCs/>
        </w:rPr>
        <w:t>which would reasonably have been available to</w:t>
      </w:r>
      <w:r w:rsidR="009B5F11" w:rsidRPr="0037357E">
        <w:rPr>
          <w:i/>
          <w:iCs/>
        </w:rPr>
        <w:t xml:space="preserve"> </w:t>
      </w:r>
      <w:r w:rsidR="001D6910" w:rsidRPr="0037357E">
        <w:rPr>
          <w:i/>
          <w:iCs/>
        </w:rPr>
        <w:t>the parties in the situation in which they were</w:t>
      </w:r>
      <w:r w:rsidR="009B5F11" w:rsidRPr="0037357E">
        <w:rPr>
          <w:i/>
          <w:iCs/>
        </w:rPr>
        <w:t xml:space="preserve"> </w:t>
      </w:r>
      <w:r w:rsidR="001D6910" w:rsidRPr="0037357E">
        <w:rPr>
          <w:i/>
          <w:iCs/>
        </w:rPr>
        <w:t>at the time of the contract, would have understood</w:t>
      </w:r>
      <w:r w:rsidR="009B5F11" w:rsidRPr="0037357E">
        <w:rPr>
          <w:i/>
          <w:iCs/>
        </w:rPr>
        <w:t xml:space="preserve"> </w:t>
      </w:r>
      <w:r w:rsidR="001D6910" w:rsidRPr="0037357E">
        <w:rPr>
          <w:i/>
          <w:iCs/>
        </w:rPr>
        <w:t>the parties to have meant. The court must consider</w:t>
      </w:r>
      <w:r w:rsidR="009B5F11" w:rsidRPr="0037357E">
        <w:rPr>
          <w:i/>
          <w:iCs/>
        </w:rPr>
        <w:t xml:space="preserve"> </w:t>
      </w:r>
      <w:r w:rsidR="001D6910" w:rsidRPr="0037357E">
        <w:rPr>
          <w:i/>
          <w:iCs/>
        </w:rPr>
        <w:t>the contract as a whole and, depending on the</w:t>
      </w:r>
      <w:r w:rsidR="009B5F11" w:rsidRPr="0037357E">
        <w:rPr>
          <w:i/>
          <w:iCs/>
        </w:rPr>
        <w:t xml:space="preserve"> </w:t>
      </w:r>
      <w:r w:rsidR="001D6910" w:rsidRPr="0037357E">
        <w:rPr>
          <w:i/>
          <w:iCs/>
        </w:rPr>
        <w:t>nature, formality and quality of drafting of the</w:t>
      </w:r>
      <w:r w:rsidR="009B5F11" w:rsidRPr="0037357E">
        <w:rPr>
          <w:i/>
          <w:iCs/>
        </w:rPr>
        <w:t xml:space="preserve"> </w:t>
      </w:r>
      <w:r w:rsidR="001D6910" w:rsidRPr="0037357E">
        <w:rPr>
          <w:i/>
          <w:iCs/>
        </w:rPr>
        <w:t>contract, give more or less weight to elements of</w:t>
      </w:r>
      <w:r w:rsidR="009B5F11" w:rsidRPr="0037357E">
        <w:rPr>
          <w:i/>
          <w:iCs/>
        </w:rPr>
        <w:t xml:space="preserve"> </w:t>
      </w:r>
      <w:r w:rsidR="001D6910" w:rsidRPr="0037357E">
        <w:rPr>
          <w:i/>
          <w:iCs/>
        </w:rPr>
        <w:t>the wider context in reaching its view as to the</w:t>
      </w:r>
      <w:r w:rsidR="009B5F11" w:rsidRPr="0037357E">
        <w:rPr>
          <w:i/>
          <w:iCs/>
        </w:rPr>
        <w:t xml:space="preserve"> </w:t>
      </w:r>
      <w:r w:rsidR="001D6910" w:rsidRPr="0037357E">
        <w:rPr>
          <w:i/>
          <w:iCs/>
        </w:rPr>
        <w:t>objective meaning of the language used. If there</w:t>
      </w:r>
      <w:r w:rsidR="009B5F11" w:rsidRPr="0037357E">
        <w:rPr>
          <w:i/>
          <w:iCs/>
        </w:rPr>
        <w:t xml:space="preserve"> </w:t>
      </w:r>
      <w:r w:rsidR="001D6910" w:rsidRPr="0037357E">
        <w:rPr>
          <w:i/>
          <w:iCs/>
        </w:rPr>
        <w:t>are two possible constructions, the court is entitled</w:t>
      </w:r>
      <w:r w:rsidR="009B5F11" w:rsidRPr="0037357E">
        <w:rPr>
          <w:i/>
          <w:iCs/>
        </w:rPr>
        <w:t xml:space="preserve"> </w:t>
      </w:r>
      <w:r w:rsidR="001D6910" w:rsidRPr="0037357E">
        <w:rPr>
          <w:i/>
          <w:iCs/>
        </w:rPr>
        <w:t>to prefer the construction which is consistent with</w:t>
      </w:r>
      <w:r w:rsidR="009B5F11" w:rsidRPr="0037357E">
        <w:rPr>
          <w:i/>
          <w:iCs/>
        </w:rPr>
        <w:t xml:space="preserve"> </w:t>
      </w:r>
      <w:r w:rsidR="001D6910" w:rsidRPr="0037357E">
        <w:rPr>
          <w:i/>
          <w:iCs/>
        </w:rPr>
        <w:t>business common sense and to reject the other.</w:t>
      </w:r>
      <w:r w:rsidR="009B5F11" w:rsidRPr="0037357E">
        <w:rPr>
          <w:i/>
          <w:iCs/>
        </w:rPr>
        <w:t xml:space="preserve"> </w:t>
      </w:r>
      <w:r w:rsidR="001D6910" w:rsidRPr="0037357E">
        <w:rPr>
          <w:i/>
          <w:iCs/>
        </w:rPr>
        <w:t>Interpretation is a unitary exercise; in striking</w:t>
      </w:r>
      <w:r w:rsidRPr="0037357E">
        <w:rPr>
          <w:i/>
          <w:iCs/>
        </w:rPr>
        <w:t xml:space="preserve"> </w:t>
      </w:r>
      <w:r w:rsidR="001D6910" w:rsidRPr="0037357E">
        <w:rPr>
          <w:i/>
          <w:iCs/>
        </w:rPr>
        <w:t>a balance between the indications given by the</w:t>
      </w:r>
      <w:r w:rsidRPr="0037357E">
        <w:rPr>
          <w:i/>
          <w:iCs/>
        </w:rPr>
        <w:t xml:space="preserve"> </w:t>
      </w:r>
      <w:r w:rsidR="001D6910" w:rsidRPr="0037357E">
        <w:rPr>
          <w:i/>
          <w:iCs/>
        </w:rPr>
        <w:t>language and the implications of the competing</w:t>
      </w:r>
      <w:r w:rsidRPr="0037357E">
        <w:rPr>
          <w:i/>
          <w:iCs/>
        </w:rPr>
        <w:t xml:space="preserve"> </w:t>
      </w:r>
      <w:r w:rsidR="001D6910" w:rsidRPr="0037357E">
        <w:rPr>
          <w:i/>
          <w:iCs/>
        </w:rPr>
        <w:t>constructions, the court must consider the quality</w:t>
      </w:r>
      <w:r w:rsidRPr="0037357E">
        <w:rPr>
          <w:i/>
          <w:iCs/>
        </w:rPr>
        <w:t xml:space="preserve"> </w:t>
      </w:r>
      <w:r w:rsidR="001D6910" w:rsidRPr="0037357E">
        <w:rPr>
          <w:i/>
          <w:iCs/>
        </w:rPr>
        <w:t>of drafting of the clause and it must also be alive</w:t>
      </w:r>
      <w:r w:rsidRPr="0037357E">
        <w:rPr>
          <w:i/>
          <w:iCs/>
        </w:rPr>
        <w:t xml:space="preserve"> </w:t>
      </w:r>
      <w:r w:rsidR="001D6910" w:rsidRPr="0037357E">
        <w:rPr>
          <w:i/>
          <w:iCs/>
        </w:rPr>
        <w:t>to the possibility that one side may have agreed to</w:t>
      </w:r>
      <w:r w:rsidRPr="0037357E">
        <w:rPr>
          <w:i/>
          <w:iCs/>
        </w:rPr>
        <w:t xml:space="preserve"> </w:t>
      </w:r>
      <w:r w:rsidR="001D6910" w:rsidRPr="0037357E">
        <w:rPr>
          <w:i/>
          <w:iCs/>
        </w:rPr>
        <w:t>something which with hindsight did not serve his</w:t>
      </w:r>
      <w:r w:rsidRPr="0037357E">
        <w:rPr>
          <w:i/>
          <w:iCs/>
        </w:rPr>
        <w:t xml:space="preserve"> </w:t>
      </w:r>
      <w:r w:rsidR="001D6910" w:rsidRPr="0037357E">
        <w:rPr>
          <w:i/>
          <w:iCs/>
        </w:rPr>
        <w:t>interest; similarly, the court must not lose sight of</w:t>
      </w:r>
      <w:r w:rsidRPr="0037357E">
        <w:rPr>
          <w:i/>
          <w:iCs/>
        </w:rPr>
        <w:t xml:space="preserve"> </w:t>
      </w:r>
      <w:r w:rsidR="001D6910" w:rsidRPr="0037357E">
        <w:rPr>
          <w:i/>
          <w:iCs/>
        </w:rPr>
        <w:t>the possibility that a provision may be a negotiated</w:t>
      </w:r>
      <w:r w:rsidRPr="0037357E">
        <w:rPr>
          <w:i/>
          <w:iCs/>
        </w:rPr>
        <w:t xml:space="preserve"> </w:t>
      </w:r>
      <w:r w:rsidR="001D6910" w:rsidRPr="0037357E">
        <w:rPr>
          <w:i/>
          <w:iCs/>
        </w:rPr>
        <w:t>compromise or that the negotiators were not</w:t>
      </w:r>
      <w:r w:rsidRPr="0037357E">
        <w:rPr>
          <w:i/>
          <w:iCs/>
        </w:rPr>
        <w:t xml:space="preserve"> </w:t>
      </w:r>
      <w:r w:rsidR="001D6910" w:rsidRPr="0037357E">
        <w:rPr>
          <w:i/>
          <w:iCs/>
        </w:rPr>
        <w:t>able to agree more precise terms. This unitary</w:t>
      </w:r>
      <w:r w:rsidRPr="0037357E">
        <w:rPr>
          <w:i/>
          <w:iCs/>
        </w:rPr>
        <w:t xml:space="preserve"> </w:t>
      </w:r>
      <w:r w:rsidR="001D6910" w:rsidRPr="0037357E">
        <w:rPr>
          <w:i/>
          <w:iCs/>
        </w:rPr>
        <w:t>exercise involves an iterative process by which</w:t>
      </w:r>
      <w:r w:rsidRPr="0037357E">
        <w:rPr>
          <w:i/>
          <w:iCs/>
        </w:rPr>
        <w:t xml:space="preserve"> </w:t>
      </w:r>
      <w:r w:rsidR="001D6910" w:rsidRPr="0037357E">
        <w:rPr>
          <w:i/>
          <w:iCs/>
        </w:rPr>
        <w:t>each suggested interpretation is checked against</w:t>
      </w:r>
      <w:r w:rsidRPr="0037357E">
        <w:rPr>
          <w:i/>
          <w:iCs/>
        </w:rPr>
        <w:t xml:space="preserve"> </w:t>
      </w:r>
      <w:r w:rsidR="001D6910" w:rsidRPr="0037357E">
        <w:rPr>
          <w:i/>
          <w:iCs/>
        </w:rPr>
        <w:t>the provisions of the contract and its commercial</w:t>
      </w:r>
      <w:r w:rsidRPr="0037357E">
        <w:rPr>
          <w:i/>
          <w:iCs/>
        </w:rPr>
        <w:t xml:space="preserve"> </w:t>
      </w:r>
      <w:r w:rsidR="001D6910" w:rsidRPr="0037357E">
        <w:rPr>
          <w:i/>
          <w:iCs/>
        </w:rPr>
        <w:t>consequences are investigated. It does not matter</w:t>
      </w:r>
      <w:r w:rsidRPr="0037357E">
        <w:rPr>
          <w:i/>
          <w:iCs/>
        </w:rPr>
        <w:t xml:space="preserve"> </w:t>
      </w:r>
      <w:r w:rsidR="001D6910" w:rsidRPr="0037357E">
        <w:rPr>
          <w:i/>
          <w:iCs/>
        </w:rPr>
        <w:t>whether the more detailed analysis commences</w:t>
      </w:r>
      <w:r w:rsidRPr="0037357E">
        <w:rPr>
          <w:i/>
          <w:iCs/>
        </w:rPr>
        <w:t xml:space="preserve"> </w:t>
      </w:r>
      <w:r w:rsidR="001D6910" w:rsidRPr="0037357E">
        <w:rPr>
          <w:i/>
          <w:iCs/>
        </w:rPr>
        <w:t>with the factual background and the implications</w:t>
      </w:r>
      <w:r w:rsidRPr="0037357E">
        <w:rPr>
          <w:i/>
          <w:iCs/>
        </w:rPr>
        <w:t xml:space="preserve"> </w:t>
      </w:r>
      <w:r w:rsidR="001D6910" w:rsidRPr="0037357E">
        <w:rPr>
          <w:i/>
          <w:iCs/>
        </w:rPr>
        <w:t>of rival constructions or a close examination of the</w:t>
      </w:r>
      <w:r w:rsidRPr="0037357E">
        <w:rPr>
          <w:i/>
          <w:iCs/>
        </w:rPr>
        <w:t xml:space="preserve"> </w:t>
      </w:r>
      <w:r w:rsidR="001D6910" w:rsidRPr="0037357E">
        <w:rPr>
          <w:i/>
          <w:iCs/>
        </w:rPr>
        <w:t>relevant language in the contract, so long as the</w:t>
      </w:r>
      <w:r w:rsidRPr="0037357E">
        <w:rPr>
          <w:i/>
          <w:iCs/>
        </w:rPr>
        <w:t xml:space="preserve"> </w:t>
      </w:r>
      <w:r w:rsidR="001D6910" w:rsidRPr="0037357E">
        <w:rPr>
          <w:i/>
          <w:iCs/>
        </w:rPr>
        <w:t>court balances the indications given by each.</w:t>
      </w:r>
      <w:r w:rsidRPr="0037357E">
        <w:rPr>
          <w:i/>
          <w:iCs/>
        </w:rPr>
        <w:t>”</w:t>
      </w:r>
    </w:p>
    <w:p w14:paraId="29DBB88B" w14:textId="50766806" w:rsidR="00972AC9" w:rsidRDefault="00F8657B" w:rsidP="00EF2FE7">
      <w:pPr>
        <w:pStyle w:val="ParaLevel1"/>
      </w:pPr>
      <w:r>
        <w:t xml:space="preserve">Although the Firm submitted otherwise, in suggesting the conclusion of </w:t>
      </w:r>
      <w:r w:rsidR="00520A9A">
        <w:t xml:space="preserve">May J was plainly wrong, I do not find the meaning of article </w:t>
      </w:r>
      <w:r w:rsidR="00203749">
        <w:t xml:space="preserve">18.4.1 </w:t>
      </w:r>
      <w:r w:rsidR="00E53CDA">
        <w:t xml:space="preserve">easy to discern.  </w:t>
      </w:r>
      <w:r w:rsidR="00386033">
        <w:t>At first sight, its aim appears to be</w:t>
      </w:r>
      <w:r w:rsidR="007253EA">
        <w:t xml:space="preserve"> clear: to give the leaver </w:t>
      </w:r>
      <w:r w:rsidR="00750566">
        <w:t xml:space="preserve">a proportionate share of the </w:t>
      </w:r>
      <w:r w:rsidR="003B0F97">
        <w:t>equity of the Company determined by fair market value reasoning</w:t>
      </w:r>
      <w:r w:rsidR="00314541">
        <w:t xml:space="preserve"> </w:t>
      </w:r>
      <w:r w:rsidR="006D75C8">
        <w:t>with no minority discount</w:t>
      </w:r>
      <w:r w:rsidR="005B3B4E">
        <w:t xml:space="preserve"> being applied</w:t>
      </w:r>
      <w:r w:rsidR="003B0F97">
        <w:t>.  Whether it achieves that is</w:t>
      </w:r>
      <w:r w:rsidR="00E41D9A">
        <w:t xml:space="preserve"> </w:t>
      </w:r>
      <w:r w:rsidR="00025D25">
        <w:t>not so obvious</w:t>
      </w:r>
      <w:r w:rsidR="003B0F97">
        <w:t>.  Moreo</w:t>
      </w:r>
      <w:r w:rsidR="00EA6476">
        <w:t>ver, a</w:t>
      </w:r>
      <w:r w:rsidR="00972AC9">
        <w:t xml:space="preserve">s </w:t>
      </w:r>
      <w:r w:rsidR="00C2571B">
        <w:t xml:space="preserve">I </w:t>
      </w:r>
      <w:r w:rsidR="00282E0C">
        <w:t xml:space="preserve">said to the parties during the course of </w:t>
      </w:r>
      <w:r w:rsidR="00EA6476">
        <w:t xml:space="preserve">closing submissions, </w:t>
      </w:r>
      <w:r w:rsidR="00282E0C">
        <w:t xml:space="preserve">using the parlance of the CPR on permission to appeal, </w:t>
      </w:r>
      <w:r w:rsidR="00FC53B9">
        <w:t xml:space="preserve">this </w:t>
      </w:r>
      <w:r w:rsidR="00194FF5">
        <w:t>S</w:t>
      </w:r>
      <w:r w:rsidR="00EA6476">
        <w:t xml:space="preserve">ection 9 judge </w:t>
      </w:r>
      <w:r w:rsidR="00194FF5">
        <w:t xml:space="preserve">is being asked by the Firm to doubt the correctness of the decision of a </w:t>
      </w:r>
      <w:r w:rsidR="00A806C9">
        <w:t>High Court</w:t>
      </w:r>
      <w:r w:rsidR="00194FF5">
        <w:t xml:space="preserve"> Judge.</w:t>
      </w:r>
    </w:p>
    <w:p w14:paraId="226E823F" w14:textId="711807FC" w:rsidR="00A01345" w:rsidRDefault="00194FF5" w:rsidP="00EF2FE7">
      <w:pPr>
        <w:pStyle w:val="ParaLevel1"/>
      </w:pPr>
      <w:r>
        <w:t>Neve</w:t>
      </w:r>
      <w:r w:rsidR="006E422A">
        <w:t>r</w:t>
      </w:r>
      <w:r>
        <w:t>th</w:t>
      </w:r>
      <w:r w:rsidR="002E14FB">
        <w:t xml:space="preserve">eless, </w:t>
      </w:r>
      <w:r w:rsidR="006E422A">
        <w:t xml:space="preserve">and with the inevitable </w:t>
      </w:r>
      <w:r w:rsidR="00BF318B">
        <w:t xml:space="preserve">resulting </w:t>
      </w:r>
      <w:r w:rsidR="00A01345">
        <w:t>diffidence</w:t>
      </w:r>
      <w:r w:rsidR="006E422A">
        <w:t xml:space="preserve"> </w:t>
      </w:r>
      <w:r w:rsidR="001F63F3">
        <w:t xml:space="preserve">further </w:t>
      </w:r>
      <w:r w:rsidR="00BF318B">
        <w:t xml:space="preserve">reinforced by recognition </w:t>
      </w:r>
      <w:r w:rsidR="00A01345">
        <w:t xml:space="preserve">that </w:t>
      </w:r>
      <w:r w:rsidR="00BB4ED6">
        <w:t xml:space="preserve">a more authoritative </w:t>
      </w:r>
      <w:r w:rsidR="008004CB">
        <w:t>ruling on the point was not provided by the Court of Appeal</w:t>
      </w:r>
      <w:r w:rsidR="00B84771">
        <w:t>,</w:t>
      </w:r>
      <w:r w:rsidR="008004CB">
        <w:t xml:space="preserve"> </w:t>
      </w:r>
      <w:r w:rsidR="00BF318B">
        <w:t xml:space="preserve">because </w:t>
      </w:r>
      <w:r w:rsidR="008004CB">
        <w:t xml:space="preserve">the appeal </w:t>
      </w:r>
      <w:r w:rsidR="00E363C6">
        <w:t xml:space="preserve">from May J was compromised, </w:t>
      </w:r>
      <w:r w:rsidR="008004CB">
        <w:t xml:space="preserve">I </w:t>
      </w:r>
      <w:r w:rsidR="00AC0BCD">
        <w:t>have concluded that May J did misconstrue article 18.4.1 in the Quantum Judgment.</w:t>
      </w:r>
    </w:p>
    <w:p w14:paraId="7FCF8395" w14:textId="77ACAFBE" w:rsidR="00C2571B" w:rsidRDefault="00C2571B" w:rsidP="00EF2FE7">
      <w:pPr>
        <w:pStyle w:val="ParaLevel1"/>
      </w:pPr>
      <w:r>
        <w:t xml:space="preserve">Before </w:t>
      </w:r>
      <w:r w:rsidR="000307F2">
        <w:t xml:space="preserve">giving my reasons for that conclusion </w:t>
      </w:r>
      <w:r w:rsidR="009F7A4A">
        <w:t xml:space="preserve">I summarise the rival arguments upon the </w:t>
      </w:r>
      <w:r w:rsidR="001235AD">
        <w:t>meaning and effect of the provision.</w:t>
      </w:r>
    </w:p>
    <w:p w14:paraId="5865F8D5" w14:textId="3977BDC7" w:rsidR="009444F7" w:rsidRDefault="001235AD" w:rsidP="00EF2FE7">
      <w:pPr>
        <w:pStyle w:val="ParaLevel1"/>
      </w:pPr>
      <w:r>
        <w:t xml:space="preserve">In now </w:t>
      </w:r>
      <w:r w:rsidR="00C37579">
        <w:t xml:space="preserve">supporting the conclusion reached by May J, </w:t>
      </w:r>
      <w:r w:rsidR="00E16E1E">
        <w:t xml:space="preserve">and the reasoning in paragraph 23 of the Quantum Judgment, </w:t>
      </w:r>
      <w:r w:rsidR="00C37579">
        <w:t xml:space="preserve">the Claimants </w:t>
      </w:r>
      <w:r w:rsidR="00E075A7">
        <w:t xml:space="preserve">say that, </w:t>
      </w:r>
      <w:r w:rsidR="00F0437F">
        <w:t>in reaching a value of the Leaver's Shares, the valuer must assume that the entire</w:t>
      </w:r>
      <w:r w:rsidR="00E075A7">
        <w:t xml:space="preserve"> </w:t>
      </w:r>
      <w:r w:rsidR="00F0437F">
        <w:t>share capital is being sold in accordance with the Articles.</w:t>
      </w:r>
      <w:r w:rsidR="00E075A7">
        <w:t xml:space="preserve">  </w:t>
      </w:r>
      <w:r w:rsidR="007B454B">
        <w:t xml:space="preserve">Article 18.4.1 does not refer to a “Share Sale” </w:t>
      </w:r>
      <w:r w:rsidR="00E555A7">
        <w:t xml:space="preserve">(as defined in the Articles) because the hypothetical sale </w:t>
      </w:r>
      <w:r w:rsidR="001D09F0">
        <w:t xml:space="preserve">of all the shares </w:t>
      </w:r>
      <w:r w:rsidR="000F31DE">
        <w:t xml:space="preserve">necessarily includes a lesser transaction involving </w:t>
      </w:r>
      <w:r w:rsidR="00E646F5">
        <w:t xml:space="preserve">the transfer of a shareholding sufficient to </w:t>
      </w:r>
      <w:r w:rsidR="00FB6075">
        <w:t>confer upon the transferee a majority shareholding (a “Controlling Interest”) for the purposes of meeting that definition.</w:t>
      </w:r>
      <w:r w:rsidR="00CF3C66">
        <w:t xml:space="preserve">  </w:t>
      </w:r>
      <w:r w:rsidR="00FF0D1C">
        <w:t>T</w:t>
      </w:r>
      <w:r w:rsidR="00F0437F">
        <w:t xml:space="preserve">he valuer must assume that there is a mutual exit as between </w:t>
      </w:r>
      <w:r w:rsidR="00275A6E">
        <w:t>all existing</w:t>
      </w:r>
      <w:r w:rsidR="00FF0D1C">
        <w:t xml:space="preserve"> </w:t>
      </w:r>
      <w:r w:rsidR="00F0437F">
        <w:t>shareholders</w:t>
      </w:r>
      <w:r w:rsidR="00275A6E">
        <w:t xml:space="preserve"> (and all classes of them) and </w:t>
      </w:r>
      <w:r w:rsidR="00F0437F">
        <w:t xml:space="preserve">the valuer must </w:t>
      </w:r>
      <w:r w:rsidR="00791ADF">
        <w:t xml:space="preserve">also </w:t>
      </w:r>
      <w:r w:rsidR="00F0437F">
        <w:t xml:space="preserve">assume that this is </w:t>
      </w:r>
      <w:r w:rsidR="00FC5513">
        <w:t xml:space="preserve">through </w:t>
      </w:r>
      <w:r w:rsidR="00F0437F">
        <w:t>a sale.</w:t>
      </w:r>
      <w:r w:rsidR="00FC5513">
        <w:t xml:space="preserve">  </w:t>
      </w:r>
      <w:r w:rsidR="006703C7">
        <w:t xml:space="preserve">Article </w:t>
      </w:r>
      <w:r w:rsidR="00B459F7">
        <w:t xml:space="preserve">13.3 is </w:t>
      </w:r>
      <w:r w:rsidR="00FE2F9A">
        <w:t>titled “Exit provisions” and the Articles define an “</w:t>
      </w:r>
      <w:r w:rsidR="00FE2F9A" w:rsidRPr="008D77A2">
        <w:rPr>
          <w:i/>
          <w:iCs/>
        </w:rPr>
        <w:t>Exit</w:t>
      </w:r>
      <w:r w:rsidR="00FE2F9A">
        <w:t xml:space="preserve">” as </w:t>
      </w:r>
      <w:r w:rsidR="008D77A2">
        <w:t>meaning a “</w:t>
      </w:r>
      <w:r w:rsidR="008D77A2" w:rsidRPr="008D77A2">
        <w:rPr>
          <w:i/>
          <w:iCs/>
        </w:rPr>
        <w:t>Listing or a Share Sale</w:t>
      </w:r>
      <w:r w:rsidR="008D77A2">
        <w:t xml:space="preserve">.” </w:t>
      </w:r>
      <w:r w:rsidR="00FC5513">
        <w:t xml:space="preserve">This means </w:t>
      </w:r>
      <w:r w:rsidR="00F0437F">
        <w:t>the valuer</w:t>
      </w:r>
      <w:r w:rsidR="004E0876">
        <w:t xml:space="preserve">, </w:t>
      </w:r>
      <w:r w:rsidR="005874BE">
        <w:t>determining</w:t>
      </w:r>
      <w:r w:rsidR="001B7FA6">
        <w:t xml:space="preserve"> value </w:t>
      </w:r>
      <w:r w:rsidR="005874BE">
        <w:t xml:space="preserve">by </w:t>
      </w:r>
      <w:r w:rsidR="00460E13">
        <w:t>reference to a hypothetical sale,</w:t>
      </w:r>
      <w:r w:rsidR="00F0437F">
        <w:t xml:space="preserve"> must take account of the </w:t>
      </w:r>
      <w:r w:rsidR="00DB6246">
        <w:t>RPP</w:t>
      </w:r>
      <w:r w:rsidR="00F0437F">
        <w:t xml:space="preserve"> in </w:t>
      </w:r>
      <w:r w:rsidR="007B463C">
        <w:t>a</w:t>
      </w:r>
      <w:r w:rsidR="00F0437F">
        <w:t>rticle 13.3</w:t>
      </w:r>
      <w:r w:rsidR="00DB6246">
        <w:t xml:space="preserve">; and </w:t>
      </w:r>
      <w:r w:rsidR="00F0437F">
        <w:t xml:space="preserve">unless and until </w:t>
      </w:r>
      <w:r w:rsidR="00A5741D">
        <w:t>that has been satisfied</w:t>
      </w:r>
      <w:r w:rsidR="00F0437F">
        <w:t>, there is no value in the C Shares</w:t>
      </w:r>
      <w:r w:rsidR="006D545C">
        <w:t>.</w:t>
      </w:r>
      <w:r w:rsidR="003A4F2C">
        <w:t xml:space="preserve"> </w:t>
      </w:r>
    </w:p>
    <w:p w14:paraId="215D4623" w14:textId="45F595A2" w:rsidR="00B61DFE" w:rsidRDefault="00B61DFE" w:rsidP="00EF2FE7">
      <w:pPr>
        <w:pStyle w:val="ParaLevel1"/>
      </w:pPr>
      <w:r>
        <w:t xml:space="preserve">In </w:t>
      </w:r>
      <w:r w:rsidR="003B38DC">
        <w:t xml:space="preserve">the course of his opening submissions I raised with </w:t>
      </w:r>
      <w:r w:rsidR="007347E0">
        <w:t>Mr Leiper the</w:t>
      </w:r>
      <w:r w:rsidR="003546A8">
        <w:t xml:space="preserve"> potential implications of the Quantum Judgment in that</w:t>
      </w:r>
      <w:r w:rsidR="00924943">
        <w:t xml:space="preserve"> it impliedly (though not expressly) rests upon the notion that the valuation </w:t>
      </w:r>
      <w:r w:rsidR="00DB5D98">
        <w:t xml:space="preserve">process </w:t>
      </w:r>
      <w:r w:rsidR="00EE293D">
        <w:t>requires recognition of a Share Sale for article 13</w:t>
      </w:r>
      <w:r w:rsidR="00A120EC">
        <w:t xml:space="preserve">.3 purposes.  I suggested that the greater the scope of the Investor Direction </w:t>
      </w:r>
      <w:r w:rsidR="00CD59AB">
        <w:t xml:space="preserve">(by Livingbridge) under article 17.3, the cheaper the price </w:t>
      </w:r>
      <w:r w:rsidR="001A76D1">
        <w:t>for the Leaver’s shares becomes, in that</w:t>
      </w:r>
      <w:r w:rsidR="00015208">
        <w:t xml:space="preserve"> a direction in relation to </w:t>
      </w:r>
      <w:r w:rsidR="005E2F17">
        <w:t xml:space="preserve">5% of the Claimants’ respective shareholdings </w:t>
      </w:r>
      <w:r w:rsidR="00736D16">
        <w:t xml:space="preserve">(or, say, Mr Lindsell’s 10%) </w:t>
      </w:r>
      <w:r w:rsidR="005E2F17">
        <w:t xml:space="preserve">would not </w:t>
      </w:r>
      <w:r w:rsidR="00E8343A">
        <w:t>trigger the “</w:t>
      </w:r>
      <w:r w:rsidR="00E8343A" w:rsidRPr="00231E01">
        <w:rPr>
          <w:i/>
          <w:iCs/>
        </w:rPr>
        <w:t>Controlling Interest</w:t>
      </w:r>
      <w:r w:rsidR="00E8343A">
        <w:t xml:space="preserve">” </w:t>
      </w:r>
      <w:r w:rsidR="003F2506">
        <w:t>requirement under a</w:t>
      </w:r>
      <w:r w:rsidR="0021426B">
        <w:t>n article 13.3 “</w:t>
      </w:r>
      <w:r w:rsidR="0021426B" w:rsidRPr="00231E01">
        <w:rPr>
          <w:i/>
          <w:iCs/>
        </w:rPr>
        <w:t>Share Sale</w:t>
      </w:r>
      <w:r w:rsidR="0021426B">
        <w:t xml:space="preserve">” whereas a direction in relation to the entirety of their shareholdings would. </w:t>
      </w:r>
      <w:r w:rsidR="00983E81">
        <w:t xml:space="preserve"> I agreed </w:t>
      </w:r>
      <w:r w:rsidR="007D3A16">
        <w:t xml:space="preserve">with Mr Leiper </w:t>
      </w:r>
      <w:r w:rsidR="00983E81">
        <w:t>that</w:t>
      </w:r>
      <w:r w:rsidR="007D3A16">
        <w:t xml:space="preserve"> the scenario was (if for that reason</w:t>
      </w:r>
      <w:r w:rsidR="000A4834">
        <w:t xml:space="preserve"> alone</w:t>
      </w:r>
      <w:r w:rsidR="007D3A16">
        <w:t xml:space="preserve">) a fanciful one.  However, in his closing submissions </w:t>
      </w:r>
      <w:r w:rsidR="00E32D21">
        <w:t xml:space="preserve">Mr Leiper highlighted the flaw in my assumption.  It </w:t>
      </w:r>
      <w:r w:rsidR="00954D75">
        <w:t xml:space="preserve">overlooked that the hypothetical sale </w:t>
      </w:r>
      <w:r w:rsidR="006C58C2">
        <w:t xml:space="preserve">is one where the </w:t>
      </w:r>
      <w:r w:rsidR="00C50E29">
        <w:t xml:space="preserve">Leaver’s shares </w:t>
      </w:r>
      <w:r w:rsidR="00DB3E9C">
        <w:t xml:space="preserve">(whatever percentage of them </w:t>
      </w:r>
      <w:r w:rsidR="00643909">
        <w:t xml:space="preserve">has been </w:t>
      </w:r>
      <w:r w:rsidR="00FC2573">
        <w:t>made the</w:t>
      </w:r>
      <w:r w:rsidR="00BB73C0">
        <w:t xml:space="preserve"> subject matter of the Investor Direction</w:t>
      </w:r>
      <w:r w:rsidR="00292598">
        <w:t xml:space="preserve">) </w:t>
      </w:r>
      <w:r w:rsidR="00FC2573">
        <w:t xml:space="preserve">are being sold alongside all other shares in the </w:t>
      </w:r>
      <w:r w:rsidR="003B290C">
        <w:t>company, including any held by him which were not the subject of an Investor Direction.</w:t>
      </w:r>
      <w:r w:rsidR="00BF2E2F">
        <w:t xml:space="preserve">  That is his point about </w:t>
      </w:r>
      <w:r w:rsidR="009F36D2">
        <w:t xml:space="preserve">the hypothetical sale necessarily embracing a </w:t>
      </w:r>
      <w:r w:rsidR="00BE6F1D">
        <w:t xml:space="preserve">lesser </w:t>
      </w:r>
      <w:r w:rsidR="009F36D2">
        <w:t>Share Sale.</w:t>
      </w:r>
    </w:p>
    <w:p w14:paraId="7B9E8F28" w14:textId="4EC7418E" w:rsidR="00F0437F" w:rsidRDefault="004D3311" w:rsidP="00EF2FE7">
      <w:pPr>
        <w:pStyle w:val="ParaLevel1"/>
      </w:pPr>
      <w:r>
        <w:t xml:space="preserve">Mr Leiper QC </w:t>
      </w:r>
      <w:r w:rsidR="00A57BDA">
        <w:t>noted the</w:t>
      </w:r>
      <w:r>
        <w:t xml:space="preserve"> two particular features of the Leaver's Shares:</w:t>
      </w:r>
      <w:r w:rsidR="00A57BDA">
        <w:t xml:space="preserve"> </w:t>
      </w:r>
      <w:r>
        <w:t xml:space="preserve">(a) </w:t>
      </w:r>
      <w:r w:rsidR="00A57BDA">
        <w:t xml:space="preserve">that they </w:t>
      </w:r>
      <w:r>
        <w:t>are a minority shareholding, to which a discount would ordinarily be applied</w:t>
      </w:r>
      <w:r w:rsidR="00A57BDA">
        <w:t xml:space="preserve"> and </w:t>
      </w:r>
      <w:r>
        <w:t xml:space="preserve">(b) </w:t>
      </w:r>
      <w:r w:rsidR="00A57BDA">
        <w:t>that t</w:t>
      </w:r>
      <w:r>
        <w:t>hey are shares of a particular class (in</w:t>
      </w:r>
      <w:r w:rsidR="00B47DA0">
        <w:t xml:space="preserve"> the</w:t>
      </w:r>
      <w:r>
        <w:t xml:space="preserve"> C</w:t>
      </w:r>
      <w:r w:rsidR="00B47DA0">
        <w:t>laimant</w:t>
      </w:r>
      <w:r>
        <w:t>s' case C Shares</w:t>
      </w:r>
      <w:r w:rsidR="00B47DA0">
        <w:t xml:space="preserve"> and </w:t>
      </w:r>
      <w:r>
        <w:t>in Mr Lindsell's case D</w:t>
      </w:r>
      <w:r w:rsidR="00B47DA0">
        <w:t xml:space="preserve"> </w:t>
      </w:r>
      <w:r>
        <w:t>Shares).</w:t>
      </w:r>
      <w:r w:rsidR="00597A73">
        <w:t xml:space="preserve">  </w:t>
      </w:r>
      <w:r w:rsidR="00D914C6">
        <w:t>He said that art</w:t>
      </w:r>
      <w:r>
        <w:t>icle 1</w:t>
      </w:r>
      <w:r w:rsidR="00D914C6">
        <w:t>8</w:t>
      </w:r>
      <w:r>
        <w:t>.</w:t>
      </w:r>
      <w:r w:rsidR="00D914C6">
        <w:t>4.1</w:t>
      </w:r>
      <w:r>
        <w:t xml:space="preserve"> requires that the first be ignored, but that the second be recognised</w:t>
      </w:r>
      <w:r w:rsidR="006576E5">
        <w:t xml:space="preserve">.  In his closing submissions, </w:t>
      </w:r>
      <w:r w:rsidR="005024CC">
        <w:t xml:space="preserve">he emphasised that </w:t>
      </w:r>
      <w:r w:rsidR="00164B43">
        <w:t>the valuer is to assume a sale “</w:t>
      </w:r>
      <w:r w:rsidR="005024CC" w:rsidRPr="00407E32">
        <w:rPr>
          <w:i/>
          <w:iCs/>
        </w:rPr>
        <w:t>in accordance with these Articles</w:t>
      </w:r>
      <w:r w:rsidR="00A53FBD">
        <w:t xml:space="preserve">”.  </w:t>
      </w:r>
      <w:r w:rsidR="00134091">
        <w:t xml:space="preserve">As I mention </w:t>
      </w:r>
      <w:r w:rsidR="00897CC8">
        <w:t xml:space="preserve">in Section K </w:t>
      </w:r>
      <w:r w:rsidR="00134091">
        <w:t xml:space="preserve">below, this phrase </w:t>
      </w:r>
      <w:r w:rsidR="003A38A7">
        <w:t xml:space="preserve">was introduced </w:t>
      </w:r>
      <w:r w:rsidR="00380A83">
        <w:t xml:space="preserve">at a fairly late stage of </w:t>
      </w:r>
      <w:r w:rsidR="00FB5484">
        <w:t xml:space="preserve">the </w:t>
      </w:r>
      <w:r w:rsidR="004C172A">
        <w:t xml:space="preserve">legal </w:t>
      </w:r>
      <w:r w:rsidR="00FB5484">
        <w:t xml:space="preserve">drafting process.  </w:t>
      </w:r>
      <w:r w:rsidR="00A53FBD">
        <w:t>This, he submitted, was language which specifically</w:t>
      </w:r>
      <w:r w:rsidR="00F0437F">
        <w:t xml:space="preserve"> enjoins the valuer to take account of the RPP, if applicable, at the</w:t>
      </w:r>
      <w:r w:rsidR="00A53FBD">
        <w:t xml:space="preserve"> </w:t>
      </w:r>
      <w:r w:rsidR="00F0437F">
        <w:t>point of valuation.</w:t>
      </w:r>
      <w:r w:rsidR="00645542">
        <w:t xml:space="preserve">  </w:t>
      </w:r>
      <w:r w:rsidR="008F6EBB">
        <w:t>T</w:t>
      </w:r>
      <w:r w:rsidR="00645542">
        <w:t>hose words</w:t>
      </w:r>
      <w:r w:rsidR="001A4482">
        <w:t xml:space="preserve"> </w:t>
      </w:r>
      <w:r w:rsidR="008F6EBB">
        <w:t xml:space="preserve">have no meaning unless they refer to </w:t>
      </w:r>
      <w:r w:rsidR="001A4482">
        <w:t xml:space="preserve">the </w:t>
      </w:r>
      <w:r w:rsidR="008F6EBB">
        <w:t>RPP.</w:t>
      </w:r>
      <w:r w:rsidR="00132609" w:rsidRPr="00132609">
        <w:t xml:space="preserve"> </w:t>
      </w:r>
      <w:r w:rsidR="00132609">
        <w:t xml:space="preserve"> Taking issue with the Firm’s argument that </w:t>
      </w:r>
      <w:r w:rsidR="00EC22A8">
        <w:t xml:space="preserve">article 13.3 is dealing with </w:t>
      </w:r>
      <w:r w:rsidR="000079B6">
        <w:t xml:space="preserve">an entirely separate point of </w:t>
      </w:r>
      <w:r w:rsidR="00A96B7A">
        <w:t xml:space="preserve">how any proceeds of sale are to be </w:t>
      </w:r>
      <w:r w:rsidR="00471122">
        <w:t xml:space="preserve">distributed between shareholders, rather than the valuation </w:t>
      </w:r>
      <w:r w:rsidR="00947079">
        <w:t xml:space="preserve">of the </w:t>
      </w:r>
      <w:r w:rsidR="00D44D0A">
        <w:t xml:space="preserve">entire equity </w:t>
      </w:r>
      <w:r w:rsidR="00EE4C9B">
        <w:t xml:space="preserve">held between them, Mr Leiper said </w:t>
      </w:r>
      <w:r w:rsidR="00537BDA">
        <w:t xml:space="preserve">it did not follow that the earlier provision was </w:t>
      </w:r>
      <w:r w:rsidR="00523B40">
        <w:t>irrelevant when</w:t>
      </w:r>
      <w:r w:rsidR="00132609">
        <w:t xml:space="preserve"> assessing the value of the shares of the</w:t>
      </w:r>
      <w:r w:rsidR="00B01205">
        <w:t xml:space="preserve"> Leaver</w:t>
      </w:r>
      <w:r w:rsidR="00407E32">
        <w:t xml:space="preserve">.  </w:t>
      </w:r>
      <w:r w:rsidR="00132609">
        <w:t>It does not provide the valuation</w:t>
      </w:r>
      <w:r w:rsidR="00407E32">
        <w:t xml:space="preserve"> </w:t>
      </w:r>
      <w:r w:rsidR="00B848CF">
        <w:t xml:space="preserve">of the </w:t>
      </w:r>
      <w:r w:rsidR="00C341E4">
        <w:t>C</w:t>
      </w:r>
      <w:r w:rsidR="00B848CF">
        <w:t xml:space="preserve">ompany </w:t>
      </w:r>
      <w:r w:rsidR="00407E32">
        <w:t xml:space="preserve">but </w:t>
      </w:r>
      <w:r w:rsidR="00132609">
        <w:t>it</w:t>
      </w:r>
      <w:r w:rsidR="00407E32">
        <w:t xml:space="preserve"> i</w:t>
      </w:r>
      <w:r w:rsidR="00132609">
        <w:t>nforms the valuation</w:t>
      </w:r>
      <w:r w:rsidR="008C1827">
        <w:t xml:space="preserve"> of those shares</w:t>
      </w:r>
      <w:r w:rsidR="003F3CE3">
        <w:t>.</w:t>
      </w:r>
    </w:p>
    <w:p w14:paraId="33908076" w14:textId="7E6AE07A" w:rsidR="000F74FE" w:rsidRDefault="0079282D" w:rsidP="00EF2FE7">
      <w:pPr>
        <w:pStyle w:val="ParaLevel1"/>
      </w:pPr>
      <w:r>
        <w:t xml:space="preserve">Mr Leiper’s emphasis in his closing submissions upon the </w:t>
      </w:r>
      <w:r w:rsidR="00572E16">
        <w:t xml:space="preserve">reference to the hypothetical sale of </w:t>
      </w:r>
      <w:r w:rsidR="00572E16" w:rsidRPr="008416E6">
        <w:rPr>
          <w:u w:val="single"/>
        </w:rPr>
        <w:t>all</w:t>
      </w:r>
      <w:r w:rsidR="00572E16">
        <w:t xml:space="preserve"> of </w:t>
      </w:r>
      <w:r w:rsidR="00546867">
        <w:t xml:space="preserve">the shares in </w:t>
      </w:r>
      <w:r w:rsidR="00572E16">
        <w:t>I</w:t>
      </w:r>
      <w:r w:rsidR="00546867">
        <w:t xml:space="preserve">PS UK </w:t>
      </w:r>
      <w:r w:rsidR="00081CC2" w:rsidRPr="00081CC2">
        <w:t>“</w:t>
      </w:r>
      <w:r w:rsidR="00081CC2" w:rsidRPr="008416E6">
        <w:rPr>
          <w:i/>
          <w:iCs/>
        </w:rPr>
        <w:t>in accordance with these Articles</w:t>
      </w:r>
      <w:r w:rsidR="00081CC2" w:rsidRPr="00081CC2">
        <w:t>”</w:t>
      </w:r>
      <w:r w:rsidR="0085131E">
        <w:t xml:space="preserve"> </w:t>
      </w:r>
      <w:r w:rsidR="00081CC2">
        <w:t xml:space="preserve">caused me to consider whether there were other </w:t>
      </w:r>
      <w:r w:rsidR="00D51661">
        <w:t>provisions within the Articles, aside from article 13.3, regulating such a sale.</w:t>
      </w:r>
      <w:r w:rsidR="00AD4BCD">
        <w:t xml:space="preserve">  </w:t>
      </w:r>
      <w:r w:rsidR="007B463C">
        <w:t xml:space="preserve">As illustrated by Mr Leiper’s argument </w:t>
      </w:r>
      <w:r w:rsidR="00331CAE">
        <w:t xml:space="preserve">as to why </w:t>
      </w:r>
      <w:r w:rsidR="00674AC0">
        <w:t xml:space="preserve">article 18.4.1 does not refer to the (potentially) </w:t>
      </w:r>
      <w:r w:rsidR="00337113">
        <w:t xml:space="preserve">smaller transaction </w:t>
      </w:r>
      <w:r w:rsidR="00A50B6F">
        <w:t>conferring a “</w:t>
      </w:r>
      <w:r w:rsidR="00A50B6F" w:rsidRPr="00B21EDC">
        <w:rPr>
          <w:i/>
          <w:iCs/>
        </w:rPr>
        <w:t>Controlling Interest</w:t>
      </w:r>
      <w:r w:rsidR="00A50B6F">
        <w:t xml:space="preserve">”, </w:t>
      </w:r>
      <w:r w:rsidR="00CB14E3">
        <w:t xml:space="preserve">the focus of </w:t>
      </w:r>
      <w:r w:rsidR="00A50B6F">
        <w:t>article 13.</w:t>
      </w:r>
      <w:r w:rsidR="00CB14E3">
        <w:t xml:space="preserve">3 is upon a sale which might be less than </w:t>
      </w:r>
      <w:r w:rsidR="00172A05">
        <w:t>that of the entire issued share capital.  A</w:t>
      </w:r>
      <w:r w:rsidR="00EC32CB">
        <w:t xml:space="preserve">fter a </w:t>
      </w:r>
      <w:r w:rsidR="006C1EBF">
        <w:t xml:space="preserve">quick review of the Articles generally, I raised with counsel the question of whether or not </w:t>
      </w:r>
      <w:r w:rsidR="006863A3">
        <w:t xml:space="preserve">there might be such other provisions.  The </w:t>
      </w:r>
      <w:r w:rsidR="00CE7782">
        <w:t xml:space="preserve">provisions of article 17 (Tag Along and Come Along) being expressly disapplied by the language of </w:t>
      </w:r>
      <w:r w:rsidR="00954F7E">
        <w:t xml:space="preserve">article 18.4.1, I tentatively suggested that </w:t>
      </w:r>
      <w:r w:rsidR="006A2A31">
        <w:t>the provisions in article 19 might potentially be of some significanc</w:t>
      </w:r>
      <w:r w:rsidR="00200366">
        <w:t>e</w:t>
      </w:r>
      <w:r w:rsidR="00144437">
        <w:t xml:space="preserve"> for the purposes of this</w:t>
      </w:r>
      <w:r w:rsidR="00237453">
        <w:t xml:space="preserve"> notional sale</w:t>
      </w:r>
      <w:r w:rsidR="007819BF">
        <w:t xml:space="preserve"> to a willing buyer</w:t>
      </w:r>
      <w:r w:rsidR="00200366">
        <w:t xml:space="preserve">, despite the fact that all </w:t>
      </w:r>
      <w:r w:rsidR="00F11323">
        <w:t>e</w:t>
      </w:r>
      <w:r w:rsidR="00DC151C">
        <w:t xml:space="preserve">xisting shareholders are assumed to be selling to a willing buyer </w:t>
      </w:r>
      <w:r w:rsidR="00100F2D">
        <w:t>and that</w:t>
      </w:r>
      <w:r w:rsidR="00C848F0">
        <w:t xml:space="preserve">, </w:t>
      </w:r>
      <w:r w:rsidR="008416E6">
        <w:t>on its face</w:t>
      </w:r>
      <w:r w:rsidR="005625BE">
        <w:t xml:space="preserve"> at least</w:t>
      </w:r>
      <w:r w:rsidR="008416E6">
        <w:t>,</w:t>
      </w:r>
      <w:r w:rsidR="00100F2D">
        <w:t xml:space="preserve"> article 19.9</w:t>
      </w:r>
      <w:r w:rsidR="00CB14E3">
        <w:t xml:space="preserve"> </w:t>
      </w:r>
      <w:r w:rsidR="00A50B6F">
        <w:t xml:space="preserve"> </w:t>
      </w:r>
      <w:r w:rsidR="008416E6">
        <w:t>(“</w:t>
      </w:r>
      <w:r w:rsidR="008416E6" w:rsidRPr="00894FC1">
        <w:rPr>
          <w:i/>
          <w:iCs/>
        </w:rPr>
        <w:t>the Seller shall not be entitled to sell any of the Sale Shares for which no buyer has been found</w:t>
      </w:r>
      <w:r w:rsidR="00894FC1">
        <w:t>”</w:t>
      </w:r>
      <w:r w:rsidR="00870121">
        <w:t xml:space="preserve"> </w:t>
      </w:r>
      <w:r w:rsidR="00E719C9">
        <w:t>(</w:t>
      </w:r>
      <w:r w:rsidR="00870121">
        <w:t>sic</w:t>
      </w:r>
      <w:r w:rsidR="00E719C9">
        <w:t>)</w:t>
      </w:r>
      <w:r w:rsidR="00894FC1">
        <w:t xml:space="preserve">) </w:t>
      </w:r>
      <w:r w:rsidR="006A7CFE">
        <w:t xml:space="preserve">appears to preclude </w:t>
      </w:r>
      <w:r w:rsidR="00E405B3">
        <w:t xml:space="preserve">rather than permit </w:t>
      </w:r>
      <w:r w:rsidR="006A7CFE">
        <w:t xml:space="preserve">the sale of </w:t>
      </w:r>
      <w:r w:rsidR="00E405B3">
        <w:t xml:space="preserve">any </w:t>
      </w:r>
      <w:r w:rsidR="006A7CFE">
        <w:t xml:space="preserve">shares otherwise than </w:t>
      </w:r>
      <w:r w:rsidR="00C04B54">
        <w:t>to those pre-emptively entitled</w:t>
      </w:r>
      <w:r w:rsidR="0053095A">
        <w:t xml:space="preserve"> to take </w:t>
      </w:r>
      <w:r w:rsidR="00B32D9C">
        <w:t xml:space="preserve">them </w:t>
      </w:r>
      <w:r w:rsidR="0053095A">
        <w:t>up</w:t>
      </w:r>
      <w:r w:rsidR="00B712F0">
        <w:t>,</w:t>
      </w:r>
      <w:r w:rsidR="0053095A">
        <w:t xml:space="preserve"> </w:t>
      </w:r>
      <w:r w:rsidR="00B32D9C">
        <w:t>even if they do not want to buy</w:t>
      </w:r>
      <w:r w:rsidR="00B21EDC">
        <w:t xml:space="preserve"> them</w:t>
      </w:r>
      <w:r w:rsidR="00C04B54">
        <w:t xml:space="preserve">.  </w:t>
      </w:r>
    </w:p>
    <w:p w14:paraId="20B5B13F" w14:textId="07AADF48" w:rsidR="00104022" w:rsidRDefault="005A67C5" w:rsidP="00EF2FE7">
      <w:pPr>
        <w:pStyle w:val="ParaLevel1"/>
      </w:pPr>
      <w:r>
        <w:t xml:space="preserve">On my subsequent review of the Articles, </w:t>
      </w:r>
      <w:r w:rsidR="00FD312F">
        <w:t xml:space="preserve">the only other provision </w:t>
      </w:r>
      <w:r w:rsidR="000F74FE">
        <w:t xml:space="preserve">which might be said to </w:t>
      </w:r>
      <w:r w:rsidR="0020140B">
        <w:t xml:space="preserve">regulate a sale of all of the </w:t>
      </w:r>
      <w:r w:rsidR="00E62F9B">
        <w:t>shares in IPS UK is article 16.4 which state</w:t>
      </w:r>
      <w:r w:rsidR="00104022">
        <w:t xml:space="preserve">s that (save for transfers pursuant to </w:t>
      </w:r>
      <w:r w:rsidR="002748B5">
        <w:t>the Tag</w:t>
      </w:r>
      <w:r w:rsidR="0063063C">
        <w:t xml:space="preserve"> Along and Come Along provisions) </w:t>
      </w:r>
      <w:r w:rsidR="008C7E0F">
        <w:t>“</w:t>
      </w:r>
      <w:r w:rsidR="00104022" w:rsidRPr="008C7E0F">
        <w:rPr>
          <w:i/>
          <w:iCs/>
        </w:rPr>
        <w:t>no Shares may be transferred unless</w:t>
      </w:r>
      <w:r w:rsidR="008C7E0F" w:rsidRPr="008C7E0F">
        <w:rPr>
          <w:i/>
          <w:iCs/>
        </w:rPr>
        <w:t xml:space="preserve"> </w:t>
      </w:r>
      <w:r w:rsidR="00104022" w:rsidRPr="008C7E0F">
        <w:rPr>
          <w:i/>
          <w:iCs/>
        </w:rPr>
        <w:t>1</w:t>
      </w:r>
      <w:r w:rsidR="008C7E0F" w:rsidRPr="008C7E0F">
        <w:rPr>
          <w:i/>
          <w:iCs/>
        </w:rPr>
        <w:t>.</w:t>
      </w:r>
      <w:r w:rsidR="00104022" w:rsidRPr="008C7E0F">
        <w:rPr>
          <w:i/>
          <w:iCs/>
        </w:rPr>
        <w:t xml:space="preserve"> an Investor Consent has been obtained; and</w:t>
      </w:r>
      <w:r w:rsidR="008C7E0F" w:rsidRPr="008C7E0F">
        <w:rPr>
          <w:i/>
          <w:iCs/>
        </w:rPr>
        <w:t xml:space="preserve"> </w:t>
      </w:r>
      <w:r w:rsidR="00104022" w:rsidRPr="008C7E0F">
        <w:rPr>
          <w:i/>
          <w:iCs/>
        </w:rPr>
        <w:t>2</w:t>
      </w:r>
      <w:r w:rsidR="008C7E0F" w:rsidRPr="008C7E0F">
        <w:rPr>
          <w:i/>
          <w:iCs/>
        </w:rPr>
        <w:t>.</w:t>
      </w:r>
      <w:r w:rsidR="00104022" w:rsidRPr="008C7E0F">
        <w:rPr>
          <w:i/>
          <w:iCs/>
        </w:rPr>
        <w:t xml:space="preserve"> save as otherwise required pursuant to the Investment Agreement, the</w:t>
      </w:r>
      <w:r w:rsidR="008C7E0F" w:rsidRPr="008C7E0F">
        <w:rPr>
          <w:i/>
          <w:iCs/>
        </w:rPr>
        <w:t xml:space="preserve"> </w:t>
      </w:r>
      <w:r w:rsidR="00104022" w:rsidRPr="008C7E0F">
        <w:rPr>
          <w:i/>
          <w:iCs/>
        </w:rPr>
        <w:t>proposed transferee has entered into an agreement to be bound by the</w:t>
      </w:r>
      <w:r w:rsidR="008C7E0F" w:rsidRPr="008C7E0F">
        <w:rPr>
          <w:i/>
          <w:iCs/>
        </w:rPr>
        <w:t xml:space="preserve"> </w:t>
      </w:r>
      <w:r w:rsidR="00104022" w:rsidRPr="008C7E0F">
        <w:rPr>
          <w:i/>
          <w:iCs/>
        </w:rPr>
        <w:t>Investment Agreement in the form required by that agreement</w:t>
      </w:r>
      <w:r w:rsidR="008C7E0F">
        <w:t>.”</w:t>
      </w:r>
      <w:r w:rsidR="00442695">
        <w:t xml:space="preserve">  The </w:t>
      </w:r>
      <w:r w:rsidR="000B2539">
        <w:t>Investment Agreement is a complex document (containing provision for such matters as the sweet equity)</w:t>
      </w:r>
      <w:r w:rsidR="008C24EE">
        <w:t xml:space="preserve"> </w:t>
      </w:r>
      <w:r w:rsidR="005851D4">
        <w:t xml:space="preserve">and, at </w:t>
      </w:r>
      <w:r w:rsidR="00823C47">
        <w:t xml:space="preserve">first sight, </w:t>
      </w:r>
      <w:r w:rsidR="009B2022">
        <w:t>there are provisions within it which Livingbridge</w:t>
      </w:r>
      <w:r w:rsidR="00892E59">
        <w:t xml:space="preserve">, </w:t>
      </w:r>
      <w:r w:rsidR="009B2022">
        <w:t>as holder of loan stock</w:t>
      </w:r>
      <w:r w:rsidR="007C6AEA">
        <w:t xml:space="preserve"> separate from its shareholding, </w:t>
      </w:r>
      <w:r w:rsidR="005851D4">
        <w:t xml:space="preserve">might wish to </w:t>
      </w:r>
      <w:r w:rsidR="00D61050">
        <w:t xml:space="preserve">secure a purchaser’s adherence </w:t>
      </w:r>
      <w:r w:rsidR="007C6AEA">
        <w:t xml:space="preserve">to </w:t>
      </w:r>
      <w:r w:rsidR="00665910">
        <w:t>even if the purchase</w:t>
      </w:r>
      <w:r w:rsidR="00062473">
        <w:t>r</w:t>
      </w:r>
      <w:r w:rsidR="00665910">
        <w:t xml:space="preserve"> is deemed to </w:t>
      </w:r>
      <w:r w:rsidR="00062473">
        <w:t>also be buying t</w:t>
      </w:r>
      <w:r w:rsidR="007C6AEA">
        <w:t>he Livin</w:t>
      </w:r>
      <w:r w:rsidR="0086129B">
        <w:t>g</w:t>
      </w:r>
      <w:r w:rsidR="007C6AEA">
        <w:t xml:space="preserve">bridge </w:t>
      </w:r>
      <w:r w:rsidR="00836C01">
        <w:t xml:space="preserve">shareholding.  However, the parties did not address the terms of the Investment Agreement at trial </w:t>
      </w:r>
      <w:r w:rsidR="00B80E92">
        <w:t xml:space="preserve">and I therefore proceed on the basis that there </w:t>
      </w:r>
      <w:r w:rsidR="00801E8D">
        <w:t xml:space="preserve">are no other </w:t>
      </w:r>
      <w:r w:rsidR="00DE1E8D">
        <w:t>provisions in the Articles which obviously detract from</w:t>
      </w:r>
      <w:r w:rsidR="00B80E92">
        <w:t xml:space="preserve"> Mr Leiper’s </w:t>
      </w:r>
      <w:r w:rsidR="001C718C">
        <w:t xml:space="preserve">suggested link </w:t>
      </w:r>
      <w:r w:rsidR="00C1799F">
        <w:t xml:space="preserve">of the relevant words </w:t>
      </w:r>
      <w:r w:rsidR="001C718C">
        <w:t>back to ar</w:t>
      </w:r>
      <w:r w:rsidR="00FF09CB">
        <w:t>ticle 13.3.</w:t>
      </w:r>
      <w:r w:rsidR="005851D4">
        <w:t xml:space="preserve"> </w:t>
      </w:r>
      <w:r w:rsidR="000B2539">
        <w:t xml:space="preserve"> </w:t>
      </w:r>
    </w:p>
    <w:p w14:paraId="61C64D8B" w14:textId="17D201E4" w:rsidR="008C24EE" w:rsidRDefault="00BB273C" w:rsidP="00EF2FE7">
      <w:pPr>
        <w:pStyle w:val="ParaLevel1"/>
      </w:pPr>
      <w:r>
        <w:t xml:space="preserve">On behalf of the Firm, Mr Tozzi QC and Mr Wright </w:t>
      </w:r>
      <w:r w:rsidR="00E871F6">
        <w:t xml:space="preserve">made a number </w:t>
      </w:r>
      <w:r w:rsidR="005206E4">
        <w:t>of points in support of their argument that May J</w:t>
      </w:r>
      <w:r w:rsidR="0006272D">
        <w:t xml:space="preserve">’s interpretation of article 18.4.1 was wrong.  </w:t>
      </w:r>
      <w:r w:rsidR="00A9434F">
        <w:t>Summarising their closing submissions</w:t>
      </w:r>
      <w:r w:rsidR="0006272D">
        <w:t>, these were:</w:t>
      </w:r>
    </w:p>
    <w:p w14:paraId="2CDF750A" w14:textId="39270DBD" w:rsidR="00A60FED" w:rsidRDefault="00AE61C3" w:rsidP="00EF2FE7">
      <w:pPr>
        <w:pStyle w:val="ParaLevel2"/>
      </w:pPr>
      <w:r>
        <w:t>A</w:t>
      </w:r>
      <w:r w:rsidR="00A60FED" w:rsidRPr="00A60FED">
        <w:t xml:space="preserve"> forced transfer under </w:t>
      </w:r>
      <w:r w:rsidR="006C3CA8">
        <w:t>a</w:t>
      </w:r>
      <w:r w:rsidR="00A60FED" w:rsidRPr="00A60FED">
        <w:t xml:space="preserve">rticle 17.3 </w:t>
      </w:r>
      <w:r w:rsidR="00AC7976">
        <w:t xml:space="preserve">did not </w:t>
      </w:r>
      <w:r w:rsidR="00A60FED" w:rsidRPr="00A60FED">
        <w:t>constitute an “</w:t>
      </w:r>
      <w:r w:rsidR="00A60FED" w:rsidRPr="00286744">
        <w:rPr>
          <w:i/>
          <w:iCs/>
        </w:rPr>
        <w:t>Exit</w:t>
      </w:r>
      <w:r w:rsidR="00A60FED" w:rsidRPr="00A60FED">
        <w:t>”.  “</w:t>
      </w:r>
      <w:r w:rsidR="00A60FED" w:rsidRPr="00286744">
        <w:rPr>
          <w:i/>
          <w:iCs/>
        </w:rPr>
        <w:t>Exit</w:t>
      </w:r>
      <w:r w:rsidR="00A60FED" w:rsidRPr="00A60FED">
        <w:t xml:space="preserve">” is not referenced anywhere in </w:t>
      </w:r>
      <w:r w:rsidR="006C3CA8">
        <w:t>a</w:t>
      </w:r>
      <w:r w:rsidR="00A60FED" w:rsidRPr="00A60FED">
        <w:t>rticles 17, 18 or 19</w:t>
      </w:r>
      <w:r w:rsidR="00371524">
        <w:t xml:space="preserve"> and neither is the expression </w:t>
      </w:r>
      <w:r w:rsidR="00936542">
        <w:t>“</w:t>
      </w:r>
      <w:r w:rsidR="00936542" w:rsidRPr="00286744">
        <w:rPr>
          <w:i/>
          <w:iCs/>
        </w:rPr>
        <w:t>Share Sale</w:t>
      </w:r>
      <w:r w:rsidR="00936542">
        <w:t>”</w:t>
      </w:r>
      <w:r w:rsidR="00664A02">
        <w:t xml:space="preserve"> used in article 13.3</w:t>
      </w:r>
      <w:r w:rsidR="00AD00C1">
        <w:t>. The Claimants did not in fact sell their shares in IPS UK</w:t>
      </w:r>
      <w:r w:rsidR="00FD4F70">
        <w:t xml:space="preserve"> but instead transferred them back to the </w:t>
      </w:r>
      <w:r w:rsidR="00AF6F63">
        <w:t>company</w:t>
      </w:r>
      <w:r>
        <w:t>.</w:t>
      </w:r>
      <w:r w:rsidR="00E22C30" w:rsidRPr="00E22C30">
        <w:t xml:space="preserve"> </w:t>
      </w:r>
      <w:r w:rsidR="00E22C30">
        <w:t xml:space="preserve"> The Company’s </w:t>
      </w:r>
      <w:r w:rsidR="00E22C30" w:rsidRPr="00E22C30">
        <w:t>own pleaded case in the Leaver Litigation</w:t>
      </w:r>
      <w:r w:rsidR="00E22C30">
        <w:t xml:space="preserve"> recognised there was no Share Sale.</w:t>
      </w:r>
    </w:p>
    <w:p w14:paraId="67B621AF" w14:textId="6432C5F2" w:rsidR="008C79E0" w:rsidRDefault="008C79E0" w:rsidP="00EF2FE7">
      <w:pPr>
        <w:pStyle w:val="ParaLevel2"/>
      </w:pPr>
      <w:r>
        <w:t xml:space="preserve">The </w:t>
      </w:r>
      <w:r w:rsidR="00BD5ED4">
        <w:t xml:space="preserve">forced </w:t>
      </w:r>
      <w:r>
        <w:t xml:space="preserve">transfer </w:t>
      </w:r>
      <w:r w:rsidR="00BD5ED4">
        <w:t>would not or might not</w:t>
      </w:r>
      <w:r w:rsidR="00EB7477">
        <w:t xml:space="preserve"> lead to the acquisition of a</w:t>
      </w:r>
      <w:r w:rsidR="00BD5ED4">
        <w:t xml:space="preserve"> </w:t>
      </w:r>
      <w:r w:rsidR="00EB7477">
        <w:t>Con</w:t>
      </w:r>
      <w:r>
        <w:t>trolling Interest</w:t>
      </w:r>
      <w:r w:rsidR="00EB7477">
        <w:t xml:space="preserve"> for the purposes of a qualifying Share Sale</w:t>
      </w:r>
      <w:r>
        <w:t xml:space="preserve">.  </w:t>
      </w:r>
      <w:r w:rsidR="00EB7477">
        <w:t xml:space="preserve">Encouraged, </w:t>
      </w:r>
      <w:r w:rsidR="00B84862">
        <w:t>perhaps</w:t>
      </w:r>
      <w:r w:rsidR="00EB7477">
        <w:t>, by my observation during opening subm</w:t>
      </w:r>
      <w:r w:rsidR="00C26B7F">
        <w:t>i</w:t>
      </w:r>
      <w:r w:rsidR="00EB7477">
        <w:t xml:space="preserve">ssions (see paragraph </w:t>
      </w:r>
      <w:r w:rsidR="00B84862">
        <w:t>33</w:t>
      </w:r>
      <w:r w:rsidR="005E0A56">
        <w:t>3</w:t>
      </w:r>
      <w:r w:rsidR="00EB7477">
        <w:t xml:space="preserve"> above) </w:t>
      </w:r>
      <w:r w:rsidR="00C26B7F">
        <w:t>th</w:t>
      </w:r>
      <w:r w:rsidR="00EB2AAA">
        <w:t xml:space="preserve">e Firm pointed to the scenario of an Investor Direction in relation to a smaller percentage of </w:t>
      </w:r>
      <w:r w:rsidR="004B5821">
        <w:t xml:space="preserve">the Claimants’ shares or (given that he would also be vulnerable to the RPP) on given </w:t>
      </w:r>
      <w:r w:rsidR="00B617E3">
        <w:t xml:space="preserve">in relation to </w:t>
      </w:r>
      <w:r>
        <w:t xml:space="preserve">Mr Lindsell’s </w:t>
      </w:r>
      <w:r w:rsidR="00B617E3">
        <w:t xml:space="preserve">5% </w:t>
      </w:r>
      <w:r>
        <w:t xml:space="preserve">D </w:t>
      </w:r>
      <w:r w:rsidR="00B617E3">
        <w:t>s</w:t>
      </w:r>
      <w:r>
        <w:t>hare</w:t>
      </w:r>
      <w:r w:rsidR="00B617E3">
        <w:t xml:space="preserve">holding.  </w:t>
      </w:r>
      <w:r w:rsidR="00A477A6">
        <w:t>T</w:t>
      </w:r>
      <w:r>
        <w:t>here was a unitary definition of Market Value for any Leaver in Article 18.4.1</w:t>
      </w:r>
      <w:r w:rsidR="00A477A6">
        <w:t xml:space="preserve"> and </w:t>
      </w:r>
      <w:r>
        <w:t>no room for saying that</w:t>
      </w:r>
      <w:r w:rsidR="00DE6389">
        <w:t>,</w:t>
      </w:r>
      <w:r>
        <w:t xml:space="preserve"> although the RPP could not apply to a forced transfer of Mr Lindsell’s shares as a Leaver, it does apply to a forced transfer by the Claimants.  If the analysis does not work for Mr Lindsell, it does not work at all.  </w:t>
      </w:r>
      <w:r w:rsidR="002C5B15">
        <w:t xml:space="preserve">The </w:t>
      </w:r>
      <w:r w:rsidR="005B5FAF">
        <w:t>Firm also referred to a</w:t>
      </w:r>
      <w:r>
        <w:t>rticle 19.1</w:t>
      </w:r>
      <w:r w:rsidR="005B5FAF">
        <w:t xml:space="preserve"> which provided for</w:t>
      </w:r>
      <w:r>
        <w:t xml:space="preserve"> </w:t>
      </w:r>
      <w:r w:rsidR="00766209">
        <w:t xml:space="preserve">an </w:t>
      </w:r>
      <w:r>
        <w:t xml:space="preserve">Investor Direction that the Sale Shares be offered to </w:t>
      </w:r>
      <w:r w:rsidRPr="00DB3F76">
        <w:rPr>
          <w:i/>
          <w:iCs/>
        </w:rPr>
        <w:t>“…the Company and/or a replacement Employee; and/or an existing Employee; and/or an Employee Trust…</w:t>
      </w:r>
      <w:r>
        <w:t>”.  If the shares were offered to another employee (</w:t>
      </w:r>
      <w:r w:rsidR="00C914BE">
        <w:t>e.g.</w:t>
      </w:r>
      <w:r>
        <w:t xml:space="preserve"> Mr Lindsell</w:t>
      </w:r>
      <w:r w:rsidR="00C914BE">
        <w:t xml:space="preserve">) </w:t>
      </w:r>
      <w:r>
        <w:t>then he would not acquire a Controlling Interest.</w:t>
      </w:r>
      <w:r w:rsidR="00C914BE">
        <w:t xml:space="preserve">  </w:t>
      </w:r>
      <w:r w:rsidR="00DB3F76">
        <w:t xml:space="preserve">It was also said that Livingbridge could not acquire a Controlling Interest </w:t>
      </w:r>
      <w:r w:rsidR="009E369E">
        <w:t>(as defined) because art</w:t>
      </w:r>
      <w:r>
        <w:t>icle 13.4</w:t>
      </w:r>
      <w:r w:rsidR="009E369E">
        <w:t xml:space="preserve"> provided that</w:t>
      </w:r>
      <w:r>
        <w:t xml:space="preserve"> “…</w:t>
      </w:r>
      <w:r w:rsidRPr="009E369E">
        <w:rPr>
          <w:i/>
          <w:iCs/>
        </w:rPr>
        <w:t>the votes capable of being cast by the holders of the A Ordinary Shares together shall not in aggregate in any circumstances…exceed more than 49.9% of the votes capable of being cast…</w:t>
      </w:r>
      <w:r>
        <w:t xml:space="preserve">” .  </w:t>
      </w:r>
    </w:p>
    <w:p w14:paraId="07C993EE" w14:textId="073D1738" w:rsidR="00AF6F63" w:rsidRDefault="00AE61C3" w:rsidP="00EF2FE7">
      <w:pPr>
        <w:pStyle w:val="ParaLevel2"/>
      </w:pPr>
      <w:r>
        <w:t>A</w:t>
      </w:r>
      <w:r w:rsidR="00E434AB">
        <w:t xml:space="preserve">rticle 13.3 </w:t>
      </w:r>
      <w:r w:rsidR="00596806">
        <w:t xml:space="preserve">is concerned with the </w:t>
      </w:r>
      <w:r w:rsidR="008629DF">
        <w:t xml:space="preserve">distribution of </w:t>
      </w:r>
      <w:r w:rsidR="00B14B87">
        <w:t>the “</w:t>
      </w:r>
      <w:r w:rsidR="00B14B87" w:rsidRPr="00286744">
        <w:rPr>
          <w:i/>
          <w:iCs/>
        </w:rPr>
        <w:t>Proceeds of Sale</w:t>
      </w:r>
      <w:r w:rsidR="00B14B87">
        <w:t xml:space="preserve">” following </w:t>
      </w:r>
      <w:r w:rsidR="00936542">
        <w:t xml:space="preserve">a </w:t>
      </w:r>
      <w:r w:rsidR="00936542" w:rsidRPr="00447FE1">
        <w:t>Share Sale</w:t>
      </w:r>
      <w:r w:rsidR="00286744">
        <w:t>, as defined</w:t>
      </w:r>
      <w:r w:rsidR="00447FE1">
        <w:t xml:space="preserve">.  </w:t>
      </w:r>
      <w:r w:rsidR="004F3112">
        <w:t xml:space="preserve">That definition </w:t>
      </w:r>
      <w:r w:rsidR="002A3895">
        <w:t xml:space="preserve">requires </w:t>
      </w:r>
      <w:r w:rsidR="00A37DFD">
        <w:t>the “</w:t>
      </w:r>
      <w:r w:rsidR="00A37DFD" w:rsidRPr="00286744">
        <w:rPr>
          <w:i/>
          <w:iCs/>
        </w:rPr>
        <w:t>completion</w:t>
      </w:r>
      <w:r w:rsidR="00A37DFD">
        <w:t xml:space="preserve">” of the sale </w:t>
      </w:r>
      <w:r w:rsidR="008B0B9A">
        <w:t xml:space="preserve">of shares.  </w:t>
      </w:r>
      <w:r w:rsidR="00447FE1">
        <w:t xml:space="preserve"> </w:t>
      </w:r>
      <w:r w:rsidR="003052D6">
        <w:t>A provision which presupposes th</w:t>
      </w:r>
      <w:r w:rsidR="009306D1">
        <w:t xml:space="preserve">at the consideration for the shares which are the subject of </w:t>
      </w:r>
      <w:r w:rsidR="00E9175F">
        <w:t xml:space="preserve">the Share Sale has already been ascertained cannot be used </w:t>
      </w:r>
      <w:r w:rsidR="004128C9">
        <w:t xml:space="preserve">as a mechanism to determine the amount of that consideration.  </w:t>
      </w:r>
      <w:r w:rsidR="00847BA9">
        <w:t xml:space="preserve">The RPP works sensibly in the </w:t>
      </w:r>
      <w:r w:rsidR="00E94F1A">
        <w:t xml:space="preserve">context of a sale of shares to a third party but not in the case of </w:t>
      </w:r>
      <w:r w:rsidR="009F5C02">
        <w:t xml:space="preserve">the determination of </w:t>
      </w:r>
      <w:r w:rsidR="00FF46B7">
        <w:t>Market Value on a forced transfer</w:t>
      </w:r>
      <w:r>
        <w:t xml:space="preserve">. </w:t>
      </w:r>
      <w:r w:rsidR="00BC5416">
        <w:t xml:space="preserve"> In the absence of actual proceeds of sale</w:t>
      </w:r>
      <w:r w:rsidR="008F3EFD">
        <w:t>,</w:t>
      </w:r>
      <w:r w:rsidR="00C160E9">
        <w:t xml:space="preserve"> i</w:t>
      </w:r>
      <w:r w:rsidR="003E003B">
        <w:t xml:space="preserve">t </w:t>
      </w:r>
      <w:r w:rsidR="00EB6A33">
        <w:t xml:space="preserve">does not make sense to talk about the </w:t>
      </w:r>
      <w:r w:rsidR="003E003B">
        <w:t>RPP apply</w:t>
      </w:r>
      <w:r w:rsidR="006550E7">
        <w:t>ing</w:t>
      </w:r>
      <w:r w:rsidR="00A242DA">
        <w:t>.</w:t>
      </w:r>
    </w:p>
    <w:p w14:paraId="211C4DC7" w14:textId="34C34AD9" w:rsidR="00225018" w:rsidRDefault="00931BCE" w:rsidP="00EF2FE7">
      <w:pPr>
        <w:pStyle w:val="ParaLevel2"/>
      </w:pPr>
      <w:r>
        <w:t xml:space="preserve">Even if </w:t>
      </w:r>
      <w:r w:rsidR="00B70C9F">
        <w:t>the existence of Proceeds of Sale c</w:t>
      </w:r>
      <w:r w:rsidR="00063389">
        <w:t xml:space="preserve">ould </w:t>
      </w:r>
      <w:r w:rsidR="00B70C9F">
        <w:t>be presumed for article 18.4.1 purposes</w:t>
      </w:r>
      <w:r w:rsidR="00013C5D">
        <w:t xml:space="preserve">, without </w:t>
      </w:r>
      <w:r w:rsidR="003848E4">
        <w:t xml:space="preserve">the value of them first being </w:t>
      </w:r>
      <w:r w:rsidR="00FE73F6">
        <w:t xml:space="preserve">identified </w:t>
      </w:r>
      <w:r w:rsidR="00102FDC">
        <w:t>in accordance with t</w:t>
      </w:r>
      <w:r w:rsidR="001E0986">
        <w:t>hat provision it</w:t>
      </w:r>
      <w:r w:rsidR="00C160E9">
        <w:t xml:space="preserve"> cannot be known whether the distribution </w:t>
      </w:r>
      <w:r w:rsidR="008F3EFD">
        <w:t xml:space="preserve">in respect of the Leaver’s Shares would be in accordance </w:t>
      </w:r>
      <w:r w:rsidR="006550E7">
        <w:t xml:space="preserve">the </w:t>
      </w:r>
      <w:r w:rsidR="006550E7" w:rsidRPr="00B55A10">
        <w:rPr>
          <w:i/>
          <w:iCs/>
        </w:rPr>
        <w:t>pari passu</w:t>
      </w:r>
      <w:r w:rsidR="006550E7">
        <w:t xml:space="preserve"> </w:t>
      </w:r>
      <w:r w:rsidR="00B55A10">
        <w:t>regime of article 13.2 or</w:t>
      </w:r>
      <w:r w:rsidR="00A9434F">
        <w:t xml:space="preserve"> instead</w:t>
      </w:r>
      <w:r w:rsidR="00B55A10">
        <w:t xml:space="preserve"> subject to the RPP in article 13.3. </w:t>
      </w:r>
      <w:r w:rsidR="00A9434F">
        <w:t xml:space="preserve">  </w:t>
      </w:r>
      <w:r w:rsidR="00A92236">
        <w:t>May J did not consider the first possibility.</w:t>
      </w:r>
    </w:p>
    <w:p w14:paraId="757285B1" w14:textId="2155A8BC" w:rsidR="00A96CA7" w:rsidRDefault="006C6ACB" w:rsidP="00EF2FE7">
      <w:pPr>
        <w:pStyle w:val="ParaLevel1"/>
      </w:pPr>
      <w:r>
        <w:t xml:space="preserve">These competing submissions </w:t>
      </w:r>
      <w:r w:rsidR="003B2C1B">
        <w:t xml:space="preserve">have led me to </w:t>
      </w:r>
      <w:r w:rsidR="00E94A6D">
        <w:t xml:space="preserve">conclude that, in </w:t>
      </w:r>
      <w:r w:rsidR="001F54A9">
        <w:t xml:space="preserve">my </w:t>
      </w:r>
      <w:r w:rsidR="00E94A6D">
        <w:t xml:space="preserve">judgment, the Quantum Judgment was wrong in its interpretation </w:t>
      </w:r>
      <w:r w:rsidR="00642D59">
        <w:t>of article 18.4.1.</w:t>
      </w:r>
      <w:r w:rsidR="00B96E1E">
        <w:t xml:space="preserve">  Save that the </w:t>
      </w:r>
      <w:r w:rsidR="00EC7D6E">
        <w:t xml:space="preserve">Firm’s </w:t>
      </w:r>
      <w:r w:rsidR="00CE7A15">
        <w:t>submissions</w:t>
      </w:r>
      <w:r w:rsidR="00EC7D6E">
        <w:t xml:space="preserve"> </w:t>
      </w:r>
      <w:r w:rsidR="005D7718">
        <w:t xml:space="preserve">about the absence of a resulting Controlling Interest </w:t>
      </w:r>
      <w:r w:rsidR="00CE7A15">
        <w:t>(distinct from the</w:t>
      </w:r>
      <w:r w:rsidR="009F1768">
        <w:t xml:space="preserve"> more basic p</w:t>
      </w:r>
      <w:r w:rsidR="006F7772">
        <w:t xml:space="preserve">oint that there was no Share Sale) are vulnerable to Mr Leiper’s riposte noted in paragraph </w:t>
      </w:r>
      <w:r w:rsidR="00247E0D">
        <w:t>33</w:t>
      </w:r>
      <w:r w:rsidR="000E2A29">
        <w:t>3</w:t>
      </w:r>
      <w:r w:rsidR="006F7772">
        <w:t xml:space="preserve"> above,</w:t>
      </w:r>
      <w:r w:rsidR="00575345">
        <w:t xml:space="preserve"> I </w:t>
      </w:r>
      <w:r w:rsidR="001924E4">
        <w:t xml:space="preserve">find the Firm’s analysis of article 18.4.1 </w:t>
      </w:r>
      <w:r w:rsidR="00D53680">
        <w:t>to be the correct one.</w:t>
      </w:r>
      <w:r w:rsidR="006F7772">
        <w:t xml:space="preserve"> </w:t>
      </w:r>
      <w:r w:rsidR="00B96E1E">
        <w:t xml:space="preserve"> </w:t>
      </w:r>
      <w:r w:rsidR="00642D59">
        <w:t xml:space="preserve">  </w:t>
      </w:r>
    </w:p>
    <w:p w14:paraId="6774FF36" w14:textId="50989553" w:rsidR="00B256E9" w:rsidRDefault="00A96CA7" w:rsidP="00EF2FE7">
      <w:pPr>
        <w:pStyle w:val="ParaLevel1"/>
      </w:pPr>
      <w:r>
        <w:t>With the above-noted diffidence, I</w:t>
      </w:r>
      <w:r w:rsidR="00642D59">
        <w:t xml:space="preserve"> </w:t>
      </w:r>
      <w:r w:rsidR="00B96E1E">
        <w:t xml:space="preserve">have </w:t>
      </w:r>
      <w:r w:rsidR="00C719D9">
        <w:t>conclude</w:t>
      </w:r>
      <w:r w:rsidR="00B96E1E">
        <w:t>d</w:t>
      </w:r>
      <w:r w:rsidR="00642D59">
        <w:t xml:space="preserve"> that May J</w:t>
      </w:r>
      <w:r w:rsidR="00BF530C">
        <w:t xml:space="preserve"> (</w:t>
      </w:r>
      <w:r w:rsidR="0082126A">
        <w:t xml:space="preserve">clearly influenced by the </w:t>
      </w:r>
      <w:r w:rsidR="00BC60CD">
        <w:t>opinion</w:t>
      </w:r>
      <w:r w:rsidR="00AA2363">
        <w:t xml:space="preserve"> of </w:t>
      </w:r>
      <w:r w:rsidR="006D3FFC">
        <w:t>Mr Nicholl</w:t>
      </w:r>
      <w:r w:rsidR="00BF530C">
        <w:t xml:space="preserve">, the valuer, whose view </w:t>
      </w:r>
      <w:r w:rsidR="00DE6FF5">
        <w:t xml:space="preserve">on the point </w:t>
      </w:r>
      <w:r w:rsidR="00247E0D">
        <w:t>she regarded</w:t>
      </w:r>
      <w:r w:rsidR="00C719D9">
        <w:t xml:space="preserve"> as </w:t>
      </w:r>
      <w:r w:rsidR="00DE6FF5">
        <w:t>“</w:t>
      </w:r>
      <w:r w:rsidR="00DE6FF5" w:rsidRPr="00247E0D">
        <w:rPr>
          <w:i/>
          <w:iCs/>
        </w:rPr>
        <w:t>pre-eminent</w:t>
      </w:r>
      <w:r w:rsidR="00DE6FF5">
        <w:t>”)</w:t>
      </w:r>
      <w:r w:rsidR="00C719D9">
        <w:t xml:space="preserve"> </w:t>
      </w:r>
      <w:r w:rsidR="008A16EF">
        <w:t xml:space="preserve">was distracted from </w:t>
      </w:r>
      <w:r w:rsidR="00E86824">
        <w:t>the fundamental point that the basis of t</w:t>
      </w:r>
      <w:r w:rsidR="006B0C4A">
        <w:t>he valuation of the Claimants’ shareholdings</w:t>
      </w:r>
      <w:r w:rsidR="00E86824">
        <w:t xml:space="preserve"> </w:t>
      </w:r>
      <w:r w:rsidR="00516463">
        <w:t>was a hypothetical sale not an actual one</w:t>
      </w:r>
      <w:r w:rsidR="00677F19">
        <w:t xml:space="preserve">.  </w:t>
      </w:r>
      <w:r w:rsidR="002C2FCD">
        <w:t xml:space="preserve">And it was one where the </w:t>
      </w:r>
      <w:r w:rsidR="0011379C">
        <w:t>subject matter of the presumed sale</w:t>
      </w:r>
      <w:r w:rsidR="00C51C4E">
        <w:t>, as at the Leaving Date</w:t>
      </w:r>
      <w:r w:rsidR="00DB6110">
        <w:t>,</w:t>
      </w:r>
      <w:r w:rsidR="0011379C">
        <w:t xml:space="preserve"> </w:t>
      </w:r>
      <w:r w:rsidR="003E5F16">
        <w:t>wa</w:t>
      </w:r>
      <w:r w:rsidR="0011379C">
        <w:t xml:space="preserve">s all the shares in </w:t>
      </w:r>
      <w:r w:rsidR="001F0B01">
        <w:t>the Company.</w:t>
      </w:r>
      <w:r w:rsidR="0011379C">
        <w:t xml:space="preserve"> </w:t>
      </w:r>
    </w:p>
    <w:p w14:paraId="6C84DB3B" w14:textId="031DCE97" w:rsidR="00483B76" w:rsidRDefault="008F5896" w:rsidP="00EF2FE7">
      <w:pPr>
        <w:pStyle w:val="ParaLevel1"/>
      </w:pPr>
      <w:r w:rsidRPr="008F5896">
        <w:t>I</w:t>
      </w:r>
      <w:r w:rsidR="001F0B01">
        <w:t xml:space="preserve">n my judgment, the </w:t>
      </w:r>
      <w:r w:rsidRPr="008F5896">
        <w:t xml:space="preserve">second of the </w:t>
      </w:r>
      <w:r w:rsidR="007B2C10">
        <w:t xml:space="preserve">article’s </w:t>
      </w:r>
      <w:r w:rsidRPr="008F5896">
        <w:t xml:space="preserve">three “disregards” reinforces the purely hypothetical nature of the sale underpinning the expert </w:t>
      </w:r>
      <w:r w:rsidR="006448E1">
        <w:t xml:space="preserve">determination </w:t>
      </w:r>
      <w:r w:rsidRPr="008F5896">
        <w:t xml:space="preserve">under article 18.4.1.  Just as the first matter to be disregarded required the Leaver to benefit from the appropriate proportion of the total value of the Company’s equity without any minority discount, so too the instruction to disregard </w:t>
      </w:r>
      <w:r w:rsidR="00DE2BB6">
        <w:t xml:space="preserve">the </w:t>
      </w:r>
      <w:r w:rsidR="004D3FCE">
        <w:t xml:space="preserve">fact that they may be subject to </w:t>
      </w:r>
      <w:r w:rsidRPr="008F5896">
        <w:t xml:space="preserve">article 17 (under which the Claimants were deemed to have served Transfer Notices) </w:t>
      </w:r>
      <w:r w:rsidR="00B02195">
        <w:t xml:space="preserve">requires the </w:t>
      </w:r>
      <w:r w:rsidR="00977681">
        <w:t xml:space="preserve">actual circumstances in which they are </w:t>
      </w:r>
      <w:r w:rsidR="009F2DDA">
        <w:t>being sold to be ignored</w:t>
      </w:r>
      <w:r w:rsidRPr="008F5896">
        <w:t xml:space="preserve">.  </w:t>
      </w:r>
      <w:r w:rsidR="009F2DDA">
        <w:t>T</w:t>
      </w:r>
      <w:r w:rsidRPr="008F5896">
        <w:t>he expert valuer is directed to assume that a sale of all the shares in the Company to a willing buyer is taking place</w:t>
      </w:r>
      <w:r w:rsidR="003F0F58">
        <w:t xml:space="preserve">, at the </w:t>
      </w:r>
      <w:r w:rsidR="00483B76">
        <w:t xml:space="preserve">earlier </w:t>
      </w:r>
      <w:r w:rsidR="003F0F58">
        <w:t>Leaving Date,</w:t>
      </w:r>
      <w:r w:rsidRPr="008F5896">
        <w:t xml:space="preserve"> and not just the transfer of the Leaver’s shares in accordance with the pre-emption provisions of article 19</w:t>
      </w:r>
      <w:r w:rsidR="00483B76">
        <w:t>.</w:t>
      </w:r>
      <w:r w:rsidR="00A07FEA">
        <w:t xml:space="preserve">  Th</w:t>
      </w:r>
      <w:r w:rsidR="0048494F">
        <w:t xml:space="preserve">e hypothetical basis of the valuation </w:t>
      </w:r>
      <w:r w:rsidR="009D04F2">
        <w:t xml:space="preserve">is further reinforced by the fact that he is required to determine the value of the </w:t>
      </w:r>
      <w:r w:rsidR="00286744">
        <w:t>L</w:t>
      </w:r>
      <w:r w:rsidR="009D04F2">
        <w:t>eaver's Shares</w:t>
      </w:r>
      <w:r w:rsidR="00897930">
        <w:t xml:space="preserve">, which the Articles define to mean </w:t>
      </w:r>
      <w:r w:rsidR="009D04F2" w:rsidRPr="00897930">
        <w:rPr>
          <w:i/>
          <w:iCs/>
        </w:rPr>
        <w:t>all</w:t>
      </w:r>
      <w:r w:rsidR="009D04F2">
        <w:t xml:space="preserve"> of the Shares held by a Leaver</w:t>
      </w:r>
      <w:r w:rsidR="00897930">
        <w:t xml:space="preserve"> (</w:t>
      </w:r>
      <w:r w:rsidR="009D04F2">
        <w:t>or to which he is entitled</w:t>
      </w:r>
      <w:r w:rsidR="00897930">
        <w:t xml:space="preserve">) on the </w:t>
      </w:r>
      <w:r w:rsidR="009D04F2">
        <w:t>Leaving Date</w:t>
      </w:r>
      <w:r w:rsidR="005718F0">
        <w:t xml:space="preserve"> even though the Sale Shares covered by the article 17.3 Investor Direction might be a fewer number of them.</w:t>
      </w:r>
    </w:p>
    <w:p w14:paraId="7CD1DEA9" w14:textId="3FDE9F9F" w:rsidR="00395CFA" w:rsidRDefault="00395CFA" w:rsidP="00EF2FE7">
      <w:pPr>
        <w:pStyle w:val="ParaLevel1"/>
      </w:pPr>
      <w:r>
        <w:t xml:space="preserve">The parties to the presumed sale </w:t>
      </w:r>
      <w:r w:rsidR="007131B4">
        <w:t>are “</w:t>
      </w:r>
      <w:r w:rsidR="007131B4" w:rsidRPr="007131B4">
        <w:rPr>
          <w:i/>
          <w:iCs/>
        </w:rPr>
        <w:t>a willing seller and a willing buyer</w:t>
      </w:r>
      <w:r w:rsidR="007131B4">
        <w:t>.”</w:t>
      </w:r>
      <w:r w:rsidR="001E5E5D">
        <w:t xml:space="preserve">  </w:t>
      </w:r>
      <w:r w:rsidR="00E36E5C">
        <w:t xml:space="preserve">In the Quantum Judgment the judge in effect </w:t>
      </w:r>
      <w:r w:rsidR="00FB758B">
        <w:t>g</w:t>
      </w:r>
      <w:r w:rsidR="0083286B">
        <w:t>ave</w:t>
      </w:r>
      <w:r w:rsidR="00FB758B">
        <w:t xml:space="preserve"> the hypothetical buyer </w:t>
      </w:r>
      <w:r w:rsidR="00C95191">
        <w:t xml:space="preserve">credit for the fact that the </w:t>
      </w:r>
      <w:r w:rsidR="007C1E25">
        <w:t xml:space="preserve">Class C shares are encumbered by the RPP.  </w:t>
      </w:r>
      <w:r w:rsidR="004F3941">
        <w:t>T</w:t>
      </w:r>
      <w:r w:rsidR="004F3941" w:rsidRPr="004F3941">
        <w:t xml:space="preserve">he class and quantity of the shares which were the subject matter of the Claimants’ transfers </w:t>
      </w:r>
      <w:r w:rsidR="00E45173">
        <w:t>(“</w:t>
      </w:r>
      <w:r w:rsidR="00E45173" w:rsidRPr="00E45173">
        <w:rPr>
          <w:i/>
          <w:iCs/>
        </w:rPr>
        <w:t>the Leaver’s Shares</w:t>
      </w:r>
      <w:r w:rsidR="00E45173">
        <w:t xml:space="preserve">”) </w:t>
      </w:r>
      <w:r w:rsidR="004F3941" w:rsidRPr="004F3941">
        <w:t>meant the valuer was required to consider the position as if there had been a Share Sale so far as the impact of the RPP was concerned</w:t>
      </w:r>
      <w:r w:rsidR="00E45173">
        <w:t xml:space="preserve">. </w:t>
      </w:r>
      <w:r w:rsidR="00C76D2B">
        <w:t xml:space="preserve"> </w:t>
      </w:r>
      <w:r w:rsidR="00D86398">
        <w:t xml:space="preserve">To put it another way, </w:t>
      </w:r>
      <w:r w:rsidR="00FA78E9">
        <w:t xml:space="preserve">the judge </w:t>
      </w:r>
      <w:r w:rsidR="005C59C4">
        <w:t xml:space="preserve">was valuing the </w:t>
      </w:r>
      <w:r w:rsidR="00794361">
        <w:t xml:space="preserve">seller’s net </w:t>
      </w:r>
      <w:r w:rsidR="00B91270">
        <w:t>“</w:t>
      </w:r>
      <w:r w:rsidR="00794361">
        <w:t>equity</w:t>
      </w:r>
      <w:r w:rsidR="00B91270">
        <w:t>”</w:t>
      </w:r>
      <w:r w:rsidR="00794361">
        <w:t xml:space="preserve"> in the subject matter </w:t>
      </w:r>
      <w:r w:rsidR="00B91270">
        <w:t>shares.</w:t>
      </w:r>
    </w:p>
    <w:p w14:paraId="6BF1A5DB" w14:textId="77777777" w:rsidR="00A6588B" w:rsidRDefault="00CE0D61" w:rsidP="00EF2FE7">
      <w:pPr>
        <w:pStyle w:val="ParaLevel1"/>
      </w:pPr>
      <w:r w:rsidRPr="00CE0D61">
        <w:t xml:space="preserve">As Mr Tozzi QC and Mr Wright observed, this was akin to the judge saying a </w:t>
      </w:r>
      <w:r w:rsidR="006A4900">
        <w:t xml:space="preserve">house </w:t>
      </w:r>
      <w:r w:rsidRPr="00CE0D61">
        <w:t>being sold for £1m should not be treated as having that value because it is mortgaged and the owner will have to suffer the deduction of, say, 90% of the sale proceeds in discharge of the security</w:t>
      </w:r>
      <w:r>
        <w:t xml:space="preserve">.  </w:t>
      </w:r>
    </w:p>
    <w:p w14:paraId="5A9E6C42" w14:textId="29436C3E" w:rsidR="00CE0D61" w:rsidRDefault="00A6588B" w:rsidP="00EF2FE7">
      <w:pPr>
        <w:pStyle w:val="ParaLevel1"/>
      </w:pPr>
      <w:r>
        <w:t xml:space="preserve">I agree with them that this cannot be the right approach when </w:t>
      </w:r>
      <w:r w:rsidR="00F53021">
        <w:t xml:space="preserve">an </w:t>
      </w:r>
      <w:r w:rsidR="00730B7F" w:rsidRPr="00730B7F">
        <w:t xml:space="preserve">independent valuer was required to determine </w:t>
      </w:r>
      <w:r w:rsidR="00730B7F" w:rsidRPr="00D729AE">
        <w:rPr>
          <w:i/>
          <w:iCs/>
        </w:rPr>
        <w:t>the market value</w:t>
      </w:r>
      <w:r w:rsidR="00730B7F" w:rsidRPr="00730B7F">
        <w:t xml:space="preserve"> of the Leaver’s Shares</w:t>
      </w:r>
      <w:r w:rsidR="00B0681B">
        <w:t>.  This entails</w:t>
      </w:r>
      <w:r w:rsidR="00730B7F" w:rsidRPr="00730B7F">
        <w:t xml:space="preserve"> looking at what they are worth on the market or, if there is no market as such, what they are </w:t>
      </w:r>
      <w:r w:rsidR="00052A2E">
        <w:t xml:space="preserve">considered to be </w:t>
      </w:r>
      <w:r w:rsidR="00730B7F" w:rsidRPr="00730B7F">
        <w:t xml:space="preserve">worth to the purchaser.   The </w:t>
      </w:r>
      <w:r w:rsidR="00B02DD0">
        <w:t xml:space="preserve">seller having shown a willingness to sell, the </w:t>
      </w:r>
      <w:r w:rsidR="00730B7F" w:rsidRPr="00730B7F">
        <w:t xml:space="preserve">market price of an asset is determined </w:t>
      </w:r>
      <w:r w:rsidR="003828B8">
        <w:t xml:space="preserve">at least as much </w:t>
      </w:r>
      <w:r w:rsidR="00730B7F" w:rsidRPr="00730B7F">
        <w:t xml:space="preserve">by the </w:t>
      </w:r>
      <w:r w:rsidR="003828B8">
        <w:t>appetite of the</w:t>
      </w:r>
      <w:r w:rsidR="00730B7F" w:rsidRPr="00730B7F">
        <w:t xml:space="preserve"> buyer</w:t>
      </w:r>
      <w:r w:rsidR="003828B8">
        <w:t xml:space="preserve"> </w:t>
      </w:r>
      <w:r w:rsidR="00B02DD0">
        <w:t xml:space="preserve">(a point </w:t>
      </w:r>
      <w:r w:rsidR="00C9406E">
        <w:t xml:space="preserve">which clearly emerges from the disputed expert valuation evidence in this case) and </w:t>
      </w:r>
      <w:r w:rsidR="006C7B79">
        <w:t>a</w:t>
      </w:r>
      <w:r w:rsidR="00730B7F" w:rsidRPr="00730B7F">
        <w:t xml:space="preserve"> buyer is not generally concerned as to what the seller does with the proceeds of the sale price upon which they are agreed</w:t>
      </w:r>
      <w:r w:rsidR="006C7B79">
        <w:t xml:space="preserve">.  </w:t>
      </w:r>
      <w:r w:rsidR="00730B7F" w:rsidRPr="00730B7F">
        <w:t>A seller would receive short shrift from a buyer if he suggested the market price of the asset should be higher because he, the seller, was (for reasons specific to him) obliged to relinquish the whole or part of the sale proceeds to someone else</w:t>
      </w:r>
      <w:r w:rsidR="00F56BBD">
        <w:t>;</w:t>
      </w:r>
      <w:r w:rsidR="00340C69">
        <w:t xml:space="preserve"> and the opposite </w:t>
      </w:r>
      <w:r w:rsidR="0072747A">
        <w:t xml:space="preserve">would </w:t>
      </w:r>
      <w:r w:rsidR="00340C69">
        <w:t>hold true</w:t>
      </w:r>
      <w:r w:rsidR="0053185E">
        <w:t xml:space="preserve"> </w:t>
      </w:r>
      <w:r w:rsidR="00E0513B">
        <w:t xml:space="preserve">for a buyer trying to price the asset by reference to the seller’s </w:t>
      </w:r>
      <w:r w:rsidR="0072747A">
        <w:t xml:space="preserve">lesser </w:t>
      </w:r>
      <w:r w:rsidR="00E0513B">
        <w:t>interest in its proceeds of sale</w:t>
      </w:r>
      <w:r w:rsidR="00340C69">
        <w:t>.</w:t>
      </w:r>
    </w:p>
    <w:p w14:paraId="13748906" w14:textId="63259955" w:rsidR="00637334" w:rsidRDefault="00637334" w:rsidP="00EF2FE7">
      <w:pPr>
        <w:pStyle w:val="ParaLevel1"/>
      </w:pPr>
      <w:r>
        <w:t xml:space="preserve">There is in my judgment </w:t>
      </w:r>
      <w:r w:rsidR="00794361">
        <w:t xml:space="preserve">certainly </w:t>
      </w:r>
      <w:r>
        <w:t xml:space="preserve">no </w:t>
      </w:r>
      <w:r w:rsidR="00B560E5">
        <w:t xml:space="preserve">basis for qualifying the market value </w:t>
      </w:r>
      <w:r w:rsidR="00C23C1B">
        <w:t xml:space="preserve">of the Leaver’s Shares when </w:t>
      </w:r>
      <w:r w:rsidR="00CA1960">
        <w:t>the hypothetical purchaser</w:t>
      </w:r>
      <w:r w:rsidR="00EE49FE">
        <w:t xml:space="preserve"> is also acquiring the </w:t>
      </w:r>
      <w:r w:rsidR="00744AA0">
        <w:t xml:space="preserve">Class A and </w:t>
      </w:r>
      <w:r w:rsidR="005C2AF5">
        <w:t>Class B shares which enjoy priority</w:t>
      </w:r>
      <w:r w:rsidR="00BA2213">
        <w:t xml:space="preserve"> under the RPP.</w:t>
      </w:r>
      <w:r w:rsidR="005C2AF5">
        <w:t xml:space="preserve"> </w:t>
      </w:r>
      <w:r w:rsidR="002C3F77">
        <w:t xml:space="preserve"> The Quantum Judgment did not </w:t>
      </w:r>
      <w:r w:rsidR="000B67E9">
        <w:t>engage with the words “</w:t>
      </w:r>
      <w:r w:rsidR="005609FE" w:rsidRPr="005609FE">
        <w:rPr>
          <w:i/>
          <w:iCs/>
        </w:rPr>
        <w:t>as if the entire issued share capital of the Company were being sold</w:t>
      </w:r>
      <w:r w:rsidR="005609FE">
        <w:t xml:space="preserve">.”  </w:t>
      </w:r>
      <w:r w:rsidR="00C76B91">
        <w:t xml:space="preserve">It is </w:t>
      </w:r>
      <w:r w:rsidR="00E40265">
        <w:t xml:space="preserve">not clear to me why the </w:t>
      </w:r>
      <w:r w:rsidR="00431656">
        <w:t>hypothetical buyer</w:t>
      </w:r>
      <w:r w:rsidR="00BF4C07">
        <w:t xml:space="preserve"> of the C Shares</w:t>
      </w:r>
      <w:r w:rsidR="00431656">
        <w:t xml:space="preserve"> should expect, </w:t>
      </w:r>
      <w:r w:rsidR="00D9006B">
        <w:t>or why the hypothetical seller would be willing to give, credit for</w:t>
      </w:r>
      <w:r w:rsidR="000B69BA">
        <w:t xml:space="preserve"> a provision </w:t>
      </w:r>
      <w:r w:rsidR="00F8323F">
        <w:t xml:space="preserve">whose value </w:t>
      </w:r>
      <w:r w:rsidR="00C46DD2">
        <w:t xml:space="preserve">is </w:t>
      </w:r>
      <w:r w:rsidR="007A19CF">
        <w:t xml:space="preserve">acquired </w:t>
      </w:r>
      <w:r w:rsidR="00F62840">
        <w:t xml:space="preserve">(on the hypothetical purchase of the A and B Shares) under the very same transaction.  </w:t>
      </w:r>
      <w:r w:rsidR="00490FD2">
        <w:t xml:space="preserve">Reverting to the house purchase analogy, </w:t>
      </w:r>
      <w:r w:rsidR="00090ABB">
        <w:t xml:space="preserve">rather than </w:t>
      </w:r>
      <w:r w:rsidR="007E5222">
        <w:t xml:space="preserve">the conventional sale of the property at its market price leaving the vendor’s solicitors </w:t>
      </w:r>
      <w:r w:rsidR="008A5D8C">
        <w:t xml:space="preserve">to </w:t>
      </w:r>
      <w:r w:rsidR="00350D4D">
        <w:t xml:space="preserve">then </w:t>
      </w:r>
      <w:r w:rsidR="008A5D8C">
        <w:t xml:space="preserve">account to the mortgagee </w:t>
      </w:r>
      <w:r w:rsidR="005D7BD3">
        <w:t>for any sums sec</w:t>
      </w:r>
      <w:r w:rsidR="005D5CF0">
        <w:t xml:space="preserve">ured on the proceeds, </w:t>
      </w:r>
      <w:r w:rsidR="00490FD2">
        <w:t xml:space="preserve">it is as if the </w:t>
      </w:r>
      <w:r w:rsidR="00716CE1">
        <w:t xml:space="preserve">estate agent is offering </w:t>
      </w:r>
      <w:r w:rsidR="005D5CF0">
        <w:t>the property for sale</w:t>
      </w:r>
      <w:r w:rsidR="00350D4D">
        <w:t xml:space="preserve"> still encumbered by the </w:t>
      </w:r>
      <w:r w:rsidR="005D5438">
        <w:t xml:space="preserve">mortgage but with the purchaser </w:t>
      </w:r>
      <w:r w:rsidR="00B370A4">
        <w:t xml:space="preserve">also </w:t>
      </w:r>
      <w:r w:rsidR="005D5438">
        <w:t xml:space="preserve">acquiring the mortgagee’s interest.  The purchaser </w:t>
      </w:r>
      <w:r w:rsidR="00B66CCE">
        <w:t>would not expect to pay less than the market price of the property in those circumstances.</w:t>
      </w:r>
      <w:r w:rsidR="00C13771">
        <w:t xml:space="preserve">  </w:t>
      </w:r>
    </w:p>
    <w:p w14:paraId="18096B4B" w14:textId="1098CD73" w:rsidR="001C192B" w:rsidRDefault="00677F19" w:rsidP="00EF2FE7">
      <w:pPr>
        <w:pStyle w:val="ParaLevel1"/>
      </w:pPr>
      <w:r>
        <w:t>The</w:t>
      </w:r>
      <w:r w:rsidR="00AC32F6">
        <w:t xml:space="preserve">se high level </w:t>
      </w:r>
      <w:r w:rsidR="00AD6EED">
        <w:t xml:space="preserve">and </w:t>
      </w:r>
      <w:r w:rsidR="00B370A4">
        <w:t xml:space="preserve">abstract </w:t>
      </w:r>
      <w:r w:rsidR="00AC32F6">
        <w:t>observations</w:t>
      </w:r>
      <w:r w:rsidR="002B0FA0">
        <w:t xml:space="preserve"> reinforce </w:t>
      </w:r>
      <w:r w:rsidR="00513B06">
        <w:t xml:space="preserve">the Firm’s essential point that a provision which regulates the distribution of </w:t>
      </w:r>
      <w:r w:rsidR="00BE0B3A">
        <w:t xml:space="preserve">Proceeds of Sale </w:t>
      </w:r>
      <w:r w:rsidR="000B03A5">
        <w:t xml:space="preserve">upon completion of </w:t>
      </w:r>
      <w:r w:rsidR="005D1B4F">
        <w:t xml:space="preserve">an actual sale </w:t>
      </w:r>
      <w:r w:rsidR="00BE0B3A">
        <w:t xml:space="preserve">cannot </w:t>
      </w:r>
      <w:r w:rsidR="00F05999">
        <w:t xml:space="preserve">properly </w:t>
      </w:r>
      <w:r w:rsidR="00BE0B3A">
        <w:t>inform, let alone determine</w:t>
      </w:r>
      <w:r w:rsidR="005810F0">
        <w:t>,</w:t>
      </w:r>
      <w:r w:rsidR="00BE0B3A">
        <w:t xml:space="preserve"> what the </w:t>
      </w:r>
      <w:r w:rsidR="005810F0">
        <w:t>amount of those proceeds should be</w:t>
      </w:r>
      <w:r w:rsidR="00F05999">
        <w:t xml:space="preserve"> taken to be</w:t>
      </w:r>
      <w:r w:rsidR="005810F0">
        <w:t>.</w:t>
      </w:r>
      <w:r w:rsidR="00A15AAC">
        <w:t xml:space="preserve">  </w:t>
      </w:r>
      <w:r w:rsidR="00841220">
        <w:t>T</w:t>
      </w:r>
      <w:r w:rsidR="00585640">
        <w:t xml:space="preserve">he </w:t>
      </w:r>
      <w:r w:rsidR="00145D6F">
        <w:t xml:space="preserve">approach adopted in the Quantum Judgment </w:t>
      </w:r>
      <w:r w:rsidR="00CD33FF">
        <w:t>to my mind involve</w:t>
      </w:r>
      <w:r w:rsidR="00FB02CF">
        <w:t>d</w:t>
      </w:r>
      <w:r w:rsidR="00CD33FF">
        <w:t xml:space="preserve"> </w:t>
      </w:r>
      <w:r w:rsidR="00F34AA4">
        <w:t xml:space="preserve">an </w:t>
      </w:r>
      <w:r w:rsidR="00CD33FF">
        <w:t>impermissible leap</w:t>
      </w:r>
      <w:r w:rsidR="00022039">
        <w:t xml:space="preserve"> </w:t>
      </w:r>
      <w:r w:rsidR="009F2A79">
        <w:t xml:space="preserve">from a contractual provision about </w:t>
      </w:r>
      <w:r w:rsidR="009F2A79" w:rsidRPr="001C192B">
        <w:rPr>
          <w:i/>
          <w:iCs/>
        </w:rPr>
        <w:t>valuation</w:t>
      </w:r>
      <w:r w:rsidR="009F2A79">
        <w:t xml:space="preserve"> </w:t>
      </w:r>
      <w:r w:rsidR="00A15C14">
        <w:t xml:space="preserve">for the benefit of one particular shareholder </w:t>
      </w:r>
      <w:r w:rsidR="00D2387D">
        <w:t xml:space="preserve">(article 18.4.1) to one </w:t>
      </w:r>
      <w:r w:rsidR="00F206F8">
        <w:t xml:space="preserve">directed to the quite different issue of </w:t>
      </w:r>
      <w:r w:rsidR="00F206F8" w:rsidRPr="001C192B">
        <w:rPr>
          <w:i/>
          <w:iCs/>
        </w:rPr>
        <w:t>distribution of value</w:t>
      </w:r>
      <w:r w:rsidR="00A15C14">
        <w:rPr>
          <w:i/>
          <w:iCs/>
        </w:rPr>
        <w:t xml:space="preserve"> </w:t>
      </w:r>
      <w:r w:rsidR="00A15C14">
        <w:t>amongst all</w:t>
      </w:r>
      <w:r w:rsidR="00F206F8">
        <w:t xml:space="preserve"> (article 13.3). </w:t>
      </w:r>
      <w:r w:rsidR="004D35AF">
        <w:t xml:space="preserve"> Th</w:t>
      </w:r>
      <w:r w:rsidR="00F81394">
        <w:t xml:space="preserve">e </w:t>
      </w:r>
      <w:r w:rsidR="00323E12">
        <w:t xml:space="preserve">resulting </w:t>
      </w:r>
      <w:r w:rsidR="005317B2">
        <w:t xml:space="preserve">conclusion that the </w:t>
      </w:r>
      <w:r w:rsidR="00E244B3">
        <w:t xml:space="preserve">Claimants’ shares had </w:t>
      </w:r>
      <w:r w:rsidR="00AE3CD1">
        <w:t xml:space="preserve">no </w:t>
      </w:r>
      <w:r w:rsidR="00A224B8">
        <w:t xml:space="preserve">value </w:t>
      </w:r>
      <w:r w:rsidR="00523CAC">
        <w:t>begged the very question</w:t>
      </w:r>
      <w:r w:rsidR="00A76882">
        <w:t xml:space="preserve"> </w:t>
      </w:r>
      <w:r w:rsidR="00F00078">
        <w:t xml:space="preserve">which </w:t>
      </w:r>
      <w:r w:rsidR="008A2AA4">
        <w:t xml:space="preserve">the </w:t>
      </w:r>
      <w:r w:rsidR="00B85B4A">
        <w:t xml:space="preserve">expert was </w:t>
      </w:r>
      <w:r w:rsidR="007F31FE">
        <w:t>required to determine</w:t>
      </w:r>
      <w:r w:rsidR="00F43271">
        <w:t xml:space="preserve"> by </w:t>
      </w:r>
      <w:r w:rsidR="00C3187F">
        <w:t xml:space="preserve">assessing value </w:t>
      </w:r>
      <w:r w:rsidR="00797946">
        <w:t xml:space="preserve">independently of </w:t>
      </w:r>
      <w:r w:rsidR="00CA2487">
        <w:t>article 13.3 (or indeed article 13.2).</w:t>
      </w:r>
    </w:p>
    <w:p w14:paraId="5946B9B9" w14:textId="7F586326" w:rsidR="00C629BA" w:rsidRDefault="00656452" w:rsidP="00EF2FE7">
      <w:pPr>
        <w:pStyle w:val="ParaLevel1"/>
      </w:pPr>
      <w:r w:rsidRPr="00656452">
        <w:t>As the Claimants submitted to</w:t>
      </w:r>
      <w:r w:rsidR="00132BFB">
        <w:t xml:space="preserve"> May J</w:t>
      </w:r>
      <w:r w:rsidRPr="00656452">
        <w:t xml:space="preserve">, the RPP can be of no significance to the willing buyer under </w:t>
      </w:r>
      <w:r w:rsidR="00DC0202">
        <w:t>a</w:t>
      </w:r>
      <w:r w:rsidRPr="00656452">
        <w:t>rticle 18.4.1 when, under the hypothetical sale, he is acquiring “</w:t>
      </w:r>
      <w:r w:rsidRPr="003C097A">
        <w:rPr>
          <w:i/>
          <w:iCs/>
        </w:rPr>
        <w:t>the entire share capital of the Company</w:t>
      </w:r>
      <w:r w:rsidRPr="00656452">
        <w:t xml:space="preserve">”.  The judge said </w:t>
      </w:r>
      <w:r w:rsidRPr="003C097A">
        <w:rPr>
          <w:i/>
          <w:iCs/>
        </w:rPr>
        <w:t>“[a]ny buyer purchasing the Claimants’ shares would purchase subject to the restrictions affecting realisable value imposed by Article 13.3</w:t>
      </w:r>
      <w:r w:rsidRPr="00656452">
        <w:t xml:space="preserve">” but the </w:t>
      </w:r>
      <w:r w:rsidR="00383AF5">
        <w:t xml:space="preserve">notional </w:t>
      </w:r>
      <w:r w:rsidRPr="00656452">
        <w:t xml:space="preserve">purchaser </w:t>
      </w:r>
      <w:r w:rsidR="00383AF5">
        <w:t>would</w:t>
      </w:r>
      <w:r w:rsidRPr="00656452">
        <w:t xml:space="preserve"> not be affected at all by the order of priority between different classes of share if he own</w:t>
      </w:r>
      <w:r w:rsidR="00CC0EC0">
        <w:t>ed</w:t>
      </w:r>
      <w:r w:rsidRPr="00656452">
        <w:t xml:space="preserve"> them all</w:t>
      </w:r>
      <w:r w:rsidR="003C097A">
        <w:t>.</w:t>
      </w:r>
      <w:r w:rsidR="00383AF5">
        <w:t xml:space="preserve">  </w:t>
      </w:r>
    </w:p>
    <w:p w14:paraId="0CEE8477" w14:textId="77777777" w:rsidR="00087804" w:rsidRDefault="00C629BA" w:rsidP="00EF2FE7">
      <w:pPr>
        <w:pStyle w:val="ParaLevel1"/>
      </w:pPr>
      <w:r>
        <w:t xml:space="preserve">The purchaser’s </w:t>
      </w:r>
      <w:r w:rsidR="00383AF5" w:rsidRPr="006252E2">
        <w:rPr>
          <w:i/>
          <w:iCs/>
        </w:rPr>
        <w:t>presumed</w:t>
      </w:r>
      <w:r w:rsidR="00383AF5">
        <w:t xml:space="preserve"> ownership would, for example, extend to Mr Lindsell’s </w:t>
      </w:r>
      <w:r w:rsidR="00EC73B1">
        <w:t>5% D</w:t>
      </w:r>
      <w:r w:rsidR="00D3577C">
        <w:t xml:space="preserve"> shareholding</w:t>
      </w:r>
      <w:r w:rsidR="00B32D92">
        <w:t xml:space="preserve">.  That </w:t>
      </w:r>
      <w:r w:rsidR="009B6573">
        <w:t xml:space="preserve">continuing </w:t>
      </w:r>
      <w:r w:rsidR="00B32D92">
        <w:t>shareholding</w:t>
      </w:r>
      <w:r w:rsidR="00D3577C">
        <w:t xml:space="preserve"> </w:t>
      </w:r>
      <w:r w:rsidR="007625D8">
        <w:t xml:space="preserve">of Mr Lindsell (in fact) </w:t>
      </w:r>
      <w:r w:rsidR="00D3577C">
        <w:t>w</w:t>
      </w:r>
      <w:r w:rsidR="00A74968">
        <w:t>as also exposed to the RPP</w:t>
      </w:r>
      <w:r w:rsidR="00D3577C">
        <w:t xml:space="preserve"> </w:t>
      </w:r>
      <w:r w:rsidR="00A74968">
        <w:t>but</w:t>
      </w:r>
      <w:r w:rsidR="00B32D92">
        <w:t xml:space="preserve">, </w:t>
      </w:r>
      <w:r w:rsidR="001D4CEB">
        <w:t>on the judge</w:t>
      </w:r>
      <w:r w:rsidR="0030728E">
        <w:t xml:space="preserve">’s reasoning </w:t>
      </w:r>
      <w:r w:rsidR="00D12779">
        <w:t xml:space="preserve">with the RPP “debited” </w:t>
      </w:r>
      <w:r w:rsidR="0030728E">
        <w:t xml:space="preserve">against the </w:t>
      </w:r>
      <w:r w:rsidR="002F0827">
        <w:t xml:space="preserve">value </w:t>
      </w:r>
      <w:r w:rsidR="00FF6ED4">
        <w:t xml:space="preserve">against the </w:t>
      </w:r>
      <w:r w:rsidR="0030728E">
        <w:t>Claimants</w:t>
      </w:r>
      <w:r w:rsidR="00BA4F47">
        <w:t>’ shares</w:t>
      </w:r>
      <w:r w:rsidR="0030728E">
        <w:t xml:space="preserve">, </w:t>
      </w:r>
      <w:r w:rsidR="00DA399F">
        <w:t xml:space="preserve">it </w:t>
      </w:r>
      <w:r w:rsidR="0030728E">
        <w:t xml:space="preserve">might </w:t>
      </w:r>
      <w:r w:rsidR="002F0827">
        <w:t xml:space="preserve">perhaps </w:t>
      </w:r>
      <w:r w:rsidR="0030728E">
        <w:t xml:space="preserve">be regarded as </w:t>
      </w:r>
      <w:r w:rsidR="00C1401D">
        <w:t xml:space="preserve">presumptively benefiting from the </w:t>
      </w:r>
      <w:r w:rsidR="00C1401D" w:rsidRPr="00C1401D">
        <w:rPr>
          <w:i/>
          <w:iCs/>
        </w:rPr>
        <w:t>pari passu</w:t>
      </w:r>
      <w:r w:rsidR="00C1401D">
        <w:t xml:space="preserve"> provisions of article 13.2.</w:t>
      </w:r>
      <w:r w:rsidR="00FF6ED4">
        <w:t xml:space="preserve">  </w:t>
      </w:r>
    </w:p>
    <w:p w14:paraId="18F585B9" w14:textId="49684B71" w:rsidR="005A763F" w:rsidRDefault="009B6573" w:rsidP="00EF2FE7">
      <w:pPr>
        <w:pStyle w:val="ParaLevel1"/>
      </w:pPr>
      <w:r>
        <w:t xml:space="preserve">If Mr Lindsell had become a Leaver </w:t>
      </w:r>
      <w:r w:rsidR="009C5708">
        <w:t xml:space="preserve">the following year, what “credit”, if any, would he be entitled to in the determination of the market value of his D Shares </w:t>
      </w:r>
      <w:r w:rsidR="00BA669E">
        <w:t xml:space="preserve">as a result of the fact that </w:t>
      </w:r>
      <w:r w:rsidR="00343FE5">
        <w:t xml:space="preserve">the </w:t>
      </w:r>
      <w:r w:rsidR="003C03FC">
        <w:t>Company</w:t>
      </w:r>
      <w:r w:rsidR="00343FE5">
        <w:t xml:space="preserve"> (to the benefit of Livingbridge as </w:t>
      </w:r>
      <w:r w:rsidR="008B2E36">
        <w:t xml:space="preserve">the holder of a greater stake of the Company’s </w:t>
      </w:r>
      <w:r w:rsidR="00D857EE">
        <w:t>reduced issued share capital</w:t>
      </w:r>
      <w:r w:rsidR="008B2E36">
        <w:t>) had already deployed the RPP on the</w:t>
      </w:r>
      <w:r w:rsidR="003C03FC">
        <w:t xml:space="preserve"> redemption of the Claimants’ shares</w:t>
      </w:r>
      <w:r w:rsidR="008B2E36">
        <w:t xml:space="preserve">? </w:t>
      </w:r>
      <w:r w:rsidR="00874B79">
        <w:t xml:space="preserve"> </w:t>
      </w:r>
      <w:r w:rsidR="00087804" w:rsidRPr="00087804">
        <w:t xml:space="preserve">However unlikely in practice, the same point would apply to any of the Claimants’ C Shares which were not subject to an article 17.3 Investor Direction and instead retained by them.  </w:t>
      </w:r>
      <w:r w:rsidR="00874B79">
        <w:t>Similarly</w:t>
      </w:r>
      <w:r w:rsidR="00796505">
        <w:t xml:space="preserve">, </w:t>
      </w:r>
      <w:r w:rsidR="004152DE">
        <w:t xml:space="preserve">why should the </w:t>
      </w:r>
      <w:r w:rsidR="009918E4">
        <w:t xml:space="preserve">notional purchaser’s acquisition of the Claimants’ C Shares </w:t>
      </w:r>
      <w:r w:rsidR="003F0CA4">
        <w:t>(</w:t>
      </w:r>
      <w:r w:rsidR="00874B79">
        <w:t>which were in fact redeemed</w:t>
      </w:r>
      <w:r w:rsidR="00E80525">
        <w:t xml:space="preserve"> by the Company</w:t>
      </w:r>
      <w:r w:rsidR="00874B79">
        <w:t xml:space="preserve"> but for </w:t>
      </w:r>
      <w:r w:rsidR="00E80525">
        <w:t xml:space="preserve">present illustrative purposes are to be </w:t>
      </w:r>
      <w:r w:rsidR="00A82EE3">
        <w:t xml:space="preserve">analysed </w:t>
      </w:r>
      <w:r w:rsidR="003F0CA4">
        <w:t>separately from the A and B Shares</w:t>
      </w:r>
      <w:r w:rsidR="005C5580">
        <w:t xml:space="preserve"> held by him</w:t>
      </w:r>
      <w:r w:rsidR="003F0CA4">
        <w:t xml:space="preserve">) </w:t>
      </w:r>
      <w:r w:rsidR="000D73FA">
        <w:t>be on the basis that the</w:t>
      </w:r>
      <w:r w:rsidR="00646792">
        <w:t xml:space="preserve">ir value is obliterated by the RPP when, in his </w:t>
      </w:r>
      <w:r w:rsidR="00554013">
        <w:t xml:space="preserve">sole </w:t>
      </w:r>
      <w:r w:rsidR="00646792">
        <w:t>ownership</w:t>
      </w:r>
      <w:r w:rsidR="00554013">
        <w:t xml:space="preserve">, </w:t>
      </w:r>
      <w:r w:rsidR="00A82EE3">
        <w:t xml:space="preserve">the Company </w:t>
      </w:r>
      <w:r w:rsidR="00436CFC">
        <w:t xml:space="preserve">might grow in value to the point where </w:t>
      </w:r>
      <w:r w:rsidR="00260C54">
        <w:t xml:space="preserve">article 13.3 not only ceases to be a </w:t>
      </w:r>
      <w:r w:rsidR="00A133B5">
        <w:t>burden</w:t>
      </w:r>
      <w:r w:rsidR="00260C54">
        <w:t xml:space="preserve"> </w:t>
      </w:r>
      <w:r w:rsidR="000523CC">
        <w:t xml:space="preserve">upon them </w:t>
      </w:r>
      <w:r w:rsidR="00260C54">
        <w:t xml:space="preserve">but </w:t>
      </w:r>
      <w:r w:rsidR="001050C0">
        <w:t xml:space="preserve">instead operates to the </w:t>
      </w:r>
      <w:r w:rsidR="0087558B">
        <w:t xml:space="preserve">financial </w:t>
      </w:r>
      <w:r w:rsidR="001050C0">
        <w:t>advantage</w:t>
      </w:r>
      <w:r w:rsidR="0087558B">
        <w:t xml:space="preserve"> of their holder</w:t>
      </w:r>
      <w:r w:rsidR="00504CBA">
        <w:t>?</w:t>
      </w:r>
      <w:r w:rsidR="00927E91">
        <w:t xml:space="preserve"> </w:t>
      </w:r>
      <w:r w:rsidR="00915B60">
        <w:t xml:space="preserve"> </w:t>
      </w:r>
      <w:r w:rsidR="00E57C9A">
        <w:t>Again, e</w:t>
      </w:r>
      <w:r w:rsidR="00915B60">
        <w:t xml:space="preserve">ven </w:t>
      </w:r>
      <w:r w:rsidR="00E57C9A">
        <w:t xml:space="preserve">on its approach of looking </w:t>
      </w:r>
      <w:r w:rsidR="00BF4FFB">
        <w:t>at the particular shares which</w:t>
      </w:r>
      <w:r w:rsidR="002D192D">
        <w:t xml:space="preserve"> are being valued under article 18.4.1, the Quantum Judgment </w:t>
      </w:r>
      <w:r w:rsidR="00A27C22">
        <w:t>did not look at the position from the perspective of the willing buyer and what he would be prepared to pay</w:t>
      </w:r>
      <w:r w:rsidR="0058095D">
        <w:t xml:space="preserve"> for </w:t>
      </w:r>
      <w:r w:rsidR="002F4EF8">
        <w:t>shareholding</w:t>
      </w:r>
      <w:r w:rsidR="00087804">
        <w:t>s</w:t>
      </w:r>
      <w:r w:rsidR="002F4EF8">
        <w:t xml:space="preserve"> which had this potential</w:t>
      </w:r>
      <w:r w:rsidR="00A27C22">
        <w:t>.</w:t>
      </w:r>
    </w:p>
    <w:p w14:paraId="535BD60A" w14:textId="4B268662" w:rsidR="00430F34" w:rsidRDefault="0008732F" w:rsidP="00EF2FE7">
      <w:pPr>
        <w:pStyle w:val="ParaLevel1"/>
      </w:pPr>
      <w:r>
        <w:t>In m</w:t>
      </w:r>
      <w:r w:rsidR="00835F8E">
        <w:t>y</w:t>
      </w:r>
      <w:r>
        <w:t xml:space="preserve"> judgment, s</w:t>
      </w:r>
      <w:r w:rsidR="00DA399F">
        <w:t xml:space="preserve">uch conjecture over the distribution rights </w:t>
      </w:r>
      <w:r>
        <w:t xml:space="preserve">between particular classes of share only serves to highlight </w:t>
      </w:r>
      <w:r w:rsidR="00430F34">
        <w:t xml:space="preserve">that it has no place in the </w:t>
      </w:r>
      <w:r w:rsidR="00504CBA">
        <w:t xml:space="preserve">pro </w:t>
      </w:r>
      <w:r w:rsidR="00774B51">
        <w:t xml:space="preserve">rata apportionment to the Leaver’s Shares of the </w:t>
      </w:r>
      <w:r w:rsidR="00137C71">
        <w:t xml:space="preserve">fair </w:t>
      </w:r>
      <w:r w:rsidR="00430F34">
        <w:t>market valu</w:t>
      </w:r>
      <w:r w:rsidR="00137C71">
        <w:t>e</w:t>
      </w:r>
      <w:r w:rsidR="00430F34">
        <w:t xml:space="preserve"> </w:t>
      </w:r>
      <w:r w:rsidR="00137C71">
        <w:t xml:space="preserve">of the Company </w:t>
      </w:r>
      <w:r w:rsidR="00031D69">
        <w:t xml:space="preserve">which is required </w:t>
      </w:r>
      <w:r w:rsidR="00430F34">
        <w:t>under article 18.4.1.</w:t>
      </w:r>
    </w:p>
    <w:p w14:paraId="2AE08F45" w14:textId="65C71D6F" w:rsidR="00A27CD3" w:rsidRPr="00A27CD3" w:rsidRDefault="009478E4" w:rsidP="00EF2FE7">
      <w:pPr>
        <w:pStyle w:val="ParaLevel1"/>
      </w:pPr>
      <w:r>
        <w:t xml:space="preserve">I believe that </w:t>
      </w:r>
      <w:r w:rsidR="00031D69">
        <w:t xml:space="preserve">my </w:t>
      </w:r>
      <w:r>
        <w:t xml:space="preserve">conclusion about </w:t>
      </w:r>
      <w:r w:rsidRPr="009478E4">
        <w:t>the meaning of the article</w:t>
      </w:r>
      <w:r>
        <w:t xml:space="preserve"> is also consistent with business common sense</w:t>
      </w:r>
      <w:r w:rsidR="00E250BF">
        <w:t>.  Resort can be had to this</w:t>
      </w:r>
      <w:r>
        <w:t xml:space="preserve"> notion under the guidance summarised in the “</w:t>
      </w:r>
      <w:r w:rsidRPr="009478E4">
        <w:rPr>
          <w:i/>
          <w:iCs/>
        </w:rPr>
        <w:t>The Ocean Neptune</w:t>
      </w:r>
      <w:r>
        <w:t xml:space="preserve">”. </w:t>
      </w:r>
      <w:r w:rsidR="00BD4E64">
        <w:t xml:space="preserve"> Commercial common sense can be </w:t>
      </w:r>
      <w:r w:rsidR="00DE418E">
        <w:t xml:space="preserve">assessed against the factual matrix in which the Articles were agreed.  </w:t>
      </w:r>
      <w:r w:rsidR="00A27CD3" w:rsidRPr="00A27CD3">
        <w:t>The evidence shows that, at the time of the Transaction, the parties envisaged that the business would be grown for a period of around 3 to 5 years before the shareholders realised their interests, either on a listing or through a share sale.</w:t>
      </w:r>
    </w:p>
    <w:p w14:paraId="172DF33F" w14:textId="45E7E651" w:rsidR="004F10D5" w:rsidRDefault="00E615AE" w:rsidP="00EF2FE7">
      <w:pPr>
        <w:pStyle w:val="ParaLevel1"/>
      </w:pPr>
      <w:r>
        <w:t xml:space="preserve">In the Leaver Litigation the </w:t>
      </w:r>
      <w:r w:rsidR="005B114E">
        <w:t xml:space="preserve">Claimants </w:t>
      </w:r>
      <w:r>
        <w:t xml:space="preserve">had </w:t>
      </w:r>
      <w:r w:rsidR="005B114E">
        <w:t xml:space="preserve">highlighted what they said was the commercial absurdity of the </w:t>
      </w:r>
      <w:r w:rsidR="00985B05">
        <w:t xml:space="preserve">conclusion in the Quantum Judgment both in argument before the judge and in their </w:t>
      </w:r>
      <w:r w:rsidR="00F901AC">
        <w:t xml:space="preserve">successful </w:t>
      </w:r>
      <w:r w:rsidR="00985B05">
        <w:t>application for permission to appeal.</w:t>
      </w:r>
      <w:r w:rsidR="006E25A1">
        <w:t xml:space="preserve">  </w:t>
      </w:r>
      <w:r w:rsidR="006D1E5D">
        <w:t>T</w:t>
      </w:r>
      <w:r w:rsidR="008203D1">
        <w:t>he</w:t>
      </w:r>
      <w:r w:rsidR="006D1E5D">
        <w:t xml:space="preserve">y pointed out that the Company’s </w:t>
      </w:r>
      <w:r w:rsidR="008203D1">
        <w:t>construction produce</w:t>
      </w:r>
      <w:r w:rsidR="006D1E5D">
        <w:t>d</w:t>
      </w:r>
      <w:r w:rsidR="008203D1">
        <w:t xml:space="preserve"> an outcome </w:t>
      </w:r>
      <w:r w:rsidR="003837CB">
        <w:t xml:space="preserve">where, </w:t>
      </w:r>
      <w:r w:rsidR="001D42A5">
        <w:t xml:space="preserve">in return for their 42.95% stakes in IPS UK, </w:t>
      </w:r>
      <w:r w:rsidR="008203D1">
        <w:t xml:space="preserve">the Claimants were </w:t>
      </w:r>
      <w:r w:rsidR="00BA3B79">
        <w:t xml:space="preserve">each </w:t>
      </w:r>
      <w:r w:rsidR="008203D1">
        <w:t>paid just under £2</w:t>
      </w:r>
      <w:r w:rsidR="00AD16CF">
        <w:t>.3</w:t>
      </w:r>
      <w:r w:rsidR="008203D1">
        <w:t xml:space="preserve">m </w:t>
      </w:r>
      <w:r w:rsidR="00842F09">
        <w:t xml:space="preserve">in December 2014 </w:t>
      </w:r>
      <w:r w:rsidR="00AE6A66">
        <w:t>and received</w:t>
      </w:r>
      <w:r w:rsidR="008203D1">
        <w:t xml:space="preserve"> a 30%</w:t>
      </w:r>
      <w:r w:rsidR="003837CB">
        <w:t xml:space="preserve"> </w:t>
      </w:r>
      <w:r w:rsidR="008203D1">
        <w:t xml:space="preserve">shareholding in the </w:t>
      </w:r>
      <w:r w:rsidR="00C25B31">
        <w:t>Company</w:t>
      </w:r>
      <w:r w:rsidR="00842F09">
        <w:t xml:space="preserve">.  However, they </w:t>
      </w:r>
      <w:r w:rsidR="005001A8">
        <w:t xml:space="preserve">would </w:t>
      </w:r>
      <w:r w:rsidR="008203D1">
        <w:t xml:space="preserve">then </w:t>
      </w:r>
      <w:r w:rsidR="00482E9F">
        <w:t>receive nothing for th</w:t>
      </w:r>
      <w:r w:rsidR="007F3118">
        <w:t>at</w:t>
      </w:r>
      <w:r w:rsidR="00482E9F">
        <w:t xml:space="preserve"> remaining </w:t>
      </w:r>
      <w:r w:rsidR="00F901AC">
        <w:t xml:space="preserve">equity </w:t>
      </w:r>
      <w:r w:rsidR="00482E9F">
        <w:t>stake</w:t>
      </w:r>
      <w:r w:rsidR="00F901AC">
        <w:t xml:space="preserve"> in the business</w:t>
      </w:r>
      <w:r w:rsidR="00482E9F">
        <w:t xml:space="preserve">.  </w:t>
      </w:r>
      <w:r w:rsidR="00BC37E1">
        <w:t>The effect of the transfer of a</w:t>
      </w:r>
      <w:r w:rsidR="008203D1">
        <w:t xml:space="preserve"> Good Leaver’s shares to the Company </w:t>
      </w:r>
      <w:r w:rsidR="00BC37E1">
        <w:t xml:space="preserve">under article 19.1 and their resulting cancellation </w:t>
      </w:r>
      <w:r w:rsidR="009E36A2">
        <w:t xml:space="preserve">meant that Livingbridge took </w:t>
      </w:r>
      <w:r w:rsidR="008203D1">
        <w:t>majority control of the Company with</w:t>
      </w:r>
      <w:r w:rsidR="009E36A2">
        <w:t xml:space="preserve"> </w:t>
      </w:r>
      <w:r w:rsidR="008203D1">
        <w:t>no further investment</w:t>
      </w:r>
      <w:r w:rsidR="009E36A2">
        <w:t xml:space="preserve">.  </w:t>
      </w:r>
      <w:r w:rsidR="00B17FA5">
        <w:t xml:space="preserve">As the </w:t>
      </w:r>
      <w:r w:rsidR="008203D1">
        <w:t xml:space="preserve">catalyst for this </w:t>
      </w:r>
      <w:r w:rsidR="007B77F0">
        <w:t xml:space="preserve">was in fact the </w:t>
      </w:r>
      <w:r w:rsidR="002F736A">
        <w:t>Claimants’ wrongful dismissal by the Company</w:t>
      </w:r>
      <w:r w:rsidR="00F9649E">
        <w:t xml:space="preserve">, Mr Leiper </w:t>
      </w:r>
      <w:r w:rsidR="00BF01E9">
        <w:t xml:space="preserve">had </w:t>
      </w:r>
      <w:r w:rsidR="00F9649E">
        <w:t>observed that</w:t>
      </w:r>
      <w:r w:rsidR="002F736A">
        <w:t xml:space="preserve"> </w:t>
      </w:r>
      <w:r w:rsidR="00B246C5">
        <w:t xml:space="preserve">this would </w:t>
      </w:r>
      <w:r w:rsidR="008203D1">
        <w:t>allow for the most</w:t>
      </w:r>
      <w:r w:rsidR="00B246C5">
        <w:t xml:space="preserve"> </w:t>
      </w:r>
      <w:r w:rsidR="008203D1">
        <w:t xml:space="preserve">unscrupulous conduct by </w:t>
      </w:r>
      <w:r w:rsidR="00B246C5">
        <w:t xml:space="preserve">the private equity investors.  </w:t>
      </w:r>
    </w:p>
    <w:p w14:paraId="2D51616E" w14:textId="722AEE0A" w:rsidR="008203D1" w:rsidRDefault="005001A8" w:rsidP="00EF2FE7">
      <w:pPr>
        <w:pStyle w:val="ParaLevel1"/>
      </w:pPr>
      <w:r>
        <w:t>Further, t</w:t>
      </w:r>
      <w:r w:rsidR="00F018AE">
        <w:t xml:space="preserve">he judge’s construction </w:t>
      </w:r>
      <w:r w:rsidR="00511FE2">
        <w:t xml:space="preserve">also meant that the Claimants were worse off than if </w:t>
      </w:r>
      <w:r w:rsidR="008203D1">
        <w:t xml:space="preserve">they </w:t>
      </w:r>
      <w:r w:rsidR="009447CB">
        <w:t xml:space="preserve">had </w:t>
      </w:r>
      <w:r w:rsidR="00951D72">
        <w:t xml:space="preserve">each </w:t>
      </w:r>
      <w:r w:rsidR="009447CB">
        <w:t>been</w:t>
      </w:r>
      <w:r w:rsidR="00951D72">
        <w:t xml:space="preserve"> a</w:t>
      </w:r>
      <w:r w:rsidR="009447CB">
        <w:t xml:space="preserve"> </w:t>
      </w:r>
      <w:r w:rsidR="008203D1" w:rsidRPr="000C40BE">
        <w:t>Resignation Leaver</w:t>
      </w:r>
      <w:r w:rsidR="000F3F8F">
        <w:t xml:space="preserve"> or </w:t>
      </w:r>
      <w:r w:rsidR="000F3F8F" w:rsidRPr="000C40BE">
        <w:t>Other Leaver</w:t>
      </w:r>
      <w:r w:rsidR="009447CB">
        <w:t xml:space="preserve">.  Under the provisions of </w:t>
      </w:r>
      <w:r w:rsidR="000F3F8F">
        <w:t>the A</w:t>
      </w:r>
      <w:r w:rsidR="009447CB">
        <w:t>rticle</w:t>
      </w:r>
      <w:r w:rsidR="000F3F8F">
        <w:t>s</w:t>
      </w:r>
      <w:r w:rsidR="009447CB">
        <w:t xml:space="preserve"> (</w:t>
      </w:r>
      <w:r w:rsidR="0095558A">
        <w:t>see Section C above</w:t>
      </w:r>
      <w:r w:rsidR="009447CB">
        <w:t xml:space="preserve">) </w:t>
      </w:r>
      <w:r w:rsidR="006422C0">
        <w:t>they would</w:t>
      </w:r>
      <w:r w:rsidR="00611222">
        <w:t xml:space="preserve"> in that eventuality have</w:t>
      </w:r>
      <w:r w:rsidR="006422C0">
        <w:t xml:space="preserve"> receive</w:t>
      </w:r>
      <w:r w:rsidR="00611222">
        <w:t>d</w:t>
      </w:r>
      <w:r w:rsidR="006422C0">
        <w:t xml:space="preserve"> </w:t>
      </w:r>
      <w:r w:rsidR="009B05EF">
        <w:t xml:space="preserve">a return of a fraction of the nominal value of their </w:t>
      </w:r>
      <w:r w:rsidR="00D00425">
        <w:t xml:space="preserve">respective holdings of 9 million C Shares and a fraction of Market Value, </w:t>
      </w:r>
      <w:r w:rsidR="00853197">
        <w:t xml:space="preserve">according to the timing of their </w:t>
      </w:r>
      <w:r w:rsidR="00611222">
        <w:t>departure from the Company</w:t>
      </w:r>
      <w:r w:rsidR="002F1C95">
        <w:t xml:space="preserve">.  </w:t>
      </w:r>
      <w:r w:rsidR="006E25A1">
        <w:t>It</w:t>
      </w:r>
      <w:r w:rsidR="002F1C95">
        <w:t xml:space="preserve"> is clear (particularly from the Other Leaver provisions in article 18.3.3</w:t>
      </w:r>
      <w:r w:rsidR="00BE058F">
        <w:t xml:space="preserve">) that </w:t>
      </w:r>
      <w:r w:rsidR="006E25A1">
        <w:t>such a valuation would be</w:t>
      </w:r>
      <w:r w:rsidR="00AF0339">
        <w:t xml:space="preserve"> </w:t>
      </w:r>
      <w:r w:rsidR="006E25A1">
        <w:t xml:space="preserve">less than Market Value. However, on the </w:t>
      </w:r>
      <w:r w:rsidR="00AF0339">
        <w:t xml:space="preserve">analysis in the Quantum Judgment, </w:t>
      </w:r>
      <w:r w:rsidR="006E25A1">
        <w:t>the</w:t>
      </w:r>
      <w:r w:rsidR="00AF0339">
        <w:t xml:space="preserve"> </w:t>
      </w:r>
      <w:r w:rsidR="006E25A1">
        <w:t>Claimants would have been better off had they resigned than had they been wrongfully dismissed</w:t>
      </w:r>
      <w:r w:rsidR="006B0F3D">
        <w:t xml:space="preserve">.  </w:t>
      </w:r>
      <w:r w:rsidR="00B87884">
        <w:t>T</w:t>
      </w:r>
      <w:r w:rsidR="006E25A1">
        <w:t xml:space="preserve">hey would </w:t>
      </w:r>
      <w:r w:rsidR="00B87884">
        <w:t xml:space="preserve">also be </w:t>
      </w:r>
      <w:r w:rsidR="006E25A1">
        <w:t>in the same position</w:t>
      </w:r>
      <w:r w:rsidR="00B87884">
        <w:t xml:space="preserve"> </w:t>
      </w:r>
      <w:r w:rsidR="006E25A1">
        <w:t xml:space="preserve">whether they were </w:t>
      </w:r>
      <w:r w:rsidR="00B87884">
        <w:t>Go</w:t>
      </w:r>
      <w:r w:rsidR="006E25A1">
        <w:t xml:space="preserve">od </w:t>
      </w:r>
      <w:r w:rsidR="00B87884">
        <w:t>Leavers or B</w:t>
      </w:r>
      <w:r w:rsidR="006E25A1">
        <w:t xml:space="preserve">ad </w:t>
      </w:r>
      <w:r w:rsidR="00A17037">
        <w:t>L</w:t>
      </w:r>
      <w:r w:rsidR="006E25A1">
        <w:t>eavers unless the Company achieved a</w:t>
      </w:r>
      <w:r w:rsidR="00A17037">
        <w:t xml:space="preserve"> </w:t>
      </w:r>
      <w:r w:rsidR="006E25A1">
        <w:t>certain value</w:t>
      </w:r>
      <w:r w:rsidR="00A17037">
        <w:t xml:space="preserve">.  </w:t>
      </w:r>
    </w:p>
    <w:p w14:paraId="40A91B6C" w14:textId="46291C3D" w:rsidR="00A17037" w:rsidRDefault="00DD67EC" w:rsidP="00EF2FE7">
      <w:pPr>
        <w:pStyle w:val="ParaLevel1"/>
      </w:pPr>
      <w:r>
        <w:t xml:space="preserve">In the Quantum Judgment, </w:t>
      </w:r>
      <w:r w:rsidR="00AB6C60">
        <w:t xml:space="preserve">Mrs Justice May </w:t>
      </w:r>
      <w:r>
        <w:t xml:space="preserve">recited </w:t>
      </w:r>
      <w:r w:rsidR="00B63472">
        <w:t>the argument</w:t>
      </w:r>
      <w:r w:rsidR="00723958">
        <w:t>s</w:t>
      </w:r>
      <w:r w:rsidR="00B63472">
        <w:t xml:space="preserve"> based upon commercial absurdity and the Company’s </w:t>
      </w:r>
      <w:r w:rsidR="00046E83">
        <w:t xml:space="preserve">competing submission that it </w:t>
      </w:r>
      <w:r>
        <w:t>did not justify the court in “reading down” the clear wording</w:t>
      </w:r>
      <w:r w:rsidR="00046E83">
        <w:t xml:space="preserve"> of </w:t>
      </w:r>
      <w:r w:rsidR="00903CAA">
        <w:t xml:space="preserve">article 18.4.1.  </w:t>
      </w:r>
      <w:r w:rsidR="00BE365F">
        <w:t>The judge</w:t>
      </w:r>
      <w:r w:rsidR="00903CAA">
        <w:t xml:space="preserve"> </w:t>
      </w:r>
      <w:r w:rsidR="00BE209F">
        <w:t>did not address it beyond saying that</w:t>
      </w:r>
      <w:r w:rsidR="0001658B">
        <w:t xml:space="preserve">, in the end, she returned to the wording of that provision.  For my part, </w:t>
      </w:r>
      <w:r w:rsidR="00D776E6">
        <w:t xml:space="preserve">I find the </w:t>
      </w:r>
      <w:r w:rsidR="00B33D6B">
        <w:t xml:space="preserve">argument </w:t>
      </w:r>
      <w:r w:rsidR="00525B96">
        <w:t xml:space="preserve">- </w:t>
      </w:r>
      <w:r w:rsidR="000811EF">
        <w:t>in particular the incongruity between that provision and articles 18.3.3-4</w:t>
      </w:r>
      <w:r w:rsidR="00525B96">
        <w:t xml:space="preserve"> - </w:t>
      </w:r>
      <w:r w:rsidR="000811EF">
        <w:t>more persuasive.</w:t>
      </w:r>
      <w:r w:rsidR="00D776E6">
        <w:t xml:space="preserve"> </w:t>
      </w:r>
    </w:p>
    <w:p w14:paraId="2CC8EFD8" w14:textId="577A00E7" w:rsidR="00656452" w:rsidRDefault="00654BCD" w:rsidP="00EF2FE7">
      <w:pPr>
        <w:pStyle w:val="ParaLevel1"/>
      </w:pPr>
      <w:r>
        <w:t xml:space="preserve">In reaching </w:t>
      </w:r>
      <w:r w:rsidR="0050125B">
        <w:t>my</w:t>
      </w:r>
      <w:r>
        <w:t xml:space="preserve"> contrary conclusio</w:t>
      </w:r>
      <w:r w:rsidR="00034130">
        <w:t xml:space="preserve">n on the meaning of </w:t>
      </w:r>
      <w:r w:rsidR="00E34BD1">
        <w:t>a</w:t>
      </w:r>
      <w:r w:rsidR="007B4295">
        <w:t xml:space="preserve">rticle 18.4.1, </w:t>
      </w:r>
      <w:r w:rsidR="00F82F00">
        <w:t>I have been troubled by the phrase “</w:t>
      </w:r>
      <w:r w:rsidR="00F82F00" w:rsidRPr="00F82F00">
        <w:rPr>
          <w:i/>
          <w:iCs/>
        </w:rPr>
        <w:t>in accordance with these Articles</w:t>
      </w:r>
      <w:r w:rsidR="00F82F00">
        <w:t>” as highlighted by Mr Leiper QC.</w:t>
      </w:r>
      <w:r w:rsidR="00FF6ED4">
        <w:t xml:space="preserve"> </w:t>
      </w:r>
      <w:r w:rsidR="00A74968">
        <w:t xml:space="preserve"> </w:t>
      </w:r>
      <w:r w:rsidR="00F82F00">
        <w:t xml:space="preserve">As I </w:t>
      </w:r>
      <w:r w:rsidR="00DE19F3">
        <w:t xml:space="preserve">mentioned above, </w:t>
      </w:r>
      <w:r w:rsidR="005F76D4">
        <w:t xml:space="preserve">my instinctive reaction </w:t>
      </w:r>
      <w:r w:rsidR="007B4295">
        <w:t xml:space="preserve">at the hearing </w:t>
      </w:r>
      <w:r w:rsidR="005F76D4">
        <w:t xml:space="preserve">was to </w:t>
      </w:r>
      <w:r w:rsidR="00A9365C">
        <w:t xml:space="preserve">think this might relate to some other provision in the Articles touching upon the </w:t>
      </w:r>
      <w:r w:rsidR="00B629D6">
        <w:t>procedure or mechanics</w:t>
      </w:r>
      <w:r w:rsidR="0040518F">
        <w:t xml:space="preserve"> of a</w:t>
      </w:r>
      <w:r w:rsidR="00857575">
        <w:t xml:space="preserve">n authorised </w:t>
      </w:r>
      <w:r w:rsidR="0040518F">
        <w:t xml:space="preserve">sale of the </w:t>
      </w:r>
      <w:r w:rsidR="00BB475E">
        <w:t xml:space="preserve">Company’s entire shareholding when </w:t>
      </w:r>
      <w:r w:rsidR="0063798B">
        <w:t>in fact there appears to be no obvious candidate.</w:t>
      </w:r>
      <w:r w:rsidR="00C304D3">
        <w:t xml:space="preserve"> They are a puzzlement.</w:t>
      </w:r>
      <w:r w:rsidR="0063798B">
        <w:t xml:space="preserve">  Nevertheless, </w:t>
      </w:r>
      <w:r w:rsidR="00860812">
        <w:t xml:space="preserve">for the reasons </w:t>
      </w:r>
      <w:r w:rsidR="002F4170">
        <w:t xml:space="preserve">given above </w:t>
      </w:r>
      <w:r w:rsidR="0063798B">
        <w:t xml:space="preserve">I do </w:t>
      </w:r>
      <w:r w:rsidR="003A1774">
        <w:t>not consider that the</w:t>
      </w:r>
      <w:r w:rsidR="00234A3B">
        <w:t>se</w:t>
      </w:r>
      <w:r w:rsidR="003A1774">
        <w:t xml:space="preserve"> words justify </w:t>
      </w:r>
      <w:r w:rsidR="00792485">
        <w:t xml:space="preserve">the </w:t>
      </w:r>
      <w:r w:rsidR="00234A3B">
        <w:t xml:space="preserve">prior </w:t>
      </w:r>
      <w:r w:rsidR="00792485">
        <w:t xml:space="preserve">valuation being informed by article 13.3, any more than </w:t>
      </w:r>
      <w:r w:rsidR="00860812">
        <w:t xml:space="preserve">it should be by </w:t>
      </w:r>
      <w:r w:rsidR="001D25E7">
        <w:t xml:space="preserve">the </w:t>
      </w:r>
      <w:r w:rsidR="001D25E7" w:rsidRPr="001D25E7">
        <w:rPr>
          <w:i/>
          <w:iCs/>
        </w:rPr>
        <w:t>pari passu</w:t>
      </w:r>
      <w:r w:rsidR="001D25E7">
        <w:t xml:space="preserve"> provisions of </w:t>
      </w:r>
      <w:r w:rsidR="00860812">
        <w:t>article 13.2.</w:t>
      </w:r>
      <w:r w:rsidR="00F82F00">
        <w:t xml:space="preserve"> </w:t>
      </w:r>
    </w:p>
    <w:p w14:paraId="3130FB37" w14:textId="043F13C0" w:rsidR="002F4170" w:rsidRDefault="002F4170" w:rsidP="00EF2FE7">
      <w:pPr>
        <w:pStyle w:val="ParaLevel1"/>
      </w:pPr>
      <w:r>
        <w:t>There is also the point, highlighted by May J, that article 13</w:t>
      </w:r>
      <w:r w:rsidR="00DC67D1">
        <w:t>.3</w:t>
      </w:r>
      <w:r>
        <w:t xml:space="preserve"> was not </w:t>
      </w:r>
      <w:r w:rsidR="00A214B6">
        <w:t xml:space="preserve">included alongside the other “disregards” in the concluding </w:t>
      </w:r>
      <w:r w:rsidR="00BC7161">
        <w:t xml:space="preserve">words of article 18.4.1.  </w:t>
      </w:r>
      <w:r w:rsidR="006F6C27">
        <w:t xml:space="preserve">The omission formed a key part </w:t>
      </w:r>
      <w:r w:rsidR="001101D7">
        <w:t>of her reasoning</w:t>
      </w:r>
      <w:r w:rsidR="00BB0D50">
        <w:t xml:space="preserve">.  </w:t>
      </w:r>
      <w:r w:rsidR="006066AB">
        <w:t xml:space="preserve">For the reasons explained above, </w:t>
      </w:r>
      <w:r w:rsidR="004310B2">
        <w:t xml:space="preserve">I have concluded that </w:t>
      </w:r>
      <w:r w:rsidR="00C52AD0">
        <w:t xml:space="preserve">the potential impact of the RPP </w:t>
      </w:r>
      <w:r w:rsidR="009478E4">
        <w:t xml:space="preserve">on a distribution </w:t>
      </w:r>
      <w:r w:rsidR="00C52AD0">
        <w:t xml:space="preserve">should not encroach </w:t>
      </w:r>
      <w:r w:rsidR="009478E4">
        <w:t xml:space="preserve">anyway </w:t>
      </w:r>
      <w:r w:rsidR="00C52AD0">
        <w:t>upon the valuation process</w:t>
      </w:r>
      <w:r w:rsidR="004705C7">
        <w:t>,</w:t>
      </w:r>
      <w:r w:rsidR="00C52AD0">
        <w:t xml:space="preserve"> but I return </w:t>
      </w:r>
      <w:r w:rsidR="005D79E8">
        <w:t xml:space="preserve">below </w:t>
      </w:r>
      <w:r w:rsidR="00C52AD0">
        <w:t xml:space="preserve">to this point </w:t>
      </w:r>
      <w:r w:rsidR="005D79E8">
        <w:t xml:space="preserve">relied upon by her when </w:t>
      </w:r>
      <w:r w:rsidR="00C52AD0">
        <w:t>addressing the issue of liability.</w:t>
      </w:r>
      <w:r w:rsidR="00DC67D1">
        <w:t xml:space="preserve"> </w:t>
      </w:r>
      <w:r w:rsidR="00186883">
        <w:t xml:space="preserve"> </w:t>
      </w:r>
    </w:p>
    <w:p w14:paraId="11D0439F" w14:textId="77777777" w:rsidR="00FD3DDA" w:rsidRDefault="00FD3DDA" w:rsidP="00EF2FE7">
      <w:pPr>
        <w:pStyle w:val="ListParagraph"/>
      </w:pPr>
    </w:p>
    <w:p w14:paraId="55055387" w14:textId="2608327B" w:rsidR="00525B96" w:rsidRPr="00525B96" w:rsidRDefault="00D23D9D" w:rsidP="00EF2FE7">
      <w:pPr>
        <w:pStyle w:val="ParaLevel1"/>
        <w:numPr>
          <w:ilvl w:val="0"/>
          <w:numId w:val="0"/>
        </w:numPr>
        <w:ind w:left="720" w:hanging="720"/>
        <w:rPr>
          <w:b/>
          <w:bCs/>
          <w:u w:val="single"/>
        </w:rPr>
      </w:pPr>
      <w:r>
        <w:rPr>
          <w:b/>
          <w:bCs/>
          <w:u w:val="single"/>
        </w:rPr>
        <w:t>K.</w:t>
      </w:r>
      <w:r>
        <w:rPr>
          <w:b/>
          <w:bCs/>
          <w:u w:val="single"/>
        </w:rPr>
        <w:tab/>
        <w:t>F</w:t>
      </w:r>
      <w:r w:rsidR="000A387E">
        <w:rPr>
          <w:b/>
          <w:bCs/>
          <w:u w:val="single"/>
        </w:rPr>
        <w:t>INDING</w:t>
      </w:r>
      <w:r>
        <w:rPr>
          <w:b/>
          <w:bCs/>
          <w:u w:val="single"/>
        </w:rPr>
        <w:t xml:space="preserve">S ON  </w:t>
      </w:r>
      <w:r w:rsidR="00525B96" w:rsidRPr="00525B96">
        <w:rPr>
          <w:b/>
          <w:bCs/>
          <w:u w:val="single"/>
        </w:rPr>
        <w:t>L</w:t>
      </w:r>
      <w:r w:rsidR="001D35F1">
        <w:rPr>
          <w:b/>
          <w:bCs/>
          <w:u w:val="single"/>
        </w:rPr>
        <w:t>IABILITY</w:t>
      </w:r>
    </w:p>
    <w:p w14:paraId="3AA31E09" w14:textId="6AD1638D" w:rsidR="00D61AAE" w:rsidRDefault="00D61AAE" w:rsidP="00EF2FE7">
      <w:pPr>
        <w:pStyle w:val="ParaLevel1"/>
      </w:pPr>
      <w:r>
        <w:t xml:space="preserve">The Firm puts much store by the point that the RPP was negotiated </w:t>
      </w:r>
      <w:r w:rsidR="00DB1854">
        <w:t xml:space="preserve">before </w:t>
      </w:r>
      <w:r w:rsidR="00F371A3">
        <w:t>it</w:t>
      </w:r>
      <w:r w:rsidR="00DB1854">
        <w:t xml:space="preserve"> </w:t>
      </w:r>
      <w:r w:rsidR="008A7F33">
        <w:t xml:space="preserve">was instructed.  It is said that </w:t>
      </w:r>
      <w:r w:rsidR="00D927C2">
        <w:t>this was part of the commercial negotiation between the Claimants and Knight, on the one hand, and Livin</w:t>
      </w:r>
      <w:r w:rsidR="00EC2AD7">
        <w:t>g</w:t>
      </w:r>
      <w:r w:rsidR="00D927C2">
        <w:t>bridge on the other.</w:t>
      </w:r>
    </w:p>
    <w:p w14:paraId="69221FB2" w14:textId="77777777" w:rsidR="00A94109" w:rsidRDefault="00A94109" w:rsidP="00EF2FE7">
      <w:pPr>
        <w:pStyle w:val="ParaLevel1"/>
      </w:pPr>
      <w:r>
        <w:t>The third phase of the work covered by Knight’s retainer dated 6 January 2014 was:</w:t>
      </w:r>
    </w:p>
    <w:p w14:paraId="5B74406D" w14:textId="5F97C684" w:rsidR="00D87D98" w:rsidRPr="00DC4438" w:rsidRDefault="002B06DE" w:rsidP="00EF2FE7">
      <w:pPr>
        <w:pStyle w:val="ParaLevel1"/>
        <w:numPr>
          <w:ilvl w:val="0"/>
          <w:numId w:val="0"/>
        </w:numPr>
        <w:ind w:left="1134"/>
        <w:rPr>
          <w:i/>
          <w:iCs/>
        </w:rPr>
      </w:pPr>
      <w:r>
        <w:t>“</w:t>
      </w:r>
      <w:r w:rsidR="00A94109" w:rsidRPr="00DC4438">
        <w:rPr>
          <w:i/>
          <w:iCs/>
        </w:rPr>
        <w:t>Phase Three: Heads of Terms to Completion</w:t>
      </w:r>
    </w:p>
    <w:p w14:paraId="7EEA1BAC" w14:textId="53F241E6" w:rsidR="00A94109" w:rsidRPr="00DC4438" w:rsidRDefault="00A94109" w:rsidP="00EF2FE7">
      <w:pPr>
        <w:pStyle w:val="ParaLevel1"/>
        <w:numPr>
          <w:ilvl w:val="0"/>
          <w:numId w:val="0"/>
        </w:numPr>
        <w:ind w:left="1134"/>
        <w:rPr>
          <w:i/>
          <w:iCs/>
        </w:rPr>
      </w:pPr>
      <w:r w:rsidRPr="00DC4438">
        <w:rPr>
          <w:i/>
          <w:iCs/>
        </w:rPr>
        <w:t>We will review the heads of terms offered by the preferred buyer and offer advice on key</w:t>
      </w:r>
      <w:r w:rsidR="00D87D98" w:rsidRPr="00DC4438">
        <w:rPr>
          <w:i/>
          <w:iCs/>
        </w:rPr>
        <w:t xml:space="preserve"> </w:t>
      </w:r>
      <w:r w:rsidRPr="00DC4438">
        <w:rPr>
          <w:i/>
          <w:iCs/>
        </w:rPr>
        <w:t>terms and timetable. Once heads of terms have been agreed we will set out a detailed</w:t>
      </w:r>
      <w:r w:rsidR="00D87D98" w:rsidRPr="00DC4438">
        <w:rPr>
          <w:i/>
          <w:iCs/>
        </w:rPr>
        <w:t xml:space="preserve"> </w:t>
      </w:r>
      <w:r w:rsidRPr="00DC4438">
        <w:rPr>
          <w:i/>
          <w:iCs/>
        </w:rPr>
        <w:t>timetable for the transaction and await the buyer to commence formal documentation.</w:t>
      </w:r>
      <w:r w:rsidR="00D87D98" w:rsidRPr="00DC4438">
        <w:rPr>
          <w:i/>
          <w:iCs/>
        </w:rPr>
        <w:t xml:space="preserve"> </w:t>
      </w:r>
      <w:r w:rsidRPr="00DC4438">
        <w:rPr>
          <w:i/>
          <w:iCs/>
        </w:rPr>
        <w:t>We will assist in the due diligence process to ensure that any requirements of a prospective</w:t>
      </w:r>
      <w:r w:rsidR="00D87D98" w:rsidRPr="00DC4438">
        <w:rPr>
          <w:i/>
          <w:iCs/>
        </w:rPr>
        <w:t xml:space="preserve"> </w:t>
      </w:r>
      <w:r w:rsidRPr="00DC4438">
        <w:rPr>
          <w:i/>
          <w:iCs/>
        </w:rPr>
        <w:t>purchaser can be met with minimum disruption to IPS and will provide a secure electronic</w:t>
      </w:r>
      <w:r w:rsidR="00D87D98" w:rsidRPr="00DC4438">
        <w:rPr>
          <w:i/>
          <w:iCs/>
        </w:rPr>
        <w:t xml:space="preserve"> </w:t>
      </w:r>
      <w:r w:rsidRPr="00DC4438">
        <w:rPr>
          <w:i/>
          <w:iCs/>
        </w:rPr>
        <w:t>data-room to host any information. We will liaise with the legal advisers to ensure that the</w:t>
      </w:r>
      <w:r w:rsidR="002B06DE" w:rsidRPr="00DC4438">
        <w:rPr>
          <w:i/>
          <w:iCs/>
        </w:rPr>
        <w:t xml:space="preserve"> </w:t>
      </w:r>
      <w:r w:rsidRPr="00DC4438">
        <w:rPr>
          <w:i/>
          <w:iCs/>
        </w:rPr>
        <w:t>deal progresses smoothly and provide support and input into the asset purchase agreement</w:t>
      </w:r>
      <w:r w:rsidR="002B06DE" w:rsidRPr="00DC4438">
        <w:rPr>
          <w:i/>
          <w:iCs/>
        </w:rPr>
        <w:t xml:space="preserve"> </w:t>
      </w:r>
      <w:r w:rsidRPr="00DC4438">
        <w:rPr>
          <w:i/>
          <w:iCs/>
        </w:rPr>
        <w:t>as required with a view to maximising value, minimising your deal costs and completing the</w:t>
      </w:r>
      <w:r w:rsidR="002B06DE" w:rsidRPr="00DC4438">
        <w:rPr>
          <w:i/>
          <w:iCs/>
        </w:rPr>
        <w:t xml:space="preserve"> </w:t>
      </w:r>
      <w:r w:rsidRPr="00DC4438">
        <w:rPr>
          <w:i/>
          <w:iCs/>
        </w:rPr>
        <w:t>transaction within the agreed timetable.</w:t>
      </w:r>
      <w:r w:rsidR="002B06DE" w:rsidRPr="00DC4438">
        <w:rPr>
          <w:i/>
          <w:iCs/>
        </w:rPr>
        <w:t>”</w:t>
      </w:r>
      <w:r w:rsidRPr="00DC4438">
        <w:rPr>
          <w:i/>
          <w:iCs/>
        </w:rPr>
        <w:t xml:space="preserve"> </w:t>
      </w:r>
    </w:p>
    <w:p w14:paraId="272E1BE6" w14:textId="568ECB81" w:rsidR="00E9579F" w:rsidRDefault="00E9579F" w:rsidP="00EF2FE7">
      <w:pPr>
        <w:pStyle w:val="ParaLevel1"/>
      </w:pPr>
      <w:r>
        <w:t>The RPP was agreed in principle</w:t>
      </w:r>
      <w:r w:rsidR="001E74AC">
        <w:t xml:space="preserve">, in place of the proposal that the Claimants’ equity in the </w:t>
      </w:r>
      <w:r w:rsidR="0064692C">
        <w:t xml:space="preserve">Company should be the source of any future sweet equity for others, in </w:t>
      </w:r>
      <w:r w:rsidR="00EF06BD">
        <w:t xml:space="preserve">a </w:t>
      </w:r>
      <w:r w:rsidR="0064692C">
        <w:t xml:space="preserve">discussion between Knight and </w:t>
      </w:r>
      <w:r w:rsidR="00EF06BD">
        <w:t>Livingbridge on 19 September 2014.</w:t>
      </w:r>
      <w:r w:rsidR="0064692C">
        <w:t xml:space="preserve"> </w:t>
      </w:r>
      <w:r w:rsidR="00BF2BA5">
        <w:t xml:space="preserve">On </w:t>
      </w:r>
      <w:r w:rsidR="009D6656">
        <w:t>22 September</w:t>
      </w:r>
      <w:r w:rsidR="0062098E">
        <w:t xml:space="preserve">, Ms Cockburn sent an email which summarised further discussions </w:t>
      </w:r>
      <w:r w:rsidR="00EF429D">
        <w:t xml:space="preserve">that morning </w:t>
      </w:r>
      <w:r w:rsidR="0062098E">
        <w:t xml:space="preserve">around the RPP </w:t>
      </w:r>
      <w:r w:rsidR="003605BD">
        <w:t>with forecast figures designed to show</w:t>
      </w:r>
      <w:r w:rsidR="00BC288A">
        <w:t xml:space="preserve"> “</w:t>
      </w:r>
      <w:r w:rsidR="00BC288A" w:rsidRPr="00BC288A">
        <w:rPr>
          <w:i/>
          <w:iCs/>
        </w:rPr>
        <w:t>[</w:t>
      </w:r>
      <w:r w:rsidR="003605BD" w:rsidRPr="00BC288A">
        <w:rPr>
          <w:i/>
          <w:iCs/>
        </w:rPr>
        <w:t>T</w:t>
      </w:r>
      <w:r w:rsidR="00BC288A" w:rsidRPr="00BC288A">
        <w:rPr>
          <w:i/>
          <w:iCs/>
        </w:rPr>
        <w:t>]</w:t>
      </w:r>
      <w:r w:rsidR="003605BD" w:rsidRPr="00BC288A">
        <w:rPr>
          <w:i/>
          <w:iCs/>
        </w:rPr>
        <w:t>he EV that is required before the redemption premium falls away will depend on the returns</w:t>
      </w:r>
      <w:r w:rsidR="00BC288A" w:rsidRPr="00BC288A">
        <w:rPr>
          <w:i/>
          <w:iCs/>
        </w:rPr>
        <w:t xml:space="preserve"> </w:t>
      </w:r>
      <w:r w:rsidR="003605BD" w:rsidRPr="00BC288A">
        <w:rPr>
          <w:i/>
          <w:iCs/>
        </w:rPr>
        <w:t>Isis has received through the life of the deal plus the amount of cash/net debt in the business</w:t>
      </w:r>
      <w:r w:rsidR="00BC288A" w:rsidRPr="00BC288A">
        <w:rPr>
          <w:i/>
          <w:iCs/>
        </w:rPr>
        <w:t xml:space="preserve"> </w:t>
      </w:r>
      <w:r w:rsidR="003605BD" w:rsidRPr="00BC288A">
        <w:rPr>
          <w:i/>
          <w:iCs/>
        </w:rPr>
        <w:t>at exit</w:t>
      </w:r>
      <w:r w:rsidR="00BC288A">
        <w:t>”.</w:t>
      </w:r>
    </w:p>
    <w:p w14:paraId="404DE269" w14:textId="725A9A52" w:rsidR="00277742" w:rsidRDefault="0009307B" w:rsidP="00EF2FE7">
      <w:pPr>
        <w:pStyle w:val="ParaLevel1"/>
      </w:pPr>
      <w:r>
        <w:t>By th</w:t>
      </w:r>
      <w:r w:rsidR="005F24BD">
        <w:t>at</w:t>
      </w:r>
      <w:r>
        <w:t xml:space="preserve"> stage the Firm had been retained and</w:t>
      </w:r>
      <w:r w:rsidR="005F24BD">
        <w:t xml:space="preserve"> Mr Crossley had provided some advice on the leaver provisions in the draft </w:t>
      </w:r>
      <w:r w:rsidR="00277742">
        <w:t>Heads of Terms which Livin</w:t>
      </w:r>
      <w:r w:rsidR="009E1156">
        <w:t>g</w:t>
      </w:r>
      <w:r w:rsidR="00277742">
        <w:t>bridge had earlier sent to Knight on 22 July 2014.</w:t>
      </w:r>
      <w:r w:rsidR="00940254">
        <w:t xml:space="preserve">  However, the Firm was not involved in the</w:t>
      </w:r>
      <w:r w:rsidR="00BC288A">
        <w:t>se</w:t>
      </w:r>
      <w:r w:rsidR="00940254">
        <w:t xml:space="preserve"> </w:t>
      </w:r>
      <w:r w:rsidR="00BF2BA5">
        <w:t>commercial negotiations over the RPP.</w:t>
      </w:r>
    </w:p>
    <w:p w14:paraId="47918A42" w14:textId="2C969BEC" w:rsidR="0009307B" w:rsidRDefault="0009307B" w:rsidP="00EF2FE7">
      <w:pPr>
        <w:pStyle w:val="ParaLevel1"/>
      </w:pPr>
      <w:r>
        <w:t xml:space="preserve"> </w:t>
      </w:r>
      <w:r w:rsidR="0095392F">
        <w:t xml:space="preserve">The Firm’s retainer letter dated </w:t>
      </w:r>
      <w:r w:rsidR="005B45FF">
        <w:t xml:space="preserve">19 August 2014 confirmed that </w:t>
      </w:r>
      <w:r w:rsidR="001627CA">
        <w:t>“[</w:t>
      </w:r>
      <w:r w:rsidR="001627CA" w:rsidRPr="001627CA">
        <w:rPr>
          <w:i/>
          <w:iCs/>
        </w:rPr>
        <w:t>W]e will advise in relation to Project Spur</w:t>
      </w:r>
      <w:r w:rsidR="001627CA">
        <w:t>” and that the services to be provided included “</w:t>
      </w:r>
      <w:r w:rsidR="001627CA" w:rsidRPr="001627CA">
        <w:rPr>
          <w:i/>
          <w:iCs/>
        </w:rPr>
        <w:t>reviewing and negotiating the investment agreement, newco articles of association and loan note instrument</w:t>
      </w:r>
      <w:r w:rsidR="001627CA">
        <w:t>.”</w:t>
      </w:r>
    </w:p>
    <w:p w14:paraId="1E601E1A" w14:textId="64334E40" w:rsidR="00746E69" w:rsidRDefault="00F42731" w:rsidP="00EF2FE7">
      <w:pPr>
        <w:pStyle w:val="ParaLevel1"/>
      </w:pPr>
      <w:r>
        <w:t xml:space="preserve">On </w:t>
      </w:r>
      <w:r w:rsidR="009707BF">
        <w:t>1 October 2014,</w:t>
      </w:r>
      <w:r w:rsidR="005D393B">
        <w:t xml:space="preserve"> </w:t>
      </w:r>
      <w:r w:rsidR="00F37A32">
        <w:t>Livingbridge’s solicitors, Olswang LLP, circulated drafts of the Sale and Purchase Agreement</w:t>
      </w:r>
      <w:r w:rsidR="004B3848">
        <w:t xml:space="preserve">, Tax Schedule, Investment Agreement and Loan Stock Instrument. </w:t>
      </w:r>
      <w:r w:rsidR="00D068DF">
        <w:t xml:space="preserve"> By an email of 3 October</w:t>
      </w:r>
      <w:r w:rsidR="007C7A03">
        <w:t xml:space="preserve"> 2014</w:t>
      </w:r>
      <w:r w:rsidR="00901CDA">
        <w:t xml:space="preserve">, </w:t>
      </w:r>
      <w:r w:rsidR="00D068DF">
        <w:t xml:space="preserve">Mr Crossley made some observations about these documents in anticipation of a later telephone call </w:t>
      </w:r>
      <w:r w:rsidR="00901CDA">
        <w:t>with the Claimants and Knight.</w:t>
      </w:r>
    </w:p>
    <w:p w14:paraId="28E8684E" w14:textId="3581787A" w:rsidR="001627CA" w:rsidRDefault="004B3848" w:rsidP="00EF2FE7">
      <w:pPr>
        <w:pStyle w:val="ParaLevel1"/>
      </w:pPr>
      <w:r>
        <w:t xml:space="preserve">Olswang </w:t>
      </w:r>
      <w:r w:rsidR="00746E69">
        <w:t xml:space="preserve">had </w:t>
      </w:r>
      <w:r>
        <w:t xml:space="preserve">said </w:t>
      </w:r>
      <w:r w:rsidR="00746E69">
        <w:t xml:space="preserve">on 1 October </w:t>
      </w:r>
      <w:r>
        <w:t xml:space="preserve">that the draft </w:t>
      </w:r>
      <w:r w:rsidR="004A140D">
        <w:t>a</w:t>
      </w:r>
      <w:r>
        <w:t>rticles for the Company would follow</w:t>
      </w:r>
      <w:r w:rsidR="00D3036F">
        <w:t xml:space="preserve"> once the share structure was finalised and that they anticipated </w:t>
      </w:r>
      <w:r w:rsidR="00D068DF">
        <w:t>only minor amendments to the Investment Agreement once it had been.</w:t>
      </w:r>
      <w:r w:rsidR="00901CDA">
        <w:t xml:space="preserve"> On 10 October 2014 they circulated the draft Articles.</w:t>
      </w:r>
    </w:p>
    <w:p w14:paraId="7102A605" w14:textId="3573DFA5" w:rsidR="00901CDA" w:rsidRDefault="00531FBA" w:rsidP="00EF2FE7">
      <w:pPr>
        <w:pStyle w:val="ParaLevel1"/>
      </w:pPr>
      <w:r>
        <w:t>By his email to the Claimants (and copied to M</w:t>
      </w:r>
      <w:r w:rsidR="00C14A39">
        <w:t xml:space="preserve">r Billingham and Ms Cockburn) </w:t>
      </w:r>
      <w:r w:rsidR="009E5213">
        <w:t xml:space="preserve">dated 14 October 2014, Mr Crossley provided his comments </w:t>
      </w:r>
      <w:r w:rsidR="00391047">
        <w:t xml:space="preserve">on the draft </w:t>
      </w:r>
      <w:r w:rsidR="004A140D">
        <w:t>a</w:t>
      </w:r>
      <w:r w:rsidR="00391047">
        <w:t xml:space="preserve">rticles </w:t>
      </w:r>
      <w:r w:rsidR="00DE2670">
        <w:t xml:space="preserve">and attached a copy of them duly marked up with the suggested changes.  He </w:t>
      </w:r>
      <w:r w:rsidR="009C72F9">
        <w:t>made a comment on the calculation of the Livingbridge investment amount for the purposes of the RPP</w:t>
      </w:r>
      <w:r w:rsidR="00F1794C">
        <w:t xml:space="preserve"> and </w:t>
      </w:r>
      <w:r w:rsidR="00DB3F44">
        <w:t>included within his other comments the following:</w:t>
      </w:r>
    </w:p>
    <w:p w14:paraId="7A770167" w14:textId="7D5EE230" w:rsidR="00DB3F44" w:rsidRDefault="00F34B27" w:rsidP="00EF2FE7">
      <w:pPr>
        <w:pStyle w:val="ParaLevel1"/>
        <w:numPr>
          <w:ilvl w:val="0"/>
          <w:numId w:val="0"/>
        </w:numPr>
        <w:ind w:left="1134"/>
        <w:rPr>
          <w:i/>
          <w:iCs/>
        </w:rPr>
      </w:pPr>
      <w:r>
        <w:rPr>
          <w:i/>
          <w:iCs/>
        </w:rPr>
        <w:t>“</w:t>
      </w:r>
      <w:r w:rsidR="00DB3F44" w:rsidRPr="00F34B27">
        <w:rPr>
          <w:i/>
          <w:iCs/>
        </w:rPr>
        <w:t xml:space="preserve">Share rights - Exit (article 13.3)-we have added a definition of Previous Distributions Amount so that this is taken into account when calculating the 2 x </w:t>
      </w:r>
      <w:r w:rsidR="001519CA">
        <w:rPr>
          <w:i/>
          <w:iCs/>
        </w:rPr>
        <w:t>I</w:t>
      </w:r>
      <w:r w:rsidR="00DB3F44" w:rsidRPr="00F34B27">
        <w:rPr>
          <w:i/>
          <w:iCs/>
        </w:rPr>
        <w:t>SIS Investment Amount for the B Shares. See also the amendment to ISIS Investment Amount referred to above.</w:t>
      </w:r>
    </w:p>
    <w:p w14:paraId="55294BFA" w14:textId="2F6C919D" w:rsidR="00F34B27" w:rsidRPr="00F34B27" w:rsidRDefault="00F34B27" w:rsidP="00EF2FE7">
      <w:pPr>
        <w:pStyle w:val="ParaLevel1"/>
        <w:numPr>
          <w:ilvl w:val="0"/>
          <w:numId w:val="0"/>
        </w:numPr>
        <w:ind w:left="1134"/>
        <w:rPr>
          <w:i/>
          <w:iCs/>
        </w:rPr>
      </w:pPr>
      <w:r>
        <w:rPr>
          <w:i/>
          <w:iCs/>
        </w:rPr>
        <w:t>……………..</w:t>
      </w:r>
    </w:p>
    <w:p w14:paraId="0D0E7992" w14:textId="356A1F51" w:rsidR="00F34B27" w:rsidRDefault="00DB3F44" w:rsidP="00EF2FE7">
      <w:pPr>
        <w:pStyle w:val="ParaLevel1"/>
        <w:numPr>
          <w:ilvl w:val="0"/>
          <w:numId w:val="0"/>
        </w:numPr>
        <w:ind w:left="1134"/>
        <w:rPr>
          <w:i/>
          <w:iCs/>
        </w:rPr>
      </w:pPr>
      <w:r w:rsidRPr="00F34B27">
        <w:rPr>
          <w:i/>
          <w:iCs/>
        </w:rPr>
        <w:t>Transfer arrangements - Market value (clause 18.4) - we have made this clear that no minority discount</w:t>
      </w:r>
      <w:r w:rsidR="00F34B27" w:rsidRPr="00F34B27">
        <w:rPr>
          <w:i/>
          <w:iCs/>
        </w:rPr>
        <w:t xml:space="preserve"> </w:t>
      </w:r>
      <w:r w:rsidRPr="00F34B27">
        <w:rPr>
          <w:i/>
          <w:iCs/>
        </w:rPr>
        <w:t>should be applied in determining the market value of a Leaver's shares</w:t>
      </w:r>
      <w:r w:rsidR="00192F1F">
        <w:rPr>
          <w:i/>
          <w:iCs/>
        </w:rPr>
        <w:t>”</w:t>
      </w:r>
    </w:p>
    <w:p w14:paraId="232217BD" w14:textId="7844E485" w:rsidR="00DB3F44" w:rsidRDefault="00114E2D" w:rsidP="00EF2FE7">
      <w:pPr>
        <w:pStyle w:val="ParaLevel1"/>
      </w:pPr>
      <w:r>
        <w:t xml:space="preserve">Mr Crossley’s annotations on the draft </w:t>
      </w:r>
      <w:r w:rsidR="000376FD">
        <w:t>a</w:t>
      </w:r>
      <w:r w:rsidR="004A140D">
        <w:t>rticles</w:t>
      </w:r>
      <w:r w:rsidR="00C27577">
        <w:t xml:space="preserve"> (“</w:t>
      </w:r>
      <w:r w:rsidR="00C27577" w:rsidRPr="00C27577">
        <w:rPr>
          <w:i/>
          <w:iCs/>
        </w:rPr>
        <w:t>sale of whole – no minority discount</w:t>
      </w:r>
      <w:r w:rsidR="00C27577">
        <w:t xml:space="preserve">”) </w:t>
      </w:r>
      <w:r w:rsidR="00C51CC4">
        <w:t xml:space="preserve">shows that </w:t>
      </w:r>
      <w:r w:rsidR="00974E4B">
        <w:t>the phrase “</w:t>
      </w:r>
      <w:r w:rsidR="00DB6BBA" w:rsidRPr="00974E4B">
        <w:rPr>
          <w:i/>
          <w:iCs/>
        </w:rPr>
        <w:t>as if the entire issued share capital of the Company were being sold</w:t>
      </w:r>
      <w:r w:rsidR="00EA42F9">
        <w:rPr>
          <w:i/>
          <w:iCs/>
        </w:rPr>
        <w:t>”</w:t>
      </w:r>
      <w:r w:rsidR="00974E4B">
        <w:t xml:space="preserve"> </w:t>
      </w:r>
      <w:r w:rsidR="00476349">
        <w:t xml:space="preserve">in </w:t>
      </w:r>
      <w:r w:rsidR="000376FD">
        <w:t>a</w:t>
      </w:r>
      <w:r w:rsidR="00476349">
        <w:t xml:space="preserve">rticle 18.4.1 </w:t>
      </w:r>
      <w:r w:rsidR="00974E4B">
        <w:t xml:space="preserve">as well as the disregard of </w:t>
      </w:r>
      <w:r w:rsidR="00476349">
        <w:t>any minority discount emanated from him</w:t>
      </w:r>
      <w:r w:rsidR="008C5E91">
        <w:t xml:space="preserve"> (F/117).</w:t>
      </w:r>
    </w:p>
    <w:p w14:paraId="734B443C" w14:textId="778DD319" w:rsidR="00476349" w:rsidRDefault="000376FD" w:rsidP="00EF2FE7">
      <w:pPr>
        <w:pStyle w:val="ParaLevel1"/>
      </w:pPr>
      <w:r>
        <w:t>Olswang further amended the draft</w:t>
      </w:r>
      <w:r w:rsidR="00151DC0">
        <w:t xml:space="preserve"> articles</w:t>
      </w:r>
      <w:r w:rsidR="00131A6F">
        <w:t xml:space="preserve"> on </w:t>
      </w:r>
      <w:r w:rsidR="00993092">
        <w:t>3 November 2014 (F/</w:t>
      </w:r>
      <w:r w:rsidR="001823D0">
        <w:t>170)</w:t>
      </w:r>
      <w:r w:rsidR="00151DC0">
        <w:t xml:space="preserve">.  </w:t>
      </w:r>
      <w:r w:rsidR="008E11CC">
        <w:t>They</w:t>
      </w:r>
      <w:r w:rsidR="00A32B51">
        <w:t xml:space="preserve"> </w:t>
      </w:r>
      <w:r w:rsidR="00101975">
        <w:t xml:space="preserve">had </w:t>
      </w:r>
      <w:r w:rsidR="00A32B51">
        <w:t>included</w:t>
      </w:r>
      <w:r w:rsidR="0021230E">
        <w:t xml:space="preserve"> (</w:t>
      </w:r>
      <w:r w:rsidR="00A32B51">
        <w:t>and highlighted b</w:t>
      </w:r>
      <w:r w:rsidR="00151DC0">
        <w:t xml:space="preserve">y underlining </w:t>
      </w:r>
      <w:r w:rsidR="001259CF">
        <w:t xml:space="preserve">them </w:t>
      </w:r>
      <w:r w:rsidR="00151DC0">
        <w:t xml:space="preserve">within </w:t>
      </w:r>
      <w:r w:rsidR="002B5EA3">
        <w:t xml:space="preserve">the draft </w:t>
      </w:r>
      <w:r w:rsidR="00151DC0">
        <w:t>article 18.4.1</w:t>
      </w:r>
      <w:r w:rsidR="0021230E">
        <w:t>)</w:t>
      </w:r>
      <w:r w:rsidR="00151DC0">
        <w:t xml:space="preserve"> </w:t>
      </w:r>
      <w:r w:rsidR="006C5702">
        <w:t>the</w:t>
      </w:r>
      <w:r w:rsidR="00346D0A">
        <w:t xml:space="preserve"> addition</w:t>
      </w:r>
      <w:r w:rsidR="006C5702">
        <w:t>al</w:t>
      </w:r>
      <w:r w:rsidR="00346D0A">
        <w:t xml:space="preserve"> the words “</w:t>
      </w:r>
      <w:r w:rsidR="00346D0A" w:rsidRPr="003F697C">
        <w:rPr>
          <w:i/>
          <w:iCs/>
        </w:rPr>
        <w:t>in accordance with these Articles</w:t>
      </w:r>
      <w:r w:rsidR="00346D0A">
        <w:t>”</w:t>
      </w:r>
      <w:r w:rsidR="003F697C">
        <w:t xml:space="preserve"> </w:t>
      </w:r>
      <w:r w:rsidR="00EB6D7A">
        <w:t xml:space="preserve">at the end of the phrase just quoted </w:t>
      </w:r>
      <w:r w:rsidR="005E1E16">
        <w:t>(</w:t>
      </w:r>
      <w:r w:rsidR="00CB57FF">
        <w:t>F/5123</w:t>
      </w:r>
      <w:r w:rsidR="00C86E16">
        <w:t xml:space="preserve"> and </w:t>
      </w:r>
      <w:r w:rsidR="005E1E16">
        <w:t>F/155)</w:t>
      </w:r>
      <w:r w:rsidR="003F697C">
        <w:t xml:space="preserve">. </w:t>
      </w:r>
      <w:r w:rsidR="00E00AA6" w:rsidRPr="00E00AA6">
        <w:t>Th</w:t>
      </w:r>
      <w:r w:rsidR="00101975">
        <w:t xml:space="preserve">ose words </w:t>
      </w:r>
      <w:r w:rsidR="00E00AA6" w:rsidRPr="00E00AA6">
        <w:t>had not been included in the preceding draft of 30 October 2014 (</w:t>
      </w:r>
      <w:r w:rsidR="00C27367">
        <w:t xml:space="preserve">compare F/4332, </w:t>
      </w:r>
      <w:r w:rsidR="00E00AA6" w:rsidRPr="00E00AA6">
        <w:t xml:space="preserve">F/5619 and F/5716). </w:t>
      </w:r>
      <w:r w:rsidR="003F697C">
        <w:t xml:space="preserve"> </w:t>
      </w:r>
      <w:r w:rsidR="00DB3C49">
        <w:t xml:space="preserve">By the </w:t>
      </w:r>
      <w:r w:rsidR="00F62C2D">
        <w:t>“</w:t>
      </w:r>
      <w:r w:rsidR="00F62C2D" w:rsidRPr="00841F60">
        <w:rPr>
          <w:i/>
          <w:iCs/>
        </w:rPr>
        <w:t>CRS Comment</w:t>
      </w:r>
      <w:r w:rsidR="00062D50" w:rsidRPr="00841F60">
        <w:rPr>
          <w:i/>
          <w:iCs/>
        </w:rPr>
        <w:t>s</w:t>
      </w:r>
      <w:r w:rsidR="00F109BE" w:rsidRPr="00841F60">
        <w:rPr>
          <w:i/>
          <w:iCs/>
        </w:rPr>
        <w:t>:</w:t>
      </w:r>
      <w:r w:rsidR="00062D50" w:rsidRPr="00841F60">
        <w:rPr>
          <w:i/>
          <w:iCs/>
        </w:rPr>
        <w:t xml:space="preserve"> 13</w:t>
      </w:r>
      <w:r w:rsidR="00F109BE" w:rsidRPr="00841F60">
        <w:rPr>
          <w:i/>
          <w:iCs/>
        </w:rPr>
        <w:t xml:space="preserve"> November 2014 (subject to client </w:t>
      </w:r>
      <w:r w:rsidR="00841F60" w:rsidRPr="00841F60">
        <w:rPr>
          <w:i/>
          <w:iCs/>
        </w:rPr>
        <w:t>comment)</w:t>
      </w:r>
      <w:r w:rsidR="00841F60">
        <w:t xml:space="preserve">” </w:t>
      </w:r>
      <w:r w:rsidR="00DB3C49">
        <w:t xml:space="preserve">the Firm </w:t>
      </w:r>
      <w:r w:rsidR="00841F60">
        <w:t xml:space="preserve">indicated, with a tick, that </w:t>
      </w:r>
      <w:r w:rsidR="00DB3C49">
        <w:t>it w</w:t>
      </w:r>
      <w:r w:rsidR="007A59C5">
        <w:t>as content with the revised wording which became article 18.4.1.</w:t>
      </w:r>
      <w:r w:rsidR="00FB5484">
        <w:t xml:space="preserve"> </w:t>
      </w:r>
    </w:p>
    <w:p w14:paraId="7E4DAFA4" w14:textId="6E048ABD" w:rsidR="007A59C5" w:rsidRDefault="008A63EE" w:rsidP="00EF2FE7">
      <w:pPr>
        <w:pStyle w:val="ParaLevel1"/>
      </w:pPr>
      <w:r>
        <w:t xml:space="preserve">In commenting upon the revised draft articles received from </w:t>
      </w:r>
      <w:r w:rsidR="00E8560F">
        <w:t xml:space="preserve">Olswang on 3 November, the Firm </w:t>
      </w:r>
      <w:r w:rsidR="00743933">
        <w:t>addressed</w:t>
      </w:r>
      <w:r w:rsidR="00E8560F">
        <w:t xml:space="preserve"> </w:t>
      </w:r>
      <w:r w:rsidR="00274187">
        <w:t>the provision as follows: “</w:t>
      </w:r>
      <w:r w:rsidR="00274187" w:rsidRPr="00274187">
        <w:rPr>
          <w:i/>
          <w:iCs/>
        </w:rPr>
        <w:t>A</w:t>
      </w:r>
      <w:r w:rsidR="00EB2043" w:rsidRPr="00274187">
        <w:rPr>
          <w:i/>
          <w:iCs/>
        </w:rPr>
        <w:t>rticle 18.4 Market Value</w:t>
      </w:r>
      <w:r w:rsidR="00274187" w:rsidRPr="00274187">
        <w:rPr>
          <w:i/>
          <w:iCs/>
        </w:rPr>
        <w:t xml:space="preserve"> -</w:t>
      </w:r>
      <w:r w:rsidR="00EB2043" w:rsidRPr="00274187">
        <w:rPr>
          <w:i/>
          <w:iCs/>
        </w:rPr>
        <w:t xml:space="preserve"> T</w:t>
      </w:r>
      <w:r w:rsidR="00274187" w:rsidRPr="00274187">
        <w:rPr>
          <w:i/>
          <w:iCs/>
        </w:rPr>
        <w:t>h</w:t>
      </w:r>
      <w:r w:rsidR="00EB2043" w:rsidRPr="00274187">
        <w:rPr>
          <w:i/>
          <w:iCs/>
        </w:rPr>
        <w:t>ere should be no discount for minority shareholding</w:t>
      </w:r>
      <w:r w:rsidR="00274187">
        <w:t>”</w:t>
      </w:r>
      <w:r w:rsidR="00743933">
        <w:t xml:space="preserve"> (F/</w:t>
      </w:r>
      <w:r w:rsidR="00E70B8C">
        <w:t>170, 174).</w:t>
      </w:r>
    </w:p>
    <w:p w14:paraId="3F4B55EB" w14:textId="3DACE405" w:rsidR="00E00AA6" w:rsidRDefault="00DA0091" w:rsidP="00EF2FE7">
      <w:pPr>
        <w:pStyle w:val="ParaLevel1"/>
      </w:pPr>
      <w:r>
        <w:t xml:space="preserve">On 28 </w:t>
      </w:r>
      <w:r w:rsidR="0069519C">
        <w:t>November 2014</w:t>
      </w:r>
      <w:r w:rsidR="0032755E">
        <w:t>,</w:t>
      </w:r>
      <w:r w:rsidR="0069519C">
        <w:t xml:space="preserve"> Olswang </w:t>
      </w:r>
      <w:r w:rsidR="0032755E">
        <w:t xml:space="preserve">forwarded the Articles </w:t>
      </w:r>
      <w:r w:rsidR="00DE7409">
        <w:t xml:space="preserve">with article 18.4.1 </w:t>
      </w:r>
      <w:r w:rsidR="0032755E">
        <w:t xml:space="preserve">in the </w:t>
      </w:r>
      <w:r w:rsidR="00DE7409">
        <w:t xml:space="preserve">language </w:t>
      </w:r>
      <w:r w:rsidR="00754DBD">
        <w:t>agreed for the purposes of the Transaction (</w:t>
      </w:r>
      <w:r w:rsidR="00907057">
        <w:t>F/6</w:t>
      </w:r>
      <w:r w:rsidR="00704912">
        <w:t>696</w:t>
      </w:r>
      <w:r w:rsidR="00907057">
        <w:t xml:space="preserve"> and </w:t>
      </w:r>
      <w:r w:rsidR="00754DBD">
        <w:t>F/6927)</w:t>
      </w:r>
      <w:r w:rsidR="00DE7409">
        <w:t>.</w:t>
      </w:r>
    </w:p>
    <w:p w14:paraId="2CB45BE6" w14:textId="1B4D7FC2" w:rsidR="00751368" w:rsidRDefault="00446023" w:rsidP="00EF2FE7">
      <w:pPr>
        <w:pStyle w:val="ParaLevel1"/>
      </w:pPr>
      <w:r>
        <w:t>I</w:t>
      </w:r>
      <w:r w:rsidR="00FD2800">
        <w:t xml:space="preserve">n summarising the Firm’s </w:t>
      </w:r>
      <w:r w:rsidR="00861561">
        <w:t xml:space="preserve">defence I have already mentioned that it admits </w:t>
      </w:r>
      <w:r w:rsidR="00255C31">
        <w:t xml:space="preserve">that </w:t>
      </w:r>
      <w:r w:rsidR="00831AFC">
        <w:t xml:space="preserve"> </w:t>
      </w:r>
      <w:r w:rsidR="00954930">
        <w:t xml:space="preserve">neither Mr Crossley nor anyone else at the Firm advised the </w:t>
      </w:r>
      <w:r w:rsidR="00831AFC">
        <w:t xml:space="preserve">Claimants </w:t>
      </w:r>
      <w:r w:rsidR="00954930">
        <w:t>that the R</w:t>
      </w:r>
      <w:r w:rsidR="00831AFC">
        <w:t xml:space="preserve">PP </w:t>
      </w:r>
      <w:r w:rsidR="00954930">
        <w:t>would apply to the Leaver Provisions</w:t>
      </w:r>
      <w:r w:rsidR="00A80071">
        <w:t xml:space="preserve"> or of </w:t>
      </w:r>
      <w:r w:rsidR="00954930">
        <w:t>the risk that the</w:t>
      </w:r>
      <w:r w:rsidR="00A80071">
        <w:t xml:space="preserve"> </w:t>
      </w:r>
      <w:r w:rsidR="00F51A14">
        <w:t>A</w:t>
      </w:r>
      <w:r w:rsidR="00954930">
        <w:t>rticles could be interpreted as meaning that the</w:t>
      </w:r>
      <w:r w:rsidR="00F51A14">
        <w:t xml:space="preserve"> </w:t>
      </w:r>
      <w:r w:rsidR="00C5418C">
        <w:t xml:space="preserve">RPP applied in the </w:t>
      </w:r>
      <w:r w:rsidR="00B24AC9">
        <w:t xml:space="preserve">implementation </w:t>
      </w:r>
      <w:r w:rsidR="00C5418C">
        <w:t>of  those provisions.</w:t>
      </w:r>
    </w:p>
    <w:p w14:paraId="21C008BB" w14:textId="798F4016" w:rsidR="003E3C72" w:rsidRDefault="00C5418C" w:rsidP="00EF2FE7">
      <w:pPr>
        <w:pStyle w:val="ParaLevel1"/>
      </w:pPr>
      <w:r>
        <w:t xml:space="preserve">It </w:t>
      </w:r>
      <w:r w:rsidR="006B3208">
        <w:t xml:space="preserve">obviously </w:t>
      </w:r>
      <w:r>
        <w:t xml:space="preserve">follows from my own analysis of </w:t>
      </w:r>
      <w:r w:rsidR="009E6E43">
        <w:t xml:space="preserve">the RPP that advice from the Firm that the RPP </w:t>
      </w:r>
      <w:r w:rsidR="009E6E43" w:rsidRPr="00281EDC">
        <w:rPr>
          <w:i/>
          <w:iCs/>
        </w:rPr>
        <w:t>would</w:t>
      </w:r>
      <w:r w:rsidR="009E6E43">
        <w:t xml:space="preserve"> apply </w:t>
      </w:r>
      <w:r w:rsidR="00281EDC">
        <w:t xml:space="preserve">in the determination of the </w:t>
      </w:r>
      <w:r w:rsidR="0086053C">
        <w:t>M</w:t>
      </w:r>
      <w:r w:rsidR="00281EDC">
        <w:t xml:space="preserve">arket </w:t>
      </w:r>
      <w:r w:rsidR="0086053C">
        <w:t>V</w:t>
      </w:r>
      <w:r w:rsidR="00281EDC">
        <w:t xml:space="preserve">alue of the Claimants’ shares under article 18.4.1 </w:t>
      </w:r>
      <w:r w:rsidR="009F4EA3">
        <w:t>would not</w:t>
      </w:r>
      <w:r w:rsidR="006B3208">
        <w:t>, in my judgment,</w:t>
      </w:r>
      <w:r w:rsidR="009F4EA3">
        <w:t xml:space="preserve"> have been correct advice.  </w:t>
      </w:r>
    </w:p>
    <w:p w14:paraId="771B9D10" w14:textId="185F7960" w:rsidR="00C5418C" w:rsidRDefault="009F4EA3" w:rsidP="00EF2FE7">
      <w:pPr>
        <w:pStyle w:val="ParaLevel1"/>
      </w:pPr>
      <w:r>
        <w:t xml:space="preserve">However, </w:t>
      </w:r>
      <w:r w:rsidR="00FA0BB3">
        <w:t xml:space="preserve">the </w:t>
      </w:r>
      <w:r w:rsidR="000531FE">
        <w:t xml:space="preserve">key </w:t>
      </w:r>
      <w:r w:rsidR="00FA0BB3">
        <w:t>poin</w:t>
      </w:r>
      <w:r w:rsidR="000531FE">
        <w:t xml:space="preserve">t which survives this observation is whether the Firm was under a duty to </w:t>
      </w:r>
      <w:r w:rsidR="00FF5EBB">
        <w:t xml:space="preserve">advise the Claimants of the risk that </w:t>
      </w:r>
      <w:r w:rsidR="00457A3A">
        <w:t xml:space="preserve">its language </w:t>
      </w:r>
      <w:r w:rsidR="00457A3A" w:rsidRPr="0075025C">
        <w:rPr>
          <w:i/>
          <w:iCs/>
        </w:rPr>
        <w:t>could be read</w:t>
      </w:r>
      <w:r w:rsidR="00457A3A">
        <w:t xml:space="preserve"> as importing the </w:t>
      </w:r>
      <w:r w:rsidR="003634A4">
        <w:t xml:space="preserve">potential impact of the </w:t>
      </w:r>
      <w:r w:rsidR="00457A3A">
        <w:t xml:space="preserve">RPP </w:t>
      </w:r>
      <w:r w:rsidR="003634A4">
        <w:t>into the valuation exercise.</w:t>
      </w:r>
    </w:p>
    <w:p w14:paraId="3F158AA0" w14:textId="201F257F" w:rsidR="003634A4" w:rsidRDefault="00042427" w:rsidP="00EF2FE7">
      <w:pPr>
        <w:pStyle w:val="ParaLevel1"/>
      </w:pPr>
      <w:r>
        <w:t xml:space="preserve">That </w:t>
      </w:r>
      <w:r w:rsidR="00212574">
        <w:t xml:space="preserve">this risk was a significant one </w:t>
      </w:r>
      <w:r w:rsidR="00E645D3">
        <w:t xml:space="preserve">is demonstrated by the </w:t>
      </w:r>
      <w:r w:rsidR="00B92340">
        <w:t>following:</w:t>
      </w:r>
    </w:p>
    <w:p w14:paraId="65EE305B" w14:textId="54FEB177" w:rsidR="00B92340" w:rsidRDefault="00E83213" w:rsidP="00EF2FE7">
      <w:pPr>
        <w:pStyle w:val="ParaLevel2"/>
      </w:pPr>
      <w:r>
        <w:t xml:space="preserve">The Company’s service </w:t>
      </w:r>
      <w:r w:rsidR="000927A0">
        <w:t xml:space="preserve">on 14 January 2016 </w:t>
      </w:r>
      <w:r>
        <w:t xml:space="preserve">of </w:t>
      </w:r>
      <w:r w:rsidR="000927A0">
        <w:t xml:space="preserve">Sale Notices upon the Claimants notifying them that </w:t>
      </w:r>
      <w:r w:rsidR="006A42F6">
        <w:t>each of their shareholdings had been allocated to the Company at the price of £1.</w:t>
      </w:r>
    </w:p>
    <w:p w14:paraId="21F3A9BC" w14:textId="1860F01C" w:rsidR="00237199" w:rsidRDefault="00267BE7" w:rsidP="00EF2FE7">
      <w:pPr>
        <w:pStyle w:val="ParaLevel2"/>
      </w:pPr>
      <w:r>
        <w:t xml:space="preserve">The </w:t>
      </w:r>
      <w:r w:rsidR="007D6B46">
        <w:t>correspondence written by DMH Stallard</w:t>
      </w:r>
      <w:r w:rsidR="00BF36D5">
        <w:t xml:space="preserve"> on behalf of the Company before the Liability Judgment in the Leaver Litigation. </w:t>
      </w:r>
      <w:r w:rsidR="007C33E3">
        <w:t xml:space="preserve"> </w:t>
      </w:r>
      <w:r w:rsidR="00911325">
        <w:t xml:space="preserve">By a letter dated </w:t>
      </w:r>
      <w:r w:rsidR="007A2474">
        <w:t xml:space="preserve">20 </w:t>
      </w:r>
      <w:r w:rsidR="00172708">
        <w:t>January 2016, within days of the Share Transfer Notice</w:t>
      </w:r>
      <w:r w:rsidR="000671B2">
        <w:t>s served upon the Claimants</w:t>
      </w:r>
      <w:r w:rsidR="006564D9">
        <w:t xml:space="preserve">, those solicitors were saying that the effect of the RPP </w:t>
      </w:r>
      <w:r w:rsidR="004E0BF7">
        <w:t xml:space="preserve">was that there would be no </w:t>
      </w:r>
      <w:r w:rsidR="006564D9">
        <w:t xml:space="preserve">distribution to </w:t>
      </w:r>
      <w:r w:rsidR="004E0BF7">
        <w:t xml:space="preserve">shareholders </w:t>
      </w:r>
      <w:r w:rsidR="006564D9">
        <w:t>other</w:t>
      </w:r>
      <w:r w:rsidR="004E0BF7">
        <w:t xml:space="preserve"> than Livingbridge unless </w:t>
      </w:r>
      <w:r w:rsidR="006564D9">
        <w:t>the proceeds of sale were at least £11.474m</w:t>
      </w:r>
      <w:r w:rsidR="004E0BF7">
        <w:t>.  I</w:t>
      </w:r>
      <w:r w:rsidR="00E54B3A">
        <w:t xml:space="preserve">n </w:t>
      </w:r>
      <w:r w:rsidR="007C33E3">
        <w:t xml:space="preserve">a without prejudice letter dated </w:t>
      </w:r>
      <w:r w:rsidR="008452B1">
        <w:t xml:space="preserve">26 April 2016 </w:t>
      </w:r>
      <w:r w:rsidR="00E54B3A">
        <w:t xml:space="preserve">they </w:t>
      </w:r>
      <w:r w:rsidR="00785098">
        <w:t>asserted: “</w:t>
      </w:r>
      <w:r w:rsidRPr="00343A58">
        <w:rPr>
          <w:i/>
          <w:iCs/>
        </w:rPr>
        <w:t xml:space="preserve">In terms of the legal analysis, the value of their shares </w:t>
      </w:r>
      <w:r w:rsidR="00785098" w:rsidRPr="00343A58">
        <w:rPr>
          <w:i/>
          <w:iCs/>
        </w:rPr>
        <w:t>i</w:t>
      </w:r>
      <w:r w:rsidRPr="00343A58">
        <w:rPr>
          <w:i/>
          <w:iCs/>
        </w:rPr>
        <w:t>s affected by the redemption</w:t>
      </w:r>
      <w:r w:rsidR="00785098" w:rsidRPr="00343A58">
        <w:rPr>
          <w:i/>
          <w:iCs/>
        </w:rPr>
        <w:t xml:space="preserve"> </w:t>
      </w:r>
      <w:r w:rsidRPr="00343A58">
        <w:rPr>
          <w:i/>
          <w:iCs/>
        </w:rPr>
        <w:t>premium in Article 13.3. This is a consequence of the fact that the buyer of any shares</w:t>
      </w:r>
      <w:r w:rsidR="00785098" w:rsidRPr="00343A58">
        <w:rPr>
          <w:i/>
          <w:iCs/>
        </w:rPr>
        <w:t xml:space="preserve"> </w:t>
      </w:r>
      <w:r w:rsidRPr="00343A58">
        <w:rPr>
          <w:i/>
          <w:iCs/>
        </w:rPr>
        <w:t>will acquire them subject to the rights that attach to those shares.  I</w:t>
      </w:r>
      <w:r w:rsidR="00785098" w:rsidRPr="00343A58">
        <w:rPr>
          <w:i/>
          <w:iCs/>
        </w:rPr>
        <w:t xml:space="preserve">t is </w:t>
      </w:r>
      <w:r w:rsidRPr="00343A58">
        <w:rPr>
          <w:i/>
          <w:iCs/>
        </w:rPr>
        <w:t>not a function</w:t>
      </w:r>
      <w:r w:rsidR="00785098" w:rsidRPr="00343A58">
        <w:rPr>
          <w:i/>
          <w:iCs/>
        </w:rPr>
        <w:t xml:space="preserve"> </w:t>
      </w:r>
      <w:r w:rsidRPr="00343A58">
        <w:rPr>
          <w:i/>
          <w:iCs/>
        </w:rPr>
        <w:t>of them each holding a minority interest in the company</w:t>
      </w:r>
      <w:r w:rsidR="00785098">
        <w:t>.”</w:t>
      </w:r>
    </w:p>
    <w:p w14:paraId="5601D22C" w14:textId="188F6F4F" w:rsidR="00343A58" w:rsidRDefault="00343A58" w:rsidP="00EF2FE7">
      <w:pPr>
        <w:pStyle w:val="ParaLevel2"/>
      </w:pPr>
      <w:r w:rsidRPr="00343A58">
        <w:t>The view expressed by BDO LLP in a valuation report dated 26 April 2016 obtained by the Company where they said: “</w:t>
      </w:r>
      <w:r w:rsidRPr="009C6F3E">
        <w:rPr>
          <w:i/>
          <w:iCs/>
        </w:rPr>
        <w:t>the Livingbridge Priority Return represents a priority claim on the capital of the business and would therefore need to be factored into the valuation regardless of whether the valuation approach was pro-rata or minority</w:t>
      </w:r>
      <w:r w:rsidRPr="00343A58">
        <w:t xml:space="preserve">.” </w:t>
      </w:r>
    </w:p>
    <w:p w14:paraId="51ADDB4D" w14:textId="36F7C65D" w:rsidR="0077555A" w:rsidRPr="00343A58" w:rsidRDefault="0077555A" w:rsidP="00EF2FE7">
      <w:pPr>
        <w:pStyle w:val="ParaLevel2"/>
      </w:pPr>
      <w:r>
        <w:t xml:space="preserve">The terms of Mr Morris’s witness statement </w:t>
      </w:r>
      <w:r w:rsidR="007337AA">
        <w:t xml:space="preserve">(in the Leaver Litigation) </w:t>
      </w:r>
      <w:r>
        <w:t>dated 10</w:t>
      </w:r>
      <w:r w:rsidR="007337AA">
        <w:t xml:space="preserve"> June 2016.</w:t>
      </w:r>
      <w:r w:rsidR="00325321">
        <w:t xml:space="preserve">  </w:t>
      </w:r>
      <w:r w:rsidR="00F82E06">
        <w:t xml:space="preserve">At paragraphs </w:t>
      </w:r>
      <w:r w:rsidR="00EF4F41">
        <w:t xml:space="preserve">32 to 34 of that </w:t>
      </w:r>
      <w:r w:rsidR="00917B99">
        <w:t xml:space="preserve">statement Mr Morris said that the Claimants had agreed the RPP </w:t>
      </w:r>
      <w:r w:rsidR="00325020">
        <w:t xml:space="preserve">as reflecting his condition that </w:t>
      </w:r>
      <w:r w:rsidR="004E108D">
        <w:t>“</w:t>
      </w:r>
      <w:r w:rsidR="004E108D" w:rsidRPr="004E108D">
        <w:rPr>
          <w:i/>
          <w:iCs/>
        </w:rPr>
        <w:t>n</w:t>
      </w:r>
      <w:r w:rsidR="00325020" w:rsidRPr="004E108D">
        <w:rPr>
          <w:i/>
          <w:iCs/>
        </w:rPr>
        <w:t>o other</w:t>
      </w:r>
      <w:r w:rsidR="004E108D" w:rsidRPr="004E108D">
        <w:rPr>
          <w:i/>
          <w:iCs/>
        </w:rPr>
        <w:t xml:space="preserve"> </w:t>
      </w:r>
      <w:r w:rsidR="00325020" w:rsidRPr="004E108D">
        <w:rPr>
          <w:i/>
          <w:iCs/>
        </w:rPr>
        <w:t>shareholders would accrue any value unless and until Livingbridge had made a</w:t>
      </w:r>
      <w:r w:rsidR="004E108D" w:rsidRPr="004E108D">
        <w:rPr>
          <w:i/>
          <w:iCs/>
        </w:rPr>
        <w:t xml:space="preserve"> </w:t>
      </w:r>
      <w:r w:rsidR="00325020" w:rsidRPr="004E108D">
        <w:rPr>
          <w:i/>
          <w:iCs/>
        </w:rPr>
        <w:t>two-times retur</w:t>
      </w:r>
      <w:r w:rsidR="004E108D" w:rsidRPr="004E108D">
        <w:rPr>
          <w:i/>
          <w:iCs/>
        </w:rPr>
        <w:t>n</w:t>
      </w:r>
      <w:r w:rsidR="004E108D">
        <w:t>”</w:t>
      </w:r>
      <w:r w:rsidR="00917B99">
        <w:t xml:space="preserve">.  At his paragraphs </w:t>
      </w:r>
      <w:r w:rsidR="00F82E06">
        <w:t xml:space="preserve">193 to 196 </w:t>
      </w:r>
      <w:r w:rsidR="00917B99">
        <w:t>he</w:t>
      </w:r>
      <w:r w:rsidR="00D20869">
        <w:t xml:space="preserve"> set out the grounds for his belief “</w:t>
      </w:r>
      <w:r w:rsidR="00F82E06" w:rsidRPr="004E108D">
        <w:rPr>
          <w:i/>
          <w:iCs/>
        </w:rPr>
        <w:t>that the difference between the Good Leaver Value and the Bad Leaver</w:t>
      </w:r>
      <w:r w:rsidR="00D20869" w:rsidRPr="004E108D">
        <w:rPr>
          <w:i/>
          <w:iCs/>
        </w:rPr>
        <w:t xml:space="preserve"> </w:t>
      </w:r>
      <w:r w:rsidR="00F82E06" w:rsidRPr="004E108D">
        <w:rPr>
          <w:i/>
          <w:iCs/>
        </w:rPr>
        <w:t>Value is zero</w:t>
      </w:r>
      <w:r w:rsidR="00D20869">
        <w:t xml:space="preserve">”.  </w:t>
      </w:r>
      <w:r w:rsidR="00736E34">
        <w:t>Mr Morris said it would be “</w:t>
      </w:r>
      <w:r w:rsidR="00736E34" w:rsidRPr="004E108D">
        <w:rPr>
          <w:i/>
          <w:iCs/>
        </w:rPr>
        <w:t>absurd</w:t>
      </w:r>
      <w:r w:rsidR="00736E34">
        <w:t xml:space="preserve">” </w:t>
      </w:r>
      <w:r w:rsidR="0085544B">
        <w:t>to ignore the impact of the RPP on the valuation of a Leaver’s shares: “</w:t>
      </w:r>
      <w:r w:rsidR="0085544B" w:rsidRPr="004E108D">
        <w:rPr>
          <w:i/>
          <w:iCs/>
        </w:rPr>
        <w:t>Surely if we had wanted to treat Leavers differently and exclude them from the effect of redemption premium we would have provided for that in the Articles?</w:t>
      </w:r>
      <w:r w:rsidR="0085544B">
        <w:t>”</w:t>
      </w:r>
    </w:p>
    <w:p w14:paraId="6E999984" w14:textId="61A676E7" w:rsidR="00102FF1" w:rsidRDefault="00267BE7" w:rsidP="00EF2FE7">
      <w:pPr>
        <w:pStyle w:val="ParaLevel2"/>
      </w:pPr>
      <w:r>
        <w:t>T</w:t>
      </w:r>
      <w:r w:rsidR="00317A1E">
        <w:t xml:space="preserve">he </w:t>
      </w:r>
      <w:r w:rsidR="00516DCD">
        <w:t>view expressed by Mr Nicholls</w:t>
      </w:r>
      <w:r w:rsidR="00734A02">
        <w:t xml:space="preserve">, </w:t>
      </w:r>
      <w:r w:rsidR="00102FF1">
        <w:t>of Ernst &amp; Young</w:t>
      </w:r>
      <w:r w:rsidR="00734A02">
        <w:t xml:space="preserve">, in his letter dated 30 August 2016 (albeit that he said it was a question of </w:t>
      </w:r>
      <w:r w:rsidR="00C224A7">
        <w:t>legal interpretation for the judge)</w:t>
      </w:r>
      <w:r>
        <w:t xml:space="preserve">.  </w:t>
      </w:r>
    </w:p>
    <w:p w14:paraId="639615E2" w14:textId="1C556A60" w:rsidR="00B92340" w:rsidRDefault="00267BE7" w:rsidP="00EF2FE7">
      <w:pPr>
        <w:pStyle w:val="ParaLevel2"/>
      </w:pPr>
      <w:r>
        <w:t>T</w:t>
      </w:r>
      <w:r w:rsidR="00B92340">
        <w:t>he terms of the Quantum Judgment.</w:t>
      </w:r>
    </w:p>
    <w:p w14:paraId="1A2FDE12" w14:textId="0185A3D2" w:rsidR="000E4CCE" w:rsidRDefault="00FD5BEC" w:rsidP="00EF2FE7">
      <w:pPr>
        <w:pStyle w:val="ParaLevel1"/>
      </w:pPr>
      <w:r w:rsidRPr="00FD5BEC">
        <w:t xml:space="preserve">As Mr Leiper </w:t>
      </w:r>
      <w:r w:rsidR="00246289">
        <w:t xml:space="preserve">QC </w:t>
      </w:r>
      <w:r w:rsidRPr="00FD5BEC">
        <w:t>has highlighted, the court has not benefited from the evidence of Mr Crossley of his own assessment of this risk.</w:t>
      </w:r>
      <w:r>
        <w:t xml:space="preserve">  However, </w:t>
      </w:r>
      <w:r w:rsidR="00452E73">
        <w:t>a</w:t>
      </w:r>
      <w:r>
        <w:t xml:space="preserve"> </w:t>
      </w:r>
      <w:r w:rsidR="00D640B2">
        <w:t xml:space="preserve">substantial </w:t>
      </w:r>
      <w:r w:rsidR="00757A71">
        <w:t xml:space="preserve">risk </w:t>
      </w:r>
      <w:r w:rsidR="00DE244D">
        <w:t xml:space="preserve">within a transaction </w:t>
      </w:r>
      <w:r w:rsidR="00D640B2">
        <w:t xml:space="preserve">clearly </w:t>
      </w:r>
      <w:r w:rsidR="008C10D9">
        <w:t xml:space="preserve">materialises </w:t>
      </w:r>
      <w:r>
        <w:t>w</w:t>
      </w:r>
      <w:r w:rsidR="00D90C0F">
        <w:t xml:space="preserve">hen </w:t>
      </w:r>
      <w:r w:rsidR="00ED5025">
        <w:t xml:space="preserve">one party to </w:t>
      </w:r>
      <w:r w:rsidR="00DE244D">
        <w:t xml:space="preserve">it </w:t>
      </w:r>
      <w:r w:rsidR="00ED5025">
        <w:t xml:space="preserve">says its terms </w:t>
      </w:r>
      <w:r w:rsidR="00B2234F">
        <w:t xml:space="preserve">bear a meaning which is </w:t>
      </w:r>
      <w:r w:rsidR="00323CF3">
        <w:t xml:space="preserve">fundamental </w:t>
      </w:r>
      <w:r w:rsidR="00B2234F">
        <w:t xml:space="preserve">to the value </w:t>
      </w:r>
      <w:r w:rsidR="00455244">
        <w:t>of the other</w:t>
      </w:r>
      <w:r w:rsidR="0006319D">
        <w:t xml:space="preserve"> party’s rights under it and, despite </w:t>
      </w:r>
      <w:r w:rsidR="00517796">
        <w:t xml:space="preserve">the </w:t>
      </w:r>
      <w:r w:rsidR="00AD3B9B">
        <w:t xml:space="preserve">counterparty challenging </w:t>
      </w:r>
      <w:r w:rsidR="008D09D1">
        <w:t>and litigating the point</w:t>
      </w:r>
      <w:r w:rsidR="00AD3B9B">
        <w:t xml:space="preserve"> on</w:t>
      </w:r>
      <w:r w:rsidR="00161413">
        <w:t xml:space="preserve"> </w:t>
      </w:r>
      <w:r w:rsidR="000760A1">
        <w:t>grounds genuinely held</w:t>
      </w:r>
      <w:r w:rsidR="00496464">
        <w:t>,</w:t>
      </w:r>
      <w:r w:rsidR="00517796">
        <w:t xml:space="preserve"> persuades a High Court judge that i</w:t>
      </w:r>
      <w:r w:rsidR="00496464">
        <w:t>ts interpretation is the correct one</w:t>
      </w:r>
      <w:r>
        <w:t>.</w:t>
      </w:r>
    </w:p>
    <w:p w14:paraId="46F9D909" w14:textId="66EFAEB2" w:rsidR="00E47AD5" w:rsidRDefault="00E47AD5" w:rsidP="00EF2FE7">
      <w:pPr>
        <w:pStyle w:val="ParaLevel1"/>
      </w:pPr>
      <w:r>
        <w:t>In addition to say</w:t>
      </w:r>
      <w:r w:rsidR="002B51DF">
        <w:t>ing that the RRP represented a commercial deal which was a matter for the Claimants and Knight, t</w:t>
      </w:r>
      <w:r w:rsidR="007E1400">
        <w:t>he Firm</w:t>
      </w:r>
      <w:r w:rsidR="006A0DF0">
        <w:t>’s Defence (paragraph</w:t>
      </w:r>
      <w:r w:rsidR="00587A4C">
        <w:t xml:space="preserve">s 48.1 and </w:t>
      </w:r>
      <w:r w:rsidR="006A0DF0">
        <w:t xml:space="preserve">49.1(c)) says </w:t>
      </w:r>
      <w:r w:rsidR="006A0DF0" w:rsidRPr="00A8189B">
        <w:rPr>
          <w:i/>
          <w:iCs/>
        </w:rPr>
        <w:t>“</w:t>
      </w:r>
      <w:r w:rsidR="00B52088" w:rsidRPr="00A8189B">
        <w:rPr>
          <w:i/>
          <w:iCs/>
        </w:rPr>
        <w:t>[</w:t>
      </w:r>
      <w:r w:rsidRPr="00A8189B">
        <w:rPr>
          <w:i/>
          <w:iCs/>
        </w:rPr>
        <w:t>T</w:t>
      </w:r>
      <w:r w:rsidR="00B52088" w:rsidRPr="00A8189B">
        <w:rPr>
          <w:i/>
          <w:iCs/>
        </w:rPr>
        <w:t>]</w:t>
      </w:r>
      <w:r w:rsidRPr="00A8189B">
        <w:rPr>
          <w:i/>
          <w:iCs/>
        </w:rPr>
        <w:t>he wording of the Articles corresponding to the Redemption Premium</w:t>
      </w:r>
      <w:r w:rsidR="00B52088" w:rsidRPr="00A8189B">
        <w:rPr>
          <w:i/>
          <w:iCs/>
        </w:rPr>
        <w:t xml:space="preserve"> </w:t>
      </w:r>
      <w:r w:rsidRPr="00A8189B">
        <w:rPr>
          <w:i/>
          <w:iCs/>
        </w:rPr>
        <w:t>agreement was drawn to the Claimants' attention as set out in paragraphs 22 and 24 above"</w:t>
      </w:r>
      <w:r w:rsidR="00B52088">
        <w:t xml:space="preserve">.  </w:t>
      </w:r>
    </w:p>
    <w:p w14:paraId="6EBF777F" w14:textId="21E03B23" w:rsidR="000F5281" w:rsidRDefault="00196E95" w:rsidP="00EF2FE7">
      <w:pPr>
        <w:pStyle w:val="ParaLevel1"/>
      </w:pPr>
      <w:r>
        <w:t xml:space="preserve">It is correct that the RPP was the result of commercial re-negotiation of the proposal that the Claimants should bear the impact of any later </w:t>
      </w:r>
      <w:r w:rsidR="00711745">
        <w:t>sweet equity</w:t>
      </w:r>
      <w:r w:rsidR="00040845">
        <w:t>.</w:t>
      </w:r>
      <w:r w:rsidR="00711745">
        <w:t xml:space="preserve">  It is also true that Mr Crossley drew attention </w:t>
      </w:r>
      <w:r w:rsidR="00977CEC">
        <w:t xml:space="preserve">to </w:t>
      </w:r>
      <w:r w:rsidR="00040845">
        <w:t>a</w:t>
      </w:r>
      <w:r w:rsidR="00E47AD5">
        <w:t xml:space="preserve">rticle 13.3 </w:t>
      </w:r>
      <w:r w:rsidR="00CD6FFE">
        <w:t>in his comments up</w:t>
      </w:r>
      <w:r w:rsidR="00E47AD5">
        <w:t xml:space="preserve">on </w:t>
      </w:r>
      <w:r w:rsidR="0020032D">
        <w:t xml:space="preserve">on </w:t>
      </w:r>
      <w:r w:rsidR="00E47AD5">
        <w:t>14 October 2014</w:t>
      </w:r>
      <w:r w:rsidR="0020032D">
        <w:t>.  He said he had “</w:t>
      </w:r>
      <w:r w:rsidR="0020032D" w:rsidRPr="00E50667">
        <w:rPr>
          <w:i/>
          <w:iCs/>
        </w:rPr>
        <w:t>added a definition of Previous Distributions Amount so that this is taken into account when calculating the 2 x !SIS Investment Amount for the B Shares.</w:t>
      </w:r>
      <w:r w:rsidR="0020032D">
        <w:t>”</w:t>
      </w:r>
      <w:r w:rsidR="007A7033">
        <w:t xml:space="preserve">  In the same email he </w:t>
      </w:r>
      <w:r w:rsidR="007048DC">
        <w:t xml:space="preserve">commented upon </w:t>
      </w:r>
      <w:r w:rsidR="00E50667">
        <w:t>article 18.4: “</w:t>
      </w:r>
      <w:r w:rsidR="007048DC" w:rsidRPr="00E50667">
        <w:rPr>
          <w:i/>
          <w:iCs/>
        </w:rPr>
        <w:t>Transfer arrangements - Market value (clause 18.4) - we have made this clear that no minority discount</w:t>
      </w:r>
      <w:r w:rsidR="00E50667" w:rsidRPr="00E50667">
        <w:rPr>
          <w:i/>
          <w:iCs/>
        </w:rPr>
        <w:t xml:space="preserve"> </w:t>
      </w:r>
      <w:r w:rsidR="007048DC" w:rsidRPr="00E50667">
        <w:rPr>
          <w:i/>
          <w:iCs/>
        </w:rPr>
        <w:t>should be applied in determining the market value of a Leaver's shares</w:t>
      </w:r>
      <w:r w:rsidR="007048DC">
        <w:t>.</w:t>
      </w:r>
      <w:r w:rsidR="00E50667">
        <w:t>”</w:t>
      </w:r>
    </w:p>
    <w:p w14:paraId="310F3F18" w14:textId="574700ED" w:rsidR="00835BE4" w:rsidRDefault="00E50667" w:rsidP="00EF2FE7">
      <w:pPr>
        <w:pStyle w:val="ParaLevel1"/>
      </w:pPr>
      <w:r>
        <w:t>However,</w:t>
      </w:r>
      <w:r w:rsidR="00A8189B">
        <w:t xml:space="preserve"> as </w:t>
      </w:r>
      <w:r w:rsidR="002003B1">
        <w:t xml:space="preserve">is </w:t>
      </w:r>
      <w:r w:rsidR="00A8189B">
        <w:t>admitted by the Firm, there was no advice upon the connection between the two provisions.</w:t>
      </w:r>
    </w:p>
    <w:p w14:paraId="48BB327D" w14:textId="04092027" w:rsidR="00835BE4" w:rsidRDefault="002E15D9" w:rsidP="00EF2FE7">
      <w:pPr>
        <w:pStyle w:val="ParaLevel1"/>
      </w:pPr>
      <w:r>
        <w:t>N</w:t>
      </w:r>
      <w:r w:rsidR="002F4636">
        <w:t xml:space="preserve">evertheless, the Firm </w:t>
      </w:r>
      <w:r w:rsidR="00C61EC4">
        <w:t>forcefully resists the</w:t>
      </w:r>
      <w:r w:rsidR="00473294">
        <w:t xml:space="preserve"> deduction that </w:t>
      </w:r>
      <w:r w:rsidR="00CC5816">
        <w:t>it must therefore have been negligent.</w:t>
      </w:r>
      <w:r w:rsidR="005E452C">
        <w:t xml:space="preserve">  It says the risk that the RPP would impact upon the valuation was not a significant one and that </w:t>
      </w:r>
      <w:r w:rsidR="0012495E">
        <w:t xml:space="preserve">a transactional lawyer cannot reasonably be expected to advise upon every litigation risk.  It would say that </w:t>
      </w:r>
      <w:r w:rsidR="005549B0">
        <w:t>there is</w:t>
      </w:r>
      <w:r w:rsidR="006A0645">
        <w:t xml:space="preserve"> too big a dose of hindsight in my </w:t>
      </w:r>
      <w:r w:rsidR="00B06E00">
        <w:t>reasons for concluding th</w:t>
      </w:r>
      <w:r w:rsidR="00030926">
        <w:t>at</w:t>
      </w:r>
      <w:r w:rsidR="00B06E00">
        <w:t xml:space="preserve"> risk was substantial </w:t>
      </w:r>
      <w:r w:rsidR="00030926">
        <w:t>and one upon which the Firm should have advised.  Each of th</w:t>
      </w:r>
      <w:r w:rsidR="001E7608">
        <w:t xml:space="preserve">e </w:t>
      </w:r>
      <w:r w:rsidR="000E4A53">
        <w:t xml:space="preserve">points identified in paragraph </w:t>
      </w:r>
      <w:r w:rsidR="002003B1">
        <w:t>37</w:t>
      </w:r>
      <w:r w:rsidR="009B530E">
        <w:t>1</w:t>
      </w:r>
      <w:r w:rsidR="000E4A53">
        <w:t xml:space="preserve"> above materialised after the date of the Transaction.</w:t>
      </w:r>
      <w:r w:rsidR="001E7608">
        <w:t xml:space="preserve"> </w:t>
      </w:r>
      <w:r w:rsidR="005549B0">
        <w:t xml:space="preserve"> </w:t>
      </w:r>
      <w:r w:rsidR="00491DA1">
        <w:t>Having said that</w:t>
      </w:r>
      <w:r w:rsidR="00453414">
        <w:t xml:space="preserve">, </w:t>
      </w:r>
      <w:r w:rsidR="009E5566">
        <w:t xml:space="preserve">I do not think it would be </w:t>
      </w:r>
      <w:r w:rsidR="00346288">
        <w:t>right to infer from my own conflicting view reached over 7 years later</w:t>
      </w:r>
      <w:r w:rsidR="00AA528D">
        <w:t xml:space="preserve"> that </w:t>
      </w:r>
      <w:r w:rsidR="00CF10BA">
        <w:t>Mr Morris’</w:t>
      </w:r>
      <w:r w:rsidR="00AA528D">
        <w:t xml:space="preserve">s stated belief </w:t>
      </w:r>
      <w:r w:rsidR="001772F9">
        <w:t xml:space="preserve">a Good Leaver was subject to the RPP was one which it did not genuinely hold </w:t>
      </w:r>
      <w:r w:rsidR="000F1362">
        <w:t>prior to the completion of the Transaction.</w:t>
      </w:r>
      <w:r w:rsidR="003E18D2">
        <w:t xml:space="preserve">  </w:t>
      </w:r>
      <w:r w:rsidR="000B598E">
        <w:t xml:space="preserve">I note that, in the </w:t>
      </w:r>
      <w:r w:rsidR="004A4FCF">
        <w:t xml:space="preserve">Liability Judgment, May J </w:t>
      </w:r>
      <w:r w:rsidR="00741EAD">
        <w:t xml:space="preserve">rejected the notion that </w:t>
      </w:r>
      <w:r w:rsidR="00CF10BA">
        <w:t xml:space="preserve">the </w:t>
      </w:r>
      <w:r w:rsidR="00205C8A">
        <w:t xml:space="preserve">statements of the Livingbridge witnesses </w:t>
      </w:r>
      <w:r w:rsidR="002C7E24">
        <w:t>contained untruths.</w:t>
      </w:r>
    </w:p>
    <w:p w14:paraId="311E2677" w14:textId="0C2C5854" w:rsidR="00A707D2" w:rsidRDefault="00067D1A" w:rsidP="00EF2FE7">
      <w:pPr>
        <w:pStyle w:val="ParaLevel1"/>
      </w:pPr>
      <w:r>
        <w:t xml:space="preserve">I accept the general force </w:t>
      </w:r>
      <w:r w:rsidR="000C4540">
        <w:t xml:space="preserve">of the Firm’s point that </w:t>
      </w:r>
      <w:r w:rsidR="00C74D02">
        <w:t xml:space="preserve">the risk </w:t>
      </w:r>
      <w:r w:rsidR="00671647">
        <w:t xml:space="preserve">in fact </w:t>
      </w:r>
      <w:r w:rsidR="00C74D02">
        <w:t>materialised</w:t>
      </w:r>
      <w:r w:rsidR="00080838">
        <w:t xml:space="preserve"> through the alignment of </w:t>
      </w:r>
      <w:r w:rsidR="00B64A02">
        <w:t xml:space="preserve">a number of factors, none of which would have been regarded as likely when viewed prospectively </w:t>
      </w:r>
      <w:r w:rsidR="005F7A91">
        <w:t>from the time of the Transaction</w:t>
      </w:r>
      <w:r w:rsidR="00C74D02">
        <w:t xml:space="preserve">. </w:t>
      </w:r>
      <w:r w:rsidR="00D72E56">
        <w:t xml:space="preserve"> </w:t>
      </w:r>
      <w:r w:rsidR="00214960">
        <w:t xml:space="preserve">In their </w:t>
      </w:r>
      <w:r w:rsidR="006B2440">
        <w:t xml:space="preserve">submissions, Mr Tozzi QC and Mr Wright </w:t>
      </w:r>
      <w:r w:rsidR="002C669B">
        <w:t xml:space="preserve">talked about </w:t>
      </w:r>
      <w:r w:rsidR="00E84874">
        <w:t>the risk having arisen as a result of the</w:t>
      </w:r>
      <w:r w:rsidR="00AC3B21">
        <w:t xml:space="preserve"> subsequent</w:t>
      </w:r>
      <w:r w:rsidR="00E84874">
        <w:t xml:space="preserve"> “</w:t>
      </w:r>
      <w:r w:rsidR="00E84874" w:rsidRPr="00D56D77">
        <w:rPr>
          <w:i/>
          <w:iCs/>
        </w:rPr>
        <w:t>misalignment of the stars</w:t>
      </w:r>
      <w:r w:rsidR="00E84874">
        <w:t xml:space="preserve">” in a way that the Firm </w:t>
      </w:r>
      <w:r w:rsidR="00AC3B21">
        <w:t xml:space="preserve">should not be held to have </w:t>
      </w:r>
      <w:r w:rsidR="006D1247">
        <w:t xml:space="preserve">anticipated as giving rise to a significant risk.  </w:t>
      </w:r>
    </w:p>
    <w:p w14:paraId="6D974617" w14:textId="3F63D1DF" w:rsidR="0012495E" w:rsidRDefault="006D1247" w:rsidP="00EF2FE7">
      <w:pPr>
        <w:pStyle w:val="ParaLevel1"/>
      </w:pPr>
      <w:r>
        <w:t>The</w:t>
      </w:r>
      <w:r w:rsidR="00F94601">
        <w:t xml:space="preserve"> </w:t>
      </w:r>
      <w:r w:rsidR="00B57016">
        <w:t xml:space="preserve">highly unlikely </w:t>
      </w:r>
      <w:r w:rsidR="00132723">
        <w:t xml:space="preserve">concatenation of events identified by the Firm were </w:t>
      </w:r>
      <w:r w:rsidR="00433674">
        <w:t>the following:</w:t>
      </w:r>
    </w:p>
    <w:p w14:paraId="6E339024" w14:textId="430AAD84" w:rsidR="00D51B09" w:rsidRDefault="00D51B09" w:rsidP="00EF2FE7">
      <w:pPr>
        <w:pStyle w:val="ParaLevel2"/>
      </w:pPr>
      <w:r>
        <w:t>First, a situation in which Livingbridge would want to summarily dismiss the Claimants</w:t>
      </w:r>
      <w:r w:rsidR="00F17E66">
        <w:t xml:space="preserve"> when, as at the date of the Transaction, </w:t>
      </w:r>
      <w:r>
        <w:t xml:space="preserve">there was no reason at all why it should wish to do so.  Livingbridge was </w:t>
      </w:r>
      <w:r w:rsidR="008069FF">
        <w:t xml:space="preserve">relying upon </w:t>
      </w:r>
      <w:r>
        <w:t xml:space="preserve">the management team (especially the Claimants) to </w:t>
      </w:r>
      <w:r w:rsidR="008069FF">
        <w:t>run the Company’s business</w:t>
      </w:r>
      <w:r>
        <w:t>. M</w:t>
      </w:r>
      <w:r w:rsidR="008069FF">
        <w:t xml:space="preserve">uch of the </w:t>
      </w:r>
      <w:r w:rsidR="00AA7180">
        <w:t>debate over the</w:t>
      </w:r>
      <w:r>
        <w:t xml:space="preserve"> Leaver Provisions during the negotiation of the Transaction were about Livingbridge wishing to tie in the Claimants by stipulating that they would lose rollover equity in the event that they decided to resign.</w:t>
      </w:r>
      <w:r w:rsidR="00AA7180">
        <w:t xml:space="preserve">  In cross-examination, Mr Purves </w:t>
      </w:r>
      <w:r w:rsidR="00F84966">
        <w:t>accepted there was “</w:t>
      </w:r>
      <w:r w:rsidR="00F84966" w:rsidRPr="00F84966">
        <w:rPr>
          <w:i/>
          <w:iCs/>
        </w:rPr>
        <w:t>zero chance</w:t>
      </w:r>
      <w:r w:rsidR="00F84966">
        <w:t>” that he or Mr Richards would be dismissed.</w:t>
      </w:r>
      <w:r>
        <w:t xml:space="preserve"> </w:t>
      </w:r>
    </w:p>
    <w:p w14:paraId="410E1066" w14:textId="77777777" w:rsidR="007425E8" w:rsidRDefault="00D51B09" w:rsidP="00EF2FE7">
      <w:pPr>
        <w:pStyle w:val="ParaLevel2"/>
      </w:pPr>
      <w:r>
        <w:t xml:space="preserve">Secondly, </w:t>
      </w:r>
      <w:r w:rsidR="00614B90">
        <w:t xml:space="preserve">the existence of grounds for </w:t>
      </w:r>
      <w:r>
        <w:t>Livingbridge be</w:t>
      </w:r>
      <w:r w:rsidR="004262E9">
        <w:t>ing</w:t>
      </w:r>
      <w:r>
        <w:t xml:space="preserve"> able to summarily dismiss the Claimants.  </w:t>
      </w:r>
      <w:r w:rsidR="004262E9">
        <w:t>Under the Articles, t</w:t>
      </w:r>
      <w:r>
        <w:t xml:space="preserve">his would require </w:t>
      </w:r>
      <w:r w:rsidR="00C948E9">
        <w:t xml:space="preserve">the agreement of the </w:t>
      </w:r>
      <w:r>
        <w:t>independent</w:t>
      </w:r>
      <w:r w:rsidR="00C948E9">
        <w:t xml:space="preserve"> </w:t>
      </w:r>
      <w:r>
        <w:t>Chairman</w:t>
      </w:r>
      <w:r w:rsidR="00C749B8">
        <w:t xml:space="preserve">, Mr Lockwood. </w:t>
      </w:r>
      <w:r>
        <w:t xml:space="preserve">The series of events by which the Claimants </w:t>
      </w:r>
      <w:r w:rsidR="00C749B8">
        <w:t>came to lose</w:t>
      </w:r>
      <w:r>
        <w:t xml:space="preserve"> the confidence of Mr Lockwood could not have been reasonably foreseen.</w:t>
      </w:r>
    </w:p>
    <w:p w14:paraId="07D5EC2D" w14:textId="77777777" w:rsidR="00917A76" w:rsidRDefault="00D51B09" w:rsidP="00EF2FE7">
      <w:pPr>
        <w:pStyle w:val="ParaLevel2"/>
      </w:pPr>
      <w:r>
        <w:t>Thirdly, any summary dismissal would have to be wrongful</w:t>
      </w:r>
      <w:r w:rsidR="00D9553E">
        <w:t xml:space="preserve"> </w:t>
      </w:r>
      <w:r w:rsidR="009B6DE8">
        <w:t xml:space="preserve">(as it is no part of the </w:t>
      </w:r>
      <w:r>
        <w:t>Claimants</w:t>
      </w:r>
      <w:r w:rsidR="009B6DE8">
        <w:t>’ case that the Firm failed to warn them</w:t>
      </w:r>
      <w:r>
        <w:t xml:space="preserve"> about the consequences of them being Bad Leavers</w:t>
      </w:r>
      <w:r w:rsidR="009B6DE8">
        <w:t>)</w:t>
      </w:r>
      <w:r>
        <w:t xml:space="preserve">.  </w:t>
      </w:r>
      <w:r w:rsidR="0065752D">
        <w:t xml:space="preserve">Again, this </w:t>
      </w:r>
      <w:r w:rsidR="001F4A8F">
        <w:t>outcome u</w:t>
      </w:r>
      <w:r w:rsidR="00917A76">
        <w:t xml:space="preserve">nder the Liability Judgment </w:t>
      </w:r>
      <w:r w:rsidR="0065752D">
        <w:t xml:space="preserve">should not have been anticipated when </w:t>
      </w:r>
      <w:r>
        <w:t xml:space="preserve">Livingbridge would be expected to act cautiously and </w:t>
      </w:r>
      <w:r w:rsidR="0065752D">
        <w:t xml:space="preserve">with the benefit of </w:t>
      </w:r>
      <w:r>
        <w:t>legal advice</w:t>
      </w:r>
      <w:r w:rsidR="0065752D">
        <w:t>.</w:t>
      </w:r>
    </w:p>
    <w:p w14:paraId="75FCBF94" w14:textId="501CDFD8" w:rsidR="00665684" w:rsidRDefault="00D51B09" w:rsidP="00EF2FE7">
      <w:pPr>
        <w:pStyle w:val="ParaLevel2"/>
      </w:pPr>
      <w:r>
        <w:t xml:space="preserve">Fourthly, the </w:t>
      </w:r>
      <w:r w:rsidR="007E1722">
        <w:t>c</w:t>
      </w:r>
      <w:r>
        <w:t xml:space="preserve">ourt would then have to accept </w:t>
      </w:r>
      <w:r w:rsidR="00EC5946">
        <w:t xml:space="preserve">the Company’s </w:t>
      </w:r>
      <w:r>
        <w:t xml:space="preserve">construction of </w:t>
      </w:r>
      <w:r w:rsidR="0082456B">
        <w:t>the impact of the RPP upon ar</w:t>
      </w:r>
      <w:r>
        <w:t>ticles 1</w:t>
      </w:r>
      <w:r w:rsidR="0082456B">
        <w:t>8</w:t>
      </w:r>
      <w:r>
        <w:t>.4</w:t>
      </w:r>
      <w:r w:rsidR="0082456B">
        <w:t xml:space="preserve">.1 when </w:t>
      </w:r>
      <w:r w:rsidR="001A28C8">
        <w:t xml:space="preserve">the Firm would have said (and I have found) that </w:t>
      </w:r>
      <w:r w:rsidR="000C653F">
        <w:t>the Quantum Judgment</w:t>
      </w:r>
      <w:r>
        <w:t xml:space="preserve"> </w:t>
      </w:r>
      <w:r w:rsidR="000C653F">
        <w:t xml:space="preserve">was </w:t>
      </w:r>
      <w:r>
        <w:t>wrong</w:t>
      </w:r>
      <w:r w:rsidR="000C653F">
        <w:t xml:space="preserve"> on this point.  </w:t>
      </w:r>
      <w:r w:rsidR="00EC5946">
        <w:t xml:space="preserve">The Firm highlights the view expressed by </w:t>
      </w:r>
      <w:r w:rsidR="00F41D94">
        <w:t xml:space="preserve">the Claimants’ solicitors in the Leaver Litigation, </w:t>
      </w:r>
      <w:r>
        <w:t>Clyde &amp; Co</w:t>
      </w:r>
      <w:r w:rsidR="00904E1E">
        <w:t>, when the Company raised the point.  They said the Company’s</w:t>
      </w:r>
      <w:r>
        <w:t xml:space="preserve"> construction </w:t>
      </w:r>
      <w:r w:rsidR="00E03377">
        <w:t>w</w:t>
      </w:r>
      <w:r>
        <w:t>as “</w:t>
      </w:r>
      <w:r w:rsidRPr="00E03377">
        <w:rPr>
          <w:i/>
          <w:iCs/>
        </w:rPr>
        <w:t>wholly uncommercial</w:t>
      </w:r>
      <w:r>
        <w:t>”, “</w:t>
      </w:r>
      <w:r w:rsidRPr="00E03377">
        <w:rPr>
          <w:i/>
          <w:iCs/>
        </w:rPr>
        <w:t>quite extreme</w:t>
      </w:r>
      <w:r>
        <w:t>” and “</w:t>
      </w:r>
      <w:r w:rsidRPr="00E03377">
        <w:rPr>
          <w:i/>
          <w:iCs/>
        </w:rPr>
        <w:t>clearly not intended</w:t>
      </w:r>
      <w:r>
        <w:t>”.</w:t>
      </w:r>
    </w:p>
    <w:p w14:paraId="1C1910C7" w14:textId="687E0D4D" w:rsidR="00D51B09" w:rsidRDefault="00665684" w:rsidP="00EF2FE7">
      <w:pPr>
        <w:pStyle w:val="ParaLevel2"/>
      </w:pPr>
      <w:r>
        <w:t>Lastly</w:t>
      </w:r>
      <w:r w:rsidR="00D51B09">
        <w:t xml:space="preserve">, the valuation of </w:t>
      </w:r>
      <w:r>
        <w:t xml:space="preserve">the Company </w:t>
      </w:r>
      <w:r w:rsidR="00D51B09">
        <w:t xml:space="preserve">would need to be such that it was the RPP (as opposed to the inherent equity value of the company) that meant that the Claimants might receive no or </w:t>
      </w:r>
      <w:r>
        <w:t>onl</w:t>
      </w:r>
      <w:r w:rsidR="00E912A7">
        <w:t xml:space="preserve">y </w:t>
      </w:r>
      <w:r w:rsidR="00D51B09">
        <w:t>nominal value for their share</w:t>
      </w:r>
      <w:r w:rsidR="00E912A7">
        <w:t xml:space="preserve">s. </w:t>
      </w:r>
      <w:r w:rsidR="00D51B09">
        <w:t xml:space="preserve">  If the equity value of </w:t>
      </w:r>
      <w:r w:rsidR="00E912A7">
        <w:t xml:space="preserve">the Company </w:t>
      </w:r>
      <w:r w:rsidR="00D51B09">
        <w:t xml:space="preserve">was nil or very low, there was no risk to the Claimants, because they would receive nothing or next to nothing for their shareholdings, whether or not the RPP applied.  </w:t>
      </w:r>
      <w:r w:rsidR="00452036">
        <w:t>The Claimants</w:t>
      </w:r>
      <w:r w:rsidR="009D26D6">
        <w:t>’</w:t>
      </w:r>
      <w:r w:rsidR="00452036">
        <w:t xml:space="preserve"> firm belief was that the Company’s equity value would have risen over </w:t>
      </w:r>
      <w:r w:rsidR="00EF2AF5">
        <w:t xml:space="preserve">time, meaning that the RPP would fall away.  This meant </w:t>
      </w:r>
      <w:r w:rsidR="00362D1D">
        <w:t>that the risk presented by the impact of the RPP was greatest soon after completion of the Transaction</w:t>
      </w:r>
      <w:r w:rsidR="00983BCA">
        <w:t xml:space="preserve"> and, the shorter the period after completion, the less likely it would be that the</w:t>
      </w:r>
      <w:r w:rsidR="0041368F">
        <w:t xml:space="preserve"> Claimants would be dismissed. </w:t>
      </w:r>
      <w:r w:rsidR="00A81FFA">
        <w:t xml:space="preserve">Again, </w:t>
      </w:r>
      <w:r w:rsidR="00342151">
        <w:t xml:space="preserve">the Firm says, </w:t>
      </w:r>
      <w:r w:rsidR="00D51B09">
        <w:t xml:space="preserve">there was no </w:t>
      </w:r>
      <w:r w:rsidR="00452036">
        <w:t xml:space="preserve">significant </w:t>
      </w:r>
      <w:r w:rsidR="00D51B09">
        <w:t xml:space="preserve">risk to the Claimants.  </w:t>
      </w:r>
    </w:p>
    <w:p w14:paraId="08A55878" w14:textId="484129B3" w:rsidR="00D51B09" w:rsidRDefault="00555B06" w:rsidP="00EF2FE7">
      <w:pPr>
        <w:pStyle w:val="ParaLevel1"/>
      </w:pPr>
      <w:r>
        <w:t xml:space="preserve">Most of these </w:t>
      </w:r>
      <w:r w:rsidR="00BB41AC">
        <w:t>we</w:t>
      </w:r>
      <w:r>
        <w:t xml:space="preserve">re </w:t>
      </w:r>
      <w:r w:rsidR="00081F10">
        <w:t xml:space="preserve">indeed </w:t>
      </w:r>
      <w:r>
        <w:t>commercial risks</w:t>
      </w:r>
      <w:r w:rsidR="003229A3">
        <w:t xml:space="preserve">, on which it was not for the Firm to advise, though the fourth </w:t>
      </w:r>
      <w:r w:rsidR="005F156E">
        <w:t xml:space="preserve">was a litigation risk </w:t>
      </w:r>
      <w:r w:rsidR="00734D8E">
        <w:t>which would carry with it a</w:t>
      </w:r>
      <w:r w:rsidR="009C6182">
        <w:t>n exposure to the legal costs of arguing the point</w:t>
      </w:r>
      <w:r w:rsidR="0075025C">
        <w:t xml:space="preserve"> of construction</w:t>
      </w:r>
      <w:r w:rsidR="00F876E8">
        <w:t xml:space="preserve"> and which</w:t>
      </w:r>
      <w:r w:rsidR="0075025C">
        <w:t xml:space="preserve"> </w:t>
      </w:r>
      <w:r w:rsidR="007F58C7">
        <w:t xml:space="preserve">encapsulates the risk </w:t>
      </w:r>
      <w:r w:rsidR="0015187D">
        <w:t xml:space="preserve">which I </w:t>
      </w:r>
      <w:r w:rsidR="003018DF">
        <w:t xml:space="preserve">am addressing for the purpose of deciding </w:t>
      </w:r>
      <w:r w:rsidR="002002FF">
        <w:t>whether or not the firm is liable.</w:t>
      </w:r>
      <w:r w:rsidR="009C6182">
        <w:t xml:space="preserve"> </w:t>
      </w:r>
    </w:p>
    <w:p w14:paraId="047DC60B" w14:textId="7A713C41" w:rsidR="00671647" w:rsidRDefault="00A66D0F" w:rsidP="00EF2FE7">
      <w:pPr>
        <w:pStyle w:val="ParaLevel1"/>
      </w:pPr>
      <w:r>
        <w:t>Th</w:t>
      </w:r>
      <w:r w:rsidR="005F7A91">
        <w:t xml:space="preserve">ese points </w:t>
      </w:r>
      <w:r w:rsidR="00971CB2">
        <w:t xml:space="preserve">go to the allegations in the Particulars of Claim (paragraphs </w:t>
      </w:r>
      <w:r w:rsidR="00CD265D">
        <w:t>30(a) and 31(a)</w:t>
      </w:r>
      <w:r w:rsidR="006C188D">
        <w:t>)</w:t>
      </w:r>
      <w:r w:rsidR="00CD265D">
        <w:t xml:space="preserve"> that the Firm was in breach of duty because it “</w:t>
      </w:r>
      <w:r w:rsidR="00CD265D" w:rsidRPr="002002FF">
        <w:rPr>
          <w:i/>
          <w:iCs/>
        </w:rPr>
        <w:t>f</w:t>
      </w:r>
      <w:r w:rsidR="004E24FD" w:rsidRPr="002002FF">
        <w:rPr>
          <w:i/>
          <w:iCs/>
        </w:rPr>
        <w:t>ailed to advise the Claimants of the risk that they could be wrongfully</w:t>
      </w:r>
      <w:r w:rsidR="00CD265D" w:rsidRPr="002002FF">
        <w:rPr>
          <w:i/>
          <w:iCs/>
        </w:rPr>
        <w:t xml:space="preserve"> </w:t>
      </w:r>
      <w:r w:rsidR="004E24FD" w:rsidRPr="002002FF">
        <w:rPr>
          <w:i/>
          <w:iCs/>
        </w:rPr>
        <w:t>dismissed, be classed as Good Leavers and receive no or nominal value for their shareholding</w:t>
      </w:r>
      <w:r w:rsidR="00CD265D" w:rsidRPr="002002FF">
        <w:rPr>
          <w:i/>
          <w:iCs/>
        </w:rPr>
        <w:t xml:space="preserve"> </w:t>
      </w:r>
      <w:r w:rsidR="004E24FD" w:rsidRPr="002002FF">
        <w:rPr>
          <w:i/>
          <w:iCs/>
        </w:rPr>
        <w:t>in the Company</w:t>
      </w:r>
      <w:r w:rsidR="00CD265D">
        <w:t>” when</w:t>
      </w:r>
      <w:r w:rsidR="00AB4869">
        <w:t xml:space="preserve"> a reasonably competent firm of solicitors would have</w:t>
      </w:r>
      <w:r w:rsidR="00CD265D">
        <w:t xml:space="preserve"> </w:t>
      </w:r>
      <w:r w:rsidR="00AB4869">
        <w:t>“</w:t>
      </w:r>
      <w:r w:rsidR="00AB4869" w:rsidRPr="002002FF">
        <w:rPr>
          <w:i/>
          <w:iCs/>
        </w:rPr>
        <w:t>sought to advise the Claimants on the basis of a worst case scenario, and in particular the</w:t>
      </w:r>
      <w:r w:rsidR="00D72E56" w:rsidRPr="002002FF">
        <w:rPr>
          <w:i/>
          <w:iCs/>
        </w:rPr>
        <w:t xml:space="preserve"> </w:t>
      </w:r>
      <w:r w:rsidR="00AB4869" w:rsidRPr="002002FF">
        <w:rPr>
          <w:i/>
          <w:iCs/>
        </w:rPr>
        <w:t>risks that they were exposed to in the event that the relationship with the Investors broke</w:t>
      </w:r>
      <w:r w:rsidR="00D72E56" w:rsidRPr="002002FF">
        <w:rPr>
          <w:i/>
          <w:iCs/>
        </w:rPr>
        <w:t xml:space="preserve"> </w:t>
      </w:r>
      <w:r w:rsidR="00AB4869" w:rsidRPr="002002FF">
        <w:rPr>
          <w:i/>
          <w:iCs/>
        </w:rPr>
        <w:t>down or the Investors sought to take advantage of them</w:t>
      </w:r>
      <w:r w:rsidR="004E24FD">
        <w:t>.</w:t>
      </w:r>
      <w:r w:rsidR="00D72E56">
        <w:t>”</w:t>
      </w:r>
    </w:p>
    <w:p w14:paraId="5F7EAF89" w14:textId="4C0C348B" w:rsidR="00770D15" w:rsidRDefault="00770D15" w:rsidP="00EF2FE7">
      <w:pPr>
        <w:pStyle w:val="ParaLevel1"/>
      </w:pPr>
      <w:r>
        <w:t xml:space="preserve">In my judgment, those allegations </w:t>
      </w:r>
      <w:r w:rsidR="0020423D">
        <w:t>do rest heavily upon hindsight</w:t>
      </w:r>
      <w:r w:rsidR="00CA4F53">
        <w:t xml:space="preserve"> and</w:t>
      </w:r>
      <w:r w:rsidR="003E78EE">
        <w:t xml:space="preserve"> it would </w:t>
      </w:r>
      <w:r w:rsidR="004A051D">
        <w:t>be wrong</w:t>
      </w:r>
      <w:r w:rsidR="00DF6FC2">
        <w:t xml:space="preserve"> and contrary to authority to </w:t>
      </w:r>
      <w:r w:rsidR="00FB27EF">
        <w:t xml:space="preserve">find </w:t>
      </w:r>
      <w:r w:rsidR="00BF5CF6">
        <w:t xml:space="preserve">the Firm was negligent </w:t>
      </w:r>
      <w:r w:rsidR="005848B5">
        <w:t xml:space="preserve">in the advice given or not given in 2014 </w:t>
      </w:r>
      <w:r w:rsidR="00D210F9">
        <w:t>by reference to th</w:t>
      </w:r>
      <w:r w:rsidR="00CB3CB1">
        <w:t xml:space="preserve">e events which later occurred.  This is particularly so when </w:t>
      </w:r>
      <w:r w:rsidR="000F3FF2">
        <w:t xml:space="preserve">the terms of the Liability Judgment provide no </w:t>
      </w:r>
      <w:r w:rsidR="00924415">
        <w:t xml:space="preserve">real </w:t>
      </w:r>
      <w:r w:rsidR="000F3FF2">
        <w:t xml:space="preserve">support for </w:t>
      </w:r>
      <w:r w:rsidR="004D164F">
        <w:t xml:space="preserve">a conclusion that Livingbridge decided to </w:t>
      </w:r>
      <w:r w:rsidR="0005718D">
        <w:t xml:space="preserve">summarily dismiss the Claimants </w:t>
      </w:r>
      <w:r w:rsidR="0005718D" w:rsidRPr="0005718D">
        <w:rPr>
          <w:i/>
          <w:iCs/>
        </w:rPr>
        <w:t>because</w:t>
      </w:r>
      <w:r w:rsidR="0005718D">
        <w:t xml:space="preserve"> </w:t>
      </w:r>
      <w:r w:rsidR="008671DC">
        <w:t>it realised it had put one over on them in the drafting of article 18.4.1.</w:t>
      </w:r>
      <w:r w:rsidR="0056173F">
        <w:t xml:space="preserve">  </w:t>
      </w:r>
      <w:r w:rsidR="00EE2C32">
        <w:t>I have already noted that May J rejected the idea of a “</w:t>
      </w:r>
      <w:r w:rsidR="00EE2C32" w:rsidRPr="007F2F54">
        <w:rPr>
          <w:i/>
          <w:iCs/>
        </w:rPr>
        <w:t>bear trap</w:t>
      </w:r>
      <w:r w:rsidR="00EE2C32">
        <w:t>” having been set</w:t>
      </w:r>
      <w:r w:rsidR="007F2F54">
        <w:t xml:space="preserve"> for them</w:t>
      </w:r>
      <w:r w:rsidR="00EE2C32">
        <w:t xml:space="preserve">. </w:t>
      </w:r>
    </w:p>
    <w:p w14:paraId="180AF5FB" w14:textId="77777777" w:rsidR="00DC3CF1" w:rsidRDefault="00881990" w:rsidP="00EF2FE7">
      <w:pPr>
        <w:pStyle w:val="ParaLevel1"/>
      </w:pPr>
      <w:r>
        <w:t xml:space="preserve">The Firm contends that </w:t>
      </w:r>
      <w:r w:rsidR="007F4C43">
        <w:t>Mr Purves’</w:t>
      </w:r>
      <w:r w:rsidR="00E31E58">
        <w:t xml:space="preserve"> </w:t>
      </w:r>
      <w:r w:rsidR="007F4C43">
        <w:t xml:space="preserve">acceptance that there was no chance of the Claimants being summarily dismissed was, by itself, </w:t>
      </w:r>
      <w:r w:rsidR="007F4C43" w:rsidRPr="007F4C43">
        <w:t>fatal to the</w:t>
      </w:r>
      <w:r w:rsidR="007F4C43">
        <w:t xml:space="preserve">ir </w:t>
      </w:r>
      <w:r w:rsidR="007F4C43" w:rsidRPr="007F4C43">
        <w:t>case on both liability and causation</w:t>
      </w:r>
      <w:r w:rsidR="007F4C43">
        <w:t>.</w:t>
      </w:r>
    </w:p>
    <w:p w14:paraId="4BEA136E" w14:textId="0BC407F0" w:rsidR="00E124A2" w:rsidRDefault="00E124A2" w:rsidP="00EF2FE7">
      <w:pPr>
        <w:pStyle w:val="ParaLevel1"/>
      </w:pPr>
      <w:r>
        <w:t xml:space="preserve">However, </w:t>
      </w:r>
      <w:r w:rsidR="00326FC8">
        <w:t xml:space="preserve">the </w:t>
      </w:r>
      <w:r w:rsidR="00B148B9">
        <w:t xml:space="preserve">admonition against reliance upon hindsight </w:t>
      </w:r>
      <w:r w:rsidR="004C1D7E">
        <w:t xml:space="preserve">as the touchstone of negligence is one that applies to both parties.  </w:t>
      </w:r>
      <w:r w:rsidR="004A6D9B">
        <w:t>M</w:t>
      </w:r>
      <w:r w:rsidR="0045753B">
        <w:t xml:space="preserve">r Leiper </w:t>
      </w:r>
      <w:r w:rsidR="006C188D">
        <w:t xml:space="preserve">QC </w:t>
      </w:r>
      <w:r w:rsidR="0045753B">
        <w:t xml:space="preserve">responded to </w:t>
      </w:r>
      <w:r w:rsidR="00180C98">
        <w:t xml:space="preserve">the Firm’s suggestion that the </w:t>
      </w:r>
      <w:r w:rsidR="00333688">
        <w:t xml:space="preserve">existence of the </w:t>
      </w:r>
      <w:r w:rsidR="00180C98">
        <w:t xml:space="preserve">risk </w:t>
      </w:r>
      <w:r w:rsidR="00333688">
        <w:t xml:space="preserve">to be warned against was one </w:t>
      </w:r>
      <w:r w:rsidR="004113A5">
        <w:t xml:space="preserve">which </w:t>
      </w:r>
      <w:r w:rsidR="00333688">
        <w:t>depended upon a “fanciful” chain of events</w:t>
      </w:r>
      <w:r w:rsidR="004113A5">
        <w:t xml:space="preserve"> by saying that wrongful dismissal is a reasonably common occurrence</w:t>
      </w:r>
      <w:r w:rsidR="009905B8">
        <w:t>.  He said that almost any party entering into a transaction has the hope and expectation</w:t>
      </w:r>
      <w:r w:rsidR="006220DB">
        <w:t xml:space="preserve"> </w:t>
      </w:r>
      <w:r w:rsidR="009905B8">
        <w:t>that it will run smoothly; all the more so in a relational contract, where mutual trust is the starting</w:t>
      </w:r>
      <w:r w:rsidR="006220DB">
        <w:t xml:space="preserve"> </w:t>
      </w:r>
      <w:r w:rsidR="009905B8">
        <w:t>point. But those are cases where, if things go wrong, they can go particularly badly wrong. And that</w:t>
      </w:r>
      <w:r w:rsidR="00630966">
        <w:t xml:space="preserve"> </w:t>
      </w:r>
      <w:r w:rsidR="009905B8">
        <w:t>is why legal advice is necessary: the situation is unthinkable for the client to contemplate, but it is</w:t>
      </w:r>
      <w:r w:rsidR="006220DB">
        <w:t xml:space="preserve"> </w:t>
      </w:r>
      <w:r w:rsidR="009905B8">
        <w:t>the duty of the lawyer to anticipate the unthinkable but predictable</w:t>
      </w:r>
      <w:r w:rsidR="006220DB">
        <w:t>.</w:t>
      </w:r>
      <w:r w:rsidR="00333688">
        <w:t xml:space="preserve"> </w:t>
      </w:r>
    </w:p>
    <w:p w14:paraId="7C18BF6F" w14:textId="0077B305" w:rsidR="00FD2890" w:rsidRDefault="00A56B6A" w:rsidP="00EF2FE7">
      <w:pPr>
        <w:pStyle w:val="ParaLevel1"/>
      </w:pPr>
      <w:r>
        <w:t xml:space="preserve">It is important to emphasise that </w:t>
      </w:r>
      <w:r w:rsidR="00B77CD5">
        <w:t>t</w:t>
      </w:r>
      <w:r w:rsidR="00835BE4">
        <w:t xml:space="preserve">he Particulars of Claim </w:t>
      </w:r>
      <w:r w:rsidR="00F5422E">
        <w:t xml:space="preserve">also contain distinct allegations that the Firm </w:t>
      </w:r>
      <w:r w:rsidR="00835BE4">
        <w:t>failed to advise the Claimants that the R</w:t>
      </w:r>
      <w:r w:rsidR="00C62EEC">
        <w:t>PP</w:t>
      </w:r>
      <w:r w:rsidR="00835BE4">
        <w:t xml:space="preserve"> would</w:t>
      </w:r>
      <w:r w:rsidR="00F5422E">
        <w:t xml:space="preserve"> </w:t>
      </w:r>
      <w:r w:rsidR="00835BE4">
        <w:t>apply to the calcul</w:t>
      </w:r>
      <w:r w:rsidR="00FD2890">
        <w:t>a</w:t>
      </w:r>
      <w:r w:rsidR="00835BE4">
        <w:t>tion of Market Value for a Good Leaver</w:t>
      </w:r>
      <w:r w:rsidR="00F5422E">
        <w:t xml:space="preserve"> when </w:t>
      </w:r>
      <w:r w:rsidR="00B640F9">
        <w:t>a reasonably competent firm of solicitors would have</w:t>
      </w:r>
      <w:r w:rsidR="002D5DCB">
        <w:t xml:space="preserve"> </w:t>
      </w:r>
      <w:r w:rsidR="00B640F9">
        <w:t>(</w:t>
      </w:r>
      <w:r w:rsidR="002D5DCB">
        <w:t>1</w:t>
      </w:r>
      <w:r w:rsidR="00B640F9">
        <w:t xml:space="preserve">) </w:t>
      </w:r>
      <w:r w:rsidR="009F1906">
        <w:t>i</w:t>
      </w:r>
      <w:r w:rsidR="00B640F9">
        <w:t>dentified that the draft Articles would (alternatively could) be construed as meaning that the</w:t>
      </w:r>
      <w:r w:rsidR="00C62EEC">
        <w:t xml:space="preserve"> </w:t>
      </w:r>
      <w:r w:rsidR="00B640F9">
        <w:t>RPP would be taken into account in determining Market Value</w:t>
      </w:r>
      <w:r w:rsidR="00C62EEC">
        <w:t xml:space="preserve"> </w:t>
      </w:r>
      <w:r w:rsidR="00B640F9">
        <w:t>for a Good Leaver and advised the</w:t>
      </w:r>
      <w:r w:rsidR="009F1906">
        <w:t xml:space="preserve">m </w:t>
      </w:r>
      <w:r w:rsidR="00B640F9">
        <w:t>accordingly</w:t>
      </w:r>
      <w:r w:rsidR="009F1906">
        <w:t>; and (2) i</w:t>
      </w:r>
      <w:r w:rsidR="00B640F9">
        <w:t>ncluded language within the draft Articles that the RPP would</w:t>
      </w:r>
      <w:r w:rsidR="00FD2890">
        <w:t xml:space="preserve"> </w:t>
      </w:r>
      <w:r w:rsidR="00B640F9">
        <w:t>not apply in the calculation of Market Value for a Good Leaver.</w:t>
      </w:r>
    </w:p>
    <w:p w14:paraId="4B95478A" w14:textId="2F989E52" w:rsidR="00E50667" w:rsidRDefault="003B05DC" w:rsidP="00EF2FE7">
      <w:pPr>
        <w:pStyle w:val="ParaLevel1"/>
      </w:pPr>
      <w:r>
        <w:t xml:space="preserve">In </w:t>
      </w:r>
      <w:r w:rsidR="00EF1B15">
        <w:t xml:space="preserve">response to this, the Defence makes </w:t>
      </w:r>
      <w:r w:rsidR="00560497">
        <w:t>four</w:t>
      </w:r>
      <w:r w:rsidR="005D42D6">
        <w:t xml:space="preserve"> essential p</w:t>
      </w:r>
      <w:r w:rsidR="00085160">
        <w:t>oint</w:t>
      </w:r>
      <w:r w:rsidR="005D42D6">
        <w:t>s</w:t>
      </w:r>
      <w:r w:rsidR="00085160">
        <w:t>.  The first is to the effect that positive advice</w:t>
      </w:r>
      <w:r w:rsidR="00FA4941">
        <w:t xml:space="preserve"> from the Firm</w:t>
      </w:r>
      <w:r w:rsidR="00085160">
        <w:t xml:space="preserve"> that the RPP would apply to </w:t>
      </w:r>
      <w:r w:rsidR="00FA4941">
        <w:t>the determination of Market Value would have been wrong</w:t>
      </w:r>
      <w:r w:rsidR="00C32FA3">
        <w:t xml:space="preserve"> advice</w:t>
      </w:r>
      <w:r w:rsidR="00FA4941">
        <w:t xml:space="preserve">.  In the light of </w:t>
      </w:r>
      <w:r w:rsidR="00FD1359">
        <w:t xml:space="preserve">my </w:t>
      </w:r>
      <w:r w:rsidR="00FA4941">
        <w:t xml:space="preserve">interpretation of </w:t>
      </w:r>
      <w:r w:rsidR="00C32FA3">
        <w:t xml:space="preserve">article 18.4.1 this cannot be gainsaid.  The </w:t>
      </w:r>
      <w:r w:rsidR="00F87D90">
        <w:t xml:space="preserve">second is that any application of the RPP </w:t>
      </w:r>
      <w:r w:rsidR="00A474C9">
        <w:t xml:space="preserve">to that determination was </w:t>
      </w:r>
      <w:r w:rsidR="00EF1B15">
        <w:t>a</w:t>
      </w:r>
      <w:r w:rsidR="00A474C9">
        <w:t xml:space="preserve"> </w:t>
      </w:r>
      <w:r w:rsidR="00EF1B15">
        <w:t>commercial consequence of the RP</w:t>
      </w:r>
      <w:r w:rsidR="00A474C9">
        <w:t>P</w:t>
      </w:r>
      <w:r w:rsidR="0035631A">
        <w:t xml:space="preserve">; an agreement which had been </w:t>
      </w:r>
      <w:r w:rsidR="00EF1B15">
        <w:t xml:space="preserve">reached </w:t>
      </w:r>
      <w:r w:rsidR="0035631A">
        <w:t>(</w:t>
      </w:r>
      <w:r w:rsidR="00EF1B15">
        <w:t>commercially</w:t>
      </w:r>
      <w:r w:rsidR="0035631A">
        <w:t>)</w:t>
      </w:r>
      <w:r w:rsidR="00EF1B15">
        <w:t xml:space="preserve"> between the parties and</w:t>
      </w:r>
      <w:r w:rsidR="00190454">
        <w:t xml:space="preserve"> </w:t>
      </w:r>
      <w:r w:rsidR="00EF1B15">
        <w:t xml:space="preserve">presented to the </w:t>
      </w:r>
      <w:r w:rsidR="00190454">
        <w:t>Firm</w:t>
      </w:r>
      <w:r w:rsidR="00EF1B15">
        <w:t xml:space="preserve"> as the basis for the transaction.</w:t>
      </w:r>
      <w:r w:rsidR="00190454">
        <w:t xml:space="preserve">  </w:t>
      </w:r>
      <w:r w:rsidR="007D6FEB">
        <w:t xml:space="preserve">Further, Mr Crossley drew attention to it on 14 October 2014. </w:t>
      </w:r>
      <w:r w:rsidR="00190454">
        <w:t>T</w:t>
      </w:r>
      <w:r w:rsidR="00EF1B15">
        <w:t>he</w:t>
      </w:r>
      <w:r w:rsidR="00190454">
        <w:t xml:space="preserve"> third point </w:t>
      </w:r>
      <w:r w:rsidR="009324C3">
        <w:t xml:space="preserve">is that, whilst </w:t>
      </w:r>
      <w:r w:rsidR="002D6D87" w:rsidRPr="002D6D87">
        <w:t xml:space="preserve">it is admitted that the </w:t>
      </w:r>
      <w:r w:rsidR="009324C3">
        <w:t xml:space="preserve">Firm was </w:t>
      </w:r>
      <w:r w:rsidR="002D6D87" w:rsidRPr="002D6D87">
        <w:t>obliged to advise on the basis</w:t>
      </w:r>
      <w:r w:rsidR="009324C3">
        <w:t xml:space="preserve"> </w:t>
      </w:r>
      <w:r w:rsidR="008E1FB7">
        <w:t xml:space="preserve">of a </w:t>
      </w:r>
      <w:r w:rsidR="008E1FB7" w:rsidRPr="00BD2859">
        <w:rPr>
          <w:i/>
          <w:iCs/>
        </w:rPr>
        <w:t>reasonable</w:t>
      </w:r>
      <w:r w:rsidR="008E1FB7">
        <w:t xml:space="preserve"> worst case scenario, it is </w:t>
      </w:r>
      <w:r w:rsidR="00BD2859">
        <w:t>denied that it was</w:t>
      </w:r>
      <w:r w:rsidR="008E1FB7">
        <w:t xml:space="preserve"> obliged to advise on the basis of</w:t>
      </w:r>
      <w:r w:rsidR="00BD2859">
        <w:t xml:space="preserve"> </w:t>
      </w:r>
      <w:r w:rsidR="008E1FB7">
        <w:t xml:space="preserve">every conceivable scenario that might arise on every construction of the </w:t>
      </w:r>
      <w:r w:rsidR="00BD2859">
        <w:t>A</w:t>
      </w:r>
      <w:r w:rsidR="008E1FB7">
        <w:t>rticles</w:t>
      </w:r>
      <w:r w:rsidR="00BD2859">
        <w:t xml:space="preserve">.  </w:t>
      </w:r>
      <w:r w:rsidR="00120938">
        <w:t xml:space="preserve">The </w:t>
      </w:r>
      <w:r w:rsidR="00BD2859">
        <w:t>f</w:t>
      </w:r>
      <w:r w:rsidR="00120938">
        <w:t xml:space="preserve">ourth </w:t>
      </w:r>
      <w:r w:rsidR="00BD2859">
        <w:t xml:space="preserve">point </w:t>
      </w:r>
      <w:r w:rsidR="00190454">
        <w:t xml:space="preserve">is that </w:t>
      </w:r>
      <w:r w:rsidR="008035BE">
        <w:t xml:space="preserve">the language of the Articles contained </w:t>
      </w:r>
      <w:r w:rsidR="00EF1B15">
        <w:t>standard wording for private equity transactions of this kind</w:t>
      </w:r>
      <w:r w:rsidR="008035BE">
        <w:t xml:space="preserve"> and</w:t>
      </w:r>
      <w:r w:rsidR="00B67819">
        <w:t xml:space="preserve">, had the Firm proposed a carve-out of the RPP from the determination of value, </w:t>
      </w:r>
      <w:r w:rsidR="00EF1B15">
        <w:t xml:space="preserve">it would </w:t>
      </w:r>
      <w:r w:rsidR="00B67819">
        <w:t xml:space="preserve">not </w:t>
      </w:r>
      <w:r w:rsidR="00EF1B15">
        <w:t>have been</w:t>
      </w:r>
      <w:r w:rsidR="00B67819">
        <w:t xml:space="preserve"> </w:t>
      </w:r>
      <w:r w:rsidR="00EF1B15">
        <w:t xml:space="preserve">accepted by Livingbridge and hence </w:t>
      </w:r>
      <w:r w:rsidR="005D42D6">
        <w:t>not included.</w:t>
      </w:r>
    </w:p>
    <w:p w14:paraId="2161E676" w14:textId="77777777" w:rsidR="00023A9D" w:rsidRDefault="00F97A9F" w:rsidP="00EF2FE7">
      <w:pPr>
        <w:pStyle w:val="ParaLevel1"/>
      </w:pPr>
      <w:r>
        <w:t xml:space="preserve">That last point goes to the issue of causation and loss of a chance.  It is the second </w:t>
      </w:r>
      <w:r w:rsidR="00BD2859">
        <w:t xml:space="preserve">and third points </w:t>
      </w:r>
      <w:r w:rsidR="00777638">
        <w:t xml:space="preserve">which are the response to </w:t>
      </w:r>
      <w:r w:rsidR="00D22282">
        <w:t xml:space="preserve">the Claimant’s complaint that the Firm </w:t>
      </w:r>
      <w:r w:rsidR="009A3667">
        <w:t xml:space="preserve">did not advise them that the wording (standard or not) </w:t>
      </w:r>
      <w:r w:rsidR="00B07A7F">
        <w:t xml:space="preserve">created the </w:t>
      </w:r>
      <w:r w:rsidR="00B07A7F" w:rsidRPr="00B07A7F">
        <w:rPr>
          <w:i/>
          <w:iCs/>
        </w:rPr>
        <w:t>risk</w:t>
      </w:r>
      <w:r w:rsidR="00B07A7F">
        <w:t xml:space="preserve"> that the RPP could be </w:t>
      </w:r>
      <w:r w:rsidR="00710D39">
        <w:t xml:space="preserve">held to impact upon </w:t>
      </w:r>
      <w:r w:rsidR="009B11EC">
        <w:t>the Market Value of the Claimants’ shares.</w:t>
      </w:r>
    </w:p>
    <w:p w14:paraId="236F266E" w14:textId="5038780A" w:rsidR="005D42D6" w:rsidRDefault="0042182F" w:rsidP="00EF2FE7">
      <w:pPr>
        <w:pStyle w:val="ParaLevel1"/>
        <w:numPr>
          <w:ilvl w:val="0"/>
          <w:numId w:val="0"/>
        </w:numPr>
        <w:ind w:left="720"/>
      </w:pPr>
      <w:r>
        <w:t xml:space="preserve">  </w:t>
      </w:r>
    </w:p>
    <w:p w14:paraId="67E0F543" w14:textId="3CE50079" w:rsidR="001D35F1" w:rsidRPr="001D35F1" w:rsidRDefault="001D35F1" w:rsidP="00EF2FE7">
      <w:pPr>
        <w:pStyle w:val="ParaLevel1"/>
        <w:numPr>
          <w:ilvl w:val="0"/>
          <w:numId w:val="0"/>
        </w:numPr>
        <w:ind w:left="720"/>
        <w:rPr>
          <w:b/>
          <w:bCs/>
          <w:u w:val="single"/>
        </w:rPr>
      </w:pPr>
      <w:r w:rsidRPr="001D35F1">
        <w:rPr>
          <w:b/>
          <w:bCs/>
          <w:u w:val="single"/>
        </w:rPr>
        <w:t>Liability: Conclusion</w:t>
      </w:r>
    </w:p>
    <w:p w14:paraId="0A49FA05" w14:textId="0B42A918" w:rsidR="00A30323" w:rsidRDefault="0042182F" w:rsidP="00EF2FE7">
      <w:pPr>
        <w:pStyle w:val="ParaLevel1"/>
      </w:pPr>
      <w:r>
        <w:t>In my judgment, th</w:t>
      </w:r>
      <w:r w:rsidR="00E16207">
        <w:t>os</w:t>
      </w:r>
      <w:r>
        <w:t xml:space="preserve">e are not good </w:t>
      </w:r>
      <w:r w:rsidR="0090755B">
        <w:t xml:space="preserve">defences to the </w:t>
      </w:r>
      <w:r w:rsidR="0028061C">
        <w:t xml:space="preserve">allegation that the Firm </w:t>
      </w:r>
      <w:r w:rsidR="00357613">
        <w:t>was in breach of duty in failing to identify th</w:t>
      </w:r>
      <w:r w:rsidR="00A829B8">
        <w:t>at</w:t>
      </w:r>
      <w:r w:rsidR="00357613">
        <w:t xml:space="preserve"> risk and to </w:t>
      </w:r>
      <w:r w:rsidR="00445554">
        <w:t xml:space="preserve">take steps </w:t>
      </w:r>
      <w:r w:rsidR="00851CA5">
        <w:t xml:space="preserve">with a view to </w:t>
      </w:r>
      <w:r w:rsidR="00046742">
        <w:t>eliminating it (if Livingbridge agreed)</w:t>
      </w:r>
      <w:r w:rsidR="00445554">
        <w:t xml:space="preserve"> by appropriate drafting.</w:t>
      </w:r>
      <w:r w:rsidR="007A5F18">
        <w:t xml:space="preserve">  </w:t>
      </w:r>
      <w:r w:rsidR="001D35F1">
        <w:t>I find the Firm was in breach of its duty of care in that respect.</w:t>
      </w:r>
    </w:p>
    <w:p w14:paraId="7613EF7B" w14:textId="771C0DCA" w:rsidR="00A63084" w:rsidRDefault="007A5F18" w:rsidP="00EF2FE7">
      <w:pPr>
        <w:pStyle w:val="ParaLevel1"/>
      </w:pPr>
      <w:r>
        <w:t>I now set out my reasons for reaching that conclusio</w:t>
      </w:r>
      <w:r w:rsidR="00A63084">
        <w:t>n:</w:t>
      </w:r>
    </w:p>
    <w:p w14:paraId="233250F5" w14:textId="17BB371C" w:rsidR="007212A2" w:rsidRDefault="00222323" w:rsidP="00EF2FE7">
      <w:pPr>
        <w:pStyle w:val="ParaLevel2"/>
      </w:pPr>
      <w:r>
        <w:t>A</w:t>
      </w:r>
      <w:r w:rsidR="00840A30" w:rsidRPr="00840A30">
        <w:t xml:space="preserve">s I </w:t>
      </w:r>
      <w:r w:rsidR="005174A8">
        <w:t xml:space="preserve">have </w:t>
      </w:r>
      <w:r w:rsidR="00840A30">
        <w:t xml:space="preserve">concluded </w:t>
      </w:r>
      <w:r w:rsidR="00840A30" w:rsidRPr="00840A30">
        <w:t xml:space="preserve">above, </w:t>
      </w:r>
      <w:r w:rsidR="00A829B8">
        <w:t>the risk was a</w:t>
      </w:r>
      <w:r w:rsidR="00840A30" w:rsidRPr="00840A30">
        <w:t xml:space="preserve"> significant risk</w:t>
      </w:r>
      <w:r w:rsidR="00840A30">
        <w:t xml:space="preserve"> even though it </w:t>
      </w:r>
      <w:r w:rsidR="005174A8">
        <w:t xml:space="preserve">actually (and </w:t>
      </w:r>
      <w:r w:rsidR="00B16907">
        <w:t>quickly</w:t>
      </w:r>
      <w:r w:rsidR="005174A8">
        <w:t>)</w:t>
      </w:r>
      <w:r w:rsidR="00B16907">
        <w:t xml:space="preserve"> </w:t>
      </w:r>
      <w:r w:rsidR="00840A30">
        <w:t xml:space="preserve">materialised </w:t>
      </w:r>
      <w:r w:rsidR="00B16907">
        <w:t xml:space="preserve">in circumstances which neither the Claimants nor the Firm anticipated </w:t>
      </w:r>
      <w:r w:rsidR="00847BC2">
        <w:t xml:space="preserve">before the </w:t>
      </w:r>
      <w:r w:rsidR="007212A2">
        <w:t>conclusion of the Transaction.</w:t>
      </w:r>
    </w:p>
    <w:p w14:paraId="5E9B4178" w14:textId="13379F92" w:rsidR="00F645D5" w:rsidRDefault="0058271F" w:rsidP="00EF2FE7">
      <w:pPr>
        <w:pStyle w:val="ParaLevel2"/>
      </w:pPr>
      <w:r>
        <w:t xml:space="preserve">The risk was one </w:t>
      </w:r>
      <w:r w:rsidR="00AB590B">
        <w:t xml:space="preserve">created by the language of article 18.4.1.  </w:t>
      </w:r>
      <w:r w:rsidR="00470FBF">
        <w:t xml:space="preserve">It is no answer </w:t>
      </w:r>
      <w:r w:rsidR="00EF2B8D">
        <w:t xml:space="preserve">for the Firm </w:t>
      </w:r>
      <w:r w:rsidR="00470FBF">
        <w:t>to say</w:t>
      </w:r>
      <w:r w:rsidR="00EF2B8D">
        <w:t>, correctly,</w:t>
      </w:r>
      <w:r w:rsidR="00470FBF">
        <w:t xml:space="preserve"> that the RPP </w:t>
      </w:r>
      <w:r w:rsidR="00A1716B">
        <w:t>was the result of commercial negotiation between the Claimants (and Knight) and Livingbridge</w:t>
      </w:r>
      <w:r w:rsidR="00777D17">
        <w:t>.  T</w:t>
      </w:r>
      <w:r w:rsidR="00682FD6">
        <w:t xml:space="preserve">he Firm was responsible for </w:t>
      </w:r>
      <w:r w:rsidR="00164720">
        <w:t xml:space="preserve">negotiating and </w:t>
      </w:r>
      <w:r w:rsidR="00C10D38">
        <w:t xml:space="preserve">reviewing the </w:t>
      </w:r>
      <w:r w:rsidR="003C7306">
        <w:t xml:space="preserve">draft </w:t>
      </w:r>
      <w:r w:rsidR="00C10D38">
        <w:t xml:space="preserve">Articles to </w:t>
      </w:r>
      <w:r w:rsidR="00EF2B8D">
        <w:t xml:space="preserve">ensure that </w:t>
      </w:r>
      <w:r w:rsidR="00CD12F7">
        <w:t xml:space="preserve">the legal provisions were fully aligned with the Claimants’ understanding that the RPP applied </w:t>
      </w:r>
      <w:r w:rsidR="00777D17">
        <w:t xml:space="preserve">to an “exit” </w:t>
      </w:r>
      <w:r w:rsidR="00CE6D64">
        <w:t xml:space="preserve">involving Livingbridge and to consider whether </w:t>
      </w:r>
      <w:r w:rsidR="003C7306">
        <w:t xml:space="preserve">the provisions could be read as having a wider impact.  In his </w:t>
      </w:r>
      <w:r w:rsidR="00F825D4">
        <w:t xml:space="preserve">testimony, Mr Richards likened the position to a house purchase where </w:t>
      </w:r>
      <w:r w:rsidR="004B71C4">
        <w:t xml:space="preserve">the buyer agrees the terms of purchase </w:t>
      </w:r>
      <w:r w:rsidR="00210E69">
        <w:t>with the assistance of an estate agent but the transaction is then passed to his solicitors to advise upon its legal implications.</w:t>
      </w:r>
      <w:r w:rsidR="00DC2DE4">
        <w:t xml:space="preserve">  He drew much the same kind of distinction when in his email to Mr Morris of </w:t>
      </w:r>
      <w:r w:rsidR="008A6DFB">
        <w:t>18 August 2014: “</w:t>
      </w:r>
      <w:r w:rsidR="001913D3" w:rsidRPr="00204ECC">
        <w:rPr>
          <w:i/>
          <w:iCs/>
        </w:rPr>
        <w:t>Hi Paul thank you for the revised heads, as per Keith's email below we are both happy with the</w:t>
      </w:r>
      <w:r w:rsidR="008A6DFB" w:rsidRPr="00204ECC">
        <w:rPr>
          <w:i/>
          <w:iCs/>
        </w:rPr>
        <w:t xml:space="preserve"> </w:t>
      </w:r>
      <w:r w:rsidR="001913D3" w:rsidRPr="00204ECC">
        <w:rPr>
          <w:i/>
          <w:iCs/>
        </w:rPr>
        <w:t>heads, I understand Paul B has forwarded to Speechleys to sanity check but the key commercial</w:t>
      </w:r>
      <w:r w:rsidR="008A6DFB" w:rsidRPr="00204ECC">
        <w:rPr>
          <w:i/>
          <w:iCs/>
        </w:rPr>
        <w:t xml:space="preserve"> </w:t>
      </w:r>
      <w:r w:rsidR="001913D3" w:rsidRPr="00204ECC">
        <w:rPr>
          <w:i/>
          <w:iCs/>
        </w:rPr>
        <w:t>areas are all fine with us we and look forward to pushing ahead and getting this deal completed in</w:t>
      </w:r>
      <w:r w:rsidR="008A6DFB" w:rsidRPr="00204ECC">
        <w:rPr>
          <w:i/>
          <w:iCs/>
        </w:rPr>
        <w:t xml:space="preserve"> </w:t>
      </w:r>
      <w:r w:rsidR="001913D3" w:rsidRPr="00204ECC">
        <w:rPr>
          <w:i/>
          <w:iCs/>
        </w:rPr>
        <w:t>October</w:t>
      </w:r>
      <w:r w:rsidR="00682FD6">
        <w:t xml:space="preserve"> </w:t>
      </w:r>
      <w:r w:rsidR="008A6DFB">
        <w:t>.”</w:t>
      </w:r>
      <w:r w:rsidR="0059222C">
        <w:t xml:space="preserve">  The Claimants were entitled to a further sanity check </w:t>
      </w:r>
      <w:r w:rsidR="00273493">
        <w:t>when</w:t>
      </w:r>
      <w:r w:rsidR="0059222C">
        <w:t xml:space="preserve"> </w:t>
      </w:r>
      <w:r w:rsidR="00065676">
        <w:t xml:space="preserve">Olswang </w:t>
      </w:r>
      <w:r w:rsidR="00BB3BFF">
        <w:t>later circulated draft Articles addressing the RPP.</w:t>
      </w:r>
      <w:r w:rsidR="00065676">
        <w:t xml:space="preserve"> </w:t>
      </w:r>
      <w:r w:rsidR="00E4769B">
        <w:t xml:space="preserve"> On </w:t>
      </w:r>
      <w:r w:rsidR="008B0705">
        <w:t xml:space="preserve">10 November 2014 (after the draft Articles had been amended to reflect the </w:t>
      </w:r>
      <w:r w:rsidR="002019C1">
        <w:t>RPP) Ms Cockburn sent an email to Mr Cross</w:t>
      </w:r>
      <w:r w:rsidR="003C4AC0">
        <w:t>l</w:t>
      </w:r>
      <w:r w:rsidR="002019C1">
        <w:t>ey and Mr Billingham saying</w:t>
      </w:r>
      <w:r w:rsidR="00204ECC">
        <w:t>: “</w:t>
      </w:r>
      <w:r w:rsidR="008B0705" w:rsidRPr="00204ECC">
        <w:rPr>
          <w:i/>
          <w:iCs/>
        </w:rPr>
        <w:t>Just as a heads up - had a quick call with Paul R, he has concerns about the value of his shares if he</w:t>
      </w:r>
      <w:r w:rsidR="00204ECC" w:rsidRPr="00204ECC">
        <w:rPr>
          <w:i/>
          <w:iCs/>
        </w:rPr>
        <w:t xml:space="preserve"> </w:t>
      </w:r>
      <w:r w:rsidR="008B0705" w:rsidRPr="00204ECC">
        <w:rPr>
          <w:i/>
          <w:iCs/>
        </w:rPr>
        <w:t>becomes a leaver as well as the timing of receiving cash if he is a leaver.</w:t>
      </w:r>
      <w:r w:rsidR="00204ECC" w:rsidRPr="00204ECC">
        <w:rPr>
          <w:i/>
          <w:iCs/>
        </w:rPr>
        <w:t xml:space="preserve"> </w:t>
      </w:r>
      <w:r w:rsidR="008B0705" w:rsidRPr="00204ECC">
        <w:rPr>
          <w:i/>
          <w:iCs/>
        </w:rPr>
        <w:t>I made the point that this was covering old ground but suggested we discuss together on the call this</w:t>
      </w:r>
      <w:r w:rsidR="00204ECC" w:rsidRPr="00204ECC">
        <w:rPr>
          <w:i/>
          <w:iCs/>
        </w:rPr>
        <w:t xml:space="preserve"> </w:t>
      </w:r>
      <w:r w:rsidR="008B0705" w:rsidRPr="00204ECC">
        <w:rPr>
          <w:i/>
          <w:iCs/>
        </w:rPr>
        <w:t>afternoon</w:t>
      </w:r>
      <w:r w:rsidR="00204ECC">
        <w:t>”</w:t>
      </w:r>
      <w:r w:rsidR="008B0705">
        <w:t>.</w:t>
      </w:r>
    </w:p>
    <w:p w14:paraId="1C57CFBE" w14:textId="4F0B6D39" w:rsidR="00A62FCC" w:rsidRPr="00A62FCC" w:rsidRDefault="00A62FCC" w:rsidP="00EF2FE7">
      <w:pPr>
        <w:pStyle w:val="ParaLevel2"/>
      </w:pPr>
      <w:r w:rsidRPr="00A62FCC">
        <w:t>The Claimants’ evidence, which I accept</w:t>
      </w:r>
      <w:r w:rsidR="00CA5DC0">
        <w:t xml:space="preserve"> and which is supported by Ms Cockburn’s email just quoted</w:t>
      </w:r>
      <w:r w:rsidRPr="00A62FCC">
        <w:t xml:space="preserve">, is that </w:t>
      </w:r>
      <w:r w:rsidR="009C3053">
        <w:t xml:space="preserve">they repeatedly raised with Mr Crossley </w:t>
      </w:r>
      <w:r w:rsidR="00696E90">
        <w:t>their concern</w:t>
      </w:r>
      <w:r w:rsidR="004D13EF">
        <w:t xml:space="preserve"> that their </w:t>
      </w:r>
      <w:r w:rsidR="000B270D">
        <w:t>equity in the Company should be protected</w:t>
      </w:r>
      <w:r w:rsidR="00B61320">
        <w:t xml:space="preserve">: see </w:t>
      </w:r>
      <w:r w:rsidR="00667712">
        <w:t xml:space="preserve">Section </w:t>
      </w:r>
      <w:r w:rsidR="00210F59">
        <w:t>I</w:t>
      </w:r>
      <w:r w:rsidR="00B61320">
        <w:t xml:space="preserve"> above.</w:t>
      </w:r>
      <w:r w:rsidR="000B270D">
        <w:t xml:space="preserve">  </w:t>
      </w:r>
      <w:r w:rsidR="00CC5C39">
        <w:t>I do not rely upon th</w:t>
      </w:r>
      <w:r w:rsidR="00B61320">
        <w:t>eir</w:t>
      </w:r>
      <w:r w:rsidR="00CC5C39">
        <w:t xml:space="preserve"> evidence</w:t>
      </w:r>
      <w:r w:rsidR="00B61320">
        <w:t xml:space="preserve"> to hold </w:t>
      </w:r>
      <w:r w:rsidR="00236827">
        <w:t xml:space="preserve">the Firm </w:t>
      </w:r>
      <w:r w:rsidR="00C85359">
        <w:t xml:space="preserve">liable as if it had somehow guaranteed </w:t>
      </w:r>
      <w:r w:rsidR="00CB27C5">
        <w:t xml:space="preserve">their shareholding was free of any </w:t>
      </w:r>
      <w:r w:rsidR="00EC206C">
        <w:t xml:space="preserve">transactional </w:t>
      </w:r>
      <w:r w:rsidR="007819B0">
        <w:t xml:space="preserve">risks aside from the Company’s </w:t>
      </w:r>
      <w:r w:rsidR="008E242D">
        <w:t xml:space="preserve">commercial </w:t>
      </w:r>
      <w:r w:rsidR="001350E8">
        <w:t xml:space="preserve">and financial </w:t>
      </w:r>
      <w:r w:rsidR="007819B0">
        <w:t>misfortune</w:t>
      </w:r>
      <w:r w:rsidR="00916A92">
        <w:t xml:space="preserve">, or </w:t>
      </w:r>
      <w:r w:rsidR="001218A3">
        <w:t xml:space="preserve">what Mr Richards referred to as preserving </w:t>
      </w:r>
      <w:r w:rsidR="00681BD0">
        <w:t>value for him “</w:t>
      </w:r>
      <w:r w:rsidR="00681BD0" w:rsidRPr="00681BD0">
        <w:rPr>
          <w:i/>
          <w:iCs/>
        </w:rPr>
        <w:t>whatever happened</w:t>
      </w:r>
      <w:r w:rsidR="00681BD0">
        <w:t xml:space="preserve">”.  Mr Tozzi </w:t>
      </w:r>
      <w:r w:rsidR="00210F59">
        <w:t xml:space="preserve">QC </w:t>
      </w:r>
      <w:r w:rsidR="00CD666A">
        <w:t xml:space="preserve">was of course correct to say that it is no part of the pleaded case against the Firm that </w:t>
      </w:r>
      <w:r w:rsidR="002412F7">
        <w:t xml:space="preserve">Mr Crossley gave any such </w:t>
      </w:r>
      <w:r w:rsidR="00657B5E">
        <w:t xml:space="preserve">wider </w:t>
      </w:r>
      <w:r w:rsidR="002412F7">
        <w:t xml:space="preserve">assurance </w:t>
      </w:r>
      <w:r w:rsidR="00A914B6">
        <w:t xml:space="preserve">nor that </w:t>
      </w:r>
      <w:r w:rsidR="00772E9C">
        <w:t xml:space="preserve">he advised upon the prospects of </w:t>
      </w:r>
      <w:r w:rsidR="005967C0">
        <w:t>the Claimants becoming a Leaver of an</w:t>
      </w:r>
      <w:r w:rsidR="006A3135">
        <w:t>y</w:t>
      </w:r>
      <w:r w:rsidR="005967C0">
        <w:t xml:space="preserve"> classification.  </w:t>
      </w:r>
      <w:r w:rsidR="006C445B">
        <w:t xml:space="preserve"> </w:t>
      </w:r>
      <w:r w:rsidR="006F49BA">
        <w:t>However, the</w:t>
      </w:r>
      <w:r w:rsidR="008F5B2F">
        <w:t xml:space="preserve">ir repeated requests to focus upon the </w:t>
      </w:r>
      <w:r w:rsidR="002C39BA">
        <w:t xml:space="preserve">potential downsides </w:t>
      </w:r>
      <w:r w:rsidR="00800D92">
        <w:t xml:space="preserve">of </w:t>
      </w:r>
      <w:r w:rsidR="00F709E7">
        <w:t>the Transaction</w:t>
      </w:r>
      <w:r w:rsidR="00287308">
        <w:t>,</w:t>
      </w:r>
      <w:r w:rsidR="00F709E7">
        <w:t xml:space="preserve"> </w:t>
      </w:r>
      <w:r w:rsidR="004C266E">
        <w:t>so far as their continuing equity was concerned</w:t>
      </w:r>
      <w:r w:rsidR="00287308">
        <w:t xml:space="preserve">, should have prompted </w:t>
      </w:r>
      <w:r w:rsidR="002D267F">
        <w:t xml:space="preserve">careful consideration of the </w:t>
      </w:r>
      <w:r w:rsidR="00C31560">
        <w:t xml:space="preserve">implications of the </w:t>
      </w:r>
      <w:r w:rsidR="002D267F">
        <w:t>language of article 18.4.1 as it evolved during the course of the Firm’s retainer.</w:t>
      </w:r>
    </w:p>
    <w:p w14:paraId="5831A638" w14:textId="24AD3063" w:rsidR="0096191F" w:rsidRDefault="00682FD6" w:rsidP="00EF2FE7">
      <w:pPr>
        <w:pStyle w:val="ParaLevel2"/>
      </w:pPr>
      <w:r>
        <w:t>The contemporaneous documents show that the language of article</w:t>
      </w:r>
      <w:r w:rsidR="00E021D2">
        <w:t xml:space="preserve"> 18.4.1</w:t>
      </w:r>
      <w:r>
        <w:t xml:space="preserve"> was not </w:t>
      </w:r>
      <w:r w:rsidR="00F921E2">
        <w:t>“standard wording”</w:t>
      </w:r>
      <w:r w:rsidR="00DD5270">
        <w:t>.  T</w:t>
      </w:r>
      <w:r w:rsidR="00F921E2">
        <w:t>he Firm did not press th</w:t>
      </w:r>
      <w:r w:rsidR="00DD5270">
        <w:t>is</w:t>
      </w:r>
      <w:r w:rsidR="00F921E2">
        <w:t xml:space="preserve"> </w:t>
      </w:r>
      <w:r w:rsidR="00886A3E">
        <w:t>contention</w:t>
      </w:r>
      <w:r w:rsidR="00F921E2">
        <w:t xml:space="preserve"> at trial</w:t>
      </w:r>
      <w:r w:rsidR="000E580D">
        <w:t xml:space="preserve">; </w:t>
      </w:r>
      <w:r w:rsidR="00DD5270">
        <w:t xml:space="preserve">though its closing </w:t>
      </w:r>
      <w:r w:rsidR="00621D9E">
        <w:t>submissions did say that articles such as 13.3 and 18.4.1 were comm</w:t>
      </w:r>
      <w:r w:rsidR="006425F8">
        <w:t xml:space="preserve">on, so that Mr Crossley was not obliged to go further </w:t>
      </w:r>
      <w:r w:rsidR="006423C9">
        <w:t xml:space="preserve">than ensuring a minority discount was not applied. </w:t>
      </w:r>
      <w:r w:rsidR="00621D9E">
        <w:t xml:space="preserve">Those documents </w:t>
      </w:r>
      <w:r w:rsidR="00F35EF1">
        <w:t xml:space="preserve">also show that the Firm </w:t>
      </w:r>
      <w:r w:rsidR="00A30323">
        <w:t xml:space="preserve">engaged </w:t>
      </w:r>
      <w:r w:rsidR="00AC4072">
        <w:t xml:space="preserve">with Olswang over the wording.  Although I have found the </w:t>
      </w:r>
      <w:r w:rsidR="00681779">
        <w:t xml:space="preserve">meaning of the phrase to be inconclusive, </w:t>
      </w:r>
      <w:r w:rsidR="005174A8">
        <w:t xml:space="preserve">and Mrs Justice May placed no reliance upon it, </w:t>
      </w:r>
      <w:r w:rsidR="00681779">
        <w:t xml:space="preserve">this included the agreed insertion of the words </w:t>
      </w:r>
      <w:r w:rsidR="00405029" w:rsidRPr="00405029">
        <w:t>“</w:t>
      </w:r>
      <w:r w:rsidR="00405029" w:rsidRPr="00405029">
        <w:rPr>
          <w:i/>
          <w:iCs/>
        </w:rPr>
        <w:t>in accordance with these Articles</w:t>
      </w:r>
      <w:r w:rsidR="00405029" w:rsidRPr="00405029">
        <w:t>”</w:t>
      </w:r>
      <w:r w:rsidR="00A30323">
        <w:t xml:space="preserve"> </w:t>
      </w:r>
      <w:r w:rsidR="00405029">
        <w:t>in relation to the notional sale of the Company’s entire share capital.</w:t>
      </w:r>
      <w:r w:rsidR="00FB7B5E">
        <w:t xml:space="preserve"> </w:t>
      </w:r>
      <w:r w:rsidR="00AB392B">
        <w:t xml:space="preserve"> </w:t>
      </w:r>
      <w:r w:rsidR="00FB7B5E">
        <w:t>This was, therefore, a contract</w:t>
      </w:r>
      <w:r w:rsidR="0096191F">
        <w:t xml:space="preserve">ual provision </w:t>
      </w:r>
      <w:r w:rsidR="002D6209">
        <w:t xml:space="preserve">which was under scrutiny by the lawyers in the </w:t>
      </w:r>
      <w:r w:rsidR="00200D7F">
        <w:t xml:space="preserve">weeks prior to the Transaction. </w:t>
      </w:r>
      <w:r w:rsidR="00315657">
        <w:t xml:space="preserve">It was </w:t>
      </w:r>
      <w:r w:rsidR="004C50E8">
        <w:t xml:space="preserve">squarely within the Firm’s focus upon the impact of the Leaver </w:t>
      </w:r>
      <w:r w:rsidR="00046F53">
        <w:t>P</w:t>
      </w:r>
      <w:r w:rsidR="004C50E8">
        <w:t>rovisions.</w:t>
      </w:r>
    </w:p>
    <w:p w14:paraId="031C070D" w14:textId="09C9711F" w:rsidR="00015E98" w:rsidRDefault="00AB590B" w:rsidP="00EF2FE7">
      <w:pPr>
        <w:pStyle w:val="ParaLevel2"/>
      </w:pPr>
      <w:r>
        <w:t xml:space="preserve">Although the </w:t>
      </w:r>
      <w:r w:rsidR="00204668">
        <w:t xml:space="preserve">particular </w:t>
      </w:r>
      <w:r>
        <w:t>circumstances in which May J came to construe th</w:t>
      </w:r>
      <w:r w:rsidR="00D73FD1">
        <w:t xml:space="preserve">e language of article 18.4.1 </w:t>
      </w:r>
      <w:r w:rsidR="00470FBF">
        <w:t>were</w:t>
      </w:r>
      <w:r w:rsidR="004C50E8">
        <w:t xml:space="preserve"> </w:t>
      </w:r>
      <w:r w:rsidR="00A457B9">
        <w:t xml:space="preserve">ones </w:t>
      </w:r>
      <w:r w:rsidR="004C50E8">
        <w:t xml:space="preserve">not </w:t>
      </w:r>
      <w:r w:rsidR="00A457B9">
        <w:t xml:space="preserve">reasonably </w:t>
      </w:r>
      <w:r w:rsidR="004C50E8">
        <w:t xml:space="preserve">foreseen </w:t>
      </w:r>
      <w:r w:rsidR="005B0CFD">
        <w:t>by the Claimant</w:t>
      </w:r>
      <w:r w:rsidR="00A457B9">
        <w:t>s</w:t>
      </w:r>
      <w:r w:rsidR="005B0CFD">
        <w:t xml:space="preserve"> and the Firm, the </w:t>
      </w:r>
      <w:r w:rsidR="004716A4">
        <w:t xml:space="preserve">risk </w:t>
      </w:r>
      <w:r w:rsidR="006E335E">
        <w:t xml:space="preserve">was </w:t>
      </w:r>
      <w:r w:rsidR="00B138F9">
        <w:t xml:space="preserve">(for so long as the RPP remained a factor) </w:t>
      </w:r>
      <w:r w:rsidR="006E335E">
        <w:t xml:space="preserve">one </w:t>
      </w:r>
      <w:r w:rsidR="00B138F9">
        <w:t xml:space="preserve">which </w:t>
      </w:r>
      <w:r w:rsidR="00775ED4">
        <w:t xml:space="preserve">attached to the Claimants’ shares however they </w:t>
      </w:r>
      <w:r w:rsidR="006450D7">
        <w:t xml:space="preserve">might </w:t>
      </w:r>
      <w:r w:rsidR="00BA426E">
        <w:t xml:space="preserve">acquire Good Leaver status.  </w:t>
      </w:r>
      <w:r w:rsidR="005A7826">
        <w:t>Aside from wrongful dismissal, d</w:t>
      </w:r>
      <w:r w:rsidR="00BA426E">
        <w:t xml:space="preserve">eath and incapacity from employment </w:t>
      </w:r>
      <w:r w:rsidR="005C4A3D">
        <w:t xml:space="preserve">were other grounds on which either of them might have become a Good Leaver. </w:t>
      </w:r>
      <w:r w:rsidR="00B859CB">
        <w:t xml:space="preserve"> </w:t>
      </w:r>
      <w:r w:rsidR="00C31E8B">
        <w:t xml:space="preserve">By their very nature these </w:t>
      </w:r>
      <w:r w:rsidR="004743F1">
        <w:t xml:space="preserve">others </w:t>
      </w:r>
      <w:r w:rsidR="002D7926">
        <w:t>would be unexpected events</w:t>
      </w:r>
      <w:r w:rsidR="004743F1">
        <w:t>.  However,</w:t>
      </w:r>
      <w:r w:rsidR="003202ED">
        <w:t xml:space="preserve"> </w:t>
      </w:r>
      <w:r w:rsidR="00F22BE4">
        <w:t xml:space="preserve">the </w:t>
      </w:r>
      <w:r w:rsidR="008758FA">
        <w:t xml:space="preserve">perceived </w:t>
      </w:r>
      <w:r w:rsidR="00F22BE4">
        <w:t xml:space="preserve">unlikelihood of </w:t>
      </w:r>
      <w:r w:rsidR="008758FA">
        <w:t xml:space="preserve">any of these </w:t>
      </w:r>
      <w:r w:rsidR="00A63FF8">
        <w:t xml:space="preserve">Good Leaver events </w:t>
      </w:r>
      <w:r w:rsidR="00F22BE4">
        <w:t xml:space="preserve">arising does not mean that </w:t>
      </w:r>
      <w:r w:rsidR="00A63FF8">
        <w:t xml:space="preserve">the legal </w:t>
      </w:r>
      <w:r w:rsidR="00F91A91">
        <w:t>risk</w:t>
      </w:r>
      <w:r w:rsidR="00E87D13">
        <w:t>,</w:t>
      </w:r>
      <w:r w:rsidR="00F91A91">
        <w:t xml:space="preserve"> </w:t>
      </w:r>
      <w:r w:rsidR="000D01C4">
        <w:t xml:space="preserve">contained within </w:t>
      </w:r>
      <w:r w:rsidR="00F91A91">
        <w:t xml:space="preserve">a provision </w:t>
      </w:r>
      <w:r w:rsidR="00BB7B6C">
        <w:t>designed to</w:t>
      </w:r>
      <w:r w:rsidR="00FF359D">
        <w:t xml:space="preserve"> come into operation </w:t>
      </w:r>
      <w:r w:rsidR="00CA6EF1">
        <w:t>if they did</w:t>
      </w:r>
      <w:r w:rsidR="00E87D13">
        <w:t>,</w:t>
      </w:r>
      <w:r w:rsidR="00CA6EF1">
        <w:t xml:space="preserve"> is one that </w:t>
      </w:r>
      <w:r w:rsidR="006E26A8">
        <w:t>is</w:t>
      </w:r>
      <w:r w:rsidR="00CA6EF1">
        <w:t xml:space="preserve"> be </w:t>
      </w:r>
      <w:r w:rsidR="007B4F51">
        <w:t>treated as not significant</w:t>
      </w:r>
      <w:r w:rsidR="00AA55F0">
        <w:t xml:space="preserve">.  </w:t>
      </w:r>
      <w:r w:rsidR="00CE1057">
        <w:t>The</w:t>
      </w:r>
      <w:r w:rsidR="00B8424D">
        <w:t xml:space="preserve"> Firm could not be expected </w:t>
      </w:r>
      <w:r w:rsidR="00B13DBF">
        <w:t xml:space="preserve">to advise upon the likelihood of any of the </w:t>
      </w:r>
      <w:r w:rsidR="00204668">
        <w:t xml:space="preserve">Good Leaver </w:t>
      </w:r>
      <w:r w:rsidR="00B13DBF">
        <w:t xml:space="preserve">grounds </w:t>
      </w:r>
      <w:r w:rsidR="007D74F7">
        <w:t xml:space="preserve">arising </w:t>
      </w:r>
      <w:r w:rsidR="00651742">
        <w:t xml:space="preserve">for either </w:t>
      </w:r>
      <w:r w:rsidR="00A66F8F">
        <w:t xml:space="preserve">Mr Richards or Mr Purves </w:t>
      </w:r>
      <w:r w:rsidR="007D74F7">
        <w:t>but</w:t>
      </w:r>
      <w:r w:rsidR="00655649">
        <w:t xml:space="preserve">, given </w:t>
      </w:r>
      <w:r w:rsidR="007B3360">
        <w:t>the focus</w:t>
      </w:r>
      <w:r w:rsidR="00AA55F0">
        <w:t xml:space="preserve"> upon </w:t>
      </w:r>
      <w:r w:rsidR="00E268E1">
        <w:t xml:space="preserve">the </w:t>
      </w:r>
      <w:r w:rsidR="00AA55F0">
        <w:t xml:space="preserve">contractual provision which anticipated </w:t>
      </w:r>
      <w:r w:rsidR="00931522">
        <w:t xml:space="preserve">that they might arise, it </w:t>
      </w:r>
      <w:r w:rsidR="00EC6378">
        <w:t xml:space="preserve">was </w:t>
      </w:r>
      <w:r w:rsidR="00755AD1">
        <w:t xml:space="preserve">in my judgment </w:t>
      </w:r>
      <w:r w:rsidR="00EC6378">
        <w:t xml:space="preserve">reasonable to expect it to </w:t>
      </w:r>
      <w:r w:rsidR="00FD1EF9">
        <w:t xml:space="preserve">advise upon the risk </w:t>
      </w:r>
      <w:r w:rsidR="00E268E1">
        <w:t xml:space="preserve">that the provision could be construed in a way which </w:t>
      </w:r>
      <w:r w:rsidR="00651742">
        <w:t>operated to the</w:t>
      </w:r>
      <w:r w:rsidR="00A66F8F">
        <w:t>ir</w:t>
      </w:r>
      <w:r w:rsidR="00651742">
        <w:t xml:space="preserve"> very </w:t>
      </w:r>
      <w:r w:rsidR="001B6B4A">
        <w:t>significant financial detriment.</w:t>
      </w:r>
    </w:p>
    <w:p w14:paraId="21B95C9C" w14:textId="5B4742C6" w:rsidR="00AB590B" w:rsidRDefault="00A5421F" w:rsidP="00EF2FE7">
      <w:pPr>
        <w:pStyle w:val="ParaLevel2"/>
      </w:pPr>
      <w:r>
        <w:t>Market Value</w:t>
      </w:r>
      <w:r w:rsidR="00FC3DD5">
        <w:t>, as determined</w:t>
      </w:r>
      <w:r>
        <w:t xml:space="preserve"> under article 18.4.1</w:t>
      </w:r>
      <w:r w:rsidR="00FC3DD5">
        <w:t>, was not just</w:t>
      </w:r>
      <w:r w:rsidR="00C33231">
        <w:t xml:space="preserve"> </w:t>
      </w:r>
      <w:r w:rsidR="006D5360">
        <w:t xml:space="preserve">key to the </w:t>
      </w:r>
      <w:r w:rsidR="000E12CC">
        <w:t>valuation of the C shareholding in the event of either Mr Richards or Mr Purves becoming a Good Leaver</w:t>
      </w:r>
      <w:r w:rsidR="00FA1A45">
        <w:t xml:space="preserve">, whether </w:t>
      </w:r>
      <w:r w:rsidR="00DC1391">
        <w:t xml:space="preserve">the basis for him leaving was wrongful dismissal, incapacity or death.  </w:t>
      </w:r>
      <w:r w:rsidR="006F3044">
        <w:t xml:space="preserve">It </w:t>
      </w:r>
      <w:r w:rsidR="00467080">
        <w:t xml:space="preserve">also </w:t>
      </w:r>
      <w:r w:rsidR="001A62E2">
        <w:t xml:space="preserve">underpinned </w:t>
      </w:r>
      <w:r w:rsidR="009C6AEE">
        <w:t xml:space="preserve">the valuation in the event of </w:t>
      </w:r>
      <w:r w:rsidR="00EE76E7">
        <w:t xml:space="preserve">either </w:t>
      </w:r>
      <w:r w:rsidR="006169A8">
        <w:t xml:space="preserve">of them </w:t>
      </w:r>
      <w:r w:rsidR="00EE76E7">
        <w:t xml:space="preserve">becoming a </w:t>
      </w:r>
      <w:r w:rsidR="00A73BF4">
        <w:t xml:space="preserve">Resignation Leaver or Other Leaver. </w:t>
      </w:r>
      <w:r w:rsidR="00305403">
        <w:t xml:space="preserve"> These were all </w:t>
      </w:r>
      <w:r w:rsidR="00D9257C">
        <w:t xml:space="preserve">potential </w:t>
      </w:r>
      <w:r w:rsidR="00305403">
        <w:t xml:space="preserve">leaver scenarios </w:t>
      </w:r>
      <w:r w:rsidR="00E772D9">
        <w:t xml:space="preserve">relevant to </w:t>
      </w:r>
      <w:r w:rsidR="00556C4D">
        <w:t>the Claimants</w:t>
      </w:r>
      <w:r w:rsidR="00F11040">
        <w:t>’</w:t>
      </w:r>
      <w:r w:rsidR="00556C4D">
        <w:t xml:space="preserve"> request</w:t>
      </w:r>
      <w:r w:rsidR="009201F4">
        <w:t>s</w:t>
      </w:r>
      <w:r w:rsidR="00556C4D">
        <w:t xml:space="preserve"> </w:t>
      </w:r>
      <w:r w:rsidR="00E65B09">
        <w:t xml:space="preserve">that Mr Crossley </w:t>
      </w:r>
      <w:r w:rsidR="00D763DA">
        <w:t xml:space="preserve">should consider the </w:t>
      </w:r>
      <w:r w:rsidR="006D20AD">
        <w:t xml:space="preserve">potential </w:t>
      </w:r>
      <w:r w:rsidR="00D763DA">
        <w:t>wors</w:t>
      </w:r>
      <w:r w:rsidR="00264B41">
        <w:t>e</w:t>
      </w:r>
      <w:r w:rsidR="00D763DA">
        <w:t xml:space="preserve"> case </w:t>
      </w:r>
      <w:r w:rsidR="006D20AD">
        <w:t>outcome.</w:t>
      </w:r>
      <w:r w:rsidR="00704967">
        <w:t xml:space="preserve">  </w:t>
      </w:r>
      <w:r w:rsidR="00C67C52">
        <w:t xml:space="preserve">The fact that the risk which presented itself in the Quantum Judgment </w:t>
      </w:r>
      <w:r w:rsidR="001A4823">
        <w:t xml:space="preserve">caused the most acute detriment for a Good Leaver does not mean it was not a risk </w:t>
      </w:r>
      <w:r w:rsidR="0069334D">
        <w:t>for a Resignation Leaver or Other Leaver.</w:t>
      </w:r>
      <w:r w:rsidR="0004167D">
        <w:t xml:space="preserve">  </w:t>
      </w:r>
      <w:r w:rsidR="00F3744C">
        <w:t>I have referred in Section I above to Mr Richards’ evidence about the discussion</w:t>
      </w:r>
      <w:r w:rsidR="00702B17">
        <w:t xml:space="preserve"> he had with Mr Crossley</w:t>
      </w:r>
      <w:r w:rsidR="0019277A">
        <w:t xml:space="preserve"> about </w:t>
      </w:r>
      <w:r w:rsidR="00540877">
        <w:t xml:space="preserve">the </w:t>
      </w:r>
      <w:r w:rsidR="0019277A">
        <w:t>restrictive covenant</w:t>
      </w:r>
      <w:r w:rsidR="00540877">
        <w:t xml:space="preserve"> arising upon him leaving the Company</w:t>
      </w:r>
      <w:r w:rsidR="0019277A">
        <w:t xml:space="preserve">.  </w:t>
      </w:r>
      <w:r w:rsidR="00C84BAE">
        <w:t xml:space="preserve">That </w:t>
      </w:r>
      <w:r w:rsidR="00042CFE">
        <w:t xml:space="preserve">proceeded on the basis that </w:t>
      </w:r>
      <w:r w:rsidR="004B4918">
        <w:t xml:space="preserve">the duration of </w:t>
      </w:r>
      <w:r w:rsidR="005718DD">
        <w:t>t</w:t>
      </w:r>
      <w:r w:rsidR="0019277A">
        <w:t xml:space="preserve">hose </w:t>
      </w:r>
      <w:r w:rsidR="005718DD">
        <w:t xml:space="preserve">covenants </w:t>
      </w:r>
      <w:r w:rsidR="00EB1CC8">
        <w:t xml:space="preserve">would be linked to the </w:t>
      </w:r>
      <w:r w:rsidR="00C84BAE">
        <w:t>receipt of a substantial payment for his shares.</w:t>
      </w:r>
      <w:r w:rsidR="00DA220C">
        <w:t xml:space="preserve">  Again, this should have </w:t>
      </w:r>
      <w:r w:rsidR="005F4A04">
        <w:t xml:space="preserve">prompted </w:t>
      </w:r>
      <w:r w:rsidR="006972B4">
        <w:t>the Firm to focus upon the definition of Market Value.</w:t>
      </w:r>
    </w:p>
    <w:p w14:paraId="16D061C1" w14:textId="77777777" w:rsidR="009C55DA" w:rsidRDefault="001B6B4A" w:rsidP="00EF2FE7">
      <w:pPr>
        <w:pStyle w:val="ParaLevel1"/>
      </w:pPr>
      <w:r>
        <w:t>For these reasons, I conclude that</w:t>
      </w:r>
      <w:r w:rsidR="00404DA1">
        <w:t xml:space="preserve"> the Firm fell short of the standard of care requ</w:t>
      </w:r>
      <w:r w:rsidR="00EB755A">
        <w:t>ired of a reasonably competent solicitor practising in the field of private equity transaction</w:t>
      </w:r>
      <w:r w:rsidR="00D8323F">
        <w:t xml:space="preserve">s. </w:t>
      </w:r>
      <w:r w:rsidR="00423EA6">
        <w:t xml:space="preserve"> It is one thing to say that </w:t>
      </w:r>
      <w:r w:rsidR="00756576">
        <w:t xml:space="preserve">it cannot reasonably </w:t>
      </w:r>
      <w:r w:rsidR="00386235">
        <w:t xml:space="preserve">have been expected </w:t>
      </w:r>
      <w:r w:rsidR="00055A62">
        <w:t xml:space="preserve">to </w:t>
      </w:r>
      <w:r w:rsidR="00AB580D">
        <w:t xml:space="preserve">predict </w:t>
      </w:r>
      <w:r w:rsidR="00055A62">
        <w:t xml:space="preserve">a future misalignment of the stars.  </w:t>
      </w:r>
      <w:r w:rsidR="00362950">
        <w:t xml:space="preserve">It would be quite another to </w:t>
      </w:r>
      <w:r w:rsidR="00DB1B06">
        <w:t xml:space="preserve">conclude </w:t>
      </w:r>
      <w:r w:rsidR="00B66F1C">
        <w:t xml:space="preserve">that it would be </w:t>
      </w:r>
      <w:r w:rsidR="00F80296">
        <w:t xml:space="preserve">imposing </w:t>
      </w:r>
      <w:r w:rsidR="00B66F1C">
        <w:t xml:space="preserve">an unduly onerous and unwarranted </w:t>
      </w:r>
      <w:r w:rsidR="0094173E">
        <w:t xml:space="preserve">duty </w:t>
      </w:r>
      <w:r w:rsidR="00D739D0">
        <w:t xml:space="preserve">of care </w:t>
      </w:r>
      <w:r w:rsidR="00280712">
        <w:t>upon</w:t>
      </w:r>
      <w:r w:rsidR="0094173E">
        <w:t xml:space="preserve"> Firm to </w:t>
      </w:r>
      <w:r w:rsidR="00280712">
        <w:t>say that it should have undertaken</w:t>
      </w:r>
      <w:r w:rsidR="00475600">
        <w:t xml:space="preserve"> a </w:t>
      </w:r>
      <w:r w:rsidR="0094173E">
        <w:t>cross</w:t>
      </w:r>
      <w:r w:rsidR="00475600">
        <w:t>-</w:t>
      </w:r>
      <w:r w:rsidR="0094173E">
        <w:t xml:space="preserve">check </w:t>
      </w:r>
      <w:r w:rsidR="002F40EC">
        <w:t xml:space="preserve">upon </w:t>
      </w:r>
      <w:r w:rsidR="00F52799">
        <w:t xml:space="preserve">the meaning and effect of a provision </w:t>
      </w:r>
      <w:r w:rsidR="00B41055">
        <w:t xml:space="preserve">on which it had drafting input.  </w:t>
      </w:r>
    </w:p>
    <w:p w14:paraId="1431B1EE" w14:textId="11C551E7" w:rsidR="00423EA6" w:rsidRDefault="00C80E87" w:rsidP="00EF2FE7">
      <w:pPr>
        <w:pStyle w:val="ParaLevel1"/>
      </w:pPr>
      <w:r>
        <w:t xml:space="preserve">The Firm’s retainer </w:t>
      </w:r>
      <w:r w:rsidR="00E571BF">
        <w:t>extended to negotiating and reviewing the Articles and</w:t>
      </w:r>
      <w:r w:rsidR="003A21F9">
        <w:t xml:space="preserve">, within the wider </w:t>
      </w:r>
      <w:r w:rsidR="007018ED">
        <w:t xml:space="preserve">class of </w:t>
      </w:r>
      <w:r w:rsidR="002E1356">
        <w:t>L</w:t>
      </w:r>
      <w:r w:rsidR="007018ED">
        <w:t xml:space="preserve">eaver </w:t>
      </w:r>
      <w:r w:rsidR="002E1356">
        <w:t>P</w:t>
      </w:r>
      <w:r w:rsidR="007018ED">
        <w:t>rovisions</w:t>
      </w:r>
      <w:r w:rsidR="007E04D3">
        <w:t xml:space="preserve"> under which the Claimants were looking for protection</w:t>
      </w:r>
      <w:r w:rsidR="00AD6E17">
        <w:t>.  A</w:t>
      </w:r>
      <w:r w:rsidR="007E04D3">
        <w:t>rticle 18.4.1</w:t>
      </w:r>
      <w:r w:rsidR="00AD6E17">
        <w:t xml:space="preserve"> and </w:t>
      </w:r>
      <w:r w:rsidR="00781A24">
        <w:t xml:space="preserve">the </w:t>
      </w:r>
      <w:r w:rsidR="00F04F6D">
        <w:t xml:space="preserve">various </w:t>
      </w:r>
      <w:r w:rsidR="00EA5C8B">
        <w:t>L</w:t>
      </w:r>
      <w:r w:rsidR="00A91251">
        <w:t xml:space="preserve">eaver </w:t>
      </w:r>
      <w:r w:rsidR="00EA5C8B">
        <w:t>P</w:t>
      </w:r>
      <w:r w:rsidR="00A91251">
        <w:t xml:space="preserve">rovisions </w:t>
      </w:r>
      <w:r w:rsidR="00F04F6D">
        <w:t xml:space="preserve">to which </w:t>
      </w:r>
      <w:r w:rsidR="00FE4826">
        <w:t xml:space="preserve">it </w:t>
      </w:r>
      <w:r w:rsidR="00EA5C8B">
        <w:t xml:space="preserve">was applicable </w:t>
      </w:r>
      <w:r w:rsidR="00F04F6D">
        <w:t>were</w:t>
      </w:r>
      <w:r w:rsidR="007E04D3">
        <w:t xml:space="preserve"> firmly </w:t>
      </w:r>
      <w:r w:rsidR="007A3725">
        <w:t>with</w:t>
      </w:r>
      <w:r w:rsidR="007E04D3">
        <w:t xml:space="preserve">in </w:t>
      </w:r>
      <w:r w:rsidR="00781A24">
        <w:t xml:space="preserve">the Firm’s </w:t>
      </w:r>
      <w:r w:rsidR="007E04D3">
        <w:t>sights</w:t>
      </w:r>
      <w:r w:rsidR="00781A24">
        <w:t xml:space="preserve"> as part of that review</w:t>
      </w:r>
      <w:r w:rsidR="007E04D3">
        <w:t>.</w:t>
      </w:r>
      <w:r w:rsidR="007B6138">
        <w:t xml:space="preserve"> </w:t>
      </w:r>
      <w:r w:rsidR="00800F04">
        <w:t xml:space="preserve">  It is no answer to say </w:t>
      </w:r>
      <w:r w:rsidR="00A23B0E">
        <w:t xml:space="preserve">that the Claimants’ </w:t>
      </w:r>
      <w:r w:rsidR="009E6811">
        <w:t xml:space="preserve">own </w:t>
      </w:r>
      <w:r w:rsidR="004D5036">
        <w:t xml:space="preserve">commercial </w:t>
      </w:r>
      <w:r w:rsidR="009E6811">
        <w:t>judgment</w:t>
      </w:r>
      <w:r w:rsidR="00A23B0E">
        <w:t xml:space="preserve"> was that the </w:t>
      </w:r>
      <w:r w:rsidR="004D5036">
        <w:t xml:space="preserve">RPP would fall away as a relevant factor </w:t>
      </w:r>
      <w:r w:rsidR="009E6811">
        <w:t xml:space="preserve">over time (whether or not </w:t>
      </w:r>
      <w:r w:rsidR="002918D1">
        <w:t>as quickly as, say, the</w:t>
      </w:r>
      <w:r w:rsidR="007112CD">
        <w:t xml:space="preserve"> first 2 years when </w:t>
      </w:r>
      <w:r w:rsidR="00C677AD">
        <w:t>they might</w:t>
      </w:r>
      <w:r w:rsidR="00D553BA">
        <w:t xml:space="preserve"> each</w:t>
      </w:r>
      <w:r w:rsidR="00C677AD">
        <w:t xml:space="preserve"> then</w:t>
      </w:r>
      <w:r w:rsidR="00490DC0">
        <w:t xml:space="preserve"> </w:t>
      </w:r>
      <w:r w:rsidR="00E04E18">
        <w:t xml:space="preserve">as </w:t>
      </w:r>
      <w:r w:rsidR="00D553BA">
        <w:t xml:space="preserve">an </w:t>
      </w:r>
      <w:r w:rsidR="00E04E18">
        <w:t xml:space="preserve">Other Leaver </w:t>
      </w:r>
      <w:r w:rsidR="00C677AD">
        <w:t>have obtained the Market Value</w:t>
      </w:r>
      <w:r w:rsidR="004A6917">
        <w:t>)</w:t>
      </w:r>
      <w:r w:rsidR="000A5555">
        <w:t xml:space="preserve"> when the risk of its impact upon the determination of value has not been identified in the first place.</w:t>
      </w:r>
    </w:p>
    <w:p w14:paraId="16429CB3" w14:textId="77777777" w:rsidR="00A021ED" w:rsidRDefault="003964D9" w:rsidP="00EF2FE7">
      <w:pPr>
        <w:pStyle w:val="ParaLevel1"/>
      </w:pPr>
      <w:r>
        <w:t>In my judgment, th</w:t>
      </w:r>
      <w:r w:rsidR="00781A24">
        <w:t xml:space="preserve">e reasonably competent </w:t>
      </w:r>
      <w:r>
        <w:t xml:space="preserve">solicitor would </w:t>
      </w:r>
      <w:r w:rsidR="0011454C">
        <w:t xml:space="preserve">have questioned the </w:t>
      </w:r>
      <w:r w:rsidR="00853FC1">
        <w:t xml:space="preserve">implications of the </w:t>
      </w:r>
      <w:r w:rsidR="00F46DE1">
        <w:t xml:space="preserve">wording of article 18.4.1 </w:t>
      </w:r>
      <w:r w:rsidR="005C780D">
        <w:t>when viewed against the RPP and</w:t>
      </w:r>
      <w:r w:rsidR="00EA0B69">
        <w:t xml:space="preserve">, having done so </w:t>
      </w:r>
      <w:r w:rsidR="00AE402B">
        <w:t>an</w:t>
      </w:r>
      <w:r w:rsidR="00232E7B">
        <w:t xml:space="preserve">d </w:t>
      </w:r>
      <w:r w:rsidR="00F143B8">
        <w:t xml:space="preserve">thereby </w:t>
      </w:r>
      <w:r w:rsidR="00047AAF">
        <w:t xml:space="preserve">unearthed the principal points of </w:t>
      </w:r>
      <w:r w:rsidR="00C01E1D">
        <w:t xml:space="preserve">construction </w:t>
      </w:r>
      <w:r w:rsidR="00047AAF">
        <w:t xml:space="preserve">addressed </w:t>
      </w:r>
      <w:r w:rsidR="00C01E1D">
        <w:t xml:space="preserve">in the Quantum Judgment and by me above, </w:t>
      </w:r>
      <w:r w:rsidR="00246725">
        <w:t xml:space="preserve">highlighted the </w:t>
      </w:r>
      <w:r w:rsidR="00C87E71">
        <w:t xml:space="preserve">resulting </w:t>
      </w:r>
      <w:r w:rsidR="00246725">
        <w:t xml:space="preserve">risk and suggested that </w:t>
      </w:r>
      <w:r w:rsidR="00FA5F52">
        <w:t>an attempt be made to eliminate it.</w:t>
      </w:r>
      <w:r w:rsidR="00D8366C">
        <w:t xml:space="preserve">  </w:t>
      </w:r>
    </w:p>
    <w:p w14:paraId="205A5A7C" w14:textId="77777777" w:rsidR="00A021ED" w:rsidRDefault="00D8366C" w:rsidP="00EF2FE7">
      <w:pPr>
        <w:pStyle w:val="ParaLevel1"/>
      </w:pPr>
      <w:r>
        <w:t>Instead, t</w:t>
      </w:r>
      <w:r w:rsidRPr="00D8366C">
        <w:t xml:space="preserve">he Firm’s advice upon article 18.4.1 was essentially limited to the disregard of any discount for a minority </w:t>
      </w:r>
      <w:r>
        <w:t>holding</w:t>
      </w:r>
      <w:r w:rsidR="001E34CC">
        <w:t xml:space="preserve"> which it had secured for the Claimants</w:t>
      </w:r>
      <w:r>
        <w:t>.</w:t>
      </w:r>
      <w:r w:rsidRPr="00D8366C">
        <w:t xml:space="preserve"> </w:t>
      </w:r>
      <w:r w:rsidR="00A11A44">
        <w:t xml:space="preserve"> </w:t>
      </w:r>
      <w:r w:rsidR="00990762">
        <w:t>No advice was given about the risk presented by the RPP</w:t>
      </w:r>
      <w:r w:rsidR="00F143B8">
        <w:t xml:space="preserve">.  This case </w:t>
      </w:r>
      <w:r w:rsidR="00717168">
        <w:t xml:space="preserve">is to be contrasted with the </w:t>
      </w:r>
      <w:r w:rsidR="00717168" w:rsidRPr="00A021ED">
        <w:rPr>
          <w:i/>
          <w:iCs/>
        </w:rPr>
        <w:t>Petrocapital</w:t>
      </w:r>
      <w:r w:rsidR="00717168">
        <w:t xml:space="preserve"> case where the solicitor did give what the court found to be “</w:t>
      </w:r>
      <w:r w:rsidR="00717168" w:rsidRPr="00A021ED">
        <w:rPr>
          <w:i/>
          <w:iCs/>
        </w:rPr>
        <w:t>highly tenable</w:t>
      </w:r>
      <w:r w:rsidR="00717168">
        <w:t>” advice about the effect of the undertaking</w:t>
      </w:r>
      <w:r w:rsidR="009535C7">
        <w:t>s</w:t>
      </w:r>
      <w:r w:rsidR="00717168">
        <w:t xml:space="preserve"> </w:t>
      </w:r>
      <w:r w:rsidR="000633A9">
        <w:t>under scrutiny</w:t>
      </w:r>
      <w:r w:rsidR="00FD41D0">
        <w:t xml:space="preserve"> in a concluded contract</w:t>
      </w:r>
      <w:r w:rsidR="000633A9">
        <w:t xml:space="preserve">.  </w:t>
      </w:r>
    </w:p>
    <w:p w14:paraId="4479D997" w14:textId="0A377518" w:rsidR="005D42D6" w:rsidRDefault="00E3420D" w:rsidP="00EF2FE7">
      <w:pPr>
        <w:pStyle w:val="ParaLevel1"/>
      </w:pPr>
      <w:r>
        <w:t xml:space="preserve">If the Firm had flagged up to the Claimants the risk that </w:t>
      </w:r>
      <w:r w:rsidR="00E51BA4">
        <w:t xml:space="preserve">the RPP </w:t>
      </w:r>
      <w:r w:rsidR="00CC07BA">
        <w:t xml:space="preserve">could be considered as </w:t>
      </w:r>
      <w:r w:rsidR="00E51BA4">
        <w:t>impact</w:t>
      </w:r>
      <w:r w:rsidR="00CC07BA">
        <w:t>ing</w:t>
      </w:r>
      <w:r w:rsidR="00E51BA4">
        <w:t xml:space="preserve"> upon Market Value, </w:t>
      </w:r>
      <w:r w:rsidR="005F7F10">
        <w:t xml:space="preserve">at the same time expressing </w:t>
      </w:r>
      <w:r w:rsidR="00C87016">
        <w:t xml:space="preserve">its view </w:t>
      </w:r>
      <w:r w:rsidR="0088235F">
        <w:t xml:space="preserve">that the proper interpretation of article 18.4.1 </w:t>
      </w:r>
      <w:r w:rsidR="008F2D8E">
        <w:t>meant it should not do so, then</w:t>
      </w:r>
      <w:r w:rsidR="0050335D">
        <w:t xml:space="preserve">, on considered reflection, I would have said </w:t>
      </w:r>
      <w:r w:rsidR="00A416CA">
        <w:t>that</w:t>
      </w:r>
      <w:r w:rsidR="00A072D8">
        <w:t xml:space="preserve"> view was not only tenable but correct.  However, </w:t>
      </w:r>
      <w:r w:rsidR="00E625BB">
        <w:t xml:space="preserve">the </w:t>
      </w:r>
      <w:r w:rsidR="00B1232F">
        <w:t xml:space="preserve">fact is </w:t>
      </w:r>
      <w:r w:rsidR="0062125E">
        <w:t xml:space="preserve">that </w:t>
      </w:r>
      <w:r w:rsidR="00E77508">
        <w:t>th</w:t>
      </w:r>
      <w:r w:rsidR="00E625BB">
        <w:t xml:space="preserve">e risk </w:t>
      </w:r>
      <w:r w:rsidR="002C46AC">
        <w:t xml:space="preserve">of the RPP </w:t>
      </w:r>
      <w:r w:rsidR="00295177">
        <w:t xml:space="preserve">having such impact </w:t>
      </w:r>
      <w:r w:rsidR="005F2964">
        <w:t>and</w:t>
      </w:r>
      <w:r w:rsidR="0062125E">
        <w:t>, crucial</w:t>
      </w:r>
      <w:r w:rsidR="00C800E4">
        <w:t>ly so far as t</w:t>
      </w:r>
      <w:r w:rsidR="0089315D">
        <w:t xml:space="preserve">he </w:t>
      </w:r>
      <w:r w:rsidR="00C24CC7">
        <w:t>extent of that risk</w:t>
      </w:r>
      <w:r w:rsidR="00C800E4">
        <w:t xml:space="preserve"> was concerned</w:t>
      </w:r>
      <w:r w:rsidR="0062125E">
        <w:t xml:space="preserve">, </w:t>
      </w:r>
      <w:r w:rsidR="00925FE7">
        <w:t xml:space="preserve">the </w:t>
      </w:r>
      <w:r w:rsidR="006748F1">
        <w:t xml:space="preserve">likely </w:t>
      </w:r>
      <w:r w:rsidR="00925FE7">
        <w:t xml:space="preserve">view of </w:t>
      </w:r>
      <w:r w:rsidR="00437FA2">
        <w:t>Livingbridge</w:t>
      </w:r>
      <w:r w:rsidR="00925FE7">
        <w:t xml:space="preserve"> on the point, were </w:t>
      </w:r>
      <w:r w:rsidR="0030608E">
        <w:t xml:space="preserve">not </w:t>
      </w:r>
      <w:r w:rsidR="00D06C06">
        <w:t>brought t</w:t>
      </w:r>
      <w:r w:rsidR="007C191E">
        <w:t>o the Claimants’ attention</w:t>
      </w:r>
      <w:r w:rsidR="002F6CB5">
        <w:t xml:space="preserve"> by the Firm.</w:t>
      </w:r>
      <w:r w:rsidR="008B3BD7">
        <w:t xml:space="preserve"> </w:t>
      </w:r>
      <w:r w:rsidR="001B26EB">
        <w:t xml:space="preserve"> </w:t>
      </w:r>
      <w:r w:rsidR="00154168">
        <w:t xml:space="preserve"> </w:t>
      </w:r>
      <w:r w:rsidR="006C4483">
        <w:t xml:space="preserve">A </w:t>
      </w:r>
      <w:r w:rsidR="00547E4A">
        <w:t>significant risk went un</w:t>
      </w:r>
      <w:r w:rsidR="004628D3">
        <w:t>spotted.</w:t>
      </w:r>
    </w:p>
    <w:p w14:paraId="0178C330" w14:textId="4984BBE8" w:rsidR="001D35F1" w:rsidRDefault="001D35F1" w:rsidP="00EF2FE7">
      <w:pPr>
        <w:pStyle w:val="ParaLevel1"/>
        <w:numPr>
          <w:ilvl w:val="0"/>
          <w:numId w:val="0"/>
        </w:numPr>
      </w:pPr>
    </w:p>
    <w:p w14:paraId="04298329" w14:textId="77777777" w:rsidR="005A0129" w:rsidRDefault="005A0129" w:rsidP="00EF2FE7">
      <w:pPr>
        <w:pStyle w:val="ParaLevel1"/>
        <w:numPr>
          <w:ilvl w:val="0"/>
          <w:numId w:val="0"/>
        </w:numPr>
      </w:pPr>
    </w:p>
    <w:p w14:paraId="3071A40C" w14:textId="0563CEC7" w:rsidR="001D35F1" w:rsidRPr="001D35F1" w:rsidRDefault="00A77AC2" w:rsidP="00EF2FE7">
      <w:pPr>
        <w:pStyle w:val="ParaLevel1"/>
        <w:numPr>
          <w:ilvl w:val="0"/>
          <w:numId w:val="0"/>
        </w:numPr>
        <w:rPr>
          <w:b/>
          <w:bCs/>
          <w:u w:val="single"/>
        </w:rPr>
      </w:pPr>
      <w:r>
        <w:rPr>
          <w:b/>
          <w:bCs/>
          <w:u w:val="single"/>
        </w:rPr>
        <w:t>L.</w:t>
      </w:r>
      <w:r>
        <w:rPr>
          <w:b/>
          <w:bCs/>
          <w:u w:val="single"/>
        </w:rPr>
        <w:tab/>
      </w:r>
      <w:r w:rsidR="001D35F1" w:rsidRPr="001D35F1">
        <w:rPr>
          <w:b/>
          <w:bCs/>
          <w:u w:val="single"/>
        </w:rPr>
        <w:t>CAUSATION</w:t>
      </w:r>
    </w:p>
    <w:p w14:paraId="2CC2AE58" w14:textId="3060E0D1" w:rsidR="001D35F1" w:rsidRDefault="003B54A8" w:rsidP="00EF2FE7">
      <w:pPr>
        <w:pStyle w:val="ParaLevel1"/>
      </w:pPr>
      <w:r>
        <w:t xml:space="preserve">The </w:t>
      </w:r>
      <w:r w:rsidR="000F01F1">
        <w:t>Firm’s arguments on causation raise a number of matters to be decided</w:t>
      </w:r>
      <w:r w:rsidR="00DC3E4E">
        <w:t xml:space="preserve"> which are not straightforward</w:t>
      </w:r>
      <w:r w:rsidR="000F01F1">
        <w:t>.</w:t>
      </w:r>
    </w:p>
    <w:p w14:paraId="3EA8C405" w14:textId="64A77A6D" w:rsidR="00657F1E" w:rsidRDefault="00DC3E4E" w:rsidP="00EF2FE7">
      <w:pPr>
        <w:pStyle w:val="ParaLevel1"/>
      </w:pPr>
      <w:r>
        <w:t xml:space="preserve">The </w:t>
      </w:r>
      <w:r w:rsidR="009D2C02">
        <w:t xml:space="preserve">Firm says that Scenario 1 would not have arisen as </w:t>
      </w:r>
      <w:r w:rsidR="002C5BE0">
        <w:t>the Claimants would have proceeded with the Transaction</w:t>
      </w:r>
      <w:r w:rsidR="00E31B20">
        <w:t xml:space="preserve">, on the terms they did, even if the risk of </w:t>
      </w:r>
      <w:r w:rsidR="00C35A34">
        <w:t>a</w:t>
      </w:r>
      <w:r w:rsidR="00E31B20">
        <w:t xml:space="preserve">rticle 18.1.4 being construed against them had been highlighted. </w:t>
      </w:r>
      <w:r w:rsidR="001B61B3">
        <w:t xml:space="preserve">It says </w:t>
      </w:r>
      <w:r w:rsidR="007E2502">
        <w:t xml:space="preserve">that the most likely non-negligent advice from the Firm would have been that there was a small risk </w:t>
      </w:r>
      <w:r w:rsidR="00BD1AD5">
        <w:t xml:space="preserve">that </w:t>
      </w:r>
      <w:r w:rsidR="00C35A34">
        <w:t>the provision might (wrongly) be construed that way</w:t>
      </w:r>
      <w:r w:rsidR="006A2745">
        <w:t xml:space="preserve">, </w:t>
      </w:r>
      <w:r w:rsidR="006E2AC1">
        <w:t>in limited and unlikely factual circumstances,</w:t>
      </w:r>
      <w:r w:rsidR="00C35A34">
        <w:t xml:space="preserve"> and the Claimants would have taken that risk.  </w:t>
      </w:r>
      <w:r w:rsidR="00C71E6E">
        <w:t>The Living</w:t>
      </w:r>
      <w:r w:rsidR="007B1273">
        <w:t xml:space="preserve">bridge deal was the best one available (and the only one which met the </w:t>
      </w:r>
      <w:r w:rsidR="003D6457">
        <w:t xml:space="preserve">objectives behind Project Spur) and the </w:t>
      </w:r>
      <w:r w:rsidR="007040B5">
        <w:t xml:space="preserve">Claimants </w:t>
      </w:r>
      <w:r w:rsidR="00D141D2">
        <w:t xml:space="preserve">would have regarded the risk of being summarily dismissed as very low.  </w:t>
      </w:r>
    </w:p>
    <w:p w14:paraId="4701B43D" w14:textId="6E25E400" w:rsidR="000F01F1" w:rsidRDefault="00C71E6E" w:rsidP="00EF2FE7">
      <w:pPr>
        <w:pStyle w:val="ParaLevel1"/>
      </w:pPr>
      <w:r>
        <w:t xml:space="preserve">The </w:t>
      </w:r>
      <w:r w:rsidR="0088359E">
        <w:t xml:space="preserve">Firm’s </w:t>
      </w:r>
      <w:r w:rsidR="009C2004">
        <w:t xml:space="preserve">defence within Scenario 1 </w:t>
      </w:r>
      <w:r w:rsidR="006557E5">
        <w:t xml:space="preserve">also </w:t>
      </w:r>
      <w:r w:rsidR="009C2004">
        <w:t xml:space="preserve">involves </w:t>
      </w:r>
      <w:r w:rsidR="00D46792">
        <w:t xml:space="preserve">compound factors </w:t>
      </w:r>
      <w:r w:rsidR="00802756">
        <w:t xml:space="preserve">in the evaluation of the loss of </w:t>
      </w:r>
      <w:r w:rsidR="007040B5">
        <w:t xml:space="preserve">any substantial </w:t>
      </w:r>
      <w:r w:rsidR="00802756">
        <w:t xml:space="preserve">chance </w:t>
      </w:r>
      <w:r w:rsidR="0087269A">
        <w:t xml:space="preserve">for the purposes of the reasoning in </w:t>
      </w:r>
      <w:r w:rsidR="0087269A" w:rsidRPr="0087269A">
        <w:rPr>
          <w:i/>
          <w:iCs/>
        </w:rPr>
        <w:t>AssetCo plc v Grant Thornton</w:t>
      </w:r>
      <w:r w:rsidR="009B5073">
        <w:t xml:space="preserve">: the chance that </w:t>
      </w:r>
      <w:r w:rsidR="00715AA3">
        <w:t xml:space="preserve">Livingbridge would have agreed </w:t>
      </w:r>
      <w:r w:rsidR="00746D20">
        <w:t>to revise the Articles and the prospect that</w:t>
      </w:r>
      <w:r w:rsidR="00FC008A">
        <w:t>, at the end of the liability stage in the Leaver Litigation, the Company would hav</w:t>
      </w:r>
      <w:r w:rsidR="00834FBF">
        <w:t xml:space="preserve">e been in a financial position to pay </w:t>
      </w:r>
      <w:r w:rsidR="0036195A">
        <w:t xml:space="preserve">the value of the </w:t>
      </w:r>
      <w:r w:rsidR="006964D8">
        <w:t xml:space="preserve">Claimants’ shareholdings as I have found it to be at the </w:t>
      </w:r>
      <w:r w:rsidR="006557E5">
        <w:t>Second Valuation Date.</w:t>
      </w:r>
    </w:p>
    <w:p w14:paraId="3D656827" w14:textId="3FBD3EF4" w:rsidR="00E31B20" w:rsidRDefault="00E31B20" w:rsidP="00EF2FE7">
      <w:pPr>
        <w:pStyle w:val="ParaLevel1"/>
      </w:pPr>
      <w:r>
        <w:t xml:space="preserve">The defence of Scenario </w:t>
      </w:r>
      <w:r w:rsidR="00E2006B">
        <w:t>2 rests upon the same contention that the Claimants would not have walked away from the Transa</w:t>
      </w:r>
      <w:r w:rsidR="008671ED">
        <w:t>ction.  The Firm then says th</w:t>
      </w:r>
      <w:r w:rsidR="001E109A">
        <w:t xml:space="preserve">ere was no real </w:t>
      </w:r>
      <w:r w:rsidR="00F922C6">
        <w:t xml:space="preserve">prospect of the Claimants finding an alternative investor </w:t>
      </w:r>
      <w:r w:rsidR="00400A2E">
        <w:t xml:space="preserve">who </w:t>
      </w:r>
      <w:r w:rsidR="00A1360C">
        <w:t xml:space="preserve">would have offered the value </w:t>
      </w:r>
      <w:r w:rsidR="007A43DB">
        <w:t>for the Claimants’ shareholdings as I have determined it to be at the First Valuation Date.</w:t>
      </w:r>
    </w:p>
    <w:p w14:paraId="07822561" w14:textId="61E244AB" w:rsidR="008B19DB" w:rsidRPr="008B19DB" w:rsidRDefault="008B19DB" w:rsidP="00EF2FE7">
      <w:pPr>
        <w:pStyle w:val="ParaLevel1"/>
        <w:numPr>
          <w:ilvl w:val="0"/>
          <w:numId w:val="0"/>
        </w:numPr>
        <w:rPr>
          <w:b/>
          <w:bCs/>
          <w:u w:val="single"/>
        </w:rPr>
      </w:pPr>
      <w:r>
        <w:rPr>
          <w:b/>
          <w:bCs/>
          <w:u w:val="single"/>
        </w:rPr>
        <w:t>S</w:t>
      </w:r>
      <w:r w:rsidR="00547F58">
        <w:rPr>
          <w:b/>
          <w:bCs/>
          <w:u w:val="single"/>
        </w:rPr>
        <w:t>cenarios 1 and 2</w:t>
      </w:r>
    </w:p>
    <w:p w14:paraId="0B0B8A5F" w14:textId="045F29A9" w:rsidR="00703154" w:rsidRDefault="00703154" w:rsidP="00EF2FE7">
      <w:pPr>
        <w:pStyle w:val="ParaLevel1"/>
      </w:pPr>
      <w:r>
        <w:t xml:space="preserve">In his closing submissions, Mr Leiper </w:t>
      </w:r>
      <w:r w:rsidR="00A139F2">
        <w:t xml:space="preserve">focused </w:t>
      </w:r>
      <w:r w:rsidR="009A4081">
        <w:t xml:space="preserve">upon </w:t>
      </w:r>
      <w:r w:rsidR="00EB702D">
        <w:t xml:space="preserve">Scenario 2 though he made it clear that he was in no sense abandoning Scenario </w:t>
      </w:r>
      <w:r w:rsidR="00D07F14">
        <w:t>1</w:t>
      </w:r>
      <w:r w:rsidR="00EB702D">
        <w:t xml:space="preserve">.  </w:t>
      </w:r>
      <w:r w:rsidR="000638CB">
        <w:t>H</w:t>
      </w:r>
      <w:r w:rsidR="00C663F5">
        <w:t>owever</w:t>
      </w:r>
      <w:r w:rsidR="00471F03">
        <w:t>,</w:t>
      </w:r>
      <w:r w:rsidR="00C663F5">
        <w:t xml:space="preserve"> he recognised that </w:t>
      </w:r>
      <w:r w:rsidR="000638CB">
        <w:t xml:space="preserve">the evidence </w:t>
      </w:r>
      <w:r w:rsidR="00200377">
        <w:t>as it has emerged indicates that Livingbridge would not have contemplated any change to the RPP</w:t>
      </w:r>
      <w:r w:rsidR="007369C4">
        <w:t xml:space="preserve">.  </w:t>
      </w:r>
      <w:r w:rsidR="00E76E92">
        <w:t>As this would have been a red line for the Claimants, the refusal of Livingbridge to agree a change to article 18.4.1 would have meant the Claimants would have walked away from the Transaction.</w:t>
      </w:r>
    </w:p>
    <w:p w14:paraId="2670F25A" w14:textId="52D472D4" w:rsidR="00B36E82" w:rsidRDefault="00B36E82" w:rsidP="00EF2FE7">
      <w:pPr>
        <w:pStyle w:val="ParaLevel1"/>
      </w:pPr>
      <w:r>
        <w:t xml:space="preserve">I am satisfied by the Claimants’ evidence, on the balance of probability, that if </w:t>
      </w:r>
      <w:r w:rsidR="00E57C5E">
        <w:t>advised that there was</w:t>
      </w:r>
      <w:r w:rsidR="00804E31">
        <w:t xml:space="preserve"> </w:t>
      </w:r>
      <w:r w:rsidR="00A473C0">
        <w:t xml:space="preserve">a </w:t>
      </w:r>
      <w:r>
        <w:t>significant risk of the RPP applying to the determination of Market Value, as applicable to the various leaver scenarios, then they would have insisted that Livingbridge agree it be disapplied under article 18.4.1 or, instead, walked away from the Transaction</w:t>
      </w:r>
      <w:r w:rsidR="001519CA">
        <w:t>.</w:t>
      </w:r>
    </w:p>
    <w:p w14:paraId="560E1F91" w14:textId="77777777" w:rsidR="00B36E82" w:rsidRDefault="00B36E82" w:rsidP="00EF2FE7">
      <w:pPr>
        <w:pStyle w:val="ParaLevel1"/>
      </w:pPr>
      <w:r>
        <w:t>I should at this stage say that I do not accept the Firm’s submission that the most likely non-negligent advice it would have given the Claimants was that there was a “</w:t>
      </w:r>
      <w:r w:rsidRPr="0087465C">
        <w:rPr>
          <w:i/>
          <w:iCs/>
        </w:rPr>
        <w:t>small risk</w:t>
      </w:r>
      <w:r>
        <w:t>” of article 18.4.1 being construed so that the RPP impacted upon the Market Value of the C Shares.  For the reasons given in support of my finding of liability, I consider that for the advice to have been non-negligent it would have to have identified the risk to be a significant one, carrying with it a potential impact across all Good Leaver situations.</w:t>
      </w:r>
    </w:p>
    <w:p w14:paraId="76DDD257" w14:textId="77777777" w:rsidR="00B36E82" w:rsidRDefault="00B36E82" w:rsidP="00EF2FE7">
      <w:pPr>
        <w:pStyle w:val="ParaLevel1"/>
      </w:pPr>
      <w:r>
        <w:t xml:space="preserve">That said, the tenor of the Claimants’ evidence suggests to me that, even if the Firm had identified the risk as a slim rather than substantial one, they would not have been happy to proceed with the Transaction unless the risk was eliminated. </w:t>
      </w:r>
    </w:p>
    <w:p w14:paraId="36DB5D8D" w14:textId="77777777" w:rsidR="00B36E82" w:rsidRDefault="00B36E82" w:rsidP="00EF2FE7">
      <w:pPr>
        <w:pStyle w:val="ParaLevel1"/>
      </w:pPr>
      <w:r>
        <w:t>Mr Richards was asked about his preparedness to agree to the risk of the Other Leaver provisions applying to him, he said:</w:t>
      </w:r>
    </w:p>
    <w:p w14:paraId="18A0AD23" w14:textId="77777777" w:rsidR="00B36E82" w:rsidRPr="00EA1CD7" w:rsidRDefault="00B36E82" w:rsidP="00EF2FE7">
      <w:pPr>
        <w:pStyle w:val="ParaLevel1"/>
        <w:numPr>
          <w:ilvl w:val="0"/>
          <w:numId w:val="0"/>
        </w:numPr>
        <w:ind w:left="1134"/>
        <w:rPr>
          <w:i/>
          <w:iCs/>
        </w:rPr>
      </w:pPr>
      <w:r w:rsidRPr="00EA1CD7">
        <w:rPr>
          <w:i/>
          <w:iCs/>
        </w:rPr>
        <w:t xml:space="preserve">“So the other leaver provisions I would have got market value, a third of my market value which would have been approximately £1 million, in the event that I was dismissed in the first 12 months. So that was my – my position was I thought the -- the risk was if I'm dismissed I get another million pounds. If I'm dismissed after 12 months I get two-thirds of that value, whatever the value would be, and if I resigned after two -- 12 months I'd get two thirds of that. “ </w:t>
      </w:r>
    </w:p>
    <w:p w14:paraId="671ED30E" w14:textId="77777777" w:rsidR="00B36E82" w:rsidRDefault="00B36E82" w:rsidP="00EF2FE7">
      <w:pPr>
        <w:pStyle w:val="ParaLevel1"/>
      </w:pPr>
      <w:r>
        <w:t>Mr Purves also spoke in his evidence about preserving his daughter’s inheritance in the form of his shares.  He was also asked about the prospect of him being dismissed the day after the Transaction and, referring to the risk which had in fact materialised, responded:</w:t>
      </w:r>
    </w:p>
    <w:p w14:paraId="2493BAE5" w14:textId="77777777" w:rsidR="00B36E82" w:rsidRPr="00EA1CD7" w:rsidRDefault="00B36E82" w:rsidP="00EF2FE7">
      <w:pPr>
        <w:pStyle w:val="ParaLevel1"/>
        <w:numPr>
          <w:ilvl w:val="0"/>
          <w:numId w:val="0"/>
        </w:numPr>
        <w:ind w:left="1134"/>
        <w:rPr>
          <w:i/>
          <w:iCs/>
        </w:rPr>
      </w:pPr>
      <w:r w:rsidRPr="00EA1CD7">
        <w:rPr>
          <w:i/>
          <w:iCs/>
        </w:rPr>
        <w:t>“Which would be £1 million -- yes, so let's look at both scenarios. You've got a pound and you've got £1 million. The likelihood of us getting fired, I said zero maybe that's extreme, it's very, very unlikely, especially in the first six months. So the minimum I felt we'd get would be two-thirds which would be £2 million, so I'm not sure how you compare a pound and £1 million. Because if it's said there is a chance, there is a chance, you may be fired and as a good leaver you'd get a pound –"</w:t>
      </w:r>
    </w:p>
    <w:p w14:paraId="5275B1DE" w14:textId="77777777" w:rsidR="00B36E82" w:rsidRDefault="00B36E82" w:rsidP="00EF2FE7">
      <w:pPr>
        <w:pStyle w:val="ParaLevel1"/>
      </w:pPr>
      <w:r>
        <w:t>Neither Claimant, therefore, would have agreed to a provision which carried with it the risk that a substantial part of the value he had built up in IPS UK would be lost if he were to die at a time when the RPP still worked to Livingbridge’s advantage.  On my assessment of the evidence neither of them would have agreed to the sale of their combined 85.9% shareholding in IPS UK for just under £4.6m, with the significant risk of receiving nothing more, when the pre-Transaction negotiations indicated that IPS UK was worth significantly more than that sum.</w:t>
      </w:r>
    </w:p>
    <w:p w14:paraId="083560DA" w14:textId="77777777" w:rsidR="00B36E82" w:rsidRDefault="00B36E82" w:rsidP="00EF2FE7">
      <w:pPr>
        <w:pStyle w:val="ParaLevel1"/>
      </w:pPr>
      <w:r>
        <w:t xml:space="preserve">Their testimony confirmed their witness statements on this point.  </w:t>
      </w:r>
    </w:p>
    <w:p w14:paraId="02D13E73" w14:textId="77777777" w:rsidR="00B36E82" w:rsidRDefault="00B36E82" w:rsidP="00EF2FE7">
      <w:pPr>
        <w:pStyle w:val="ParaLevel1"/>
      </w:pPr>
      <w:r>
        <w:t>Mr Richards said:</w:t>
      </w:r>
    </w:p>
    <w:p w14:paraId="30557E8C" w14:textId="77777777" w:rsidR="00B36E82" w:rsidRPr="00EA1CD7" w:rsidRDefault="00B36E82" w:rsidP="00EF2FE7">
      <w:pPr>
        <w:pStyle w:val="ParaLevel1"/>
        <w:numPr>
          <w:ilvl w:val="0"/>
          <w:numId w:val="0"/>
        </w:numPr>
        <w:ind w:left="1134"/>
        <w:rPr>
          <w:i/>
          <w:iCs/>
        </w:rPr>
      </w:pPr>
      <w:r w:rsidRPr="00EA1CD7">
        <w:rPr>
          <w:i/>
          <w:iCs/>
        </w:rPr>
        <w:t>“Had anyone advised me that the result of agreeing the deal with Livingbridge was that I could be dismissed the day after the transaction and only get £1 for the remaining 30% of my shares then I absolutely would not have proceeded. Why would anyone gamble that kind of money in receiving £2m for 12.5% and risking losing the remaining 30% of their shares for £1? It does not make sense. I was trying to de-risk and take some money off the table, not to gamble the remaining value of my shares that I retained.”</w:t>
      </w:r>
    </w:p>
    <w:p w14:paraId="5AE48040" w14:textId="77777777" w:rsidR="00B36E82" w:rsidRDefault="00B36E82" w:rsidP="00EF2FE7">
      <w:pPr>
        <w:pStyle w:val="ParaLevel1"/>
      </w:pPr>
      <w:r>
        <w:t>Mr Purves said:</w:t>
      </w:r>
    </w:p>
    <w:p w14:paraId="0B18FB5C" w14:textId="77777777" w:rsidR="00B36E82" w:rsidRDefault="00B36E82" w:rsidP="00EF2FE7">
      <w:pPr>
        <w:pStyle w:val="ParaLevel1"/>
        <w:numPr>
          <w:ilvl w:val="0"/>
          <w:numId w:val="0"/>
        </w:numPr>
        <w:ind w:left="1134"/>
      </w:pPr>
      <w:r>
        <w:t>“</w:t>
      </w:r>
      <w:r w:rsidRPr="00F23801">
        <w:rPr>
          <w:i/>
          <w:iCs/>
        </w:rPr>
        <w:t>If I had been told that the Leaver provisions were impacted by the redemption premium I would absolutely not, no way at all, in any circumstances let the deal happen. We were not under any pressure to do the deal, the business was flying, we were earning a huge amount of money. We were growing year on year</w:t>
      </w:r>
      <w:r>
        <w:t>.”</w:t>
      </w:r>
    </w:p>
    <w:p w14:paraId="4D3F7DF4" w14:textId="53B38C39" w:rsidR="00B36E82" w:rsidRDefault="00B36E82" w:rsidP="00EF2FE7">
      <w:pPr>
        <w:pStyle w:val="ParaLevel1"/>
      </w:pPr>
      <w:r>
        <w:t>This evidence therefore requires an evaluation of what would then have happened.</w:t>
      </w:r>
    </w:p>
    <w:p w14:paraId="2C93932B" w14:textId="15F70204" w:rsidR="002A14FC" w:rsidRDefault="00C663F5" w:rsidP="00EF2FE7">
      <w:pPr>
        <w:pStyle w:val="ParaLevel1"/>
      </w:pPr>
      <w:r>
        <w:t>It is not so much the evidence at the trial which ha</w:t>
      </w:r>
      <w:r w:rsidR="00236CA1">
        <w:t xml:space="preserve">s cast further light on the likely resistance of Livingbridge to </w:t>
      </w:r>
      <w:r w:rsidR="008F202C">
        <w:t xml:space="preserve">a change to the Articles but, instead, those </w:t>
      </w:r>
      <w:r w:rsidR="00C51012">
        <w:t xml:space="preserve">matters which emerged </w:t>
      </w:r>
      <w:r w:rsidR="00871396">
        <w:t xml:space="preserve">from Livingbridge and </w:t>
      </w:r>
      <w:r w:rsidR="00A52253">
        <w:t>the</w:t>
      </w:r>
      <w:r w:rsidR="00AD5DEE">
        <w:t xml:space="preserve"> Company’s</w:t>
      </w:r>
      <w:r w:rsidR="00A52253">
        <w:t xml:space="preserve"> solicitors in the context of the Leaver Litigation</w:t>
      </w:r>
      <w:r w:rsidR="00495C63">
        <w:t>.  I</w:t>
      </w:r>
      <w:r w:rsidR="0005252F">
        <w:t xml:space="preserve"> have referred to</w:t>
      </w:r>
      <w:r w:rsidR="00495C63">
        <w:t xml:space="preserve"> those</w:t>
      </w:r>
      <w:r w:rsidR="0005252F">
        <w:t xml:space="preserve"> above in identifying the </w:t>
      </w:r>
      <w:r w:rsidR="00495C63">
        <w:t xml:space="preserve">significant risk </w:t>
      </w:r>
      <w:r w:rsidR="00CF6A15">
        <w:t>which the Articles, as adopted, carried for the Claimants.</w:t>
      </w:r>
    </w:p>
    <w:p w14:paraId="6E70E67A" w14:textId="09BAAA31" w:rsidR="00C663F5" w:rsidRDefault="00CF6A15" w:rsidP="00EF2FE7">
      <w:pPr>
        <w:pStyle w:val="ParaLevel1"/>
      </w:pPr>
      <w:r>
        <w:t xml:space="preserve">My own, different interpretation of the Articles </w:t>
      </w:r>
      <w:r w:rsidR="00786C16">
        <w:t xml:space="preserve">obviously raises the question of whether </w:t>
      </w:r>
      <w:r w:rsidR="00CD7F6D">
        <w:t xml:space="preserve">that was </w:t>
      </w:r>
      <w:r w:rsidR="009558D3">
        <w:t xml:space="preserve">a piece of legal posturing which, as things turned out, proved to be of greater than </w:t>
      </w:r>
      <w:r w:rsidR="00FB7E0E">
        <w:t xml:space="preserve">expected effect; and whether, therefore, </w:t>
      </w:r>
      <w:r w:rsidR="00DA744A">
        <w:t>Livingbridge might have yielded on the point if the Claimants had raised it before the Transaction completed.</w:t>
      </w:r>
      <w:r w:rsidR="00BD02F9">
        <w:t xml:space="preserve">  </w:t>
      </w:r>
      <w:r w:rsidR="00BD02F9" w:rsidRPr="00BD02F9">
        <w:t xml:space="preserve">That Livingbridge would or might well have agreed to the change, if the Firm had raised the point on behalf of the Claimants, is not </w:t>
      </w:r>
      <w:r w:rsidR="006262E5">
        <w:t xml:space="preserve">necessarily </w:t>
      </w:r>
      <w:r w:rsidR="00BD02F9" w:rsidRPr="00BD02F9">
        <w:t xml:space="preserve">at odds with my finding that the Articles in their adopted form did carry a significant financial risk for the Claimants which </w:t>
      </w:r>
      <w:r w:rsidR="005931A4">
        <w:t xml:space="preserve">in fact </w:t>
      </w:r>
      <w:r w:rsidR="00BD02F9" w:rsidRPr="00BD02F9">
        <w:t>went unnoticed</w:t>
      </w:r>
      <w:r w:rsidR="006262E5">
        <w:t xml:space="preserve"> by them</w:t>
      </w:r>
      <w:r w:rsidR="00B2551E">
        <w:t>.</w:t>
      </w:r>
    </w:p>
    <w:p w14:paraId="5198F3A5" w14:textId="3AD8B553" w:rsidR="0045691A" w:rsidRDefault="00FE1CB9" w:rsidP="00EF2FE7">
      <w:pPr>
        <w:pStyle w:val="ParaLevel1"/>
      </w:pPr>
      <w:r>
        <w:t xml:space="preserve">On this point, </w:t>
      </w:r>
      <w:r w:rsidR="007513CC">
        <w:t>I note that t</w:t>
      </w:r>
      <w:r w:rsidR="0045691A">
        <w:t>he LIM (</w:t>
      </w:r>
      <w:r w:rsidR="0045691A" w:rsidRPr="00FE1CB9">
        <w:rPr>
          <w:i/>
          <w:iCs/>
        </w:rPr>
        <w:t>Section B: “Deal Structure”</w:t>
      </w:r>
      <w:r w:rsidR="0045691A">
        <w:t>) contained the following which perhaps suggested that Livingbridge did regard the Market Value provision in the Articles as having some real value for the Claimants in certain leaver situations.  It said:</w:t>
      </w:r>
    </w:p>
    <w:p w14:paraId="73C7E4F8" w14:textId="77777777" w:rsidR="0045691A" w:rsidRPr="007513CC" w:rsidRDefault="0045691A" w:rsidP="00EF2FE7">
      <w:pPr>
        <w:pStyle w:val="ParaLevel1"/>
        <w:numPr>
          <w:ilvl w:val="0"/>
          <w:numId w:val="0"/>
        </w:numPr>
        <w:ind w:left="1134"/>
        <w:rPr>
          <w:i/>
          <w:iCs/>
        </w:rPr>
      </w:pPr>
      <w:r>
        <w:t>“</w:t>
      </w:r>
      <w:r w:rsidRPr="007513CC">
        <w:rPr>
          <w:i/>
          <w:iCs/>
        </w:rPr>
        <w:t>3. Material legal Issues</w:t>
      </w:r>
    </w:p>
    <w:p w14:paraId="56A7EABD" w14:textId="77777777" w:rsidR="0045691A" w:rsidRPr="007513CC" w:rsidRDefault="0045691A" w:rsidP="00EF2FE7">
      <w:pPr>
        <w:pStyle w:val="ParaLevel1"/>
        <w:numPr>
          <w:ilvl w:val="0"/>
          <w:numId w:val="0"/>
        </w:numPr>
        <w:ind w:left="1134"/>
        <w:rPr>
          <w:i/>
          <w:iCs/>
        </w:rPr>
      </w:pPr>
      <w:r w:rsidRPr="007513CC">
        <w:rPr>
          <w:i/>
          <w:iCs/>
        </w:rPr>
        <w:t>Founder shares have the following leaver provisions for removal for under performance:</w:t>
      </w:r>
    </w:p>
    <w:p w14:paraId="02E53D30" w14:textId="77777777" w:rsidR="0045691A" w:rsidRPr="007513CC" w:rsidRDefault="0045691A" w:rsidP="00EF2FE7">
      <w:pPr>
        <w:pStyle w:val="ParaLevel1"/>
        <w:numPr>
          <w:ilvl w:val="0"/>
          <w:numId w:val="0"/>
        </w:numPr>
        <w:ind w:left="1134"/>
        <w:rPr>
          <w:i/>
          <w:iCs/>
        </w:rPr>
      </w:pPr>
      <w:r w:rsidRPr="007513CC">
        <w:rPr>
          <w:i/>
          <w:iCs/>
        </w:rPr>
        <w:t>1/3rd vests at completion</w:t>
      </w:r>
    </w:p>
    <w:p w14:paraId="2F691CD3" w14:textId="77777777" w:rsidR="0045691A" w:rsidRPr="007513CC" w:rsidRDefault="0045691A" w:rsidP="00EF2FE7">
      <w:pPr>
        <w:pStyle w:val="ParaLevel1"/>
        <w:numPr>
          <w:ilvl w:val="0"/>
          <w:numId w:val="0"/>
        </w:numPr>
        <w:ind w:left="1134"/>
        <w:rPr>
          <w:i/>
          <w:iCs/>
        </w:rPr>
      </w:pPr>
      <w:r w:rsidRPr="007513CC">
        <w:rPr>
          <w:i/>
          <w:iCs/>
        </w:rPr>
        <w:t>2/3rds vests after 12 months</w:t>
      </w:r>
    </w:p>
    <w:p w14:paraId="6E83A1F2" w14:textId="77777777" w:rsidR="0045691A" w:rsidRPr="007513CC" w:rsidRDefault="0045691A" w:rsidP="00EF2FE7">
      <w:pPr>
        <w:pStyle w:val="ParaLevel1"/>
        <w:numPr>
          <w:ilvl w:val="0"/>
          <w:numId w:val="0"/>
        </w:numPr>
        <w:ind w:left="1134"/>
        <w:rPr>
          <w:i/>
          <w:iCs/>
        </w:rPr>
      </w:pPr>
      <w:r w:rsidRPr="007513CC">
        <w:rPr>
          <w:i/>
          <w:iCs/>
        </w:rPr>
        <w:t>Full vesting after 24 months</w:t>
      </w:r>
    </w:p>
    <w:p w14:paraId="4AE8A2D8" w14:textId="77777777" w:rsidR="0045691A" w:rsidRPr="007513CC" w:rsidRDefault="0045691A" w:rsidP="00EF2FE7">
      <w:pPr>
        <w:pStyle w:val="ParaLevel1"/>
        <w:numPr>
          <w:ilvl w:val="0"/>
          <w:numId w:val="0"/>
        </w:numPr>
        <w:ind w:left="1134"/>
        <w:rPr>
          <w:i/>
          <w:iCs/>
        </w:rPr>
      </w:pPr>
    </w:p>
    <w:p w14:paraId="59BC21E4" w14:textId="77777777" w:rsidR="0045691A" w:rsidRPr="007513CC" w:rsidRDefault="0045691A" w:rsidP="00EF2FE7">
      <w:pPr>
        <w:pStyle w:val="ParaLevel1"/>
        <w:numPr>
          <w:ilvl w:val="0"/>
          <w:numId w:val="0"/>
        </w:numPr>
        <w:ind w:left="1134"/>
        <w:rPr>
          <w:i/>
          <w:iCs/>
        </w:rPr>
      </w:pPr>
      <w:r w:rsidRPr="007513CC">
        <w:rPr>
          <w:i/>
          <w:iCs/>
        </w:rPr>
        <w:t>There is also a vesting associated with Founder resignation:</w:t>
      </w:r>
    </w:p>
    <w:p w14:paraId="216D1779" w14:textId="77777777" w:rsidR="0045691A" w:rsidRPr="007513CC" w:rsidRDefault="0045691A" w:rsidP="00EF2FE7">
      <w:pPr>
        <w:pStyle w:val="ParaLevel1"/>
        <w:numPr>
          <w:ilvl w:val="0"/>
          <w:numId w:val="0"/>
        </w:numPr>
        <w:ind w:left="1134"/>
        <w:rPr>
          <w:i/>
          <w:iCs/>
        </w:rPr>
      </w:pPr>
      <w:r w:rsidRPr="007513CC">
        <w:rPr>
          <w:i/>
          <w:iCs/>
        </w:rPr>
        <w:t>1/3rd vests at completion</w:t>
      </w:r>
    </w:p>
    <w:p w14:paraId="712A4928" w14:textId="77777777" w:rsidR="0045691A" w:rsidRPr="007513CC" w:rsidRDefault="0045691A" w:rsidP="00EF2FE7">
      <w:pPr>
        <w:pStyle w:val="ParaLevel1"/>
        <w:numPr>
          <w:ilvl w:val="0"/>
          <w:numId w:val="0"/>
        </w:numPr>
        <w:ind w:left="1134"/>
        <w:rPr>
          <w:i/>
          <w:iCs/>
        </w:rPr>
      </w:pPr>
      <w:r w:rsidRPr="007513CC">
        <w:rPr>
          <w:i/>
          <w:iCs/>
        </w:rPr>
        <w:t>2/3rds vests after 12 months</w:t>
      </w:r>
    </w:p>
    <w:p w14:paraId="7E457951" w14:textId="77777777" w:rsidR="0045691A" w:rsidRPr="007513CC" w:rsidRDefault="0045691A" w:rsidP="00EF2FE7">
      <w:pPr>
        <w:pStyle w:val="ParaLevel1"/>
        <w:numPr>
          <w:ilvl w:val="0"/>
          <w:numId w:val="0"/>
        </w:numPr>
        <w:ind w:left="1134"/>
        <w:rPr>
          <w:i/>
          <w:iCs/>
        </w:rPr>
      </w:pPr>
      <w:r w:rsidRPr="007513CC">
        <w:rPr>
          <w:i/>
          <w:iCs/>
        </w:rPr>
        <w:t>Remaining 1/3rd does not vest</w:t>
      </w:r>
    </w:p>
    <w:p w14:paraId="4A4C06F2" w14:textId="69F21B2E" w:rsidR="0045691A" w:rsidRDefault="0045691A" w:rsidP="00EF2FE7">
      <w:pPr>
        <w:pStyle w:val="ParaLevel1"/>
        <w:numPr>
          <w:ilvl w:val="0"/>
          <w:numId w:val="0"/>
        </w:numPr>
        <w:ind w:left="1134"/>
        <w:rPr>
          <w:i/>
          <w:iCs/>
        </w:rPr>
      </w:pPr>
      <w:r w:rsidRPr="007513CC">
        <w:rPr>
          <w:i/>
          <w:iCs/>
        </w:rPr>
        <w:t>All other conditions are in line with our standard positions.”</w:t>
      </w:r>
    </w:p>
    <w:p w14:paraId="08099CEA" w14:textId="77777777" w:rsidR="00122EB7" w:rsidRPr="007513CC" w:rsidRDefault="00122EB7" w:rsidP="00EF2FE7">
      <w:pPr>
        <w:pStyle w:val="ParaLevel1"/>
        <w:numPr>
          <w:ilvl w:val="0"/>
          <w:numId w:val="0"/>
        </w:numPr>
        <w:ind w:left="1134"/>
        <w:rPr>
          <w:i/>
          <w:iCs/>
        </w:rPr>
      </w:pPr>
    </w:p>
    <w:p w14:paraId="40A5AB82" w14:textId="6D99273A" w:rsidR="0045691A" w:rsidRDefault="001B0CB4" w:rsidP="00EF2FE7">
      <w:pPr>
        <w:pStyle w:val="ParaLevel1"/>
      </w:pPr>
      <w:r>
        <w:t xml:space="preserve">However, </w:t>
      </w:r>
      <w:r w:rsidR="0061410D">
        <w:t xml:space="preserve">I bear in mind that the RPP came into existence as a result of the </w:t>
      </w:r>
      <w:r w:rsidR="00535C33">
        <w:t>Claimant</w:t>
      </w:r>
      <w:r w:rsidR="00860A2F">
        <w:t>s holding out for more equity and Mrs Justice May</w:t>
      </w:r>
      <w:r w:rsidR="00D43033">
        <w:t xml:space="preserve"> </w:t>
      </w:r>
      <w:r w:rsidR="002E4910">
        <w:t xml:space="preserve">for one (other judges </w:t>
      </w:r>
      <w:r w:rsidR="00E92D25">
        <w:t>could</w:t>
      </w:r>
      <w:r w:rsidR="00471F03">
        <w:t xml:space="preserve"> well agree) </w:t>
      </w:r>
      <w:r w:rsidR="002D0339">
        <w:t xml:space="preserve">might regard </w:t>
      </w:r>
      <w:r w:rsidR="00F5292A">
        <w:t>a</w:t>
      </w:r>
      <w:r w:rsidR="009626D8">
        <w:t>s unconvincing a</w:t>
      </w:r>
      <w:r w:rsidR="00F5292A">
        <w:t xml:space="preserve"> conclusion </w:t>
      </w:r>
      <w:r w:rsidR="009626D8">
        <w:t xml:space="preserve">by me </w:t>
      </w:r>
      <w:r w:rsidR="00F5292A">
        <w:t xml:space="preserve">that there was a significant chance that Livingbridge </w:t>
      </w:r>
      <w:r w:rsidR="00C93C15">
        <w:t xml:space="preserve">would have agreed </w:t>
      </w:r>
      <w:r w:rsidR="004012B3">
        <w:t xml:space="preserve">to </w:t>
      </w:r>
      <w:r w:rsidR="007F6E39">
        <w:t>a change in the Articles</w:t>
      </w:r>
      <w:r w:rsidR="009626D8">
        <w:t>.</w:t>
      </w:r>
    </w:p>
    <w:p w14:paraId="0FDE2A92" w14:textId="42EEF22B" w:rsidR="009432A4" w:rsidRDefault="0082084A" w:rsidP="00EF2FE7">
      <w:pPr>
        <w:pStyle w:val="ParaLevel1"/>
      </w:pPr>
      <w:r>
        <w:t xml:space="preserve">The </w:t>
      </w:r>
      <w:r w:rsidR="008F576B">
        <w:t xml:space="preserve">approach in </w:t>
      </w:r>
      <w:r w:rsidR="008F576B" w:rsidRPr="00002E52">
        <w:rPr>
          <w:i/>
          <w:iCs/>
        </w:rPr>
        <w:t>Allied</w:t>
      </w:r>
      <w:r w:rsidR="005D194B" w:rsidRPr="00002E52">
        <w:rPr>
          <w:i/>
          <w:iCs/>
        </w:rPr>
        <w:t xml:space="preserve"> Maples</w:t>
      </w:r>
      <w:r w:rsidR="005D194B">
        <w:t xml:space="preserve"> v </w:t>
      </w:r>
      <w:r w:rsidR="005D194B" w:rsidRPr="00002E52">
        <w:rPr>
          <w:i/>
          <w:iCs/>
        </w:rPr>
        <w:t xml:space="preserve">Simmons </w:t>
      </w:r>
      <w:r w:rsidR="00002E52">
        <w:rPr>
          <w:i/>
          <w:iCs/>
        </w:rPr>
        <w:t>&amp;</w:t>
      </w:r>
      <w:r w:rsidR="005D194B" w:rsidRPr="00002E52">
        <w:rPr>
          <w:i/>
          <w:iCs/>
        </w:rPr>
        <w:t xml:space="preserve"> Simmons</w:t>
      </w:r>
      <w:r w:rsidR="005D194B">
        <w:t xml:space="preserve"> </w:t>
      </w:r>
      <w:r w:rsidR="00115E38">
        <w:t xml:space="preserve">requires the Claimants to show that they had a real </w:t>
      </w:r>
      <w:r>
        <w:t>or substantial chance</w:t>
      </w:r>
      <w:r w:rsidR="009432A4">
        <w:t xml:space="preserve">, </w:t>
      </w:r>
      <w:r>
        <w:t>a</w:t>
      </w:r>
      <w:r w:rsidR="00252EE1">
        <w:t>s</w:t>
      </w:r>
      <w:r w:rsidR="009432A4">
        <w:t xml:space="preserve"> </w:t>
      </w:r>
      <w:r>
        <w:t>opposed to a speculative one</w:t>
      </w:r>
      <w:r w:rsidR="009432A4">
        <w:t xml:space="preserve">, </w:t>
      </w:r>
      <w:r w:rsidR="00252EE1">
        <w:t xml:space="preserve">of persuading </w:t>
      </w:r>
      <w:r w:rsidR="00A72306">
        <w:t>Livingbridge to agree such a change.  Th</w:t>
      </w:r>
      <w:r w:rsidR="00284006">
        <w:t xml:space="preserve">e assessment of </w:t>
      </w:r>
      <w:r w:rsidR="001F5D47">
        <w:t xml:space="preserve">this hypothetical situation </w:t>
      </w:r>
      <w:r w:rsidR="00C25A7A">
        <w:t>rests upon the court drawing inferences</w:t>
      </w:r>
      <w:r w:rsidR="00273C00">
        <w:t xml:space="preserve"> from the evidence available to it</w:t>
      </w:r>
      <w:r w:rsidR="00C25A7A">
        <w:t>.</w:t>
      </w:r>
      <w:r w:rsidR="00A72306">
        <w:t xml:space="preserve"> </w:t>
      </w:r>
    </w:p>
    <w:p w14:paraId="33CE599B" w14:textId="572304C4" w:rsidR="00DC5712" w:rsidRDefault="005931A4" w:rsidP="00EF2FE7">
      <w:pPr>
        <w:pStyle w:val="ParaLevel1"/>
      </w:pPr>
      <w:r>
        <w:t>Consideration of the documen</w:t>
      </w:r>
      <w:r w:rsidR="00076378">
        <w:t xml:space="preserve">tary trail of the commercial negotiations leading up to the Transaction, the evidence given about those negotiations at trial, </w:t>
      </w:r>
      <w:r w:rsidR="005F7D0D">
        <w:t>and the evidence which Mr Morris gave in the Leaver Litigation</w:t>
      </w:r>
      <w:r w:rsidR="002D1C77">
        <w:t>,</w:t>
      </w:r>
      <w:r w:rsidR="005F7D0D">
        <w:t xml:space="preserve"> all lead </w:t>
      </w:r>
      <w:r w:rsidR="00076378">
        <w:t xml:space="preserve">me to conclude that the </w:t>
      </w:r>
      <w:r w:rsidR="003E3E3F">
        <w:t>chance</w:t>
      </w:r>
      <w:r w:rsidR="0099461F">
        <w:t xml:space="preserve"> of Livingbridge agreeing that the RPP should not apply </w:t>
      </w:r>
      <w:r w:rsidR="0085206D">
        <w:t xml:space="preserve">in </w:t>
      </w:r>
      <w:r w:rsidR="00BC59EC">
        <w:t>the determination of Market Value</w:t>
      </w:r>
      <w:r w:rsidR="00A66BC3">
        <w:t xml:space="preserve"> </w:t>
      </w:r>
      <w:r w:rsidR="00AC7B18">
        <w:t xml:space="preserve">cannot be </w:t>
      </w:r>
      <w:r w:rsidR="0085206D">
        <w:t xml:space="preserve">described as other than </w:t>
      </w:r>
      <w:r w:rsidR="003E3E3F">
        <w:t>s</w:t>
      </w:r>
      <w:r w:rsidR="004E6BAF">
        <w:t>peculative.</w:t>
      </w:r>
    </w:p>
    <w:p w14:paraId="3697042B" w14:textId="52162D86" w:rsidR="00A00609" w:rsidRDefault="004E6BAF" w:rsidP="00EF2FE7">
      <w:pPr>
        <w:pStyle w:val="ParaLevel1"/>
      </w:pPr>
      <w:r>
        <w:t>It follows that I find that the Claimants have not established that they lost a real or substantial chance</w:t>
      </w:r>
      <w:r w:rsidR="001641C2">
        <w:t xml:space="preserve"> for the purpose of </w:t>
      </w:r>
      <w:r w:rsidR="00FC77F6">
        <w:t>Scenario 1.</w:t>
      </w:r>
      <w:r w:rsidR="00FE3723">
        <w:t xml:space="preserve">  This means it is not necessary to </w:t>
      </w:r>
      <w:r w:rsidR="00C743EE">
        <w:t xml:space="preserve">consider the Firm’s further point that </w:t>
      </w:r>
      <w:r w:rsidR="00B0527E">
        <w:t xml:space="preserve">by the time the Leaver Litigation was finally determined (a date </w:t>
      </w:r>
      <w:r w:rsidR="003C1256">
        <w:t xml:space="preserve">which the Firm put at mid-to-late 2017 allowing for </w:t>
      </w:r>
      <w:r w:rsidR="008A4A5D">
        <w:t xml:space="preserve">the </w:t>
      </w:r>
      <w:r w:rsidR="00E003AC">
        <w:t>pursuit of the Company’s appeal against the Liability Judgment) the Company’s financial position was such that the Claimants would not have recovered the value of the</w:t>
      </w:r>
      <w:r w:rsidR="00DD7A29">
        <w:t>ir shareholding as I have found it to be at the First Valuation Date.</w:t>
      </w:r>
      <w:r>
        <w:t xml:space="preserve"> </w:t>
      </w:r>
    </w:p>
    <w:p w14:paraId="1F1F89C4" w14:textId="2C8CA8C7" w:rsidR="000D5FEB" w:rsidRDefault="000D5FEB" w:rsidP="00EF2FE7">
      <w:pPr>
        <w:pStyle w:val="ParaLevel1"/>
      </w:pPr>
      <w:r>
        <w:t>It is therefore</w:t>
      </w:r>
      <w:r w:rsidR="00423268">
        <w:t xml:space="preserve"> necessary to focus</w:t>
      </w:r>
      <w:r w:rsidR="00B02436">
        <w:t xml:space="preserve"> upon Scenario 2</w:t>
      </w:r>
      <w:r w:rsidR="001641C2">
        <w:t>,</w:t>
      </w:r>
      <w:r w:rsidR="00B02436">
        <w:t xml:space="preserve"> as the </w:t>
      </w:r>
      <w:r w:rsidR="001641C2">
        <w:t xml:space="preserve">Claimants did </w:t>
      </w:r>
      <w:r w:rsidR="00B02436">
        <w:t>in their</w:t>
      </w:r>
      <w:r w:rsidR="001641C2">
        <w:t xml:space="preserve"> written and </w:t>
      </w:r>
      <w:r w:rsidR="00B02436">
        <w:t>oral closing submissions.</w:t>
      </w:r>
      <w:r w:rsidR="00423268">
        <w:t xml:space="preserve"> </w:t>
      </w:r>
      <w:r>
        <w:t xml:space="preserve"> </w:t>
      </w:r>
    </w:p>
    <w:p w14:paraId="39112B22" w14:textId="3E7B095F" w:rsidR="00576C8A" w:rsidRDefault="00576C8A" w:rsidP="00EF2FE7">
      <w:pPr>
        <w:pStyle w:val="ParaLevel1"/>
        <w:numPr>
          <w:ilvl w:val="0"/>
          <w:numId w:val="0"/>
        </w:numPr>
        <w:ind w:left="720"/>
      </w:pPr>
    </w:p>
    <w:p w14:paraId="26FEC1AB" w14:textId="76A08AE3" w:rsidR="00576C8A" w:rsidRPr="00576C8A" w:rsidRDefault="00576C8A" w:rsidP="00EF2FE7">
      <w:pPr>
        <w:pStyle w:val="ParaLevel1"/>
        <w:numPr>
          <w:ilvl w:val="0"/>
          <w:numId w:val="0"/>
        </w:numPr>
        <w:rPr>
          <w:b/>
          <w:bCs/>
          <w:u w:val="single"/>
        </w:rPr>
      </w:pPr>
      <w:r w:rsidRPr="00576C8A">
        <w:rPr>
          <w:b/>
          <w:bCs/>
          <w:u w:val="single"/>
        </w:rPr>
        <w:t>Evaluation of Scenario 2</w:t>
      </w:r>
    </w:p>
    <w:p w14:paraId="324410EF" w14:textId="13405258" w:rsidR="008D0F4F" w:rsidRDefault="004D5C6E" w:rsidP="00EF2FE7">
      <w:pPr>
        <w:pStyle w:val="ParaLevel1"/>
      </w:pPr>
      <w:r>
        <w:t xml:space="preserve">Again, </w:t>
      </w:r>
      <w:r w:rsidR="008D0F4F">
        <w:t xml:space="preserve">this is an </w:t>
      </w:r>
      <w:r w:rsidR="008B6B91">
        <w:t xml:space="preserve">exercise in drawing inferences from the evidence for the purpose of assessing the </w:t>
      </w:r>
      <w:r w:rsidR="00C74FCE">
        <w:t>likelihood of this hypothetical scenario coming about.</w:t>
      </w:r>
    </w:p>
    <w:p w14:paraId="191A17E7" w14:textId="2B8E780A" w:rsidR="00D54122" w:rsidRPr="00D54122" w:rsidRDefault="00D54122" w:rsidP="00EF2FE7">
      <w:pPr>
        <w:pStyle w:val="ParaLevel1"/>
      </w:pPr>
      <w:r w:rsidRPr="00D54122">
        <w:t xml:space="preserve">It is unrealistic to contemplate that any such alternative transaction would have been concluded by the Second Valuation Date but that is the date the parties have adopted for assessing the likelihood of another investor or purchaser offering the Claimants terms which reflected the value of IPS UK at that date.  The pleaded claim is for the difference between the aggregate value of their shareholding at £8m (or £4m each) after giving credit for the £4,595,900 in aggregate (or £2,297,950 each) received under the Transaction. On that basis, they say that have each suffered an aggregate loss of £3,404,100 (or £1,702,050 each) before giving credit for the sum of £175,000 received under the settlement of the </w:t>
      </w:r>
      <w:r w:rsidR="007757E0">
        <w:t xml:space="preserve">cross </w:t>
      </w:r>
      <w:r w:rsidRPr="00D54122">
        <w:t>appeals in the Leaver Litigation.</w:t>
      </w:r>
    </w:p>
    <w:p w14:paraId="497A4AB8" w14:textId="271B0D99" w:rsidR="00E8022D" w:rsidRDefault="00E8022D" w:rsidP="00EF2FE7">
      <w:pPr>
        <w:pStyle w:val="ParaLevel1"/>
      </w:pPr>
      <w:r>
        <w:t xml:space="preserve">The evaluation of the </w:t>
      </w:r>
      <w:r w:rsidR="00777E31">
        <w:t>prospect of t</w:t>
      </w:r>
      <w:r>
        <w:t xml:space="preserve">he Claimants </w:t>
      </w:r>
      <w:r w:rsidR="00DA05FE">
        <w:t>concluding a</w:t>
      </w:r>
      <w:r w:rsidR="00B429FE">
        <w:t xml:space="preserve"> deal with an alternative investor </w:t>
      </w:r>
      <w:r w:rsidR="00E21B25">
        <w:t>begins with their view of the business in 2014.</w:t>
      </w:r>
    </w:p>
    <w:p w14:paraId="0F6C2B5F" w14:textId="0CB2E8E0" w:rsidR="00E21B25" w:rsidRDefault="00E21B25" w:rsidP="00EF2FE7">
      <w:pPr>
        <w:pStyle w:val="ParaLevel1"/>
      </w:pPr>
      <w:r>
        <w:t xml:space="preserve">Mr </w:t>
      </w:r>
      <w:r w:rsidR="00C54DCC">
        <w:t>Richards said:</w:t>
      </w:r>
    </w:p>
    <w:p w14:paraId="469C8F2C" w14:textId="27ECDCAC" w:rsidR="00C54DCC" w:rsidRPr="003702AA" w:rsidRDefault="001F3A0A" w:rsidP="00EF2FE7">
      <w:pPr>
        <w:pStyle w:val="ParaLevel1"/>
        <w:numPr>
          <w:ilvl w:val="0"/>
          <w:numId w:val="0"/>
        </w:numPr>
        <w:ind w:left="1134"/>
        <w:rPr>
          <w:i/>
          <w:iCs/>
        </w:rPr>
      </w:pPr>
      <w:r>
        <w:t>“</w:t>
      </w:r>
      <w:r w:rsidR="006050B0" w:rsidRPr="003702AA">
        <w:rPr>
          <w:i/>
          <w:iCs/>
        </w:rPr>
        <w:t>No, I would have walked away from [the Transaction]. You know, I was – you know 2014 was probably one of the best years of – of my life, we were living a really good lifestyle, we were doing really well, we were growing a very successful business, our business was recognised in the industry as being an early adopted or cloud communications. We won numerous industry awards. We were shortlisted for the Times Tech Target Award and, you know, we could have grown the business quite easily for another year or two to £15 million organically. What we felt we wanted to do was get a partner that would drive that on quicker, but I certainly wouldn't have resist – sorry, I certainly wouldn't have risked the value that I had tied up in my shares</w:t>
      </w:r>
      <w:r w:rsidRPr="003702AA">
        <w:rPr>
          <w:i/>
          <w:iCs/>
        </w:rPr>
        <w:t xml:space="preserve"> …..”</w:t>
      </w:r>
    </w:p>
    <w:p w14:paraId="46E3F035" w14:textId="0B0B39FC" w:rsidR="0034576A" w:rsidRDefault="00A00D31" w:rsidP="00EF2FE7">
      <w:pPr>
        <w:pStyle w:val="ParaLevel1"/>
      </w:pPr>
      <w:r>
        <w:t>Mr Purves said</w:t>
      </w:r>
      <w:r w:rsidR="008746D9">
        <w:t>:</w:t>
      </w:r>
    </w:p>
    <w:p w14:paraId="48BC26C7" w14:textId="10ACF50A" w:rsidR="008746D9" w:rsidRDefault="00C234A8" w:rsidP="00EF2FE7">
      <w:pPr>
        <w:pStyle w:val="ParaLevel1"/>
        <w:numPr>
          <w:ilvl w:val="0"/>
          <w:numId w:val="0"/>
        </w:numPr>
        <w:ind w:left="1134"/>
      </w:pPr>
      <w:r>
        <w:t>“</w:t>
      </w:r>
      <w:r w:rsidRPr="00C234A8">
        <w:rPr>
          <w:i/>
          <w:iCs/>
        </w:rPr>
        <w:t>If the deal was not based on us getting full share value, there would have been no deal, none at all and this would have been the case even if Livingbridge had been the only deal out there because we were not desperate. It was desperation, it wasn't a fire sale, we weren't struggling. The business was not going backwards. We had no debt, we had no outside investment or bank loans, … You know, we had a huge amount of cash in the bank, and we were paying ourselves handsomely. This wasn't a struggling business …”</w:t>
      </w:r>
    </w:p>
    <w:p w14:paraId="20C31A16" w14:textId="02F96C2E" w:rsidR="00346B94" w:rsidRDefault="00346B94" w:rsidP="00EF2FE7">
      <w:pPr>
        <w:pStyle w:val="ParaLevel1"/>
      </w:pPr>
      <w:r>
        <w:t xml:space="preserve">In his witness statement, Mr Purves </w:t>
      </w:r>
      <w:r w:rsidR="00EF4103">
        <w:t>said: “</w:t>
      </w:r>
      <w:r w:rsidR="00EF4103" w:rsidRPr="001B2578">
        <w:rPr>
          <w:i/>
          <w:iCs/>
        </w:rPr>
        <w:t>We were not under any pressure to do the deal, the business was flying</w:t>
      </w:r>
      <w:r w:rsidR="001B2578" w:rsidRPr="001B2578">
        <w:rPr>
          <w:i/>
          <w:iCs/>
        </w:rPr>
        <w:t>, we were earning a huge amount of money. We were growing year on year</w:t>
      </w:r>
      <w:r w:rsidR="001B2578">
        <w:t>.”</w:t>
      </w:r>
      <w:r>
        <w:t xml:space="preserve"> </w:t>
      </w:r>
    </w:p>
    <w:p w14:paraId="0379D7BC" w14:textId="53D9019D" w:rsidR="00777E31" w:rsidRDefault="00576DDB" w:rsidP="00EF2FE7">
      <w:pPr>
        <w:pStyle w:val="ParaLevel1"/>
      </w:pPr>
      <w:r>
        <w:t xml:space="preserve">Although </w:t>
      </w:r>
      <w:r w:rsidR="00777E31">
        <w:t xml:space="preserve">this evidence is to the effect that </w:t>
      </w:r>
      <w:r w:rsidR="00F06117">
        <w:t xml:space="preserve">the Claimants were in no rush to </w:t>
      </w:r>
      <w:r w:rsidR="00351EFE">
        <w:t xml:space="preserve">conclude a deal, </w:t>
      </w:r>
      <w:r w:rsidR="001E02AC">
        <w:t>it</w:t>
      </w:r>
      <w:r w:rsidR="000B4954">
        <w:t xml:space="preserve"> clearly shows that they would have been prepared to agree </w:t>
      </w:r>
      <w:r w:rsidR="00D85839">
        <w:t xml:space="preserve">terms with an alternative buyer to Livingbridge if </w:t>
      </w:r>
      <w:r w:rsidR="00497D8A">
        <w:t>they received what they regarded as proper value for their shares in IPS UK.</w:t>
      </w:r>
    </w:p>
    <w:p w14:paraId="587B5611" w14:textId="28696A37" w:rsidR="00A742FC" w:rsidRDefault="00A742FC" w:rsidP="00EF2FE7">
      <w:pPr>
        <w:pStyle w:val="ParaLevel1"/>
      </w:pPr>
      <w:r w:rsidRPr="00A742FC">
        <w:t xml:space="preserve">In the context of summarising Mr Billingham’s evidence, I have already explained how, </w:t>
      </w:r>
      <w:r w:rsidR="00C24B1C">
        <w:t>on 27</w:t>
      </w:r>
      <w:r w:rsidRPr="00A742FC">
        <w:t xml:space="preserve"> June 2014, Mr Richards sent an email to Mr Billingham saying that he and Mr Purves would require a cash only deal with GCI, with no shares, or instead one where any shares in GCI attracted a significant dividend until sold with a long stop date of 24 months before GCI were obliged to buy them.      </w:t>
      </w:r>
      <w:r w:rsidR="00AE1B76">
        <w:t xml:space="preserve">On 13 September 2014, </w:t>
      </w:r>
      <w:r w:rsidR="00421AAB">
        <w:t xml:space="preserve">Mr Purves sent an email to Mr Richards </w:t>
      </w:r>
      <w:r w:rsidR="000D2D39">
        <w:t>saying that, if Livingbridge would not agree to them each having a 30% shareholding, then “</w:t>
      </w:r>
      <w:r w:rsidR="00421AAB" w:rsidRPr="000D2D39">
        <w:rPr>
          <w:i/>
          <w:iCs/>
        </w:rPr>
        <w:t>I'm up for waiting for a trade deal and having 2 years and out</w:t>
      </w:r>
      <w:r w:rsidR="000D2D39">
        <w:t>.”</w:t>
      </w:r>
    </w:p>
    <w:p w14:paraId="5D769FB1" w14:textId="2920A0F5" w:rsidR="00C8363A" w:rsidRDefault="00497D8A" w:rsidP="00EF2FE7">
      <w:pPr>
        <w:pStyle w:val="ParaLevel1"/>
      </w:pPr>
      <w:r>
        <w:t xml:space="preserve">I am </w:t>
      </w:r>
      <w:r w:rsidR="0090520E">
        <w:t xml:space="preserve">satisfied </w:t>
      </w:r>
      <w:r w:rsidR="00E85EAA">
        <w:t>that</w:t>
      </w:r>
      <w:r w:rsidR="0090520E">
        <w:t xml:space="preserve"> the evidence </w:t>
      </w:r>
      <w:r w:rsidR="00A00607">
        <w:t xml:space="preserve">given at trial </w:t>
      </w:r>
      <w:r w:rsidR="00924BCD">
        <w:t xml:space="preserve">about the events of 2014 </w:t>
      </w:r>
      <w:r w:rsidR="00873AD9">
        <w:t>proves</w:t>
      </w:r>
      <w:r w:rsidR="007A7A10">
        <w:t xml:space="preserve"> that it is more likely than not that the Claimants would have </w:t>
      </w:r>
      <w:r w:rsidR="007B2688">
        <w:t>pursued</w:t>
      </w:r>
      <w:r w:rsidR="009530CA">
        <w:t xml:space="preserve"> an alternative deal</w:t>
      </w:r>
      <w:r w:rsidR="00A00607">
        <w:t xml:space="preserve">, even if that </w:t>
      </w:r>
      <w:r w:rsidR="00AA6A79">
        <w:t>meant having to wait for the right offer</w:t>
      </w:r>
      <w:r w:rsidR="009530CA">
        <w:t>.</w:t>
      </w:r>
      <w:r w:rsidR="00B972C0">
        <w:t xml:space="preserve"> </w:t>
      </w:r>
      <w:r w:rsidR="00BC4F75">
        <w:t xml:space="preserve">The Claimants </w:t>
      </w:r>
      <w:r w:rsidR="00E85EAA">
        <w:t>thought time was on their side in that respect</w:t>
      </w:r>
      <w:r w:rsidR="00C14CF3">
        <w:t xml:space="preserve">, though the Firm was right to point out that </w:t>
      </w:r>
      <w:r w:rsidR="007B4F11">
        <w:t xml:space="preserve">in </w:t>
      </w:r>
      <w:r w:rsidR="00E02640">
        <w:t xml:space="preserve">an email of 18 </w:t>
      </w:r>
      <w:r w:rsidR="007B4F11">
        <w:t xml:space="preserve">November 2014 </w:t>
      </w:r>
      <w:r w:rsidR="00C14CF3">
        <w:t xml:space="preserve">Mr Billingham had </w:t>
      </w:r>
      <w:r w:rsidR="002B67F1">
        <w:t>pointed out the “</w:t>
      </w:r>
      <w:r w:rsidR="002B67F1" w:rsidRPr="004E10CF">
        <w:rPr>
          <w:i/>
          <w:iCs/>
        </w:rPr>
        <w:t>need to invest in the business</w:t>
      </w:r>
      <w:r w:rsidR="002B67F1">
        <w:t xml:space="preserve">” </w:t>
      </w:r>
      <w:r w:rsidR="005571E2">
        <w:t xml:space="preserve">in </w:t>
      </w:r>
      <w:r w:rsidR="004E10CF">
        <w:t>weighing up the “pros” and “cons” of “</w:t>
      </w:r>
      <w:r w:rsidR="004E10CF" w:rsidRPr="004E10CF">
        <w:rPr>
          <w:i/>
          <w:iCs/>
        </w:rPr>
        <w:t>maintaining independence</w:t>
      </w:r>
      <w:r w:rsidR="004E10CF">
        <w:t>”</w:t>
      </w:r>
      <w:r w:rsidR="00E85EAA">
        <w:t>.</w:t>
      </w:r>
      <w:r w:rsidR="00B972C0">
        <w:t xml:space="preserve"> </w:t>
      </w:r>
      <w:r w:rsidR="005C3938">
        <w:t xml:space="preserve"> </w:t>
      </w:r>
    </w:p>
    <w:p w14:paraId="59F54EF9" w14:textId="388970D5" w:rsidR="00834400" w:rsidRDefault="005C3938" w:rsidP="00EF2FE7">
      <w:pPr>
        <w:pStyle w:val="ParaLevel1"/>
      </w:pPr>
      <w:r>
        <w:t xml:space="preserve">Indeed, in urging upon me the </w:t>
      </w:r>
      <w:r w:rsidR="004D0365">
        <w:t>conclusion that the Claimants would have proceeded with Livingbridge</w:t>
      </w:r>
      <w:r w:rsidR="00C13539">
        <w:t xml:space="preserve">, notwithstanding the known risk of the RPP applying in a leaver situation, the Firm said </w:t>
      </w:r>
      <w:r w:rsidR="002765E3">
        <w:t xml:space="preserve">the Claimants would not have put off a sale indefinitely.  </w:t>
      </w:r>
      <w:r w:rsidR="00324800">
        <w:t>The Firm</w:t>
      </w:r>
      <w:r w:rsidR="002765E3">
        <w:t xml:space="preserve"> referred to an email which Mr Howitt sent to the</w:t>
      </w:r>
      <w:r w:rsidR="00A57837">
        <w:t xml:space="preserve"> Claimants</w:t>
      </w:r>
      <w:r w:rsidR="002765E3">
        <w:t xml:space="preserve"> on </w:t>
      </w:r>
      <w:r w:rsidR="00E76654">
        <w:t xml:space="preserve">7 July 2014 </w:t>
      </w:r>
      <w:r w:rsidR="00A57837">
        <w:t>in which he referred to some of the issues presented by the Living</w:t>
      </w:r>
      <w:r w:rsidR="00197F7C">
        <w:t xml:space="preserve">bridge proposal, </w:t>
      </w:r>
      <w:r w:rsidR="007C1A30">
        <w:t>when they wanted to “</w:t>
      </w:r>
      <w:r w:rsidR="007C1A30" w:rsidRPr="007C1A30">
        <w:rPr>
          <w:i/>
          <w:iCs/>
        </w:rPr>
        <w:t>take cash off the table</w:t>
      </w:r>
      <w:r w:rsidR="007C1A30">
        <w:t xml:space="preserve">”, and said </w:t>
      </w:r>
      <w:r w:rsidR="009777EE" w:rsidRPr="009777EE">
        <w:rPr>
          <w:i/>
          <w:iCs/>
        </w:rPr>
        <w:t>“[</w:t>
      </w:r>
      <w:r w:rsidR="00BC523B" w:rsidRPr="009777EE">
        <w:rPr>
          <w:i/>
          <w:iCs/>
        </w:rPr>
        <w:t>I</w:t>
      </w:r>
      <w:r w:rsidR="009777EE" w:rsidRPr="009777EE">
        <w:rPr>
          <w:i/>
          <w:iCs/>
        </w:rPr>
        <w:t>]</w:t>
      </w:r>
      <w:r w:rsidR="00BC523B" w:rsidRPr="009777EE">
        <w:rPr>
          <w:i/>
          <w:iCs/>
        </w:rPr>
        <w:t>f you decide to carry on as you are, you will face these same issues further down the line</w:t>
      </w:r>
      <w:r w:rsidR="009777EE">
        <w:t>.”</w:t>
      </w:r>
      <w:r>
        <w:t xml:space="preserve"> </w:t>
      </w:r>
    </w:p>
    <w:p w14:paraId="0BBA6663" w14:textId="79717202" w:rsidR="006A7914" w:rsidRDefault="006A7914" w:rsidP="00EF2FE7">
      <w:pPr>
        <w:pStyle w:val="ParaLevel1"/>
      </w:pPr>
      <w:r>
        <w:t xml:space="preserve">The </w:t>
      </w:r>
      <w:r w:rsidR="00AE19D9">
        <w:t>momentum was therefore behind the Claimants concluding a deal with someone.</w:t>
      </w:r>
      <w:r>
        <w:t xml:space="preserve"> </w:t>
      </w:r>
    </w:p>
    <w:p w14:paraId="5B635B56" w14:textId="3388AD3C" w:rsidR="00EF4F2D" w:rsidRDefault="00EF4F2D" w:rsidP="00EF2FE7">
      <w:pPr>
        <w:pStyle w:val="ParaLevel1"/>
      </w:pPr>
      <w:r>
        <w:t>Th</w:t>
      </w:r>
      <w:r w:rsidR="00FE74C3">
        <w:t xml:space="preserve">at </w:t>
      </w:r>
      <w:r>
        <w:t xml:space="preserve">is </w:t>
      </w:r>
      <w:r w:rsidR="00FE74C3">
        <w:t>the first</w:t>
      </w:r>
      <w:r>
        <w:t xml:space="preserve"> </w:t>
      </w:r>
      <w:r w:rsidR="009A5BA2">
        <w:t xml:space="preserve">element of the issue of causation within </w:t>
      </w:r>
      <w:r>
        <w:t xml:space="preserve">Scenario 2.   </w:t>
      </w:r>
      <w:r w:rsidR="009A5BA2">
        <w:t>T</w:t>
      </w:r>
      <w:r>
        <w:t xml:space="preserve">he </w:t>
      </w:r>
      <w:r w:rsidR="00B93354">
        <w:t xml:space="preserve">second </w:t>
      </w:r>
      <w:r>
        <w:t xml:space="preserve">involves </w:t>
      </w:r>
      <w:r w:rsidR="00E86DF0">
        <w:t xml:space="preserve">an assessment of </w:t>
      </w:r>
      <w:r>
        <w:t>the likelihood that</w:t>
      </w:r>
      <w:r w:rsidR="00122BCD">
        <w:t>, looking to conclude an alternative deal,</w:t>
      </w:r>
      <w:r>
        <w:t xml:space="preserve"> they would find a purchaser at th</w:t>
      </w:r>
      <w:r w:rsidR="00E86DF0">
        <w:t>e</w:t>
      </w:r>
      <w:r>
        <w:t xml:space="preserve"> price</w:t>
      </w:r>
      <w:r w:rsidR="00E86DF0">
        <w:t xml:space="preserve"> indicated by that valuation</w:t>
      </w:r>
      <w:r>
        <w:t>.</w:t>
      </w:r>
    </w:p>
    <w:p w14:paraId="0FFD818B" w14:textId="130196B1" w:rsidR="00A861E2" w:rsidRDefault="00EF4F2D" w:rsidP="00EF2FE7">
      <w:pPr>
        <w:pStyle w:val="ParaLevel1"/>
      </w:pPr>
      <w:r>
        <w:t xml:space="preserve">As the Firm </w:t>
      </w:r>
      <w:r w:rsidR="00AF44D8">
        <w:t>submitted</w:t>
      </w:r>
      <w:r>
        <w:t>, and I accept, the higher the notional price taken for the purposes of Scenario 2, the slimmer the chance that the Claimants would have secured a buyer at that price.  That said, it must be remembered that Mr Skeels’ £8m valuation of the Claimants’ shareholding in IPS UK (£8.031m to be precise) was the midpoint valuation between a low valuation of £7.540m and a high of £8.522m.</w:t>
      </w:r>
    </w:p>
    <w:p w14:paraId="19542082" w14:textId="6EA9BE02" w:rsidR="0048065F" w:rsidRDefault="000E198A" w:rsidP="00EF2FE7">
      <w:pPr>
        <w:pStyle w:val="ParaLevel1"/>
      </w:pPr>
      <w:r>
        <w:t>M</w:t>
      </w:r>
      <w:r w:rsidR="00AA5117">
        <w:t xml:space="preserve">r Tozzi QC, in his cross-examination of Mr Skeels said the litmus test </w:t>
      </w:r>
      <w:r w:rsidR="00812D60">
        <w:t xml:space="preserve">of the value of IPS UK was what a purchaser would actually pay for the company not what </w:t>
      </w:r>
      <w:r w:rsidR="00883626">
        <w:t xml:space="preserve">a valuer </w:t>
      </w:r>
      <w:r w:rsidR="00A6756C">
        <w:t>indicates the EV to be</w:t>
      </w:r>
      <w:r w:rsidR="00AA7B53">
        <w:t xml:space="preserve">.  Mr Skeels responded </w:t>
      </w:r>
      <w:r w:rsidR="003F43FA">
        <w:t xml:space="preserve">to the effect that </w:t>
      </w:r>
      <w:r w:rsidR="001125B6">
        <w:t xml:space="preserve">his approach adopted standard valuation methodology and </w:t>
      </w:r>
      <w:r w:rsidR="009E6086">
        <w:t xml:space="preserve">that it </w:t>
      </w:r>
      <w:r w:rsidR="008E736F">
        <w:t xml:space="preserve">would be for the vendors to decide </w:t>
      </w:r>
      <w:r w:rsidR="00A861E2">
        <w:t xml:space="preserve">whether they should sell their shareholding at </w:t>
      </w:r>
      <w:r w:rsidR="00EB5C14">
        <w:t xml:space="preserve">a price </w:t>
      </w:r>
      <w:r w:rsidR="00A861E2">
        <w:t xml:space="preserve">indicated </w:t>
      </w:r>
      <w:r w:rsidR="00EB5C14">
        <w:t xml:space="preserve">by </w:t>
      </w:r>
      <w:r w:rsidR="00C55757">
        <w:t xml:space="preserve">the fair market value of the </w:t>
      </w:r>
      <w:r w:rsidR="0048065F">
        <w:t>company.</w:t>
      </w:r>
    </w:p>
    <w:p w14:paraId="2A4073EF" w14:textId="252C19CE" w:rsidR="00385802" w:rsidRDefault="00385802" w:rsidP="00EF2FE7">
      <w:pPr>
        <w:pStyle w:val="ParaLevel1"/>
      </w:pPr>
      <w:r>
        <w:t xml:space="preserve">I have to assess the likelihood that the Claimants would have found an investor </w:t>
      </w:r>
      <w:r w:rsidR="009C6DE8">
        <w:t>willing to</w:t>
      </w:r>
      <w:r w:rsidR="00AA1EF2">
        <w:t xml:space="preserve"> buy (or invest) on the basis that </w:t>
      </w:r>
      <w:r w:rsidR="00EB32D0">
        <w:t>their shareholding was worth £8m.</w:t>
      </w:r>
    </w:p>
    <w:p w14:paraId="05AC4E9A" w14:textId="17F65DE4" w:rsidR="00385802" w:rsidRDefault="00385802" w:rsidP="00EF2FE7">
      <w:pPr>
        <w:pStyle w:val="ParaLevel1"/>
      </w:pPr>
      <w:r>
        <w:t xml:space="preserve">The </w:t>
      </w:r>
      <w:r w:rsidR="00A57A90">
        <w:t xml:space="preserve">thrust of the Firm’s case on this was that </w:t>
      </w:r>
      <w:r w:rsidR="006539A1">
        <w:t xml:space="preserve">there was no realistic prospect that </w:t>
      </w:r>
      <w:r w:rsidR="006D7A56">
        <w:t>such a buyer would be found.</w:t>
      </w:r>
      <w:r w:rsidR="00E01B55">
        <w:t xml:space="preserve"> </w:t>
      </w:r>
    </w:p>
    <w:p w14:paraId="1D99F522" w14:textId="501093D7" w:rsidR="004F06B2" w:rsidRDefault="00FE41C4" w:rsidP="00EF2FE7">
      <w:pPr>
        <w:pStyle w:val="ParaLevel1"/>
      </w:pPr>
      <w:r>
        <w:t xml:space="preserve">My summary of Mr Billingham’s evidence in Section I </w:t>
      </w:r>
      <w:r w:rsidR="006539A1">
        <w:t xml:space="preserve">above </w:t>
      </w:r>
      <w:r>
        <w:t>no</w:t>
      </w:r>
      <w:r w:rsidR="00A705A3">
        <w:t xml:space="preserve">tes </w:t>
      </w:r>
      <w:r w:rsidR="005120E7">
        <w:t>that</w:t>
      </w:r>
      <w:r w:rsidR="00A705A3">
        <w:t xml:space="preserve"> he made </w:t>
      </w:r>
      <w:r w:rsidR="004F06B2">
        <w:t xml:space="preserve">very clear </w:t>
      </w:r>
      <w:r w:rsidR="00A705A3">
        <w:t xml:space="preserve">how the interest of a particular investor </w:t>
      </w:r>
      <w:r w:rsidR="004F06B2">
        <w:t>or buyer might depend upon whether or not it was at the time engaged in another deal.</w:t>
      </w:r>
    </w:p>
    <w:p w14:paraId="6533BCB6" w14:textId="3EFE7B8E" w:rsidR="00841926" w:rsidRDefault="008D432C" w:rsidP="00EF2FE7">
      <w:pPr>
        <w:pStyle w:val="ParaLevel1"/>
      </w:pPr>
      <w:r>
        <w:t>In his witness statement</w:t>
      </w:r>
      <w:r w:rsidR="001331E4">
        <w:t>s</w:t>
      </w:r>
      <w:r>
        <w:t xml:space="preserve"> Mr Billingham said:</w:t>
      </w:r>
    </w:p>
    <w:p w14:paraId="011691C4" w14:textId="4E9986D9" w:rsidR="0069650E" w:rsidRDefault="008E6919" w:rsidP="00EF2FE7">
      <w:pPr>
        <w:pStyle w:val="ParaLevel1"/>
        <w:numPr>
          <w:ilvl w:val="0"/>
          <w:numId w:val="0"/>
        </w:numPr>
        <w:ind w:left="1134"/>
        <w:rPr>
          <w:i/>
          <w:iCs/>
        </w:rPr>
      </w:pPr>
      <w:r w:rsidRPr="000C50EB">
        <w:rPr>
          <w:i/>
          <w:iCs/>
        </w:rPr>
        <w:t>“</w:t>
      </w:r>
      <w:r w:rsidR="0069650E" w:rsidRPr="000C50EB">
        <w:rPr>
          <w:i/>
          <w:iCs/>
        </w:rPr>
        <w:t>… transactional activity in the sector remained buoyant, and had the transaction not completed with ISIS there would have been an opportunity to go back to the other parties that had made offers, particularly GCI, to start negotiations again. This period would also have allowed new parties to review the business and to consider making an offer as new potential buyers were entering the sector as a result of increased private equity investment in communications technology provides (both directly and indirectly). … Since 2014 the telecoms sector</w:t>
      </w:r>
      <w:r w:rsidR="0084494D" w:rsidRPr="000C50EB">
        <w:rPr>
          <w:i/>
          <w:iCs/>
        </w:rPr>
        <w:t xml:space="preserve"> </w:t>
      </w:r>
      <w:r w:rsidR="0069650E" w:rsidRPr="000C50EB">
        <w:rPr>
          <w:i/>
          <w:iCs/>
        </w:rPr>
        <w:t>has seen significant increases in volumes of transactions for</w:t>
      </w:r>
      <w:r w:rsidR="0084494D" w:rsidRPr="000C50EB">
        <w:rPr>
          <w:i/>
          <w:iCs/>
        </w:rPr>
        <w:t xml:space="preserve"> </w:t>
      </w:r>
      <w:r w:rsidR="0069650E" w:rsidRPr="000C50EB">
        <w:rPr>
          <w:i/>
          <w:iCs/>
        </w:rPr>
        <w:t>communication technology providers like IPS and increases in valuations</w:t>
      </w:r>
      <w:r w:rsidR="0084494D" w:rsidRPr="000C50EB">
        <w:rPr>
          <w:i/>
          <w:iCs/>
        </w:rPr>
        <w:t xml:space="preserve"> </w:t>
      </w:r>
      <w:r w:rsidR="0069650E" w:rsidRPr="000C50EB">
        <w:rPr>
          <w:i/>
          <w:iCs/>
        </w:rPr>
        <w:t>for such companies.</w:t>
      </w:r>
      <w:r w:rsidRPr="000C50EB">
        <w:rPr>
          <w:i/>
          <w:iCs/>
        </w:rPr>
        <w:t>”</w:t>
      </w:r>
    </w:p>
    <w:p w14:paraId="72D70EEB" w14:textId="30A715A2" w:rsidR="00637059" w:rsidRPr="00637059" w:rsidRDefault="00637059" w:rsidP="00EF2FE7">
      <w:pPr>
        <w:pStyle w:val="ParaLevel1"/>
        <w:numPr>
          <w:ilvl w:val="0"/>
          <w:numId w:val="0"/>
        </w:numPr>
        <w:ind w:left="1134"/>
      </w:pPr>
      <w:r>
        <w:t>And:</w:t>
      </w:r>
    </w:p>
    <w:p w14:paraId="0B96840C" w14:textId="2A342261" w:rsidR="00841926" w:rsidRDefault="008E6919" w:rsidP="00EF2FE7">
      <w:pPr>
        <w:pStyle w:val="ParaLevel1"/>
        <w:numPr>
          <w:ilvl w:val="0"/>
          <w:numId w:val="0"/>
        </w:numPr>
        <w:ind w:left="1134"/>
        <w:rPr>
          <w:i/>
          <w:iCs/>
        </w:rPr>
      </w:pPr>
      <w:r w:rsidRPr="000C50EB">
        <w:rPr>
          <w:i/>
          <w:iCs/>
        </w:rPr>
        <w:t>“</w:t>
      </w:r>
      <w:r w:rsidR="0069650E" w:rsidRPr="000C50EB">
        <w:rPr>
          <w:i/>
          <w:iCs/>
        </w:rPr>
        <w:t>The ICT market was a growing market and one which was buoyant from</w:t>
      </w:r>
      <w:r w:rsidR="001331E4" w:rsidRPr="000C50EB">
        <w:rPr>
          <w:i/>
          <w:iCs/>
        </w:rPr>
        <w:t xml:space="preserve"> </w:t>
      </w:r>
      <w:r w:rsidR="0069650E" w:rsidRPr="000C50EB">
        <w:rPr>
          <w:i/>
          <w:iCs/>
        </w:rPr>
        <w:t>a transaction perspective. There was a lot of private equity and trade</w:t>
      </w:r>
      <w:r w:rsidR="001331E4" w:rsidRPr="000C50EB">
        <w:rPr>
          <w:i/>
          <w:iCs/>
        </w:rPr>
        <w:t xml:space="preserve"> </w:t>
      </w:r>
      <w:r w:rsidR="0069650E" w:rsidRPr="000C50EB">
        <w:rPr>
          <w:i/>
          <w:iCs/>
        </w:rPr>
        <w:t>interest in transactions. That transaction activity has continued right to</w:t>
      </w:r>
      <w:r w:rsidR="001331E4" w:rsidRPr="000C50EB">
        <w:rPr>
          <w:i/>
          <w:iCs/>
        </w:rPr>
        <w:t xml:space="preserve"> </w:t>
      </w:r>
      <w:r w:rsidR="0069650E" w:rsidRPr="000C50EB">
        <w:rPr>
          <w:i/>
          <w:iCs/>
        </w:rPr>
        <w:t>this day and it continues to attract private equity investment.</w:t>
      </w:r>
      <w:r w:rsidR="001331E4" w:rsidRPr="000C50EB">
        <w:rPr>
          <w:i/>
          <w:iCs/>
        </w:rPr>
        <w:t xml:space="preserve"> </w:t>
      </w:r>
      <w:r w:rsidR="0069650E" w:rsidRPr="000C50EB">
        <w:rPr>
          <w:i/>
          <w:iCs/>
        </w:rPr>
        <w:t>Had Paul and Keith not gone with Livingbridge deal there would have been</w:t>
      </w:r>
      <w:r w:rsidR="001331E4" w:rsidRPr="000C50EB">
        <w:rPr>
          <w:i/>
          <w:iCs/>
        </w:rPr>
        <w:t xml:space="preserve"> </w:t>
      </w:r>
      <w:r w:rsidR="0069650E" w:rsidRPr="000C50EB">
        <w:rPr>
          <w:i/>
          <w:iCs/>
        </w:rPr>
        <w:t>other options, they may not have been immediate, but over the next 6</w:t>
      </w:r>
      <w:r w:rsidR="001331E4" w:rsidRPr="000C50EB">
        <w:rPr>
          <w:i/>
          <w:iCs/>
        </w:rPr>
        <w:t xml:space="preserve"> </w:t>
      </w:r>
      <w:r w:rsidR="0069650E" w:rsidRPr="000C50EB">
        <w:rPr>
          <w:i/>
          <w:iCs/>
        </w:rPr>
        <w:t>months or so they would have had lots of opportunities with both trade</w:t>
      </w:r>
      <w:r w:rsidR="001331E4" w:rsidRPr="000C50EB">
        <w:rPr>
          <w:i/>
          <w:iCs/>
        </w:rPr>
        <w:t xml:space="preserve"> </w:t>
      </w:r>
      <w:r w:rsidR="0069650E" w:rsidRPr="000C50EB">
        <w:rPr>
          <w:i/>
          <w:iCs/>
        </w:rPr>
        <w:t>buyers and other private equity fir</w:t>
      </w:r>
      <w:r w:rsidR="00D30E1D">
        <w:rPr>
          <w:i/>
          <w:iCs/>
        </w:rPr>
        <w:t xml:space="preserve"> </w:t>
      </w:r>
      <w:r w:rsidR="0069650E" w:rsidRPr="000C50EB">
        <w:rPr>
          <w:i/>
          <w:iCs/>
        </w:rPr>
        <w:t>ms as the business was performing well.</w:t>
      </w:r>
      <w:r w:rsidRPr="000C50EB">
        <w:rPr>
          <w:i/>
          <w:iCs/>
        </w:rPr>
        <w:t>”</w:t>
      </w:r>
    </w:p>
    <w:p w14:paraId="75666470" w14:textId="77777777" w:rsidR="00781CD3" w:rsidRPr="000C50EB" w:rsidRDefault="00781CD3" w:rsidP="00EF2FE7">
      <w:pPr>
        <w:pStyle w:val="ParaLevel1"/>
        <w:numPr>
          <w:ilvl w:val="0"/>
          <w:numId w:val="0"/>
        </w:numPr>
        <w:ind w:left="1134"/>
        <w:rPr>
          <w:i/>
          <w:iCs/>
        </w:rPr>
      </w:pPr>
    </w:p>
    <w:p w14:paraId="4A285E46" w14:textId="363FA578" w:rsidR="00AF2616" w:rsidRDefault="00AF2616" w:rsidP="00EF2FE7">
      <w:pPr>
        <w:pStyle w:val="ParaLevel1"/>
      </w:pPr>
      <w:r>
        <w:t xml:space="preserve">In his </w:t>
      </w:r>
      <w:r w:rsidR="00781CD3">
        <w:t xml:space="preserve">evidence, Mr Taylor </w:t>
      </w:r>
      <w:r w:rsidR="00824CFE">
        <w:t xml:space="preserve">said: </w:t>
      </w:r>
      <w:r w:rsidR="00EE5969">
        <w:t>“</w:t>
      </w:r>
      <w:r w:rsidR="00824CFE" w:rsidRPr="00EE5969">
        <w:rPr>
          <w:i/>
          <w:iCs/>
        </w:rPr>
        <w:t>I recall that there was a perception that the UC market</w:t>
      </w:r>
      <w:r w:rsidR="00EE5969" w:rsidRPr="00EE5969">
        <w:rPr>
          <w:i/>
          <w:iCs/>
        </w:rPr>
        <w:t xml:space="preserve"> </w:t>
      </w:r>
      <w:r w:rsidR="00824CFE" w:rsidRPr="00EE5969">
        <w:rPr>
          <w:i/>
          <w:iCs/>
        </w:rPr>
        <w:t>was growing and a good market to be investing in, yes.</w:t>
      </w:r>
      <w:r w:rsidR="00EE5969">
        <w:t>”</w:t>
      </w:r>
    </w:p>
    <w:p w14:paraId="00316ABF" w14:textId="2D17B1FD" w:rsidR="00F653EB" w:rsidRPr="00F653EB" w:rsidRDefault="00F653EB" w:rsidP="00EF2FE7">
      <w:pPr>
        <w:pStyle w:val="ParaLevel1"/>
      </w:pPr>
      <w:r w:rsidRPr="00F653EB">
        <w:t xml:space="preserve">In cross-examination Mr Billingham </w:t>
      </w:r>
      <w:r>
        <w:t>was taken to his</w:t>
      </w:r>
      <w:r w:rsidR="00B9758A">
        <w:t xml:space="preserve"> “pros” and “cons” </w:t>
      </w:r>
      <w:r w:rsidR="00054B06">
        <w:t>note</w:t>
      </w:r>
      <w:r w:rsidR="00B9758A">
        <w:t xml:space="preserve"> </w:t>
      </w:r>
      <w:r w:rsidR="00C740C5">
        <w:t xml:space="preserve">(and the </w:t>
      </w:r>
      <w:r w:rsidR="00B14C86">
        <w:t xml:space="preserve">point </w:t>
      </w:r>
      <w:r w:rsidR="00C740C5">
        <w:t xml:space="preserve">against </w:t>
      </w:r>
      <w:r w:rsidR="008775CE">
        <w:t xml:space="preserve">maintaining independence </w:t>
      </w:r>
      <w:r w:rsidR="00B14C86">
        <w:t>that “</w:t>
      </w:r>
      <w:r w:rsidR="00FC6967" w:rsidRPr="00523D66">
        <w:rPr>
          <w:i/>
          <w:iCs/>
        </w:rPr>
        <w:t>Exit options reduce with trade as the only likely acquirer</w:t>
      </w:r>
      <w:r w:rsidR="00C740C5">
        <w:t xml:space="preserve">”) </w:t>
      </w:r>
      <w:r w:rsidR="007433C0">
        <w:t xml:space="preserve">and he accepted that he was making the point that, if the Livingbridge offer </w:t>
      </w:r>
      <w:r w:rsidR="004C4107">
        <w:t xml:space="preserve">did not work for the Claimants, then a trade purchase would be the exit route.  </w:t>
      </w:r>
      <w:r w:rsidR="00054B06">
        <w:t xml:space="preserve">His note had </w:t>
      </w:r>
      <w:r w:rsidR="00A03A71">
        <w:t>said that t</w:t>
      </w:r>
      <w:r w:rsidR="00A03A71" w:rsidRPr="00A03A71">
        <w:t xml:space="preserve">rade </w:t>
      </w:r>
      <w:r w:rsidR="00A03A71">
        <w:t xml:space="preserve">buyer </w:t>
      </w:r>
      <w:r w:rsidR="00A03A71" w:rsidRPr="00A03A71">
        <w:t xml:space="preserve">valuations </w:t>
      </w:r>
      <w:r w:rsidR="00A03A71">
        <w:t>were “</w:t>
      </w:r>
      <w:r w:rsidR="00A03A71" w:rsidRPr="00523D66">
        <w:rPr>
          <w:i/>
          <w:iCs/>
        </w:rPr>
        <w:t>traditionally lower</w:t>
      </w:r>
      <w:r w:rsidR="00A03A71">
        <w:t>”</w:t>
      </w:r>
      <w:r w:rsidR="00212D4F">
        <w:t xml:space="preserve"> and that, if the Claimants were to maintain their independence, then </w:t>
      </w:r>
      <w:r w:rsidR="00523D66">
        <w:t>they should “[</w:t>
      </w:r>
      <w:r w:rsidR="00523D66" w:rsidRPr="00523D66">
        <w:rPr>
          <w:i/>
          <w:iCs/>
        </w:rPr>
        <w:t>W]ork with Knight on how best a trade sale be executed and the best price -follow-up on feedback from trade buyers</w:t>
      </w:r>
      <w:r w:rsidR="00523D66">
        <w:t>.”</w:t>
      </w:r>
    </w:p>
    <w:p w14:paraId="6DA07674" w14:textId="5E0DE1B3" w:rsidR="00841926" w:rsidRDefault="000C50EB" w:rsidP="00EF2FE7">
      <w:pPr>
        <w:pStyle w:val="ParaLevel1"/>
      </w:pPr>
      <w:r>
        <w:t xml:space="preserve">I </w:t>
      </w:r>
      <w:r w:rsidR="00F653EB">
        <w:t>accept M</w:t>
      </w:r>
      <w:r w:rsidR="00F107F6">
        <w:t>r Billingham’</w:t>
      </w:r>
      <w:r>
        <w:t xml:space="preserve">s evidence </w:t>
      </w:r>
      <w:r w:rsidR="00B91216">
        <w:t>about the general level of interest in transactions within the sector.</w:t>
      </w:r>
      <w:r w:rsidR="007600EA">
        <w:t xml:space="preserve">  As Mr Leiper </w:t>
      </w:r>
      <w:r w:rsidR="00FF22EF">
        <w:t>submitted</w:t>
      </w:r>
      <w:r w:rsidR="007600EA">
        <w:t>, it is consistent with the views expressed at the time by both L</w:t>
      </w:r>
      <w:r w:rsidR="00DC2783">
        <w:t>ivingbridge and Oakley</w:t>
      </w:r>
      <w:r w:rsidR="00F528B6">
        <w:t xml:space="preserve"> in addressing </w:t>
      </w:r>
      <w:r w:rsidR="004F3704">
        <w:t>interest in the sector over the anticipated period of Livingbridge’s investment</w:t>
      </w:r>
      <w:r w:rsidR="00DC2783">
        <w:t>.</w:t>
      </w:r>
      <w:r w:rsidR="00FF22EF">
        <w:t xml:space="preserve"> </w:t>
      </w:r>
    </w:p>
    <w:p w14:paraId="20383588" w14:textId="18710770" w:rsidR="002A60F9" w:rsidRDefault="009766C0" w:rsidP="00EF2FE7">
      <w:pPr>
        <w:pStyle w:val="ParaLevel1"/>
      </w:pPr>
      <w:r>
        <w:t xml:space="preserve">In addressing </w:t>
      </w:r>
      <w:r w:rsidR="002A60F9">
        <w:t>Livingbridge’s late</w:t>
      </w:r>
      <w:r w:rsidR="009242EF">
        <w:t>r</w:t>
      </w:r>
      <w:r w:rsidR="002A60F9">
        <w:t xml:space="preserve"> </w:t>
      </w:r>
      <w:r>
        <w:t>“</w:t>
      </w:r>
      <w:r w:rsidR="002A60F9" w:rsidRPr="009242EF">
        <w:rPr>
          <w:i/>
          <w:iCs/>
        </w:rPr>
        <w:t>Exit</w:t>
      </w:r>
      <w:r w:rsidR="002A60F9">
        <w:t>”, the LIM stated:</w:t>
      </w:r>
    </w:p>
    <w:p w14:paraId="5A78BA79" w14:textId="2AA1C11D" w:rsidR="00DC2783" w:rsidRPr="00DD6EA5" w:rsidRDefault="009242EF" w:rsidP="00EF2FE7">
      <w:pPr>
        <w:pStyle w:val="ParaLevel1"/>
        <w:numPr>
          <w:ilvl w:val="0"/>
          <w:numId w:val="0"/>
        </w:numPr>
        <w:ind w:left="1134"/>
        <w:rPr>
          <w:i/>
          <w:iCs/>
        </w:rPr>
      </w:pPr>
      <w:r w:rsidRPr="00DD6EA5">
        <w:rPr>
          <w:i/>
          <w:iCs/>
        </w:rPr>
        <w:t>“</w:t>
      </w:r>
      <w:r w:rsidR="008F569E" w:rsidRPr="00DD6EA5">
        <w:rPr>
          <w:i/>
          <w:iCs/>
        </w:rPr>
        <w:t>The M&amp;A market for UC assets is buoyant with the sector proving attractive to a broad set of trade and private equity</w:t>
      </w:r>
      <w:r w:rsidRPr="00DD6EA5">
        <w:rPr>
          <w:i/>
          <w:iCs/>
        </w:rPr>
        <w:t xml:space="preserve"> </w:t>
      </w:r>
      <w:r w:rsidR="008F569E" w:rsidRPr="00DD6EA5">
        <w:rPr>
          <w:i/>
          <w:iCs/>
        </w:rPr>
        <w:t>buyers. Ongoing growth in customer demand for UC solutions, particularly amongst SMEs, and convergence across the</w:t>
      </w:r>
      <w:r w:rsidRPr="00DD6EA5">
        <w:rPr>
          <w:i/>
          <w:iCs/>
        </w:rPr>
        <w:t xml:space="preserve"> </w:t>
      </w:r>
      <w:r w:rsidR="008F569E" w:rsidRPr="00DD6EA5">
        <w:rPr>
          <w:i/>
          <w:iCs/>
        </w:rPr>
        <w:t>telecoms, hosting and IT space should continue to fuel appetite within these groups over the medium term.</w:t>
      </w:r>
      <w:r w:rsidRPr="00DD6EA5">
        <w:rPr>
          <w:i/>
          <w:iCs/>
        </w:rPr>
        <w:t>”</w:t>
      </w:r>
    </w:p>
    <w:p w14:paraId="1A7A50CD" w14:textId="26A0CB5E" w:rsidR="009242EF" w:rsidRDefault="00852190" w:rsidP="00EF2FE7">
      <w:pPr>
        <w:pStyle w:val="ParaLevel1"/>
        <w:numPr>
          <w:ilvl w:val="0"/>
          <w:numId w:val="0"/>
        </w:numPr>
        <w:ind w:left="720"/>
      </w:pPr>
      <w:r>
        <w:t>After identifying the core buyer groups</w:t>
      </w:r>
      <w:r w:rsidR="00DD6EA5">
        <w:t xml:space="preserve"> it continued:</w:t>
      </w:r>
    </w:p>
    <w:p w14:paraId="01A6960A" w14:textId="3A1F9EDF" w:rsidR="00DD6EA5" w:rsidRDefault="00DD6EA5" w:rsidP="00EF2FE7">
      <w:pPr>
        <w:pStyle w:val="ParaLevel1"/>
        <w:numPr>
          <w:ilvl w:val="0"/>
          <w:numId w:val="0"/>
        </w:numPr>
        <w:ind w:left="1134"/>
      </w:pPr>
      <w:r>
        <w:t>“</w:t>
      </w:r>
      <w:r w:rsidRPr="00DD6EA5">
        <w:rPr>
          <w:i/>
          <w:iCs/>
        </w:rPr>
        <w:t>Based on the above we are satisfied that there should be sufficient trade appetite to provide an exit route at our target exit multiple of ~7-9x EBITDA. This is in line with the entry valuation range (see page 3 for comparable transactions) and Oakley has confirmed that the current market valuations appear to be sustainable over the next four years</w:t>
      </w:r>
      <w:r>
        <w:t>.”</w:t>
      </w:r>
    </w:p>
    <w:p w14:paraId="0AB95640" w14:textId="044F2943" w:rsidR="00FE288E" w:rsidRDefault="00004FFC" w:rsidP="00EF2FE7">
      <w:pPr>
        <w:pStyle w:val="ParaLevel1"/>
      </w:pPr>
      <w:r>
        <w:t xml:space="preserve">I have already explained how the LIM </w:t>
      </w:r>
      <w:r w:rsidR="00FE288E">
        <w:t>stated the authors were “</w:t>
      </w:r>
      <w:r w:rsidR="00FE288E" w:rsidRPr="00FE288E">
        <w:rPr>
          <w:i/>
          <w:iCs/>
        </w:rPr>
        <w:t>comfortable with entry pricing in the context of both comparables and trading multiples provided by Oakley</w:t>
      </w:r>
      <w:r w:rsidR="00FE288E">
        <w:t xml:space="preserve">.” </w:t>
      </w:r>
    </w:p>
    <w:p w14:paraId="3AE21C6B" w14:textId="77777777" w:rsidR="00AE1EE1" w:rsidRDefault="007211E0" w:rsidP="00EF2FE7">
      <w:pPr>
        <w:pStyle w:val="ParaLevel1"/>
      </w:pPr>
      <w:r>
        <w:t>Oakley</w:t>
      </w:r>
      <w:r w:rsidR="00FE288E">
        <w:t xml:space="preserve">’s draft Exit Report had </w:t>
      </w:r>
      <w:r w:rsidR="00AE1EE1">
        <w:t>stated:</w:t>
      </w:r>
    </w:p>
    <w:p w14:paraId="4EB8967B" w14:textId="774E23D0" w:rsidR="00FD2BDE" w:rsidRPr="00777AC7" w:rsidRDefault="00777AC7" w:rsidP="00EF2FE7">
      <w:pPr>
        <w:pStyle w:val="ParaLevel1"/>
        <w:numPr>
          <w:ilvl w:val="0"/>
          <w:numId w:val="0"/>
        </w:numPr>
        <w:ind w:left="1134"/>
        <w:rPr>
          <w:i/>
          <w:iCs/>
        </w:rPr>
      </w:pPr>
      <w:r>
        <w:t>“</w:t>
      </w:r>
      <w:r w:rsidR="001869D5" w:rsidRPr="00777AC7">
        <w:rPr>
          <w:i/>
          <w:iCs/>
        </w:rPr>
        <w:t>We expect increasing appetite and interest in the UC sector from both</w:t>
      </w:r>
      <w:r w:rsidRPr="00777AC7">
        <w:rPr>
          <w:i/>
          <w:iCs/>
        </w:rPr>
        <w:t xml:space="preserve"> </w:t>
      </w:r>
      <w:r w:rsidR="001869D5" w:rsidRPr="00777AC7">
        <w:rPr>
          <w:i/>
          <w:iCs/>
        </w:rPr>
        <w:t>trade (integrated telcos, data/telco only players and managed IT service</w:t>
      </w:r>
      <w:r w:rsidRPr="00777AC7">
        <w:rPr>
          <w:i/>
          <w:iCs/>
        </w:rPr>
        <w:t xml:space="preserve"> </w:t>
      </w:r>
      <w:r w:rsidR="001869D5" w:rsidRPr="00777AC7">
        <w:rPr>
          <w:i/>
          <w:iCs/>
        </w:rPr>
        <w:t>players) and PE driven by increasing importance and demand by SMEs,</w:t>
      </w:r>
      <w:r w:rsidR="00A46588" w:rsidRPr="00777AC7">
        <w:rPr>
          <w:i/>
          <w:iCs/>
        </w:rPr>
        <w:t xml:space="preserve"> </w:t>
      </w:r>
      <w:r w:rsidRPr="00777AC7">
        <w:rPr>
          <w:i/>
          <w:iCs/>
        </w:rPr>
        <w:t>continuing attractive market growth dynamics and continuing IPS' attractive financial profile.”</w:t>
      </w:r>
    </w:p>
    <w:p w14:paraId="00EB3F87" w14:textId="2AEA77AE" w:rsidR="00385802" w:rsidRDefault="0001779F" w:rsidP="00EF2FE7">
      <w:pPr>
        <w:pStyle w:val="ParaLevel1"/>
        <w:numPr>
          <w:ilvl w:val="0"/>
          <w:numId w:val="0"/>
        </w:numPr>
      </w:pPr>
      <w:r>
        <w:t xml:space="preserve"> </w:t>
      </w:r>
    </w:p>
    <w:p w14:paraId="206DA346" w14:textId="1BE40880" w:rsidR="00545013" w:rsidRDefault="00545013" w:rsidP="00EF2FE7">
      <w:pPr>
        <w:pStyle w:val="ParaLevel1"/>
      </w:pPr>
      <w:r w:rsidRPr="00545013">
        <w:t>As the offer from GCI was the only one to be taken forward in 2014 for consideration in parallel with the Livingbridge offer, it was inevitable that the Firm’s submissions focused upon an analysis of the true value of that offer.  This began with the point that, as I have noted, Mr Billingham had expressed doubt at the time over the credibility of GCI as a buyer given that this would have been its largest investment to date.</w:t>
      </w:r>
    </w:p>
    <w:p w14:paraId="3C036108" w14:textId="609F5658" w:rsidR="007166D3" w:rsidRDefault="004B3F65" w:rsidP="00EF2FE7">
      <w:pPr>
        <w:pStyle w:val="ParaLevel1"/>
      </w:pPr>
      <w:r>
        <w:t xml:space="preserve">Mr Taylor’s evidence was that the </w:t>
      </w:r>
      <w:r w:rsidR="000D6F22">
        <w:t xml:space="preserve">fair market value of the </w:t>
      </w:r>
      <w:r>
        <w:t>GCI offer</w:t>
      </w:r>
      <w:r w:rsidR="000D6F22">
        <w:t xml:space="preserve"> was £5.1m.  He had valued the contingent consideration element using an option pricing model </w:t>
      </w:r>
      <w:r w:rsidR="00286A4C">
        <w:t xml:space="preserve">and said that simply applying GCI’s EBITDA multiple of 6x </w:t>
      </w:r>
      <w:r w:rsidR="009667CE">
        <w:t>to £</w:t>
      </w:r>
      <w:r w:rsidR="004F0FC8">
        <w:t xml:space="preserve">1.2m </w:t>
      </w:r>
      <w:r w:rsidR="00F87144">
        <w:t xml:space="preserve">(per Spur 57) </w:t>
      </w:r>
      <w:r w:rsidR="00286A4C">
        <w:t>did not produce a “</w:t>
      </w:r>
      <w:r w:rsidR="00286A4C" w:rsidRPr="00286A4C">
        <w:rPr>
          <w:i/>
          <w:iCs/>
        </w:rPr>
        <w:t>meaningful number</w:t>
      </w:r>
      <w:r w:rsidR="00286A4C">
        <w:t>”.</w:t>
      </w:r>
      <w:r>
        <w:t xml:space="preserve"> </w:t>
      </w:r>
      <w:r w:rsidR="00FC3434">
        <w:t xml:space="preserve"> He said that </w:t>
      </w:r>
      <w:r w:rsidR="00E017E3">
        <w:t xml:space="preserve">contingent earnouts had </w:t>
      </w:r>
      <w:r w:rsidR="002A6238">
        <w:t>an element of risk attached to them</w:t>
      </w:r>
      <w:r w:rsidR="00B5276D">
        <w:t xml:space="preserve">, in that </w:t>
      </w:r>
      <w:r w:rsidR="008114D8">
        <w:t xml:space="preserve">they were </w:t>
      </w:r>
      <w:r w:rsidR="00325C73">
        <w:t>“</w:t>
      </w:r>
      <w:r w:rsidR="00325C73" w:rsidRPr="00DB7460">
        <w:rPr>
          <w:i/>
          <w:iCs/>
        </w:rPr>
        <w:t>stretch goals</w:t>
      </w:r>
      <w:r w:rsidR="00325C73">
        <w:t xml:space="preserve">” </w:t>
      </w:r>
      <w:r w:rsidR="008114D8">
        <w:t xml:space="preserve">dependent upon targets being hit, but </w:t>
      </w:r>
      <w:r w:rsidR="001643C9">
        <w:t xml:space="preserve">obviously recognised that achieving </w:t>
      </w:r>
      <w:r w:rsidR="001C2062">
        <w:t xml:space="preserve">the targets would produce the earnout.  He had </w:t>
      </w:r>
      <w:r w:rsidR="0003487D">
        <w:t xml:space="preserve">used a software system </w:t>
      </w:r>
      <w:r w:rsidR="00685A25">
        <w:t xml:space="preserve">to value the </w:t>
      </w:r>
      <w:r w:rsidR="00374F20">
        <w:t xml:space="preserve">deferred consideration </w:t>
      </w:r>
      <w:r w:rsidR="00DB7460">
        <w:t xml:space="preserve">(£1m </w:t>
      </w:r>
      <w:r w:rsidR="00275471">
        <w:t xml:space="preserve">after 12 months, </w:t>
      </w:r>
      <w:r w:rsidR="00D40736">
        <w:t>conditional upon EBITDA being maintained) and the</w:t>
      </w:r>
      <w:r w:rsidR="00BE69B9">
        <w:t xml:space="preserve"> </w:t>
      </w:r>
      <w:r w:rsidR="00685A25">
        <w:t xml:space="preserve">earnout </w:t>
      </w:r>
      <w:r w:rsidR="00092A42">
        <w:t>(and shares</w:t>
      </w:r>
      <w:r w:rsidR="00374F20">
        <w:t xml:space="preserve"> and cash</w:t>
      </w:r>
      <w:r w:rsidR="00092A42">
        <w:t>)</w:t>
      </w:r>
      <w:r w:rsidR="00C8369F">
        <w:t xml:space="preserve">.  </w:t>
      </w:r>
      <w:r w:rsidR="00B2496E">
        <w:t>He valued the first at £</w:t>
      </w:r>
      <w:r w:rsidR="00434179">
        <w:t>473,000 using one pricing model and the second at £</w:t>
      </w:r>
      <w:r w:rsidR="00F02B44">
        <w:t>674,620 using another (noting that</w:t>
      </w:r>
      <w:r w:rsidR="00D51E7C">
        <w:t xml:space="preserve">, because </w:t>
      </w:r>
      <w:r w:rsidR="00FA5332">
        <w:t>these two elements of the offer were linked</w:t>
      </w:r>
      <w:r w:rsidR="002C7FF3">
        <w:t xml:space="preserve"> and he had </w:t>
      </w:r>
      <w:r w:rsidR="001602A3">
        <w:t>valued the second as if the first had not been paid</w:t>
      </w:r>
      <w:r w:rsidR="00FA5332">
        <w:t>, that produced an overvaluat</w:t>
      </w:r>
      <w:r w:rsidR="007030B5">
        <w:t>ion)</w:t>
      </w:r>
      <w:r w:rsidR="00685A25">
        <w:t>.</w:t>
      </w:r>
      <w:r w:rsidR="009A6410">
        <w:t xml:space="preserve">  Mr Taylor </w:t>
      </w:r>
      <w:r w:rsidR="001E141B">
        <w:t xml:space="preserve">accepted that GCI </w:t>
      </w:r>
      <w:r w:rsidR="004A3358">
        <w:t xml:space="preserve">had based their offer on 6x </w:t>
      </w:r>
      <w:r w:rsidR="00BB16D4">
        <w:t>EBITDA</w:t>
      </w:r>
      <w:r w:rsidR="00CD4F65">
        <w:t xml:space="preserve"> rather than the range of </w:t>
      </w:r>
      <w:r w:rsidR="00A0764D">
        <w:t>4.7x to 5.1x implied by his valuation of their offer.</w:t>
      </w:r>
    </w:p>
    <w:p w14:paraId="6E7F121B" w14:textId="2629C310" w:rsidR="004B3F65" w:rsidRDefault="004B3A36" w:rsidP="00EF2FE7">
      <w:pPr>
        <w:pStyle w:val="ParaLevel1"/>
      </w:pPr>
      <w:r>
        <w:t xml:space="preserve">Mr </w:t>
      </w:r>
      <w:r w:rsidR="007E6986">
        <w:t xml:space="preserve">Skeels had not prepared a detailed assessment of the GCI offer for the purpose of comparing </w:t>
      </w:r>
      <w:r w:rsidR="006676D8">
        <w:t>its value to others, including Livingbridge’s offer.</w:t>
      </w:r>
      <w:r w:rsidR="00D40736">
        <w:t xml:space="preserve">  </w:t>
      </w:r>
      <w:r w:rsidR="001401D9">
        <w:t xml:space="preserve">He said his firm used </w:t>
      </w:r>
      <w:r w:rsidR="00E047E7">
        <w:t>option pricing models to value earnouts and contingent consideration.</w:t>
      </w:r>
      <w:r w:rsidR="001C35DB">
        <w:t xml:space="preserve">  His evidence </w:t>
      </w:r>
      <w:r w:rsidR="00D00714">
        <w:t xml:space="preserve">was to the effect that EBITDA multiple depended upon </w:t>
      </w:r>
      <w:r w:rsidR="00463821">
        <w:t xml:space="preserve">the inputs put into the model.  He described the GCI </w:t>
      </w:r>
      <w:r w:rsidR="00CD237E">
        <w:t xml:space="preserve">offer as being </w:t>
      </w:r>
      <w:r w:rsidR="00794B4C" w:rsidRPr="00794B4C">
        <w:rPr>
          <w:i/>
          <w:iCs/>
        </w:rPr>
        <w:t>“</w:t>
      </w:r>
      <w:r w:rsidR="00CD237E" w:rsidRPr="00794B4C">
        <w:rPr>
          <w:i/>
          <w:iCs/>
        </w:rPr>
        <w:t xml:space="preserve">£4 million up front and up to about another 7 or 8 million of </w:t>
      </w:r>
      <w:r w:rsidR="00794B4C" w:rsidRPr="00794B4C">
        <w:rPr>
          <w:i/>
          <w:iCs/>
        </w:rPr>
        <w:t>contingent consideration</w:t>
      </w:r>
      <w:r w:rsidR="00794B4C">
        <w:t>”.</w:t>
      </w:r>
      <w:r w:rsidR="00C13914">
        <w:t xml:space="preserve"> </w:t>
      </w:r>
      <w:r w:rsidR="00241098">
        <w:t xml:space="preserve"> Acknowledging that he had not </w:t>
      </w:r>
      <w:r w:rsidR="007D7ADF">
        <w:t xml:space="preserve">analysed </w:t>
      </w:r>
      <w:r w:rsidR="00C50EA6">
        <w:t xml:space="preserve">the offers of Livingbridge, GCI, Intercity or Adept, </w:t>
      </w:r>
      <w:r w:rsidR="008C11D9">
        <w:t xml:space="preserve">Mr Skeels </w:t>
      </w:r>
      <w:r w:rsidR="00C46142">
        <w:t>said:</w:t>
      </w:r>
    </w:p>
    <w:p w14:paraId="418522E2" w14:textId="7F35D4D1" w:rsidR="001C2D3A" w:rsidRDefault="00C96254" w:rsidP="00EF2FE7">
      <w:pPr>
        <w:pStyle w:val="ParaLevel1"/>
        <w:numPr>
          <w:ilvl w:val="0"/>
          <w:numId w:val="0"/>
        </w:numPr>
        <w:ind w:left="1134"/>
      </w:pPr>
      <w:r>
        <w:t>“</w:t>
      </w:r>
      <w:r w:rsidR="00241098" w:rsidRPr="00C96254">
        <w:rPr>
          <w:i/>
          <w:iCs/>
        </w:rPr>
        <w:t>Well, what I haven't done is done an actual calculation</w:t>
      </w:r>
      <w:r w:rsidR="00C50EA6" w:rsidRPr="00C96254">
        <w:rPr>
          <w:i/>
          <w:iCs/>
        </w:rPr>
        <w:t xml:space="preserve"> </w:t>
      </w:r>
      <w:r w:rsidR="00241098" w:rsidRPr="00C96254">
        <w:rPr>
          <w:i/>
          <w:iCs/>
        </w:rPr>
        <w:t>of the each of the implied value of each of those</w:t>
      </w:r>
      <w:r w:rsidRPr="00C96254">
        <w:rPr>
          <w:i/>
          <w:iCs/>
        </w:rPr>
        <w:t xml:space="preserve"> </w:t>
      </w:r>
      <w:r w:rsidR="00241098" w:rsidRPr="00C96254">
        <w:rPr>
          <w:i/>
          <w:iCs/>
        </w:rPr>
        <w:t>transactions. For example, the GCI Telecom Group offer,</w:t>
      </w:r>
      <w:r w:rsidRPr="00C96254">
        <w:rPr>
          <w:i/>
          <w:iCs/>
        </w:rPr>
        <w:t xml:space="preserve"> </w:t>
      </w:r>
      <w:r w:rsidR="00241098" w:rsidRPr="00C96254">
        <w:rPr>
          <w:i/>
          <w:iCs/>
        </w:rPr>
        <w:t>if you were to do an analysis of that you effectively</w:t>
      </w:r>
      <w:r w:rsidRPr="00C96254">
        <w:rPr>
          <w:i/>
          <w:iCs/>
        </w:rPr>
        <w:t xml:space="preserve"> </w:t>
      </w:r>
      <w:r w:rsidR="00241098" w:rsidRPr="00C96254">
        <w:rPr>
          <w:i/>
          <w:iCs/>
        </w:rPr>
        <w:t>discount the future earnings that might come from it,</w:t>
      </w:r>
      <w:r w:rsidRPr="00C96254">
        <w:rPr>
          <w:i/>
          <w:iCs/>
        </w:rPr>
        <w:t xml:space="preserve"> </w:t>
      </w:r>
      <w:r w:rsidR="00241098" w:rsidRPr="00C96254">
        <w:rPr>
          <w:i/>
          <w:iCs/>
        </w:rPr>
        <w:t>actually in total adds up to something like</w:t>
      </w:r>
      <w:r w:rsidRPr="00C96254">
        <w:rPr>
          <w:i/>
          <w:iCs/>
        </w:rPr>
        <w:t xml:space="preserve"> </w:t>
      </w:r>
      <w:r w:rsidR="00241098" w:rsidRPr="00C96254">
        <w:rPr>
          <w:i/>
          <w:iCs/>
        </w:rPr>
        <w:t>£9.6 million.</w:t>
      </w:r>
      <w:r w:rsidRPr="00C96254">
        <w:rPr>
          <w:i/>
          <w:iCs/>
        </w:rPr>
        <w:t>”</w:t>
      </w:r>
    </w:p>
    <w:p w14:paraId="1E949F56" w14:textId="3F6A81BA" w:rsidR="000F40A7" w:rsidRDefault="00E223BD" w:rsidP="00EF2FE7">
      <w:pPr>
        <w:pStyle w:val="ParaLevel1"/>
      </w:pPr>
      <w:r>
        <w:t xml:space="preserve">In considering the value of the offer from GCI which was not just in cash but </w:t>
      </w:r>
      <w:r w:rsidR="00320A66">
        <w:t xml:space="preserve">included </w:t>
      </w:r>
      <w:r w:rsidR="00F817A1">
        <w:t xml:space="preserve">additional </w:t>
      </w:r>
      <w:r w:rsidR="00320A66">
        <w:t>consideration</w:t>
      </w:r>
      <w:r w:rsidR="00290366">
        <w:t xml:space="preserve"> </w:t>
      </w:r>
      <w:r w:rsidR="00F7460C">
        <w:t>which rested</w:t>
      </w:r>
      <w:r w:rsidR="00F817A1">
        <w:t xml:space="preserve"> upon imponderables</w:t>
      </w:r>
      <w:r w:rsidR="00F7460C">
        <w:t xml:space="preserve">, the court is </w:t>
      </w:r>
      <w:r w:rsidR="00F80EFC">
        <w:t xml:space="preserve">therefore </w:t>
      </w:r>
      <w:r w:rsidR="00F7460C">
        <w:t xml:space="preserve">faced with </w:t>
      </w:r>
      <w:r w:rsidR="00F552AC">
        <w:t>one experience</w:t>
      </w:r>
      <w:r w:rsidR="00596281">
        <w:t>d</w:t>
      </w:r>
      <w:r w:rsidR="00F552AC">
        <w:t xml:space="preserve"> valuer </w:t>
      </w:r>
      <w:r w:rsidR="0075684F">
        <w:t xml:space="preserve">suggesting it was worth £5.1m and another suggesting </w:t>
      </w:r>
      <w:r w:rsidR="001512F9">
        <w:t xml:space="preserve">it was worth </w:t>
      </w:r>
      <w:r w:rsidR="00CF6EF3">
        <w:t>almost twice that.</w:t>
      </w:r>
      <w:r w:rsidR="002514D8">
        <w:t xml:space="preserve">  </w:t>
      </w:r>
      <w:r w:rsidR="009A3EDA">
        <w:t xml:space="preserve">Mr Billingham </w:t>
      </w:r>
      <w:r w:rsidR="00233D29">
        <w:t>said of the GCI offer: “</w:t>
      </w:r>
      <w:r w:rsidR="00233D29" w:rsidRPr="00316473">
        <w:rPr>
          <w:i/>
          <w:iCs/>
        </w:rPr>
        <w:t xml:space="preserve">So if the business had grown as we </w:t>
      </w:r>
      <w:r w:rsidR="00316473" w:rsidRPr="00316473">
        <w:rPr>
          <w:i/>
          <w:iCs/>
        </w:rPr>
        <w:t>were forecasting, there would have been a significant payment at the end as well</w:t>
      </w:r>
      <w:r w:rsidR="00316473">
        <w:t>.”</w:t>
      </w:r>
    </w:p>
    <w:p w14:paraId="5F87CA33" w14:textId="5D9D51E2" w:rsidR="00E223BD" w:rsidRDefault="000F40A7" w:rsidP="00EF2FE7">
      <w:pPr>
        <w:pStyle w:val="ParaLevel1"/>
      </w:pPr>
      <w:r>
        <w:t>In circumstances where I have preferred Mr Skeels</w:t>
      </w:r>
      <w:r w:rsidR="00C5729C">
        <w:t xml:space="preserve">’ analysis of the EBITDA multiple to be implied from the Transaction, </w:t>
      </w:r>
      <w:r w:rsidR="00452D1B">
        <w:t xml:space="preserve">I see no reason why I should ignore his </w:t>
      </w:r>
      <w:r w:rsidR="00F80EFC">
        <w:t xml:space="preserve">view in favour of Mr Taylor’s lower figure.  As with my approach to the Company’s EBITDA at the Second Valuation Date, and perhaps with even greater justification given the </w:t>
      </w:r>
      <w:r w:rsidR="005A345A">
        <w:t xml:space="preserve">broader brush evaluation </w:t>
      </w:r>
      <w:r w:rsidR="002D7043">
        <w:t xml:space="preserve">required at this stage of the judgment, </w:t>
      </w:r>
      <w:r w:rsidR="00124B3A">
        <w:t xml:space="preserve">it </w:t>
      </w:r>
      <w:r w:rsidR="007B5EBB">
        <w:t>seems</w:t>
      </w:r>
      <w:r w:rsidR="00124B3A">
        <w:t xml:space="preserve"> sensible to assume that the GCI offer had a value of somewhere between </w:t>
      </w:r>
      <w:r w:rsidR="00F37D02">
        <w:t xml:space="preserve">their figures of </w:t>
      </w:r>
      <w:r w:rsidR="00124B3A">
        <w:t>£5.1m and £9.6m.</w:t>
      </w:r>
      <w:r w:rsidR="00CF6EF3">
        <w:t xml:space="preserve">  </w:t>
      </w:r>
      <w:r w:rsidR="007B5EBB">
        <w:t xml:space="preserve"> On that basis,</w:t>
      </w:r>
      <w:r w:rsidR="00102423">
        <w:t xml:space="preserve"> I consider the </w:t>
      </w:r>
      <w:r w:rsidR="0056668E">
        <w:t xml:space="preserve">figure of £7.2m which Mr Leiper put to Mr Taylor (6x £1.2m) </w:t>
      </w:r>
      <w:r w:rsidR="00102423">
        <w:t>to be more meaningful than Mr Taylor was prepared to concede.</w:t>
      </w:r>
      <w:r w:rsidR="00320A66">
        <w:t xml:space="preserve"> </w:t>
      </w:r>
      <w:r w:rsidR="00E223BD">
        <w:t xml:space="preserve"> </w:t>
      </w:r>
    </w:p>
    <w:p w14:paraId="6D41D6D5" w14:textId="3B461717" w:rsidR="005120E7" w:rsidRDefault="003E29CE" w:rsidP="00EF2FE7">
      <w:pPr>
        <w:pStyle w:val="ParaLevel1"/>
      </w:pPr>
      <w:r>
        <w:t xml:space="preserve">I have also </w:t>
      </w:r>
      <w:r w:rsidR="00C54CA0">
        <w:t>noted</w:t>
      </w:r>
      <w:r>
        <w:t xml:space="preserve"> in Section I above </w:t>
      </w:r>
      <w:r w:rsidR="00C54CA0">
        <w:t xml:space="preserve">Mr Billingham’s evidence that the negotiations with GCI </w:t>
      </w:r>
      <w:r w:rsidR="00EE122D">
        <w:t xml:space="preserve">came to a pause </w:t>
      </w:r>
      <w:r w:rsidR="00237406">
        <w:t xml:space="preserve">because GCI were finalising another deal at a time when </w:t>
      </w:r>
      <w:r w:rsidR="00B5248E">
        <w:t xml:space="preserve">the Claimants decided to pursue </w:t>
      </w:r>
      <w:r w:rsidR="00683ADF">
        <w:t>the Livingbridge offer.  In his witness statement, Mr Billingham said:</w:t>
      </w:r>
    </w:p>
    <w:p w14:paraId="1235F6FA" w14:textId="15C4738D" w:rsidR="0016516B" w:rsidRDefault="005C6948" w:rsidP="00EF2FE7">
      <w:pPr>
        <w:pStyle w:val="ParaLevel1"/>
        <w:numPr>
          <w:ilvl w:val="0"/>
          <w:numId w:val="0"/>
        </w:numPr>
        <w:ind w:left="1134"/>
      </w:pPr>
      <w:r>
        <w:t>“</w:t>
      </w:r>
      <w:r w:rsidRPr="005C6948">
        <w:rPr>
          <w:i/>
          <w:iCs/>
        </w:rPr>
        <w:t>During the exclusive period with ISIS, Wayne Martin, founder and CEO of GCI, made it very clear to the Claimants and Knight that should negotiations not complete he would be very interested in revisiting their offer</w:t>
      </w:r>
      <w:r>
        <w:t>"</w:t>
      </w:r>
    </w:p>
    <w:p w14:paraId="43878C39" w14:textId="7EDFE7E5" w:rsidR="005C6948" w:rsidRDefault="00CF306E" w:rsidP="00EF2FE7">
      <w:pPr>
        <w:pStyle w:val="ParaLevel1"/>
      </w:pPr>
      <w:r>
        <w:t xml:space="preserve">It is also clear from Mr Billingham’s “pros” and “cons” document of </w:t>
      </w:r>
      <w:r w:rsidR="00744B54">
        <w:t xml:space="preserve">mid-November 2014 </w:t>
      </w:r>
      <w:r w:rsidR="00AE5E66">
        <w:t xml:space="preserve">that, at that time, he </w:t>
      </w:r>
      <w:r w:rsidR="00887003">
        <w:t>clearly thought there</w:t>
      </w:r>
      <w:r w:rsidR="00B35A31">
        <w:t xml:space="preserve"> would be purpose in </w:t>
      </w:r>
      <w:r w:rsidR="001C5D77">
        <w:t xml:space="preserve">Knight </w:t>
      </w:r>
      <w:r w:rsidR="00A945DD">
        <w:t xml:space="preserve">working further on a </w:t>
      </w:r>
      <w:r w:rsidR="001641A4">
        <w:t>sale to a trade buyer at the best price and following up on earlier indicative offers.</w:t>
      </w:r>
      <w:r w:rsidR="005E1055">
        <w:t xml:space="preserve">  Th</w:t>
      </w:r>
      <w:r w:rsidR="00464DB3">
        <w:t xml:space="preserve">at exercise would no doubt have involved him following up with the indicative offerors </w:t>
      </w:r>
      <w:r w:rsidR="00CB5E7D">
        <w:t>Adept and Intercity (and Node 4)</w:t>
      </w:r>
      <w:r w:rsidR="002504A6">
        <w:t xml:space="preserve">, by reference to the </w:t>
      </w:r>
      <w:r w:rsidR="002504A6" w:rsidRPr="00FC58C7">
        <w:t>increased</w:t>
      </w:r>
      <w:r w:rsidR="002504A6" w:rsidRPr="00793256">
        <w:rPr>
          <w:i/>
          <w:iCs/>
        </w:rPr>
        <w:t xml:space="preserve"> </w:t>
      </w:r>
      <w:r w:rsidR="00FC58C7">
        <w:rPr>
          <w:i/>
          <w:iCs/>
        </w:rPr>
        <w:t>“</w:t>
      </w:r>
      <w:r w:rsidR="002504A6" w:rsidRPr="00793256">
        <w:rPr>
          <w:i/>
          <w:iCs/>
        </w:rPr>
        <w:t>run rate EBITDA</w:t>
      </w:r>
      <w:r w:rsidR="002504A6">
        <w:t>” he mentioned in his evidence</w:t>
      </w:r>
      <w:r w:rsidR="00793256">
        <w:t>,</w:t>
      </w:r>
      <w:r w:rsidR="00CB5E7D">
        <w:t xml:space="preserve"> and </w:t>
      </w:r>
      <w:r w:rsidR="00793256">
        <w:t xml:space="preserve">also </w:t>
      </w:r>
      <w:r w:rsidR="00CB5E7D">
        <w:t xml:space="preserve">testing whether </w:t>
      </w:r>
      <w:r w:rsidR="006B3E81">
        <w:t xml:space="preserve">other </w:t>
      </w:r>
      <w:r w:rsidR="00453C9F">
        <w:t xml:space="preserve">trade buyers (and </w:t>
      </w:r>
      <w:r w:rsidR="006B3E81">
        <w:t xml:space="preserve">private equity firms </w:t>
      </w:r>
      <w:r w:rsidR="00453C9F">
        <w:t xml:space="preserve">aside from Livingbridge and Maven) </w:t>
      </w:r>
      <w:r w:rsidR="002504A6">
        <w:t xml:space="preserve">might by that </w:t>
      </w:r>
      <w:r w:rsidR="009B5C62">
        <w:t>later stage have developed an appetite for IPS UK.</w:t>
      </w:r>
      <w:r w:rsidR="006B3E81">
        <w:t xml:space="preserve"> </w:t>
      </w:r>
    </w:p>
    <w:p w14:paraId="79A94A1A" w14:textId="0AF0B2A9" w:rsidR="004C3310" w:rsidRDefault="00E8395E" w:rsidP="00EF2FE7">
      <w:pPr>
        <w:pStyle w:val="ParaLevel1"/>
      </w:pPr>
      <w:r>
        <w:t>M</w:t>
      </w:r>
      <w:r w:rsidR="00372D7C">
        <w:t xml:space="preserve">y evaluation of the </w:t>
      </w:r>
      <w:r w:rsidR="005E3F21">
        <w:t xml:space="preserve">chance </w:t>
      </w:r>
      <w:r>
        <w:t xml:space="preserve">that the </w:t>
      </w:r>
      <w:r w:rsidR="00A6702E">
        <w:t xml:space="preserve">Claimants would have secured </w:t>
      </w:r>
      <w:r w:rsidR="00B46724">
        <w:t xml:space="preserve">£8m for their shareholding under an alternative transaction </w:t>
      </w:r>
      <w:r w:rsidR="00B91F4B">
        <w:t xml:space="preserve">does not </w:t>
      </w:r>
      <w:r w:rsidR="009B5C62">
        <w:t xml:space="preserve">of course </w:t>
      </w:r>
      <w:r w:rsidR="00A46762">
        <w:t xml:space="preserve">require a finding that GCI, or </w:t>
      </w:r>
      <w:r w:rsidR="00E83F3A">
        <w:t xml:space="preserve">indeed </w:t>
      </w:r>
      <w:r w:rsidR="00A46762">
        <w:t>any other particular buyer or investor</w:t>
      </w:r>
      <w:r w:rsidR="00E83F3A">
        <w:t xml:space="preserve">, would have provided it.  </w:t>
      </w:r>
      <w:r w:rsidR="00855CBF">
        <w:t>However, GCI’s interest in IP</w:t>
      </w:r>
      <w:r w:rsidR="001519CA">
        <w:t>S</w:t>
      </w:r>
      <w:r w:rsidR="00855CBF">
        <w:t xml:space="preserve"> UK and </w:t>
      </w:r>
      <w:r w:rsidR="009975CF">
        <w:t xml:space="preserve">what Mr Billingham, Livingbridge </w:t>
      </w:r>
      <w:r w:rsidR="00EA4B75">
        <w:t>and Oakley were saying about the</w:t>
      </w:r>
      <w:r w:rsidR="00C53DAD">
        <w:t xml:space="preserve"> attraction of the UC sector to trade </w:t>
      </w:r>
      <w:r w:rsidR="00501AFE">
        <w:t xml:space="preserve">buyers </w:t>
      </w:r>
      <w:r w:rsidR="00C53DAD">
        <w:t>and private equity</w:t>
      </w:r>
      <w:r w:rsidR="00501AFE">
        <w:t xml:space="preserve"> investors </w:t>
      </w:r>
      <w:r w:rsidR="00F14408">
        <w:t xml:space="preserve">all feed into </w:t>
      </w:r>
      <w:r w:rsidR="00D67FE1">
        <w:t xml:space="preserve">the assessment of the </w:t>
      </w:r>
      <w:r w:rsidR="00690F01">
        <w:t>percentage prospects of the</w:t>
      </w:r>
      <w:r w:rsidR="004C3310">
        <w:t xml:space="preserve"> Claimants doing so.</w:t>
      </w:r>
    </w:p>
    <w:p w14:paraId="4884F207" w14:textId="530BB979" w:rsidR="00C57E15" w:rsidRDefault="004C3310" w:rsidP="00EF2FE7">
      <w:pPr>
        <w:pStyle w:val="ParaLevel1"/>
      </w:pPr>
      <w:r>
        <w:t xml:space="preserve">I recognise, of course, that there was no question of GCI </w:t>
      </w:r>
      <w:r w:rsidR="00826968">
        <w:t xml:space="preserve">providing anything like £8m in the form of cash consideration but then neither did Livingbridge </w:t>
      </w:r>
      <w:r w:rsidR="00D902E1">
        <w:t xml:space="preserve">under </w:t>
      </w:r>
      <w:r w:rsidR="00B6478B">
        <w:t xml:space="preserve">the </w:t>
      </w:r>
      <w:r w:rsidR="00D902E1">
        <w:t xml:space="preserve">Transaction against which any damages for the Claimants’ loss of a chance is to be measured.  </w:t>
      </w:r>
      <w:r w:rsidR="008A7E0B">
        <w:t>I</w:t>
      </w:r>
      <w:r w:rsidR="00133B3F">
        <w:t xml:space="preserve">n my </w:t>
      </w:r>
      <w:r w:rsidR="0024041B">
        <w:t>assessment of the expert evidence in Section I above, I have explained why the</w:t>
      </w:r>
      <w:r w:rsidR="001E6EC9">
        <w:t>re was more to the valu</w:t>
      </w:r>
      <w:r w:rsidR="00D2603C">
        <w:t xml:space="preserve">ation </w:t>
      </w:r>
      <w:r w:rsidR="001E6EC9">
        <w:t>of the</w:t>
      </w:r>
      <w:r w:rsidR="0024041B">
        <w:t xml:space="preserve"> </w:t>
      </w:r>
      <w:r w:rsidR="004500AA">
        <w:t xml:space="preserve">Transaction than </w:t>
      </w:r>
      <w:r w:rsidR="000F0354">
        <w:t>the up-front cash received by the Claimants.</w:t>
      </w:r>
    </w:p>
    <w:p w14:paraId="4A6F9F43" w14:textId="551B4B21" w:rsidR="001641A4" w:rsidRDefault="002C5C24" w:rsidP="00EF2FE7">
      <w:pPr>
        <w:pStyle w:val="ParaLevel1"/>
      </w:pPr>
      <w:r>
        <w:t>Mr Leiper</w:t>
      </w:r>
      <w:r w:rsidR="00A723C8">
        <w:t xml:space="preserve"> QC submitted that the evidence demonstrated that there was a strong </w:t>
      </w:r>
      <w:r w:rsidR="004C3328">
        <w:t>prospect of the Claimants securing another purchaser.</w:t>
      </w:r>
      <w:r w:rsidR="00A81D47">
        <w:t xml:space="preserve">  </w:t>
      </w:r>
      <w:r w:rsidR="004C3328">
        <w:t>Having</w:t>
      </w:r>
      <w:r w:rsidR="00117858">
        <w:t xml:space="preserve"> reflected upon the evidence given at the trial, I assess the </w:t>
      </w:r>
      <w:r w:rsidR="00180AB7">
        <w:t xml:space="preserve">chance </w:t>
      </w:r>
      <w:r w:rsidR="000C0461">
        <w:t xml:space="preserve">that </w:t>
      </w:r>
      <w:r w:rsidR="00180AB7">
        <w:t xml:space="preserve">the Claimants </w:t>
      </w:r>
      <w:r w:rsidR="000C0461">
        <w:t>would have found</w:t>
      </w:r>
      <w:r w:rsidR="00180AB7">
        <w:t xml:space="preserve"> a buyer for their shares at the price of £8m (</w:t>
      </w:r>
      <w:r w:rsidR="004C0FFE">
        <w:t xml:space="preserve">under a purchase of </w:t>
      </w:r>
      <w:r w:rsidR="00560F6C">
        <w:t xml:space="preserve">IPS UK valued at </w:t>
      </w:r>
      <w:r w:rsidR="00BD3FCD">
        <w:t xml:space="preserve">£9.4m) </w:t>
      </w:r>
      <w:r w:rsidR="00FD0A15">
        <w:t>at 75%.</w:t>
      </w:r>
      <w:r w:rsidR="009975CF">
        <w:t xml:space="preserve"> </w:t>
      </w:r>
    </w:p>
    <w:p w14:paraId="1DDF3FCF" w14:textId="77777777" w:rsidR="0070588F" w:rsidRDefault="0070588F" w:rsidP="00EF2FE7">
      <w:pPr>
        <w:pStyle w:val="ParaLevel1"/>
        <w:numPr>
          <w:ilvl w:val="0"/>
          <w:numId w:val="0"/>
        </w:numPr>
        <w:ind w:left="720"/>
        <w:rPr>
          <w:b/>
          <w:bCs/>
          <w:u w:val="single"/>
        </w:rPr>
      </w:pPr>
    </w:p>
    <w:p w14:paraId="61DE0003" w14:textId="30E009A8" w:rsidR="009A3DA8" w:rsidRPr="009A3DA8" w:rsidRDefault="009A3DA8" w:rsidP="00EF2FE7">
      <w:pPr>
        <w:pStyle w:val="ParaLevel1"/>
        <w:numPr>
          <w:ilvl w:val="0"/>
          <w:numId w:val="0"/>
        </w:numPr>
        <w:ind w:left="720"/>
        <w:rPr>
          <w:b/>
          <w:bCs/>
          <w:u w:val="single"/>
        </w:rPr>
      </w:pPr>
      <w:r w:rsidRPr="009A3DA8">
        <w:rPr>
          <w:b/>
          <w:bCs/>
          <w:u w:val="single"/>
        </w:rPr>
        <w:t>Legal Fees</w:t>
      </w:r>
    </w:p>
    <w:p w14:paraId="2FBE715D" w14:textId="61F5D4A4" w:rsidR="009A3DA8" w:rsidRDefault="00D501B5" w:rsidP="00EF2FE7">
      <w:pPr>
        <w:pStyle w:val="ParaLevel1"/>
      </w:pPr>
      <w:r>
        <w:t>The Claimants’ pleaded case against the Firm is that, had they been properly advised, they “</w:t>
      </w:r>
      <w:r w:rsidRPr="00DA31B0">
        <w:rPr>
          <w:i/>
          <w:iCs/>
        </w:rPr>
        <w:t xml:space="preserve">would not have incurred (or would have recovered) their costs in </w:t>
      </w:r>
      <w:r w:rsidR="001550CC" w:rsidRPr="00DA31B0">
        <w:rPr>
          <w:i/>
          <w:iCs/>
        </w:rPr>
        <w:t xml:space="preserve">[the Leaver Litigation] </w:t>
      </w:r>
      <w:r w:rsidRPr="00DA31B0">
        <w:rPr>
          <w:i/>
          <w:iCs/>
        </w:rPr>
        <w:t>in relation to the issues relating to Market Value and</w:t>
      </w:r>
      <w:r w:rsidR="001550CC" w:rsidRPr="00DA31B0">
        <w:rPr>
          <w:i/>
          <w:iCs/>
        </w:rPr>
        <w:t xml:space="preserve"> </w:t>
      </w:r>
      <w:r w:rsidRPr="00DA31B0">
        <w:rPr>
          <w:i/>
          <w:iCs/>
        </w:rPr>
        <w:t>the application of the Redemption Premium Provision, which amounted to £895,141.63 (as to which</w:t>
      </w:r>
      <w:r w:rsidR="001550CC" w:rsidRPr="00DA31B0">
        <w:rPr>
          <w:i/>
          <w:iCs/>
        </w:rPr>
        <w:t xml:space="preserve"> </w:t>
      </w:r>
      <w:r w:rsidRPr="00DA31B0">
        <w:rPr>
          <w:i/>
          <w:iCs/>
        </w:rPr>
        <w:t>liability was shared equally between the Claimants)</w:t>
      </w:r>
      <w:r>
        <w:t>.</w:t>
      </w:r>
      <w:r w:rsidR="00F8150C">
        <w:t>”</w:t>
      </w:r>
    </w:p>
    <w:p w14:paraId="2EEB8C65" w14:textId="49BB37E5" w:rsidR="00162010" w:rsidRDefault="00162010" w:rsidP="00EF2FE7">
      <w:pPr>
        <w:pStyle w:val="ParaLevel1"/>
      </w:pPr>
      <w:r>
        <w:t xml:space="preserve">The Claimants’ witness statements did not address the </w:t>
      </w:r>
      <w:r w:rsidR="00457E62">
        <w:t>legal fees</w:t>
      </w:r>
      <w:r w:rsidR="004D3BFB">
        <w:t xml:space="preserve"> further.  They each simply said </w:t>
      </w:r>
      <w:r w:rsidR="004D3BFB" w:rsidRPr="004D3BFB">
        <w:rPr>
          <w:i/>
          <w:iCs/>
        </w:rPr>
        <w:t>“[T]he losses that are claimed are set out in the Particulars of Claim</w:t>
      </w:r>
      <w:r w:rsidR="004D3BFB">
        <w:t>.”</w:t>
      </w:r>
      <w:r w:rsidR="00A63AF0">
        <w:t xml:space="preserve">  </w:t>
      </w:r>
      <w:r w:rsidR="007648AB">
        <w:t>D</w:t>
      </w:r>
      <w:r w:rsidR="00F03775">
        <w:t xml:space="preserve">espite the </w:t>
      </w:r>
      <w:r w:rsidR="00194641">
        <w:t>language quoted above, it appears from the</w:t>
      </w:r>
      <w:r w:rsidR="007648AB">
        <w:t xml:space="preserve"> </w:t>
      </w:r>
      <w:r w:rsidR="00CE7727">
        <w:t xml:space="preserve">narrative in the various </w:t>
      </w:r>
      <w:r w:rsidR="007648AB">
        <w:t xml:space="preserve">invoices relied upon by the Claimants </w:t>
      </w:r>
      <w:r w:rsidR="00125984">
        <w:t xml:space="preserve">and </w:t>
      </w:r>
      <w:r w:rsidR="006B19B4">
        <w:t>a</w:t>
      </w:r>
      <w:r w:rsidR="00125984">
        <w:t xml:space="preserve"> letter from </w:t>
      </w:r>
      <w:r w:rsidR="00B07620">
        <w:t xml:space="preserve">the Claimants’ solicitors dated </w:t>
      </w:r>
      <w:r w:rsidR="00284733">
        <w:t>19 November 2021</w:t>
      </w:r>
      <w:r w:rsidR="00CE7727">
        <w:t xml:space="preserve">, that the </w:t>
      </w:r>
      <w:r w:rsidR="007C4BFD">
        <w:t>costs related to the entirety of the Leaver Litigation.  That letter recalculated “</w:t>
      </w:r>
      <w:r w:rsidR="007C4BFD" w:rsidRPr="004976CA">
        <w:rPr>
          <w:i/>
          <w:iCs/>
        </w:rPr>
        <w:t xml:space="preserve">the Leaver Litigation </w:t>
      </w:r>
      <w:r w:rsidR="004976CA" w:rsidRPr="004976CA">
        <w:rPr>
          <w:i/>
          <w:iCs/>
        </w:rPr>
        <w:t>Costs</w:t>
      </w:r>
      <w:r w:rsidR="004976CA">
        <w:t>” at £908</w:t>
      </w:r>
      <w:r w:rsidR="00BB61BF">
        <w:t xml:space="preserve">,234.16 on the basis that two fee notes from </w:t>
      </w:r>
      <w:r w:rsidR="000C3FC6">
        <w:t>a firm of accountants had been omitted from the calculation in the Particulars of Claim.</w:t>
      </w:r>
    </w:p>
    <w:p w14:paraId="3E1DF3D4" w14:textId="0772A3FA" w:rsidR="00572CFF" w:rsidRDefault="00C50518" w:rsidP="00EF2FE7">
      <w:pPr>
        <w:pStyle w:val="ParaLevel1"/>
      </w:pPr>
      <w:r>
        <w:t xml:space="preserve">The Firm’s Defence </w:t>
      </w:r>
      <w:r w:rsidR="00C22DCA">
        <w:t xml:space="preserve">does not admit the amount of </w:t>
      </w:r>
      <w:r w:rsidR="0024222F">
        <w:t>the costs incurred by the Claimants but also disputes that</w:t>
      </w:r>
      <w:r w:rsidR="001519CA">
        <w:t xml:space="preserve"> the</w:t>
      </w:r>
      <w:r w:rsidR="0024222F">
        <w:t xml:space="preserve"> </w:t>
      </w:r>
      <w:r w:rsidR="00DF178D">
        <w:t>Firm’s alleged breach of duty</w:t>
      </w:r>
      <w:r w:rsidR="00C523E2">
        <w:t xml:space="preserve"> was the legally effective cause of them</w:t>
      </w:r>
      <w:r w:rsidR="00DF178D">
        <w:t xml:space="preserve">.  The Firm says that </w:t>
      </w:r>
      <w:r w:rsidR="002E2155">
        <w:t>t</w:t>
      </w:r>
      <w:r w:rsidR="00DF178D">
        <w:t>he Claimants would still have been summarily dismissed as Bad Leavers on 29 July</w:t>
      </w:r>
      <w:r w:rsidR="002E2155">
        <w:t xml:space="preserve"> 2015 and the Leaver Litigation would have resulted </w:t>
      </w:r>
      <w:r w:rsidR="00DE3149">
        <w:t>irrespective of what was said or done about the drafting of article 18.4.1.</w:t>
      </w:r>
      <w:r w:rsidR="00973A72">
        <w:t xml:space="preserve">  </w:t>
      </w:r>
      <w:r w:rsidR="00D95868">
        <w:t xml:space="preserve">The Claimants </w:t>
      </w:r>
      <w:r w:rsidR="00026B61">
        <w:t xml:space="preserve">would have to have pursued the litigation at least up until the Liability Judgment (and any appeal from it) </w:t>
      </w:r>
      <w:r w:rsidR="00EA525A">
        <w:t xml:space="preserve">in any event.  That stage of the Leaver Litigation related to whether or not the Claimants were Bad Leavers, and not the consequences of them being Good Leavers.  </w:t>
      </w:r>
    </w:p>
    <w:p w14:paraId="7BDD2BA6" w14:textId="18C46B1C" w:rsidR="009A3DA8" w:rsidRDefault="004E32DD" w:rsidP="00EF2FE7">
      <w:pPr>
        <w:pStyle w:val="ParaLevel1"/>
      </w:pPr>
      <w:r>
        <w:t xml:space="preserve">As to the </w:t>
      </w:r>
      <w:r w:rsidR="00380244">
        <w:t>amount of the costs, b</w:t>
      </w:r>
      <w:r w:rsidR="00EA525A">
        <w:t>y her Order dated 30 November 2016 May J ordered that the Company pay the</w:t>
      </w:r>
      <w:r w:rsidR="00380244">
        <w:t xml:space="preserve"> </w:t>
      </w:r>
      <w:r w:rsidR="00EA525A">
        <w:t>Claimants' costs of the Leaver Litigation down to the date of the</w:t>
      </w:r>
      <w:r w:rsidR="00572CFF">
        <w:t xml:space="preserve"> Liability J</w:t>
      </w:r>
      <w:r w:rsidR="00EA525A">
        <w:t>udgment</w:t>
      </w:r>
      <w:r w:rsidR="00572CFF">
        <w:t xml:space="preserve"> and </w:t>
      </w:r>
      <w:r w:rsidR="002E67E8">
        <w:t xml:space="preserve">that </w:t>
      </w:r>
      <w:r w:rsidR="004A5777">
        <w:t xml:space="preserve">the Claimants </w:t>
      </w:r>
      <w:r w:rsidR="002E67E8">
        <w:t xml:space="preserve">should </w:t>
      </w:r>
      <w:r w:rsidR="00EA525A">
        <w:t>pay the</w:t>
      </w:r>
      <w:r w:rsidR="008D180C">
        <w:t xml:space="preserve"> </w:t>
      </w:r>
      <w:r w:rsidR="00EA525A">
        <w:t>Company's costs thereafter</w:t>
      </w:r>
      <w:r w:rsidR="008D180C">
        <w:t xml:space="preserve">.  </w:t>
      </w:r>
      <w:r w:rsidR="00B80921">
        <w:t xml:space="preserve">Agreement </w:t>
      </w:r>
      <w:r w:rsidR="00AF29C7">
        <w:t>between the parties that the Claimants’ costs entitlement should be fixed at £400,000 and their liability should be £50,000 meant that</w:t>
      </w:r>
      <w:r w:rsidR="009E1B63">
        <w:t>,</w:t>
      </w:r>
      <w:r w:rsidR="00AF29C7">
        <w:t xml:space="preserve"> under </w:t>
      </w:r>
      <w:r w:rsidR="00EA525A">
        <w:t>a Consent Order dated February 2017, the parties agreed that the Company would</w:t>
      </w:r>
      <w:r w:rsidR="009E1B63">
        <w:t xml:space="preserve"> </w:t>
      </w:r>
      <w:r w:rsidR="00EA525A">
        <w:t>make a net payment of £350,000 to the Claimants in full and final settlement of any</w:t>
      </w:r>
      <w:r w:rsidR="009E1B63">
        <w:t xml:space="preserve"> </w:t>
      </w:r>
      <w:r w:rsidR="00EA525A">
        <w:t>costs claims and cross-claims</w:t>
      </w:r>
      <w:r w:rsidR="009E1B63">
        <w:t xml:space="preserve"> (</w:t>
      </w:r>
      <w:r w:rsidR="00EA525A">
        <w:t xml:space="preserve">including a payment on account of </w:t>
      </w:r>
      <w:r w:rsidR="0085170D">
        <w:t>£</w:t>
      </w:r>
      <w:r w:rsidR="00EA525A">
        <w:t>80,000 already</w:t>
      </w:r>
      <w:r w:rsidR="009E1B63">
        <w:t xml:space="preserve"> </w:t>
      </w:r>
      <w:r w:rsidR="00EA525A">
        <w:t>made</w:t>
      </w:r>
      <w:r w:rsidR="0085170D">
        <w:t>)</w:t>
      </w:r>
      <w:r w:rsidR="00F760A1">
        <w:t xml:space="preserve">. </w:t>
      </w:r>
      <w:r w:rsidR="0085170D">
        <w:t xml:space="preserve"> </w:t>
      </w:r>
      <w:r w:rsidR="00F760A1">
        <w:t>Their</w:t>
      </w:r>
      <w:r w:rsidR="00EA525A">
        <w:t xml:space="preserve"> Settlement Agreement</w:t>
      </w:r>
      <w:r w:rsidR="00F760A1">
        <w:t xml:space="preserve"> </w:t>
      </w:r>
      <w:r w:rsidR="007B7E02">
        <w:t xml:space="preserve">of 15 January 2018 </w:t>
      </w:r>
      <w:r w:rsidR="00EA525A">
        <w:t>recorded that</w:t>
      </w:r>
      <w:r w:rsidR="00F760A1">
        <w:t xml:space="preserve"> </w:t>
      </w:r>
      <w:r w:rsidR="00EA525A">
        <w:t>"</w:t>
      </w:r>
      <w:r w:rsidR="00D006F3">
        <w:t>…….</w:t>
      </w:r>
      <w:r w:rsidR="00EA525A" w:rsidRPr="00F760A1">
        <w:rPr>
          <w:i/>
          <w:iCs/>
        </w:rPr>
        <w:t xml:space="preserve"> all costs</w:t>
      </w:r>
      <w:r w:rsidR="00F760A1" w:rsidRPr="00F760A1">
        <w:rPr>
          <w:i/>
          <w:iCs/>
        </w:rPr>
        <w:t xml:space="preserve"> </w:t>
      </w:r>
      <w:r w:rsidR="00EA525A" w:rsidRPr="00F760A1">
        <w:rPr>
          <w:i/>
          <w:iCs/>
        </w:rPr>
        <w:t>orders made in the High Court Proceedings have been satisfied in f</w:t>
      </w:r>
      <w:r w:rsidR="00F760A1" w:rsidRPr="00F760A1">
        <w:rPr>
          <w:i/>
          <w:iCs/>
        </w:rPr>
        <w:t>ull</w:t>
      </w:r>
      <w:r w:rsidR="00F760A1">
        <w:t>”.</w:t>
      </w:r>
    </w:p>
    <w:p w14:paraId="09698D53" w14:textId="7C6D1C85" w:rsidR="00DC3A64" w:rsidRDefault="0006494A" w:rsidP="00EF2FE7">
      <w:pPr>
        <w:pStyle w:val="ParaLevel1"/>
      </w:pPr>
      <w:r>
        <w:t xml:space="preserve">The Firm’s </w:t>
      </w:r>
      <w:r w:rsidR="00506312">
        <w:t xml:space="preserve">opening submissions identified the sum of £760,963.79 as having been paid by the </w:t>
      </w:r>
      <w:r w:rsidR="00DF6F98">
        <w:t>Claimants in the costs of the Leaver Litigation</w:t>
      </w:r>
      <w:r w:rsidR="005F541E">
        <w:t xml:space="preserve"> as well as related employment tribunal proceedings.  </w:t>
      </w:r>
      <w:r w:rsidR="000A6A23">
        <w:t xml:space="preserve">As </w:t>
      </w:r>
      <w:r w:rsidR="00691E5E">
        <w:t xml:space="preserve">the Company agreed to pay </w:t>
      </w:r>
      <w:r w:rsidR="009E2F3F">
        <w:t xml:space="preserve">a further </w:t>
      </w:r>
      <w:r w:rsidR="0012620D">
        <w:t xml:space="preserve">£20,000 plus VAT </w:t>
      </w:r>
      <w:r w:rsidR="00691E5E">
        <w:t>towards their costs of the tribunal proceedings</w:t>
      </w:r>
      <w:r w:rsidR="004640CD">
        <w:t xml:space="preserve"> (to be added to the £350,000 recovered against the costs of the Leaver Litigation) the most </w:t>
      </w:r>
      <w:r w:rsidR="00C13239">
        <w:t xml:space="preserve">that could be recovered </w:t>
      </w:r>
      <w:r w:rsidR="00D005E4">
        <w:t xml:space="preserve">against the pleaded claim of </w:t>
      </w:r>
      <w:r w:rsidR="0091436B">
        <w:t xml:space="preserve">around </w:t>
      </w:r>
      <w:r w:rsidR="00D005E4">
        <w:t>£</w:t>
      </w:r>
      <w:r w:rsidR="0091436B">
        <w:t>895,000 would be the sum of £386,963.79.</w:t>
      </w:r>
      <w:r w:rsidR="006F3CCC">
        <w:t xml:space="preserve">  However, </w:t>
      </w:r>
      <w:r w:rsidR="000B3087">
        <w:t>the most th</w:t>
      </w:r>
      <w:r w:rsidR="0075006F">
        <w:t xml:space="preserve">at the Firm could be liable for would be </w:t>
      </w:r>
      <w:r w:rsidR="006B05EA">
        <w:t>the Claimants’</w:t>
      </w:r>
      <w:r w:rsidR="00137E09">
        <w:t xml:space="preserve"> exposure to the costs relating to the Quantum Judgment</w:t>
      </w:r>
      <w:r w:rsidR="00691E5E">
        <w:t>.</w:t>
      </w:r>
      <w:r w:rsidR="00137E09">
        <w:t xml:space="preserve">  </w:t>
      </w:r>
      <w:r w:rsidR="00691E5E">
        <w:t xml:space="preserve"> </w:t>
      </w:r>
      <w:r w:rsidR="00B55E0A">
        <w:t>For that purpose</w:t>
      </w:r>
      <w:r w:rsidR="00CA3224">
        <w:t>, the Firm said</w:t>
      </w:r>
      <w:r w:rsidR="006B05EA">
        <w:t xml:space="preserve"> the </w:t>
      </w:r>
      <w:r w:rsidR="00B043A2">
        <w:t xml:space="preserve">Claimants’ own costs </w:t>
      </w:r>
      <w:r w:rsidR="00BB1B4F">
        <w:t xml:space="preserve">should be taken to be the same as the £50,000 they </w:t>
      </w:r>
      <w:r w:rsidR="007E6D74">
        <w:t>agreed to pay the Company, for its costs relating to the Quantum Judgment</w:t>
      </w:r>
      <w:r w:rsidR="00960C1C">
        <w:t xml:space="preserve"> and th</w:t>
      </w:r>
      <w:r w:rsidR="008471E2">
        <w:t xml:space="preserve">e most </w:t>
      </w:r>
      <w:r w:rsidR="00960C1C">
        <w:t xml:space="preserve">it could be </w:t>
      </w:r>
      <w:r w:rsidR="008471E2">
        <w:t xml:space="preserve">liable for would be the sum of </w:t>
      </w:r>
      <w:r w:rsidR="00270FA7">
        <w:t>£100,000.  Moreover, that would be the cap upon such l</w:t>
      </w:r>
      <w:r w:rsidR="00DC3A64">
        <w:t xml:space="preserve">iability before </w:t>
      </w:r>
      <w:r w:rsidR="00754D5B">
        <w:t xml:space="preserve">the </w:t>
      </w:r>
      <w:r w:rsidR="00DC3A64">
        <w:t xml:space="preserve">discounting </w:t>
      </w:r>
      <w:r w:rsidR="00754D5B">
        <w:t xml:space="preserve">required </w:t>
      </w:r>
      <w:r w:rsidR="00DC3A64">
        <w:t>(whether under Scenario 1 or Scenario 2) for loss of a chance.</w:t>
      </w:r>
    </w:p>
    <w:p w14:paraId="0FD4E2D1" w14:textId="638609D3" w:rsidR="00D006F3" w:rsidRDefault="00E53D56" w:rsidP="00EF2FE7">
      <w:pPr>
        <w:pStyle w:val="ParaLevel1"/>
      </w:pPr>
      <w:r>
        <w:t xml:space="preserve">The Firm said that, if anything, that £100,000 cap was too generous as the Quantum </w:t>
      </w:r>
      <w:r w:rsidR="00CA3811">
        <w:t xml:space="preserve">Judgment related to other issues aside from the interpretation of article 18.4.1.  However, </w:t>
      </w:r>
      <w:r w:rsidR="00943788">
        <w:t xml:space="preserve">I think that submission ignores the point that the £50,000 </w:t>
      </w:r>
      <w:r w:rsidR="0057532D">
        <w:t xml:space="preserve">which the Claimants agreed to pay the Company almost certainly reflected the compromise </w:t>
      </w:r>
      <w:r w:rsidR="00A05D98">
        <w:t xml:space="preserve">of a claim by the Company </w:t>
      </w:r>
      <w:r w:rsidR="00B63928">
        <w:t xml:space="preserve">under a larger costs bill, just as the £350,000 which the Company agreed to pay them </w:t>
      </w:r>
      <w:r w:rsidR="00B22EED">
        <w:t xml:space="preserve">appears to have been </w:t>
      </w:r>
      <w:r w:rsidR="001C413A">
        <w:t>significantly less than they had incurred with Clyde &amp; Co.</w:t>
      </w:r>
    </w:p>
    <w:p w14:paraId="1441CFF3" w14:textId="6285D7DE" w:rsidR="00EA365A" w:rsidRDefault="00EA365A" w:rsidP="00EF2FE7">
      <w:pPr>
        <w:pStyle w:val="ParaLevel1"/>
      </w:pPr>
      <w:r>
        <w:t xml:space="preserve">The Firm’s opening submissions contained a helpful </w:t>
      </w:r>
      <w:r w:rsidR="0018009C">
        <w:t xml:space="preserve">table </w:t>
      </w:r>
      <w:r w:rsidR="00E5356A">
        <w:t>of</w:t>
      </w:r>
      <w:r>
        <w:t xml:space="preserve"> the invoices rendered </w:t>
      </w:r>
      <w:r w:rsidR="0072573A">
        <w:t xml:space="preserve">to Claimants </w:t>
      </w:r>
      <w:r>
        <w:t xml:space="preserve">by Clyde &amp; Co </w:t>
      </w:r>
      <w:r w:rsidR="0072573A">
        <w:t xml:space="preserve">both in respect of their own fees and the invoices of Alix Partners.  </w:t>
      </w:r>
      <w:r w:rsidR="00303428">
        <w:t>I have considered those invoices with the date of the Liability Judgment</w:t>
      </w:r>
      <w:r w:rsidR="001771CC">
        <w:t xml:space="preserve"> in mind: </w:t>
      </w:r>
      <w:r w:rsidR="00654497">
        <w:t>22 July 2016</w:t>
      </w:r>
      <w:r w:rsidR="001771CC">
        <w:t xml:space="preserve">. That is a date which </w:t>
      </w:r>
      <w:r w:rsidR="003B4A06">
        <w:t>fell within the i</w:t>
      </w:r>
      <w:r w:rsidR="00FA0BDB" w:rsidRPr="00FA0BDB">
        <w:t xml:space="preserve">nvoice </w:t>
      </w:r>
      <w:r w:rsidR="003B4A06">
        <w:t>p</w:t>
      </w:r>
      <w:r w:rsidR="00FA0BDB" w:rsidRPr="00FA0BDB">
        <w:t xml:space="preserve">eriod </w:t>
      </w:r>
      <w:r w:rsidR="003B4A06">
        <w:t xml:space="preserve">of 9 July 2016 to 31 August </w:t>
      </w:r>
      <w:r w:rsidR="00FA0BDB" w:rsidRPr="00FA0BDB">
        <w:t>2016</w:t>
      </w:r>
      <w:r w:rsidR="00CC6CB2">
        <w:t xml:space="preserve"> covered by Clyde &amp; Co’s Invoice dated 6 October 2016</w:t>
      </w:r>
      <w:r w:rsidR="0018009C">
        <w:t xml:space="preserve">.  </w:t>
      </w:r>
      <w:r w:rsidR="00D31297">
        <w:t>T</w:t>
      </w:r>
      <w:r w:rsidR="00386497">
        <w:t>he narrative within that invoice indicates that</w:t>
      </w:r>
      <w:r w:rsidR="00352BCD">
        <w:t xml:space="preserve"> (in addition to</w:t>
      </w:r>
      <w:r w:rsidR="00371C38">
        <w:t xml:space="preserve"> </w:t>
      </w:r>
      <w:r w:rsidR="00F50968">
        <w:t xml:space="preserve">the </w:t>
      </w:r>
      <w:r w:rsidR="001346D4">
        <w:t xml:space="preserve">solicitors’ </w:t>
      </w:r>
      <w:r w:rsidR="00D31297">
        <w:t xml:space="preserve">time </w:t>
      </w:r>
      <w:r w:rsidR="00013575">
        <w:t xml:space="preserve">spent in advance of and in relation to the handing down of the </w:t>
      </w:r>
      <w:r w:rsidR="00F52C9D">
        <w:t>Liability Judgment on 22 July 201</w:t>
      </w:r>
      <w:r w:rsidR="000C3B63">
        <w:t>6</w:t>
      </w:r>
      <w:r w:rsidR="00F52C9D">
        <w:t xml:space="preserve"> </w:t>
      </w:r>
      <w:r w:rsidR="00D34CE9">
        <w:t>and Mr Leiper’s fees for the handing down (£</w:t>
      </w:r>
      <w:r w:rsidR="00D34CE9" w:rsidRPr="00D34CE9">
        <w:t>6,730</w:t>
      </w:r>
      <w:r w:rsidR="00D34CE9">
        <w:t>)</w:t>
      </w:r>
      <w:r w:rsidR="00352BCD">
        <w:t>) it</w:t>
      </w:r>
      <w:r w:rsidR="0018009C">
        <w:t xml:space="preserve"> was the first of </w:t>
      </w:r>
      <w:r w:rsidR="00C555C4">
        <w:t>8</w:t>
      </w:r>
      <w:r w:rsidR="00CF76D7">
        <w:t xml:space="preserve"> invoices which </w:t>
      </w:r>
      <w:r w:rsidR="00E647A2">
        <w:t xml:space="preserve">related to </w:t>
      </w:r>
      <w:r w:rsidR="00072C06">
        <w:t xml:space="preserve">the </w:t>
      </w:r>
      <w:r w:rsidR="00E647A2">
        <w:t xml:space="preserve">costs </w:t>
      </w:r>
      <w:r w:rsidR="00072C06">
        <w:t>of the Quantum Judgment</w:t>
      </w:r>
      <w:r w:rsidR="0081316B">
        <w:t xml:space="preserve">.  </w:t>
      </w:r>
      <w:r w:rsidR="00A2000B">
        <w:t>I have not included the ninth (dated 25 January 2018</w:t>
      </w:r>
      <w:r w:rsidR="00404EA0">
        <w:t xml:space="preserve"> and in the VAT inclusive sum of £50,000)</w:t>
      </w:r>
      <w:r w:rsidR="008B6BC1">
        <w:t xml:space="preserve"> because it appears </w:t>
      </w:r>
      <w:r w:rsidR="006C6C7C">
        <w:t>that was an invoice which the Claimants paid towards the success fee of Clyde &amp; Co mentioned below.</w:t>
      </w:r>
    </w:p>
    <w:p w14:paraId="147DCB5C" w14:textId="2ECE681E" w:rsidR="00375C0D" w:rsidRDefault="001F3A65" w:rsidP="00EF2FE7">
      <w:pPr>
        <w:pStyle w:val="ParaLevel1"/>
      </w:pPr>
      <w:r>
        <w:t xml:space="preserve">The </w:t>
      </w:r>
      <w:r w:rsidR="00793849">
        <w:t>i</w:t>
      </w:r>
      <w:r>
        <w:t xml:space="preserve">nvoice dated </w:t>
      </w:r>
      <w:r w:rsidR="00C55D5B">
        <w:t xml:space="preserve">6 October 2016 (reduced by, say, </w:t>
      </w:r>
      <w:r w:rsidR="00E268DD">
        <w:t xml:space="preserve">approximately one-third to </w:t>
      </w:r>
      <w:r w:rsidR="00D4649A">
        <w:t xml:space="preserve">the VAT inclusive sum of </w:t>
      </w:r>
      <w:r w:rsidR="007B0475">
        <w:t>£50,000</w:t>
      </w:r>
      <w:r w:rsidR="0036061B">
        <w:t xml:space="preserve">) </w:t>
      </w:r>
      <w:r w:rsidR="00F50418">
        <w:t xml:space="preserve">and the subsequent </w:t>
      </w:r>
      <w:r w:rsidR="00670E98">
        <w:t>7</w:t>
      </w:r>
      <w:r w:rsidR="00F50418">
        <w:t xml:space="preserve"> invoices (including </w:t>
      </w:r>
      <w:r w:rsidR="0004054F">
        <w:t>two from Alix Partners</w:t>
      </w:r>
      <w:r w:rsidR="00D6768F">
        <w:t xml:space="preserve"> to each of the Claimants</w:t>
      </w:r>
      <w:r w:rsidR="0004054F">
        <w:t xml:space="preserve">) total </w:t>
      </w:r>
      <w:r w:rsidR="00E57978">
        <w:t>£</w:t>
      </w:r>
      <w:r w:rsidR="008D08BF">
        <w:t>276</w:t>
      </w:r>
      <w:r w:rsidR="00582D32">
        <w:t>,065</w:t>
      </w:r>
      <w:r w:rsidR="0015683D">
        <w:t>.69</w:t>
      </w:r>
      <w:r w:rsidR="00404EA0">
        <w:t xml:space="preserve"> including VAT</w:t>
      </w:r>
      <w:r w:rsidR="0015683D">
        <w:t xml:space="preserve">.  </w:t>
      </w:r>
      <w:r w:rsidR="00A56640">
        <w:t xml:space="preserve">With my </w:t>
      </w:r>
      <w:r w:rsidR="00DF6796">
        <w:t>notional adjustment, t</w:t>
      </w:r>
      <w:r w:rsidR="006838DD">
        <w:t xml:space="preserve">hat appears to be the sum which the Claimants incurred in respect of their own, unrecovered costs of the Quantum Judgment.  </w:t>
      </w:r>
      <w:r w:rsidR="0015683D">
        <w:t>A</w:t>
      </w:r>
      <w:r w:rsidR="00940AA6">
        <w:t xml:space="preserve">dding </w:t>
      </w:r>
      <w:r w:rsidR="00281113">
        <w:t xml:space="preserve">the notional £25,000 </w:t>
      </w:r>
      <w:r w:rsidR="00166A83">
        <w:t xml:space="preserve">which </w:t>
      </w:r>
      <w:r w:rsidR="00281113">
        <w:t>I have included for the</w:t>
      </w:r>
      <w:r w:rsidR="00880305">
        <w:t xml:space="preserve"> costs relating to the Liability Judgment </w:t>
      </w:r>
      <w:r w:rsidR="00940AA6">
        <w:t xml:space="preserve">covered by </w:t>
      </w:r>
      <w:r w:rsidR="00880305">
        <w:t xml:space="preserve">the </w:t>
      </w:r>
      <w:r w:rsidR="0087690A">
        <w:t xml:space="preserve">October </w:t>
      </w:r>
      <w:r w:rsidR="00880305">
        <w:t>invoice which straddles work relating to both</w:t>
      </w:r>
      <w:r w:rsidR="0087690A">
        <w:t xml:space="preserve"> judgments</w:t>
      </w:r>
      <w:r w:rsidR="000D3BF0">
        <w:t xml:space="preserve">, the earlier invoices </w:t>
      </w:r>
      <w:r w:rsidR="00166A83">
        <w:t xml:space="preserve">indicate that </w:t>
      </w:r>
      <w:r w:rsidR="001C23D8">
        <w:t xml:space="preserve">the sum of approximately </w:t>
      </w:r>
      <w:r w:rsidR="000A4BD2">
        <w:t>£480</w:t>
      </w:r>
      <w:r w:rsidR="001C23D8">
        <w:t>,000</w:t>
      </w:r>
      <w:r w:rsidR="00D4649A">
        <w:t xml:space="preserve"> </w:t>
      </w:r>
      <w:r w:rsidR="00F90D33">
        <w:t>was the amount of the Claimants’ costs of the Liability Judgment</w:t>
      </w:r>
      <w:r w:rsidR="00375C0D">
        <w:t xml:space="preserve"> which were agreed with the Company in the sum (before set off) of £400,000.</w:t>
      </w:r>
    </w:p>
    <w:p w14:paraId="19BE4CBD" w14:textId="098CD3C4" w:rsidR="00DB2951" w:rsidRDefault="00F90D33" w:rsidP="00EF2FE7">
      <w:pPr>
        <w:pStyle w:val="ParaLevel1"/>
      </w:pPr>
      <w:r>
        <w:t xml:space="preserve"> </w:t>
      </w:r>
      <w:r w:rsidR="00F96AF4">
        <w:t>At first sight, therefore, the Claimant</w:t>
      </w:r>
      <w:r w:rsidR="00FF1118">
        <w:t>s’ exposure to costs relating to the Quantum Judgment (their own and the Company’s</w:t>
      </w:r>
      <w:r w:rsidR="00EB68A4">
        <w:t>)</w:t>
      </w:r>
      <w:r w:rsidR="00FF1118">
        <w:t xml:space="preserve"> </w:t>
      </w:r>
      <w:r w:rsidR="00E463C2">
        <w:t>appears to be in the region of £</w:t>
      </w:r>
      <w:r w:rsidR="00DE6611">
        <w:t>3</w:t>
      </w:r>
      <w:r w:rsidR="00AC4A75">
        <w:t>2</w:t>
      </w:r>
      <w:r w:rsidR="00DE6611">
        <w:t xml:space="preserve">6,000.  However, </w:t>
      </w:r>
      <w:r w:rsidR="00246109">
        <w:t xml:space="preserve">it may well be that the Clyde &amp; Co invoices of 6 October </w:t>
      </w:r>
      <w:r w:rsidR="0014549C">
        <w:t>201</w:t>
      </w:r>
      <w:r w:rsidR="002315B2">
        <w:t>6</w:t>
      </w:r>
      <w:r w:rsidR="0014549C">
        <w:t xml:space="preserve"> and later dates also covered work in relation to the employment tribunal proceedings</w:t>
      </w:r>
      <w:r w:rsidR="0054047B">
        <w:t>.  The documents in the trial bundle (E</w:t>
      </w:r>
      <w:r w:rsidR="008B55DF">
        <w:t>/</w:t>
      </w:r>
      <w:r w:rsidR="003C69EA">
        <w:t xml:space="preserve">349ff and </w:t>
      </w:r>
      <w:r w:rsidR="00847AFF">
        <w:t>E</w:t>
      </w:r>
      <w:r w:rsidR="003C69EA">
        <w:t>/363ff</w:t>
      </w:r>
      <w:r w:rsidR="001519CA">
        <w:t>)</w:t>
      </w:r>
      <w:r w:rsidR="003C69EA">
        <w:t xml:space="preserve"> do not </w:t>
      </w:r>
      <w:r w:rsidR="005F5B13">
        <w:t xml:space="preserve">reveal when in 2017 those proceedings were compromised.  </w:t>
      </w:r>
      <w:r w:rsidR="00583A23">
        <w:t xml:space="preserve">To the extent that the invoices do cover </w:t>
      </w:r>
      <w:r w:rsidR="00D14F8F">
        <w:t xml:space="preserve">costs of </w:t>
      </w:r>
      <w:r w:rsidR="00583A23">
        <w:t xml:space="preserve">the employment tribunal dispute, </w:t>
      </w:r>
      <w:r w:rsidR="0054287A">
        <w:t xml:space="preserve">I bear in mind that </w:t>
      </w:r>
      <w:r w:rsidR="00583A23">
        <w:t xml:space="preserve">the Claimants made a recovery of </w:t>
      </w:r>
      <w:r w:rsidR="003E50D4">
        <w:t xml:space="preserve">£24,000 </w:t>
      </w:r>
      <w:r w:rsidR="00D14F8F">
        <w:t xml:space="preserve">including VAT against them.  </w:t>
      </w:r>
    </w:p>
    <w:p w14:paraId="4B188972" w14:textId="69D3C1BC" w:rsidR="00A434D9" w:rsidRDefault="00365FF2" w:rsidP="00EF2FE7">
      <w:pPr>
        <w:pStyle w:val="ParaLevel1"/>
      </w:pPr>
      <w:r>
        <w:t>T</w:t>
      </w:r>
      <w:r w:rsidR="00CC23BF">
        <w:t xml:space="preserve">he detail of the </w:t>
      </w:r>
      <w:r w:rsidR="0036064F">
        <w:t xml:space="preserve">Claimants’ </w:t>
      </w:r>
      <w:r>
        <w:t xml:space="preserve">legal and forensic accountancy </w:t>
      </w:r>
      <w:r w:rsidR="0036064F">
        <w:t xml:space="preserve">costs </w:t>
      </w:r>
      <w:r w:rsidR="00EB68A4">
        <w:t xml:space="preserve">which were </w:t>
      </w:r>
      <w:r w:rsidR="0036064F">
        <w:t xml:space="preserve">referable only to the Quantum Judgment </w:t>
      </w:r>
      <w:r w:rsidR="00CA392E">
        <w:t xml:space="preserve">was not the subject of submissions by </w:t>
      </w:r>
      <w:r w:rsidR="001C3BC4">
        <w:t xml:space="preserve">either the Claimants or the Firm.  </w:t>
      </w:r>
      <w:r w:rsidR="00684891">
        <w:t xml:space="preserve">Based upon the </w:t>
      </w:r>
      <w:r w:rsidR="0032682E">
        <w:t xml:space="preserve">approach in the preceding </w:t>
      </w:r>
      <w:r w:rsidR="00A55F9C">
        <w:t xml:space="preserve">four paragraphs, I think it is reasonable for me to proceed </w:t>
      </w:r>
      <w:r w:rsidR="002A704F">
        <w:t xml:space="preserve">on the basis that their total </w:t>
      </w:r>
      <w:r w:rsidR="00720C15">
        <w:t xml:space="preserve">net liability </w:t>
      </w:r>
      <w:r w:rsidR="00406C08">
        <w:t>for the costs of the Quantum Judgment was approximately £3</w:t>
      </w:r>
      <w:r w:rsidR="00B12F4C">
        <w:t>0</w:t>
      </w:r>
      <w:r w:rsidR="00406C08">
        <w:t>0,000 including VAT</w:t>
      </w:r>
      <w:r w:rsidR="00984A94">
        <w:t xml:space="preserve"> (</w:t>
      </w:r>
      <w:r w:rsidR="007A432F">
        <w:t>£326,000 less £24,000)</w:t>
      </w:r>
      <w:r w:rsidR="00406C08">
        <w:t>.</w:t>
      </w:r>
      <w:r w:rsidR="007449A1">
        <w:t xml:space="preserve">  I have derived this </w:t>
      </w:r>
      <w:r w:rsidR="00225AE5">
        <w:t xml:space="preserve">approximate sum </w:t>
      </w:r>
      <w:r w:rsidR="007449A1">
        <w:t>from the Firm’s total of £</w:t>
      </w:r>
      <w:r w:rsidR="008A38FD">
        <w:t xml:space="preserve">760,963 </w:t>
      </w:r>
      <w:r w:rsidR="008453ED">
        <w:t xml:space="preserve">(minus the </w:t>
      </w:r>
      <w:r w:rsidR="00367016">
        <w:t xml:space="preserve">last success fee invoice of £60,000) </w:t>
      </w:r>
      <w:r w:rsidR="008A38FD">
        <w:t xml:space="preserve">rather than the pleaded total of </w:t>
      </w:r>
      <w:r w:rsidR="0007677F">
        <w:t>£</w:t>
      </w:r>
      <w:r w:rsidR="008A38FD" w:rsidRPr="008A38FD">
        <w:t>895,141</w:t>
      </w:r>
      <w:r w:rsidR="00137408">
        <w:t xml:space="preserve"> (or the £</w:t>
      </w:r>
      <w:r w:rsidR="00B60769">
        <w:t xml:space="preserve">908,234 mentioned in the </w:t>
      </w:r>
      <w:r w:rsidR="00EB1885">
        <w:t xml:space="preserve">letter dated </w:t>
      </w:r>
      <w:r w:rsidR="00826C06">
        <w:t>19 November 2021 from Cardium Law)</w:t>
      </w:r>
      <w:r w:rsidR="0007677F">
        <w:t>.</w:t>
      </w:r>
      <w:r w:rsidR="00826C06">
        <w:t xml:space="preserve">  </w:t>
      </w:r>
      <w:r w:rsidR="007F5FD0">
        <w:t xml:space="preserve">So far as the legal </w:t>
      </w:r>
      <w:r w:rsidR="00282F5C">
        <w:t xml:space="preserve">costs </w:t>
      </w:r>
      <w:r w:rsidR="005243F7">
        <w:t>a</w:t>
      </w:r>
      <w:r w:rsidR="00282F5C">
        <w:t xml:space="preserve">re concerned, </w:t>
      </w:r>
      <w:r w:rsidR="009A7465">
        <w:t>the table of invoices in the Firm’s submissions talli</w:t>
      </w:r>
      <w:r w:rsidR="009A60A7">
        <w:t xml:space="preserve">ed with </w:t>
      </w:r>
      <w:r w:rsidR="005243F7">
        <w:t>w</w:t>
      </w:r>
      <w:r w:rsidR="009A60A7">
        <w:t>hat Clyde &amp; Co said had been paid by the Claimants in their letter mentioned next.</w:t>
      </w:r>
    </w:p>
    <w:p w14:paraId="0F19CA29" w14:textId="0228CD3A" w:rsidR="008D77E8" w:rsidRDefault="000C5B17" w:rsidP="00EF2FE7">
      <w:pPr>
        <w:pStyle w:val="ParaLevel1"/>
      </w:pPr>
      <w:r>
        <w:t>Th</w:t>
      </w:r>
      <w:r w:rsidR="00AA6EA5">
        <w:t>e</w:t>
      </w:r>
      <w:r>
        <w:t xml:space="preserve"> pleaded total </w:t>
      </w:r>
      <w:r w:rsidR="004C3323">
        <w:t xml:space="preserve">of </w:t>
      </w:r>
      <w:r w:rsidR="00954EBD">
        <w:t xml:space="preserve">professional costs incurred in the Leaver Litigation is </w:t>
      </w:r>
      <w:r w:rsidR="005B7383">
        <w:t xml:space="preserve">quite close in amount but </w:t>
      </w:r>
      <w:r w:rsidR="00175878">
        <w:t xml:space="preserve">significantly </w:t>
      </w:r>
      <w:r w:rsidR="00954EBD">
        <w:t>different</w:t>
      </w:r>
      <w:r w:rsidR="002D6073">
        <w:t xml:space="preserve"> from the </w:t>
      </w:r>
      <w:r w:rsidR="00175878">
        <w:t xml:space="preserve">amount of £889,567 </w:t>
      </w:r>
      <w:r w:rsidR="00C37AAB">
        <w:t xml:space="preserve">identified </w:t>
      </w:r>
      <w:r w:rsidR="00B64C39">
        <w:t>in a letter from Clyde &amp; Co dated 15 March 2022</w:t>
      </w:r>
      <w:r w:rsidR="006D5D6B">
        <w:t xml:space="preserve">.  </w:t>
      </w:r>
      <w:r w:rsidR="000C3349">
        <w:t xml:space="preserve">As I explain </w:t>
      </w:r>
      <w:r w:rsidR="00B80677">
        <w:t>below</w:t>
      </w:r>
      <w:r w:rsidR="000C3349">
        <w:t xml:space="preserve">, </w:t>
      </w:r>
      <w:r w:rsidR="000209E6">
        <w:t xml:space="preserve">that letter identified </w:t>
      </w:r>
      <w:r w:rsidR="006770F6">
        <w:t xml:space="preserve">the solicitors’ calculation of </w:t>
      </w:r>
      <w:r w:rsidR="00270EFE">
        <w:t xml:space="preserve">their </w:t>
      </w:r>
      <w:r w:rsidR="006D5D6B">
        <w:t xml:space="preserve">own </w:t>
      </w:r>
      <w:r w:rsidR="006770F6">
        <w:t>fees by reference to a</w:t>
      </w:r>
      <w:r w:rsidR="00D87D97">
        <w:t xml:space="preserve">n uplift </w:t>
      </w:r>
      <w:r w:rsidR="006770F6">
        <w:t xml:space="preserve">under a conditional fee agreement. </w:t>
      </w:r>
      <w:r w:rsidR="00564B88">
        <w:t>Mr Leiper QC handed me th</w:t>
      </w:r>
      <w:r w:rsidR="000209E6">
        <w:t>e</w:t>
      </w:r>
      <w:r w:rsidR="00564B88">
        <w:t xml:space="preserve"> letter </w:t>
      </w:r>
      <w:r w:rsidR="008D77E8">
        <w:t xml:space="preserve">on the last day of trial during his closing submissions.  </w:t>
      </w:r>
      <w:r w:rsidR="00A977EC">
        <w:t xml:space="preserve">This </w:t>
      </w:r>
      <w:r w:rsidR="00A86198">
        <w:t>w</w:t>
      </w:r>
      <w:r w:rsidR="00A977EC">
        <w:t xml:space="preserve">as in circumstances where Mr Richards had been cross-examined about the claim to legal fees and </w:t>
      </w:r>
      <w:r w:rsidR="001C57CC">
        <w:t>could not say which of the particular invoices i</w:t>
      </w:r>
      <w:r w:rsidR="0023327A">
        <w:t xml:space="preserve">dentified by the Firm had been paid.  </w:t>
      </w:r>
      <w:r w:rsidR="00D87D97">
        <w:t>Mr Richards</w:t>
      </w:r>
      <w:r w:rsidR="0023327A">
        <w:t xml:space="preserve"> did tell me that moneys received from the Company in the Leaver Litigation would have been </w:t>
      </w:r>
      <w:r w:rsidR="00D47E82">
        <w:t>paid to Clyde &amp; Co and credited towards their invoices, but tha</w:t>
      </w:r>
      <w:r w:rsidR="00C47EC8">
        <w:t xml:space="preserve">t </w:t>
      </w:r>
      <w:r w:rsidR="00C8027A">
        <w:t>there was a contingent liability to the solicitors</w:t>
      </w:r>
      <w:r w:rsidR="00AC0E16">
        <w:t>.  He</w:t>
      </w:r>
      <w:r w:rsidR="00F9334B">
        <w:t xml:space="preserve"> believed a first instalment </w:t>
      </w:r>
      <w:r w:rsidR="00344F11">
        <w:t>of £50,000 towards a success fee had been paid.  He also said he understood the</w:t>
      </w:r>
      <w:r w:rsidR="0009124D">
        <w:t xml:space="preserve"> conditional fee agreement with Clyde &amp; Co had been disclosed</w:t>
      </w:r>
      <w:r w:rsidR="002D1181">
        <w:t>;</w:t>
      </w:r>
      <w:r w:rsidR="0009124D">
        <w:t xml:space="preserve"> and in re-examination he identified in the bundle the </w:t>
      </w:r>
      <w:r w:rsidR="00457E20">
        <w:t xml:space="preserve">Discounted </w:t>
      </w:r>
      <w:r w:rsidR="0009124D">
        <w:t xml:space="preserve">Conditional </w:t>
      </w:r>
      <w:r w:rsidR="00457E20">
        <w:t xml:space="preserve">Fee Agreement dated </w:t>
      </w:r>
      <w:r w:rsidR="007F39D1">
        <w:t>28 April 2016</w:t>
      </w:r>
      <w:r w:rsidR="007D1442">
        <w:t xml:space="preserve"> (“</w:t>
      </w:r>
      <w:r w:rsidR="007D1442" w:rsidRPr="007D1442">
        <w:rPr>
          <w:b/>
          <w:bCs/>
        </w:rPr>
        <w:t>the DCFA</w:t>
      </w:r>
      <w:r w:rsidR="007D1442">
        <w:t>”)</w:t>
      </w:r>
      <w:r w:rsidR="007F39D1">
        <w:t>.</w:t>
      </w:r>
    </w:p>
    <w:p w14:paraId="38B5A7F9" w14:textId="3777C2CB" w:rsidR="0007677F" w:rsidRDefault="008D77E8" w:rsidP="00EF2FE7">
      <w:pPr>
        <w:pStyle w:val="ParaLevel1"/>
      </w:pPr>
      <w:r>
        <w:t xml:space="preserve">Clyde &amp; Co’s letter </w:t>
      </w:r>
      <w:r w:rsidR="002B191B">
        <w:t xml:space="preserve">of 15 March 2022 explained that </w:t>
      </w:r>
      <w:r w:rsidR="00460032">
        <w:t xml:space="preserve">they had acted for the Claimants in the Leaver Litigation </w:t>
      </w:r>
      <w:r w:rsidR="007011D1">
        <w:t>under the DCFA</w:t>
      </w:r>
      <w:r w:rsidR="008042C9">
        <w:t xml:space="preserve">.  </w:t>
      </w:r>
      <w:r w:rsidR="0044260E">
        <w:t xml:space="preserve">The letter </w:t>
      </w:r>
      <w:r w:rsidR="008042C9">
        <w:t xml:space="preserve">confirmed that </w:t>
      </w:r>
      <w:r w:rsidR="00822594">
        <w:t xml:space="preserve">the Claimants had paid in full </w:t>
      </w:r>
      <w:r w:rsidR="00D935B1">
        <w:t xml:space="preserve">all of the </w:t>
      </w:r>
      <w:r w:rsidR="00DD0448">
        <w:t xml:space="preserve">invoices that Clyde &amp; Co had rendered to them.  </w:t>
      </w:r>
      <w:r w:rsidR="003B09F6">
        <w:t>So far as Clyde &amp; Co’s fees</w:t>
      </w:r>
      <w:r w:rsidR="00367C30">
        <w:t xml:space="preserve">, </w:t>
      </w:r>
      <w:r w:rsidR="00767376">
        <w:t>ignoring disbursements</w:t>
      </w:r>
      <w:r w:rsidR="00367C30">
        <w:t xml:space="preserve">, </w:t>
      </w:r>
      <w:r w:rsidR="00767376">
        <w:t xml:space="preserve">were concerned they had </w:t>
      </w:r>
      <w:r w:rsidR="0044260E">
        <w:t xml:space="preserve">been </w:t>
      </w:r>
      <w:r w:rsidR="00767376">
        <w:t>paid £</w:t>
      </w:r>
      <w:r w:rsidR="005E7E25">
        <w:t>452,225 plus VAT (wh</w:t>
      </w:r>
      <w:r w:rsidR="00980EE5">
        <w:t>e</w:t>
      </w:r>
      <w:r w:rsidR="00D21910">
        <w:t>n</w:t>
      </w:r>
      <w:r w:rsidR="00980EE5">
        <w:t xml:space="preserve"> </w:t>
      </w:r>
      <w:r w:rsidR="005E7E25">
        <w:t>the correct VAT exclusive figure should have been £</w:t>
      </w:r>
      <w:r w:rsidR="0045510A">
        <w:t>4</w:t>
      </w:r>
      <w:r w:rsidR="00464601">
        <w:t>4</w:t>
      </w:r>
      <w:r w:rsidR="00C91E31">
        <w:t>4,783</w:t>
      </w:r>
      <w:r w:rsidR="0045510A">
        <w:t xml:space="preserve"> because discounted hourly rates had sometimes been overlooked) </w:t>
      </w:r>
      <w:r w:rsidR="00ED4860">
        <w:t>but because the Claimants had achieved a “win” in the Leaver Litigation</w:t>
      </w:r>
      <w:r w:rsidR="00476C21">
        <w:t xml:space="preserve"> they were entitled to charge at the basic rates set out in the DCFA.  </w:t>
      </w:r>
      <w:r w:rsidR="00CE1A4C">
        <w:t>The fees at those rates amount to £889,567.62</w:t>
      </w:r>
      <w:r w:rsidR="0065729E">
        <w:t xml:space="preserve">.  Allowing for an initial payment of £50,000 paid by the Claimants towards the balance due under the DCFA in February 2018, </w:t>
      </w:r>
      <w:r w:rsidR="00786007">
        <w:t>the balance due under it was £387,342 plus VAT.</w:t>
      </w:r>
    </w:p>
    <w:p w14:paraId="617B1207" w14:textId="7C599DF5" w:rsidR="00786007" w:rsidRDefault="00786007" w:rsidP="00EF2FE7">
      <w:pPr>
        <w:pStyle w:val="ParaLevel1"/>
      </w:pPr>
      <w:r>
        <w:t xml:space="preserve">The </w:t>
      </w:r>
      <w:r w:rsidR="00D33B63">
        <w:t xml:space="preserve">letter went on to explain that, following the conclusion of the Leaver Litigation, Clyde &amp; Co had agreed with </w:t>
      </w:r>
      <w:r w:rsidR="000D664D">
        <w:t xml:space="preserve">the Claimants that the balance under the DCFA </w:t>
      </w:r>
      <w:r w:rsidR="0025682D">
        <w:t xml:space="preserve">(before </w:t>
      </w:r>
      <w:r w:rsidR="00447851">
        <w:t xml:space="preserve">credit for the £50,000) </w:t>
      </w:r>
      <w:r w:rsidR="000D664D">
        <w:t xml:space="preserve">would be revised to the lower of </w:t>
      </w:r>
      <w:r w:rsidR="007A2F6E">
        <w:t xml:space="preserve">20% of the Claimants’ net recovery from the Firm in the present proceedings and </w:t>
      </w:r>
      <w:r w:rsidR="00447851">
        <w:t>the original sum of £464,</w:t>
      </w:r>
      <w:r w:rsidR="007642A1">
        <w:t xml:space="preserve">810.  Any entitlement to interest had been waived. </w:t>
      </w:r>
      <w:r w:rsidR="00A74592">
        <w:t>Clyde &amp; Co</w:t>
      </w:r>
      <w:r w:rsidR="007642A1">
        <w:t xml:space="preserve"> concluded by saying “</w:t>
      </w:r>
      <w:r w:rsidR="00CE136D">
        <w:rPr>
          <w:i/>
          <w:iCs/>
        </w:rPr>
        <w:t>[A]</w:t>
      </w:r>
      <w:r w:rsidR="002008B2" w:rsidRPr="002008B2">
        <w:rPr>
          <w:i/>
          <w:iCs/>
        </w:rPr>
        <w:t>s the dispute between [the Claimants] on the one hand and Charles Russell Speechlys on the other is ongoing, we have not yet issued an invoice in respect of the balance payable pursuant to the DCFA</w:t>
      </w:r>
      <w:r w:rsidR="002008B2">
        <w:t>”</w:t>
      </w:r>
      <w:r w:rsidR="00CE136D">
        <w:t xml:space="preserve"> and </w:t>
      </w:r>
      <w:r w:rsidR="00A74592">
        <w:t>they had no objection to the letter being shown to the court.</w:t>
      </w:r>
    </w:p>
    <w:p w14:paraId="5ABED95C" w14:textId="02420127" w:rsidR="005F5969" w:rsidRDefault="00291960" w:rsidP="00EF2FE7">
      <w:pPr>
        <w:pStyle w:val="ParaLevel1"/>
      </w:pPr>
      <w:r>
        <w:t xml:space="preserve">As Mr Tozzi QC highlighted, the </w:t>
      </w:r>
      <w:r w:rsidR="005F5969">
        <w:t>DCFA identified a “</w:t>
      </w:r>
      <w:r w:rsidR="005F5969" w:rsidRPr="005F5969">
        <w:rPr>
          <w:i/>
          <w:iCs/>
        </w:rPr>
        <w:t>win</w:t>
      </w:r>
      <w:r w:rsidR="005F5969">
        <w:t>” as:</w:t>
      </w:r>
    </w:p>
    <w:p w14:paraId="3932E7D2" w14:textId="23B322D3" w:rsidR="0007484A" w:rsidRPr="0007484A" w:rsidRDefault="008D0D84" w:rsidP="00EF2FE7">
      <w:pPr>
        <w:pStyle w:val="ParaLevel1"/>
        <w:numPr>
          <w:ilvl w:val="0"/>
          <w:numId w:val="0"/>
        </w:numPr>
        <w:ind w:left="1134"/>
        <w:rPr>
          <w:i/>
          <w:iCs/>
        </w:rPr>
      </w:pPr>
      <w:r>
        <w:rPr>
          <w:i/>
          <w:iCs/>
        </w:rPr>
        <w:t>“T</w:t>
      </w:r>
      <w:r w:rsidR="0007484A" w:rsidRPr="0007484A">
        <w:rPr>
          <w:i/>
          <w:iCs/>
        </w:rPr>
        <w:t>he Claim is finally decided in your favour, whether by a court order, a deemed order, an award or by an agreement by which you are to receive any one or more of (a) a declaration that you are good leavers: or (b) damages for wrongful dismissal; or (c) an order for costs in the High Court proceeding.</w:t>
      </w:r>
      <w:r>
        <w:rPr>
          <w:i/>
          <w:iCs/>
        </w:rPr>
        <w:t>”</w:t>
      </w:r>
    </w:p>
    <w:p w14:paraId="52768435" w14:textId="1ED043B5" w:rsidR="00353D13" w:rsidRDefault="008D0D84" w:rsidP="00EF2FE7">
      <w:pPr>
        <w:pStyle w:val="ParaLevel1"/>
      </w:pPr>
      <w:r>
        <w:t xml:space="preserve">Mr Tozzi submitted that no part of this </w:t>
      </w:r>
      <w:r w:rsidR="00452FCE">
        <w:t xml:space="preserve">definition of a win could be linked to the Firm’s </w:t>
      </w:r>
      <w:r w:rsidR="00207FF9">
        <w:t>responsibility in relation to the drafting of article 18.4</w:t>
      </w:r>
      <w:r w:rsidR="008D3237">
        <w:t>.</w:t>
      </w:r>
      <w:r w:rsidR="00207FF9">
        <w:t xml:space="preserve">1.  </w:t>
      </w:r>
      <w:r w:rsidR="00DB4BDA">
        <w:t>I agree.</w:t>
      </w:r>
    </w:p>
    <w:p w14:paraId="34CB7251" w14:textId="7FDC89F4" w:rsidR="00DB4BDA" w:rsidRDefault="00207FF9" w:rsidP="00EF2FE7">
      <w:pPr>
        <w:pStyle w:val="ParaLevel1"/>
      </w:pPr>
      <w:r>
        <w:t>The</w:t>
      </w:r>
      <w:r w:rsidR="00EA69F2">
        <w:t xml:space="preserve"> work covered by the DCFA was</w:t>
      </w:r>
      <w:r w:rsidR="00DB4BDA">
        <w:t>:</w:t>
      </w:r>
    </w:p>
    <w:p w14:paraId="20A1D018" w14:textId="66ED732B" w:rsidR="00EA69F2" w:rsidRPr="00DB4BDA" w:rsidRDefault="00DB4BDA" w:rsidP="00EF2FE7">
      <w:pPr>
        <w:pStyle w:val="ParaLevel1"/>
        <w:numPr>
          <w:ilvl w:val="0"/>
          <w:numId w:val="0"/>
        </w:numPr>
        <w:ind w:left="1134"/>
        <w:rPr>
          <w:i/>
          <w:iCs/>
        </w:rPr>
      </w:pPr>
      <w:r w:rsidRPr="00DB4BDA">
        <w:rPr>
          <w:i/>
          <w:iCs/>
        </w:rPr>
        <w:t>“….. in relation to your claims in the High Court and Employment Tribunal against IP Solutions Group Limited ("the Opponent") for a declaration and compensation as a result of the termination of your employment with immediate effect on 29 July 2015”</w:t>
      </w:r>
    </w:p>
    <w:p w14:paraId="6E43CF5C" w14:textId="0FF2563E" w:rsidR="009C3CFD" w:rsidRDefault="003520FD" w:rsidP="00EF2FE7">
      <w:pPr>
        <w:pStyle w:val="ParaLevel1"/>
      </w:pPr>
      <w:r>
        <w:t xml:space="preserve">Although </w:t>
      </w:r>
      <w:r w:rsidR="000806FF">
        <w:t xml:space="preserve">the original claim in the Leaver Litigation had </w:t>
      </w:r>
      <w:r w:rsidR="0075520A">
        <w:t xml:space="preserve">by the date of the DCFA </w:t>
      </w:r>
      <w:r w:rsidR="000806FF">
        <w:t xml:space="preserve">been amended (on </w:t>
      </w:r>
      <w:r w:rsidR="007503D7">
        <w:t>4 March 2016) to plead the claim to Market Value</w:t>
      </w:r>
      <w:r w:rsidR="00941533">
        <w:t xml:space="preserve"> in response to </w:t>
      </w:r>
      <w:r w:rsidR="004A059A">
        <w:t>the</w:t>
      </w:r>
      <w:r w:rsidR="00941533">
        <w:t xml:space="preserve"> Share Transfer Notice</w:t>
      </w:r>
      <w:r w:rsidR="004A059A">
        <w:t xml:space="preserve">s served in </w:t>
      </w:r>
      <w:r w:rsidR="00104256">
        <w:t>January 2016</w:t>
      </w:r>
      <w:r w:rsidR="00B3260E">
        <w:t>, i</w:t>
      </w:r>
      <w:r w:rsidR="002035BB">
        <w:t xml:space="preserve">n my judgment, </w:t>
      </w:r>
      <w:r w:rsidR="00EA2DA2">
        <w:t xml:space="preserve">any attempt by the Claimants to recover </w:t>
      </w:r>
      <w:r w:rsidR="005F0E65">
        <w:t xml:space="preserve">damages for </w:t>
      </w:r>
      <w:r w:rsidR="00EA2DA2">
        <w:t xml:space="preserve">the element of uplifted costs under the </w:t>
      </w:r>
      <w:r w:rsidR="00234E0D">
        <w:t xml:space="preserve">DCFA falls </w:t>
      </w:r>
      <w:r w:rsidR="003217F3">
        <w:t xml:space="preserve">(the </w:t>
      </w:r>
      <w:r w:rsidR="000C4A93">
        <w:t>relevant “</w:t>
      </w:r>
      <w:r w:rsidR="000C4A93" w:rsidRPr="00D42BC0">
        <w:rPr>
          <w:i/>
          <w:iCs/>
        </w:rPr>
        <w:t>harm</w:t>
      </w:r>
      <w:r w:rsidR="000C4A93">
        <w:t>”</w:t>
      </w:r>
      <w:r w:rsidR="00D42BC0">
        <w:t xml:space="preserve"> for these purposes) falls </w:t>
      </w:r>
      <w:r w:rsidR="00234E0D">
        <w:t xml:space="preserve">foul of </w:t>
      </w:r>
      <w:r w:rsidR="00A70594">
        <w:t xml:space="preserve">the answer properly to be given to the </w:t>
      </w:r>
      <w:r w:rsidR="00B07A01">
        <w:t>scope of duty question</w:t>
      </w:r>
      <w:r w:rsidR="00861A11">
        <w:t xml:space="preserve"> identified in </w:t>
      </w:r>
      <w:r w:rsidR="00861A11" w:rsidRPr="00930298">
        <w:rPr>
          <w:i/>
          <w:iCs/>
        </w:rPr>
        <w:t>Manchester BS</w:t>
      </w:r>
      <w:r w:rsidR="00861A11">
        <w:t xml:space="preserve"> </w:t>
      </w:r>
      <w:r w:rsidR="00930298">
        <w:t>v</w:t>
      </w:r>
      <w:r w:rsidR="00861A11">
        <w:t xml:space="preserve"> </w:t>
      </w:r>
      <w:r w:rsidR="006B40D7" w:rsidRPr="00930298">
        <w:rPr>
          <w:i/>
          <w:iCs/>
        </w:rPr>
        <w:t>Grant Thornton</w:t>
      </w:r>
      <w:r w:rsidR="00B07A01">
        <w:t xml:space="preserve">, </w:t>
      </w:r>
      <w:r w:rsidR="006B40D7">
        <w:t xml:space="preserve">at [6], </w:t>
      </w:r>
      <w:r w:rsidR="00930298">
        <w:t xml:space="preserve">before one gets to </w:t>
      </w:r>
      <w:r w:rsidR="005F0E65">
        <w:t xml:space="preserve">further </w:t>
      </w:r>
      <w:r w:rsidR="00930298">
        <w:t>negative answers on t</w:t>
      </w:r>
      <w:r w:rsidR="00B07A01">
        <w:t xml:space="preserve">he factual </w:t>
      </w:r>
      <w:r w:rsidR="008C2EC9">
        <w:t>causation question</w:t>
      </w:r>
      <w:r w:rsidR="006E1439">
        <w:t>, the duty nexus question and the legal responsibility question.</w:t>
      </w:r>
      <w:r w:rsidR="008C2EC9">
        <w:t xml:space="preserve"> </w:t>
      </w:r>
    </w:p>
    <w:p w14:paraId="309E9B28" w14:textId="64EEC453" w:rsidR="00061C51" w:rsidRDefault="009C3CFD" w:rsidP="00EF2FE7">
      <w:pPr>
        <w:pStyle w:val="ParaLevel1"/>
      </w:pPr>
      <w:r>
        <w:t xml:space="preserve">So far as </w:t>
      </w:r>
      <w:r w:rsidR="006E1439">
        <w:t xml:space="preserve">the last two are </w:t>
      </w:r>
      <w:r>
        <w:t xml:space="preserve">concerned, </w:t>
      </w:r>
      <w:r w:rsidR="008709BD">
        <w:t xml:space="preserve">a putative claimant in </w:t>
      </w:r>
      <w:r w:rsidR="0038536F">
        <w:t xml:space="preserve">a </w:t>
      </w:r>
      <w:r w:rsidR="008709BD">
        <w:t xml:space="preserve">later </w:t>
      </w:r>
      <w:r w:rsidR="0038536F">
        <w:t xml:space="preserve">professional negligence claim cannot </w:t>
      </w:r>
      <w:r w:rsidR="00CB4AB3">
        <w:t xml:space="preserve">(or at least cannot generally) </w:t>
      </w:r>
      <w:r w:rsidR="003D4A9A">
        <w:t>“</w:t>
      </w:r>
      <w:r w:rsidR="0038536F">
        <w:t>double his money</w:t>
      </w:r>
      <w:r w:rsidR="003D4A9A">
        <w:t>”</w:t>
      </w:r>
      <w:r w:rsidR="0051118A">
        <w:t xml:space="preserve">, </w:t>
      </w:r>
      <w:r w:rsidR="003D4A9A">
        <w:t xml:space="preserve">in the form of </w:t>
      </w:r>
      <w:r w:rsidR="00230EFA">
        <w:t xml:space="preserve">the </w:t>
      </w:r>
      <w:r w:rsidR="003D4A9A">
        <w:t xml:space="preserve">damages </w:t>
      </w:r>
      <w:r w:rsidR="00230EFA">
        <w:t xml:space="preserve">sought to be </w:t>
      </w:r>
      <w:r w:rsidR="003D4A9A">
        <w:t>recover</w:t>
      </w:r>
      <w:r w:rsidR="002811D2">
        <w:t>ed</w:t>
      </w:r>
      <w:r w:rsidR="003D4A9A">
        <w:t xml:space="preserve"> from the </w:t>
      </w:r>
      <w:r w:rsidR="00230EFA">
        <w:t>negligent defendant</w:t>
      </w:r>
      <w:r w:rsidR="002811D2">
        <w:t xml:space="preserve"> who has created the </w:t>
      </w:r>
      <w:r w:rsidR="00294CA2">
        <w:t xml:space="preserve">initial </w:t>
      </w:r>
      <w:r w:rsidR="002811D2">
        <w:t>risk</w:t>
      </w:r>
      <w:r w:rsidR="0051118A">
        <w:t xml:space="preserve">, </w:t>
      </w:r>
      <w:r w:rsidR="00984550">
        <w:t xml:space="preserve">by </w:t>
      </w:r>
      <w:r w:rsidR="0037707F">
        <w:t xml:space="preserve">agreeing with a third party that </w:t>
      </w:r>
      <w:r w:rsidR="000E185D">
        <w:t xml:space="preserve">the </w:t>
      </w:r>
      <w:r w:rsidR="00F454E9">
        <w:t xml:space="preserve">loss </w:t>
      </w:r>
      <w:r w:rsidR="00C10C0B">
        <w:t xml:space="preserve">engendered by </w:t>
      </w:r>
      <w:r w:rsidR="000F545A">
        <w:t>a</w:t>
      </w:r>
      <w:r w:rsidR="00C10C0B">
        <w:t xml:space="preserve"> </w:t>
      </w:r>
      <w:r w:rsidR="0027143F">
        <w:t xml:space="preserve">known </w:t>
      </w:r>
      <w:r w:rsidR="00C10C0B">
        <w:t>risk should</w:t>
      </w:r>
      <w:r w:rsidR="00F454E9">
        <w:t xml:space="preserve"> have a </w:t>
      </w:r>
      <w:r w:rsidR="00F454E9" w:rsidRPr="00422B98">
        <w:rPr>
          <w:i/>
          <w:iCs/>
        </w:rPr>
        <w:t>greater</w:t>
      </w:r>
      <w:r w:rsidR="00F454E9">
        <w:t xml:space="preserve"> value than </w:t>
      </w:r>
      <w:r w:rsidR="00716922">
        <w:t xml:space="preserve">would otherwise </w:t>
      </w:r>
      <w:r w:rsidR="00C10C0B">
        <w:t>be the case</w:t>
      </w:r>
      <w:r w:rsidR="00716922">
        <w:t xml:space="preserve">.  </w:t>
      </w:r>
      <w:r w:rsidR="004C5440">
        <w:t xml:space="preserve">Mitigation of loss is one thing, and to be reasonably expected, but amplification of it is quite another, and is not.  </w:t>
      </w:r>
      <w:r w:rsidR="00716922">
        <w:t>I note that t</w:t>
      </w:r>
      <w:r w:rsidR="00104256">
        <w:t>he DCFA was signed the same day as DMH Stallard had sent their without prejudice letter relying on the RPP</w:t>
      </w:r>
      <w:r w:rsidR="00716922">
        <w:t xml:space="preserve"> but</w:t>
      </w:r>
      <w:r w:rsidR="00F824F4">
        <w:t xml:space="preserve">, even before that, the Claimants knew </w:t>
      </w:r>
      <w:r w:rsidR="00607509">
        <w:t>the position being taken by the Company on the RPP</w:t>
      </w:r>
      <w:r w:rsidR="00104256">
        <w:t>.</w:t>
      </w:r>
      <w:r w:rsidR="00353D13">
        <w:t xml:space="preserve"> </w:t>
      </w:r>
      <w:r w:rsidR="009518F0">
        <w:t xml:space="preserve"> </w:t>
      </w:r>
      <w:r w:rsidR="00AB6101">
        <w:t xml:space="preserve">Even if the Firm </w:t>
      </w:r>
      <w:r w:rsidR="007914BE">
        <w:t>could be said to be responsible for</w:t>
      </w:r>
      <w:r w:rsidR="00464BB1">
        <w:t xml:space="preserve"> the commencement of the </w:t>
      </w:r>
      <w:r w:rsidR="00ED1518">
        <w:t xml:space="preserve">claims that were the subject matter of the DCFA, there is no evidence </w:t>
      </w:r>
      <w:r w:rsidR="001E0E6B">
        <w:t xml:space="preserve">in the present case that </w:t>
      </w:r>
      <w:r w:rsidR="005E1CDB">
        <w:t>the only way in which the Claimants could</w:t>
      </w:r>
      <w:r w:rsidR="005923A4">
        <w:t xml:space="preserve"> (</w:t>
      </w:r>
      <w:r w:rsidR="008C6B4D">
        <w:t>with the legal representation required for the task</w:t>
      </w:r>
      <w:r w:rsidR="005923A4">
        <w:t>)</w:t>
      </w:r>
      <w:r w:rsidR="008C6B4D">
        <w:t xml:space="preserve"> </w:t>
      </w:r>
      <w:r w:rsidR="005E1CDB">
        <w:t xml:space="preserve">continue to contest the </w:t>
      </w:r>
      <w:r w:rsidR="00A56C00">
        <w:t>point on the construction of the Articles</w:t>
      </w:r>
      <w:r w:rsidR="005923A4">
        <w:t xml:space="preserve">, </w:t>
      </w:r>
      <w:r w:rsidR="00EE79AD">
        <w:t xml:space="preserve">in an attempt to mitigate if not avoid </w:t>
      </w:r>
      <w:r w:rsidR="00972DE3">
        <w:t>the</w:t>
      </w:r>
      <w:r w:rsidR="00B93704">
        <w:t>ir</w:t>
      </w:r>
      <w:r w:rsidR="00972DE3">
        <w:t xml:space="preserve"> loss</w:t>
      </w:r>
      <w:r w:rsidR="005923A4">
        <w:t>, was by entering into the DCFA.</w:t>
      </w:r>
    </w:p>
    <w:p w14:paraId="24B68955" w14:textId="463D691B" w:rsidR="00291960" w:rsidRDefault="00DC0406" w:rsidP="00EF2FE7">
      <w:pPr>
        <w:pStyle w:val="ParaLevel1"/>
      </w:pPr>
      <w:r>
        <w:t xml:space="preserve">However, that point deals with the irrecoverable </w:t>
      </w:r>
      <w:r w:rsidR="00EB57A0">
        <w:t>fees charged at the “</w:t>
      </w:r>
      <w:r w:rsidR="00EB57A0" w:rsidRPr="000F22DD">
        <w:rPr>
          <w:i/>
          <w:iCs/>
        </w:rPr>
        <w:t>basic rate</w:t>
      </w:r>
      <w:r w:rsidR="006F4597" w:rsidRPr="000F22DD">
        <w:rPr>
          <w:i/>
          <w:iCs/>
        </w:rPr>
        <w:t>s</w:t>
      </w:r>
      <w:r w:rsidR="006F4597">
        <w:t>” identified by the DCFA and Clyde &amp; Co’s letter dated 15</w:t>
      </w:r>
      <w:r w:rsidR="006F4597">
        <w:rPr>
          <w:vertAlign w:val="superscript"/>
        </w:rPr>
        <w:t xml:space="preserve"> </w:t>
      </w:r>
      <w:r w:rsidR="006F4597">
        <w:t>March 2022.</w:t>
      </w:r>
      <w:r w:rsidR="000F22DD">
        <w:t xml:space="preserve">  There remain </w:t>
      </w:r>
      <w:r w:rsidR="00E423CA">
        <w:t xml:space="preserve">what </w:t>
      </w:r>
      <w:r w:rsidR="000F22DD">
        <w:t>the</w:t>
      </w:r>
      <w:r w:rsidR="005A0646">
        <w:t xml:space="preserve">y described as </w:t>
      </w:r>
      <w:r w:rsidR="000F22DD">
        <w:t>“</w:t>
      </w:r>
      <w:r w:rsidR="00D46F97">
        <w:rPr>
          <w:i/>
          <w:iCs/>
        </w:rPr>
        <w:t>our d</w:t>
      </w:r>
      <w:r w:rsidR="000F22DD" w:rsidRPr="000F22DD">
        <w:rPr>
          <w:i/>
          <w:iCs/>
        </w:rPr>
        <w:t>iscounted charges</w:t>
      </w:r>
      <w:r w:rsidR="000F22DD">
        <w:t xml:space="preserve">” which the Claimants did incur in </w:t>
      </w:r>
      <w:r w:rsidR="00C400CF">
        <w:t xml:space="preserve">relation to the </w:t>
      </w:r>
      <w:r w:rsidR="00032057">
        <w:t>Leaver Litigation</w:t>
      </w:r>
      <w:r w:rsidR="00C400CF">
        <w:t xml:space="preserve">.  </w:t>
      </w:r>
      <w:r w:rsidR="006F0788">
        <w:t xml:space="preserve">As I have explained above, in the absence of </w:t>
      </w:r>
      <w:r w:rsidR="00AB41AA">
        <w:t xml:space="preserve">specific submissions on the point, </w:t>
      </w:r>
      <w:r w:rsidR="00AF3F3D">
        <w:t>within the total costs</w:t>
      </w:r>
      <w:r w:rsidR="004A3545">
        <w:t xml:space="preserve"> of the Leaver Litigation,</w:t>
      </w:r>
      <w:r w:rsidR="00AF3F3D">
        <w:t xml:space="preserve"> </w:t>
      </w:r>
      <w:r w:rsidR="00AB41AA">
        <w:t xml:space="preserve">I have taken the </w:t>
      </w:r>
      <w:r w:rsidR="00F31CFF">
        <w:t>sum of</w:t>
      </w:r>
      <w:r w:rsidR="005C1193">
        <w:t xml:space="preserve"> approximately </w:t>
      </w:r>
      <w:r w:rsidR="009E0A6A">
        <w:t xml:space="preserve">of </w:t>
      </w:r>
      <w:r w:rsidR="0079796C">
        <w:t>£3</w:t>
      </w:r>
      <w:r w:rsidR="009E0A6A">
        <w:t>0</w:t>
      </w:r>
      <w:r w:rsidR="0079796C">
        <w:t xml:space="preserve">0,000 </w:t>
      </w:r>
      <w:r w:rsidR="00F31CFF">
        <w:t>(</w:t>
      </w:r>
      <w:r w:rsidR="0079796C">
        <w:t>including VAT</w:t>
      </w:r>
      <w:r w:rsidR="00F31CFF">
        <w:t>) to relate to the Quantum</w:t>
      </w:r>
      <w:r w:rsidR="004A3545">
        <w:t xml:space="preserve"> Judgment</w:t>
      </w:r>
      <w:r w:rsidR="00DC6DE6">
        <w:t xml:space="preserve"> and the balance to relate to the Liability Judgment and the employment tribunal proceedings</w:t>
      </w:r>
      <w:r w:rsidR="0079796C">
        <w:t>.</w:t>
      </w:r>
    </w:p>
    <w:p w14:paraId="598BF5ED" w14:textId="77548CB1" w:rsidR="00807CAE" w:rsidRDefault="001A537C" w:rsidP="00EF2FE7">
      <w:pPr>
        <w:pStyle w:val="ParaLevel1"/>
      </w:pPr>
      <w:r>
        <w:t xml:space="preserve">Mr Leiper </w:t>
      </w:r>
      <w:r w:rsidR="00C35F67">
        <w:t xml:space="preserve">QC </w:t>
      </w:r>
      <w:r>
        <w:t xml:space="preserve">submitted that the entirety of the </w:t>
      </w:r>
      <w:r w:rsidR="002310F6">
        <w:t xml:space="preserve">Leaver Litigation costs (as pleaded) should be recoverable from the Firm.  He said </w:t>
      </w:r>
      <w:r w:rsidR="00845915">
        <w:t xml:space="preserve">that </w:t>
      </w:r>
      <w:r w:rsidR="00381ECF">
        <w:t>that the Firm’s negligence was the legally effective cause of t</w:t>
      </w:r>
      <w:r w:rsidR="003239AA">
        <w:t>hose costs being incurred because “</w:t>
      </w:r>
      <w:r w:rsidR="003239AA" w:rsidRPr="003239AA">
        <w:rPr>
          <w:i/>
          <w:iCs/>
        </w:rPr>
        <w:t>had the Claimants been properly advised they would not have exposed themselves to the risk of termination.</w:t>
      </w:r>
      <w:r w:rsidR="003239AA">
        <w:t>”</w:t>
      </w:r>
    </w:p>
    <w:p w14:paraId="38EC0D85" w14:textId="01C7A3B5" w:rsidR="00D946AE" w:rsidRDefault="00891835" w:rsidP="00EF2FE7">
      <w:pPr>
        <w:pStyle w:val="ParaLevel1"/>
      </w:pPr>
      <w:r>
        <w:t xml:space="preserve">I do not accept that submission.  It </w:t>
      </w:r>
      <w:r w:rsidR="004515D6">
        <w:t xml:space="preserve">seeks to impose </w:t>
      </w:r>
      <w:r w:rsidR="00860FF7">
        <w:t>upon the Firm</w:t>
      </w:r>
      <w:r w:rsidR="00060B3B">
        <w:t xml:space="preserve"> responsibility for the fact of their </w:t>
      </w:r>
      <w:r w:rsidR="00C5545A">
        <w:t xml:space="preserve">dismissal rather than the financial consequences of it, when </w:t>
      </w:r>
      <w:r w:rsidR="003F1617">
        <w:t xml:space="preserve">only </w:t>
      </w:r>
      <w:r w:rsidR="00C5545A">
        <w:t xml:space="preserve">the latter was </w:t>
      </w:r>
      <w:r w:rsidR="003F1617">
        <w:t xml:space="preserve">within the scope of its duty, </w:t>
      </w:r>
      <w:r w:rsidR="008969CD">
        <w:t xml:space="preserve">and it </w:t>
      </w:r>
      <w:r w:rsidR="00D946AE">
        <w:t xml:space="preserve">is </w:t>
      </w:r>
      <w:r w:rsidR="00AE3A30">
        <w:t>no</w:t>
      </w:r>
      <w:r w:rsidR="00D946AE">
        <w:t>t</w:t>
      </w:r>
      <w:r w:rsidR="00AE3A30">
        <w:t xml:space="preserve"> support</w:t>
      </w:r>
      <w:r w:rsidR="00D946AE">
        <w:t>ed</w:t>
      </w:r>
      <w:r w:rsidR="00AE3A30">
        <w:t xml:space="preserve"> </w:t>
      </w:r>
      <w:r w:rsidR="00D946AE">
        <w:t>by</w:t>
      </w:r>
      <w:r w:rsidR="00AE3A30">
        <w:t xml:space="preserve"> the evidence.  </w:t>
      </w:r>
    </w:p>
    <w:p w14:paraId="7F2A35E2" w14:textId="2C6ADDA5" w:rsidR="003239AA" w:rsidRDefault="005615B5" w:rsidP="00EF2FE7">
      <w:pPr>
        <w:pStyle w:val="ParaLevel1"/>
      </w:pPr>
      <w:r>
        <w:t xml:space="preserve">The decision in </w:t>
      </w:r>
      <w:r w:rsidRPr="00C84A0F">
        <w:rPr>
          <w:i/>
          <w:iCs/>
        </w:rPr>
        <w:t>Manchester BS</w:t>
      </w:r>
      <w:r>
        <w:t xml:space="preserve"> v </w:t>
      </w:r>
      <w:r w:rsidRPr="00C84A0F">
        <w:rPr>
          <w:i/>
          <w:iCs/>
        </w:rPr>
        <w:t>Grant Thornton</w:t>
      </w:r>
      <w:r w:rsidR="00976829">
        <w:t xml:space="preserve">, at </w:t>
      </w:r>
      <w:r w:rsidR="00C84A0F">
        <w:t>[23],</w:t>
      </w:r>
      <w:r>
        <w:t xml:space="preserve"> confirms that the court is enti</w:t>
      </w:r>
      <w:r w:rsidR="00AE3A30">
        <w:t xml:space="preserve">tled to </w:t>
      </w:r>
      <w:r w:rsidR="00026D19">
        <w:t>consider the counter</w:t>
      </w:r>
      <w:r w:rsidR="006A09A3">
        <w:t>factual situation</w:t>
      </w:r>
      <w:r w:rsidR="006D37BC">
        <w:t xml:space="preserve"> (</w:t>
      </w:r>
      <w:r w:rsidR="004D1DC3">
        <w:t>i.e. whether the claimants</w:t>
      </w:r>
      <w:r w:rsidR="00E423CA">
        <w:t>’</w:t>
      </w:r>
      <w:r w:rsidR="004D1DC3">
        <w:t xml:space="preserve"> actions would have resulted in the same loss if the advice given by the defendant had been correct) </w:t>
      </w:r>
      <w:r w:rsidR="00976829">
        <w:t xml:space="preserve"> </w:t>
      </w:r>
      <w:r w:rsidR="006A09A3">
        <w:t xml:space="preserve">as a useful cross-check </w:t>
      </w:r>
      <w:r w:rsidR="00660865">
        <w:t>o</w:t>
      </w:r>
      <w:r w:rsidR="00976829">
        <w:t xml:space="preserve">n </w:t>
      </w:r>
      <w:r w:rsidR="006D37BC">
        <w:t xml:space="preserve">a causation point but it </w:t>
      </w:r>
      <w:r w:rsidR="00C84A0F">
        <w:t xml:space="preserve">should not determine its outcome.  In particular, it should not </w:t>
      </w:r>
      <w:r w:rsidR="00662EDD">
        <w:t>displace the scope of duty question (</w:t>
      </w:r>
      <w:r w:rsidR="00034244">
        <w:t>and</w:t>
      </w:r>
      <w:r w:rsidR="00C84A0F">
        <w:t xml:space="preserve"> the </w:t>
      </w:r>
      <w:r w:rsidR="00034244">
        <w:t>attendant duty nexus question).</w:t>
      </w:r>
    </w:p>
    <w:p w14:paraId="7477612C" w14:textId="65FEE691" w:rsidR="00933953" w:rsidRDefault="00933953" w:rsidP="00EF2FE7">
      <w:pPr>
        <w:pStyle w:val="ParaLevel1"/>
      </w:pPr>
      <w:r>
        <w:t xml:space="preserve">The evidence does not support the conclusion that </w:t>
      </w:r>
      <w:r w:rsidR="007E1388">
        <w:t>the Claimants</w:t>
      </w:r>
      <w:r w:rsidR="004202FD">
        <w:t>’</w:t>
      </w:r>
      <w:r w:rsidR="007E1388">
        <w:t xml:space="preserve"> </w:t>
      </w:r>
      <w:r w:rsidR="004202FD">
        <w:t>actions within</w:t>
      </w:r>
      <w:r w:rsidR="00586549">
        <w:t xml:space="preserve"> </w:t>
      </w:r>
      <w:r w:rsidR="00B50392">
        <w:t>the management of the Company</w:t>
      </w:r>
      <w:r w:rsidR="00A812D8">
        <w:t xml:space="preserve">, </w:t>
      </w:r>
      <w:r w:rsidR="000D00F8">
        <w:t xml:space="preserve">which </w:t>
      </w:r>
      <w:r w:rsidR="00A812D8">
        <w:t xml:space="preserve">caused the Company to dismiss them summarily, </w:t>
      </w:r>
      <w:r w:rsidR="000D00F8">
        <w:t xml:space="preserve">were influenced </w:t>
      </w:r>
      <w:r w:rsidR="006457F9">
        <w:t xml:space="preserve">at all </w:t>
      </w:r>
      <w:r w:rsidR="000D00F8">
        <w:t xml:space="preserve">by </w:t>
      </w:r>
      <w:r w:rsidR="002655B2">
        <w:t xml:space="preserve">their </w:t>
      </w:r>
      <w:r w:rsidR="00FD71E9">
        <w:t>understanding of the Leaver Provisions</w:t>
      </w:r>
      <w:r w:rsidR="005C0F46">
        <w:t xml:space="preserve"> any more than, as </w:t>
      </w:r>
      <w:r w:rsidR="00FD71E9">
        <w:t xml:space="preserve"> I have already explained</w:t>
      </w:r>
      <w:r w:rsidR="007E0CC8">
        <w:t xml:space="preserve">, </w:t>
      </w:r>
      <w:r w:rsidR="007C4B43">
        <w:t>it</w:t>
      </w:r>
      <w:r w:rsidR="007E0CC8">
        <w:t xml:space="preserve"> support</w:t>
      </w:r>
      <w:r w:rsidR="007C4B43">
        <w:t>s</w:t>
      </w:r>
      <w:r w:rsidR="007E0CC8">
        <w:t xml:space="preserve"> the conclusion that the Company’s </w:t>
      </w:r>
      <w:r w:rsidR="00AB2626">
        <w:t xml:space="preserve">own understanding of them played any part in </w:t>
      </w:r>
      <w:r w:rsidR="00602F03">
        <w:t xml:space="preserve">its decision to take that step.  </w:t>
      </w:r>
      <w:r w:rsidR="00FD71E9">
        <w:t xml:space="preserve"> </w:t>
      </w:r>
      <w:r w:rsidR="00570207">
        <w:t>The counterfac</w:t>
      </w:r>
      <w:r w:rsidR="00884767">
        <w:t xml:space="preserve">tual situation in Scenario 1 involves the Claimants </w:t>
      </w:r>
      <w:r w:rsidR="00151D13">
        <w:t xml:space="preserve">being </w:t>
      </w:r>
      <w:r w:rsidR="00151D13">
        <w:rPr>
          <w:i/>
          <w:iCs/>
        </w:rPr>
        <w:t xml:space="preserve">less </w:t>
      </w:r>
      <w:r w:rsidR="00151D13">
        <w:t xml:space="preserve">averse to the </w:t>
      </w:r>
      <w:r w:rsidR="00391093">
        <w:t xml:space="preserve">risk of termination (assuming </w:t>
      </w:r>
      <w:r w:rsidR="00FB4C02">
        <w:t xml:space="preserve">they vindicate their Good Leaver status) because the </w:t>
      </w:r>
      <w:r w:rsidR="00061C0E">
        <w:t>receipt of proper advice from the Firm would</w:t>
      </w:r>
      <w:r w:rsidR="00130AAF">
        <w:t>, on that scenario,</w:t>
      </w:r>
      <w:r w:rsidR="00061C0E">
        <w:t xml:space="preserve"> have </w:t>
      </w:r>
      <w:r w:rsidR="00841EC1">
        <w:t xml:space="preserve">clarified the RPP point in their favour.  </w:t>
      </w:r>
      <w:r w:rsidR="00122B29">
        <w:t xml:space="preserve">And the counterfactual behind Scenario 2 </w:t>
      </w:r>
      <w:r w:rsidR="00A20D9F">
        <w:t xml:space="preserve">involves them not being employed by the Company in the first place. </w:t>
      </w:r>
      <w:r w:rsidR="00406051">
        <w:t xml:space="preserve"> These observations </w:t>
      </w:r>
      <w:r w:rsidR="00C819F1">
        <w:t xml:space="preserve">reinforce the point that </w:t>
      </w:r>
      <w:r w:rsidR="00AD1EF7">
        <w:t xml:space="preserve">the answer to the duty nexus question must be </w:t>
      </w:r>
      <w:r w:rsidR="001624EE">
        <w:t>against the Firm being liable</w:t>
      </w:r>
      <w:r w:rsidR="00AD1EF7">
        <w:t xml:space="preserve"> for </w:t>
      </w:r>
      <w:r w:rsidR="00F17AB6">
        <w:t xml:space="preserve">the costs </w:t>
      </w:r>
      <w:r w:rsidR="001624EE">
        <w:t>which relate</w:t>
      </w:r>
      <w:r w:rsidR="00F17AB6">
        <w:t xml:space="preserve"> to the Liability Judgment.</w:t>
      </w:r>
      <w:r w:rsidR="00A20D9F">
        <w:t xml:space="preserve"> </w:t>
      </w:r>
    </w:p>
    <w:p w14:paraId="389CD127" w14:textId="1AC5C614" w:rsidR="00685218" w:rsidRDefault="00406051" w:rsidP="00EF2FE7">
      <w:pPr>
        <w:pStyle w:val="ParaLevel1"/>
      </w:pPr>
      <w:r>
        <w:t xml:space="preserve">However, </w:t>
      </w:r>
      <w:r w:rsidR="009217C9">
        <w:t xml:space="preserve">in my judgment, the answer to that question is different when it comes to the </w:t>
      </w:r>
      <w:r w:rsidR="00CF5757">
        <w:t xml:space="preserve">litigation </w:t>
      </w:r>
      <w:r w:rsidR="009217C9">
        <w:t xml:space="preserve">costs </w:t>
      </w:r>
      <w:r w:rsidR="00CF5757">
        <w:t>that</w:t>
      </w:r>
      <w:r w:rsidR="009217C9">
        <w:t xml:space="preserve"> relate to the Quantum Judgment.</w:t>
      </w:r>
      <w:r w:rsidR="00BD7180">
        <w:t xml:space="preserve"> </w:t>
      </w:r>
      <w:r w:rsidR="00CF5757">
        <w:t xml:space="preserve"> Th</w:t>
      </w:r>
      <w:r w:rsidR="00F028A6">
        <w:t xml:space="preserve">e </w:t>
      </w:r>
      <w:r w:rsidR="00946F58">
        <w:t>language of the Articles which led to them being incurred was</w:t>
      </w:r>
      <w:r w:rsidR="00F028A6">
        <w:t xml:space="preserve"> within the purview of the Firm’s duty.  </w:t>
      </w:r>
      <w:r w:rsidR="00BD7180">
        <w:t xml:space="preserve"> </w:t>
      </w:r>
      <w:r w:rsidR="0081088C">
        <w:t xml:space="preserve"> </w:t>
      </w:r>
      <w:r w:rsidR="00946F58">
        <w:t xml:space="preserve">They would not have been incurred </w:t>
      </w:r>
      <w:r w:rsidR="00114FE5">
        <w:t>h</w:t>
      </w:r>
      <w:r w:rsidR="00946F58">
        <w:t xml:space="preserve">ad </w:t>
      </w:r>
      <w:r w:rsidR="00114FE5">
        <w:t xml:space="preserve">the Firm </w:t>
      </w:r>
      <w:r w:rsidR="00946F58">
        <w:t xml:space="preserve">not been negligent (though </w:t>
      </w:r>
      <w:r w:rsidR="00114FE5">
        <w:t xml:space="preserve">the </w:t>
      </w:r>
      <w:r w:rsidR="00035E9F">
        <w:t>involvement of the third party purchaser of IP</w:t>
      </w:r>
      <w:r w:rsidR="00E423CA">
        <w:t>S</w:t>
      </w:r>
      <w:r w:rsidR="00035E9F">
        <w:t xml:space="preserve"> UK requires </w:t>
      </w:r>
      <w:r w:rsidR="006416F3">
        <w:t xml:space="preserve">further evaluation of </w:t>
      </w:r>
      <w:r w:rsidR="00316759">
        <w:t xml:space="preserve">the </w:t>
      </w:r>
      <w:r w:rsidR="00856A9F">
        <w:t xml:space="preserve">Claimant’s </w:t>
      </w:r>
      <w:r w:rsidR="00316759">
        <w:t>chance</w:t>
      </w:r>
      <w:r w:rsidR="00856A9F">
        <w:t>s</w:t>
      </w:r>
      <w:r w:rsidR="00316759">
        <w:t xml:space="preserve"> of avoiding them</w:t>
      </w:r>
      <w:r w:rsidR="00DB2BE9">
        <w:t xml:space="preserve">) and </w:t>
      </w:r>
      <w:r w:rsidR="00685218">
        <w:t xml:space="preserve">there is a direct nexus </w:t>
      </w:r>
      <w:r w:rsidR="00316759">
        <w:t xml:space="preserve">between </w:t>
      </w:r>
      <w:r w:rsidR="000114D9">
        <w:t xml:space="preserve">them and the Firm’s duty of care.  </w:t>
      </w:r>
      <w:r w:rsidR="006459B2">
        <w:t xml:space="preserve">Further, the </w:t>
      </w:r>
      <w:r w:rsidR="00CA6BDD">
        <w:t xml:space="preserve">uncertainty and </w:t>
      </w:r>
      <w:r w:rsidR="006459B2">
        <w:t xml:space="preserve">ambiguity in the language </w:t>
      </w:r>
      <w:r w:rsidR="00CA6BDD">
        <w:t xml:space="preserve">of the Articles meant that it was reasonable for the Claimants to </w:t>
      </w:r>
      <w:r w:rsidR="002A2CE6">
        <w:t xml:space="preserve">incur those costs.  The scope of duty question, the </w:t>
      </w:r>
      <w:r w:rsidR="00D62E7A">
        <w:t xml:space="preserve">factual causation question, the duty nexus question and the </w:t>
      </w:r>
      <w:r w:rsidR="006728FA">
        <w:t>legal responsibility question are each answered in favour of the Claimants.</w:t>
      </w:r>
    </w:p>
    <w:p w14:paraId="47001807" w14:textId="1F11BB0C" w:rsidR="00406051" w:rsidRDefault="005A3ED5" w:rsidP="00EF2FE7">
      <w:pPr>
        <w:pStyle w:val="ParaLevel1"/>
      </w:pPr>
      <w:r>
        <w:t xml:space="preserve">The </w:t>
      </w:r>
      <w:r w:rsidR="005E161C">
        <w:t xml:space="preserve">chances </w:t>
      </w:r>
      <w:r w:rsidR="00AF4333">
        <w:t>that the Claimants would have avoided</w:t>
      </w:r>
      <w:r w:rsidR="005E161C">
        <w:t xml:space="preserve"> the </w:t>
      </w:r>
      <w:r w:rsidR="00E72F27">
        <w:t xml:space="preserve">costs of the </w:t>
      </w:r>
      <w:r w:rsidR="005E161C">
        <w:t>Qua</w:t>
      </w:r>
      <w:r w:rsidR="00E72F27">
        <w:t>ntum Judgmen</w:t>
      </w:r>
      <w:r>
        <w:t xml:space="preserve">t </w:t>
      </w:r>
      <w:r w:rsidR="0056767B">
        <w:t xml:space="preserve">are </w:t>
      </w:r>
      <w:r w:rsidR="00060087">
        <w:t xml:space="preserve">confluent with </w:t>
      </w:r>
      <w:r w:rsidR="00E72F27">
        <w:t xml:space="preserve">my </w:t>
      </w:r>
      <w:r w:rsidR="00F727D4">
        <w:t>assessment of the Claimant</w:t>
      </w:r>
      <w:r w:rsidR="007B5936">
        <w:t>s’ prospects</w:t>
      </w:r>
      <w:r w:rsidR="0044333F">
        <w:t xml:space="preserve"> of success</w:t>
      </w:r>
      <w:r w:rsidR="007B5936">
        <w:t xml:space="preserve"> under</w:t>
      </w:r>
      <w:r w:rsidR="0005510E">
        <w:t xml:space="preserve"> Scenarios 1 and 2</w:t>
      </w:r>
      <w:r w:rsidR="007B5936">
        <w:t xml:space="preserve">.  </w:t>
      </w:r>
      <w:r w:rsidR="00E72F27">
        <w:t xml:space="preserve">I </w:t>
      </w:r>
      <w:r w:rsidR="007B5936">
        <w:t xml:space="preserve">have concluded that </w:t>
      </w:r>
      <w:r w:rsidR="00BD67BB">
        <w:t>they have not lost a</w:t>
      </w:r>
      <w:r w:rsidR="00263630">
        <w:t>ny real or substantial</w:t>
      </w:r>
      <w:r w:rsidR="00BD67BB">
        <w:t xml:space="preserve"> </w:t>
      </w:r>
      <w:r w:rsidR="003B32F1">
        <w:t xml:space="preserve">chance </w:t>
      </w:r>
      <w:r w:rsidR="003D6910">
        <w:t xml:space="preserve">of avoiding </w:t>
      </w:r>
      <w:r w:rsidR="00C42245">
        <w:t>th</w:t>
      </w:r>
      <w:r w:rsidR="00B7122E">
        <w:t xml:space="preserve">ose costs </w:t>
      </w:r>
      <w:r w:rsidR="00EA7108">
        <w:t>by</w:t>
      </w:r>
      <w:r w:rsidR="0042672F">
        <w:t xml:space="preserve"> </w:t>
      </w:r>
      <w:r w:rsidR="00886AB0">
        <w:t>clarifying the meaning of the Articles through agreement with Livingbridge</w:t>
      </w:r>
      <w:r w:rsidR="004F5AC2">
        <w:t xml:space="preserve">.  </w:t>
      </w:r>
      <w:r w:rsidR="007F2F9A">
        <w:t xml:space="preserve">Even though </w:t>
      </w:r>
      <w:r w:rsidR="00721175">
        <w:t xml:space="preserve">the </w:t>
      </w:r>
      <w:r w:rsidR="00A30C58">
        <w:t xml:space="preserve">costs of the </w:t>
      </w:r>
      <w:r w:rsidR="00721175">
        <w:t xml:space="preserve">Quantum </w:t>
      </w:r>
      <w:r w:rsidR="00A30C58">
        <w:t>Judgment</w:t>
      </w:r>
      <w:r w:rsidR="00721175">
        <w:t xml:space="preserve"> (though not th</w:t>
      </w:r>
      <w:r w:rsidR="00A30C58">
        <w:t>os</w:t>
      </w:r>
      <w:r w:rsidR="00721175">
        <w:t xml:space="preserve">e </w:t>
      </w:r>
      <w:r w:rsidR="00A30C58">
        <w:t xml:space="preserve">of the Liability Judgment) would have been avoided </w:t>
      </w:r>
      <w:r w:rsidR="00454C9A">
        <w:t xml:space="preserve">by </w:t>
      </w:r>
      <w:r w:rsidR="009624CB">
        <w:t>one</w:t>
      </w:r>
      <w:r w:rsidR="00454C9A">
        <w:t>, there was no</w:t>
      </w:r>
      <w:r w:rsidR="00971E20">
        <w:t xml:space="preserve"> real chance </w:t>
      </w:r>
      <w:r w:rsidR="009624CB">
        <w:t>of such an agreement.</w:t>
      </w:r>
      <w:r w:rsidR="00454C9A">
        <w:t xml:space="preserve"> </w:t>
      </w:r>
      <w:r w:rsidR="004F5AC2">
        <w:t xml:space="preserve"> However, in accordance with </w:t>
      </w:r>
      <w:r w:rsidR="005A0034">
        <w:t xml:space="preserve">assessment of the Claimants’ </w:t>
      </w:r>
      <w:r w:rsidR="002C2BF9">
        <w:t xml:space="preserve">chance of success under Scenario 2, </w:t>
      </w:r>
      <w:r w:rsidR="00886AB0">
        <w:t xml:space="preserve">I assess the chance that they </w:t>
      </w:r>
      <w:r w:rsidR="00EC32DA">
        <w:t>w</w:t>
      </w:r>
      <w:r w:rsidR="00DB1E55">
        <w:t xml:space="preserve">ould have avoided </w:t>
      </w:r>
      <w:r w:rsidR="0078739F">
        <w:t>the Leaver L</w:t>
      </w:r>
      <w:r w:rsidR="00DB1E55">
        <w:t>itigation with the Company</w:t>
      </w:r>
      <w:r w:rsidR="00EC32DA">
        <w:t xml:space="preserve">, </w:t>
      </w:r>
      <w:r w:rsidR="0095040E">
        <w:t xml:space="preserve">and with it this element of </w:t>
      </w:r>
      <w:r w:rsidR="0078739F">
        <w:t xml:space="preserve">the costs, </w:t>
      </w:r>
      <w:r w:rsidR="00EF1719">
        <w:t xml:space="preserve">by </w:t>
      </w:r>
      <w:r w:rsidR="001B394F">
        <w:t xml:space="preserve">concluding </w:t>
      </w:r>
      <w:r w:rsidR="00A2210F">
        <w:t xml:space="preserve">a sale with another </w:t>
      </w:r>
      <w:r w:rsidR="005D6D38">
        <w:t>purchaser</w:t>
      </w:r>
      <w:r w:rsidR="0078739F">
        <w:t>,</w:t>
      </w:r>
      <w:r w:rsidR="005D6D38">
        <w:t xml:space="preserve"> at </w:t>
      </w:r>
      <w:r w:rsidR="00837555">
        <w:t>75</w:t>
      </w:r>
      <w:r w:rsidR="005D6D38">
        <w:t>%.</w:t>
      </w:r>
      <w:r w:rsidR="00EC32DA">
        <w:t xml:space="preserve"> </w:t>
      </w:r>
      <w:r w:rsidR="00537891">
        <w:t xml:space="preserve"> </w:t>
      </w:r>
    </w:p>
    <w:p w14:paraId="64EF98E7" w14:textId="56C9D359" w:rsidR="00574192" w:rsidRDefault="00574192" w:rsidP="00EF2FE7">
      <w:pPr>
        <w:pStyle w:val="ParaLevel1"/>
        <w:numPr>
          <w:ilvl w:val="0"/>
          <w:numId w:val="0"/>
        </w:numPr>
        <w:ind w:left="720" w:hanging="720"/>
      </w:pPr>
    </w:p>
    <w:p w14:paraId="17BDD9B9" w14:textId="0C60BBCC" w:rsidR="00574192" w:rsidRPr="003A0DF9" w:rsidRDefault="003A0DF9" w:rsidP="00EF2FE7">
      <w:pPr>
        <w:pStyle w:val="ParaLevel1"/>
        <w:numPr>
          <w:ilvl w:val="0"/>
          <w:numId w:val="0"/>
        </w:numPr>
        <w:ind w:left="720" w:hanging="720"/>
        <w:rPr>
          <w:b/>
          <w:bCs/>
          <w:u w:val="single"/>
        </w:rPr>
      </w:pPr>
      <w:r w:rsidRPr="003A0DF9">
        <w:rPr>
          <w:b/>
          <w:bCs/>
          <w:u w:val="single"/>
        </w:rPr>
        <w:t>M.</w:t>
      </w:r>
      <w:r w:rsidRPr="003A0DF9">
        <w:rPr>
          <w:b/>
          <w:bCs/>
          <w:u w:val="single"/>
        </w:rPr>
        <w:tab/>
      </w:r>
      <w:r w:rsidR="001E5D5B">
        <w:rPr>
          <w:b/>
          <w:bCs/>
          <w:u w:val="single"/>
        </w:rPr>
        <w:t xml:space="preserve">QUANTIFICATION OF </w:t>
      </w:r>
      <w:r w:rsidRPr="003A0DF9">
        <w:rPr>
          <w:b/>
          <w:bCs/>
          <w:u w:val="single"/>
        </w:rPr>
        <w:t>LOSS</w:t>
      </w:r>
    </w:p>
    <w:p w14:paraId="694A8EE1" w14:textId="79123034" w:rsidR="0079796C" w:rsidRDefault="0027491F" w:rsidP="00EF2FE7">
      <w:pPr>
        <w:pStyle w:val="ParaLevel1"/>
      </w:pPr>
      <w:r>
        <w:t xml:space="preserve">In the light of the above findings, and subject to the issue of contributory fault addressed in Section N below, I can address the </w:t>
      </w:r>
      <w:r w:rsidR="00B2009D">
        <w:t>Claimants’ claims for damages relatively briefly.</w:t>
      </w:r>
    </w:p>
    <w:p w14:paraId="27FE1599" w14:textId="007B0F40" w:rsidR="00F556D3" w:rsidRPr="006C5EEA" w:rsidRDefault="006C5EEA" w:rsidP="00EF2FE7">
      <w:pPr>
        <w:pStyle w:val="ParaLevel1"/>
        <w:numPr>
          <w:ilvl w:val="0"/>
          <w:numId w:val="0"/>
        </w:numPr>
        <w:rPr>
          <w:b/>
          <w:bCs/>
          <w:u w:val="single"/>
        </w:rPr>
      </w:pPr>
      <w:r w:rsidRPr="006C5EEA">
        <w:rPr>
          <w:b/>
          <w:bCs/>
          <w:u w:val="single"/>
        </w:rPr>
        <w:t>Scenario 1</w:t>
      </w:r>
    </w:p>
    <w:p w14:paraId="2B76B44F" w14:textId="00182A40" w:rsidR="00F556D3" w:rsidRDefault="00B2009D" w:rsidP="00EF2FE7">
      <w:pPr>
        <w:pStyle w:val="ParaLevel1"/>
      </w:pPr>
      <w:r>
        <w:t>On Scenario 1, I find that the Claimants have suffered no loss.</w:t>
      </w:r>
    </w:p>
    <w:p w14:paraId="096E85DC" w14:textId="12F2FFA2" w:rsidR="00105AFA" w:rsidRPr="00105AFA" w:rsidRDefault="00105AFA" w:rsidP="00EF2FE7">
      <w:pPr>
        <w:pStyle w:val="ParaLevel1"/>
        <w:numPr>
          <w:ilvl w:val="0"/>
          <w:numId w:val="0"/>
        </w:numPr>
        <w:rPr>
          <w:b/>
          <w:bCs/>
          <w:u w:val="single"/>
        </w:rPr>
      </w:pPr>
      <w:r w:rsidRPr="00105AFA">
        <w:rPr>
          <w:b/>
          <w:bCs/>
          <w:u w:val="single"/>
        </w:rPr>
        <w:t>Scenario 2</w:t>
      </w:r>
    </w:p>
    <w:p w14:paraId="23000F85" w14:textId="54FF6B2B" w:rsidR="00105AFA" w:rsidRDefault="00B2009D" w:rsidP="00EF2FE7">
      <w:pPr>
        <w:pStyle w:val="ParaLevel1"/>
      </w:pPr>
      <w:r>
        <w:t xml:space="preserve">On Scenario 2, </w:t>
      </w:r>
      <w:r w:rsidR="00DF03E7">
        <w:t xml:space="preserve">the headline figure for the Claimants’ combined loss is </w:t>
      </w:r>
      <w:r w:rsidR="0034086F">
        <w:t>£</w:t>
      </w:r>
      <w:r w:rsidR="00613BDF">
        <w:t>6m (</w:t>
      </w:r>
      <w:r w:rsidR="0078333D">
        <w:t xml:space="preserve">£8m x 75%).  However, </w:t>
      </w:r>
      <w:r w:rsidR="002D4921">
        <w:t>against that sum must be set the cash sum of £</w:t>
      </w:r>
      <w:r w:rsidR="00AC7B1B">
        <w:t>4,595,900 which they received under the Transaction</w:t>
      </w:r>
      <w:r w:rsidR="005E033D">
        <w:t xml:space="preserve">, leaving </w:t>
      </w:r>
      <w:r w:rsidR="008604C6">
        <w:t xml:space="preserve">at net figure </w:t>
      </w:r>
      <w:r w:rsidR="005E033D">
        <w:t xml:space="preserve">of </w:t>
      </w:r>
      <w:r w:rsidR="0062697A">
        <w:t>just over £1</w:t>
      </w:r>
      <w:r w:rsidR="002B5199">
        <w:t xml:space="preserve">.404m.  </w:t>
      </w:r>
      <w:r w:rsidR="005E033D">
        <w:t xml:space="preserve">That net figure </w:t>
      </w:r>
      <w:r w:rsidR="0078333D">
        <w:t xml:space="preserve">is subject to reduction for the credits </w:t>
      </w:r>
      <w:r w:rsidR="00A12F20">
        <w:t>identified below.</w:t>
      </w:r>
    </w:p>
    <w:p w14:paraId="2DCA6309" w14:textId="23977DDD" w:rsidR="001E5D5B" w:rsidRPr="001E5D5B" w:rsidRDefault="001E5D5B" w:rsidP="00EF2FE7">
      <w:pPr>
        <w:pStyle w:val="ParaLevel1"/>
        <w:numPr>
          <w:ilvl w:val="0"/>
          <w:numId w:val="0"/>
        </w:numPr>
        <w:rPr>
          <w:b/>
          <w:bCs/>
          <w:u w:val="single"/>
        </w:rPr>
      </w:pPr>
      <w:r w:rsidRPr="001E5D5B">
        <w:rPr>
          <w:b/>
          <w:bCs/>
          <w:u w:val="single"/>
        </w:rPr>
        <w:t>Legal Fees</w:t>
      </w:r>
    </w:p>
    <w:p w14:paraId="01923FB9" w14:textId="4ED9F721" w:rsidR="001E5D5B" w:rsidRDefault="00A12F20" w:rsidP="00EF2FE7">
      <w:pPr>
        <w:pStyle w:val="ParaLevel1"/>
      </w:pPr>
      <w:r>
        <w:t xml:space="preserve">The </w:t>
      </w:r>
      <w:r w:rsidR="001D1B93">
        <w:t xml:space="preserve">Claimants’ </w:t>
      </w:r>
      <w:r w:rsidR="007E38D0">
        <w:t xml:space="preserve">loss on the litigation costs is </w:t>
      </w:r>
      <w:r w:rsidR="008970D4">
        <w:t>£225,000 (£300,000 x 75%).  This is al</w:t>
      </w:r>
      <w:r w:rsidR="009F2569">
        <w:t>so subject to the reduction for the credits (applied once) identified below.</w:t>
      </w:r>
    </w:p>
    <w:p w14:paraId="5562F261" w14:textId="103CBEB5" w:rsidR="004515BF" w:rsidRPr="004515BF" w:rsidRDefault="004515BF" w:rsidP="00EF2FE7">
      <w:pPr>
        <w:pStyle w:val="ParaLevel1"/>
        <w:numPr>
          <w:ilvl w:val="0"/>
          <w:numId w:val="0"/>
        </w:numPr>
      </w:pPr>
      <w:r>
        <w:rPr>
          <w:b/>
          <w:bCs/>
          <w:u w:val="single"/>
        </w:rPr>
        <w:t>Credits</w:t>
      </w:r>
    </w:p>
    <w:p w14:paraId="0283C2B4" w14:textId="0A783D27" w:rsidR="004515BF" w:rsidRDefault="009F2569" w:rsidP="00EF2FE7">
      <w:pPr>
        <w:pStyle w:val="ParaLevel1"/>
      </w:pPr>
      <w:r>
        <w:t xml:space="preserve">It is common ground between the parties that the </w:t>
      </w:r>
      <w:r w:rsidR="00E2361B">
        <w:t>Claimants’ loss of £</w:t>
      </w:r>
      <w:r w:rsidR="002E506C">
        <w:t xml:space="preserve">1.629m </w:t>
      </w:r>
      <w:r w:rsidR="00B30290">
        <w:t xml:space="preserve">falls to be reduced by the sum of £175,000 received under the </w:t>
      </w:r>
      <w:r w:rsidR="0041729B">
        <w:t>settlement of the appeals in the Leaver Litigation</w:t>
      </w:r>
      <w:r w:rsidR="00E45F09">
        <w:t xml:space="preserve">, leaving </w:t>
      </w:r>
      <w:r w:rsidR="0060717A">
        <w:t>the figure of £1.454m</w:t>
      </w:r>
      <w:r w:rsidR="0041729B">
        <w:t>.</w:t>
      </w:r>
    </w:p>
    <w:p w14:paraId="73D6299C" w14:textId="0235BE91" w:rsidR="00F1474B" w:rsidRDefault="0041729B" w:rsidP="00EF2FE7">
      <w:pPr>
        <w:pStyle w:val="ParaLevel1"/>
      </w:pPr>
      <w:r>
        <w:t>The Firm says there should be further credits</w:t>
      </w:r>
      <w:r w:rsidR="00E45F09">
        <w:t xml:space="preserve"> against that sum</w:t>
      </w:r>
      <w:r>
        <w:t xml:space="preserve">.  </w:t>
      </w:r>
      <w:r w:rsidR="00E36FAC">
        <w:t xml:space="preserve">These are said to be in respect of credits </w:t>
      </w:r>
      <w:r w:rsidR="00414D3F">
        <w:t xml:space="preserve">for any remuneration or damages for wrongful dismissal </w:t>
      </w:r>
      <w:r w:rsidR="00C8200B">
        <w:t>and/or unfair dismissal received from the Company</w:t>
      </w:r>
      <w:r w:rsidR="00807BC0">
        <w:t xml:space="preserve">.  </w:t>
      </w:r>
      <w:r w:rsidR="00C42E3C">
        <w:t>However, in my judgment</w:t>
      </w:r>
      <w:r w:rsidR="00BB27A7">
        <w:t xml:space="preserve"> there </w:t>
      </w:r>
      <w:r w:rsidR="00371E07">
        <w:t xml:space="preserve">is </w:t>
      </w:r>
      <w:r w:rsidR="000F4C23">
        <w:t>a</w:t>
      </w:r>
      <w:r w:rsidR="00BB27A7">
        <w:t xml:space="preserve"> misconception</w:t>
      </w:r>
      <w:r w:rsidR="009F07A6">
        <w:t xml:space="preserve"> </w:t>
      </w:r>
      <w:r w:rsidR="00BB27A7">
        <w:t xml:space="preserve">in the Firms’ approach </w:t>
      </w:r>
      <w:r w:rsidR="0021762B">
        <w:t>to these further credits, particularly when regard is</w:t>
      </w:r>
      <w:r w:rsidR="00F1474B">
        <w:t xml:space="preserve"> had to the fact that the loss stems from Scenario 2.</w:t>
      </w:r>
    </w:p>
    <w:p w14:paraId="4D1306FF" w14:textId="18F0B04F" w:rsidR="00372479" w:rsidRDefault="000F4C23" w:rsidP="00EF2FE7">
      <w:pPr>
        <w:pStyle w:val="ParaLevel1"/>
      </w:pPr>
      <w:r>
        <w:t xml:space="preserve">In the draft of this judgment </w:t>
      </w:r>
      <w:r w:rsidR="004F1AA4">
        <w:t xml:space="preserve">circulated to the parties on 14 April 2022 I had suggested that </w:t>
      </w:r>
      <w:r w:rsidR="009F07A6">
        <w:t xml:space="preserve">this </w:t>
      </w:r>
      <w:r w:rsidR="00EC1E0E">
        <w:t>misconception</w:t>
      </w:r>
      <w:r w:rsidR="004F1AA4">
        <w:t xml:space="preserve"> on the Firm’s part extended </w:t>
      </w:r>
      <w:r w:rsidR="007F4CF9">
        <w:t>to one of fact as well as principle.  My then</w:t>
      </w:r>
      <w:r w:rsidR="00EC1E0E">
        <w:t xml:space="preserve"> understanding of the outcome of the Leaver Litigation</w:t>
      </w:r>
      <w:r w:rsidR="002A42F8">
        <w:t xml:space="preserve"> meant that </w:t>
      </w:r>
      <w:r w:rsidR="00EC1E0E">
        <w:t xml:space="preserve">that </w:t>
      </w:r>
      <w:r w:rsidR="00D55591">
        <w:t xml:space="preserve">the Firm </w:t>
      </w:r>
      <w:r w:rsidR="002A42F8">
        <w:t>wa</w:t>
      </w:r>
      <w:r w:rsidR="00D55591">
        <w:t xml:space="preserve">s seeking to debit the Claimants twice </w:t>
      </w:r>
      <w:r w:rsidR="00560C7D">
        <w:t xml:space="preserve">over in respect of the same sums.  </w:t>
      </w:r>
    </w:p>
    <w:p w14:paraId="7CA93185" w14:textId="007A7BE1" w:rsidR="00A8713B" w:rsidRDefault="00372479" w:rsidP="00EF2FE7">
      <w:pPr>
        <w:pStyle w:val="ParaLevel1"/>
      </w:pPr>
      <w:r>
        <w:t>T</w:t>
      </w:r>
      <w:r w:rsidR="00560C7D">
        <w:t>he Firm sa</w:t>
      </w:r>
      <w:r w:rsidR="00AD3847">
        <w:t>ys</w:t>
      </w:r>
      <w:r w:rsidR="00560C7D">
        <w:t xml:space="preserve"> the damages should be reduced </w:t>
      </w:r>
      <w:r w:rsidR="00CB69A4">
        <w:t>by the sum of £65,500 by reference to the two Q1 bonuses received by the</w:t>
      </w:r>
      <w:r w:rsidR="00D3335D">
        <w:t>m and which were under scrutiny in the Leaver Litigation</w:t>
      </w:r>
      <w:r>
        <w:t xml:space="preserve"> and the damages which were ordered to be paid to them in </w:t>
      </w:r>
      <w:r w:rsidR="000846E1">
        <w:t>the Leaver Litigation</w:t>
      </w:r>
      <w:r w:rsidR="00D3335D">
        <w:t xml:space="preserve">.  </w:t>
      </w:r>
      <w:r w:rsidR="00AD3847">
        <w:t xml:space="preserve">It further </w:t>
      </w:r>
      <w:r w:rsidR="00D3335D">
        <w:t xml:space="preserve">says that, even though the Claimants were not entitled to </w:t>
      </w:r>
      <w:r w:rsidR="00972243">
        <w:t xml:space="preserve">the bonuses of £32,750 each, they retained the benefit of them because they were offset against a later bonus </w:t>
      </w:r>
      <w:r w:rsidR="00FA4628">
        <w:t>to which they would have become entitled had they not been wrongfully dismissed.</w:t>
      </w:r>
      <w:r w:rsidR="003D330A">
        <w:t xml:space="preserve">  </w:t>
      </w:r>
      <w:r w:rsidR="00FA4628">
        <w:t xml:space="preserve">  </w:t>
      </w:r>
    </w:p>
    <w:p w14:paraId="503BF025" w14:textId="4C12BB9B" w:rsidR="0041729B" w:rsidRDefault="00F01858" w:rsidP="00EF2FE7">
      <w:pPr>
        <w:pStyle w:val="ParaLevel1"/>
      </w:pPr>
      <w:r>
        <w:t>B</w:t>
      </w:r>
      <w:r w:rsidR="00A8713B">
        <w:t>y her Order dated 30 November 2016</w:t>
      </w:r>
      <w:r w:rsidR="00940CAA">
        <w:t>, May J ordered the Company to pay the Claimants damages for wrongful dismissal (in slightly different sum</w:t>
      </w:r>
      <w:r w:rsidR="00FF3198">
        <w:t>s</w:t>
      </w:r>
      <w:r w:rsidR="00940CAA">
        <w:t>) which</w:t>
      </w:r>
      <w:r w:rsidR="0057463A">
        <w:t xml:space="preserve"> were quantified “</w:t>
      </w:r>
      <w:r w:rsidR="0057463A" w:rsidRPr="000846E1">
        <w:rPr>
          <w:i/>
          <w:iCs/>
        </w:rPr>
        <w:t>taking into account payments due from the Claimants to the Defendant pursuant to the Defendant's counterclaim.</w:t>
      </w:r>
      <w:r w:rsidR="0057463A">
        <w:t xml:space="preserve">” </w:t>
      </w:r>
      <w:r w:rsidR="00564A4C">
        <w:t xml:space="preserve">Accordingly, the Claimants appear to have been debited with </w:t>
      </w:r>
      <w:r w:rsidR="00221C11">
        <w:t>the amount of the</w:t>
      </w:r>
      <w:r w:rsidR="001D40BF">
        <w:t>ir bonuses in the</w:t>
      </w:r>
      <w:r w:rsidR="000846E1">
        <w:t xml:space="preserve"> calculation of the damages: £</w:t>
      </w:r>
      <w:r w:rsidR="004C2639">
        <w:t>103,872 for Mr Richards and £104,714 for Mr Purves.</w:t>
      </w:r>
      <w:r w:rsidR="001D40BF">
        <w:t xml:space="preserve"> </w:t>
      </w:r>
      <w:r w:rsidR="00985240">
        <w:t xml:space="preserve"> However, </w:t>
      </w:r>
      <w:r w:rsidR="00530BF3">
        <w:t xml:space="preserve">the parties then cross-appealed her two judgments.  </w:t>
      </w:r>
      <w:r w:rsidR="00303B60">
        <w:t xml:space="preserve">My </w:t>
      </w:r>
      <w:r w:rsidR="00A6489C">
        <w:t xml:space="preserve">previous </w:t>
      </w:r>
      <w:r w:rsidR="00303B60">
        <w:t xml:space="preserve">understanding </w:t>
      </w:r>
      <w:r w:rsidR="007C0112">
        <w:t xml:space="preserve">had been that </w:t>
      </w:r>
      <w:r w:rsidR="00C22C89">
        <w:t xml:space="preserve">the </w:t>
      </w:r>
      <w:r w:rsidR="00B35B21">
        <w:t xml:space="preserve">Claimants </w:t>
      </w:r>
      <w:r w:rsidR="007C0112">
        <w:t xml:space="preserve">had not </w:t>
      </w:r>
      <w:r w:rsidR="00B35B21">
        <w:t xml:space="preserve">received </w:t>
      </w:r>
      <w:r w:rsidR="00B35B21" w:rsidRPr="00B35B21">
        <w:rPr>
          <w:i/>
          <w:iCs/>
        </w:rPr>
        <w:t>both</w:t>
      </w:r>
      <w:r w:rsidR="00B35B21">
        <w:t xml:space="preserve"> </w:t>
      </w:r>
      <w:r w:rsidR="007050D0">
        <w:t xml:space="preserve">the £175,000 under the settlement of those appeals </w:t>
      </w:r>
      <w:r w:rsidR="007050D0" w:rsidRPr="003D7DBB">
        <w:rPr>
          <w:i/>
          <w:iCs/>
        </w:rPr>
        <w:t>and</w:t>
      </w:r>
      <w:r w:rsidR="007050D0">
        <w:t xml:space="preserve"> </w:t>
      </w:r>
      <w:r w:rsidR="00E67AB9">
        <w:t xml:space="preserve">payment of </w:t>
      </w:r>
      <w:r w:rsidR="003D7DBB">
        <w:t>those damages.</w:t>
      </w:r>
      <w:r w:rsidR="009832A9">
        <w:t xml:space="preserve">  However, </w:t>
      </w:r>
      <w:r w:rsidR="0068632B">
        <w:t>in making ob</w:t>
      </w:r>
      <w:r w:rsidR="000F426E">
        <w:t xml:space="preserve">servations upon the draft judgment, Mr Tozzi QC and Mr Wright QC </w:t>
      </w:r>
      <w:r w:rsidR="0094781A">
        <w:t xml:space="preserve">drew my attention </w:t>
      </w:r>
      <w:r w:rsidR="00E020D6">
        <w:t xml:space="preserve">to a letter dated </w:t>
      </w:r>
      <w:r w:rsidR="00EC4A17">
        <w:t xml:space="preserve">13 December 2021 from Cardium Law which </w:t>
      </w:r>
      <w:r w:rsidR="00BC0432">
        <w:t>confirmed that the Claimants had recovered the damages awarded by May J following the Liability Judgment</w:t>
      </w:r>
      <w:r w:rsidR="00C92632">
        <w:t xml:space="preserve">, thereby indicating that </w:t>
      </w:r>
      <w:r w:rsidR="00E06E8B">
        <w:t xml:space="preserve">the settlement sum was </w:t>
      </w:r>
      <w:r w:rsidR="00BB5118">
        <w:t>re</w:t>
      </w:r>
      <w:r w:rsidR="00A6489C">
        <w:t xml:space="preserve">ceived </w:t>
      </w:r>
      <w:r w:rsidR="00E06E8B">
        <w:t>in addition to those damages</w:t>
      </w:r>
      <w:r w:rsidR="00BC0432">
        <w:t xml:space="preserve">. </w:t>
      </w:r>
      <w:r w:rsidR="009F07A6">
        <w:t>This was confirmed by Mr Leiper QC on behalf of the Claimants.</w:t>
      </w:r>
      <w:r w:rsidR="00BC0432">
        <w:t xml:space="preserve"> </w:t>
      </w:r>
    </w:p>
    <w:p w14:paraId="428DE620" w14:textId="58F5920B" w:rsidR="00C1488C" w:rsidRDefault="007C0112" w:rsidP="00EF2FE7">
      <w:pPr>
        <w:pStyle w:val="ParaLevel1"/>
      </w:pPr>
      <w:r>
        <w:t xml:space="preserve">Nevertheless, </w:t>
      </w:r>
      <w:r w:rsidR="0008665C">
        <w:t>I believe</w:t>
      </w:r>
      <w:r w:rsidR="00701F73">
        <w:t xml:space="preserve"> </w:t>
      </w:r>
      <w:r w:rsidR="009D2CA0">
        <w:t xml:space="preserve">the Firm’s approach </w:t>
      </w:r>
      <w:r w:rsidR="009832A9">
        <w:t>remains</w:t>
      </w:r>
      <w:r w:rsidR="001C7CBB">
        <w:t xml:space="preserve"> misconceived in </w:t>
      </w:r>
      <w:r w:rsidR="003445CF">
        <w:t xml:space="preserve">seeking to </w:t>
      </w:r>
      <w:r w:rsidR="00E70534">
        <w:t xml:space="preserve">credit the Claimants with items that are unrelated to the loss </w:t>
      </w:r>
      <w:r w:rsidR="00BC2E47">
        <w:t xml:space="preserve">for which it is liable.  This applies </w:t>
      </w:r>
      <w:r w:rsidR="00352866">
        <w:t xml:space="preserve">to the retained bonuses (which, </w:t>
      </w:r>
      <w:r w:rsidR="009F07A6">
        <w:t>as</w:t>
      </w:r>
      <w:r w:rsidR="00352866">
        <w:t xml:space="preserve"> explained above, appear to </w:t>
      </w:r>
      <w:r w:rsidR="009F07A6">
        <w:t>have been taken into account by May J in her damages award</w:t>
      </w:r>
      <w:r w:rsidR="00FE5321">
        <w:t>)</w:t>
      </w:r>
      <w:r w:rsidR="006D1C8E">
        <w:t xml:space="preserve">, </w:t>
      </w:r>
      <w:r w:rsidR="00B03C35">
        <w:t xml:space="preserve">the salary they received from the Company during the 8 months of their employment </w:t>
      </w:r>
      <w:r w:rsidR="007D4B53">
        <w:t>(£133,33</w:t>
      </w:r>
      <w:r w:rsidR="00BB4CA4">
        <w:t>3</w:t>
      </w:r>
      <w:r w:rsidR="007D4B53">
        <w:t xml:space="preserve"> each</w:t>
      </w:r>
      <w:r w:rsidR="004002C5">
        <w:t xml:space="preserve">, at least pre-tax, at the rate of £200,000 p.a.) and </w:t>
      </w:r>
      <w:r w:rsidR="006D1C8E">
        <w:t>the £78,000 they received in damages for unfair dismissal</w:t>
      </w:r>
      <w:r w:rsidR="00C5571C">
        <w:t>.  The</w:t>
      </w:r>
      <w:r w:rsidR="00663711">
        <w:t xml:space="preserve"> Firm </w:t>
      </w:r>
      <w:r w:rsidR="00C5571C">
        <w:t xml:space="preserve">argued that all </w:t>
      </w:r>
      <w:r w:rsidR="00BF523F">
        <w:t xml:space="preserve">three items </w:t>
      </w:r>
      <w:r w:rsidR="00663711">
        <w:t xml:space="preserve">must be </w:t>
      </w:r>
      <w:r w:rsidR="00322DBD">
        <w:t xml:space="preserve">taken into account in calculating the </w:t>
      </w:r>
      <w:r w:rsidR="00BF523F">
        <w:t>Claimants’ damages</w:t>
      </w:r>
      <w:r w:rsidR="004002C5">
        <w:t xml:space="preserve">. </w:t>
      </w:r>
      <w:r w:rsidR="00D36E2D">
        <w:t xml:space="preserve"> </w:t>
      </w:r>
      <w:r w:rsidR="0022268F">
        <w:t>The Firm recognise</w:t>
      </w:r>
      <w:r w:rsidR="00663711">
        <w:t>d</w:t>
      </w:r>
      <w:r w:rsidR="0022268F">
        <w:t xml:space="preserve"> that</w:t>
      </w:r>
      <w:r w:rsidR="00DD2CE5">
        <w:t xml:space="preserve">, against those sums, </w:t>
      </w:r>
      <w:r w:rsidR="00663711">
        <w:t xml:space="preserve">there </w:t>
      </w:r>
      <w:r w:rsidR="00DD2CE5">
        <w:t xml:space="preserve">should be offset the likely salary which they would have </w:t>
      </w:r>
      <w:r w:rsidR="00BB4CA4">
        <w:t>received from an alternative buyer</w:t>
      </w:r>
      <w:r w:rsidR="0008665C">
        <w:t xml:space="preserve"> </w:t>
      </w:r>
      <w:r w:rsidR="005A1F31">
        <w:t xml:space="preserve">of IPS UK and referred to the salaries of £90,000 </w:t>
      </w:r>
      <w:r w:rsidR="00073F7B">
        <w:t>each which were contemplated for the Claimants during</w:t>
      </w:r>
      <w:r w:rsidR="00E85250">
        <w:t xml:space="preserve"> a two year earnout period with GCI.  </w:t>
      </w:r>
      <w:r w:rsidR="005159B5">
        <w:t>On this approach, the Firm reache</w:t>
      </w:r>
      <w:r w:rsidR="00641683">
        <w:t>d</w:t>
      </w:r>
      <w:r w:rsidR="005159B5">
        <w:t xml:space="preserve"> a net </w:t>
      </w:r>
      <w:r w:rsidR="003D1F89">
        <w:t>credit against both Claimants of £336,000</w:t>
      </w:r>
      <w:r w:rsidR="00B020CD">
        <w:t xml:space="preserve">.  </w:t>
      </w:r>
      <w:r w:rsidR="00EA2EE2">
        <w:t>A</w:t>
      </w:r>
      <w:r w:rsidR="00FB5F9E">
        <w:t xml:space="preserve">gain, I note </w:t>
      </w:r>
      <w:r w:rsidR="00EA2EE2">
        <w:t xml:space="preserve">that </w:t>
      </w:r>
      <w:r w:rsidR="00521468">
        <w:t xml:space="preserve">calculation </w:t>
      </w:r>
      <w:r w:rsidR="0054794B">
        <w:t xml:space="preserve">includes the </w:t>
      </w:r>
      <w:r w:rsidR="00637784">
        <w:t>wrongful dismissal damages in the sum of £</w:t>
      </w:r>
      <w:r w:rsidR="00D856DE">
        <w:t>208</w:t>
      </w:r>
      <w:r w:rsidR="008B7CF1">
        <w:t xml:space="preserve">,586 </w:t>
      </w:r>
      <w:r w:rsidR="00EA2EE2">
        <w:t>and also (</w:t>
      </w:r>
      <w:r w:rsidR="00FB5F9E">
        <w:t xml:space="preserve">having regard to the nature of the </w:t>
      </w:r>
      <w:r w:rsidR="00EA2EE2">
        <w:t xml:space="preserve">actual and notional receipts </w:t>
      </w:r>
      <w:r w:rsidR="00521468">
        <w:t xml:space="preserve">in question) </w:t>
      </w:r>
      <w:r w:rsidR="00FB5F9E">
        <w:t>that these are all pre-income tax figures.</w:t>
      </w:r>
    </w:p>
    <w:p w14:paraId="6F6E76EA" w14:textId="606A51B4" w:rsidR="00951F03" w:rsidRDefault="00C1488C" w:rsidP="00EF2FE7">
      <w:pPr>
        <w:pStyle w:val="ParaLevel1"/>
      </w:pPr>
      <w:r>
        <w:t xml:space="preserve">However, whether the suggested </w:t>
      </w:r>
      <w:r w:rsidR="001E712E">
        <w:t xml:space="preserve">pre-tax </w:t>
      </w:r>
      <w:r>
        <w:t xml:space="preserve">credit should be £336,000 or </w:t>
      </w:r>
      <w:r w:rsidR="007923D2">
        <w:t>more like £127</w:t>
      </w:r>
      <w:r w:rsidR="00684DCD">
        <w:t xml:space="preserve">,500, the exercise </w:t>
      </w:r>
      <w:r w:rsidR="004166FA">
        <w:t xml:space="preserve">proposed by the firm appears to </w:t>
      </w:r>
      <w:r w:rsidR="003063E8">
        <w:t>confus</w:t>
      </w:r>
      <w:r w:rsidR="00641683">
        <w:t>e</w:t>
      </w:r>
      <w:r w:rsidR="003063E8">
        <w:t xml:space="preserve"> what I might describe as the “capital loss” for which the Firm is liable and “income loss</w:t>
      </w:r>
      <w:r w:rsidR="004F60BB">
        <w:t>es</w:t>
      </w:r>
      <w:r w:rsidR="003063E8">
        <w:t>” for which it is not.</w:t>
      </w:r>
      <w:r w:rsidR="004F60BB">
        <w:t xml:space="preserve">  In my </w:t>
      </w:r>
      <w:r w:rsidR="00D478F6">
        <w:t xml:space="preserve">analysis of the Firm’s liability in respect of </w:t>
      </w:r>
      <w:r w:rsidR="0071744F">
        <w:t>legal fees in Section I above, I have</w:t>
      </w:r>
      <w:r w:rsidR="00EC52F4">
        <w:t xml:space="preserve"> expressed the reasons why the Firm’s liability does not extend </w:t>
      </w:r>
      <w:r w:rsidR="00692EE4">
        <w:t xml:space="preserve">to the costs of the Liability Judgment.  The </w:t>
      </w:r>
      <w:r w:rsidR="00951F03">
        <w:t>Firm is</w:t>
      </w:r>
      <w:r w:rsidR="00722AB6">
        <w:t xml:space="preserve"> instead </w:t>
      </w:r>
      <w:r w:rsidR="00E02944">
        <w:t>liable for its negligence in relation to the Article</w:t>
      </w:r>
      <w:r w:rsidR="00BD1103">
        <w:t>s</w:t>
      </w:r>
      <w:r w:rsidR="00E02944">
        <w:t xml:space="preserve"> and the impact they had upon the </w:t>
      </w:r>
      <w:r w:rsidR="003B1414">
        <w:t xml:space="preserve">value the Claimants </w:t>
      </w:r>
      <w:r w:rsidR="00BF51EB">
        <w:t xml:space="preserve">actually received </w:t>
      </w:r>
      <w:r w:rsidR="003B1414">
        <w:t>for their shares in IPS UK.</w:t>
      </w:r>
      <w:r w:rsidR="00605292">
        <w:t xml:space="preserve">  </w:t>
      </w:r>
      <w:r w:rsidR="008B2D30">
        <w:t>T</w:t>
      </w:r>
      <w:r w:rsidR="00605292">
        <w:t xml:space="preserve">he </w:t>
      </w:r>
      <w:r w:rsidR="00084C0B">
        <w:t xml:space="preserve">nature of the claim meant that the </w:t>
      </w:r>
      <w:r w:rsidR="00605292">
        <w:t>Order</w:t>
      </w:r>
      <w:r w:rsidR="008B2D30">
        <w:t xml:space="preserve"> of 16 April 2021 confined the expert evidence to</w:t>
      </w:r>
      <w:r w:rsidR="00BD1103">
        <w:t xml:space="preserve"> </w:t>
      </w:r>
      <w:r w:rsidR="0023570A">
        <w:t xml:space="preserve">the </w:t>
      </w:r>
      <w:r w:rsidR="003A2507">
        <w:t xml:space="preserve">issue </w:t>
      </w:r>
      <w:r w:rsidR="0023570A">
        <w:t>of share valuation at the First Valuation Date and the Second Valuation Date.</w:t>
      </w:r>
      <w:r w:rsidR="008B2D30">
        <w:t xml:space="preserve"> </w:t>
      </w:r>
      <w:r w:rsidR="00605292">
        <w:t xml:space="preserve"> </w:t>
      </w:r>
    </w:p>
    <w:p w14:paraId="6B9C9F39" w14:textId="27FFBCE7" w:rsidR="00B44288" w:rsidRDefault="00A62691" w:rsidP="00EF2FE7">
      <w:pPr>
        <w:pStyle w:val="ParaLevel1"/>
      </w:pPr>
      <w:r>
        <w:t>I</w:t>
      </w:r>
      <w:r w:rsidR="00951F03">
        <w:t xml:space="preserve">n my judgment, </w:t>
      </w:r>
      <w:r w:rsidR="00B26984">
        <w:t xml:space="preserve">applying </w:t>
      </w:r>
      <w:r w:rsidR="001A5787">
        <w:t>a credit for what the</w:t>
      </w:r>
      <w:r w:rsidR="00865B48">
        <w:t xml:space="preserve"> Claimants received from their employment </w:t>
      </w:r>
      <w:r w:rsidR="003E3001">
        <w:t xml:space="preserve">with the Company </w:t>
      </w:r>
      <w:r w:rsidR="002E58D5">
        <w:t>(</w:t>
      </w:r>
      <w:r w:rsidR="0026123F">
        <w:t xml:space="preserve">whether paid </w:t>
      </w:r>
      <w:r w:rsidR="002E58D5">
        <w:t>in salary, bonus</w:t>
      </w:r>
      <w:r w:rsidR="00120213">
        <w:t xml:space="preserve"> or damages for the loss of either)</w:t>
      </w:r>
      <w:r w:rsidR="00D936FA">
        <w:t xml:space="preserve"> </w:t>
      </w:r>
      <w:r w:rsidR="00EE4FA1">
        <w:t>as</w:t>
      </w:r>
      <w:r w:rsidR="006224A9">
        <w:t xml:space="preserve"> compared with what </w:t>
      </w:r>
      <w:r w:rsidR="009C057E">
        <w:t xml:space="preserve">they might have earned with another buyer of IPS, </w:t>
      </w:r>
      <w:r w:rsidR="00A66630">
        <w:t xml:space="preserve">involves an </w:t>
      </w:r>
      <w:r w:rsidR="00B44288">
        <w:t xml:space="preserve">impermissible </w:t>
      </w:r>
      <w:r w:rsidR="00B430C0">
        <w:t xml:space="preserve">encroachment </w:t>
      </w:r>
      <w:r w:rsidR="00ED4B05">
        <w:t xml:space="preserve">upon the </w:t>
      </w:r>
      <w:r w:rsidR="00B44288">
        <w:t xml:space="preserve">proper </w:t>
      </w:r>
      <w:r w:rsidR="00ED4B05">
        <w:t xml:space="preserve">calculation of the loss for which the Firm is liable.  </w:t>
      </w:r>
      <w:r w:rsidR="00B35B21">
        <w:t xml:space="preserve"> </w:t>
      </w:r>
      <w:r w:rsidR="006279F2">
        <w:t>The position might be otherwise i</w:t>
      </w:r>
      <w:r w:rsidR="00027D59">
        <w:t xml:space="preserve">f the Firm had been held liable for the </w:t>
      </w:r>
      <w:r w:rsidR="00D83844">
        <w:t xml:space="preserve">Claimants’ dismissal and the financial consequences of </w:t>
      </w:r>
      <w:r w:rsidR="00D24CB5">
        <w:t xml:space="preserve">that.  </w:t>
      </w:r>
      <w:r w:rsidR="00505808">
        <w:t xml:space="preserve">It might then be </w:t>
      </w:r>
      <w:r w:rsidR="009056AC">
        <w:t xml:space="preserve">appropriate </w:t>
      </w:r>
      <w:r w:rsidR="00267991">
        <w:t xml:space="preserve">to set against the damages </w:t>
      </w:r>
      <w:r w:rsidR="004668B9">
        <w:t xml:space="preserve">certain </w:t>
      </w:r>
      <w:r w:rsidR="009056AC">
        <w:t xml:space="preserve">credits </w:t>
      </w:r>
      <w:r w:rsidR="001B44D3">
        <w:t>in respect of the (</w:t>
      </w:r>
      <w:r w:rsidR="00FD56F1">
        <w:t>net</w:t>
      </w:r>
      <w:r w:rsidR="001B44D3">
        <w:t>)</w:t>
      </w:r>
      <w:r w:rsidR="00FD56F1">
        <w:t xml:space="preserve"> </w:t>
      </w:r>
      <w:r w:rsidR="00D37D45">
        <w:t xml:space="preserve">loss </w:t>
      </w:r>
      <w:r w:rsidR="001B44D3">
        <w:t xml:space="preserve">of </w:t>
      </w:r>
      <w:r w:rsidR="00D37D45">
        <w:t>their employment benefits and/or damages in lieu</w:t>
      </w:r>
      <w:r w:rsidR="001B44D3">
        <w:t xml:space="preserve"> of those benefits</w:t>
      </w:r>
      <w:r w:rsidR="00E178AF">
        <w:t>.</w:t>
      </w:r>
      <w:r w:rsidR="00CC3534">
        <w:t xml:space="preserve">  </w:t>
      </w:r>
    </w:p>
    <w:p w14:paraId="2088F791" w14:textId="77777777" w:rsidR="00D65AFF" w:rsidRDefault="009B3449" w:rsidP="00EF2FE7">
      <w:pPr>
        <w:pStyle w:val="ParaLevel1"/>
      </w:pPr>
      <w:r>
        <w:t xml:space="preserve">However, </w:t>
      </w:r>
      <w:r w:rsidR="00F327EE">
        <w:t xml:space="preserve">particularly </w:t>
      </w:r>
      <w:r>
        <w:t xml:space="preserve">when their damages </w:t>
      </w:r>
      <w:r w:rsidR="005D1C38">
        <w:t xml:space="preserve">are instead fixed by reference to the capital loss under Scenario </w:t>
      </w:r>
      <w:r w:rsidR="00385BD4">
        <w:t>2</w:t>
      </w:r>
      <w:r w:rsidR="006E37DD">
        <w:t xml:space="preserve"> and that is determined as at </w:t>
      </w:r>
      <w:r w:rsidR="00B2572D">
        <w:t xml:space="preserve">the First Valuation Date, </w:t>
      </w:r>
      <w:r w:rsidR="00982F1C">
        <w:t xml:space="preserve">it is not appropriate to </w:t>
      </w:r>
      <w:r w:rsidR="00CC43CB">
        <w:t xml:space="preserve">go further </w:t>
      </w:r>
      <w:r w:rsidR="00A63D38">
        <w:t xml:space="preserve">than comparing what </w:t>
      </w:r>
      <w:r w:rsidR="00135B04">
        <w:t xml:space="preserve">capital sum the Claimants received from </w:t>
      </w:r>
      <w:r w:rsidR="006B0BF8">
        <w:t>the Company with what capital sum they might have received from an alternative buyer.</w:t>
      </w:r>
      <w:r w:rsidR="00A41410">
        <w:t xml:space="preserve">  Comparing what the Claimants received from their employment with the Company </w:t>
      </w:r>
      <w:r w:rsidR="00E11A42">
        <w:t>and what they might have received through employment by an alternative buyer</w:t>
      </w:r>
      <w:r w:rsidR="00B532B5">
        <w:t>, over a certain period after the First Valuation Date,</w:t>
      </w:r>
      <w:r w:rsidR="00E11A42">
        <w:t xml:space="preserve"> </w:t>
      </w:r>
      <w:r w:rsidR="00E50E37">
        <w:t>involves</w:t>
      </w:r>
      <w:r w:rsidR="00E11A42">
        <w:t xml:space="preserve"> </w:t>
      </w:r>
      <w:r w:rsidR="00B532B5">
        <w:t>pure conjecture.</w:t>
      </w:r>
      <w:r w:rsidR="00F40C32">
        <w:t xml:space="preserve">  </w:t>
      </w:r>
      <w:r w:rsidR="00BE7DB4">
        <w:t xml:space="preserve">The expert evidence </w:t>
      </w:r>
      <w:r w:rsidR="001F5632">
        <w:t xml:space="preserve">was </w:t>
      </w:r>
      <w:r w:rsidR="00A83C2A">
        <w:t xml:space="preserve">not directed to a comparison </w:t>
      </w:r>
      <w:r w:rsidR="00195569">
        <w:t xml:space="preserve">between </w:t>
      </w:r>
      <w:r w:rsidR="003C4DE1">
        <w:t xml:space="preserve">the Claimants’ wider financial package </w:t>
      </w:r>
      <w:r w:rsidR="00E87E29">
        <w:t xml:space="preserve">under the Transaction </w:t>
      </w:r>
      <w:r w:rsidR="00195569">
        <w:t xml:space="preserve">and </w:t>
      </w:r>
      <w:r w:rsidR="00E0488A">
        <w:t>an</w:t>
      </w:r>
      <w:r w:rsidR="00195569">
        <w:t xml:space="preserve"> </w:t>
      </w:r>
      <w:r w:rsidR="00653F96">
        <w:t>alternative package they might have obtained elsewhere</w:t>
      </w:r>
      <w:r w:rsidR="003D1445">
        <w:t>;</w:t>
      </w:r>
      <w:r w:rsidR="00653F96">
        <w:t xml:space="preserve"> and (allowing for Mr Billingham’s observation that </w:t>
      </w:r>
      <w:r w:rsidR="00DE195A">
        <w:t xml:space="preserve">every pound of salary </w:t>
      </w:r>
      <w:r w:rsidR="008403EE">
        <w:t>would come at a multiplied cost for the purposes of any earnout</w:t>
      </w:r>
      <w:r w:rsidR="003F4C3D">
        <w:t>,</w:t>
      </w:r>
      <w:r w:rsidR="008403EE">
        <w:t xml:space="preserve"> fixed by </w:t>
      </w:r>
      <w:r w:rsidR="00BF0148">
        <w:t xml:space="preserve">reference </w:t>
      </w:r>
      <w:r w:rsidR="0008484C">
        <w:t xml:space="preserve">to </w:t>
      </w:r>
      <w:r w:rsidR="00BF0148">
        <w:t>EBITDA</w:t>
      </w:r>
      <w:r w:rsidR="003F4C3D">
        <w:t xml:space="preserve">, </w:t>
      </w:r>
      <w:r w:rsidR="00E85787">
        <w:t xml:space="preserve">under an alternative </w:t>
      </w:r>
      <w:r w:rsidR="003F4C3D" w:rsidRPr="003F4C3D">
        <w:t>transaction</w:t>
      </w:r>
      <w:r w:rsidR="00BF0148">
        <w:t>) neither was the factual evidence.</w:t>
      </w:r>
      <w:r w:rsidR="003F4DBB">
        <w:t xml:space="preserve"> </w:t>
      </w:r>
    </w:p>
    <w:p w14:paraId="15AF94F2" w14:textId="6DD8C835" w:rsidR="00385BD4" w:rsidRPr="00385BD4" w:rsidRDefault="00E7210F" w:rsidP="00EF2FE7">
      <w:pPr>
        <w:pStyle w:val="ParaLevel1"/>
      </w:pPr>
      <w:r>
        <w:t xml:space="preserve">Mr Billingham’s </w:t>
      </w:r>
      <w:r w:rsidR="00450FB2">
        <w:t xml:space="preserve">evidence about the impact </w:t>
      </w:r>
      <w:r w:rsidR="005B5E4D">
        <w:t xml:space="preserve">upon an EBITDA-based earnout </w:t>
      </w:r>
      <w:r w:rsidR="00450FB2">
        <w:t>of the Claimants drawing a higher salary</w:t>
      </w:r>
      <w:r w:rsidR="004F5432">
        <w:t xml:space="preserve"> under the alternative transaction under Scenario 2 </w:t>
      </w:r>
      <w:r w:rsidR="00D11E53">
        <w:t xml:space="preserve">illustrates the point as to what is and is not relevant in the calculation of the damages recoverable from the Firm.  </w:t>
      </w:r>
      <w:r w:rsidR="00DA328E">
        <w:t xml:space="preserve">The prospect of them drawing a lower salary than that </w:t>
      </w:r>
      <w:r w:rsidR="0076281F">
        <w:t xml:space="preserve">in fact </w:t>
      </w:r>
      <w:r w:rsidR="008511B3">
        <w:t>paid</w:t>
      </w:r>
      <w:r w:rsidR="00DA328E">
        <w:t xml:space="preserve"> by the Company</w:t>
      </w:r>
      <w:r w:rsidR="002B2B4C">
        <w:t>,</w:t>
      </w:r>
      <w:r w:rsidR="00DA328E">
        <w:t xml:space="preserve"> </w:t>
      </w:r>
      <w:r w:rsidR="00171B22">
        <w:t xml:space="preserve">in the interests of </w:t>
      </w:r>
      <w:r w:rsidR="00BA59A4">
        <w:t>getting a bigger earnout payment two years later</w:t>
      </w:r>
      <w:r w:rsidR="002B2B4C">
        <w:t xml:space="preserve">, is </w:t>
      </w:r>
      <w:r w:rsidR="00DC7673">
        <w:t>one</w:t>
      </w:r>
      <w:r w:rsidR="002B2B4C">
        <w:t xml:space="preserve"> aspect of </w:t>
      </w:r>
      <w:r w:rsidR="008511B3">
        <w:t>the task of evaluating the Claimant</w:t>
      </w:r>
      <w:r w:rsidR="00540E84">
        <w:t xml:space="preserve">s’ chances of finding an alternative buyer at £8m.  </w:t>
      </w:r>
      <w:r w:rsidR="00D15DB0">
        <w:t xml:space="preserve">However, in that process of evaluation, </w:t>
      </w:r>
      <w:r w:rsidR="002736A8">
        <w:t xml:space="preserve">I have made no assumption that </w:t>
      </w:r>
      <w:r w:rsidR="00494362">
        <w:t xml:space="preserve">the buyer would pay them a salary in a </w:t>
      </w:r>
      <w:r w:rsidR="000A1D54">
        <w:t>specific sum, or indeed that the buyer would employ them at all.</w:t>
      </w:r>
      <w:r w:rsidR="00C72958">
        <w:t xml:space="preserve"> </w:t>
      </w:r>
      <w:r w:rsidR="002F29DC">
        <w:t xml:space="preserve">I </w:t>
      </w:r>
      <w:r w:rsidR="007D6B49">
        <w:t xml:space="preserve">would </w:t>
      </w:r>
      <w:r w:rsidR="0006766C">
        <w:t xml:space="preserve">add </w:t>
      </w:r>
      <w:r w:rsidR="002F29DC">
        <w:t>that</w:t>
      </w:r>
      <w:r w:rsidR="00EC66AA">
        <w:t>, i</w:t>
      </w:r>
      <w:r w:rsidR="00385BD4" w:rsidRPr="00385BD4">
        <w:t xml:space="preserve">f I had </w:t>
      </w:r>
      <w:r w:rsidR="00385BD4">
        <w:t xml:space="preserve">instead </w:t>
      </w:r>
      <w:r w:rsidR="00385BD4" w:rsidRPr="00385BD4">
        <w:t xml:space="preserve">found the Firm </w:t>
      </w:r>
      <w:r w:rsidR="00385BD4">
        <w:t>l</w:t>
      </w:r>
      <w:r w:rsidR="00385BD4" w:rsidRPr="00385BD4">
        <w:t>iable under Scenario 1</w:t>
      </w:r>
      <w:r w:rsidR="00EC66AA">
        <w:t>,</w:t>
      </w:r>
      <w:r w:rsidR="00385BD4" w:rsidRPr="00385BD4">
        <w:t xml:space="preserve"> there would have been no comparison </w:t>
      </w:r>
      <w:r w:rsidR="00691197">
        <w:t xml:space="preserve">at all </w:t>
      </w:r>
      <w:r w:rsidR="00A42B76">
        <w:t>with the val</w:t>
      </w:r>
      <w:r w:rsidR="00500D03">
        <w:t xml:space="preserve">ue of </w:t>
      </w:r>
      <w:r w:rsidR="00D06130">
        <w:t xml:space="preserve">a </w:t>
      </w:r>
      <w:r w:rsidR="00057462">
        <w:t xml:space="preserve">hypothetical </w:t>
      </w:r>
      <w:r w:rsidR="00074383">
        <w:t xml:space="preserve">alternative </w:t>
      </w:r>
      <w:r w:rsidR="005275D4">
        <w:t>transaction</w:t>
      </w:r>
      <w:r w:rsidR="008604C9">
        <w:t xml:space="preserve">, </w:t>
      </w:r>
      <w:r w:rsidR="00C37FF3">
        <w:t>whether or n</w:t>
      </w:r>
      <w:r w:rsidR="008604C9">
        <w:t xml:space="preserve">ot involving </w:t>
      </w:r>
      <w:r w:rsidR="00C37FF3">
        <w:t>the Claimants</w:t>
      </w:r>
      <w:r w:rsidR="003D1445">
        <w:t xml:space="preserve"> in</w:t>
      </w:r>
      <w:r w:rsidR="00C37FF3">
        <w:t xml:space="preserve"> remunerated employment</w:t>
      </w:r>
      <w:r w:rsidR="008604C9">
        <w:t>,</w:t>
      </w:r>
      <w:r w:rsidR="005275D4">
        <w:t xml:space="preserve"> and</w:t>
      </w:r>
      <w:r w:rsidR="00D06130">
        <w:t xml:space="preserve"> the</w:t>
      </w:r>
      <w:r w:rsidR="00691197">
        <w:t xml:space="preserve">ir receipt of the salary </w:t>
      </w:r>
      <w:r w:rsidR="00C812B2">
        <w:t>and bonuses</w:t>
      </w:r>
      <w:r w:rsidR="00EC24D3">
        <w:t xml:space="preserve"> (</w:t>
      </w:r>
      <w:r w:rsidR="00464A07">
        <w:t>and damages for the wrongful, summary curtailment of their receipt</w:t>
      </w:r>
      <w:r w:rsidR="00EC24D3">
        <w:t>)</w:t>
      </w:r>
      <w:r w:rsidR="00D06130">
        <w:t xml:space="preserve"> </w:t>
      </w:r>
      <w:r w:rsidR="002703FD">
        <w:t>from the C</w:t>
      </w:r>
      <w:r w:rsidR="006E4BAE">
        <w:t xml:space="preserve">ompany </w:t>
      </w:r>
      <w:r w:rsidR="00EC24D3">
        <w:t xml:space="preserve">would have been a neutral </w:t>
      </w:r>
      <w:r w:rsidR="00790E36">
        <w:t>factor in quantifying the</w:t>
      </w:r>
      <w:r w:rsidR="006E4BAE">
        <w:t xml:space="preserve"> loss recoverable from the Firm</w:t>
      </w:r>
      <w:r w:rsidR="00FC589A">
        <w:t>.</w:t>
      </w:r>
    </w:p>
    <w:p w14:paraId="64EF1AF9" w14:textId="4241BC1F" w:rsidR="00C22C89" w:rsidRDefault="00F40C32" w:rsidP="00EF2FE7">
      <w:pPr>
        <w:pStyle w:val="ParaLevel1"/>
      </w:pPr>
      <w:r>
        <w:t xml:space="preserve">The only element of loss suffered </w:t>
      </w:r>
      <w:r w:rsidR="0084175A">
        <w:t xml:space="preserve">by the Claimants </w:t>
      </w:r>
      <w:r w:rsidR="007B0203">
        <w:t xml:space="preserve">beyond the capital loss determined as at </w:t>
      </w:r>
      <w:r w:rsidR="0084175A">
        <w:t xml:space="preserve">the First Valuation Date is that </w:t>
      </w:r>
      <w:r w:rsidR="00DF6C57">
        <w:t xml:space="preserve">in respect </w:t>
      </w:r>
      <w:r w:rsidR="0084175A">
        <w:t xml:space="preserve">of the legal costs of the Quantum Judgment.  </w:t>
      </w:r>
      <w:r w:rsidR="008C41FF">
        <w:t xml:space="preserve">I note </w:t>
      </w:r>
      <w:r w:rsidR="00FF13FE">
        <w:t xml:space="preserve">again </w:t>
      </w:r>
      <w:r w:rsidR="008C41FF">
        <w:t xml:space="preserve">that </w:t>
      </w:r>
      <w:r w:rsidR="00676227">
        <w:t xml:space="preserve">the Firm has not been held liable for the Leaver Litigation costs generally because the </w:t>
      </w:r>
      <w:r w:rsidR="00FF1A17">
        <w:t xml:space="preserve">duty nexus question </w:t>
      </w:r>
      <w:r w:rsidR="0020264C">
        <w:t xml:space="preserve">on those </w:t>
      </w:r>
      <w:r w:rsidR="00FF1A17">
        <w:t xml:space="preserve">has been answered in its favour.  </w:t>
      </w:r>
      <w:r w:rsidR="0084175A">
        <w:t xml:space="preserve"> </w:t>
      </w:r>
      <w:r w:rsidR="00112574">
        <w:t xml:space="preserve">If there is no </w:t>
      </w:r>
      <w:r w:rsidR="007813F8">
        <w:t>“</w:t>
      </w:r>
      <w:r w:rsidR="00112574">
        <w:t>duty nexus</w:t>
      </w:r>
      <w:r w:rsidR="007813F8">
        <w:t>”</w:t>
      </w:r>
      <w:r w:rsidR="00112574">
        <w:t xml:space="preserve"> between the Firm’s negligence and the </w:t>
      </w:r>
      <w:r w:rsidR="00B50B45">
        <w:t xml:space="preserve">financial consequences of the </w:t>
      </w:r>
      <w:r w:rsidR="00656D2C">
        <w:t xml:space="preserve">Claimants’ </w:t>
      </w:r>
      <w:r w:rsidR="00B50B45">
        <w:t>dismissal</w:t>
      </w:r>
      <w:r w:rsidR="003269CA">
        <w:t xml:space="preserve"> </w:t>
      </w:r>
      <w:r w:rsidR="005007A9">
        <w:t xml:space="preserve">from employment </w:t>
      </w:r>
      <w:r w:rsidR="003269CA">
        <w:t xml:space="preserve">then </w:t>
      </w:r>
      <w:r w:rsidR="0020264C">
        <w:t xml:space="preserve">in my judgment </w:t>
      </w:r>
      <w:r w:rsidR="00512DF0">
        <w:t>it is wrong</w:t>
      </w:r>
      <w:r w:rsidR="00DB4C0F">
        <w:t xml:space="preserve">, on the calculation of the damages for which the Firm is liable, </w:t>
      </w:r>
      <w:r w:rsidR="00512DF0">
        <w:t>to</w:t>
      </w:r>
      <w:r w:rsidR="00622BA1">
        <w:t xml:space="preserve"> </w:t>
      </w:r>
      <w:r w:rsidR="005007A9">
        <w:t xml:space="preserve">credit </w:t>
      </w:r>
      <w:r w:rsidR="00DB4C0F">
        <w:t>it</w:t>
      </w:r>
      <w:r w:rsidR="005007A9">
        <w:t xml:space="preserve"> with the value of items </w:t>
      </w:r>
      <w:r w:rsidR="00506BC9">
        <w:t xml:space="preserve">arising </w:t>
      </w:r>
      <w:r w:rsidR="001F6430">
        <w:t xml:space="preserve">in </w:t>
      </w:r>
      <w:r w:rsidR="00F00294">
        <w:t>the employment</w:t>
      </w:r>
      <w:r w:rsidR="001F6430">
        <w:t xml:space="preserve"> context </w:t>
      </w:r>
      <w:r w:rsidR="00012B09">
        <w:t xml:space="preserve">that </w:t>
      </w:r>
      <w:r w:rsidR="001F6430">
        <w:t>have</w:t>
      </w:r>
      <w:r w:rsidR="003A3B88">
        <w:t xml:space="preserve"> no nexus with </w:t>
      </w:r>
      <w:r w:rsidR="005007A9">
        <w:t xml:space="preserve">its </w:t>
      </w:r>
      <w:r w:rsidR="003A3B88">
        <w:t>breach of duty</w:t>
      </w:r>
      <w:r w:rsidR="000B5CE2">
        <w:t xml:space="preserve"> and the </w:t>
      </w:r>
      <w:r w:rsidR="00D936FA">
        <w:t xml:space="preserve">actual </w:t>
      </w:r>
      <w:r w:rsidR="000B5CE2">
        <w:t xml:space="preserve">loss </w:t>
      </w:r>
      <w:r w:rsidR="00A45D21">
        <w:t>which those damages reflect</w:t>
      </w:r>
      <w:r w:rsidR="003A3B88">
        <w:t>.</w:t>
      </w:r>
      <w:r w:rsidR="00B50B45">
        <w:t xml:space="preserve"> </w:t>
      </w:r>
      <w:r w:rsidR="00590057">
        <w:t xml:space="preserve">  </w:t>
      </w:r>
      <w:r w:rsidR="008D63FD">
        <w:t xml:space="preserve">They are </w:t>
      </w:r>
      <w:r w:rsidR="008D63FD" w:rsidRPr="004016CD">
        <w:rPr>
          <w:i/>
          <w:iCs/>
        </w:rPr>
        <w:t>res in</w:t>
      </w:r>
      <w:r w:rsidR="001F5D31" w:rsidRPr="004016CD">
        <w:rPr>
          <w:i/>
          <w:iCs/>
        </w:rPr>
        <w:t>ter alios acta</w:t>
      </w:r>
      <w:r w:rsidR="001F5D31">
        <w:t xml:space="preserve"> </w:t>
      </w:r>
      <w:r w:rsidR="004016CD">
        <w:t xml:space="preserve">and (at the </w:t>
      </w:r>
      <w:r w:rsidR="00063E9B">
        <w:t>danger</w:t>
      </w:r>
      <w:r w:rsidR="004016CD">
        <w:t xml:space="preserve"> of overlooking the </w:t>
      </w:r>
      <w:r w:rsidR="00012B09">
        <w:t xml:space="preserve">obvious point </w:t>
      </w:r>
      <w:r w:rsidR="004016CD">
        <w:t xml:space="preserve">that the Claimants had to earn their </w:t>
      </w:r>
      <w:r w:rsidR="005E37B7">
        <w:t>salary and any bonus</w:t>
      </w:r>
      <w:r w:rsidR="00DF3BD6">
        <w:t xml:space="preserve"> by </w:t>
      </w:r>
      <w:r w:rsidR="00EE75B1">
        <w:t>giving</w:t>
      </w:r>
      <w:r w:rsidR="00E94972">
        <w:t xml:space="preserve"> the Company their service, valued accordingly, in return</w:t>
      </w:r>
      <w:r w:rsidR="005E37B7">
        <w:t xml:space="preserve">) </w:t>
      </w:r>
      <w:r w:rsidR="000B41B4">
        <w:t xml:space="preserve">they </w:t>
      </w:r>
      <w:r w:rsidR="00303104">
        <w:t xml:space="preserve">are to be analysed as </w:t>
      </w:r>
      <w:r w:rsidR="00791527">
        <w:t>collateral benefits</w:t>
      </w:r>
      <w:r w:rsidR="00063E9B">
        <w:t>.  They are</w:t>
      </w:r>
      <w:r w:rsidR="00E66098">
        <w:t xml:space="preserve"> too remote from the </w:t>
      </w:r>
      <w:r w:rsidR="00360F51">
        <w:t xml:space="preserve">loss </w:t>
      </w:r>
      <w:r w:rsidR="00275C31">
        <w:t xml:space="preserve">which is recoverable from the Firm to be </w:t>
      </w:r>
      <w:r w:rsidR="008C6BF7">
        <w:t>brought into account.</w:t>
      </w:r>
      <w:r w:rsidR="005E37B7">
        <w:t xml:space="preserve"> </w:t>
      </w:r>
    </w:p>
    <w:p w14:paraId="5B6FDF46" w14:textId="4CD51FF8" w:rsidR="005F5E92" w:rsidRDefault="00F8412B" w:rsidP="00EF2FE7">
      <w:pPr>
        <w:pStyle w:val="ParaLevel1"/>
      </w:pPr>
      <w:r>
        <w:t xml:space="preserve">In my judgment, </w:t>
      </w:r>
      <w:r w:rsidR="00836C69">
        <w:t>th</w:t>
      </w:r>
      <w:r w:rsidR="0068199E">
        <w:t>at</w:t>
      </w:r>
      <w:r w:rsidR="00836C69">
        <w:t xml:space="preserve"> </w:t>
      </w:r>
      <w:r w:rsidR="008D019E">
        <w:t xml:space="preserve">point holds good notwithstanding that the Firm’s liability extends beyond the “capital” loss in respect of </w:t>
      </w:r>
      <w:r w:rsidR="004175C3">
        <w:t>their lost share value and includes the</w:t>
      </w:r>
      <w:r w:rsidR="00512AF2">
        <w:t xml:space="preserve">ir loss in the shape of the litigation costs </w:t>
      </w:r>
      <w:r w:rsidR="00F44A4E">
        <w:t xml:space="preserve">incurred in connection with </w:t>
      </w:r>
      <w:r w:rsidR="00512AF2">
        <w:t>the Quantum Judgment</w:t>
      </w:r>
      <w:r w:rsidR="00F44A4E">
        <w:t xml:space="preserve"> after the First Valuation Date</w:t>
      </w:r>
      <w:r w:rsidR="00512AF2">
        <w:t xml:space="preserve">.  </w:t>
      </w:r>
    </w:p>
    <w:p w14:paraId="341FC7E9" w14:textId="6E5640C0" w:rsidR="00F8412B" w:rsidRDefault="00583EF1" w:rsidP="00EF2FE7">
      <w:pPr>
        <w:pStyle w:val="ParaLevel1"/>
      </w:pPr>
      <w:r>
        <w:t xml:space="preserve">In his evidence, </w:t>
      </w:r>
      <w:r w:rsidR="00DA66FF">
        <w:t xml:space="preserve">on the topic of credits, </w:t>
      </w:r>
      <w:r>
        <w:t xml:space="preserve">Mr Richards explained how the sums payable </w:t>
      </w:r>
      <w:r w:rsidR="00DA66FF">
        <w:t xml:space="preserve">by the Company had been </w:t>
      </w:r>
      <w:r w:rsidR="001E3C6B">
        <w:t xml:space="preserve">remitted to Clyde &amp; Co and applied by them towards payment of the legal fees, as one might expect.  </w:t>
      </w:r>
      <w:r w:rsidR="007A13A8">
        <w:t xml:space="preserve">In paragraph 454 above I have referred to the agreement between the Claimants </w:t>
      </w:r>
      <w:r w:rsidR="00C6544C">
        <w:t xml:space="preserve">and the Company which also had the effect </w:t>
      </w:r>
      <w:r w:rsidR="00B93319">
        <w:t xml:space="preserve">of the Claimants receiving £400,000 towards the costs of the Liability Judgment.  </w:t>
      </w:r>
      <w:r w:rsidR="005A72BD">
        <w:t>On my assessment of the amount of the costs they incurred in relation to the Liability Judgment (</w:t>
      </w:r>
      <w:r w:rsidR="00F21944">
        <w:t xml:space="preserve">see paragraph 458 above) that would still have left them with a </w:t>
      </w:r>
      <w:r w:rsidR="00F24780">
        <w:t xml:space="preserve">shortfall </w:t>
      </w:r>
      <w:r w:rsidR="00A61AAE">
        <w:t xml:space="preserve">in their recovery of those costs </w:t>
      </w:r>
      <w:r w:rsidR="00F24780">
        <w:t>of around £80,000</w:t>
      </w:r>
      <w:r w:rsidR="00A61AAE">
        <w:t xml:space="preserve">. </w:t>
      </w:r>
      <w:r w:rsidR="00047A6D">
        <w:t xml:space="preserve">Even if I am wrong </w:t>
      </w:r>
      <w:r w:rsidR="00A972A9">
        <w:t xml:space="preserve">in my </w:t>
      </w:r>
      <w:r w:rsidR="00ED4BF7">
        <w:t xml:space="preserve">general </w:t>
      </w:r>
      <w:r w:rsidR="00287E17">
        <w:t xml:space="preserve">conclusion that </w:t>
      </w:r>
      <w:r w:rsidR="002D1CC3">
        <w:t xml:space="preserve">the employment </w:t>
      </w:r>
      <w:r w:rsidR="00882235">
        <w:t xml:space="preserve">related benefits </w:t>
      </w:r>
      <w:r w:rsidR="00287E17">
        <w:t xml:space="preserve">are </w:t>
      </w:r>
      <w:r w:rsidR="00882235">
        <w:t xml:space="preserve">collateral to the quantification of </w:t>
      </w:r>
      <w:r w:rsidR="00635119">
        <w:t xml:space="preserve">the </w:t>
      </w:r>
      <w:r w:rsidR="00882235">
        <w:t>damages</w:t>
      </w:r>
      <w:r w:rsidR="00635119">
        <w:t xml:space="preserve"> payable by the Firm in respect of the litigation costs</w:t>
      </w:r>
      <w:r w:rsidR="00882235">
        <w:t xml:space="preserve">, </w:t>
      </w:r>
      <w:r w:rsidR="00BA0E40">
        <w:t xml:space="preserve">the </w:t>
      </w:r>
      <w:r w:rsidR="00E16EFF">
        <w:t xml:space="preserve">point </w:t>
      </w:r>
      <w:r w:rsidR="00E04C53">
        <w:t xml:space="preserve">about the </w:t>
      </w:r>
      <w:r w:rsidR="00C31198">
        <w:t xml:space="preserve">“duty nexus” </w:t>
      </w:r>
      <w:r w:rsidR="00E04C53">
        <w:t xml:space="preserve">mismatch between the </w:t>
      </w:r>
      <w:r w:rsidR="00E63ED0">
        <w:t xml:space="preserve">Firm </w:t>
      </w:r>
      <w:r w:rsidR="002874FF">
        <w:t xml:space="preserve">not being held liable </w:t>
      </w:r>
      <w:r w:rsidR="002615EF">
        <w:t xml:space="preserve">in respect of the costs of the Liability Judgment but </w:t>
      </w:r>
      <w:r w:rsidR="00C64501">
        <w:t xml:space="preserve">yet being able to claim </w:t>
      </w:r>
      <w:r w:rsidR="00D50780">
        <w:t xml:space="preserve">credit for sums which </w:t>
      </w:r>
      <w:r w:rsidR="00C64501">
        <w:t xml:space="preserve">went in payment of those costs would </w:t>
      </w:r>
      <w:r w:rsidR="00613BB2">
        <w:t>appear to hold good at least to the extent of that £80,000.</w:t>
      </w:r>
      <w:r w:rsidR="00ED4BF7">
        <w:t xml:space="preserve"> </w:t>
      </w:r>
      <w:r w:rsidR="00A61AAE">
        <w:t xml:space="preserve"> </w:t>
      </w:r>
      <w:r w:rsidR="00F24780">
        <w:t xml:space="preserve"> </w:t>
      </w:r>
    </w:p>
    <w:p w14:paraId="41E4740F" w14:textId="5ACF442C" w:rsidR="00076C22" w:rsidRDefault="00C94422" w:rsidP="00EF2FE7">
      <w:pPr>
        <w:pStyle w:val="ParaLevel1"/>
      </w:pPr>
      <w:r>
        <w:t xml:space="preserve">The Firm also referred to Mr Taylor’s </w:t>
      </w:r>
      <w:r w:rsidR="00F540BB">
        <w:t>Report where, in addition to the cash consideration</w:t>
      </w:r>
      <w:r w:rsidR="006C2C28">
        <w:t xml:space="preserve"> received under the Transaction, he identified two further elements of </w:t>
      </w:r>
      <w:r w:rsidR="00BC488E">
        <w:t>“</w:t>
      </w:r>
      <w:r w:rsidR="00BC488E" w:rsidRPr="00056F2A">
        <w:rPr>
          <w:i/>
          <w:iCs/>
        </w:rPr>
        <w:t>further consideration potentially paid</w:t>
      </w:r>
      <w:r w:rsidR="00056F2A" w:rsidRPr="00056F2A">
        <w:rPr>
          <w:i/>
          <w:iCs/>
        </w:rPr>
        <w:t xml:space="preserve"> to the Claimants</w:t>
      </w:r>
      <w:r w:rsidR="00056F2A">
        <w:t xml:space="preserve">.” These were the sum of £85,900 retained </w:t>
      </w:r>
      <w:r w:rsidR="007C6F6F">
        <w:t xml:space="preserve">at completion and the Claimants’ pro rata share of </w:t>
      </w:r>
      <w:r w:rsidR="00AD242E">
        <w:t>£90,763 deferred consideration which appears to have been payable upon the crystallisation of certain tax assets.  This was not explored further in the evidence and in the absence of any evidence that the sums (of some part of them) were received by the Claimants it is not appropriate to reduce t</w:t>
      </w:r>
      <w:r w:rsidR="00807BC0">
        <w:t>he Claimants’ damages by reference to these amounts.</w:t>
      </w:r>
    </w:p>
    <w:p w14:paraId="5C77260C" w14:textId="76EADB38" w:rsidR="00C46B8E" w:rsidRDefault="00C46B8E" w:rsidP="00EF2FE7">
      <w:pPr>
        <w:pStyle w:val="ParaLevel1"/>
      </w:pPr>
      <w:r>
        <w:t xml:space="preserve">Accordingly, I am not persuaded that the Claimants’ damages should be reduced below </w:t>
      </w:r>
      <w:r w:rsidR="006B7ADE">
        <w:t>£1.454m.</w:t>
      </w:r>
    </w:p>
    <w:p w14:paraId="541B2551" w14:textId="77777777" w:rsidR="00685354" w:rsidRDefault="00685354" w:rsidP="00EF2FE7">
      <w:pPr>
        <w:pStyle w:val="ParaLevel1"/>
        <w:numPr>
          <w:ilvl w:val="0"/>
          <w:numId w:val="0"/>
        </w:numPr>
      </w:pPr>
    </w:p>
    <w:p w14:paraId="4E0E1D9D" w14:textId="077EE610" w:rsidR="00907A64" w:rsidRPr="00685354" w:rsidRDefault="00105AFA" w:rsidP="00EF2FE7">
      <w:pPr>
        <w:pStyle w:val="ParaLevel1"/>
        <w:numPr>
          <w:ilvl w:val="0"/>
          <w:numId w:val="0"/>
        </w:numPr>
        <w:rPr>
          <w:b/>
          <w:bCs/>
          <w:u w:val="single"/>
        </w:rPr>
      </w:pPr>
      <w:r>
        <w:rPr>
          <w:b/>
          <w:bCs/>
          <w:u w:val="single"/>
        </w:rPr>
        <w:t>N.</w:t>
      </w:r>
      <w:r>
        <w:rPr>
          <w:b/>
          <w:bCs/>
          <w:u w:val="single"/>
        </w:rPr>
        <w:tab/>
      </w:r>
      <w:r w:rsidR="00685354" w:rsidRPr="00685354">
        <w:rPr>
          <w:b/>
          <w:bCs/>
          <w:u w:val="single"/>
        </w:rPr>
        <w:t xml:space="preserve">CONTRIBUTORY </w:t>
      </w:r>
      <w:r w:rsidR="00F30B07">
        <w:rPr>
          <w:b/>
          <w:bCs/>
          <w:u w:val="single"/>
        </w:rPr>
        <w:t>FAULT</w:t>
      </w:r>
      <w:r w:rsidR="00685354" w:rsidRPr="00685354">
        <w:rPr>
          <w:b/>
          <w:bCs/>
          <w:u w:val="single"/>
        </w:rPr>
        <w:t xml:space="preserve"> </w:t>
      </w:r>
    </w:p>
    <w:p w14:paraId="35B57632" w14:textId="5CE9E502" w:rsidR="008F0DCF" w:rsidRDefault="008F0DCF" w:rsidP="00EF2FE7">
      <w:pPr>
        <w:pStyle w:val="ParaLevel1"/>
      </w:pPr>
      <w:r>
        <w:t xml:space="preserve">I have addressed the concept of “fault” for the purposes of </w:t>
      </w:r>
      <w:r w:rsidR="00033C08">
        <w:t>the Law Reform (Contributory Negligence) Act 1945 in Section H above.</w:t>
      </w:r>
    </w:p>
    <w:p w14:paraId="73CB2FCB" w14:textId="282F329D" w:rsidR="00685354" w:rsidRDefault="0025380E" w:rsidP="00EF2FE7">
      <w:pPr>
        <w:pStyle w:val="ParaLevel1"/>
      </w:pPr>
      <w:r>
        <w:t>The Firm argue</w:t>
      </w:r>
      <w:r w:rsidR="00673880">
        <w:t xml:space="preserve">d that any damages payable to the Claimants ought to be reduced on account of their contributory fault and failure to mitigate.  Two matters were relied </w:t>
      </w:r>
      <w:r w:rsidR="009E42BA">
        <w:t>upon:</w:t>
      </w:r>
    </w:p>
    <w:p w14:paraId="2492BC02" w14:textId="7498BE9A" w:rsidR="008A15BE" w:rsidRDefault="003B6FB4" w:rsidP="00EF2FE7">
      <w:pPr>
        <w:pStyle w:val="ParaLevel2"/>
      </w:pPr>
      <w:r>
        <w:t xml:space="preserve">the Claimants being at fault </w:t>
      </w:r>
      <w:r w:rsidR="00543C30" w:rsidRPr="00543C30">
        <w:t>in taking and retaining the bonuses that led to their summary dismissal</w:t>
      </w:r>
      <w:r w:rsidR="00543C30">
        <w:t xml:space="preserve"> by the Company</w:t>
      </w:r>
      <w:r>
        <w:t>; and</w:t>
      </w:r>
    </w:p>
    <w:p w14:paraId="11727313" w14:textId="1B6E5924" w:rsidR="003B6FB4" w:rsidRDefault="003B6FB4" w:rsidP="00EF2FE7">
      <w:pPr>
        <w:pStyle w:val="ParaLevel2"/>
      </w:pPr>
      <w:r>
        <w:t xml:space="preserve">the Claimants </w:t>
      </w:r>
      <w:r w:rsidR="00FD5E4D">
        <w:t xml:space="preserve">being at fault </w:t>
      </w:r>
      <w:r w:rsidR="00FD5E4D" w:rsidRPr="00FD5E4D">
        <w:t xml:space="preserve">in not advancing the proper construction of </w:t>
      </w:r>
      <w:r w:rsidR="003D4A22">
        <w:t>a</w:t>
      </w:r>
      <w:r w:rsidR="00FD5E4D" w:rsidRPr="00FD5E4D">
        <w:t>rticle 13.3 before May J</w:t>
      </w:r>
      <w:r w:rsidR="00FD5E4D">
        <w:t>.</w:t>
      </w:r>
    </w:p>
    <w:p w14:paraId="6C39AA43" w14:textId="7718533C" w:rsidR="0034201C" w:rsidRDefault="003C3DF5" w:rsidP="00EF2FE7">
      <w:pPr>
        <w:pStyle w:val="ParaLevel1"/>
      </w:pPr>
      <w:r>
        <w:t xml:space="preserve">Although the </w:t>
      </w:r>
      <w:r w:rsidR="00C52DA1">
        <w:t xml:space="preserve">Firm </w:t>
      </w:r>
      <w:r w:rsidR="00FC3D3B">
        <w:t xml:space="preserve">relied upon the Claimants’ alleged breaches of duty to the Company in relation to the first matter, the Defence was pleaded more loosely.  </w:t>
      </w:r>
      <w:r w:rsidR="007225AF">
        <w:t xml:space="preserve">Under a heading “Particulars of Negligence” , </w:t>
      </w:r>
      <w:r w:rsidR="00352463">
        <w:t>it</w:t>
      </w:r>
      <w:r w:rsidR="00FC3D3B">
        <w:t xml:space="preserve"> referred to </w:t>
      </w:r>
      <w:r w:rsidR="00352463">
        <w:t>their failure “</w:t>
      </w:r>
      <w:r w:rsidR="007225AF" w:rsidRPr="00352463">
        <w:rPr>
          <w:i/>
          <w:iCs/>
        </w:rPr>
        <w:t>to behave reasonably in respect of their bonus entitlement and / or managing to alienate</w:t>
      </w:r>
      <w:r w:rsidR="00352463" w:rsidRPr="00352463">
        <w:rPr>
          <w:i/>
          <w:iCs/>
        </w:rPr>
        <w:t xml:space="preserve"> </w:t>
      </w:r>
      <w:r w:rsidR="007225AF" w:rsidRPr="00352463">
        <w:rPr>
          <w:i/>
          <w:iCs/>
        </w:rPr>
        <w:t>the other directors of the Company so as to lose the confidence of Livingbridge and the nonexecutive</w:t>
      </w:r>
      <w:r w:rsidR="00352463" w:rsidRPr="00352463">
        <w:rPr>
          <w:i/>
          <w:iCs/>
        </w:rPr>
        <w:t xml:space="preserve"> </w:t>
      </w:r>
      <w:r w:rsidR="007225AF" w:rsidRPr="00352463">
        <w:rPr>
          <w:i/>
          <w:iCs/>
        </w:rPr>
        <w:t>Chairman (albeit that their summary dismissal was wrongful)</w:t>
      </w:r>
      <w:r w:rsidR="00352463">
        <w:t>”</w:t>
      </w:r>
      <w:r w:rsidR="007225AF">
        <w:t>.</w:t>
      </w:r>
    </w:p>
    <w:p w14:paraId="5DFCE608" w14:textId="77777777" w:rsidR="001C37D6" w:rsidRDefault="004F67BA" w:rsidP="00EF2FE7">
      <w:pPr>
        <w:pStyle w:val="ParaLevel1"/>
      </w:pPr>
      <w:r>
        <w:t xml:space="preserve">Mr Tozzi QC and Mr Wright were </w:t>
      </w:r>
      <w:r w:rsidR="00547561">
        <w:t xml:space="preserve">not specific in their </w:t>
      </w:r>
      <w:r w:rsidR="00AD4516">
        <w:t>opening subm</w:t>
      </w:r>
      <w:r w:rsidR="00AC4E1D">
        <w:t>i</w:t>
      </w:r>
      <w:r w:rsidR="00AD4516">
        <w:t xml:space="preserve">ssions as to which </w:t>
      </w:r>
      <w:r w:rsidR="00AC4E1D">
        <w:t xml:space="preserve">statutory duties </w:t>
      </w:r>
      <w:r w:rsidR="00DE62E4">
        <w:t xml:space="preserve">in respect of which </w:t>
      </w:r>
      <w:r w:rsidR="00AC4E1D">
        <w:t>the Claimants were “</w:t>
      </w:r>
      <w:r w:rsidR="00AC4E1D" w:rsidRPr="00AC4E1D">
        <w:rPr>
          <w:i/>
          <w:iCs/>
        </w:rPr>
        <w:t>inescapably</w:t>
      </w:r>
      <w:r w:rsidR="00AC4E1D">
        <w:t xml:space="preserve">” in breach </w:t>
      </w:r>
      <w:r w:rsidR="00DE62E4">
        <w:t xml:space="preserve">by reason of the those matters.  However, I recognise that </w:t>
      </w:r>
      <w:r w:rsidR="00886AF7">
        <w:t xml:space="preserve">the general duties owed by </w:t>
      </w:r>
      <w:r w:rsidR="00E0193B">
        <w:t xml:space="preserve">each of </w:t>
      </w:r>
      <w:r w:rsidR="00886AF7">
        <w:t xml:space="preserve">them as </w:t>
      </w:r>
      <w:r w:rsidR="00E0193B">
        <w:t xml:space="preserve">a </w:t>
      </w:r>
      <w:r w:rsidR="00886AF7">
        <w:t xml:space="preserve">director of the Company under </w:t>
      </w:r>
      <w:r w:rsidR="000A041B">
        <w:t xml:space="preserve">Part 10 (Chapter 2) of the Companies Act 2006 </w:t>
      </w:r>
      <w:r w:rsidR="000E5A02">
        <w:t xml:space="preserve">included the duty to </w:t>
      </w:r>
      <w:r w:rsidR="00E0193B">
        <w:t xml:space="preserve">act in a way </w:t>
      </w:r>
      <w:r w:rsidR="00DB1CD4">
        <w:t>that he considered in good faith to be</w:t>
      </w:r>
      <w:r w:rsidR="008661CE">
        <w:t xml:space="preserve"> most likely to promote the success of the Company (section 172)</w:t>
      </w:r>
      <w:r w:rsidR="006A310C">
        <w:t xml:space="preserve">, the duty to exercise reasonable care, skill and diligence (section 174), and the </w:t>
      </w:r>
      <w:r w:rsidR="001C37D6">
        <w:t>duty to avoid a situation in which he had or could have a direct or indirect actual or potential conflict of interest with the Company (section 175).</w:t>
      </w:r>
    </w:p>
    <w:p w14:paraId="7B3E2093" w14:textId="6AEE026D" w:rsidR="00352463" w:rsidRDefault="00335018" w:rsidP="00EF2FE7">
      <w:pPr>
        <w:pStyle w:val="ParaLevel1"/>
      </w:pPr>
      <w:r>
        <w:t xml:space="preserve">The Company’s Amended Defence and Counterclaim in the Leaver Litigation had pleaded what it described as the “no conflict” and the “no profit” rules </w:t>
      </w:r>
      <w:r w:rsidR="001C24CC">
        <w:t>“</w:t>
      </w:r>
      <w:r w:rsidRPr="001C24CC">
        <w:rPr>
          <w:i/>
          <w:iCs/>
        </w:rPr>
        <w:t>as codified in section 175 of the 2006 Act</w:t>
      </w:r>
      <w:r w:rsidR="001C24CC">
        <w:t>”</w:t>
      </w:r>
      <w:r w:rsidR="00DB1CD4">
        <w:t xml:space="preserve"> </w:t>
      </w:r>
      <w:r w:rsidR="001C24CC">
        <w:t xml:space="preserve">(though I think the latter </w:t>
      </w:r>
      <w:r w:rsidR="00684037">
        <w:t xml:space="preserve">more </w:t>
      </w:r>
      <w:r w:rsidR="00DD40EA">
        <w:t xml:space="preserve">so </w:t>
      </w:r>
      <w:r w:rsidR="00684037">
        <w:t xml:space="preserve">by section 177 in terms of what </w:t>
      </w:r>
      <w:r w:rsidR="00351015">
        <w:t xml:space="preserve">is required to avoid </w:t>
      </w:r>
      <w:r w:rsidR="00EE126C">
        <w:t>the director being held accountable</w:t>
      </w:r>
      <w:r w:rsidR="00DD40EA">
        <w:t xml:space="preserve"> for the profit</w:t>
      </w:r>
      <w:r w:rsidR="00351015">
        <w:t>).</w:t>
      </w:r>
      <w:r w:rsidR="00123474">
        <w:t xml:space="preserve">  Breach of that duty was alleged by the Company</w:t>
      </w:r>
      <w:r w:rsidR="007A67E0">
        <w:t xml:space="preserve"> </w:t>
      </w:r>
      <w:r w:rsidR="00592800">
        <w:t xml:space="preserve">and relied upon not only in support of its counterclaim for a declaration that the Claimants were Bad Leavers but also </w:t>
      </w:r>
      <w:r w:rsidR="00216912">
        <w:t>for repayment of the bonuses received and other expenses charged to the Company.</w:t>
      </w:r>
    </w:p>
    <w:p w14:paraId="4ACF96AC" w14:textId="22DC74B1" w:rsidR="0047723C" w:rsidRDefault="00F74CC5" w:rsidP="00EF2FE7">
      <w:pPr>
        <w:pStyle w:val="ParaLevel1"/>
      </w:pPr>
      <w:r>
        <w:t xml:space="preserve">In the Liability Judgment, May J </w:t>
      </w:r>
      <w:r w:rsidR="006F09E6">
        <w:t xml:space="preserve">found, in relation to the bonus, that the </w:t>
      </w:r>
      <w:r w:rsidR="00A921DE">
        <w:t>Claimants had “</w:t>
      </w:r>
      <w:r w:rsidR="0047723C" w:rsidRPr="002542DC">
        <w:rPr>
          <w:i/>
          <w:iCs/>
        </w:rPr>
        <w:t>obtained, albeit unwittingly, Company funds which they were not eligible to take, a</w:t>
      </w:r>
      <w:r w:rsidR="00A921DE" w:rsidRPr="002542DC">
        <w:rPr>
          <w:i/>
          <w:iCs/>
        </w:rPr>
        <w:t xml:space="preserve"> </w:t>
      </w:r>
      <w:r w:rsidR="0047723C" w:rsidRPr="002542DC">
        <w:rPr>
          <w:i/>
          <w:iCs/>
        </w:rPr>
        <w:t>state of affairs which rendered them in strict breach of their duties as directors of the</w:t>
      </w:r>
      <w:r w:rsidR="00A921DE" w:rsidRPr="002542DC">
        <w:rPr>
          <w:i/>
          <w:iCs/>
        </w:rPr>
        <w:t xml:space="preserve"> </w:t>
      </w:r>
      <w:r w:rsidR="0047723C" w:rsidRPr="002542DC">
        <w:rPr>
          <w:i/>
          <w:iCs/>
        </w:rPr>
        <w:t>Company and giving rise to an obligation as directors to account</w:t>
      </w:r>
      <w:r w:rsidR="0047723C">
        <w:t>.</w:t>
      </w:r>
      <w:r w:rsidR="00A921DE">
        <w:t>”</w:t>
      </w:r>
      <w:r w:rsidR="004B207E">
        <w:t xml:space="preserve">  </w:t>
      </w:r>
      <w:r w:rsidR="000D3C02">
        <w:t xml:space="preserve">Similarly, </w:t>
      </w:r>
      <w:r w:rsidR="00360DD3">
        <w:t xml:space="preserve">in relation to the expenses, </w:t>
      </w:r>
      <w:r w:rsidR="00AC74F3">
        <w:t>“</w:t>
      </w:r>
      <w:r w:rsidR="000D3C02" w:rsidRPr="002542DC">
        <w:rPr>
          <w:i/>
          <w:iCs/>
        </w:rPr>
        <w:t>in respect of which further</w:t>
      </w:r>
      <w:r w:rsidR="00AC74F3" w:rsidRPr="002542DC">
        <w:rPr>
          <w:i/>
          <w:iCs/>
        </w:rPr>
        <w:t xml:space="preserve"> </w:t>
      </w:r>
      <w:r w:rsidR="000D3C02" w:rsidRPr="002542DC">
        <w:rPr>
          <w:i/>
          <w:iCs/>
        </w:rPr>
        <w:t xml:space="preserve">examination demonstrated that they were not entitled, </w:t>
      </w:r>
      <w:r w:rsidR="00AC74F3" w:rsidRPr="002542DC">
        <w:rPr>
          <w:i/>
          <w:iCs/>
        </w:rPr>
        <w:t xml:space="preserve">[they] </w:t>
      </w:r>
      <w:r w:rsidR="000D3C02" w:rsidRPr="002542DC">
        <w:rPr>
          <w:i/>
          <w:iCs/>
        </w:rPr>
        <w:t>were technically in breach of</w:t>
      </w:r>
      <w:r w:rsidR="00AC74F3" w:rsidRPr="002542DC">
        <w:rPr>
          <w:i/>
          <w:iCs/>
        </w:rPr>
        <w:t xml:space="preserve"> </w:t>
      </w:r>
      <w:r w:rsidR="000D3C02" w:rsidRPr="002542DC">
        <w:rPr>
          <w:i/>
          <w:iCs/>
        </w:rPr>
        <w:t>the duty to account</w:t>
      </w:r>
      <w:r w:rsidR="00AC74F3">
        <w:t>.”</w:t>
      </w:r>
      <w:r w:rsidR="000D3C02">
        <w:t xml:space="preserve"> The judge </w:t>
      </w:r>
      <w:r w:rsidR="004B207E">
        <w:t xml:space="preserve">rejected </w:t>
      </w:r>
      <w:r w:rsidR="00905AB4">
        <w:t xml:space="preserve">the </w:t>
      </w:r>
      <w:r w:rsidR="00284928">
        <w:t>other allegation levelled against the Claimants</w:t>
      </w:r>
      <w:r w:rsidR="000D3C02">
        <w:t xml:space="preserve">: </w:t>
      </w:r>
      <w:r w:rsidR="00A2395E">
        <w:t>that they had made threats against the interests of the Company</w:t>
      </w:r>
      <w:r w:rsidR="000D3C02">
        <w:t>.</w:t>
      </w:r>
    </w:p>
    <w:p w14:paraId="7E75638B" w14:textId="7583F6E7" w:rsidR="00C8328E" w:rsidRDefault="00C8328E" w:rsidP="00EF2FE7">
      <w:pPr>
        <w:pStyle w:val="ParaLevel1"/>
      </w:pPr>
      <w:r>
        <w:t>However, for the purposes of analysing the Firm’s pleaded case on contributory fault</w:t>
      </w:r>
      <w:r w:rsidR="003B38AA">
        <w:t xml:space="preserve">, it is necessary to go further </w:t>
      </w:r>
      <w:r w:rsidR="000A02AF">
        <w:t xml:space="preserve">than recognising that </w:t>
      </w:r>
      <w:r w:rsidR="00564B4C">
        <w:t xml:space="preserve">“strict” or “technical” breaches of </w:t>
      </w:r>
      <w:r w:rsidR="00F00736">
        <w:t xml:space="preserve">duty had been established against them.  May J considered </w:t>
      </w:r>
      <w:r w:rsidR="00314DF5">
        <w:t xml:space="preserve">those breaches, </w:t>
      </w:r>
      <w:r w:rsidR="004E67BC">
        <w:t xml:space="preserve">both </w:t>
      </w:r>
      <w:r w:rsidR="00314DF5">
        <w:t xml:space="preserve">separately and </w:t>
      </w:r>
      <w:r w:rsidR="004E67BC">
        <w:t>together</w:t>
      </w:r>
      <w:r w:rsidR="00314DF5">
        <w:t xml:space="preserve">, for the purpose of deciding whether </w:t>
      </w:r>
      <w:r w:rsidR="00E36239">
        <w:t xml:space="preserve">they constituted a </w:t>
      </w:r>
      <w:r w:rsidR="004E67BC" w:rsidRPr="00C9782B">
        <w:t>material</w:t>
      </w:r>
      <w:r w:rsidR="004E67BC">
        <w:t xml:space="preserve"> breach </w:t>
      </w:r>
      <w:r w:rsidR="00C9782B">
        <w:t>of the director</w:t>
      </w:r>
      <w:r w:rsidR="004E67BC">
        <w:t>s’ duties</w:t>
      </w:r>
      <w:r w:rsidR="00C9782B">
        <w:t>, j</w:t>
      </w:r>
      <w:r w:rsidR="004E67BC">
        <w:t>ustifying summary dismissal</w:t>
      </w:r>
      <w:r w:rsidR="00C9782B">
        <w:t xml:space="preserve">, or gross misconduct within the meaning of their Service Agreements. </w:t>
      </w:r>
      <w:r w:rsidR="00B6161C">
        <w:t>S</w:t>
      </w:r>
      <w:r w:rsidR="00F6325B">
        <w:t>he concluded</w:t>
      </w:r>
      <w:r w:rsidR="00B6161C">
        <w:t xml:space="preserve"> they did not.  </w:t>
      </w:r>
      <w:r w:rsidR="006F5F55">
        <w:t xml:space="preserve">She </w:t>
      </w:r>
      <w:r w:rsidR="00A83B33">
        <w:t>said:</w:t>
      </w:r>
    </w:p>
    <w:p w14:paraId="62A3E245" w14:textId="01152B20" w:rsidR="00A83B33" w:rsidRDefault="00A83B33" w:rsidP="00EF2FE7">
      <w:pPr>
        <w:pStyle w:val="ParaLevel2"/>
        <w:numPr>
          <w:ilvl w:val="0"/>
          <w:numId w:val="0"/>
        </w:numPr>
        <w:ind w:left="1418"/>
      </w:pPr>
      <w:r>
        <w:t>“</w:t>
      </w:r>
      <w:r w:rsidRPr="00A83B33">
        <w:rPr>
          <w:i/>
          <w:iCs/>
        </w:rPr>
        <w:t>For the avoidance of any doubt I make it clear that in my view, even taking all matters together, there was insufficient to justify summary dismissal, whether under clause 14 of the service agreement or at common law.”</w:t>
      </w:r>
    </w:p>
    <w:p w14:paraId="6DC815E8" w14:textId="73179EAB" w:rsidR="00630020" w:rsidRDefault="00630020" w:rsidP="00EF2FE7">
      <w:pPr>
        <w:pStyle w:val="ParaLevel1"/>
      </w:pPr>
      <w:r>
        <w:t>The conclusion in the Liability Judgment was therefore that the Claimants</w:t>
      </w:r>
      <w:r w:rsidR="004310F6">
        <w:t xml:space="preserve"> </w:t>
      </w:r>
      <w:r w:rsidR="002E518F">
        <w:t>were entitled to a declaration that they were wrongfully dismissed from their employment.</w:t>
      </w:r>
    </w:p>
    <w:p w14:paraId="2AB62910" w14:textId="754243F3" w:rsidR="002E518F" w:rsidRPr="00F3403C" w:rsidRDefault="002E518F" w:rsidP="00EF2FE7">
      <w:pPr>
        <w:pStyle w:val="ParaLevel1"/>
        <w:rPr>
          <w:i/>
          <w:iCs/>
        </w:rPr>
      </w:pPr>
      <w:r>
        <w:t>Yet the</w:t>
      </w:r>
      <w:r w:rsidR="00E21A55">
        <w:t xml:space="preserve"> Firm’s Defence </w:t>
      </w:r>
      <w:r w:rsidR="00345882">
        <w:t xml:space="preserve">invites me to conclude that the Claimants were at fault in bringing about the termination of their employment </w:t>
      </w:r>
      <w:r w:rsidR="00F3403C" w:rsidRPr="00F3403C">
        <w:rPr>
          <w:i/>
          <w:iCs/>
        </w:rPr>
        <w:t>“</w:t>
      </w:r>
      <w:r w:rsidR="00345882" w:rsidRPr="00F3403C">
        <w:rPr>
          <w:i/>
          <w:iCs/>
        </w:rPr>
        <w:t>(</w:t>
      </w:r>
      <w:r w:rsidR="00B92982" w:rsidRPr="00F3403C">
        <w:rPr>
          <w:i/>
          <w:iCs/>
        </w:rPr>
        <w:t>albeit that their summary dismissal was wrongful)</w:t>
      </w:r>
      <w:r w:rsidR="00F3403C" w:rsidRPr="00F3403C">
        <w:rPr>
          <w:i/>
          <w:iCs/>
        </w:rPr>
        <w:t>”</w:t>
      </w:r>
      <w:r w:rsidR="00F3403C">
        <w:t xml:space="preserve">.  </w:t>
      </w:r>
      <w:r w:rsidR="008473BA">
        <w:t xml:space="preserve">Mr Leiper QC described this as an ambitious argument given the findings of May J.  </w:t>
      </w:r>
      <w:r w:rsidR="00A76AF4">
        <w:t xml:space="preserve">I agree.  </w:t>
      </w:r>
      <w:r w:rsidR="005B3171">
        <w:t xml:space="preserve">It is tantamount to </w:t>
      </w:r>
      <w:r w:rsidR="00243A60">
        <w:t xml:space="preserve">inviting me to second guess the outcome of the Liability Judgment </w:t>
      </w:r>
      <w:r w:rsidR="00FB181D">
        <w:t xml:space="preserve">in the absence of the Company when, as I established with Mr Tozzi QC </w:t>
      </w:r>
      <w:r w:rsidR="004728E0">
        <w:t xml:space="preserve">on the first day of the trial, there was no question of </w:t>
      </w:r>
      <w:r w:rsidR="00A00A91">
        <w:t xml:space="preserve">the circumstances of the Claimants’ dismissal </w:t>
      </w:r>
      <w:r w:rsidR="00014718" w:rsidRPr="00014718">
        <w:t>(a</w:t>
      </w:r>
      <w:r w:rsidR="00014718">
        <w:t xml:space="preserve">s opposed to the finding in </w:t>
      </w:r>
      <w:r w:rsidR="00014718" w:rsidRPr="00014718">
        <w:t xml:space="preserve">the Quantum Judgment) </w:t>
      </w:r>
      <w:r w:rsidR="00A00A91">
        <w:t xml:space="preserve">being re-litigated between the present parties.  </w:t>
      </w:r>
      <w:r w:rsidR="003936D6">
        <w:t xml:space="preserve">That this is not a good defence of contributory fault is </w:t>
      </w:r>
      <w:r w:rsidR="001F127C">
        <w:t>revealed by contemplating the difficulty</w:t>
      </w:r>
      <w:r w:rsidR="003A065C">
        <w:t xml:space="preserve"> I would face</w:t>
      </w:r>
      <w:r w:rsidR="001F127C">
        <w:t>, if the Claimants are not t</w:t>
      </w:r>
      <w:r w:rsidR="003A065C">
        <w:t xml:space="preserve">o be taken </w:t>
      </w:r>
      <w:r w:rsidR="008974F6">
        <w:t xml:space="preserve">to be </w:t>
      </w:r>
      <w:r w:rsidR="003A065C">
        <w:t xml:space="preserve">blameless in the light of the Liability </w:t>
      </w:r>
      <w:r w:rsidR="004112FC">
        <w:t xml:space="preserve">Judgment, </w:t>
      </w:r>
      <w:r w:rsidR="00B07ED1">
        <w:t>in</w:t>
      </w:r>
      <w:r w:rsidR="004112FC">
        <w:t xml:space="preserve"> determining </w:t>
      </w:r>
      <w:r w:rsidR="00E32948">
        <w:t xml:space="preserve">how </w:t>
      </w:r>
      <w:r w:rsidR="002B0FC0">
        <w:t xml:space="preserve">much at “fault” </w:t>
      </w:r>
      <w:r w:rsidR="00E32948">
        <w:t>the</w:t>
      </w:r>
      <w:r w:rsidR="00B07ED1">
        <w:t>y should be taken to be on a reading of the Liability Judgment</w:t>
      </w:r>
      <w:r w:rsidR="001F6C99">
        <w:t xml:space="preserve"> alone</w:t>
      </w:r>
      <w:r w:rsidR="00B07ED1">
        <w:t>.</w:t>
      </w:r>
      <w:r w:rsidR="001F6C99">
        <w:t xml:space="preserve">  </w:t>
      </w:r>
      <w:r w:rsidR="00E32948">
        <w:t xml:space="preserve"> </w:t>
      </w:r>
      <w:r w:rsidR="002B0FC0">
        <w:t xml:space="preserve">The Firm did not suggest </w:t>
      </w:r>
      <w:r w:rsidR="001F6318">
        <w:t xml:space="preserve">anything other than </w:t>
      </w:r>
      <w:r w:rsidR="000B2102">
        <w:t>that the reduction in damages should be “</w:t>
      </w:r>
      <w:r w:rsidR="000B2102" w:rsidRPr="000B2102">
        <w:rPr>
          <w:i/>
          <w:iCs/>
        </w:rPr>
        <w:t>substantial</w:t>
      </w:r>
      <w:r w:rsidR="000B2102">
        <w:t>”.</w:t>
      </w:r>
    </w:p>
    <w:p w14:paraId="3DDEB48A" w14:textId="1DCD732C" w:rsidR="00163C2F" w:rsidRDefault="001B65E5" w:rsidP="00EF2FE7">
      <w:pPr>
        <w:pStyle w:val="ParaLevel1"/>
      </w:pPr>
      <w:r>
        <w:t xml:space="preserve">That leaves the second matter of contributory fault </w:t>
      </w:r>
      <w:r w:rsidR="009142C9">
        <w:t>(the argument over the interpretation of article 13.3</w:t>
      </w:r>
      <w:r w:rsidR="0034201C">
        <w:t xml:space="preserve">) </w:t>
      </w:r>
      <w:r>
        <w:t xml:space="preserve">upon which the Firm relies.  </w:t>
      </w:r>
      <w:r w:rsidR="00304AE5">
        <w:t xml:space="preserve">The Firm’s alternative analysis of this </w:t>
      </w:r>
      <w:r w:rsidR="00B943D7">
        <w:t xml:space="preserve">in terms of a failure to mitigate </w:t>
      </w:r>
      <w:r w:rsidR="00381B6B" w:rsidRPr="00381B6B">
        <w:t xml:space="preserve">perhaps </w:t>
      </w:r>
      <w:r w:rsidR="00B943D7">
        <w:t>recognise</w:t>
      </w:r>
      <w:r w:rsidR="00304AE5">
        <w:t>s</w:t>
      </w:r>
      <w:r w:rsidR="00B943D7">
        <w:t xml:space="preserve"> that this </w:t>
      </w:r>
      <w:r w:rsidR="00304AE5">
        <w:t xml:space="preserve">could </w:t>
      </w:r>
      <w:r w:rsidR="00B943D7">
        <w:t xml:space="preserve">involve the concept of “fault” under </w:t>
      </w:r>
      <w:r w:rsidR="00381B6B" w:rsidRPr="00381B6B">
        <w:t xml:space="preserve">section 4 </w:t>
      </w:r>
      <w:r w:rsidR="00B943D7">
        <w:t xml:space="preserve">of the </w:t>
      </w:r>
      <w:r w:rsidR="008746B6">
        <w:t>194</w:t>
      </w:r>
      <w:r w:rsidR="00D848BC">
        <w:t>5</w:t>
      </w:r>
      <w:r w:rsidR="008746B6">
        <w:t xml:space="preserve"> Act (see Section H above) </w:t>
      </w:r>
      <w:r w:rsidR="00381B6B" w:rsidRPr="00381B6B">
        <w:t>be</w:t>
      </w:r>
      <w:r w:rsidR="00D848BC">
        <w:t>ing</w:t>
      </w:r>
      <w:r w:rsidR="00381B6B" w:rsidRPr="00381B6B">
        <w:t xml:space="preserve"> stretched too far</w:t>
      </w:r>
      <w:r w:rsidR="008746B6">
        <w:t>.</w:t>
      </w:r>
      <w:r w:rsidR="00211144">
        <w:t xml:space="preserve">  </w:t>
      </w:r>
      <w:r w:rsidR="005B774B">
        <w:t xml:space="preserve">To my mind, there is an obvious </w:t>
      </w:r>
      <w:r w:rsidR="00675943">
        <w:t xml:space="preserve">question as to whether </w:t>
      </w:r>
      <w:r w:rsidR="00675943" w:rsidRPr="00CF7FE4">
        <w:rPr>
          <w:i/>
          <w:iCs/>
        </w:rPr>
        <w:t>the Claimants</w:t>
      </w:r>
      <w:r w:rsidR="00675943">
        <w:t xml:space="preserve"> </w:t>
      </w:r>
      <w:r w:rsidR="00FA1852">
        <w:t xml:space="preserve">could be </w:t>
      </w:r>
      <w:r w:rsidR="00675943">
        <w:t>said to have been guilty of contributory fault</w:t>
      </w:r>
      <w:r w:rsidR="005B72A9">
        <w:t xml:space="preserve">, through a breach of some </w:t>
      </w:r>
      <w:r w:rsidR="005B72A9" w:rsidRPr="00FC1E8A">
        <w:rPr>
          <w:i/>
          <w:iCs/>
        </w:rPr>
        <w:t>duty</w:t>
      </w:r>
      <w:r w:rsidR="00FA1852" w:rsidRPr="00FC1E8A">
        <w:rPr>
          <w:i/>
          <w:iCs/>
        </w:rPr>
        <w:t xml:space="preserve"> on their part</w:t>
      </w:r>
      <w:r w:rsidR="00FA1852">
        <w:t xml:space="preserve">, </w:t>
      </w:r>
      <w:r w:rsidR="00020C8C">
        <w:t xml:space="preserve">by </w:t>
      </w:r>
      <w:r w:rsidR="00765A8F">
        <w:t xml:space="preserve">failing </w:t>
      </w:r>
      <w:r w:rsidR="004D299C">
        <w:t xml:space="preserve">properly </w:t>
      </w:r>
      <w:r w:rsidR="00B932A7">
        <w:t xml:space="preserve">to </w:t>
      </w:r>
      <w:r w:rsidR="00CF7FE4">
        <w:t xml:space="preserve">argue their case on construction before May J.  If Mr Leiper </w:t>
      </w:r>
      <w:r w:rsidR="00E60763">
        <w:t xml:space="preserve">QC </w:t>
      </w:r>
      <w:r w:rsidR="00CF7FE4">
        <w:t xml:space="preserve">will forgive me (as </w:t>
      </w:r>
      <w:r w:rsidR="00071717">
        <w:t xml:space="preserve">my view is that there is nothing in the point) the </w:t>
      </w:r>
      <w:r w:rsidR="00695B6E">
        <w:t xml:space="preserve">more obvious analysis of the </w:t>
      </w:r>
      <w:r w:rsidR="00D3083D">
        <w:t xml:space="preserve">position </w:t>
      </w:r>
      <w:r w:rsidR="0066729A">
        <w:t xml:space="preserve">as the Firm would have it </w:t>
      </w:r>
      <w:r w:rsidR="00D3083D">
        <w:t xml:space="preserve">– including </w:t>
      </w:r>
      <w:r w:rsidR="0066729A">
        <w:t xml:space="preserve">analysis of </w:t>
      </w:r>
      <w:r w:rsidR="00D3083D">
        <w:t xml:space="preserve">the professional duties </w:t>
      </w:r>
      <w:r w:rsidR="00560F55">
        <w:t>arising in connection with the proceedings in her court</w:t>
      </w:r>
      <w:r w:rsidR="00E60763">
        <w:t xml:space="preserve"> </w:t>
      </w:r>
      <w:r w:rsidR="00DE6183">
        <w:t>–</w:t>
      </w:r>
      <w:r w:rsidR="00E60763">
        <w:t xml:space="preserve"> </w:t>
      </w:r>
      <w:r w:rsidR="00DE6183">
        <w:t xml:space="preserve">would be that </w:t>
      </w:r>
      <w:r w:rsidR="004F700F">
        <w:t>the Claimants were victims of a breach of duty of care owed to them</w:t>
      </w:r>
      <w:r w:rsidR="00F33B16">
        <w:t xml:space="preserve"> on that occasion</w:t>
      </w:r>
      <w:r w:rsidR="004F700F">
        <w:t>.</w:t>
      </w:r>
      <w:r w:rsidR="00C923D4">
        <w:t xml:space="preserve">  </w:t>
      </w:r>
    </w:p>
    <w:p w14:paraId="6279370C" w14:textId="2DBA33CD" w:rsidR="00D75ED2" w:rsidRDefault="00C923D4" w:rsidP="00EF2FE7">
      <w:pPr>
        <w:pStyle w:val="ParaLevel1"/>
      </w:pPr>
      <w:r>
        <w:t>If</w:t>
      </w:r>
      <w:r w:rsidR="00163C2F">
        <w:t>, therefore, the Claimants</w:t>
      </w:r>
      <w:r w:rsidR="00675640">
        <w:t xml:space="preserve"> were guilty of a failure to mitigate, it would be in not suing Mr Leiper</w:t>
      </w:r>
      <w:r w:rsidR="00AA00E0">
        <w:t xml:space="preserve">, and possibly his then instructing solicitors, for </w:t>
      </w:r>
      <w:r w:rsidR="00F020D0">
        <w:t xml:space="preserve">his/their </w:t>
      </w:r>
      <w:r w:rsidR="00AA00E0">
        <w:t xml:space="preserve">professional negligence </w:t>
      </w:r>
      <w:r w:rsidR="00623C1A">
        <w:t>in not properly arguing the point of construction</w:t>
      </w:r>
      <w:r w:rsidR="00215EC5">
        <w:t xml:space="preserve"> before May J</w:t>
      </w:r>
      <w:r w:rsidR="00B07BB9">
        <w:t xml:space="preserve"> and recovering at least something towards the </w:t>
      </w:r>
      <w:r w:rsidR="00ED6513">
        <w:t>damages otherwise payable by the Firm</w:t>
      </w:r>
      <w:r w:rsidR="00BD1490">
        <w:t xml:space="preserve"> (including potentially all of the costs of the Quantum Judgment as I have identified th</w:t>
      </w:r>
      <w:r w:rsidR="002A6AC9">
        <w:t>ose</w:t>
      </w:r>
      <w:r w:rsidR="00BD1490">
        <w:t xml:space="preserve"> above)</w:t>
      </w:r>
      <w:r w:rsidR="00215EC5">
        <w:t>.</w:t>
      </w:r>
    </w:p>
    <w:p w14:paraId="5851BED6" w14:textId="6BAB7742" w:rsidR="005A427B" w:rsidRDefault="00215EC5" w:rsidP="00EF2FE7">
      <w:pPr>
        <w:pStyle w:val="ParaLevel1"/>
      </w:pPr>
      <w:r>
        <w:t xml:space="preserve">However, the logic of the Firm’s argument </w:t>
      </w:r>
      <w:r w:rsidR="00A0504A">
        <w:t xml:space="preserve">would, if </w:t>
      </w:r>
      <w:r w:rsidR="00E3553D">
        <w:t>allowed</w:t>
      </w:r>
      <w:r w:rsidR="00A0504A">
        <w:t xml:space="preserve">, </w:t>
      </w:r>
      <w:r>
        <w:t>go further than that.  If</w:t>
      </w:r>
      <w:r w:rsidR="000477C5">
        <w:t xml:space="preserve">, vis-à-vis the Firm in the present proceedings, the Claimants and their lawyers in the Leaver Litigation </w:t>
      </w:r>
      <w:r w:rsidR="00D75ED2">
        <w:t>are to be treated as one and the same for the purposes of assessing contributory fault</w:t>
      </w:r>
      <w:r w:rsidR="001B4714">
        <w:t xml:space="preserve">, </w:t>
      </w:r>
      <w:r w:rsidR="005D70EE">
        <w:t xml:space="preserve">then the Firm’s position </w:t>
      </w:r>
      <w:r w:rsidR="003D4A22">
        <w:t xml:space="preserve">on the true (and plain) construction of article 13.3 is such that </w:t>
      </w:r>
      <w:r w:rsidR="006163E8">
        <w:t>the</w:t>
      </w:r>
      <w:r w:rsidR="00EB76A2">
        <w:t xml:space="preserve">ir failure to </w:t>
      </w:r>
      <w:r w:rsidR="003E7C48">
        <w:t>persuade May J</w:t>
      </w:r>
      <w:r w:rsidR="00712D2F">
        <w:t xml:space="preserve"> </w:t>
      </w:r>
      <w:r w:rsidR="00D46864">
        <w:t xml:space="preserve">accordingly raises the question of whether the </w:t>
      </w:r>
      <w:r w:rsidR="00057A39">
        <w:t xml:space="preserve">Firm should be held liable </w:t>
      </w:r>
      <w:r w:rsidR="00192A8B">
        <w:t xml:space="preserve">at all.  The </w:t>
      </w:r>
      <w:r w:rsidR="00EA432A">
        <w:t xml:space="preserve">“legal responsibility question” identified in </w:t>
      </w:r>
      <w:r w:rsidR="00EA432A" w:rsidRPr="005A427B">
        <w:rPr>
          <w:i/>
          <w:iCs/>
        </w:rPr>
        <w:t>Manchester BS</w:t>
      </w:r>
      <w:r w:rsidR="00EA432A">
        <w:t xml:space="preserve"> v </w:t>
      </w:r>
      <w:r w:rsidR="00EA432A" w:rsidRPr="005A427B">
        <w:rPr>
          <w:i/>
          <w:iCs/>
        </w:rPr>
        <w:t>Grant Thornton</w:t>
      </w:r>
      <w:r w:rsidR="00A036EE">
        <w:t xml:space="preserve">, at [6], </w:t>
      </w:r>
      <w:r w:rsidR="00A62689">
        <w:t xml:space="preserve">might indicate that </w:t>
      </w:r>
      <w:r w:rsidR="00114EAD">
        <w:t xml:space="preserve">the Claimants’ contributory fault was the </w:t>
      </w:r>
      <w:r w:rsidR="006228B0">
        <w:t xml:space="preserve">sole </w:t>
      </w:r>
      <w:r w:rsidR="00114EAD">
        <w:t xml:space="preserve">effective cause of their loss.  </w:t>
      </w:r>
      <w:r w:rsidR="007E0F12">
        <w:t xml:space="preserve">The </w:t>
      </w:r>
      <w:r w:rsidR="0070093C">
        <w:t xml:space="preserve">language of section 1 of the 1945 </w:t>
      </w:r>
      <w:r w:rsidR="00794968">
        <w:t>Act – “</w:t>
      </w:r>
      <w:r w:rsidR="00794968" w:rsidRPr="005A427B">
        <w:rPr>
          <w:i/>
          <w:iCs/>
        </w:rPr>
        <w:t>as the result [partly</w:t>
      </w:r>
      <w:r w:rsidR="0075423E" w:rsidRPr="005A427B">
        <w:rPr>
          <w:i/>
          <w:iCs/>
        </w:rPr>
        <w:t>]</w:t>
      </w:r>
      <w:r w:rsidR="00794968" w:rsidRPr="005A427B">
        <w:rPr>
          <w:i/>
          <w:iCs/>
        </w:rPr>
        <w:t xml:space="preserve"> of </w:t>
      </w:r>
      <w:r w:rsidR="00C24293" w:rsidRPr="005A427B">
        <w:rPr>
          <w:i/>
          <w:iCs/>
        </w:rPr>
        <w:t xml:space="preserve">[the defendant’s] </w:t>
      </w:r>
      <w:r w:rsidR="00794968" w:rsidRPr="005A427B">
        <w:rPr>
          <w:i/>
          <w:iCs/>
        </w:rPr>
        <w:t>own fault</w:t>
      </w:r>
      <w:r w:rsidR="0075423E">
        <w:t xml:space="preserve">” </w:t>
      </w:r>
      <w:r w:rsidR="00C24293">
        <w:t>–</w:t>
      </w:r>
      <w:r w:rsidR="0075423E">
        <w:t xml:space="preserve"> </w:t>
      </w:r>
      <w:r w:rsidR="00C24293">
        <w:t xml:space="preserve">must </w:t>
      </w:r>
      <w:r w:rsidR="00802CD9">
        <w:t>now be read in the light of the legal responsibility question which is directed</w:t>
      </w:r>
      <w:r w:rsidR="00CA6603">
        <w:t xml:space="preserve"> not only to matters of mitigation but also </w:t>
      </w:r>
      <w:r w:rsidR="005A427B">
        <w:t>whether “</w:t>
      </w:r>
      <w:r w:rsidR="00CA6603" w:rsidRPr="005A427B">
        <w:rPr>
          <w:i/>
          <w:iCs/>
        </w:rPr>
        <w:t>damages irrecoverable because it is too remote, or because there is a d</w:t>
      </w:r>
      <w:r w:rsidR="005A427B" w:rsidRPr="005A427B">
        <w:rPr>
          <w:i/>
          <w:iCs/>
        </w:rPr>
        <w:t xml:space="preserve">ifferent effective </w:t>
      </w:r>
      <w:r w:rsidR="00CA6603" w:rsidRPr="005A427B">
        <w:rPr>
          <w:i/>
          <w:iCs/>
        </w:rPr>
        <w:t>cause (including novus actus interveniens) in relation to it</w:t>
      </w:r>
      <w:r w:rsidR="005A427B">
        <w:t>.”</w:t>
      </w:r>
    </w:p>
    <w:p w14:paraId="506AF55D" w14:textId="621B671F" w:rsidR="007E0F12" w:rsidRDefault="005A427B" w:rsidP="00EF2FE7">
      <w:pPr>
        <w:pStyle w:val="ParaLevel1"/>
      </w:pPr>
      <w:r>
        <w:t xml:space="preserve">In </w:t>
      </w:r>
      <w:r w:rsidR="0019124C">
        <w:t xml:space="preserve">Section </w:t>
      </w:r>
      <w:r w:rsidR="00011416">
        <w:t xml:space="preserve">K above I have explained why </w:t>
      </w:r>
      <w:r w:rsidR="00663E1F">
        <w:t xml:space="preserve">the Firm’s </w:t>
      </w:r>
      <w:r w:rsidR="00BD45C5">
        <w:t xml:space="preserve">argument </w:t>
      </w:r>
      <w:r w:rsidR="008339B5">
        <w:t>does not carry it that far.  The</w:t>
      </w:r>
      <w:r w:rsidR="00E61C2C">
        <w:t xml:space="preserve"> Firm’s negligence resulted in a </w:t>
      </w:r>
      <w:r w:rsidR="00AF5029">
        <w:t xml:space="preserve">substantial risk that the Articles </w:t>
      </w:r>
      <w:r w:rsidR="00A21DF1">
        <w:t xml:space="preserve">could be interpreted in the </w:t>
      </w:r>
      <w:r w:rsidR="007047F1">
        <w:t xml:space="preserve">way favoured by May J. </w:t>
      </w:r>
      <w:r w:rsidR="007869FE">
        <w:t xml:space="preserve"> The explanation for my </w:t>
      </w:r>
      <w:r w:rsidR="0033571F">
        <w:t xml:space="preserve">own </w:t>
      </w:r>
      <w:r w:rsidR="007869FE">
        <w:t>different interpretation given in Section J above does not detract from that risk.</w:t>
      </w:r>
    </w:p>
    <w:p w14:paraId="3F0617FA" w14:textId="70999207" w:rsidR="00006ED6" w:rsidRDefault="00BE63FC" w:rsidP="00EF2FE7">
      <w:pPr>
        <w:pStyle w:val="ParaLevel1"/>
      </w:pPr>
      <w:r>
        <w:t xml:space="preserve">Nor am I persuaded that </w:t>
      </w:r>
      <w:r w:rsidR="009464DA">
        <w:t xml:space="preserve">the Firm should be relieved of some of its liability </w:t>
      </w:r>
      <w:r w:rsidR="00FC2A2F">
        <w:t>by reference to the Claimants’ contributory fault or their failure to mitigate</w:t>
      </w:r>
      <w:r w:rsidR="006C205F">
        <w:t xml:space="preserve"> in relation to </w:t>
      </w:r>
      <w:r w:rsidR="00782DB0">
        <w:t>the argument over the Articles</w:t>
      </w:r>
      <w:r w:rsidR="00FC2A2F">
        <w:t>.</w:t>
      </w:r>
      <w:r w:rsidR="00AF6047">
        <w:t xml:space="preserve">  </w:t>
      </w:r>
      <w:r w:rsidR="000904D9">
        <w:t xml:space="preserve">I have set out the reasoning of May J in the Quantum Judgment in Section E above. </w:t>
      </w:r>
      <w:r w:rsidR="00782DB0">
        <w:t xml:space="preserve"> </w:t>
      </w:r>
      <w:r w:rsidR="000904D9">
        <w:t xml:space="preserve"> </w:t>
      </w:r>
      <w:r w:rsidR="0033571F">
        <w:t xml:space="preserve">In that section I have also set out the </w:t>
      </w:r>
      <w:r w:rsidR="00D62304">
        <w:t xml:space="preserve">passage in the transcript which the Firm relies upon for present purposes.  </w:t>
      </w:r>
      <w:r w:rsidR="003F7700">
        <w:t xml:space="preserve">However, as </w:t>
      </w:r>
      <w:r w:rsidR="0056608B">
        <w:t xml:space="preserve">I </w:t>
      </w:r>
      <w:r w:rsidR="003F7700">
        <w:t xml:space="preserve">have already said above, it is clear that May J </w:t>
      </w:r>
      <w:r w:rsidR="00E22379">
        <w:t xml:space="preserve">reached the conclusion she did in the face of </w:t>
      </w:r>
      <w:r w:rsidR="00F76B9B">
        <w:t xml:space="preserve">clear and </w:t>
      </w:r>
      <w:r w:rsidR="0085453A">
        <w:t xml:space="preserve">(for my part) cogent arguments by </w:t>
      </w:r>
      <w:r w:rsidR="00006ED6">
        <w:t>the Claimants to the contrary.</w:t>
      </w:r>
    </w:p>
    <w:p w14:paraId="22893DE2" w14:textId="77777777" w:rsidR="002E6E9F" w:rsidRDefault="003935A8" w:rsidP="00EF2FE7">
      <w:pPr>
        <w:pStyle w:val="ParaLevel1"/>
      </w:pPr>
      <w:r>
        <w:t xml:space="preserve">In his closing submissions to me, </w:t>
      </w:r>
      <w:r w:rsidR="00006ED6">
        <w:t xml:space="preserve">Mr Leiper QC </w:t>
      </w:r>
      <w:r w:rsidR="001E7380">
        <w:t xml:space="preserve">pointed out that </w:t>
      </w:r>
      <w:r w:rsidR="005B3F15">
        <w:t xml:space="preserve">Firm’s pleaded case on this point </w:t>
      </w:r>
      <w:r w:rsidR="0048670F">
        <w:t xml:space="preserve">was that the Claimants had </w:t>
      </w:r>
      <w:r w:rsidR="00A64D26">
        <w:t>“</w:t>
      </w:r>
      <w:r w:rsidR="006E49C4" w:rsidRPr="00703C28">
        <w:rPr>
          <w:i/>
          <w:iCs/>
        </w:rPr>
        <w:t>failed to argue that Article 13.3 is concerned with the</w:t>
      </w:r>
      <w:r w:rsidR="00A64D26" w:rsidRPr="00703C28">
        <w:rPr>
          <w:i/>
          <w:iCs/>
        </w:rPr>
        <w:t xml:space="preserve"> </w:t>
      </w:r>
      <w:r w:rsidR="006E49C4" w:rsidRPr="00703C28">
        <w:rPr>
          <w:i/>
          <w:iCs/>
        </w:rPr>
        <w:t>distribution of "Proceeds of Sale" received from a third party purchaser</w:t>
      </w:r>
      <w:r w:rsidR="00A64D26">
        <w:t>”</w:t>
      </w:r>
      <w:r w:rsidR="00B136DB">
        <w:t xml:space="preserve">, though the Firm had sought to expand upon its criticisms of the argument before May J in </w:t>
      </w:r>
      <w:r w:rsidR="00D04074">
        <w:t xml:space="preserve">Norton Rose Fulbright’s </w:t>
      </w:r>
      <w:r w:rsidR="00B136DB">
        <w:t xml:space="preserve">letter dated </w:t>
      </w:r>
      <w:r w:rsidR="00151A43">
        <w:t>1 December 202</w:t>
      </w:r>
      <w:r w:rsidR="00D04074">
        <w:t>1</w:t>
      </w:r>
      <w:r w:rsidR="00472F70">
        <w:t xml:space="preserve"> (served in response to a Notice to Admit)</w:t>
      </w:r>
      <w:r w:rsidR="00D04074">
        <w:t>.</w:t>
      </w:r>
      <w:r w:rsidR="00FC2A2F">
        <w:t xml:space="preserve">  </w:t>
      </w:r>
      <w:r w:rsidR="0020554C">
        <w:t xml:space="preserve">The pleaded case is </w:t>
      </w:r>
      <w:r w:rsidR="00225DC2">
        <w:t xml:space="preserve">undermined by the </w:t>
      </w:r>
      <w:r w:rsidR="00893F8C">
        <w:t xml:space="preserve">transcript of the hearing before May J and the </w:t>
      </w:r>
      <w:r w:rsidR="004F217A">
        <w:t xml:space="preserve">terms of the Claimants’ skeleton argument before her.  </w:t>
      </w:r>
    </w:p>
    <w:p w14:paraId="0AB3FCF8" w14:textId="02BAEAB7" w:rsidR="003C7038" w:rsidRDefault="00C70D11" w:rsidP="00EF2FE7">
      <w:pPr>
        <w:pStyle w:val="ParaLevel1"/>
      </w:pPr>
      <w:r>
        <w:t>In engaging with the Quantum Judgment, t</w:t>
      </w:r>
      <w:r w:rsidR="005B16F2">
        <w:t xml:space="preserve">he Defence </w:t>
      </w:r>
      <w:r w:rsidR="001A3945">
        <w:t>also</w:t>
      </w:r>
      <w:r>
        <w:t xml:space="preserve"> stated that </w:t>
      </w:r>
      <w:r w:rsidR="00776E77">
        <w:t xml:space="preserve">the Claimants’ argument </w:t>
      </w:r>
      <w:r w:rsidR="00703C28">
        <w:t>“</w:t>
      </w:r>
      <w:r w:rsidR="00DF33A6" w:rsidRPr="00337925">
        <w:rPr>
          <w:i/>
          <w:iCs/>
        </w:rPr>
        <w:t>was principally based on the alleged lack of</w:t>
      </w:r>
      <w:r w:rsidR="00703C28" w:rsidRPr="00337925">
        <w:rPr>
          <w:i/>
          <w:iCs/>
        </w:rPr>
        <w:t xml:space="preserve"> </w:t>
      </w:r>
      <w:r w:rsidR="00DF33A6" w:rsidRPr="00337925">
        <w:rPr>
          <w:i/>
          <w:iCs/>
        </w:rPr>
        <w:t>commercial sense</w:t>
      </w:r>
      <w:r w:rsidR="00703C28">
        <w:t>” and “</w:t>
      </w:r>
      <w:r w:rsidR="00703C28" w:rsidRPr="00337925">
        <w:rPr>
          <w:i/>
          <w:iCs/>
        </w:rPr>
        <w:t>[</w:t>
      </w:r>
      <w:r w:rsidR="005B16F2" w:rsidRPr="00337925">
        <w:rPr>
          <w:i/>
          <w:iCs/>
        </w:rPr>
        <w:t>I</w:t>
      </w:r>
      <w:r w:rsidR="00703C28" w:rsidRPr="00337925">
        <w:rPr>
          <w:i/>
          <w:iCs/>
        </w:rPr>
        <w:t>]</w:t>
      </w:r>
      <w:r w:rsidR="005B16F2" w:rsidRPr="00337925">
        <w:rPr>
          <w:i/>
          <w:iCs/>
        </w:rPr>
        <w:t>n effect the applicability</w:t>
      </w:r>
      <w:r w:rsidR="00703C28" w:rsidRPr="00337925">
        <w:rPr>
          <w:i/>
          <w:iCs/>
        </w:rPr>
        <w:t xml:space="preserve"> </w:t>
      </w:r>
      <w:r w:rsidR="005B16F2" w:rsidRPr="00337925">
        <w:rPr>
          <w:i/>
          <w:iCs/>
        </w:rPr>
        <w:t>of Article 13.3 was conceded by the Claimants subject to its proper construction</w:t>
      </w:r>
      <w:r w:rsidR="005B16F2">
        <w:t>.</w:t>
      </w:r>
      <w:r w:rsidR="00703C28">
        <w:t>”  These points are not made out either.</w:t>
      </w:r>
      <w:r w:rsidR="002E6E9F">
        <w:t xml:space="preserve">  </w:t>
      </w:r>
    </w:p>
    <w:p w14:paraId="5C0595BA" w14:textId="5418A634" w:rsidR="00C724CE" w:rsidRDefault="002E6E9F" w:rsidP="00EF2FE7">
      <w:pPr>
        <w:pStyle w:val="ParaLevel1"/>
      </w:pPr>
      <w:r>
        <w:t>Although not pleaded in support of the defence of contributory fault,</w:t>
      </w:r>
      <w:r w:rsidR="00337925">
        <w:t xml:space="preserve"> </w:t>
      </w:r>
      <w:r>
        <w:t xml:space="preserve">I </w:t>
      </w:r>
      <w:r w:rsidR="00020405">
        <w:t>also consider the complaints in the letter to be unjustified</w:t>
      </w:r>
      <w:r w:rsidR="001E1F22">
        <w:t xml:space="preserve">. </w:t>
      </w:r>
      <w:r w:rsidR="003C7038">
        <w:t xml:space="preserve"> They amount to the overall complaint that the C</w:t>
      </w:r>
      <w:r w:rsidR="009D2051">
        <w:t xml:space="preserve">laimants’ argument before May J was inappropriately truncated. </w:t>
      </w:r>
      <w:r w:rsidR="001E69B7">
        <w:t xml:space="preserve">Reading the written and oral submissions, I do not share that view.  </w:t>
      </w:r>
      <w:r w:rsidR="00C724CE">
        <w:t xml:space="preserve">Although the Claimants </w:t>
      </w:r>
      <w:r w:rsidR="00CC2B2B">
        <w:t xml:space="preserve">now say she was right, at the time </w:t>
      </w:r>
      <w:r w:rsidR="00E50E9A">
        <w:t>they were presenting clear and powerful arguments against the conclusion she reached.</w:t>
      </w:r>
    </w:p>
    <w:p w14:paraId="7A0DFEA7" w14:textId="1F3C012B" w:rsidR="00644648" w:rsidRDefault="00296B86" w:rsidP="00EF2FE7">
      <w:pPr>
        <w:pStyle w:val="ParaLevel1"/>
      </w:pPr>
      <w:r>
        <w:t xml:space="preserve">I also accept </w:t>
      </w:r>
      <w:r w:rsidR="001E1F22">
        <w:t>Mr Leiper</w:t>
      </w:r>
      <w:r>
        <w:t xml:space="preserve">’s point </w:t>
      </w:r>
      <w:r w:rsidR="00DD59AB">
        <w:t>about the context in which the Claimants were advancing their argument about the inapplicability of article 13.3.  T</w:t>
      </w:r>
      <w:r w:rsidR="001E1F22">
        <w:t>h</w:t>
      </w:r>
      <w:r w:rsidR="009C06D7">
        <w:t xml:space="preserve">at </w:t>
      </w:r>
      <w:r w:rsidR="00A0768E">
        <w:t xml:space="preserve">argument </w:t>
      </w:r>
      <w:r w:rsidR="009C06D7">
        <w:t>has to</w:t>
      </w:r>
      <w:r w:rsidR="001E69B7">
        <w:t xml:space="preserve"> </w:t>
      </w:r>
      <w:r w:rsidR="00A0768E">
        <w:t xml:space="preserve">be considered in the light of the Company’s </w:t>
      </w:r>
      <w:r w:rsidR="007A1D6B">
        <w:t xml:space="preserve">laconism in saying </w:t>
      </w:r>
      <w:r w:rsidR="00771844">
        <w:t>(in its Defence) “</w:t>
      </w:r>
      <w:r w:rsidR="00771844" w:rsidRPr="009D2051">
        <w:rPr>
          <w:i/>
          <w:iCs/>
        </w:rPr>
        <w:t>the market value that appears to be contended for fails to take account of Article 13.3</w:t>
      </w:r>
      <w:r w:rsidR="00D53839">
        <w:t xml:space="preserve">” and (in its skeleton argument) </w:t>
      </w:r>
      <w:r w:rsidR="009E1B85" w:rsidRPr="009D2051">
        <w:rPr>
          <w:i/>
          <w:iCs/>
        </w:rPr>
        <w:t>“[A] sale of the entire issued share capital as envisaged by Article 18.4.1 is effectively the same as a Share Sale as referred to in Article 13.3</w:t>
      </w:r>
      <w:r w:rsidR="009E1B85">
        <w:t xml:space="preserve">”.  </w:t>
      </w:r>
      <w:r w:rsidR="002D7796">
        <w:t>Lest it be overlooked, there is also the obvious point that, although I have come down on side of the Firm’s interpretation of the Articles</w:t>
      </w:r>
      <w:r w:rsidR="00B2671D">
        <w:t xml:space="preserve">, </w:t>
      </w:r>
      <w:r w:rsidR="00333195">
        <w:t xml:space="preserve">expressed at much greater length than </w:t>
      </w:r>
      <w:r w:rsidR="00D101B9">
        <w:t xml:space="preserve">by the previous protagonists, </w:t>
      </w:r>
      <w:r w:rsidR="00B2671D">
        <w:t>the process of getting there was not entirely straightforward: see Section J above.</w:t>
      </w:r>
    </w:p>
    <w:p w14:paraId="7B02ECB4" w14:textId="31A50DF2" w:rsidR="00D5488E" w:rsidRDefault="00D5488E" w:rsidP="00EF2FE7">
      <w:pPr>
        <w:pStyle w:val="ParaLevel1"/>
      </w:pPr>
      <w:r>
        <w:t xml:space="preserve">For these reasons I therefore reject the </w:t>
      </w:r>
      <w:r w:rsidR="003C3DF5">
        <w:t>Firm’s defence based on contributory fault or a failure to mitigate.</w:t>
      </w:r>
    </w:p>
    <w:p w14:paraId="4B816ABD" w14:textId="6D17FD77" w:rsidR="004515BF" w:rsidRDefault="004515BF" w:rsidP="00EF2FE7">
      <w:pPr>
        <w:pStyle w:val="ParaLevel1"/>
        <w:numPr>
          <w:ilvl w:val="0"/>
          <w:numId w:val="0"/>
        </w:numPr>
      </w:pPr>
    </w:p>
    <w:p w14:paraId="4C63A721" w14:textId="73CCB655" w:rsidR="007166D3" w:rsidRPr="008F2BA7" w:rsidRDefault="009A7053" w:rsidP="00EF2FE7">
      <w:pPr>
        <w:pStyle w:val="ParaLevel1"/>
        <w:numPr>
          <w:ilvl w:val="0"/>
          <w:numId w:val="0"/>
        </w:numPr>
        <w:rPr>
          <w:b/>
          <w:bCs/>
          <w:u w:val="single"/>
        </w:rPr>
      </w:pPr>
      <w:r>
        <w:rPr>
          <w:b/>
          <w:bCs/>
          <w:u w:val="single"/>
        </w:rPr>
        <w:t>O.</w:t>
      </w:r>
      <w:r>
        <w:rPr>
          <w:b/>
          <w:bCs/>
          <w:u w:val="single"/>
        </w:rPr>
        <w:tab/>
        <w:t>DISPOSAL</w:t>
      </w:r>
    </w:p>
    <w:p w14:paraId="35F5D699" w14:textId="6EB7CBF0" w:rsidR="004515BF" w:rsidRDefault="0023628C" w:rsidP="00EF2FE7">
      <w:pPr>
        <w:pStyle w:val="ParaLevel1"/>
      </w:pPr>
      <w:r>
        <w:t xml:space="preserve">I therefore award damages in favour of the Claimants in the combined sum of </w:t>
      </w:r>
      <w:r w:rsidR="00C248FA">
        <w:t>£1.454m.</w:t>
      </w:r>
    </w:p>
    <w:p w14:paraId="1C17B9B0" w14:textId="23CC45AB" w:rsidR="00C248FA" w:rsidRDefault="00C248FA" w:rsidP="00EF2FE7">
      <w:pPr>
        <w:pStyle w:val="ParaLevel1"/>
      </w:pPr>
      <w:r>
        <w:t xml:space="preserve">This judgment has been handed down remotely by </w:t>
      </w:r>
      <w:r w:rsidR="00F60E6D">
        <w:t xml:space="preserve">email circulation to the parties.  The handing down is adjourned for the purpose of </w:t>
      </w:r>
      <w:r w:rsidR="001C4FCA">
        <w:t>extending the time for any application for permission to appeal</w:t>
      </w:r>
      <w:r w:rsidR="00B82482">
        <w:t xml:space="preserve">.  Any </w:t>
      </w:r>
      <w:r w:rsidR="00A50BDA">
        <w:t xml:space="preserve">such application </w:t>
      </w:r>
      <w:r w:rsidR="004A75A3">
        <w:t xml:space="preserve">for permission </w:t>
      </w:r>
      <w:r w:rsidR="00A50BDA">
        <w:t xml:space="preserve">should be made to me in writing </w:t>
      </w:r>
      <w:r w:rsidR="0078167D">
        <w:t xml:space="preserve">by </w:t>
      </w:r>
      <w:r w:rsidR="00D23AFB">
        <w:t xml:space="preserve">4pm on </w:t>
      </w:r>
      <w:r w:rsidR="00B45AF5">
        <w:t>13 May</w:t>
      </w:r>
      <w:r w:rsidR="00B53151">
        <w:t>,</w:t>
      </w:r>
      <w:r w:rsidR="00A50BDA">
        <w:t xml:space="preserve"> with </w:t>
      </w:r>
      <w:r w:rsidR="004A75A3">
        <w:t xml:space="preserve">any written submissions in opposition </w:t>
      </w:r>
      <w:r w:rsidR="0078167D">
        <w:t xml:space="preserve">being filed by </w:t>
      </w:r>
      <w:r w:rsidR="005221BD">
        <w:t xml:space="preserve">4pm on </w:t>
      </w:r>
      <w:r w:rsidR="009F07A6">
        <w:t xml:space="preserve">1 June </w:t>
      </w:r>
      <w:r w:rsidR="00B45AF5">
        <w:t>2022</w:t>
      </w:r>
      <w:r w:rsidR="003D6DE8">
        <w:t xml:space="preserve">.  </w:t>
      </w:r>
      <w:r w:rsidR="00374EE9">
        <w:t>In the absence of any further direction</w:t>
      </w:r>
      <w:r w:rsidR="00D6118D">
        <w:t xml:space="preserve"> for an oral hearing (</w:t>
      </w:r>
      <w:r w:rsidR="00F67AC9">
        <w:t xml:space="preserve">whether </w:t>
      </w:r>
      <w:r w:rsidR="00D6118D">
        <w:t xml:space="preserve">attended or remote) </w:t>
      </w:r>
      <w:r w:rsidR="00985464">
        <w:t>the</w:t>
      </w:r>
      <w:r w:rsidR="00374EE9">
        <w:t xml:space="preserve"> application</w:t>
      </w:r>
      <w:r w:rsidR="00286744">
        <w:t>(s)</w:t>
      </w:r>
      <w:r w:rsidR="00374EE9">
        <w:t xml:space="preserve"> </w:t>
      </w:r>
      <w:r w:rsidR="00985464">
        <w:t xml:space="preserve">together with </w:t>
      </w:r>
      <w:r w:rsidR="00374EE9">
        <w:t xml:space="preserve">and </w:t>
      </w:r>
      <w:r w:rsidR="00985464">
        <w:t xml:space="preserve">other consequential </w:t>
      </w:r>
      <w:r w:rsidR="00374EE9">
        <w:t xml:space="preserve">issues </w:t>
      </w:r>
      <w:r w:rsidR="00985464">
        <w:t xml:space="preserve">on which the parties are not agreed </w:t>
      </w:r>
      <w:r w:rsidR="0062709A">
        <w:t xml:space="preserve">will be determined </w:t>
      </w:r>
      <w:r w:rsidR="00F67AC9">
        <w:t>by me on the papers.</w:t>
      </w:r>
      <w:r w:rsidR="003D6DE8">
        <w:t xml:space="preserve"> </w:t>
      </w:r>
      <w:r w:rsidR="00B53151">
        <w:t xml:space="preserve"> In my decision of the application</w:t>
      </w:r>
      <w:r w:rsidR="00FC5B6C">
        <w:t>(s)</w:t>
      </w:r>
      <w:r w:rsidR="00B53151">
        <w:t xml:space="preserve"> for permission</w:t>
      </w:r>
      <w:r w:rsidR="00FC5B6C">
        <w:t xml:space="preserve"> to appeal</w:t>
      </w:r>
      <w:r w:rsidR="008F5FB4">
        <w:t>, if made,</w:t>
      </w:r>
      <w:r w:rsidR="00FC5B6C">
        <w:t xml:space="preserve"> I will make provision for the date for filing an Appellant’s Notice </w:t>
      </w:r>
      <w:r w:rsidR="0042488F">
        <w:t>under CPR 52.12</w:t>
      </w:r>
      <w:r w:rsidR="00636F3A">
        <w:t>(2).</w:t>
      </w:r>
    </w:p>
    <w:p w14:paraId="386A6ED5" w14:textId="77777777" w:rsidR="00B579D7" w:rsidRDefault="00B579D7" w:rsidP="00EF2FE7">
      <w:pPr>
        <w:pStyle w:val="ParaLevel1"/>
        <w:numPr>
          <w:ilvl w:val="0"/>
          <w:numId w:val="0"/>
        </w:numPr>
        <w:ind w:left="720" w:hanging="720"/>
      </w:pPr>
    </w:p>
    <w:sectPr w:rsidR="00B579D7" w:rsidSect="00EF2FE7">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10E80" w14:textId="77777777" w:rsidR="00FC5899" w:rsidRDefault="00FC5899">
      <w:r>
        <w:separator/>
      </w:r>
    </w:p>
  </w:endnote>
  <w:endnote w:type="continuationSeparator" w:id="0">
    <w:p w14:paraId="7D543E93" w14:textId="77777777" w:rsidR="00FC5899" w:rsidRDefault="00FC5899">
      <w:r>
        <w:continuationSeparator/>
      </w:r>
    </w:p>
  </w:endnote>
  <w:endnote w:type="continuationNotice" w:id="1">
    <w:p w14:paraId="04484B44" w14:textId="77777777" w:rsidR="00FC5899" w:rsidRDefault="00FC5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BE291" w14:textId="77777777" w:rsidR="00FC5899" w:rsidRDefault="00FC5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C50F" w14:textId="77777777" w:rsidR="00FC5899" w:rsidRDefault="00FC5899">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F586" w14:textId="77777777" w:rsidR="00FC5899" w:rsidRDefault="00FC58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7E11C" w14:textId="11EA5B83" w:rsidR="00FC5899" w:rsidRPr="00EF2FE7" w:rsidRDefault="00FC5899" w:rsidP="00EF2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8E816" w14:textId="77777777" w:rsidR="00FC5899" w:rsidRDefault="00FC5899">
      <w:r>
        <w:separator/>
      </w:r>
    </w:p>
  </w:footnote>
  <w:footnote w:type="continuationSeparator" w:id="0">
    <w:p w14:paraId="182533E9" w14:textId="77777777" w:rsidR="00FC5899" w:rsidRDefault="00FC5899">
      <w:r>
        <w:continuationSeparator/>
      </w:r>
    </w:p>
  </w:footnote>
  <w:footnote w:type="continuationNotice" w:id="1">
    <w:p w14:paraId="094B7E4B" w14:textId="77777777" w:rsidR="00FC5899" w:rsidRDefault="00FC58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DCCE4" w14:textId="77777777" w:rsidR="00FC5899" w:rsidRDefault="00FC5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9388" w14:textId="77777777" w:rsidR="00FC5899" w:rsidRDefault="00FC58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E9796" w14:textId="77777777" w:rsidR="00FC5899" w:rsidRDefault="00FC58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Layout w:type="fixed"/>
      <w:tblLook w:val="0000" w:firstRow="0" w:lastRow="0" w:firstColumn="0" w:lastColumn="0" w:noHBand="0" w:noVBand="0"/>
    </w:tblPr>
    <w:tblGrid>
      <w:gridCol w:w="4680"/>
      <w:gridCol w:w="4320"/>
    </w:tblGrid>
    <w:tr w:rsidR="00FC5899" w14:paraId="648F10A8" w14:textId="77777777">
      <w:tc>
        <w:tcPr>
          <w:tcW w:w="4680" w:type="dxa"/>
        </w:tcPr>
        <w:p w14:paraId="6D7510C9" w14:textId="77777777" w:rsidR="00FC5899" w:rsidRDefault="00FC5899">
          <w:pPr>
            <w:pStyle w:val="Header"/>
            <w:rPr>
              <w:rFonts w:ascii="Times New Roman" w:hAnsi="Times New Roman"/>
              <w:b/>
              <w:sz w:val="16"/>
              <w:u w:val="single"/>
            </w:rPr>
          </w:pPr>
          <w:r>
            <w:rPr>
              <w:rFonts w:ascii="Times New Roman" w:hAnsi="Times New Roman"/>
              <w:b/>
              <w:sz w:val="16"/>
              <w:u w:val="single"/>
            </w:rPr>
            <w:t>HH JUDGE RUSSEN QC</w:t>
          </w:r>
        </w:p>
        <w:p w14:paraId="3F8DB5B2" w14:textId="3F11F118" w:rsidR="00FC5899" w:rsidRPr="00EF2FE7" w:rsidRDefault="00FC5899">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3A803C1E" w14:textId="6D03C337" w:rsidR="00FC5899" w:rsidRDefault="00FC5899">
          <w:pPr>
            <w:pStyle w:val="Header"/>
            <w:jc w:val="right"/>
            <w:rPr>
              <w:rFonts w:ascii="Times New Roman" w:hAnsi="Times New Roman"/>
              <w:sz w:val="16"/>
            </w:rPr>
          </w:pPr>
          <w:r>
            <w:rPr>
              <w:rFonts w:ascii="Times New Roman" w:hAnsi="Times New Roman"/>
              <w:sz w:val="16"/>
            </w:rPr>
            <w:t>Richards v Charles Russell Speechlys</w:t>
          </w:r>
        </w:p>
      </w:tc>
    </w:tr>
  </w:tbl>
  <w:p w14:paraId="5F7EDAFD" w14:textId="77777777" w:rsidR="00FC5899" w:rsidRDefault="00FC5899">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013B"/>
    <w:multiLevelType w:val="hybridMultilevel"/>
    <w:tmpl w:val="A44EAD12"/>
    <w:lvl w:ilvl="0" w:tplc="00561E3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F22422"/>
    <w:multiLevelType w:val="hybridMultilevel"/>
    <w:tmpl w:val="0ED8F9D4"/>
    <w:lvl w:ilvl="0" w:tplc="F53213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026015"/>
    <w:multiLevelType w:val="hybridMultilevel"/>
    <w:tmpl w:val="793EA34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15:restartNumberingAfterBreak="0">
    <w:nsid w:val="3C513067"/>
    <w:multiLevelType w:val="hybridMultilevel"/>
    <w:tmpl w:val="190053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C9E3471"/>
    <w:multiLevelType w:val="hybridMultilevel"/>
    <w:tmpl w:val="4FA01DBA"/>
    <w:lvl w:ilvl="0" w:tplc="342A766A">
      <w:start w:val="1"/>
      <w:numFmt w:val="upp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5" w15:restartNumberingAfterBreak="0">
    <w:nsid w:val="49B61E25"/>
    <w:multiLevelType w:val="hybridMultilevel"/>
    <w:tmpl w:val="3094E2C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357B42"/>
    <w:multiLevelType w:val="hybridMultilevel"/>
    <w:tmpl w:val="AE462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FF2B9F"/>
    <w:multiLevelType w:val="hybridMultilevel"/>
    <w:tmpl w:val="38B24D4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8" w15:restartNumberingAfterBreak="0">
    <w:nsid w:val="59364240"/>
    <w:multiLevelType w:val="hybridMultilevel"/>
    <w:tmpl w:val="B5C6F0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0" w15:restartNumberingAfterBreak="0">
    <w:nsid w:val="672424A9"/>
    <w:multiLevelType w:val="hybridMultilevel"/>
    <w:tmpl w:val="4F7E07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4884411"/>
    <w:multiLevelType w:val="hybridMultilevel"/>
    <w:tmpl w:val="BBCE42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3" w15:restartNumberingAfterBreak="0">
    <w:nsid w:val="782B58A7"/>
    <w:multiLevelType w:val="hybridMultilevel"/>
    <w:tmpl w:val="A9AA8F60"/>
    <w:lvl w:ilvl="0" w:tplc="436629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9"/>
  </w:num>
  <w:num w:numId="11">
    <w:abstractNumId w:val="1"/>
  </w:num>
  <w:num w:numId="12">
    <w:abstractNumId w:val="13"/>
  </w:num>
  <w:num w:numId="13">
    <w:abstractNumId w:val="6"/>
  </w:num>
  <w:num w:numId="14">
    <w:abstractNumId w:val="0"/>
  </w:num>
  <w:num w:numId="15">
    <w:abstractNumId w:val="4"/>
  </w:num>
  <w:num w:numId="16">
    <w:abstractNumId w:val="8"/>
  </w:num>
  <w:num w:numId="17">
    <w:abstractNumId w:val="3"/>
  </w:num>
  <w:num w:numId="18">
    <w:abstractNumId w:val="10"/>
  </w:num>
  <w:num w:numId="19">
    <w:abstractNumId w:val="5"/>
  </w:num>
  <w:num w:numId="20">
    <w:abstractNumId w:val="11"/>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76"/>
    <w:rsid w:val="00000460"/>
    <w:rsid w:val="00000639"/>
    <w:rsid w:val="00000890"/>
    <w:rsid w:val="00000EEE"/>
    <w:rsid w:val="0000183D"/>
    <w:rsid w:val="00001A22"/>
    <w:rsid w:val="00001E0E"/>
    <w:rsid w:val="00001EA8"/>
    <w:rsid w:val="00002095"/>
    <w:rsid w:val="0000237B"/>
    <w:rsid w:val="00002C01"/>
    <w:rsid w:val="00002D7F"/>
    <w:rsid w:val="00002E52"/>
    <w:rsid w:val="000034C2"/>
    <w:rsid w:val="00003660"/>
    <w:rsid w:val="00004833"/>
    <w:rsid w:val="0000487E"/>
    <w:rsid w:val="00004AB8"/>
    <w:rsid w:val="00004FF2"/>
    <w:rsid w:val="00004FFC"/>
    <w:rsid w:val="000058ED"/>
    <w:rsid w:val="00005EFE"/>
    <w:rsid w:val="0000629A"/>
    <w:rsid w:val="000064C8"/>
    <w:rsid w:val="00006BA1"/>
    <w:rsid w:val="00006ED6"/>
    <w:rsid w:val="00006F84"/>
    <w:rsid w:val="00006FB1"/>
    <w:rsid w:val="00007026"/>
    <w:rsid w:val="000077A3"/>
    <w:rsid w:val="000079B6"/>
    <w:rsid w:val="00007BEE"/>
    <w:rsid w:val="0001092C"/>
    <w:rsid w:val="00010BF1"/>
    <w:rsid w:val="00010FC4"/>
    <w:rsid w:val="00011414"/>
    <w:rsid w:val="00011416"/>
    <w:rsid w:val="000114D9"/>
    <w:rsid w:val="00011ECA"/>
    <w:rsid w:val="000121B8"/>
    <w:rsid w:val="0001240F"/>
    <w:rsid w:val="00012546"/>
    <w:rsid w:val="00012B09"/>
    <w:rsid w:val="0001354B"/>
    <w:rsid w:val="00013575"/>
    <w:rsid w:val="00013C5D"/>
    <w:rsid w:val="00014718"/>
    <w:rsid w:val="00014975"/>
    <w:rsid w:val="00015085"/>
    <w:rsid w:val="000150BA"/>
    <w:rsid w:val="00015208"/>
    <w:rsid w:val="00015701"/>
    <w:rsid w:val="00015E98"/>
    <w:rsid w:val="000160A5"/>
    <w:rsid w:val="00016271"/>
    <w:rsid w:val="00016324"/>
    <w:rsid w:val="0001658B"/>
    <w:rsid w:val="0001779F"/>
    <w:rsid w:val="00017B2F"/>
    <w:rsid w:val="00020405"/>
    <w:rsid w:val="000205C5"/>
    <w:rsid w:val="000209E6"/>
    <w:rsid w:val="000209EA"/>
    <w:rsid w:val="00020C8C"/>
    <w:rsid w:val="00022039"/>
    <w:rsid w:val="000220DB"/>
    <w:rsid w:val="00022103"/>
    <w:rsid w:val="000225B3"/>
    <w:rsid w:val="00022C07"/>
    <w:rsid w:val="00023A9D"/>
    <w:rsid w:val="00023C99"/>
    <w:rsid w:val="00024938"/>
    <w:rsid w:val="000249A8"/>
    <w:rsid w:val="00024F9A"/>
    <w:rsid w:val="00025D25"/>
    <w:rsid w:val="00026641"/>
    <w:rsid w:val="00026B61"/>
    <w:rsid w:val="00026D19"/>
    <w:rsid w:val="00026D6F"/>
    <w:rsid w:val="00026F0E"/>
    <w:rsid w:val="00027255"/>
    <w:rsid w:val="0002731C"/>
    <w:rsid w:val="00027D59"/>
    <w:rsid w:val="00027DD4"/>
    <w:rsid w:val="00027FB2"/>
    <w:rsid w:val="000307F2"/>
    <w:rsid w:val="000308C3"/>
    <w:rsid w:val="00030926"/>
    <w:rsid w:val="00030C0F"/>
    <w:rsid w:val="00030CDF"/>
    <w:rsid w:val="00030E70"/>
    <w:rsid w:val="000315B7"/>
    <w:rsid w:val="00031A19"/>
    <w:rsid w:val="00031D69"/>
    <w:rsid w:val="00031DBF"/>
    <w:rsid w:val="00032057"/>
    <w:rsid w:val="00032395"/>
    <w:rsid w:val="00032DE0"/>
    <w:rsid w:val="00033674"/>
    <w:rsid w:val="00033AA0"/>
    <w:rsid w:val="00033C08"/>
    <w:rsid w:val="00033CCC"/>
    <w:rsid w:val="00033E72"/>
    <w:rsid w:val="00034130"/>
    <w:rsid w:val="00034244"/>
    <w:rsid w:val="0003487D"/>
    <w:rsid w:val="00034BBC"/>
    <w:rsid w:val="00034F13"/>
    <w:rsid w:val="000354C3"/>
    <w:rsid w:val="000355B0"/>
    <w:rsid w:val="00035BA5"/>
    <w:rsid w:val="00035E9F"/>
    <w:rsid w:val="00036022"/>
    <w:rsid w:val="00036EEE"/>
    <w:rsid w:val="0003767B"/>
    <w:rsid w:val="000376FD"/>
    <w:rsid w:val="00037A68"/>
    <w:rsid w:val="0004054F"/>
    <w:rsid w:val="000407ED"/>
    <w:rsid w:val="00040845"/>
    <w:rsid w:val="0004097F"/>
    <w:rsid w:val="00040F3B"/>
    <w:rsid w:val="000413C7"/>
    <w:rsid w:val="0004167D"/>
    <w:rsid w:val="00041691"/>
    <w:rsid w:val="000417AA"/>
    <w:rsid w:val="00042328"/>
    <w:rsid w:val="00042427"/>
    <w:rsid w:val="000426B8"/>
    <w:rsid w:val="00042CFE"/>
    <w:rsid w:val="000435C2"/>
    <w:rsid w:val="00043CAF"/>
    <w:rsid w:val="000440E5"/>
    <w:rsid w:val="00044E2D"/>
    <w:rsid w:val="000452A7"/>
    <w:rsid w:val="000454B0"/>
    <w:rsid w:val="000459B7"/>
    <w:rsid w:val="00045A57"/>
    <w:rsid w:val="00045BDC"/>
    <w:rsid w:val="00046742"/>
    <w:rsid w:val="00046C00"/>
    <w:rsid w:val="00046E5A"/>
    <w:rsid w:val="00046E83"/>
    <w:rsid w:val="00046F53"/>
    <w:rsid w:val="000470A1"/>
    <w:rsid w:val="000477C5"/>
    <w:rsid w:val="000477E4"/>
    <w:rsid w:val="00047A6D"/>
    <w:rsid w:val="00047A83"/>
    <w:rsid w:val="00047AAF"/>
    <w:rsid w:val="00047E8B"/>
    <w:rsid w:val="000502DB"/>
    <w:rsid w:val="0005043F"/>
    <w:rsid w:val="000509D2"/>
    <w:rsid w:val="00050BF5"/>
    <w:rsid w:val="00051066"/>
    <w:rsid w:val="00051A4D"/>
    <w:rsid w:val="00051E9F"/>
    <w:rsid w:val="000523CC"/>
    <w:rsid w:val="0005252F"/>
    <w:rsid w:val="000528BA"/>
    <w:rsid w:val="00052A2E"/>
    <w:rsid w:val="00052DE0"/>
    <w:rsid w:val="000531FE"/>
    <w:rsid w:val="0005325D"/>
    <w:rsid w:val="00053D1D"/>
    <w:rsid w:val="00053D35"/>
    <w:rsid w:val="00053E5B"/>
    <w:rsid w:val="00053ECE"/>
    <w:rsid w:val="00053F6E"/>
    <w:rsid w:val="0005486F"/>
    <w:rsid w:val="0005487C"/>
    <w:rsid w:val="00054B06"/>
    <w:rsid w:val="00054B7E"/>
    <w:rsid w:val="00054E5C"/>
    <w:rsid w:val="0005510E"/>
    <w:rsid w:val="00055581"/>
    <w:rsid w:val="00055A4A"/>
    <w:rsid w:val="00055A62"/>
    <w:rsid w:val="00055CE6"/>
    <w:rsid w:val="00055D85"/>
    <w:rsid w:val="000560A9"/>
    <w:rsid w:val="00056602"/>
    <w:rsid w:val="00056A64"/>
    <w:rsid w:val="00056F2A"/>
    <w:rsid w:val="0005718D"/>
    <w:rsid w:val="00057462"/>
    <w:rsid w:val="000576D4"/>
    <w:rsid w:val="00057A39"/>
    <w:rsid w:val="00057A40"/>
    <w:rsid w:val="00060087"/>
    <w:rsid w:val="000604BF"/>
    <w:rsid w:val="0006079C"/>
    <w:rsid w:val="00060B3B"/>
    <w:rsid w:val="00061599"/>
    <w:rsid w:val="00061678"/>
    <w:rsid w:val="0006177A"/>
    <w:rsid w:val="0006184B"/>
    <w:rsid w:val="00061C0E"/>
    <w:rsid w:val="00061C51"/>
    <w:rsid w:val="00062473"/>
    <w:rsid w:val="0006272D"/>
    <w:rsid w:val="00062D50"/>
    <w:rsid w:val="0006319D"/>
    <w:rsid w:val="00063389"/>
    <w:rsid w:val="000633A9"/>
    <w:rsid w:val="00063597"/>
    <w:rsid w:val="000637B4"/>
    <w:rsid w:val="000638A3"/>
    <w:rsid w:val="000638CB"/>
    <w:rsid w:val="00063B41"/>
    <w:rsid w:val="00063C6E"/>
    <w:rsid w:val="00063E9B"/>
    <w:rsid w:val="0006449A"/>
    <w:rsid w:val="000646BF"/>
    <w:rsid w:val="0006494A"/>
    <w:rsid w:val="000651E0"/>
    <w:rsid w:val="00065676"/>
    <w:rsid w:val="00065848"/>
    <w:rsid w:val="000659DE"/>
    <w:rsid w:val="0006697A"/>
    <w:rsid w:val="00066A9F"/>
    <w:rsid w:val="000671B2"/>
    <w:rsid w:val="0006760D"/>
    <w:rsid w:val="0006766C"/>
    <w:rsid w:val="000676B0"/>
    <w:rsid w:val="00067812"/>
    <w:rsid w:val="00067D1A"/>
    <w:rsid w:val="00070764"/>
    <w:rsid w:val="00071291"/>
    <w:rsid w:val="00071717"/>
    <w:rsid w:val="00072C06"/>
    <w:rsid w:val="000735F9"/>
    <w:rsid w:val="00073821"/>
    <w:rsid w:val="00073F7B"/>
    <w:rsid w:val="00074383"/>
    <w:rsid w:val="000746BC"/>
    <w:rsid w:val="0007484A"/>
    <w:rsid w:val="000748A7"/>
    <w:rsid w:val="00075483"/>
    <w:rsid w:val="00075B78"/>
    <w:rsid w:val="00075E62"/>
    <w:rsid w:val="00075F94"/>
    <w:rsid w:val="000760A1"/>
    <w:rsid w:val="00076378"/>
    <w:rsid w:val="0007677F"/>
    <w:rsid w:val="00076A13"/>
    <w:rsid w:val="00076C22"/>
    <w:rsid w:val="000777C3"/>
    <w:rsid w:val="00080201"/>
    <w:rsid w:val="00080532"/>
    <w:rsid w:val="000806FF"/>
    <w:rsid w:val="00080838"/>
    <w:rsid w:val="00080CE6"/>
    <w:rsid w:val="00080D00"/>
    <w:rsid w:val="000811EF"/>
    <w:rsid w:val="00081261"/>
    <w:rsid w:val="000812B2"/>
    <w:rsid w:val="000819FA"/>
    <w:rsid w:val="00081ABE"/>
    <w:rsid w:val="00081CC2"/>
    <w:rsid w:val="00081F10"/>
    <w:rsid w:val="0008221B"/>
    <w:rsid w:val="00082B88"/>
    <w:rsid w:val="000837B8"/>
    <w:rsid w:val="00083E11"/>
    <w:rsid w:val="000846E1"/>
    <w:rsid w:val="0008484C"/>
    <w:rsid w:val="00084BDB"/>
    <w:rsid w:val="00084C0B"/>
    <w:rsid w:val="00084D67"/>
    <w:rsid w:val="00084E21"/>
    <w:rsid w:val="00085160"/>
    <w:rsid w:val="000856E9"/>
    <w:rsid w:val="000861C5"/>
    <w:rsid w:val="0008665C"/>
    <w:rsid w:val="0008732F"/>
    <w:rsid w:val="00087804"/>
    <w:rsid w:val="00087895"/>
    <w:rsid w:val="00087CBB"/>
    <w:rsid w:val="00087FEC"/>
    <w:rsid w:val="000904D9"/>
    <w:rsid w:val="000907DA"/>
    <w:rsid w:val="00090ABB"/>
    <w:rsid w:val="00090EC6"/>
    <w:rsid w:val="0009124D"/>
    <w:rsid w:val="00091AA2"/>
    <w:rsid w:val="00091AAC"/>
    <w:rsid w:val="000927A0"/>
    <w:rsid w:val="00092929"/>
    <w:rsid w:val="00092A42"/>
    <w:rsid w:val="0009307B"/>
    <w:rsid w:val="0009356A"/>
    <w:rsid w:val="000936D8"/>
    <w:rsid w:val="00093853"/>
    <w:rsid w:val="00094048"/>
    <w:rsid w:val="0009446D"/>
    <w:rsid w:val="00094D7A"/>
    <w:rsid w:val="00094F0B"/>
    <w:rsid w:val="00095E80"/>
    <w:rsid w:val="00096FB8"/>
    <w:rsid w:val="00097847"/>
    <w:rsid w:val="00097869"/>
    <w:rsid w:val="00097B22"/>
    <w:rsid w:val="00097FFB"/>
    <w:rsid w:val="000A001F"/>
    <w:rsid w:val="000A02AF"/>
    <w:rsid w:val="000A02F1"/>
    <w:rsid w:val="000A041B"/>
    <w:rsid w:val="000A0541"/>
    <w:rsid w:val="000A092D"/>
    <w:rsid w:val="000A191E"/>
    <w:rsid w:val="000A1A01"/>
    <w:rsid w:val="000A1D54"/>
    <w:rsid w:val="000A22F0"/>
    <w:rsid w:val="000A33D0"/>
    <w:rsid w:val="000A34A5"/>
    <w:rsid w:val="000A387E"/>
    <w:rsid w:val="000A3AC9"/>
    <w:rsid w:val="000A3CA5"/>
    <w:rsid w:val="000A40FB"/>
    <w:rsid w:val="000A464F"/>
    <w:rsid w:val="000A4834"/>
    <w:rsid w:val="000A486B"/>
    <w:rsid w:val="000A4BD2"/>
    <w:rsid w:val="000A5555"/>
    <w:rsid w:val="000A6825"/>
    <w:rsid w:val="000A68B7"/>
    <w:rsid w:val="000A68DD"/>
    <w:rsid w:val="000A69F2"/>
    <w:rsid w:val="000A6A23"/>
    <w:rsid w:val="000A6C3F"/>
    <w:rsid w:val="000A741E"/>
    <w:rsid w:val="000A790D"/>
    <w:rsid w:val="000A7CC0"/>
    <w:rsid w:val="000A7FF6"/>
    <w:rsid w:val="000B03A5"/>
    <w:rsid w:val="000B0AEB"/>
    <w:rsid w:val="000B0D8C"/>
    <w:rsid w:val="000B13CB"/>
    <w:rsid w:val="000B1BDD"/>
    <w:rsid w:val="000B1D7D"/>
    <w:rsid w:val="000B2102"/>
    <w:rsid w:val="000B2539"/>
    <w:rsid w:val="000B270D"/>
    <w:rsid w:val="000B2E3C"/>
    <w:rsid w:val="000B3087"/>
    <w:rsid w:val="000B351C"/>
    <w:rsid w:val="000B364C"/>
    <w:rsid w:val="000B3824"/>
    <w:rsid w:val="000B41B4"/>
    <w:rsid w:val="000B4954"/>
    <w:rsid w:val="000B4ECE"/>
    <w:rsid w:val="000B506B"/>
    <w:rsid w:val="000B508A"/>
    <w:rsid w:val="000B598E"/>
    <w:rsid w:val="000B5CE2"/>
    <w:rsid w:val="000B5EA6"/>
    <w:rsid w:val="000B604F"/>
    <w:rsid w:val="000B67E9"/>
    <w:rsid w:val="000B69BA"/>
    <w:rsid w:val="000B7AB8"/>
    <w:rsid w:val="000B7F42"/>
    <w:rsid w:val="000C0461"/>
    <w:rsid w:val="000C04DD"/>
    <w:rsid w:val="000C070D"/>
    <w:rsid w:val="000C072E"/>
    <w:rsid w:val="000C1819"/>
    <w:rsid w:val="000C2C23"/>
    <w:rsid w:val="000C3349"/>
    <w:rsid w:val="000C392A"/>
    <w:rsid w:val="000C3A7E"/>
    <w:rsid w:val="000C3B3E"/>
    <w:rsid w:val="000C3B63"/>
    <w:rsid w:val="000C3FC6"/>
    <w:rsid w:val="000C40BE"/>
    <w:rsid w:val="000C4152"/>
    <w:rsid w:val="000C4540"/>
    <w:rsid w:val="000C4A93"/>
    <w:rsid w:val="000C50EB"/>
    <w:rsid w:val="000C51F0"/>
    <w:rsid w:val="000C5465"/>
    <w:rsid w:val="000C598C"/>
    <w:rsid w:val="000C5B17"/>
    <w:rsid w:val="000C653F"/>
    <w:rsid w:val="000C6DEA"/>
    <w:rsid w:val="000C77E7"/>
    <w:rsid w:val="000C7960"/>
    <w:rsid w:val="000C7F55"/>
    <w:rsid w:val="000C7FDE"/>
    <w:rsid w:val="000D00F8"/>
    <w:rsid w:val="000D01C4"/>
    <w:rsid w:val="000D01E2"/>
    <w:rsid w:val="000D282C"/>
    <w:rsid w:val="000D2D39"/>
    <w:rsid w:val="000D34D7"/>
    <w:rsid w:val="000D37EF"/>
    <w:rsid w:val="000D3BF0"/>
    <w:rsid w:val="000D3C02"/>
    <w:rsid w:val="000D4C6A"/>
    <w:rsid w:val="000D4CF6"/>
    <w:rsid w:val="000D53A5"/>
    <w:rsid w:val="000D53C9"/>
    <w:rsid w:val="000D5538"/>
    <w:rsid w:val="000D5FEB"/>
    <w:rsid w:val="000D6309"/>
    <w:rsid w:val="000D664D"/>
    <w:rsid w:val="000D6F22"/>
    <w:rsid w:val="000D7103"/>
    <w:rsid w:val="000D73FA"/>
    <w:rsid w:val="000E0A81"/>
    <w:rsid w:val="000E12CC"/>
    <w:rsid w:val="000E14BE"/>
    <w:rsid w:val="000E152C"/>
    <w:rsid w:val="000E1824"/>
    <w:rsid w:val="000E185D"/>
    <w:rsid w:val="000E194F"/>
    <w:rsid w:val="000E198A"/>
    <w:rsid w:val="000E1A9D"/>
    <w:rsid w:val="000E23DE"/>
    <w:rsid w:val="000E2842"/>
    <w:rsid w:val="000E2A29"/>
    <w:rsid w:val="000E48DE"/>
    <w:rsid w:val="000E49E0"/>
    <w:rsid w:val="000E4A53"/>
    <w:rsid w:val="000E4C30"/>
    <w:rsid w:val="000E4CCE"/>
    <w:rsid w:val="000E4D27"/>
    <w:rsid w:val="000E580D"/>
    <w:rsid w:val="000E5A02"/>
    <w:rsid w:val="000E5D21"/>
    <w:rsid w:val="000E60B7"/>
    <w:rsid w:val="000F01F1"/>
    <w:rsid w:val="000F0354"/>
    <w:rsid w:val="000F1362"/>
    <w:rsid w:val="000F22DD"/>
    <w:rsid w:val="000F2446"/>
    <w:rsid w:val="000F2494"/>
    <w:rsid w:val="000F2C51"/>
    <w:rsid w:val="000F31DE"/>
    <w:rsid w:val="000F3803"/>
    <w:rsid w:val="000F3F8F"/>
    <w:rsid w:val="000F3FF2"/>
    <w:rsid w:val="000F40A7"/>
    <w:rsid w:val="000F426E"/>
    <w:rsid w:val="000F48E8"/>
    <w:rsid w:val="000F4C23"/>
    <w:rsid w:val="000F4CA1"/>
    <w:rsid w:val="000F5079"/>
    <w:rsid w:val="000F5281"/>
    <w:rsid w:val="000F545A"/>
    <w:rsid w:val="000F57F2"/>
    <w:rsid w:val="000F5E6B"/>
    <w:rsid w:val="000F61C3"/>
    <w:rsid w:val="000F74FE"/>
    <w:rsid w:val="000F7C42"/>
    <w:rsid w:val="0010089E"/>
    <w:rsid w:val="00100F2D"/>
    <w:rsid w:val="00101719"/>
    <w:rsid w:val="00101975"/>
    <w:rsid w:val="00101A37"/>
    <w:rsid w:val="00102094"/>
    <w:rsid w:val="00102423"/>
    <w:rsid w:val="00102695"/>
    <w:rsid w:val="00102FDC"/>
    <w:rsid w:val="00102FF1"/>
    <w:rsid w:val="00103038"/>
    <w:rsid w:val="00103106"/>
    <w:rsid w:val="00103293"/>
    <w:rsid w:val="0010390A"/>
    <w:rsid w:val="00103A88"/>
    <w:rsid w:val="00103BB0"/>
    <w:rsid w:val="00104022"/>
    <w:rsid w:val="0010405E"/>
    <w:rsid w:val="00104256"/>
    <w:rsid w:val="0010499F"/>
    <w:rsid w:val="00104B40"/>
    <w:rsid w:val="00104E7A"/>
    <w:rsid w:val="00104E9D"/>
    <w:rsid w:val="001050C0"/>
    <w:rsid w:val="0010567B"/>
    <w:rsid w:val="0010580C"/>
    <w:rsid w:val="00105AFA"/>
    <w:rsid w:val="00106490"/>
    <w:rsid w:val="0010663D"/>
    <w:rsid w:val="00106741"/>
    <w:rsid w:val="0010675D"/>
    <w:rsid w:val="001068A7"/>
    <w:rsid w:val="00106DBA"/>
    <w:rsid w:val="00106F10"/>
    <w:rsid w:val="0010740B"/>
    <w:rsid w:val="0010749D"/>
    <w:rsid w:val="00107AC5"/>
    <w:rsid w:val="00107BD7"/>
    <w:rsid w:val="001101D7"/>
    <w:rsid w:val="00110A21"/>
    <w:rsid w:val="00111E07"/>
    <w:rsid w:val="00111EFF"/>
    <w:rsid w:val="001122E3"/>
    <w:rsid w:val="001123AD"/>
    <w:rsid w:val="00112574"/>
    <w:rsid w:val="001125B6"/>
    <w:rsid w:val="00112FE2"/>
    <w:rsid w:val="0011379C"/>
    <w:rsid w:val="00113A44"/>
    <w:rsid w:val="001144E4"/>
    <w:rsid w:val="0011454C"/>
    <w:rsid w:val="00114570"/>
    <w:rsid w:val="00114C39"/>
    <w:rsid w:val="00114D0C"/>
    <w:rsid w:val="00114E2D"/>
    <w:rsid w:val="00114EAD"/>
    <w:rsid w:val="00114FE5"/>
    <w:rsid w:val="0011536B"/>
    <w:rsid w:val="00115E38"/>
    <w:rsid w:val="001160E2"/>
    <w:rsid w:val="0011621F"/>
    <w:rsid w:val="001168D2"/>
    <w:rsid w:val="00116E1C"/>
    <w:rsid w:val="00117858"/>
    <w:rsid w:val="00117B19"/>
    <w:rsid w:val="00120213"/>
    <w:rsid w:val="001207D2"/>
    <w:rsid w:val="00120903"/>
    <w:rsid w:val="00120938"/>
    <w:rsid w:val="00120F80"/>
    <w:rsid w:val="0012132B"/>
    <w:rsid w:val="001218A3"/>
    <w:rsid w:val="00122981"/>
    <w:rsid w:val="00122B29"/>
    <w:rsid w:val="00122BCD"/>
    <w:rsid w:val="00122D72"/>
    <w:rsid w:val="00122EB7"/>
    <w:rsid w:val="001232FE"/>
    <w:rsid w:val="00123474"/>
    <w:rsid w:val="001235AD"/>
    <w:rsid w:val="00124224"/>
    <w:rsid w:val="00124493"/>
    <w:rsid w:val="001245B4"/>
    <w:rsid w:val="001248CF"/>
    <w:rsid w:val="0012495E"/>
    <w:rsid w:val="00124B3A"/>
    <w:rsid w:val="00124B80"/>
    <w:rsid w:val="00124DF0"/>
    <w:rsid w:val="00124E6E"/>
    <w:rsid w:val="001251A5"/>
    <w:rsid w:val="001257C3"/>
    <w:rsid w:val="00125984"/>
    <w:rsid w:val="001259CF"/>
    <w:rsid w:val="00125B4F"/>
    <w:rsid w:val="00125DAC"/>
    <w:rsid w:val="00125DD4"/>
    <w:rsid w:val="00126203"/>
    <w:rsid w:val="0012620D"/>
    <w:rsid w:val="00126325"/>
    <w:rsid w:val="00127E1E"/>
    <w:rsid w:val="001300A1"/>
    <w:rsid w:val="001300CA"/>
    <w:rsid w:val="0013029F"/>
    <w:rsid w:val="001309E7"/>
    <w:rsid w:val="00130AAF"/>
    <w:rsid w:val="00130BB7"/>
    <w:rsid w:val="0013195D"/>
    <w:rsid w:val="00131A6F"/>
    <w:rsid w:val="00131E13"/>
    <w:rsid w:val="00131F64"/>
    <w:rsid w:val="00132571"/>
    <w:rsid w:val="00132609"/>
    <w:rsid w:val="00132723"/>
    <w:rsid w:val="00132BFB"/>
    <w:rsid w:val="00132DAD"/>
    <w:rsid w:val="0013308A"/>
    <w:rsid w:val="001331E4"/>
    <w:rsid w:val="001332BE"/>
    <w:rsid w:val="00133B2A"/>
    <w:rsid w:val="00133B3F"/>
    <w:rsid w:val="00133D06"/>
    <w:rsid w:val="00133F6A"/>
    <w:rsid w:val="00134091"/>
    <w:rsid w:val="0013409E"/>
    <w:rsid w:val="001346D4"/>
    <w:rsid w:val="00134731"/>
    <w:rsid w:val="001347F7"/>
    <w:rsid w:val="00134B68"/>
    <w:rsid w:val="00134D21"/>
    <w:rsid w:val="001350E8"/>
    <w:rsid w:val="00135A22"/>
    <w:rsid w:val="00135B04"/>
    <w:rsid w:val="001366E9"/>
    <w:rsid w:val="00136961"/>
    <w:rsid w:val="00137408"/>
    <w:rsid w:val="00137C71"/>
    <w:rsid w:val="00137E09"/>
    <w:rsid w:val="001401D9"/>
    <w:rsid w:val="00140D97"/>
    <w:rsid w:val="00140E43"/>
    <w:rsid w:val="00140F29"/>
    <w:rsid w:val="00141465"/>
    <w:rsid w:val="001420F1"/>
    <w:rsid w:val="00142A91"/>
    <w:rsid w:val="00142F03"/>
    <w:rsid w:val="00143607"/>
    <w:rsid w:val="00143DA2"/>
    <w:rsid w:val="00144437"/>
    <w:rsid w:val="00145166"/>
    <w:rsid w:val="0014549C"/>
    <w:rsid w:val="00145659"/>
    <w:rsid w:val="00145757"/>
    <w:rsid w:val="00145BBA"/>
    <w:rsid w:val="00145D6F"/>
    <w:rsid w:val="00145F36"/>
    <w:rsid w:val="00146BB2"/>
    <w:rsid w:val="00146BE7"/>
    <w:rsid w:val="001474DF"/>
    <w:rsid w:val="001479C3"/>
    <w:rsid w:val="00150243"/>
    <w:rsid w:val="0015042B"/>
    <w:rsid w:val="00150B66"/>
    <w:rsid w:val="00150D67"/>
    <w:rsid w:val="001512F9"/>
    <w:rsid w:val="00151728"/>
    <w:rsid w:val="0015187D"/>
    <w:rsid w:val="001519CA"/>
    <w:rsid w:val="00151A43"/>
    <w:rsid w:val="00151D13"/>
    <w:rsid w:val="00151DC0"/>
    <w:rsid w:val="001521D5"/>
    <w:rsid w:val="0015260F"/>
    <w:rsid w:val="00152FAA"/>
    <w:rsid w:val="0015316A"/>
    <w:rsid w:val="00153CC9"/>
    <w:rsid w:val="00153D7E"/>
    <w:rsid w:val="00154168"/>
    <w:rsid w:val="001550CC"/>
    <w:rsid w:val="00155557"/>
    <w:rsid w:val="00155F7A"/>
    <w:rsid w:val="0015642F"/>
    <w:rsid w:val="0015659F"/>
    <w:rsid w:val="0015683D"/>
    <w:rsid w:val="00157602"/>
    <w:rsid w:val="001601B1"/>
    <w:rsid w:val="001602A3"/>
    <w:rsid w:val="0016030C"/>
    <w:rsid w:val="001612DD"/>
    <w:rsid w:val="00161413"/>
    <w:rsid w:val="0016165C"/>
    <w:rsid w:val="00161EA4"/>
    <w:rsid w:val="00162010"/>
    <w:rsid w:val="001624EE"/>
    <w:rsid w:val="001627CA"/>
    <w:rsid w:val="0016292F"/>
    <w:rsid w:val="00162E31"/>
    <w:rsid w:val="001630F7"/>
    <w:rsid w:val="00163BC7"/>
    <w:rsid w:val="00163C2F"/>
    <w:rsid w:val="001641A4"/>
    <w:rsid w:val="001641C2"/>
    <w:rsid w:val="001643C9"/>
    <w:rsid w:val="00164720"/>
    <w:rsid w:val="00164B43"/>
    <w:rsid w:val="00164D21"/>
    <w:rsid w:val="00164E2D"/>
    <w:rsid w:val="0016516B"/>
    <w:rsid w:val="001660FF"/>
    <w:rsid w:val="001664D2"/>
    <w:rsid w:val="00166A83"/>
    <w:rsid w:val="00167A50"/>
    <w:rsid w:val="00167E40"/>
    <w:rsid w:val="001702C5"/>
    <w:rsid w:val="00170CD7"/>
    <w:rsid w:val="001712D6"/>
    <w:rsid w:val="00171B22"/>
    <w:rsid w:val="00171C96"/>
    <w:rsid w:val="00171E63"/>
    <w:rsid w:val="00171EF6"/>
    <w:rsid w:val="00172044"/>
    <w:rsid w:val="00172708"/>
    <w:rsid w:val="00172A05"/>
    <w:rsid w:val="0017424E"/>
    <w:rsid w:val="00174878"/>
    <w:rsid w:val="00175242"/>
    <w:rsid w:val="001752F7"/>
    <w:rsid w:val="00175878"/>
    <w:rsid w:val="00175E1D"/>
    <w:rsid w:val="00176005"/>
    <w:rsid w:val="001761E7"/>
    <w:rsid w:val="00176A71"/>
    <w:rsid w:val="00176B9C"/>
    <w:rsid w:val="001771CC"/>
    <w:rsid w:val="001772F9"/>
    <w:rsid w:val="0017775D"/>
    <w:rsid w:val="00177778"/>
    <w:rsid w:val="0018009C"/>
    <w:rsid w:val="0018024E"/>
    <w:rsid w:val="001806B4"/>
    <w:rsid w:val="0018078B"/>
    <w:rsid w:val="00180AB7"/>
    <w:rsid w:val="00180C98"/>
    <w:rsid w:val="001813E6"/>
    <w:rsid w:val="0018171B"/>
    <w:rsid w:val="00181983"/>
    <w:rsid w:val="00181FDC"/>
    <w:rsid w:val="001823D0"/>
    <w:rsid w:val="00182754"/>
    <w:rsid w:val="00182E4D"/>
    <w:rsid w:val="001832A4"/>
    <w:rsid w:val="0018362F"/>
    <w:rsid w:val="00183EC6"/>
    <w:rsid w:val="00184CD1"/>
    <w:rsid w:val="0018523D"/>
    <w:rsid w:val="0018568F"/>
    <w:rsid w:val="001858EE"/>
    <w:rsid w:val="00186883"/>
    <w:rsid w:val="0018688B"/>
    <w:rsid w:val="001869D5"/>
    <w:rsid w:val="00186F56"/>
    <w:rsid w:val="00187047"/>
    <w:rsid w:val="001872F0"/>
    <w:rsid w:val="00187519"/>
    <w:rsid w:val="0018752E"/>
    <w:rsid w:val="00190454"/>
    <w:rsid w:val="0019068F"/>
    <w:rsid w:val="001907B2"/>
    <w:rsid w:val="00191196"/>
    <w:rsid w:val="0019124C"/>
    <w:rsid w:val="001913D3"/>
    <w:rsid w:val="00191520"/>
    <w:rsid w:val="00191802"/>
    <w:rsid w:val="00191938"/>
    <w:rsid w:val="00192173"/>
    <w:rsid w:val="001924E4"/>
    <w:rsid w:val="0019277A"/>
    <w:rsid w:val="0019287F"/>
    <w:rsid w:val="00192A8B"/>
    <w:rsid w:val="00192E5C"/>
    <w:rsid w:val="00192F1F"/>
    <w:rsid w:val="001930E8"/>
    <w:rsid w:val="00193205"/>
    <w:rsid w:val="001942FC"/>
    <w:rsid w:val="00194641"/>
    <w:rsid w:val="00194B9F"/>
    <w:rsid w:val="00194FC8"/>
    <w:rsid w:val="00194FF5"/>
    <w:rsid w:val="00195547"/>
    <w:rsid w:val="00195569"/>
    <w:rsid w:val="00195764"/>
    <w:rsid w:val="00196A0D"/>
    <w:rsid w:val="00196D78"/>
    <w:rsid w:val="00196E95"/>
    <w:rsid w:val="00197710"/>
    <w:rsid w:val="00197F7C"/>
    <w:rsid w:val="001A00CF"/>
    <w:rsid w:val="001A0FED"/>
    <w:rsid w:val="001A1817"/>
    <w:rsid w:val="001A28C8"/>
    <w:rsid w:val="001A2FCD"/>
    <w:rsid w:val="001A3787"/>
    <w:rsid w:val="001A3945"/>
    <w:rsid w:val="001A4482"/>
    <w:rsid w:val="001A4823"/>
    <w:rsid w:val="001A4BE2"/>
    <w:rsid w:val="001A537C"/>
    <w:rsid w:val="001A5787"/>
    <w:rsid w:val="001A58A7"/>
    <w:rsid w:val="001A5E7C"/>
    <w:rsid w:val="001A62E2"/>
    <w:rsid w:val="001A6567"/>
    <w:rsid w:val="001A674C"/>
    <w:rsid w:val="001A76D1"/>
    <w:rsid w:val="001A7E4C"/>
    <w:rsid w:val="001B093D"/>
    <w:rsid w:val="001B09BA"/>
    <w:rsid w:val="001B0CB4"/>
    <w:rsid w:val="001B0DCA"/>
    <w:rsid w:val="001B10B3"/>
    <w:rsid w:val="001B113D"/>
    <w:rsid w:val="001B22D4"/>
    <w:rsid w:val="001B2578"/>
    <w:rsid w:val="001B26EB"/>
    <w:rsid w:val="001B30B3"/>
    <w:rsid w:val="001B36E8"/>
    <w:rsid w:val="001B394F"/>
    <w:rsid w:val="001B3B67"/>
    <w:rsid w:val="001B3B8B"/>
    <w:rsid w:val="001B3BCC"/>
    <w:rsid w:val="001B3EE6"/>
    <w:rsid w:val="001B40B2"/>
    <w:rsid w:val="001B44D3"/>
    <w:rsid w:val="001B4714"/>
    <w:rsid w:val="001B4C93"/>
    <w:rsid w:val="001B4EF3"/>
    <w:rsid w:val="001B602E"/>
    <w:rsid w:val="001B611B"/>
    <w:rsid w:val="001B61B3"/>
    <w:rsid w:val="001B62F7"/>
    <w:rsid w:val="001B65E5"/>
    <w:rsid w:val="001B66C3"/>
    <w:rsid w:val="001B68A1"/>
    <w:rsid w:val="001B6B4A"/>
    <w:rsid w:val="001B7125"/>
    <w:rsid w:val="001B74CA"/>
    <w:rsid w:val="001B79D8"/>
    <w:rsid w:val="001B7B2A"/>
    <w:rsid w:val="001B7FA6"/>
    <w:rsid w:val="001C1321"/>
    <w:rsid w:val="001C16C3"/>
    <w:rsid w:val="001C192B"/>
    <w:rsid w:val="001C1D8B"/>
    <w:rsid w:val="001C2050"/>
    <w:rsid w:val="001C2062"/>
    <w:rsid w:val="001C2252"/>
    <w:rsid w:val="001C23D8"/>
    <w:rsid w:val="001C24CC"/>
    <w:rsid w:val="001C2A93"/>
    <w:rsid w:val="001C2D3A"/>
    <w:rsid w:val="001C35DB"/>
    <w:rsid w:val="001C3751"/>
    <w:rsid w:val="001C37D6"/>
    <w:rsid w:val="001C3BC4"/>
    <w:rsid w:val="001C3C8C"/>
    <w:rsid w:val="001C4005"/>
    <w:rsid w:val="001C413A"/>
    <w:rsid w:val="001C4FCA"/>
    <w:rsid w:val="001C5188"/>
    <w:rsid w:val="001C57AB"/>
    <w:rsid w:val="001C57CC"/>
    <w:rsid w:val="001C59AB"/>
    <w:rsid w:val="001C5A4D"/>
    <w:rsid w:val="001C5B1D"/>
    <w:rsid w:val="001C5D77"/>
    <w:rsid w:val="001C6848"/>
    <w:rsid w:val="001C6CD6"/>
    <w:rsid w:val="001C6DC8"/>
    <w:rsid w:val="001C718C"/>
    <w:rsid w:val="001C7CBB"/>
    <w:rsid w:val="001C7D79"/>
    <w:rsid w:val="001D00E8"/>
    <w:rsid w:val="001D09F0"/>
    <w:rsid w:val="001D1431"/>
    <w:rsid w:val="001D1B33"/>
    <w:rsid w:val="001D1B93"/>
    <w:rsid w:val="001D25E7"/>
    <w:rsid w:val="001D2AD3"/>
    <w:rsid w:val="001D2F2A"/>
    <w:rsid w:val="001D352E"/>
    <w:rsid w:val="001D35F1"/>
    <w:rsid w:val="001D3A7B"/>
    <w:rsid w:val="001D3D19"/>
    <w:rsid w:val="001D40BF"/>
    <w:rsid w:val="001D414A"/>
    <w:rsid w:val="001D42A5"/>
    <w:rsid w:val="001D4309"/>
    <w:rsid w:val="001D4CEB"/>
    <w:rsid w:val="001D4DEE"/>
    <w:rsid w:val="001D4E09"/>
    <w:rsid w:val="001D56D6"/>
    <w:rsid w:val="001D6123"/>
    <w:rsid w:val="001D616C"/>
    <w:rsid w:val="001D6910"/>
    <w:rsid w:val="001D6E44"/>
    <w:rsid w:val="001D71E8"/>
    <w:rsid w:val="001D7B0A"/>
    <w:rsid w:val="001D7CFA"/>
    <w:rsid w:val="001E02AC"/>
    <w:rsid w:val="001E04A4"/>
    <w:rsid w:val="001E0986"/>
    <w:rsid w:val="001E0C28"/>
    <w:rsid w:val="001E0E6B"/>
    <w:rsid w:val="001E109A"/>
    <w:rsid w:val="001E11E0"/>
    <w:rsid w:val="001E141B"/>
    <w:rsid w:val="001E144B"/>
    <w:rsid w:val="001E1635"/>
    <w:rsid w:val="001E1ADD"/>
    <w:rsid w:val="001E1F22"/>
    <w:rsid w:val="001E23F8"/>
    <w:rsid w:val="001E3138"/>
    <w:rsid w:val="001E34CC"/>
    <w:rsid w:val="001E3C6B"/>
    <w:rsid w:val="001E3E53"/>
    <w:rsid w:val="001E48C3"/>
    <w:rsid w:val="001E4BA2"/>
    <w:rsid w:val="001E4D33"/>
    <w:rsid w:val="001E58F1"/>
    <w:rsid w:val="001E5C4D"/>
    <w:rsid w:val="001E5D5B"/>
    <w:rsid w:val="001E5E5D"/>
    <w:rsid w:val="001E6260"/>
    <w:rsid w:val="001E69B7"/>
    <w:rsid w:val="001E6CFE"/>
    <w:rsid w:val="001E6E9E"/>
    <w:rsid w:val="001E6EC9"/>
    <w:rsid w:val="001E6F2D"/>
    <w:rsid w:val="001E712E"/>
    <w:rsid w:val="001E71E4"/>
    <w:rsid w:val="001E7380"/>
    <w:rsid w:val="001E74AC"/>
    <w:rsid w:val="001E7608"/>
    <w:rsid w:val="001E7676"/>
    <w:rsid w:val="001F0B01"/>
    <w:rsid w:val="001F0F9E"/>
    <w:rsid w:val="001F127C"/>
    <w:rsid w:val="001F135E"/>
    <w:rsid w:val="001F1EF8"/>
    <w:rsid w:val="001F1F59"/>
    <w:rsid w:val="001F26B4"/>
    <w:rsid w:val="001F2751"/>
    <w:rsid w:val="001F2987"/>
    <w:rsid w:val="001F30F4"/>
    <w:rsid w:val="001F33E0"/>
    <w:rsid w:val="001F3A0A"/>
    <w:rsid w:val="001F3A65"/>
    <w:rsid w:val="001F3F01"/>
    <w:rsid w:val="001F4A8F"/>
    <w:rsid w:val="001F4B50"/>
    <w:rsid w:val="001F4B73"/>
    <w:rsid w:val="001F4BD5"/>
    <w:rsid w:val="001F54A9"/>
    <w:rsid w:val="001F5632"/>
    <w:rsid w:val="001F5D31"/>
    <w:rsid w:val="001F5D47"/>
    <w:rsid w:val="001F5FBD"/>
    <w:rsid w:val="001F611A"/>
    <w:rsid w:val="001F61EA"/>
    <w:rsid w:val="001F6318"/>
    <w:rsid w:val="001F63F3"/>
    <w:rsid w:val="001F6430"/>
    <w:rsid w:val="001F6B5B"/>
    <w:rsid w:val="001F6C99"/>
    <w:rsid w:val="001F6E14"/>
    <w:rsid w:val="001F751D"/>
    <w:rsid w:val="001F7526"/>
    <w:rsid w:val="001F7F53"/>
    <w:rsid w:val="002002FF"/>
    <w:rsid w:val="0020032D"/>
    <w:rsid w:val="00200366"/>
    <w:rsid w:val="00200377"/>
    <w:rsid w:val="002003B1"/>
    <w:rsid w:val="002008B2"/>
    <w:rsid w:val="00200D7F"/>
    <w:rsid w:val="00200F8A"/>
    <w:rsid w:val="0020140B"/>
    <w:rsid w:val="002019C1"/>
    <w:rsid w:val="00201A16"/>
    <w:rsid w:val="00201AA1"/>
    <w:rsid w:val="002020D6"/>
    <w:rsid w:val="0020264C"/>
    <w:rsid w:val="00202A16"/>
    <w:rsid w:val="00202FB5"/>
    <w:rsid w:val="002035BB"/>
    <w:rsid w:val="00203749"/>
    <w:rsid w:val="00203D49"/>
    <w:rsid w:val="0020423D"/>
    <w:rsid w:val="00204668"/>
    <w:rsid w:val="002048B7"/>
    <w:rsid w:val="00204ECC"/>
    <w:rsid w:val="002054AA"/>
    <w:rsid w:val="0020554C"/>
    <w:rsid w:val="00205C8A"/>
    <w:rsid w:val="00206C71"/>
    <w:rsid w:val="00207377"/>
    <w:rsid w:val="00207FF9"/>
    <w:rsid w:val="002100BA"/>
    <w:rsid w:val="0021085A"/>
    <w:rsid w:val="00210B0F"/>
    <w:rsid w:val="00210DA1"/>
    <w:rsid w:val="00210E69"/>
    <w:rsid w:val="00210F59"/>
    <w:rsid w:val="00211144"/>
    <w:rsid w:val="00211321"/>
    <w:rsid w:val="00211EA7"/>
    <w:rsid w:val="0021230E"/>
    <w:rsid w:val="00212574"/>
    <w:rsid w:val="00212701"/>
    <w:rsid w:val="00212C5D"/>
    <w:rsid w:val="00212D4F"/>
    <w:rsid w:val="002141B4"/>
    <w:rsid w:val="0021426B"/>
    <w:rsid w:val="002143AA"/>
    <w:rsid w:val="00214429"/>
    <w:rsid w:val="00214960"/>
    <w:rsid w:val="00215A68"/>
    <w:rsid w:val="00215EC5"/>
    <w:rsid w:val="00216042"/>
    <w:rsid w:val="00216554"/>
    <w:rsid w:val="00216912"/>
    <w:rsid w:val="00216CB8"/>
    <w:rsid w:val="0021762B"/>
    <w:rsid w:val="00217D6F"/>
    <w:rsid w:val="0022069C"/>
    <w:rsid w:val="00220973"/>
    <w:rsid w:val="00220CFD"/>
    <w:rsid w:val="00220E71"/>
    <w:rsid w:val="00221B2F"/>
    <w:rsid w:val="00221C11"/>
    <w:rsid w:val="00221DF5"/>
    <w:rsid w:val="00222323"/>
    <w:rsid w:val="002223B9"/>
    <w:rsid w:val="0022266B"/>
    <w:rsid w:val="0022268F"/>
    <w:rsid w:val="00222850"/>
    <w:rsid w:val="0022299F"/>
    <w:rsid w:val="00223284"/>
    <w:rsid w:val="00223B6E"/>
    <w:rsid w:val="00223C5C"/>
    <w:rsid w:val="00223E30"/>
    <w:rsid w:val="0022443D"/>
    <w:rsid w:val="00224583"/>
    <w:rsid w:val="00224802"/>
    <w:rsid w:val="00224804"/>
    <w:rsid w:val="00225018"/>
    <w:rsid w:val="00225045"/>
    <w:rsid w:val="00225231"/>
    <w:rsid w:val="002257E3"/>
    <w:rsid w:val="00225AE5"/>
    <w:rsid w:val="00225DC2"/>
    <w:rsid w:val="002262FC"/>
    <w:rsid w:val="00226337"/>
    <w:rsid w:val="00226339"/>
    <w:rsid w:val="00226AA1"/>
    <w:rsid w:val="00226C7D"/>
    <w:rsid w:val="00227603"/>
    <w:rsid w:val="00227F23"/>
    <w:rsid w:val="00230722"/>
    <w:rsid w:val="00230BBC"/>
    <w:rsid w:val="00230EFA"/>
    <w:rsid w:val="002310F6"/>
    <w:rsid w:val="002315B2"/>
    <w:rsid w:val="00231BEF"/>
    <w:rsid w:val="00231DF2"/>
    <w:rsid w:val="00231E01"/>
    <w:rsid w:val="00231E45"/>
    <w:rsid w:val="00232397"/>
    <w:rsid w:val="0023269B"/>
    <w:rsid w:val="00232E7B"/>
    <w:rsid w:val="00232F86"/>
    <w:rsid w:val="0023327A"/>
    <w:rsid w:val="00233D29"/>
    <w:rsid w:val="00234A3B"/>
    <w:rsid w:val="00234E0D"/>
    <w:rsid w:val="00234EBF"/>
    <w:rsid w:val="002350DC"/>
    <w:rsid w:val="002354B7"/>
    <w:rsid w:val="0023570A"/>
    <w:rsid w:val="002359A7"/>
    <w:rsid w:val="002359BE"/>
    <w:rsid w:val="00235E1B"/>
    <w:rsid w:val="00235FCC"/>
    <w:rsid w:val="0023628C"/>
    <w:rsid w:val="00236827"/>
    <w:rsid w:val="00236A87"/>
    <w:rsid w:val="00236CA1"/>
    <w:rsid w:val="00236FA8"/>
    <w:rsid w:val="00237199"/>
    <w:rsid w:val="00237406"/>
    <w:rsid w:val="00237453"/>
    <w:rsid w:val="00237B1C"/>
    <w:rsid w:val="00237B85"/>
    <w:rsid w:val="0024041B"/>
    <w:rsid w:val="00240610"/>
    <w:rsid w:val="00240901"/>
    <w:rsid w:val="00241016"/>
    <w:rsid w:val="00241098"/>
    <w:rsid w:val="002410A5"/>
    <w:rsid w:val="002412F7"/>
    <w:rsid w:val="00241CFF"/>
    <w:rsid w:val="0024222F"/>
    <w:rsid w:val="002424C6"/>
    <w:rsid w:val="002429FB"/>
    <w:rsid w:val="00242E99"/>
    <w:rsid w:val="00243A60"/>
    <w:rsid w:val="00243F6B"/>
    <w:rsid w:val="00244379"/>
    <w:rsid w:val="00244551"/>
    <w:rsid w:val="00244B25"/>
    <w:rsid w:val="00244BCF"/>
    <w:rsid w:val="00244C0D"/>
    <w:rsid w:val="00244F29"/>
    <w:rsid w:val="002450EA"/>
    <w:rsid w:val="00245BE3"/>
    <w:rsid w:val="00246109"/>
    <w:rsid w:val="00246289"/>
    <w:rsid w:val="00246725"/>
    <w:rsid w:val="00246741"/>
    <w:rsid w:val="00246BDF"/>
    <w:rsid w:val="002477C2"/>
    <w:rsid w:val="002478D5"/>
    <w:rsid w:val="00247E0D"/>
    <w:rsid w:val="002504A6"/>
    <w:rsid w:val="00250765"/>
    <w:rsid w:val="00250816"/>
    <w:rsid w:val="00250A31"/>
    <w:rsid w:val="00250CF3"/>
    <w:rsid w:val="00251001"/>
    <w:rsid w:val="0025104B"/>
    <w:rsid w:val="002514D8"/>
    <w:rsid w:val="0025161A"/>
    <w:rsid w:val="00251791"/>
    <w:rsid w:val="00252116"/>
    <w:rsid w:val="00252EE1"/>
    <w:rsid w:val="002532FB"/>
    <w:rsid w:val="002536B2"/>
    <w:rsid w:val="0025380E"/>
    <w:rsid w:val="002542DC"/>
    <w:rsid w:val="00254327"/>
    <w:rsid w:val="002557BB"/>
    <w:rsid w:val="00255C31"/>
    <w:rsid w:val="002564A5"/>
    <w:rsid w:val="0025673C"/>
    <w:rsid w:val="0025682D"/>
    <w:rsid w:val="00257988"/>
    <w:rsid w:val="00257E6B"/>
    <w:rsid w:val="00257F1E"/>
    <w:rsid w:val="0026067D"/>
    <w:rsid w:val="00260C54"/>
    <w:rsid w:val="00260E3F"/>
    <w:rsid w:val="00261084"/>
    <w:rsid w:val="0026110A"/>
    <w:rsid w:val="0026123F"/>
    <w:rsid w:val="002615EF"/>
    <w:rsid w:val="00261606"/>
    <w:rsid w:val="00261A99"/>
    <w:rsid w:val="002623B5"/>
    <w:rsid w:val="002635B7"/>
    <w:rsid w:val="00263630"/>
    <w:rsid w:val="002636D0"/>
    <w:rsid w:val="00263CB9"/>
    <w:rsid w:val="00264890"/>
    <w:rsid w:val="00264B41"/>
    <w:rsid w:val="00264B8E"/>
    <w:rsid w:val="002655B2"/>
    <w:rsid w:val="0026568C"/>
    <w:rsid w:val="00265A47"/>
    <w:rsid w:val="00265AD5"/>
    <w:rsid w:val="002667BD"/>
    <w:rsid w:val="002668E6"/>
    <w:rsid w:val="00266DFB"/>
    <w:rsid w:val="002677BB"/>
    <w:rsid w:val="00267991"/>
    <w:rsid w:val="00267BE7"/>
    <w:rsid w:val="00267DAB"/>
    <w:rsid w:val="00270156"/>
    <w:rsid w:val="002703FD"/>
    <w:rsid w:val="00270425"/>
    <w:rsid w:val="00270A29"/>
    <w:rsid w:val="00270DC2"/>
    <w:rsid w:val="00270EFE"/>
    <w:rsid w:val="00270FA7"/>
    <w:rsid w:val="0027143F"/>
    <w:rsid w:val="002715A5"/>
    <w:rsid w:val="00271D91"/>
    <w:rsid w:val="00271E6E"/>
    <w:rsid w:val="00272755"/>
    <w:rsid w:val="00272C0C"/>
    <w:rsid w:val="00273493"/>
    <w:rsid w:val="002736A8"/>
    <w:rsid w:val="00273A3E"/>
    <w:rsid w:val="00273C00"/>
    <w:rsid w:val="00274187"/>
    <w:rsid w:val="0027434E"/>
    <w:rsid w:val="002748B5"/>
    <w:rsid w:val="0027491F"/>
    <w:rsid w:val="00275471"/>
    <w:rsid w:val="00275A6E"/>
    <w:rsid w:val="00275C31"/>
    <w:rsid w:val="00275D22"/>
    <w:rsid w:val="00276490"/>
    <w:rsid w:val="002765E3"/>
    <w:rsid w:val="00277305"/>
    <w:rsid w:val="002773F8"/>
    <w:rsid w:val="00277484"/>
    <w:rsid w:val="00277742"/>
    <w:rsid w:val="00277CEF"/>
    <w:rsid w:val="00277D9D"/>
    <w:rsid w:val="0028061C"/>
    <w:rsid w:val="00280712"/>
    <w:rsid w:val="00280A13"/>
    <w:rsid w:val="00280A4A"/>
    <w:rsid w:val="00280ADB"/>
    <w:rsid w:val="002810E5"/>
    <w:rsid w:val="00281113"/>
    <w:rsid w:val="002811D2"/>
    <w:rsid w:val="0028179A"/>
    <w:rsid w:val="0028186D"/>
    <w:rsid w:val="00281EDC"/>
    <w:rsid w:val="00282890"/>
    <w:rsid w:val="00282A61"/>
    <w:rsid w:val="00282E0C"/>
    <w:rsid w:val="00282F5C"/>
    <w:rsid w:val="0028342B"/>
    <w:rsid w:val="0028363C"/>
    <w:rsid w:val="00284006"/>
    <w:rsid w:val="00284323"/>
    <w:rsid w:val="0028463E"/>
    <w:rsid w:val="00284733"/>
    <w:rsid w:val="00284928"/>
    <w:rsid w:val="00284D4E"/>
    <w:rsid w:val="00285141"/>
    <w:rsid w:val="002853C2"/>
    <w:rsid w:val="00285B96"/>
    <w:rsid w:val="00286744"/>
    <w:rsid w:val="00286A4C"/>
    <w:rsid w:val="00286F0E"/>
    <w:rsid w:val="00287308"/>
    <w:rsid w:val="002874FF"/>
    <w:rsid w:val="00287E17"/>
    <w:rsid w:val="00287F0A"/>
    <w:rsid w:val="00290366"/>
    <w:rsid w:val="00290470"/>
    <w:rsid w:val="002918D1"/>
    <w:rsid w:val="00291960"/>
    <w:rsid w:val="00291B88"/>
    <w:rsid w:val="00292598"/>
    <w:rsid w:val="0029288E"/>
    <w:rsid w:val="00293034"/>
    <w:rsid w:val="00294366"/>
    <w:rsid w:val="002944B9"/>
    <w:rsid w:val="00294A0E"/>
    <w:rsid w:val="00294CA2"/>
    <w:rsid w:val="00295177"/>
    <w:rsid w:val="002955BD"/>
    <w:rsid w:val="00295E42"/>
    <w:rsid w:val="002962ED"/>
    <w:rsid w:val="00296413"/>
    <w:rsid w:val="0029658B"/>
    <w:rsid w:val="00296B86"/>
    <w:rsid w:val="00296FDA"/>
    <w:rsid w:val="00297A47"/>
    <w:rsid w:val="00297ADC"/>
    <w:rsid w:val="00297BF6"/>
    <w:rsid w:val="002A10A7"/>
    <w:rsid w:val="002A14FC"/>
    <w:rsid w:val="002A1D5B"/>
    <w:rsid w:val="002A22CE"/>
    <w:rsid w:val="002A2CE6"/>
    <w:rsid w:val="002A2D4E"/>
    <w:rsid w:val="002A2ED4"/>
    <w:rsid w:val="002A3895"/>
    <w:rsid w:val="002A3C0A"/>
    <w:rsid w:val="002A42F8"/>
    <w:rsid w:val="002A4823"/>
    <w:rsid w:val="002A4CF4"/>
    <w:rsid w:val="002A5D47"/>
    <w:rsid w:val="002A607D"/>
    <w:rsid w:val="002A60F9"/>
    <w:rsid w:val="002A6238"/>
    <w:rsid w:val="002A6AC9"/>
    <w:rsid w:val="002A6B35"/>
    <w:rsid w:val="002A704F"/>
    <w:rsid w:val="002A70FE"/>
    <w:rsid w:val="002A73E1"/>
    <w:rsid w:val="002A7512"/>
    <w:rsid w:val="002A7DF5"/>
    <w:rsid w:val="002B0101"/>
    <w:rsid w:val="002B0252"/>
    <w:rsid w:val="002B06DE"/>
    <w:rsid w:val="002B0FA0"/>
    <w:rsid w:val="002B0FC0"/>
    <w:rsid w:val="002B18FA"/>
    <w:rsid w:val="002B191B"/>
    <w:rsid w:val="002B1C89"/>
    <w:rsid w:val="002B1E3F"/>
    <w:rsid w:val="002B2A7F"/>
    <w:rsid w:val="002B2B4C"/>
    <w:rsid w:val="002B3268"/>
    <w:rsid w:val="002B40FE"/>
    <w:rsid w:val="002B42CC"/>
    <w:rsid w:val="002B4A39"/>
    <w:rsid w:val="002B5199"/>
    <w:rsid w:val="002B51DF"/>
    <w:rsid w:val="002B5541"/>
    <w:rsid w:val="002B5575"/>
    <w:rsid w:val="002B5EA3"/>
    <w:rsid w:val="002B6388"/>
    <w:rsid w:val="002B67F1"/>
    <w:rsid w:val="002B685C"/>
    <w:rsid w:val="002B6DF2"/>
    <w:rsid w:val="002B6F69"/>
    <w:rsid w:val="002B738A"/>
    <w:rsid w:val="002B7A5A"/>
    <w:rsid w:val="002B7CB6"/>
    <w:rsid w:val="002B7F09"/>
    <w:rsid w:val="002C00C4"/>
    <w:rsid w:val="002C0A59"/>
    <w:rsid w:val="002C0C0C"/>
    <w:rsid w:val="002C10D2"/>
    <w:rsid w:val="002C15C2"/>
    <w:rsid w:val="002C184C"/>
    <w:rsid w:val="002C2140"/>
    <w:rsid w:val="002C26B7"/>
    <w:rsid w:val="002C2BF9"/>
    <w:rsid w:val="002C2FCD"/>
    <w:rsid w:val="002C39BA"/>
    <w:rsid w:val="002C3B74"/>
    <w:rsid w:val="002C3D66"/>
    <w:rsid w:val="002C3E52"/>
    <w:rsid w:val="002C3F77"/>
    <w:rsid w:val="002C46AC"/>
    <w:rsid w:val="002C4B49"/>
    <w:rsid w:val="002C4B4D"/>
    <w:rsid w:val="002C4C4E"/>
    <w:rsid w:val="002C4EAB"/>
    <w:rsid w:val="002C55F3"/>
    <w:rsid w:val="002C5B15"/>
    <w:rsid w:val="002C5BE0"/>
    <w:rsid w:val="002C5C24"/>
    <w:rsid w:val="002C669B"/>
    <w:rsid w:val="002C700E"/>
    <w:rsid w:val="002C7775"/>
    <w:rsid w:val="002C77B6"/>
    <w:rsid w:val="002C7AD4"/>
    <w:rsid w:val="002C7E24"/>
    <w:rsid w:val="002C7EC8"/>
    <w:rsid w:val="002C7FF3"/>
    <w:rsid w:val="002D0339"/>
    <w:rsid w:val="002D048F"/>
    <w:rsid w:val="002D1181"/>
    <w:rsid w:val="002D17F4"/>
    <w:rsid w:val="002D192D"/>
    <w:rsid w:val="002D1C77"/>
    <w:rsid w:val="002D1CC3"/>
    <w:rsid w:val="002D267F"/>
    <w:rsid w:val="002D348A"/>
    <w:rsid w:val="002D4199"/>
    <w:rsid w:val="002D456E"/>
    <w:rsid w:val="002D4921"/>
    <w:rsid w:val="002D5204"/>
    <w:rsid w:val="002D55D3"/>
    <w:rsid w:val="002D5C51"/>
    <w:rsid w:val="002D5DCB"/>
    <w:rsid w:val="002D6073"/>
    <w:rsid w:val="002D6209"/>
    <w:rsid w:val="002D6BB3"/>
    <w:rsid w:val="002D6D87"/>
    <w:rsid w:val="002D6DEB"/>
    <w:rsid w:val="002D7043"/>
    <w:rsid w:val="002D7339"/>
    <w:rsid w:val="002D7719"/>
    <w:rsid w:val="002D7796"/>
    <w:rsid w:val="002D78B0"/>
    <w:rsid w:val="002D7926"/>
    <w:rsid w:val="002E0B9A"/>
    <w:rsid w:val="002E106F"/>
    <w:rsid w:val="002E1356"/>
    <w:rsid w:val="002E14FB"/>
    <w:rsid w:val="002E15D9"/>
    <w:rsid w:val="002E2155"/>
    <w:rsid w:val="002E22F4"/>
    <w:rsid w:val="002E2EF9"/>
    <w:rsid w:val="002E37A8"/>
    <w:rsid w:val="002E39F2"/>
    <w:rsid w:val="002E3A83"/>
    <w:rsid w:val="002E4358"/>
    <w:rsid w:val="002E4575"/>
    <w:rsid w:val="002E4910"/>
    <w:rsid w:val="002E4FAC"/>
    <w:rsid w:val="002E506C"/>
    <w:rsid w:val="002E518F"/>
    <w:rsid w:val="002E58D5"/>
    <w:rsid w:val="002E6321"/>
    <w:rsid w:val="002E67E8"/>
    <w:rsid w:val="002E6E9F"/>
    <w:rsid w:val="002E6ED9"/>
    <w:rsid w:val="002E7248"/>
    <w:rsid w:val="002E7DC1"/>
    <w:rsid w:val="002E7F08"/>
    <w:rsid w:val="002F063E"/>
    <w:rsid w:val="002F0827"/>
    <w:rsid w:val="002F102A"/>
    <w:rsid w:val="002F158E"/>
    <w:rsid w:val="002F19BE"/>
    <w:rsid w:val="002F19CF"/>
    <w:rsid w:val="002F1C95"/>
    <w:rsid w:val="002F1CC3"/>
    <w:rsid w:val="002F2400"/>
    <w:rsid w:val="002F24B0"/>
    <w:rsid w:val="002F29DC"/>
    <w:rsid w:val="002F40EC"/>
    <w:rsid w:val="002F4170"/>
    <w:rsid w:val="002F42D1"/>
    <w:rsid w:val="002F4636"/>
    <w:rsid w:val="002F480A"/>
    <w:rsid w:val="002F4ECB"/>
    <w:rsid w:val="002F4EF8"/>
    <w:rsid w:val="002F5168"/>
    <w:rsid w:val="002F5629"/>
    <w:rsid w:val="002F5F2A"/>
    <w:rsid w:val="002F6391"/>
    <w:rsid w:val="002F653B"/>
    <w:rsid w:val="002F6CB5"/>
    <w:rsid w:val="002F736A"/>
    <w:rsid w:val="0030098A"/>
    <w:rsid w:val="0030170C"/>
    <w:rsid w:val="003018DF"/>
    <w:rsid w:val="00301C17"/>
    <w:rsid w:val="00302D7A"/>
    <w:rsid w:val="00303104"/>
    <w:rsid w:val="00303428"/>
    <w:rsid w:val="00303B60"/>
    <w:rsid w:val="00303DB2"/>
    <w:rsid w:val="00303EB8"/>
    <w:rsid w:val="003049D6"/>
    <w:rsid w:val="00304AE5"/>
    <w:rsid w:val="00304C85"/>
    <w:rsid w:val="003052D6"/>
    <w:rsid w:val="00305403"/>
    <w:rsid w:val="00305AF2"/>
    <w:rsid w:val="00305B0C"/>
    <w:rsid w:val="0030608E"/>
    <w:rsid w:val="003063E8"/>
    <w:rsid w:val="00306DB6"/>
    <w:rsid w:val="0030728E"/>
    <w:rsid w:val="0030780B"/>
    <w:rsid w:val="00310861"/>
    <w:rsid w:val="00310CDE"/>
    <w:rsid w:val="003117AF"/>
    <w:rsid w:val="00311C42"/>
    <w:rsid w:val="00311CEB"/>
    <w:rsid w:val="003120A9"/>
    <w:rsid w:val="00312689"/>
    <w:rsid w:val="00312ACB"/>
    <w:rsid w:val="003131DA"/>
    <w:rsid w:val="00313CF3"/>
    <w:rsid w:val="00314541"/>
    <w:rsid w:val="003146DD"/>
    <w:rsid w:val="00314DF5"/>
    <w:rsid w:val="00314EDB"/>
    <w:rsid w:val="00315111"/>
    <w:rsid w:val="003153D7"/>
    <w:rsid w:val="00315657"/>
    <w:rsid w:val="00316473"/>
    <w:rsid w:val="00316759"/>
    <w:rsid w:val="00316CFF"/>
    <w:rsid w:val="003175BE"/>
    <w:rsid w:val="0031783E"/>
    <w:rsid w:val="00317A1E"/>
    <w:rsid w:val="00317D2A"/>
    <w:rsid w:val="00320110"/>
    <w:rsid w:val="003202ED"/>
    <w:rsid w:val="00320A66"/>
    <w:rsid w:val="00321780"/>
    <w:rsid w:val="003217F3"/>
    <w:rsid w:val="0032291C"/>
    <w:rsid w:val="003229A3"/>
    <w:rsid w:val="00322DBD"/>
    <w:rsid w:val="00322EF9"/>
    <w:rsid w:val="0032355C"/>
    <w:rsid w:val="003239AA"/>
    <w:rsid w:val="003239BD"/>
    <w:rsid w:val="00323CF3"/>
    <w:rsid w:val="00323E12"/>
    <w:rsid w:val="0032447F"/>
    <w:rsid w:val="00324800"/>
    <w:rsid w:val="00325020"/>
    <w:rsid w:val="00325162"/>
    <w:rsid w:val="00325321"/>
    <w:rsid w:val="00325401"/>
    <w:rsid w:val="00325468"/>
    <w:rsid w:val="00325671"/>
    <w:rsid w:val="00325A09"/>
    <w:rsid w:val="00325C73"/>
    <w:rsid w:val="00326213"/>
    <w:rsid w:val="0032682E"/>
    <w:rsid w:val="00326940"/>
    <w:rsid w:val="003269CA"/>
    <w:rsid w:val="00326FB5"/>
    <w:rsid w:val="00326FC8"/>
    <w:rsid w:val="0032755E"/>
    <w:rsid w:val="003301C2"/>
    <w:rsid w:val="0033043D"/>
    <w:rsid w:val="003304FB"/>
    <w:rsid w:val="00330872"/>
    <w:rsid w:val="0033096F"/>
    <w:rsid w:val="00331535"/>
    <w:rsid w:val="003316BA"/>
    <w:rsid w:val="00331CAE"/>
    <w:rsid w:val="003324B2"/>
    <w:rsid w:val="00332694"/>
    <w:rsid w:val="00332E29"/>
    <w:rsid w:val="00333195"/>
    <w:rsid w:val="003332C0"/>
    <w:rsid w:val="00333688"/>
    <w:rsid w:val="00333C89"/>
    <w:rsid w:val="00334509"/>
    <w:rsid w:val="00335018"/>
    <w:rsid w:val="00335083"/>
    <w:rsid w:val="00335113"/>
    <w:rsid w:val="0033545F"/>
    <w:rsid w:val="00335575"/>
    <w:rsid w:val="0033571F"/>
    <w:rsid w:val="00335AF5"/>
    <w:rsid w:val="00335C3E"/>
    <w:rsid w:val="003362DA"/>
    <w:rsid w:val="003367DF"/>
    <w:rsid w:val="00336BEA"/>
    <w:rsid w:val="00336DC0"/>
    <w:rsid w:val="00336E2E"/>
    <w:rsid w:val="00336F6A"/>
    <w:rsid w:val="0033700A"/>
    <w:rsid w:val="00337113"/>
    <w:rsid w:val="00337662"/>
    <w:rsid w:val="00337925"/>
    <w:rsid w:val="00337A21"/>
    <w:rsid w:val="0034086F"/>
    <w:rsid w:val="00340AC7"/>
    <w:rsid w:val="00340C69"/>
    <w:rsid w:val="0034102A"/>
    <w:rsid w:val="00341BDF"/>
    <w:rsid w:val="0034201C"/>
    <w:rsid w:val="00342151"/>
    <w:rsid w:val="00342D82"/>
    <w:rsid w:val="003435BF"/>
    <w:rsid w:val="00343A58"/>
    <w:rsid w:val="00343FE5"/>
    <w:rsid w:val="003443D5"/>
    <w:rsid w:val="0034457D"/>
    <w:rsid w:val="0034457E"/>
    <w:rsid w:val="003445CF"/>
    <w:rsid w:val="00344BCC"/>
    <w:rsid w:val="00344F11"/>
    <w:rsid w:val="0034510F"/>
    <w:rsid w:val="0034576A"/>
    <w:rsid w:val="00345882"/>
    <w:rsid w:val="00346288"/>
    <w:rsid w:val="00346694"/>
    <w:rsid w:val="0034672B"/>
    <w:rsid w:val="00346B94"/>
    <w:rsid w:val="00346D0A"/>
    <w:rsid w:val="00346F8A"/>
    <w:rsid w:val="00347207"/>
    <w:rsid w:val="00347D85"/>
    <w:rsid w:val="00347F77"/>
    <w:rsid w:val="003504CD"/>
    <w:rsid w:val="00350840"/>
    <w:rsid w:val="00350958"/>
    <w:rsid w:val="00350D4D"/>
    <w:rsid w:val="00351015"/>
    <w:rsid w:val="003516C5"/>
    <w:rsid w:val="00351746"/>
    <w:rsid w:val="00351EFE"/>
    <w:rsid w:val="003520FD"/>
    <w:rsid w:val="00352222"/>
    <w:rsid w:val="00352463"/>
    <w:rsid w:val="003527BB"/>
    <w:rsid w:val="00352866"/>
    <w:rsid w:val="00352A3F"/>
    <w:rsid w:val="00352BCD"/>
    <w:rsid w:val="00353570"/>
    <w:rsid w:val="0035365C"/>
    <w:rsid w:val="00353D13"/>
    <w:rsid w:val="00354513"/>
    <w:rsid w:val="003546A8"/>
    <w:rsid w:val="00354897"/>
    <w:rsid w:val="00354A6A"/>
    <w:rsid w:val="00354BE7"/>
    <w:rsid w:val="00354E10"/>
    <w:rsid w:val="00355052"/>
    <w:rsid w:val="00355540"/>
    <w:rsid w:val="003560A2"/>
    <w:rsid w:val="003561DF"/>
    <w:rsid w:val="0035631A"/>
    <w:rsid w:val="00357096"/>
    <w:rsid w:val="00357613"/>
    <w:rsid w:val="00357617"/>
    <w:rsid w:val="003577DA"/>
    <w:rsid w:val="003579CC"/>
    <w:rsid w:val="00357DAE"/>
    <w:rsid w:val="00357FA8"/>
    <w:rsid w:val="0036029E"/>
    <w:rsid w:val="003605BD"/>
    <w:rsid w:val="0036061B"/>
    <w:rsid w:val="0036064F"/>
    <w:rsid w:val="00360981"/>
    <w:rsid w:val="00360DD3"/>
    <w:rsid w:val="00360F51"/>
    <w:rsid w:val="00360FC2"/>
    <w:rsid w:val="0036195A"/>
    <w:rsid w:val="00361A73"/>
    <w:rsid w:val="00361EA6"/>
    <w:rsid w:val="00362950"/>
    <w:rsid w:val="00362977"/>
    <w:rsid w:val="00362D1D"/>
    <w:rsid w:val="0036310E"/>
    <w:rsid w:val="00363253"/>
    <w:rsid w:val="003634A4"/>
    <w:rsid w:val="003635D3"/>
    <w:rsid w:val="00363F1C"/>
    <w:rsid w:val="00364997"/>
    <w:rsid w:val="00364C3D"/>
    <w:rsid w:val="00364E3D"/>
    <w:rsid w:val="00365186"/>
    <w:rsid w:val="0036599A"/>
    <w:rsid w:val="00365E02"/>
    <w:rsid w:val="00365E53"/>
    <w:rsid w:val="00365FF2"/>
    <w:rsid w:val="00366321"/>
    <w:rsid w:val="003667B0"/>
    <w:rsid w:val="00366B57"/>
    <w:rsid w:val="00367016"/>
    <w:rsid w:val="0036727D"/>
    <w:rsid w:val="00367A21"/>
    <w:rsid w:val="00367B29"/>
    <w:rsid w:val="00367C30"/>
    <w:rsid w:val="00367F1F"/>
    <w:rsid w:val="003702AA"/>
    <w:rsid w:val="003703A7"/>
    <w:rsid w:val="003711A0"/>
    <w:rsid w:val="00371524"/>
    <w:rsid w:val="0037157F"/>
    <w:rsid w:val="00371951"/>
    <w:rsid w:val="00371A3C"/>
    <w:rsid w:val="00371C25"/>
    <w:rsid w:val="00371C38"/>
    <w:rsid w:val="00371E07"/>
    <w:rsid w:val="00371E63"/>
    <w:rsid w:val="00372479"/>
    <w:rsid w:val="00372D7C"/>
    <w:rsid w:val="0037357E"/>
    <w:rsid w:val="003736C2"/>
    <w:rsid w:val="00373FF2"/>
    <w:rsid w:val="003744CB"/>
    <w:rsid w:val="00374A0C"/>
    <w:rsid w:val="00374D8C"/>
    <w:rsid w:val="00374DB5"/>
    <w:rsid w:val="00374EE9"/>
    <w:rsid w:val="00374F20"/>
    <w:rsid w:val="00375A7C"/>
    <w:rsid w:val="00375AAC"/>
    <w:rsid w:val="00375C0D"/>
    <w:rsid w:val="00375E70"/>
    <w:rsid w:val="003762C0"/>
    <w:rsid w:val="00376432"/>
    <w:rsid w:val="00376BE0"/>
    <w:rsid w:val="00376DA2"/>
    <w:rsid w:val="00376EFE"/>
    <w:rsid w:val="0037707F"/>
    <w:rsid w:val="00377FC9"/>
    <w:rsid w:val="00380244"/>
    <w:rsid w:val="00380364"/>
    <w:rsid w:val="00380A83"/>
    <w:rsid w:val="00380BEF"/>
    <w:rsid w:val="00380CA3"/>
    <w:rsid w:val="00381532"/>
    <w:rsid w:val="003819FA"/>
    <w:rsid w:val="00381ABB"/>
    <w:rsid w:val="00381B6B"/>
    <w:rsid w:val="00381ECF"/>
    <w:rsid w:val="00382520"/>
    <w:rsid w:val="003828B8"/>
    <w:rsid w:val="00382CC2"/>
    <w:rsid w:val="00382D4A"/>
    <w:rsid w:val="00383113"/>
    <w:rsid w:val="003837CB"/>
    <w:rsid w:val="00383AF5"/>
    <w:rsid w:val="003846D7"/>
    <w:rsid w:val="003848E4"/>
    <w:rsid w:val="00384CD2"/>
    <w:rsid w:val="0038536F"/>
    <w:rsid w:val="003854B5"/>
    <w:rsid w:val="0038552F"/>
    <w:rsid w:val="00385802"/>
    <w:rsid w:val="00385876"/>
    <w:rsid w:val="00385BD4"/>
    <w:rsid w:val="00385C94"/>
    <w:rsid w:val="00386021"/>
    <w:rsid w:val="00386033"/>
    <w:rsid w:val="00386235"/>
    <w:rsid w:val="00386497"/>
    <w:rsid w:val="00386FDB"/>
    <w:rsid w:val="003872AF"/>
    <w:rsid w:val="003878BD"/>
    <w:rsid w:val="00387951"/>
    <w:rsid w:val="00390082"/>
    <w:rsid w:val="003903EB"/>
    <w:rsid w:val="0039090B"/>
    <w:rsid w:val="00390E9F"/>
    <w:rsid w:val="00391047"/>
    <w:rsid w:val="00391093"/>
    <w:rsid w:val="00392DC9"/>
    <w:rsid w:val="003930F4"/>
    <w:rsid w:val="0039354E"/>
    <w:rsid w:val="003935A8"/>
    <w:rsid w:val="003936D6"/>
    <w:rsid w:val="00394229"/>
    <w:rsid w:val="003945DC"/>
    <w:rsid w:val="0039465A"/>
    <w:rsid w:val="00394B59"/>
    <w:rsid w:val="003950D7"/>
    <w:rsid w:val="00395544"/>
    <w:rsid w:val="00395CFA"/>
    <w:rsid w:val="00395D7F"/>
    <w:rsid w:val="00395EA3"/>
    <w:rsid w:val="003964D9"/>
    <w:rsid w:val="003966E0"/>
    <w:rsid w:val="00396D1F"/>
    <w:rsid w:val="003972DD"/>
    <w:rsid w:val="0039761B"/>
    <w:rsid w:val="00397835"/>
    <w:rsid w:val="00397898"/>
    <w:rsid w:val="00397ABB"/>
    <w:rsid w:val="00397AC3"/>
    <w:rsid w:val="00397BBD"/>
    <w:rsid w:val="003A00FB"/>
    <w:rsid w:val="003A0201"/>
    <w:rsid w:val="003A0222"/>
    <w:rsid w:val="003A065C"/>
    <w:rsid w:val="003A0DF9"/>
    <w:rsid w:val="003A1126"/>
    <w:rsid w:val="003A126F"/>
    <w:rsid w:val="003A13B0"/>
    <w:rsid w:val="003A1774"/>
    <w:rsid w:val="003A201F"/>
    <w:rsid w:val="003A21F9"/>
    <w:rsid w:val="003A244E"/>
    <w:rsid w:val="003A2507"/>
    <w:rsid w:val="003A2BEA"/>
    <w:rsid w:val="003A2C5E"/>
    <w:rsid w:val="003A380D"/>
    <w:rsid w:val="003A38A7"/>
    <w:rsid w:val="003A3B88"/>
    <w:rsid w:val="003A3DDD"/>
    <w:rsid w:val="003A426C"/>
    <w:rsid w:val="003A42CC"/>
    <w:rsid w:val="003A4443"/>
    <w:rsid w:val="003A4724"/>
    <w:rsid w:val="003A4888"/>
    <w:rsid w:val="003A4F2C"/>
    <w:rsid w:val="003A5A73"/>
    <w:rsid w:val="003A5D71"/>
    <w:rsid w:val="003A6058"/>
    <w:rsid w:val="003A7813"/>
    <w:rsid w:val="003A7B66"/>
    <w:rsid w:val="003A7D0C"/>
    <w:rsid w:val="003A7DE7"/>
    <w:rsid w:val="003B05DC"/>
    <w:rsid w:val="003B0777"/>
    <w:rsid w:val="003B09F6"/>
    <w:rsid w:val="003B0AFD"/>
    <w:rsid w:val="003B0F97"/>
    <w:rsid w:val="003B108C"/>
    <w:rsid w:val="003B1414"/>
    <w:rsid w:val="003B1566"/>
    <w:rsid w:val="003B17E6"/>
    <w:rsid w:val="003B1877"/>
    <w:rsid w:val="003B21E6"/>
    <w:rsid w:val="003B2845"/>
    <w:rsid w:val="003B290C"/>
    <w:rsid w:val="003B2ABA"/>
    <w:rsid w:val="003B2C1B"/>
    <w:rsid w:val="003B2E02"/>
    <w:rsid w:val="003B32F1"/>
    <w:rsid w:val="003B38AA"/>
    <w:rsid w:val="003B38DC"/>
    <w:rsid w:val="003B3A0B"/>
    <w:rsid w:val="003B457A"/>
    <w:rsid w:val="003B4A06"/>
    <w:rsid w:val="003B4E5A"/>
    <w:rsid w:val="003B54A8"/>
    <w:rsid w:val="003B5AE2"/>
    <w:rsid w:val="003B5E7F"/>
    <w:rsid w:val="003B613D"/>
    <w:rsid w:val="003B62DA"/>
    <w:rsid w:val="003B6FB4"/>
    <w:rsid w:val="003B77A1"/>
    <w:rsid w:val="003B7848"/>
    <w:rsid w:val="003C03FC"/>
    <w:rsid w:val="003C0729"/>
    <w:rsid w:val="003C0875"/>
    <w:rsid w:val="003C097A"/>
    <w:rsid w:val="003C0B00"/>
    <w:rsid w:val="003C1256"/>
    <w:rsid w:val="003C2960"/>
    <w:rsid w:val="003C29D1"/>
    <w:rsid w:val="003C2ADE"/>
    <w:rsid w:val="003C2EA9"/>
    <w:rsid w:val="003C3005"/>
    <w:rsid w:val="003C3166"/>
    <w:rsid w:val="003C359A"/>
    <w:rsid w:val="003C370E"/>
    <w:rsid w:val="003C3BD3"/>
    <w:rsid w:val="003C3C42"/>
    <w:rsid w:val="003C3DF5"/>
    <w:rsid w:val="003C4127"/>
    <w:rsid w:val="003C42E5"/>
    <w:rsid w:val="003C4390"/>
    <w:rsid w:val="003C4AC0"/>
    <w:rsid w:val="003C4CE0"/>
    <w:rsid w:val="003C4DE1"/>
    <w:rsid w:val="003C54CF"/>
    <w:rsid w:val="003C5631"/>
    <w:rsid w:val="003C577F"/>
    <w:rsid w:val="003C598F"/>
    <w:rsid w:val="003C61F1"/>
    <w:rsid w:val="003C69EA"/>
    <w:rsid w:val="003C7038"/>
    <w:rsid w:val="003C7306"/>
    <w:rsid w:val="003D0742"/>
    <w:rsid w:val="003D1283"/>
    <w:rsid w:val="003D1302"/>
    <w:rsid w:val="003D1445"/>
    <w:rsid w:val="003D1D8C"/>
    <w:rsid w:val="003D1E54"/>
    <w:rsid w:val="003D1F89"/>
    <w:rsid w:val="003D22D0"/>
    <w:rsid w:val="003D32F8"/>
    <w:rsid w:val="003D330A"/>
    <w:rsid w:val="003D33D3"/>
    <w:rsid w:val="003D3612"/>
    <w:rsid w:val="003D3660"/>
    <w:rsid w:val="003D3F0B"/>
    <w:rsid w:val="003D4A22"/>
    <w:rsid w:val="003D4A9A"/>
    <w:rsid w:val="003D55ED"/>
    <w:rsid w:val="003D6457"/>
    <w:rsid w:val="003D666D"/>
    <w:rsid w:val="003D6910"/>
    <w:rsid w:val="003D6DE8"/>
    <w:rsid w:val="003D7171"/>
    <w:rsid w:val="003D727F"/>
    <w:rsid w:val="003D7C77"/>
    <w:rsid w:val="003D7DBB"/>
    <w:rsid w:val="003E003B"/>
    <w:rsid w:val="003E02A5"/>
    <w:rsid w:val="003E092C"/>
    <w:rsid w:val="003E09A5"/>
    <w:rsid w:val="003E0AB7"/>
    <w:rsid w:val="003E18D2"/>
    <w:rsid w:val="003E1CEA"/>
    <w:rsid w:val="003E29CE"/>
    <w:rsid w:val="003E2A5F"/>
    <w:rsid w:val="003E3001"/>
    <w:rsid w:val="003E386C"/>
    <w:rsid w:val="003E3C72"/>
    <w:rsid w:val="003E3E3F"/>
    <w:rsid w:val="003E40AA"/>
    <w:rsid w:val="003E4A0F"/>
    <w:rsid w:val="003E4B7C"/>
    <w:rsid w:val="003E50D4"/>
    <w:rsid w:val="003E5200"/>
    <w:rsid w:val="003E5CCF"/>
    <w:rsid w:val="003E5DAD"/>
    <w:rsid w:val="003E5F16"/>
    <w:rsid w:val="003E78EE"/>
    <w:rsid w:val="003E7C48"/>
    <w:rsid w:val="003F07EB"/>
    <w:rsid w:val="003F0901"/>
    <w:rsid w:val="003F0CA4"/>
    <w:rsid w:val="003F0F58"/>
    <w:rsid w:val="003F1050"/>
    <w:rsid w:val="003F119A"/>
    <w:rsid w:val="003F1617"/>
    <w:rsid w:val="003F1C3D"/>
    <w:rsid w:val="003F1FA4"/>
    <w:rsid w:val="003F2222"/>
    <w:rsid w:val="003F2506"/>
    <w:rsid w:val="003F2B8C"/>
    <w:rsid w:val="003F35CB"/>
    <w:rsid w:val="003F3875"/>
    <w:rsid w:val="003F3941"/>
    <w:rsid w:val="003F3CE3"/>
    <w:rsid w:val="003F43FA"/>
    <w:rsid w:val="003F49CE"/>
    <w:rsid w:val="003F49EE"/>
    <w:rsid w:val="003F4C3D"/>
    <w:rsid w:val="003F4DBB"/>
    <w:rsid w:val="003F640F"/>
    <w:rsid w:val="003F697C"/>
    <w:rsid w:val="003F70F7"/>
    <w:rsid w:val="003F7700"/>
    <w:rsid w:val="003F787B"/>
    <w:rsid w:val="003F791F"/>
    <w:rsid w:val="004002C5"/>
    <w:rsid w:val="004002DE"/>
    <w:rsid w:val="0040058A"/>
    <w:rsid w:val="00400A2E"/>
    <w:rsid w:val="00400A5A"/>
    <w:rsid w:val="00400B02"/>
    <w:rsid w:val="00400C34"/>
    <w:rsid w:val="004012B3"/>
    <w:rsid w:val="0040158D"/>
    <w:rsid w:val="004015C5"/>
    <w:rsid w:val="004016CD"/>
    <w:rsid w:val="00401B5A"/>
    <w:rsid w:val="00401E89"/>
    <w:rsid w:val="0040218A"/>
    <w:rsid w:val="004027F7"/>
    <w:rsid w:val="00402BD5"/>
    <w:rsid w:val="004031F1"/>
    <w:rsid w:val="0040378D"/>
    <w:rsid w:val="00403DF5"/>
    <w:rsid w:val="00404DA1"/>
    <w:rsid w:val="00404EA0"/>
    <w:rsid w:val="00405029"/>
    <w:rsid w:val="0040518F"/>
    <w:rsid w:val="0040571D"/>
    <w:rsid w:val="004057FA"/>
    <w:rsid w:val="00405DC7"/>
    <w:rsid w:val="00406051"/>
    <w:rsid w:val="004067E9"/>
    <w:rsid w:val="004069ED"/>
    <w:rsid w:val="00406C08"/>
    <w:rsid w:val="00406D8D"/>
    <w:rsid w:val="00407452"/>
    <w:rsid w:val="00407732"/>
    <w:rsid w:val="00407B3F"/>
    <w:rsid w:val="00407D29"/>
    <w:rsid w:val="00407E32"/>
    <w:rsid w:val="00410183"/>
    <w:rsid w:val="00410C10"/>
    <w:rsid w:val="004112FC"/>
    <w:rsid w:val="004113A5"/>
    <w:rsid w:val="004115E3"/>
    <w:rsid w:val="004124BE"/>
    <w:rsid w:val="00412737"/>
    <w:rsid w:val="004128C9"/>
    <w:rsid w:val="00412C04"/>
    <w:rsid w:val="00412E85"/>
    <w:rsid w:val="0041368F"/>
    <w:rsid w:val="00413E5E"/>
    <w:rsid w:val="004140EA"/>
    <w:rsid w:val="00414CC3"/>
    <w:rsid w:val="00414D3F"/>
    <w:rsid w:val="0041518F"/>
    <w:rsid w:val="004152DE"/>
    <w:rsid w:val="004154DF"/>
    <w:rsid w:val="00415A78"/>
    <w:rsid w:val="00415C4B"/>
    <w:rsid w:val="004160EA"/>
    <w:rsid w:val="004166FA"/>
    <w:rsid w:val="00417081"/>
    <w:rsid w:val="0041729B"/>
    <w:rsid w:val="004173B1"/>
    <w:rsid w:val="004175C3"/>
    <w:rsid w:val="0041784B"/>
    <w:rsid w:val="00417C3A"/>
    <w:rsid w:val="004202FD"/>
    <w:rsid w:val="004214B6"/>
    <w:rsid w:val="0042182F"/>
    <w:rsid w:val="00421AAB"/>
    <w:rsid w:val="00422235"/>
    <w:rsid w:val="00422B98"/>
    <w:rsid w:val="00422D2A"/>
    <w:rsid w:val="00423268"/>
    <w:rsid w:val="0042336C"/>
    <w:rsid w:val="004233F5"/>
    <w:rsid w:val="00423D58"/>
    <w:rsid w:val="00423EA6"/>
    <w:rsid w:val="00424568"/>
    <w:rsid w:val="0042488F"/>
    <w:rsid w:val="0042498C"/>
    <w:rsid w:val="0042545E"/>
    <w:rsid w:val="00425637"/>
    <w:rsid w:val="004258E1"/>
    <w:rsid w:val="004262E9"/>
    <w:rsid w:val="004265C9"/>
    <w:rsid w:val="0042672F"/>
    <w:rsid w:val="00426E8F"/>
    <w:rsid w:val="00427409"/>
    <w:rsid w:val="004276B9"/>
    <w:rsid w:val="004300DB"/>
    <w:rsid w:val="00430596"/>
    <w:rsid w:val="0043067E"/>
    <w:rsid w:val="00430F34"/>
    <w:rsid w:val="004310B2"/>
    <w:rsid w:val="004310F6"/>
    <w:rsid w:val="00431656"/>
    <w:rsid w:val="004318A5"/>
    <w:rsid w:val="00432206"/>
    <w:rsid w:val="004325D1"/>
    <w:rsid w:val="00433574"/>
    <w:rsid w:val="00433674"/>
    <w:rsid w:val="00434179"/>
    <w:rsid w:val="00434A2B"/>
    <w:rsid w:val="00434AA5"/>
    <w:rsid w:val="004360CE"/>
    <w:rsid w:val="00436B6F"/>
    <w:rsid w:val="00436CFC"/>
    <w:rsid w:val="00436F78"/>
    <w:rsid w:val="00437497"/>
    <w:rsid w:val="00437579"/>
    <w:rsid w:val="004379FC"/>
    <w:rsid w:val="00437E0B"/>
    <w:rsid w:val="00437FA2"/>
    <w:rsid w:val="00440078"/>
    <w:rsid w:val="00440292"/>
    <w:rsid w:val="00440416"/>
    <w:rsid w:val="0044170A"/>
    <w:rsid w:val="00441AB9"/>
    <w:rsid w:val="00441D56"/>
    <w:rsid w:val="004420D0"/>
    <w:rsid w:val="0044260E"/>
    <w:rsid w:val="00442695"/>
    <w:rsid w:val="00442EB2"/>
    <w:rsid w:val="00443043"/>
    <w:rsid w:val="0044333F"/>
    <w:rsid w:val="004434AA"/>
    <w:rsid w:val="004436AD"/>
    <w:rsid w:val="00444369"/>
    <w:rsid w:val="00445554"/>
    <w:rsid w:val="00446023"/>
    <w:rsid w:val="004464F3"/>
    <w:rsid w:val="004465CE"/>
    <w:rsid w:val="00446EBC"/>
    <w:rsid w:val="0044776E"/>
    <w:rsid w:val="00447851"/>
    <w:rsid w:val="00447951"/>
    <w:rsid w:val="00447FE1"/>
    <w:rsid w:val="004500AA"/>
    <w:rsid w:val="004503E0"/>
    <w:rsid w:val="00450BC1"/>
    <w:rsid w:val="00450EF2"/>
    <w:rsid w:val="00450FB2"/>
    <w:rsid w:val="00451047"/>
    <w:rsid w:val="00451086"/>
    <w:rsid w:val="00451103"/>
    <w:rsid w:val="004515BF"/>
    <w:rsid w:val="004515D6"/>
    <w:rsid w:val="00451C4E"/>
    <w:rsid w:val="00452022"/>
    <w:rsid w:val="00452036"/>
    <w:rsid w:val="00452098"/>
    <w:rsid w:val="00452132"/>
    <w:rsid w:val="0045263A"/>
    <w:rsid w:val="00452998"/>
    <w:rsid w:val="00452A0C"/>
    <w:rsid w:val="00452B99"/>
    <w:rsid w:val="00452D1B"/>
    <w:rsid w:val="00452E73"/>
    <w:rsid w:val="00452EB8"/>
    <w:rsid w:val="00452FCE"/>
    <w:rsid w:val="00453047"/>
    <w:rsid w:val="00453414"/>
    <w:rsid w:val="004535AB"/>
    <w:rsid w:val="00453C48"/>
    <w:rsid w:val="00453C9F"/>
    <w:rsid w:val="00453E8E"/>
    <w:rsid w:val="00453EE1"/>
    <w:rsid w:val="0045464F"/>
    <w:rsid w:val="0045474F"/>
    <w:rsid w:val="00454C9A"/>
    <w:rsid w:val="00454DE0"/>
    <w:rsid w:val="0045510A"/>
    <w:rsid w:val="00455244"/>
    <w:rsid w:val="00455FF5"/>
    <w:rsid w:val="00456634"/>
    <w:rsid w:val="004567EC"/>
    <w:rsid w:val="0045691A"/>
    <w:rsid w:val="0045753B"/>
    <w:rsid w:val="00457676"/>
    <w:rsid w:val="00457A3A"/>
    <w:rsid w:val="00457E20"/>
    <w:rsid w:val="00457E62"/>
    <w:rsid w:val="00460032"/>
    <w:rsid w:val="00460278"/>
    <w:rsid w:val="0046068E"/>
    <w:rsid w:val="00460E13"/>
    <w:rsid w:val="00461DCD"/>
    <w:rsid w:val="004620C5"/>
    <w:rsid w:val="0046218D"/>
    <w:rsid w:val="004628D3"/>
    <w:rsid w:val="004635C7"/>
    <w:rsid w:val="0046374B"/>
    <w:rsid w:val="00463821"/>
    <w:rsid w:val="00463947"/>
    <w:rsid w:val="00463CCE"/>
    <w:rsid w:val="00463D1B"/>
    <w:rsid w:val="004640CD"/>
    <w:rsid w:val="00464601"/>
    <w:rsid w:val="00464A07"/>
    <w:rsid w:val="00464BB1"/>
    <w:rsid w:val="00464DB3"/>
    <w:rsid w:val="00465EB0"/>
    <w:rsid w:val="00466213"/>
    <w:rsid w:val="004668B9"/>
    <w:rsid w:val="00466EFB"/>
    <w:rsid w:val="00467080"/>
    <w:rsid w:val="004677B6"/>
    <w:rsid w:val="00467ABC"/>
    <w:rsid w:val="00467D56"/>
    <w:rsid w:val="00467D7C"/>
    <w:rsid w:val="00467DD3"/>
    <w:rsid w:val="004705C7"/>
    <w:rsid w:val="00470848"/>
    <w:rsid w:val="00470FBF"/>
    <w:rsid w:val="00471122"/>
    <w:rsid w:val="00471261"/>
    <w:rsid w:val="004715A0"/>
    <w:rsid w:val="004716A4"/>
    <w:rsid w:val="004718C0"/>
    <w:rsid w:val="00471AE0"/>
    <w:rsid w:val="00471F03"/>
    <w:rsid w:val="0047208E"/>
    <w:rsid w:val="0047226E"/>
    <w:rsid w:val="00472848"/>
    <w:rsid w:val="004728E0"/>
    <w:rsid w:val="00472F70"/>
    <w:rsid w:val="004731F2"/>
    <w:rsid w:val="00473294"/>
    <w:rsid w:val="004739FE"/>
    <w:rsid w:val="00473DC9"/>
    <w:rsid w:val="00474289"/>
    <w:rsid w:val="004743F1"/>
    <w:rsid w:val="00474497"/>
    <w:rsid w:val="00474B53"/>
    <w:rsid w:val="004752ED"/>
    <w:rsid w:val="00475600"/>
    <w:rsid w:val="00476349"/>
    <w:rsid w:val="004763D3"/>
    <w:rsid w:val="00476C21"/>
    <w:rsid w:val="00476C2F"/>
    <w:rsid w:val="00476C35"/>
    <w:rsid w:val="00476E9B"/>
    <w:rsid w:val="004771BD"/>
    <w:rsid w:val="0047723C"/>
    <w:rsid w:val="00477748"/>
    <w:rsid w:val="00480415"/>
    <w:rsid w:val="0048065F"/>
    <w:rsid w:val="00480B09"/>
    <w:rsid w:val="00480C81"/>
    <w:rsid w:val="0048299B"/>
    <w:rsid w:val="00482E9F"/>
    <w:rsid w:val="004830E9"/>
    <w:rsid w:val="0048332C"/>
    <w:rsid w:val="004837D2"/>
    <w:rsid w:val="00483B76"/>
    <w:rsid w:val="004843E7"/>
    <w:rsid w:val="00484688"/>
    <w:rsid w:val="0048494F"/>
    <w:rsid w:val="00484C2D"/>
    <w:rsid w:val="00484D4A"/>
    <w:rsid w:val="00485858"/>
    <w:rsid w:val="00485936"/>
    <w:rsid w:val="00485CF0"/>
    <w:rsid w:val="0048670F"/>
    <w:rsid w:val="0048699E"/>
    <w:rsid w:val="004869B1"/>
    <w:rsid w:val="0048706D"/>
    <w:rsid w:val="004872F2"/>
    <w:rsid w:val="00487C25"/>
    <w:rsid w:val="00490590"/>
    <w:rsid w:val="0049084A"/>
    <w:rsid w:val="004909CE"/>
    <w:rsid w:val="00490DC0"/>
    <w:rsid w:val="00490FD2"/>
    <w:rsid w:val="0049132B"/>
    <w:rsid w:val="004915DB"/>
    <w:rsid w:val="00491DA1"/>
    <w:rsid w:val="00492061"/>
    <w:rsid w:val="00492099"/>
    <w:rsid w:val="00492B62"/>
    <w:rsid w:val="00492BD9"/>
    <w:rsid w:val="00492CFC"/>
    <w:rsid w:val="00493280"/>
    <w:rsid w:val="004932B2"/>
    <w:rsid w:val="00494231"/>
    <w:rsid w:val="00494362"/>
    <w:rsid w:val="0049473D"/>
    <w:rsid w:val="00494A6A"/>
    <w:rsid w:val="00495052"/>
    <w:rsid w:val="004951A2"/>
    <w:rsid w:val="00495893"/>
    <w:rsid w:val="00495C63"/>
    <w:rsid w:val="00495E32"/>
    <w:rsid w:val="00495F60"/>
    <w:rsid w:val="0049604A"/>
    <w:rsid w:val="004961C8"/>
    <w:rsid w:val="00496464"/>
    <w:rsid w:val="004965A5"/>
    <w:rsid w:val="00496751"/>
    <w:rsid w:val="004969A1"/>
    <w:rsid w:val="00496AB2"/>
    <w:rsid w:val="00496BD1"/>
    <w:rsid w:val="00496D46"/>
    <w:rsid w:val="004976CA"/>
    <w:rsid w:val="0049772A"/>
    <w:rsid w:val="00497C0A"/>
    <w:rsid w:val="00497D8A"/>
    <w:rsid w:val="004A0007"/>
    <w:rsid w:val="004A051D"/>
    <w:rsid w:val="004A054A"/>
    <w:rsid w:val="004A059A"/>
    <w:rsid w:val="004A11B4"/>
    <w:rsid w:val="004A140D"/>
    <w:rsid w:val="004A191D"/>
    <w:rsid w:val="004A1AAD"/>
    <w:rsid w:val="004A2507"/>
    <w:rsid w:val="004A266A"/>
    <w:rsid w:val="004A2B2C"/>
    <w:rsid w:val="004A2DA3"/>
    <w:rsid w:val="004A3149"/>
    <w:rsid w:val="004A3358"/>
    <w:rsid w:val="004A3545"/>
    <w:rsid w:val="004A37CF"/>
    <w:rsid w:val="004A3B53"/>
    <w:rsid w:val="004A44C7"/>
    <w:rsid w:val="004A4985"/>
    <w:rsid w:val="004A4FCF"/>
    <w:rsid w:val="004A5773"/>
    <w:rsid w:val="004A5777"/>
    <w:rsid w:val="004A67D4"/>
    <w:rsid w:val="004A6917"/>
    <w:rsid w:val="004A6D9B"/>
    <w:rsid w:val="004A73CD"/>
    <w:rsid w:val="004A75A3"/>
    <w:rsid w:val="004A7A8E"/>
    <w:rsid w:val="004A7F16"/>
    <w:rsid w:val="004B0829"/>
    <w:rsid w:val="004B159C"/>
    <w:rsid w:val="004B1C53"/>
    <w:rsid w:val="004B206A"/>
    <w:rsid w:val="004B207E"/>
    <w:rsid w:val="004B2859"/>
    <w:rsid w:val="004B302B"/>
    <w:rsid w:val="004B30A0"/>
    <w:rsid w:val="004B3848"/>
    <w:rsid w:val="004B3A36"/>
    <w:rsid w:val="004B3D1E"/>
    <w:rsid w:val="004B3F65"/>
    <w:rsid w:val="004B4018"/>
    <w:rsid w:val="004B4301"/>
    <w:rsid w:val="004B4321"/>
    <w:rsid w:val="004B4918"/>
    <w:rsid w:val="004B5821"/>
    <w:rsid w:val="004B584B"/>
    <w:rsid w:val="004B590D"/>
    <w:rsid w:val="004B60A9"/>
    <w:rsid w:val="004B62B4"/>
    <w:rsid w:val="004B6EFF"/>
    <w:rsid w:val="004B705B"/>
    <w:rsid w:val="004B71C4"/>
    <w:rsid w:val="004B75BD"/>
    <w:rsid w:val="004B7F2B"/>
    <w:rsid w:val="004C0374"/>
    <w:rsid w:val="004C0FFE"/>
    <w:rsid w:val="004C172A"/>
    <w:rsid w:val="004C1D7E"/>
    <w:rsid w:val="004C1E55"/>
    <w:rsid w:val="004C2639"/>
    <w:rsid w:val="004C266E"/>
    <w:rsid w:val="004C3310"/>
    <w:rsid w:val="004C3323"/>
    <w:rsid w:val="004C3328"/>
    <w:rsid w:val="004C3BB9"/>
    <w:rsid w:val="004C3C60"/>
    <w:rsid w:val="004C3DCB"/>
    <w:rsid w:val="004C3E53"/>
    <w:rsid w:val="004C40CF"/>
    <w:rsid w:val="004C4107"/>
    <w:rsid w:val="004C4402"/>
    <w:rsid w:val="004C45FA"/>
    <w:rsid w:val="004C4983"/>
    <w:rsid w:val="004C4FA6"/>
    <w:rsid w:val="004C50E8"/>
    <w:rsid w:val="004C5440"/>
    <w:rsid w:val="004C5849"/>
    <w:rsid w:val="004C5B94"/>
    <w:rsid w:val="004C6156"/>
    <w:rsid w:val="004C7CFF"/>
    <w:rsid w:val="004D0365"/>
    <w:rsid w:val="004D097D"/>
    <w:rsid w:val="004D11C2"/>
    <w:rsid w:val="004D1202"/>
    <w:rsid w:val="004D13EF"/>
    <w:rsid w:val="004D1478"/>
    <w:rsid w:val="004D164F"/>
    <w:rsid w:val="004D1DC3"/>
    <w:rsid w:val="004D22BA"/>
    <w:rsid w:val="004D291B"/>
    <w:rsid w:val="004D299C"/>
    <w:rsid w:val="004D3178"/>
    <w:rsid w:val="004D3311"/>
    <w:rsid w:val="004D35AF"/>
    <w:rsid w:val="004D36CA"/>
    <w:rsid w:val="004D36CE"/>
    <w:rsid w:val="004D3BFB"/>
    <w:rsid w:val="004D3FCE"/>
    <w:rsid w:val="004D44C4"/>
    <w:rsid w:val="004D48B2"/>
    <w:rsid w:val="004D5036"/>
    <w:rsid w:val="004D5C6E"/>
    <w:rsid w:val="004D5FF6"/>
    <w:rsid w:val="004D7273"/>
    <w:rsid w:val="004D7737"/>
    <w:rsid w:val="004E07A8"/>
    <w:rsid w:val="004E0876"/>
    <w:rsid w:val="004E0BF7"/>
    <w:rsid w:val="004E0D4B"/>
    <w:rsid w:val="004E108A"/>
    <w:rsid w:val="004E108D"/>
    <w:rsid w:val="004E10C8"/>
    <w:rsid w:val="004E10CF"/>
    <w:rsid w:val="004E23A7"/>
    <w:rsid w:val="004E24FD"/>
    <w:rsid w:val="004E2E45"/>
    <w:rsid w:val="004E32DD"/>
    <w:rsid w:val="004E3522"/>
    <w:rsid w:val="004E36AE"/>
    <w:rsid w:val="004E3BB6"/>
    <w:rsid w:val="004E4405"/>
    <w:rsid w:val="004E4FEC"/>
    <w:rsid w:val="004E5133"/>
    <w:rsid w:val="004E5269"/>
    <w:rsid w:val="004E5845"/>
    <w:rsid w:val="004E585F"/>
    <w:rsid w:val="004E6502"/>
    <w:rsid w:val="004E67BC"/>
    <w:rsid w:val="004E6987"/>
    <w:rsid w:val="004E6BAF"/>
    <w:rsid w:val="004E6D26"/>
    <w:rsid w:val="004E6ED9"/>
    <w:rsid w:val="004E6FCF"/>
    <w:rsid w:val="004E7BA9"/>
    <w:rsid w:val="004F06B2"/>
    <w:rsid w:val="004F0829"/>
    <w:rsid w:val="004F0D58"/>
    <w:rsid w:val="004F0DCD"/>
    <w:rsid w:val="004F0FC8"/>
    <w:rsid w:val="004F10D5"/>
    <w:rsid w:val="004F1605"/>
    <w:rsid w:val="004F1AA4"/>
    <w:rsid w:val="004F217A"/>
    <w:rsid w:val="004F2368"/>
    <w:rsid w:val="004F25B1"/>
    <w:rsid w:val="004F3112"/>
    <w:rsid w:val="004F32D5"/>
    <w:rsid w:val="004F3704"/>
    <w:rsid w:val="004F3941"/>
    <w:rsid w:val="004F4E94"/>
    <w:rsid w:val="004F5191"/>
    <w:rsid w:val="004F5432"/>
    <w:rsid w:val="004F55F2"/>
    <w:rsid w:val="004F5988"/>
    <w:rsid w:val="004F5AC2"/>
    <w:rsid w:val="004F5ECD"/>
    <w:rsid w:val="004F60BB"/>
    <w:rsid w:val="004F61C0"/>
    <w:rsid w:val="004F61F3"/>
    <w:rsid w:val="004F6218"/>
    <w:rsid w:val="004F64A2"/>
    <w:rsid w:val="004F66AB"/>
    <w:rsid w:val="004F67BA"/>
    <w:rsid w:val="004F6E46"/>
    <w:rsid w:val="004F700F"/>
    <w:rsid w:val="004F7168"/>
    <w:rsid w:val="004F7C85"/>
    <w:rsid w:val="004F7D0F"/>
    <w:rsid w:val="005001A8"/>
    <w:rsid w:val="0050043D"/>
    <w:rsid w:val="005004BC"/>
    <w:rsid w:val="005007A9"/>
    <w:rsid w:val="0050090B"/>
    <w:rsid w:val="00500D03"/>
    <w:rsid w:val="00500FB8"/>
    <w:rsid w:val="0050125B"/>
    <w:rsid w:val="00501AFE"/>
    <w:rsid w:val="00501F44"/>
    <w:rsid w:val="005024CC"/>
    <w:rsid w:val="00502E86"/>
    <w:rsid w:val="0050335D"/>
    <w:rsid w:val="00503F41"/>
    <w:rsid w:val="00504CBA"/>
    <w:rsid w:val="005051F0"/>
    <w:rsid w:val="005057B1"/>
    <w:rsid w:val="00505808"/>
    <w:rsid w:val="005058B6"/>
    <w:rsid w:val="00505B8A"/>
    <w:rsid w:val="00505E1A"/>
    <w:rsid w:val="00506277"/>
    <w:rsid w:val="00506312"/>
    <w:rsid w:val="00506608"/>
    <w:rsid w:val="0050667F"/>
    <w:rsid w:val="00506B09"/>
    <w:rsid w:val="00506BC9"/>
    <w:rsid w:val="00506C0E"/>
    <w:rsid w:val="00506D0C"/>
    <w:rsid w:val="00506E81"/>
    <w:rsid w:val="00507376"/>
    <w:rsid w:val="00510988"/>
    <w:rsid w:val="0051118A"/>
    <w:rsid w:val="00511251"/>
    <w:rsid w:val="0051179A"/>
    <w:rsid w:val="00511F48"/>
    <w:rsid w:val="00511FE2"/>
    <w:rsid w:val="00512065"/>
    <w:rsid w:val="005120E7"/>
    <w:rsid w:val="00512123"/>
    <w:rsid w:val="00512ACB"/>
    <w:rsid w:val="00512AF2"/>
    <w:rsid w:val="00512DF0"/>
    <w:rsid w:val="00513611"/>
    <w:rsid w:val="00513B06"/>
    <w:rsid w:val="00514FFE"/>
    <w:rsid w:val="005151C1"/>
    <w:rsid w:val="005152B3"/>
    <w:rsid w:val="005159B5"/>
    <w:rsid w:val="00515F96"/>
    <w:rsid w:val="00515FBC"/>
    <w:rsid w:val="00516463"/>
    <w:rsid w:val="00516A5F"/>
    <w:rsid w:val="00516C1B"/>
    <w:rsid w:val="00516DCD"/>
    <w:rsid w:val="005174A8"/>
    <w:rsid w:val="00517796"/>
    <w:rsid w:val="00517BCB"/>
    <w:rsid w:val="00517FB9"/>
    <w:rsid w:val="0052021E"/>
    <w:rsid w:val="005203BB"/>
    <w:rsid w:val="005206E4"/>
    <w:rsid w:val="00520759"/>
    <w:rsid w:val="00520A9A"/>
    <w:rsid w:val="00520E9B"/>
    <w:rsid w:val="00521468"/>
    <w:rsid w:val="005219D5"/>
    <w:rsid w:val="00521AB8"/>
    <w:rsid w:val="00521C33"/>
    <w:rsid w:val="005221BD"/>
    <w:rsid w:val="00522A54"/>
    <w:rsid w:val="00522B06"/>
    <w:rsid w:val="00522CAA"/>
    <w:rsid w:val="00522D57"/>
    <w:rsid w:val="005239CF"/>
    <w:rsid w:val="00523B20"/>
    <w:rsid w:val="00523B40"/>
    <w:rsid w:val="00523CAC"/>
    <w:rsid w:val="00523D66"/>
    <w:rsid w:val="005243F7"/>
    <w:rsid w:val="00525217"/>
    <w:rsid w:val="00525B96"/>
    <w:rsid w:val="005260E6"/>
    <w:rsid w:val="00526103"/>
    <w:rsid w:val="005262E8"/>
    <w:rsid w:val="0052667D"/>
    <w:rsid w:val="00527210"/>
    <w:rsid w:val="00527253"/>
    <w:rsid w:val="005275D4"/>
    <w:rsid w:val="005278C8"/>
    <w:rsid w:val="00527A67"/>
    <w:rsid w:val="0053052D"/>
    <w:rsid w:val="0053095A"/>
    <w:rsid w:val="005309DB"/>
    <w:rsid w:val="00530BB2"/>
    <w:rsid w:val="00530BF3"/>
    <w:rsid w:val="005317B2"/>
    <w:rsid w:val="0053185E"/>
    <w:rsid w:val="00531DAD"/>
    <w:rsid w:val="00531FBA"/>
    <w:rsid w:val="005326EC"/>
    <w:rsid w:val="00532C38"/>
    <w:rsid w:val="005333E9"/>
    <w:rsid w:val="00533A36"/>
    <w:rsid w:val="00533AB2"/>
    <w:rsid w:val="00534353"/>
    <w:rsid w:val="00534F76"/>
    <w:rsid w:val="00535660"/>
    <w:rsid w:val="00535C33"/>
    <w:rsid w:val="00535E60"/>
    <w:rsid w:val="005376F3"/>
    <w:rsid w:val="00537891"/>
    <w:rsid w:val="005378A2"/>
    <w:rsid w:val="00537BDA"/>
    <w:rsid w:val="0054047B"/>
    <w:rsid w:val="00540877"/>
    <w:rsid w:val="00540DED"/>
    <w:rsid w:val="00540E1A"/>
    <w:rsid w:val="00540E84"/>
    <w:rsid w:val="00541283"/>
    <w:rsid w:val="005412D4"/>
    <w:rsid w:val="00541521"/>
    <w:rsid w:val="00541F71"/>
    <w:rsid w:val="0054284E"/>
    <w:rsid w:val="0054287A"/>
    <w:rsid w:val="00542C5B"/>
    <w:rsid w:val="005430E2"/>
    <w:rsid w:val="005439E1"/>
    <w:rsid w:val="00543C30"/>
    <w:rsid w:val="00543FCB"/>
    <w:rsid w:val="00544672"/>
    <w:rsid w:val="0054484F"/>
    <w:rsid w:val="005449D8"/>
    <w:rsid w:val="00544A41"/>
    <w:rsid w:val="00545013"/>
    <w:rsid w:val="00545080"/>
    <w:rsid w:val="00546191"/>
    <w:rsid w:val="005465FD"/>
    <w:rsid w:val="00546867"/>
    <w:rsid w:val="005470A3"/>
    <w:rsid w:val="0054748C"/>
    <w:rsid w:val="00547561"/>
    <w:rsid w:val="0054794B"/>
    <w:rsid w:val="00547B8A"/>
    <w:rsid w:val="00547C33"/>
    <w:rsid w:val="00547E4A"/>
    <w:rsid w:val="00547F58"/>
    <w:rsid w:val="00550004"/>
    <w:rsid w:val="00550334"/>
    <w:rsid w:val="0055106A"/>
    <w:rsid w:val="00551295"/>
    <w:rsid w:val="00551CF6"/>
    <w:rsid w:val="0055236D"/>
    <w:rsid w:val="0055300A"/>
    <w:rsid w:val="00554013"/>
    <w:rsid w:val="005540DD"/>
    <w:rsid w:val="00554599"/>
    <w:rsid w:val="00554963"/>
    <w:rsid w:val="005549B0"/>
    <w:rsid w:val="005559D9"/>
    <w:rsid w:val="005559F9"/>
    <w:rsid w:val="00555B06"/>
    <w:rsid w:val="00555DD3"/>
    <w:rsid w:val="00556A78"/>
    <w:rsid w:val="00556C4D"/>
    <w:rsid w:val="005571E2"/>
    <w:rsid w:val="00557805"/>
    <w:rsid w:val="00557E26"/>
    <w:rsid w:val="00560497"/>
    <w:rsid w:val="005609FE"/>
    <w:rsid w:val="00560A36"/>
    <w:rsid w:val="00560A3B"/>
    <w:rsid w:val="00560AB0"/>
    <w:rsid w:val="00560C7D"/>
    <w:rsid w:val="00560F55"/>
    <w:rsid w:val="00560F6C"/>
    <w:rsid w:val="0056147C"/>
    <w:rsid w:val="005615B5"/>
    <w:rsid w:val="0056173F"/>
    <w:rsid w:val="005625BE"/>
    <w:rsid w:val="005631BF"/>
    <w:rsid w:val="0056334C"/>
    <w:rsid w:val="00563463"/>
    <w:rsid w:val="00563C5D"/>
    <w:rsid w:val="00563F40"/>
    <w:rsid w:val="005644DD"/>
    <w:rsid w:val="00564A4C"/>
    <w:rsid w:val="00564B4C"/>
    <w:rsid w:val="00564B88"/>
    <w:rsid w:val="005659B8"/>
    <w:rsid w:val="0056608B"/>
    <w:rsid w:val="0056668E"/>
    <w:rsid w:val="00566936"/>
    <w:rsid w:val="005669F0"/>
    <w:rsid w:val="00566BD9"/>
    <w:rsid w:val="0056767B"/>
    <w:rsid w:val="0056799A"/>
    <w:rsid w:val="00567AE9"/>
    <w:rsid w:val="00567B48"/>
    <w:rsid w:val="00567B6D"/>
    <w:rsid w:val="00570207"/>
    <w:rsid w:val="00570781"/>
    <w:rsid w:val="00570C00"/>
    <w:rsid w:val="00570FE6"/>
    <w:rsid w:val="005713DA"/>
    <w:rsid w:val="0057141B"/>
    <w:rsid w:val="00571844"/>
    <w:rsid w:val="005718DD"/>
    <w:rsid w:val="005718F0"/>
    <w:rsid w:val="00571AB4"/>
    <w:rsid w:val="00572A98"/>
    <w:rsid w:val="00572B4C"/>
    <w:rsid w:val="00572CFF"/>
    <w:rsid w:val="00572D16"/>
    <w:rsid w:val="00572E16"/>
    <w:rsid w:val="005730BC"/>
    <w:rsid w:val="005731D2"/>
    <w:rsid w:val="00573AC9"/>
    <w:rsid w:val="00573C2A"/>
    <w:rsid w:val="00573E70"/>
    <w:rsid w:val="00573EC3"/>
    <w:rsid w:val="00574192"/>
    <w:rsid w:val="0057463A"/>
    <w:rsid w:val="00574BE6"/>
    <w:rsid w:val="005752A0"/>
    <w:rsid w:val="0057532D"/>
    <w:rsid w:val="00575345"/>
    <w:rsid w:val="00575346"/>
    <w:rsid w:val="005759CF"/>
    <w:rsid w:val="00575A2D"/>
    <w:rsid w:val="00575D16"/>
    <w:rsid w:val="005767DF"/>
    <w:rsid w:val="00576C8A"/>
    <w:rsid w:val="00576DDB"/>
    <w:rsid w:val="00577219"/>
    <w:rsid w:val="00577AC6"/>
    <w:rsid w:val="005801B6"/>
    <w:rsid w:val="0058095D"/>
    <w:rsid w:val="005810F0"/>
    <w:rsid w:val="00582572"/>
    <w:rsid w:val="0058271F"/>
    <w:rsid w:val="00582D32"/>
    <w:rsid w:val="00582FA1"/>
    <w:rsid w:val="005838C2"/>
    <w:rsid w:val="005839EE"/>
    <w:rsid w:val="00583A23"/>
    <w:rsid w:val="00583E30"/>
    <w:rsid w:val="00583EF1"/>
    <w:rsid w:val="0058404D"/>
    <w:rsid w:val="005843B0"/>
    <w:rsid w:val="005843E9"/>
    <w:rsid w:val="005848B5"/>
    <w:rsid w:val="005851D4"/>
    <w:rsid w:val="00585640"/>
    <w:rsid w:val="00585C73"/>
    <w:rsid w:val="00585E2E"/>
    <w:rsid w:val="00586549"/>
    <w:rsid w:val="00586AD1"/>
    <w:rsid w:val="005874BE"/>
    <w:rsid w:val="00587A4C"/>
    <w:rsid w:val="00590057"/>
    <w:rsid w:val="005900EB"/>
    <w:rsid w:val="005904B0"/>
    <w:rsid w:val="00590A7F"/>
    <w:rsid w:val="00590B9F"/>
    <w:rsid w:val="00591FE4"/>
    <w:rsid w:val="0059222C"/>
    <w:rsid w:val="005923A4"/>
    <w:rsid w:val="0059240A"/>
    <w:rsid w:val="00592800"/>
    <w:rsid w:val="005931A4"/>
    <w:rsid w:val="0059377A"/>
    <w:rsid w:val="00593782"/>
    <w:rsid w:val="00593C3A"/>
    <w:rsid w:val="0059445A"/>
    <w:rsid w:val="00594822"/>
    <w:rsid w:val="0059524A"/>
    <w:rsid w:val="00595847"/>
    <w:rsid w:val="00595CE4"/>
    <w:rsid w:val="00596281"/>
    <w:rsid w:val="00596738"/>
    <w:rsid w:val="005967C0"/>
    <w:rsid w:val="00596806"/>
    <w:rsid w:val="005971C0"/>
    <w:rsid w:val="005974BF"/>
    <w:rsid w:val="005975F4"/>
    <w:rsid w:val="005978C4"/>
    <w:rsid w:val="00597A73"/>
    <w:rsid w:val="00597AFD"/>
    <w:rsid w:val="00597E18"/>
    <w:rsid w:val="00597E69"/>
    <w:rsid w:val="005A0034"/>
    <w:rsid w:val="005A00BC"/>
    <w:rsid w:val="005A0129"/>
    <w:rsid w:val="005A0646"/>
    <w:rsid w:val="005A077C"/>
    <w:rsid w:val="005A0B95"/>
    <w:rsid w:val="005A1737"/>
    <w:rsid w:val="005A17A9"/>
    <w:rsid w:val="005A1ADF"/>
    <w:rsid w:val="005A1D10"/>
    <w:rsid w:val="005A1F31"/>
    <w:rsid w:val="005A25EF"/>
    <w:rsid w:val="005A2727"/>
    <w:rsid w:val="005A284B"/>
    <w:rsid w:val="005A2CFE"/>
    <w:rsid w:val="005A2D1F"/>
    <w:rsid w:val="005A2F35"/>
    <w:rsid w:val="005A302D"/>
    <w:rsid w:val="005A345A"/>
    <w:rsid w:val="005A35B1"/>
    <w:rsid w:val="005A3723"/>
    <w:rsid w:val="005A3976"/>
    <w:rsid w:val="005A3BF0"/>
    <w:rsid w:val="005A3BF6"/>
    <w:rsid w:val="005A3D2A"/>
    <w:rsid w:val="005A3ED5"/>
    <w:rsid w:val="005A4102"/>
    <w:rsid w:val="005A427B"/>
    <w:rsid w:val="005A5837"/>
    <w:rsid w:val="005A67C5"/>
    <w:rsid w:val="005A6C52"/>
    <w:rsid w:val="005A7096"/>
    <w:rsid w:val="005A72BD"/>
    <w:rsid w:val="005A7396"/>
    <w:rsid w:val="005A763F"/>
    <w:rsid w:val="005A7826"/>
    <w:rsid w:val="005A7944"/>
    <w:rsid w:val="005B04FE"/>
    <w:rsid w:val="005B06FD"/>
    <w:rsid w:val="005B09D9"/>
    <w:rsid w:val="005B0CFD"/>
    <w:rsid w:val="005B114E"/>
    <w:rsid w:val="005B16F2"/>
    <w:rsid w:val="005B24AD"/>
    <w:rsid w:val="005B3171"/>
    <w:rsid w:val="005B3B4E"/>
    <w:rsid w:val="005B3F15"/>
    <w:rsid w:val="005B43C8"/>
    <w:rsid w:val="005B45FF"/>
    <w:rsid w:val="005B47BE"/>
    <w:rsid w:val="005B50FE"/>
    <w:rsid w:val="005B57E5"/>
    <w:rsid w:val="005B5E4D"/>
    <w:rsid w:val="005B5FAF"/>
    <w:rsid w:val="005B6323"/>
    <w:rsid w:val="005B72A9"/>
    <w:rsid w:val="005B7383"/>
    <w:rsid w:val="005B7718"/>
    <w:rsid w:val="005B774B"/>
    <w:rsid w:val="005B7E6F"/>
    <w:rsid w:val="005C03EA"/>
    <w:rsid w:val="005C0639"/>
    <w:rsid w:val="005C08DB"/>
    <w:rsid w:val="005C0F46"/>
    <w:rsid w:val="005C1193"/>
    <w:rsid w:val="005C143F"/>
    <w:rsid w:val="005C153F"/>
    <w:rsid w:val="005C18AD"/>
    <w:rsid w:val="005C1E28"/>
    <w:rsid w:val="005C2191"/>
    <w:rsid w:val="005C244E"/>
    <w:rsid w:val="005C2AF5"/>
    <w:rsid w:val="005C2E3B"/>
    <w:rsid w:val="005C3077"/>
    <w:rsid w:val="005C3938"/>
    <w:rsid w:val="005C3A40"/>
    <w:rsid w:val="005C3C33"/>
    <w:rsid w:val="005C4898"/>
    <w:rsid w:val="005C4A3D"/>
    <w:rsid w:val="005C4CEB"/>
    <w:rsid w:val="005C4D49"/>
    <w:rsid w:val="005C5580"/>
    <w:rsid w:val="005C59C4"/>
    <w:rsid w:val="005C5A96"/>
    <w:rsid w:val="005C6029"/>
    <w:rsid w:val="005C6282"/>
    <w:rsid w:val="005C6948"/>
    <w:rsid w:val="005C6A3C"/>
    <w:rsid w:val="005C6F7C"/>
    <w:rsid w:val="005C780D"/>
    <w:rsid w:val="005D06FB"/>
    <w:rsid w:val="005D0C2C"/>
    <w:rsid w:val="005D0D65"/>
    <w:rsid w:val="005D12C3"/>
    <w:rsid w:val="005D194B"/>
    <w:rsid w:val="005D1B4F"/>
    <w:rsid w:val="005D1C38"/>
    <w:rsid w:val="005D1EAC"/>
    <w:rsid w:val="005D22E6"/>
    <w:rsid w:val="005D2409"/>
    <w:rsid w:val="005D28F8"/>
    <w:rsid w:val="005D2EDC"/>
    <w:rsid w:val="005D393B"/>
    <w:rsid w:val="005D4267"/>
    <w:rsid w:val="005D42D6"/>
    <w:rsid w:val="005D5240"/>
    <w:rsid w:val="005D5438"/>
    <w:rsid w:val="005D55CD"/>
    <w:rsid w:val="005D5CF0"/>
    <w:rsid w:val="005D5FA6"/>
    <w:rsid w:val="005D623F"/>
    <w:rsid w:val="005D627D"/>
    <w:rsid w:val="005D65B7"/>
    <w:rsid w:val="005D68B0"/>
    <w:rsid w:val="005D6A57"/>
    <w:rsid w:val="005D6D38"/>
    <w:rsid w:val="005D6D4B"/>
    <w:rsid w:val="005D70EE"/>
    <w:rsid w:val="005D7718"/>
    <w:rsid w:val="005D79E8"/>
    <w:rsid w:val="005D7BD3"/>
    <w:rsid w:val="005E033D"/>
    <w:rsid w:val="005E04B2"/>
    <w:rsid w:val="005E0A56"/>
    <w:rsid w:val="005E0B20"/>
    <w:rsid w:val="005E0B8A"/>
    <w:rsid w:val="005E0E00"/>
    <w:rsid w:val="005E1055"/>
    <w:rsid w:val="005E161C"/>
    <w:rsid w:val="005E1AAA"/>
    <w:rsid w:val="005E1CDB"/>
    <w:rsid w:val="005E1DC2"/>
    <w:rsid w:val="005E1E16"/>
    <w:rsid w:val="005E21CC"/>
    <w:rsid w:val="005E2342"/>
    <w:rsid w:val="005E259B"/>
    <w:rsid w:val="005E2F17"/>
    <w:rsid w:val="005E37B7"/>
    <w:rsid w:val="005E397E"/>
    <w:rsid w:val="005E3F21"/>
    <w:rsid w:val="005E452C"/>
    <w:rsid w:val="005E4E05"/>
    <w:rsid w:val="005E6949"/>
    <w:rsid w:val="005E69E2"/>
    <w:rsid w:val="005E69EF"/>
    <w:rsid w:val="005E766A"/>
    <w:rsid w:val="005E7E25"/>
    <w:rsid w:val="005F0E65"/>
    <w:rsid w:val="005F149C"/>
    <w:rsid w:val="005F1547"/>
    <w:rsid w:val="005F156E"/>
    <w:rsid w:val="005F234E"/>
    <w:rsid w:val="005F24BD"/>
    <w:rsid w:val="005F2964"/>
    <w:rsid w:val="005F42EC"/>
    <w:rsid w:val="005F473B"/>
    <w:rsid w:val="005F4883"/>
    <w:rsid w:val="005F489C"/>
    <w:rsid w:val="005F4A04"/>
    <w:rsid w:val="005F4C48"/>
    <w:rsid w:val="005F4C6A"/>
    <w:rsid w:val="005F5337"/>
    <w:rsid w:val="005F541E"/>
    <w:rsid w:val="005F5969"/>
    <w:rsid w:val="005F5B13"/>
    <w:rsid w:val="005F5E92"/>
    <w:rsid w:val="005F6007"/>
    <w:rsid w:val="005F6204"/>
    <w:rsid w:val="005F6E6B"/>
    <w:rsid w:val="005F76D4"/>
    <w:rsid w:val="005F7714"/>
    <w:rsid w:val="005F77AB"/>
    <w:rsid w:val="005F7A57"/>
    <w:rsid w:val="005F7A91"/>
    <w:rsid w:val="005F7D0D"/>
    <w:rsid w:val="005F7EBC"/>
    <w:rsid w:val="005F7F10"/>
    <w:rsid w:val="00600B0D"/>
    <w:rsid w:val="00601C1D"/>
    <w:rsid w:val="006023AD"/>
    <w:rsid w:val="00602B10"/>
    <w:rsid w:val="00602F03"/>
    <w:rsid w:val="006035C3"/>
    <w:rsid w:val="00603A73"/>
    <w:rsid w:val="00603ABB"/>
    <w:rsid w:val="006042C6"/>
    <w:rsid w:val="00604374"/>
    <w:rsid w:val="006044D6"/>
    <w:rsid w:val="00604859"/>
    <w:rsid w:val="006050B0"/>
    <w:rsid w:val="006051EF"/>
    <w:rsid w:val="00605292"/>
    <w:rsid w:val="00605389"/>
    <w:rsid w:val="006053DF"/>
    <w:rsid w:val="00605F50"/>
    <w:rsid w:val="00606490"/>
    <w:rsid w:val="006066AB"/>
    <w:rsid w:val="00606BBB"/>
    <w:rsid w:val="0060717A"/>
    <w:rsid w:val="0060730F"/>
    <w:rsid w:val="00607509"/>
    <w:rsid w:val="00607630"/>
    <w:rsid w:val="00607AE0"/>
    <w:rsid w:val="006102AA"/>
    <w:rsid w:val="0061108F"/>
    <w:rsid w:val="00611222"/>
    <w:rsid w:val="00611B66"/>
    <w:rsid w:val="00611CE3"/>
    <w:rsid w:val="00611F07"/>
    <w:rsid w:val="006122CF"/>
    <w:rsid w:val="00613991"/>
    <w:rsid w:val="00613BB2"/>
    <w:rsid w:val="00613BDF"/>
    <w:rsid w:val="00613E27"/>
    <w:rsid w:val="0061410D"/>
    <w:rsid w:val="00614683"/>
    <w:rsid w:val="00614B90"/>
    <w:rsid w:val="006163E8"/>
    <w:rsid w:val="006165DA"/>
    <w:rsid w:val="006169A8"/>
    <w:rsid w:val="006177E2"/>
    <w:rsid w:val="0062013A"/>
    <w:rsid w:val="0062098E"/>
    <w:rsid w:val="00621004"/>
    <w:rsid w:val="0062125E"/>
    <w:rsid w:val="00621607"/>
    <w:rsid w:val="00621B85"/>
    <w:rsid w:val="00621D9E"/>
    <w:rsid w:val="00621E3F"/>
    <w:rsid w:val="00621FA7"/>
    <w:rsid w:val="006220DB"/>
    <w:rsid w:val="006224A9"/>
    <w:rsid w:val="006228B0"/>
    <w:rsid w:val="00622980"/>
    <w:rsid w:val="00622BA1"/>
    <w:rsid w:val="006230D8"/>
    <w:rsid w:val="00623C1A"/>
    <w:rsid w:val="00623F5A"/>
    <w:rsid w:val="006241D3"/>
    <w:rsid w:val="006245F5"/>
    <w:rsid w:val="0062471E"/>
    <w:rsid w:val="00624A18"/>
    <w:rsid w:val="00625023"/>
    <w:rsid w:val="006252E2"/>
    <w:rsid w:val="00625588"/>
    <w:rsid w:val="00625BF2"/>
    <w:rsid w:val="00625FEE"/>
    <w:rsid w:val="006262E5"/>
    <w:rsid w:val="0062697A"/>
    <w:rsid w:val="0062709A"/>
    <w:rsid w:val="00627280"/>
    <w:rsid w:val="00627667"/>
    <w:rsid w:val="006277F5"/>
    <w:rsid w:val="006279F2"/>
    <w:rsid w:val="00627F83"/>
    <w:rsid w:val="00630020"/>
    <w:rsid w:val="0063063C"/>
    <w:rsid w:val="00630867"/>
    <w:rsid w:val="00630966"/>
    <w:rsid w:val="00630FBF"/>
    <w:rsid w:val="00631717"/>
    <w:rsid w:val="006318B1"/>
    <w:rsid w:val="006320F6"/>
    <w:rsid w:val="00632757"/>
    <w:rsid w:val="0063306A"/>
    <w:rsid w:val="00634065"/>
    <w:rsid w:val="006347E0"/>
    <w:rsid w:val="006348F3"/>
    <w:rsid w:val="00635119"/>
    <w:rsid w:val="00635202"/>
    <w:rsid w:val="00635954"/>
    <w:rsid w:val="00635DE4"/>
    <w:rsid w:val="00636D4C"/>
    <w:rsid w:val="00636D5C"/>
    <w:rsid w:val="00636F3A"/>
    <w:rsid w:val="00637059"/>
    <w:rsid w:val="00637122"/>
    <w:rsid w:val="00637334"/>
    <w:rsid w:val="00637784"/>
    <w:rsid w:val="0063798B"/>
    <w:rsid w:val="006410FA"/>
    <w:rsid w:val="00641455"/>
    <w:rsid w:val="00641683"/>
    <w:rsid w:val="006416F3"/>
    <w:rsid w:val="0064192D"/>
    <w:rsid w:val="006422C0"/>
    <w:rsid w:val="006423AD"/>
    <w:rsid w:val="006423C9"/>
    <w:rsid w:val="006425F8"/>
    <w:rsid w:val="00642B9F"/>
    <w:rsid w:val="00642D59"/>
    <w:rsid w:val="00643909"/>
    <w:rsid w:val="00643ADF"/>
    <w:rsid w:val="00643D96"/>
    <w:rsid w:val="00644288"/>
    <w:rsid w:val="0064446C"/>
    <w:rsid w:val="00644648"/>
    <w:rsid w:val="006448E1"/>
    <w:rsid w:val="006450D7"/>
    <w:rsid w:val="006451FA"/>
    <w:rsid w:val="00645542"/>
    <w:rsid w:val="006455DB"/>
    <w:rsid w:val="006457F9"/>
    <w:rsid w:val="006459B2"/>
    <w:rsid w:val="00645F80"/>
    <w:rsid w:val="006460C6"/>
    <w:rsid w:val="00646792"/>
    <w:rsid w:val="0064692C"/>
    <w:rsid w:val="00646E3D"/>
    <w:rsid w:val="00647099"/>
    <w:rsid w:val="0064719C"/>
    <w:rsid w:val="00647C37"/>
    <w:rsid w:val="00647DF0"/>
    <w:rsid w:val="00650CBB"/>
    <w:rsid w:val="00651742"/>
    <w:rsid w:val="0065198B"/>
    <w:rsid w:val="00652A1B"/>
    <w:rsid w:val="006531C9"/>
    <w:rsid w:val="006532DF"/>
    <w:rsid w:val="00653912"/>
    <w:rsid w:val="006539A1"/>
    <w:rsid w:val="00653F96"/>
    <w:rsid w:val="00653FCB"/>
    <w:rsid w:val="00654469"/>
    <w:rsid w:val="00654497"/>
    <w:rsid w:val="00654BCD"/>
    <w:rsid w:val="00654FA4"/>
    <w:rsid w:val="006550E7"/>
    <w:rsid w:val="00655649"/>
    <w:rsid w:val="0065565D"/>
    <w:rsid w:val="006557C6"/>
    <w:rsid w:val="006557E5"/>
    <w:rsid w:val="00655B83"/>
    <w:rsid w:val="00656449"/>
    <w:rsid w:val="00656452"/>
    <w:rsid w:val="006564D9"/>
    <w:rsid w:val="00656D2C"/>
    <w:rsid w:val="00657035"/>
    <w:rsid w:val="0065729E"/>
    <w:rsid w:val="0065752D"/>
    <w:rsid w:val="006576E5"/>
    <w:rsid w:val="00657B5E"/>
    <w:rsid w:val="00657C2A"/>
    <w:rsid w:val="00657F1E"/>
    <w:rsid w:val="00660250"/>
    <w:rsid w:val="00660329"/>
    <w:rsid w:val="00660342"/>
    <w:rsid w:val="00660865"/>
    <w:rsid w:val="00660A9B"/>
    <w:rsid w:val="00660FEA"/>
    <w:rsid w:val="00661268"/>
    <w:rsid w:val="006613C6"/>
    <w:rsid w:val="00662423"/>
    <w:rsid w:val="006629A5"/>
    <w:rsid w:val="00662EDD"/>
    <w:rsid w:val="0066306B"/>
    <w:rsid w:val="00663222"/>
    <w:rsid w:val="00663711"/>
    <w:rsid w:val="00663AED"/>
    <w:rsid w:val="00663CF8"/>
    <w:rsid w:val="00663E1F"/>
    <w:rsid w:val="00663E35"/>
    <w:rsid w:val="0066489C"/>
    <w:rsid w:val="006648D9"/>
    <w:rsid w:val="00664942"/>
    <w:rsid w:val="00664A02"/>
    <w:rsid w:val="00664C35"/>
    <w:rsid w:val="00664D0B"/>
    <w:rsid w:val="00664D6F"/>
    <w:rsid w:val="00665684"/>
    <w:rsid w:val="006658A5"/>
    <w:rsid w:val="00665910"/>
    <w:rsid w:val="006659F9"/>
    <w:rsid w:val="00665B4B"/>
    <w:rsid w:val="006662CA"/>
    <w:rsid w:val="00666402"/>
    <w:rsid w:val="00666429"/>
    <w:rsid w:val="00666869"/>
    <w:rsid w:val="00666EC8"/>
    <w:rsid w:val="00667049"/>
    <w:rsid w:val="0066729A"/>
    <w:rsid w:val="006676D8"/>
    <w:rsid w:val="00667712"/>
    <w:rsid w:val="006703C7"/>
    <w:rsid w:val="00670E98"/>
    <w:rsid w:val="006711C0"/>
    <w:rsid w:val="00671478"/>
    <w:rsid w:val="00671647"/>
    <w:rsid w:val="006718B3"/>
    <w:rsid w:val="00671A93"/>
    <w:rsid w:val="00671B33"/>
    <w:rsid w:val="00671C99"/>
    <w:rsid w:val="006720CF"/>
    <w:rsid w:val="00672406"/>
    <w:rsid w:val="006726FB"/>
    <w:rsid w:val="0067276D"/>
    <w:rsid w:val="006728FA"/>
    <w:rsid w:val="00672AA9"/>
    <w:rsid w:val="00672C58"/>
    <w:rsid w:val="00672E73"/>
    <w:rsid w:val="00672F0C"/>
    <w:rsid w:val="0067313E"/>
    <w:rsid w:val="00673880"/>
    <w:rsid w:val="00673C9F"/>
    <w:rsid w:val="006742FB"/>
    <w:rsid w:val="00674322"/>
    <w:rsid w:val="006743EA"/>
    <w:rsid w:val="00674780"/>
    <w:rsid w:val="006748F1"/>
    <w:rsid w:val="00674AC0"/>
    <w:rsid w:val="006754CA"/>
    <w:rsid w:val="00675640"/>
    <w:rsid w:val="00675943"/>
    <w:rsid w:val="00675961"/>
    <w:rsid w:val="00675C33"/>
    <w:rsid w:val="00675E3B"/>
    <w:rsid w:val="00676227"/>
    <w:rsid w:val="006766E4"/>
    <w:rsid w:val="006770F6"/>
    <w:rsid w:val="006770FC"/>
    <w:rsid w:val="00677855"/>
    <w:rsid w:val="00677A64"/>
    <w:rsid w:val="00677C7A"/>
    <w:rsid w:val="00677CA8"/>
    <w:rsid w:val="00677F19"/>
    <w:rsid w:val="006801EB"/>
    <w:rsid w:val="0068037C"/>
    <w:rsid w:val="0068064D"/>
    <w:rsid w:val="006808AC"/>
    <w:rsid w:val="00680CCA"/>
    <w:rsid w:val="00681725"/>
    <w:rsid w:val="00681779"/>
    <w:rsid w:val="0068199E"/>
    <w:rsid w:val="00681BD0"/>
    <w:rsid w:val="00682258"/>
    <w:rsid w:val="006822C0"/>
    <w:rsid w:val="00682E8F"/>
    <w:rsid w:val="00682FD6"/>
    <w:rsid w:val="006838DD"/>
    <w:rsid w:val="00683ADF"/>
    <w:rsid w:val="00684037"/>
    <w:rsid w:val="0068404F"/>
    <w:rsid w:val="00684891"/>
    <w:rsid w:val="00684B9E"/>
    <w:rsid w:val="00684CC7"/>
    <w:rsid w:val="00684DCD"/>
    <w:rsid w:val="00684F95"/>
    <w:rsid w:val="00684FD7"/>
    <w:rsid w:val="00685218"/>
    <w:rsid w:val="00685354"/>
    <w:rsid w:val="006858DE"/>
    <w:rsid w:val="006859EE"/>
    <w:rsid w:val="00685A25"/>
    <w:rsid w:val="00685AF2"/>
    <w:rsid w:val="00685B1A"/>
    <w:rsid w:val="0068632B"/>
    <w:rsid w:val="006863A3"/>
    <w:rsid w:val="0069046A"/>
    <w:rsid w:val="006908B7"/>
    <w:rsid w:val="006909AE"/>
    <w:rsid w:val="00690EEA"/>
    <w:rsid w:val="00690F01"/>
    <w:rsid w:val="006910A0"/>
    <w:rsid w:val="00691197"/>
    <w:rsid w:val="0069146D"/>
    <w:rsid w:val="006916C9"/>
    <w:rsid w:val="0069182D"/>
    <w:rsid w:val="00691E5E"/>
    <w:rsid w:val="00692254"/>
    <w:rsid w:val="00692329"/>
    <w:rsid w:val="00692459"/>
    <w:rsid w:val="0069296D"/>
    <w:rsid w:val="00692EE4"/>
    <w:rsid w:val="00693090"/>
    <w:rsid w:val="00693340"/>
    <w:rsid w:val="0069334D"/>
    <w:rsid w:val="00693BD5"/>
    <w:rsid w:val="00694149"/>
    <w:rsid w:val="0069477F"/>
    <w:rsid w:val="00694EAC"/>
    <w:rsid w:val="0069519C"/>
    <w:rsid w:val="006958B9"/>
    <w:rsid w:val="00695B6E"/>
    <w:rsid w:val="00695D5D"/>
    <w:rsid w:val="0069600C"/>
    <w:rsid w:val="00696129"/>
    <w:rsid w:val="006964D8"/>
    <w:rsid w:val="0069650E"/>
    <w:rsid w:val="00696934"/>
    <w:rsid w:val="00696E90"/>
    <w:rsid w:val="00696FA4"/>
    <w:rsid w:val="00697048"/>
    <w:rsid w:val="006972B4"/>
    <w:rsid w:val="0069745E"/>
    <w:rsid w:val="00697C38"/>
    <w:rsid w:val="006A0240"/>
    <w:rsid w:val="006A0645"/>
    <w:rsid w:val="006A0732"/>
    <w:rsid w:val="006A09A3"/>
    <w:rsid w:val="006A0BEA"/>
    <w:rsid w:val="006A0DF0"/>
    <w:rsid w:val="006A13B2"/>
    <w:rsid w:val="006A1A4C"/>
    <w:rsid w:val="006A1B17"/>
    <w:rsid w:val="006A2745"/>
    <w:rsid w:val="006A2A31"/>
    <w:rsid w:val="006A2B06"/>
    <w:rsid w:val="006A310C"/>
    <w:rsid w:val="006A3135"/>
    <w:rsid w:val="006A315F"/>
    <w:rsid w:val="006A32E1"/>
    <w:rsid w:val="006A3668"/>
    <w:rsid w:val="006A42F6"/>
    <w:rsid w:val="006A437C"/>
    <w:rsid w:val="006A48CD"/>
    <w:rsid w:val="006A4900"/>
    <w:rsid w:val="006A4A6C"/>
    <w:rsid w:val="006A5457"/>
    <w:rsid w:val="006A621F"/>
    <w:rsid w:val="006A73E8"/>
    <w:rsid w:val="006A7529"/>
    <w:rsid w:val="006A7914"/>
    <w:rsid w:val="006A79D5"/>
    <w:rsid w:val="006A7CFE"/>
    <w:rsid w:val="006B0331"/>
    <w:rsid w:val="006B05EA"/>
    <w:rsid w:val="006B09F1"/>
    <w:rsid w:val="006B0BF8"/>
    <w:rsid w:val="006B0C4A"/>
    <w:rsid w:val="006B0F3D"/>
    <w:rsid w:val="006B1965"/>
    <w:rsid w:val="006B19B4"/>
    <w:rsid w:val="006B1D04"/>
    <w:rsid w:val="006B1DF0"/>
    <w:rsid w:val="006B1E22"/>
    <w:rsid w:val="006B1FC8"/>
    <w:rsid w:val="006B2235"/>
    <w:rsid w:val="006B2301"/>
    <w:rsid w:val="006B2440"/>
    <w:rsid w:val="006B2C9B"/>
    <w:rsid w:val="006B3208"/>
    <w:rsid w:val="006B3531"/>
    <w:rsid w:val="006B3E81"/>
    <w:rsid w:val="006B40D7"/>
    <w:rsid w:val="006B4344"/>
    <w:rsid w:val="006B469E"/>
    <w:rsid w:val="006B4774"/>
    <w:rsid w:val="006B4E58"/>
    <w:rsid w:val="006B577B"/>
    <w:rsid w:val="006B6445"/>
    <w:rsid w:val="006B65B6"/>
    <w:rsid w:val="006B678B"/>
    <w:rsid w:val="006B6843"/>
    <w:rsid w:val="006B7966"/>
    <w:rsid w:val="006B7ABD"/>
    <w:rsid w:val="006B7ADE"/>
    <w:rsid w:val="006B7ECB"/>
    <w:rsid w:val="006C05C8"/>
    <w:rsid w:val="006C0A50"/>
    <w:rsid w:val="006C0CC5"/>
    <w:rsid w:val="006C17E1"/>
    <w:rsid w:val="006C188D"/>
    <w:rsid w:val="006C1B41"/>
    <w:rsid w:val="006C1DE5"/>
    <w:rsid w:val="006C1EBF"/>
    <w:rsid w:val="006C205F"/>
    <w:rsid w:val="006C22F6"/>
    <w:rsid w:val="006C2C28"/>
    <w:rsid w:val="006C2C66"/>
    <w:rsid w:val="006C34E1"/>
    <w:rsid w:val="006C3CA8"/>
    <w:rsid w:val="006C445B"/>
    <w:rsid w:val="006C4483"/>
    <w:rsid w:val="006C4764"/>
    <w:rsid w:val="006C4EA5"/>
    <w:rsid w:val="006C5702"/>
    <w:rsid w:val="006C58C2"/>
    <w:rsid w:val="006C5A15"/>
    <w:rsid w:val="006C5E91"/>
    <w:rsid w:val="006C5EEA"/>
    <w:rsid w:val="006C6921"/>
    <w:rsid w:val="006C6ACB"/>
    <w:rsid w:val="006C6C7C"/>
    <w:rsid w:val="006C7093"/>
    <w:rsid w:val="006C70D4"/>
    <w:rsid w:val="006C7B79"/>
    <w:rsid w:val="006D03B8"/>
    <w:rsid w:val="006D0950"/>
    <w:rsid w:val="006D0FD9"/>
    <w:rsid w:val="006D1247"/>
    <w:rsid w:val="006D15CA"/>
    <w:rsid w:val="006D1C8E"/>
    <w:rsid w:val="006D1E5D"/>
    <w:rsid w:val="006D1ED1"/>
    <w:rsid w:val="006D20AD"/>
    <w:rsid w:val="006D22A4"/>
    <w:rsid w:val="006D2FF7"/>
    <w:rsid w:val="006D3057"/>
    <w:rsid w:val="006D3098"/>
    <w:rsid w:val="006D37BC"/>
    <w:rsid w:val="006D3EEB"/>
    <w:rsid w:val="006D3FFC"/>
    <w:rsid w:val="006D4217"/>
    <w:rsid w:val="006D4CB0"/>
    <w:rsid w:val="006D5360"/>
    <w:rsid w:val="006D545C"/>
    <w:rsid w:val="006D5496"/>
    <w:rsid w:val="006D59B9"/>
    <w:rsid w:val="006D5D6B"/>
    <w:rsid w:val="006D5F5B"/>
    <w:rsid w:val="006D6467"/>
    <w:rsid w:val="006D66F9"/>
    <w:rsid w:val="006D75C8"/>
    <w:rsid w:val="006D7A56"/>
    <w:rsid w:val="006D7F6E"/>
    <w:rsid w:val="006E0369"/>
    <w:rsid w:val="006E0425"/>
    <w:rsid w:val="006E053D"/>
    <w:rsid w:val="006E1223"/>
    <w:rsid w:val="006E1439"/>
    <w:rsid w:val="006E1AC0"/>
    <w:rsid w:val="006E1E2F"/>
    <w:rsid w:val="006E2338"/>
    <w:rsid w:val="006E25A1"/>
    <w:rsid w:val="006E26A8"/>
    <w:rsid w:val="006E26AB"/>
    <w:rsid w:val="006E2AC1"/>
    <w:rsid w:val="006E3224"/>
    <w:rsid w:val="006E335E"/>
    <w:rsid w:val="006E37DD"/>
    <w:rsid w:val="006E38C1"/>
    <w:rsid w:val="006E3F05"/>
    <w:rsid w:val="006E422A"/>
    <w:rsid w:val="006E4408"/>
    <w:rsid w:val="006E44D6"/>
    <w:rsid w:val="006E49C4"/>
    <w:rsid w:val="006E4A69"/>
    <w:rsid w:val="006E4BAE"/>
    <w:rsid w:val="006E568E"/>
    <w:rsid w:val="006E5C76"/>
    <w:rsid w:val="006E6041"/>
    <w:rsid w:val="006E62A0"/>
    <w:rsid w:val="006E67C7"/>
    <w:rsid w:val="006E6C1E"/>
    <w:rsid w:val="006E775B"/>
    <w:rsid w:val="006E7938"/>
    <w:rsid w:val="006E7C1D"/>
    <w:rsid w:val="006F0788"/>
    <w:rsid w:val="006F09E6"/>
    <w:rsid w:val="006F0D0F"/>
    <w:rsid w:val="006F1297"/>
    <w:rsid w:val="006F1562"/>
    <w:rsid w:val="006F156E"/>
    <w:rsid w:val="006F1B70"/>
    <w:rsid w:val="006F206E"/>
    <w:rsid w:val="006F2344"/>
    <w:rsid w:val="006F3044"/>
    <w:rsid w:val="006F31B3"/>
    <w:rsid w:val="006F355E"/>
    <w:rsid w:val="006F392E"/>
    <w:rsid w:val="006F3CCC"/>
    <w:rsid w:val="006F3F55"/>
    <w:rsid w:val="006F4597"/>
    <w:rsid w:val="006F49BA"/>
    <w:rsid w:val="006F4A8D"/>
    <w:rsid w:val="006F4A91"/>
    <w:rsid w:val="006F514A"/>
    <w:rsid w:val="006F5725"/>
    <w:rsid w:val="006F574F"/>
    <w:rsid w:val="006F5A4D"/>
    <w:rsid w:val="006F5F55"/>
    <w:rsid w:val="006F6534"/>
    <w:rsid w:val="006F6827"/>
    <w:rsid w:val="006F699E"/>
    <w:rsid w:val="006F6C27"/>
    <w:rsid w:val="006F71E6"/>
    <w:rsid w:val="006F7772"/>
    <w:rsid w:val="006F7A4F"/>
    <w:rsid w:val="006F7A6E"/>
    <w:rsid w:val="0070093C"/>
    <w:rsid w:val="00700D79"/>
    <w:rsid w:val="00700F5F"/>
    <w:rsid w:val="007011D1"/>
    <w:rsid w:val="007011F3"/>
    <w:rsid w:val="007018ED"/>
    <w:rsid w:val="00701F73"/>
    <w:rsid w:val="00701FF9"/>
    <w:rsid w:val="0070211F"/>
    <w:rsid w:val="00702133"/>
    <w:rsid w:val="007021F0"/>
    <w:rsid w:val="00702A96"/>
    <w:rsid w:val="00702B17"/>
    <w:rsid w:val="007030B5"/>
    <w:rsid w:val="00703154"/>
    <w:rsid w:val="0070359B"/>
    <w:rsid w:val="00703922"/>
    <w:rsid w:val="00703C28"/>
    <w:rsid w:val="007040B5"/>
    <w:rsid w:val="0070425C"/>
    <w:rsid w:val="007047F1"/>
    <w:rsid w:val="0070483D"/>
    <w:rsid w:val="007048DC"/>
    <w:rsid w:val="00704912"/>
    <w:rsid w:val="00704967"/>
    <w:rsid w:val="007050D0"/>
    <w:rsid w:val="00705784"/>
    <w:rsid w:val="0070588F"/>
    <w:rsid w:val="00706128"/>
    <w:rsid w:val="00706163"/>
    <w:rsid w:val="007066CE"/>
    <w:rsid w:val="007067AD"/>
    <w:rsid w:val="00706C4B"/>
    <w:rsid w:val="00706D69"/>
    <w:rsid w:val="0071082D"/>
    <w:rsid w:val="00710D39"/>
    <w:rsid w:val="007112CD"/>
    <w:rsid w:val="0071168C"/>
    <w:rsid w:val="00711745"/>
    <w:rsid w:val="0071285E"/>
    <w:rsid w:val="0071299F"/>
    <w:rsid w:val="00712D2F"/>
    <w:rsid w:val="007131B4"/>
    <w:rsid w:val="00713553"/>
    <w:rsid w:val="00713C18"/>
    <w:rsid w:val="007141DC"/>
    <w:rsid w:val="00714987"/>
    <w:rsid w:val="00715AA3"/>
    <w:rsid w:val="00715B92"/>
    <w:rsid w:val="0071631D"/>
    <w:rsid w:val="007165B7"/>
    <w:rsid w:val="007166D3"/>
    <w:rsid w:val="00716922"/>
    <w:rsid w:val="00716CE1"/>
    <w:rsid w:val="00716D71"/>
    <w:rsid w:val="00717168"/>
    <w:rsid w:val="0071744F"/>
    <w:rsid w:val="00717A34"/>
    <w:rsid w:val="00717B1A"/>
    <w:rsid w:val="007203CC"/>
    <w:rsid w:val="007208CE"/>
    <w:rsid w:val="00720AA5"/>
    <w:rsid w:val="00720C15"/>
    <w:rsid w:val="00720E06"/>
    <w:rsid w:val="00721175"/>
    <w:rsid w:val="007211E0"/>
    <w:rsid w:val="007212A2"/>
    <w:rsid w:val="00721C10"/>
    <w:rsid w:val="007220B6"/>
    <w:rsid w:val="007221F4"/>
    <w:rsid w:val="007225AF"/>
    <w:rsid w:val="007226FE"/>
    <w:rsid w:val="00722AB6"/>
    <w:rsid w:val="00722F04"/>
    <w:rsid w:val="007235DF"/>
    <w:rsid w:val="00723958"/>
    <w:rsid w:val="00723D87"/>
    <w:rsid w:val="00723DB6"/>
    <w:rsid w:val="00724383"/>
    <w:rsid w:val="0072463D"/>
    <w:rsid w:val="00724779"/>
    <w:rsid w:val="007253EA"/>
    <w:rsid w:val="0072565E"/>
    <w:rsid w:val="0072573A"/>
    <w:rsid w:val="00725925"/>
    <w:rsid w:val="0072618A"/>
    <w:rsid w:val="007271E7"/>
    <w:rsid w:val="00727209"/>
    <w:rsid w:val="0072739E"/>
    <w:rsid w:val="0072747A"/>
    <w:rsid w:val="00727F1F"/>
    <w:rsid w:val="00730320"/>
    <w:rsid w:val="007303E6"/>
    <w:rsid w:val="007304C6"/>
    <w:rsid w:val="007309FA"/>
    <w:rsid w:val="00730B7F"/>
    <w:rsid w:val="00730D1C"/>
    <w:rsid w:val="00731716"/>
    <w:rsid w:val="00731B6A"/>
    <w:rsid w:val="00731F6E"/>
    <w:rsid w:val="00732167"/>
    <w:rsid w:val="00732311"/>
    <w:rsid w:val="00732B53"/>
    <w:rsid w:val="0073367B"/>
    <w:rsid w:val="007337AA"/>
    <w:rsid w:val="00733FB8"/>
    <w:rsid w:val="007347E0"/>
    <w:rsid w:val="00734934"/>
    <w:rsid w:val="00734A02"/>
    <w:rsid w:val="00734D8E"/>
    <w:rsid w:val="00734E3F"/>
    <w:rsid w:val="007352A4"/>
    <w:rsid w:val="007352DD"/>
    <w:rsid w:val="00735E03"/>
    <w:rsid w:val="0073688A"/>
    <w:rsid w:val="007369C4"/>
    <w:rsid w:val="00736A97"/>
    <w:rsid w:val="00736D16"/>
    <w:rsid w:val="00736E34"/>
    <w:rsid w:val="0073763A"/>
    <w:rsid w:val="007407DA"/>
    <w:rsid w:val="00741006"/>
    <w:rsid w:val="0074146B"/>
    <w:rsid w:val="0074188F"/>
    <w:rsid w:val="00741A3A"/>
    <w:rsid w:val="00741EAD"/>
    <w:rsid w:val="00741FAB"/>
    <w:rsid w:val="00742348"/>
    <w:rsid w:val="007423D8"/>
    <w:rsid w:val="007425E8"/>
    <w:rsid w:val="0074293C"/>
    <w:rsid w:val="007433C0"/>
    <w:rsid w:val="00743933"/>
    <w:rsid w:val="007449A1"/>
    <w:rsid w:val="00744AA0"/>
    <w:rsid w:val="00744AEE"/>
    <w:rsid w:val="00744B54"/>
    <w:rsid w:val="00745378"/>
    <w:rsid w:val="00745529"/>
    <w:rsid w:val="007455F3"/>
    <w:rsid w:val="007457D2"/>
    <w:rsid w:val="00745DB8"/>
    <w:rsid w:val="00746D20"/>
    <w:rsid w:val="00746E69"/>
    <w:rsid w:val="00747DEF"/>
    <w:rsid w:val="0075006F"/>
    <w:rsid w:val="0075025C"/>
    <w:rsid w:val="007502CC"/>
    <w:rsid w:val="007503D7"/>
    <w:rsid w:val="00750566"/>
    <w:rsid w:val="00750B10"/>
    <w:rsid w:val="00750BF4"/>
    <w:rsid w:val="00751368"/>
    <w:rsid w:val="007513CC"/>
    <w:rsid w:val="00751D85"/>
    <w:rsid w:val="00751DA9"/>
    <w:rsid w:val="0075210A"/>
    <w:rsid w:val="0075210E"/>
    <w:rsid w:val="00752222"/>
    <w:rsid w:val="00752481"/>
    <w:rsid w:val="0075366C"/>
    <w:rsid w:val="00753786"/>
    <w:rsid w:val="00753881"/>
    <w:rsid w:val="0075423E"/>
    <w:rsid w:val="00754543"/>
    <w:rsid w:val="00754729"/>
    <w:rsid w:val="00754A89"/>
    <w:rsid w:val="00754D5B"/>
    <w:rsid w:val="00754DBD"/>
    <w:rsid w:val="007551E5"/>
    <w:rsid w:val="0075520A"/>
    <w:rsid w:val="00755AD1"/>
    <w:rsid w:val="00755F27"/>
    <w:rsid w:val="00756576"/>
    <w:rsid w:val="0075675F"/>
    <w:rsid w:val="0075684F"/>
    <w:rsid w:val="00756AC0"/>
    <w:rsid w:val="00757870"/>
    <w:rsid w:val="00757A71"/>
    <w:rsid w:val="00757AB9"/>
    <w:rsid w:val="00757E6C"/>
    <w:rsid w:val="00757F96"/>
    <w:rsid w:val="007600EA"/>
    <w:rsid w:val="00760548"/>
    <w:rsid w:val="00760904"/>
    <w:rsid w:val="00760DBF"/>
    <w:rsid w:val="007619B9"/>
    <w:rsid w:val="007620A8"/>
    <w:rsid w:val="007620CB"/>
    <w:rsid w:val="00762561"/>
    <w:rsid w:val="007625D8"/>
    <w:rsid w:val="0076281F"/>
    <w:rsid w:val="00762D78"/>
    <w:rsid w:val="007631C6"/>
    <w:rsid w:val="007638DA"/>
    <w:rsid w:val="00763FA4"/>
    <w:rsid w:val="007642A1"/>
    <w:rsid w:val="007648AB"/>
    <w:rsid w:val="0076514A"/>
    <w:rsid w:val="007653BB"/>
    <w:rsid w:val="007656B7"/>
    <w:rsid w:val="00765A8F"/>
    <w:rsid w:val="00765CF2"/>
    <w:rsid w:val="00765E54"/>
    <w:rsid w:val="00766209"/>
    <w:rsid w:val="0076667F"/>
    <w:rsid w:val="007667FC"/>
    <w:rsid w:val="007668AC"/>
    <w:rsid w:val="007669E4"/>
    <w:rsid w:val="00767376"/>
    <w:rsid w:val="007673C4"/>
    <w:rsid w:val="007674CC"/>
    <w:rsid w:val="00767982"/>
    <w:rsid w:val="00767E03"/>
    <w:rsid w:val="00770D15"/>
    <w:rsid w:val="0077166E"/>
    <w:rsid w:val="00771844"/>
    <w:rsid w:val="0077193B"/>
    <w:rsid w:val="00772E9C"/>
    <w:rsid w:val="007730E4"/>
    <w:rsid w:val="00773136"/>
    <w:rsid w:val="007731AD"/>
    <w:rsid w:val="0077444B"/>
    <w:rsid w:val="00774A17"/>
    <w:rsid w:val="00774B51"/>
    <w:rsid w:val="007750D9"/>
    <w:rsid w:val="0077555A"/>
    <w:rsid w:val="007757E0"/>
    <w:rsid w:val="007759F8"/>
    <w:rsid w:val="00775ED4"/>
    <w:rsid w:val="007768E3"/>
    <w:rsid w:val="00776BD2"/>
    <w:rsid w:val="00776C55"/>
    <w:rsid w:val="00776E77"/>
    <w:rsid w:val="00777638"/>
    <w:rsid w:val="00777AC7"/>
    <w:rsid w:val="00777D17"/>
    <w:rsid w:val="00777E31"/>
    <w:rsid w:val="00780932"/>
    <w:rsid w:val="00780A5C"/>
    <w:rsid w:val="007813F8"/>
    <w:rsid w:val="0078167D"/>
    <w:rsid w:val="00781693"/>
    <w:rsid w:val="007816B3"/>
    <w:rsid w:val="007819B0"/>
    <w:rsid w:val="007819BF"/>
    <w:rsid w:val="00781A24"/>
    <w:rsid w:val="00781C9B"/>
    <w:rsid w:val="00781CD3"/>
    <w:rsid w:val="00781F33"/>
    <w:rsid w:val="007820D1"/>
    <w:rsid w:val="007826D7"/>
    <w:rsid w:val="00782BEC"/>
    <w:rsid w:val="00782DB0"/>
    <w:rsid w:val="00782FAC"/>
    <w:rsid w:val="0078333D"/>
    <w:rsid w:val="0078362E"/>
    <w:rsid w:val="00783933"/>
    <w:rsid w:val="0078468F"/>
    <w:rsid w:val="00784706"/>
    <w:rsid w:val="00784B25"/>
    <w:rsid w:val="00784F51"/>
    <w:rsid w:val="00785058"/>
    <w:rsid w:val="00785098"/>
    <w:rsid w:val="00785554"/>
    <w:rsid w:val="00786007"/>
    <w:rsid w:val="007862CB"/>
    <w:rsid w:val="00786796"/>
    <w:rsid w:val="007869FE"/>
    <w:rsid w:val="00786A2C"/>
    <w:rsid w:val="00786C16"/>
    <w:rsid w:val="00786E29"/>
    <w:rsid w:val="0078739F"/>
    <w:rsid w:val="007877F6"/>
    <w:rsid w:val="0079016D"/>
    <w:rsid w:val="00790E36"/>
    <w:rsid w:val="007914BE"/>
    <w:rsid w:val="00791527"/>
    <w:rsid w:val="00791ADF"/>
    <w:rsid w:val="0079204E"/>
    <w:rsid w:val="007923D2"/>
    <w:rsid w:val="00792485"/>
    <w:rsid w:val="00792527"/>
    <w:rsid w:val="0079282D"/>
    <w:rsid w:val="00793057"/>
    <w:rsid w:val="00793256"/>
    <w:rsid w:val="00793849"/>
    <w:rsid w:val="0079398A"/>
    <w:rsid w:val="00793ABF"/>
    <w:rsid w:val="00793D40"/>
    <w:rsid w:val="007941C5"/>
    <w:rsid w:val="00794361"/>
    <w:rsid w:val="00794584"/>
    <w:rsid w:val="00794968"/>
    <w:rsid w:val="00794B4C"/>
    <w:rsid w:val="00794CDC"/>
    <w:rsid w:val="00795045"/>
    <w:rsid w:val="00795D14"/>
    <w:rsid w:val="007962D6"/>
    <w:rsid w:val="00796393"/>
    <w:rsid w:val="00796505"/>
    <w:rsid w:val="00796788"/>
    <w:rsid w:val="0079683C"/>
    <w:rsid w:val="00797128"/>
    <w:rsid w:val="007975CB"/>
    <w:rsid w:val="0079771A"/>
    <w:rsid w:val="00797946"/>
    <w:rsid w:val="0079796C"/>
    <w:rsid w:val="007A01B5"/>
    <w:rsid w:val="007A13A8"/>
    <w:rsid w:val="007A19CF"/>
    <w:rsid w:val="007A1D6B"/>
    <w:rsid w:val="007A1D9C"/>
    <w:rsid w:val="007A1F69"/>
    <w:rsid w:val="007A2474"/>
    <w:rsid w:val="007A263D"/>
    <w:rsid w:val="007A2949"/>
    <w:rsid w:val="007A2F6E"/>
    <w:rsid w:val="007A337D"/>
    <w:rsid w:val="007A3725"/>
    <w:rsid w:val="007A3BA1"/>
    <w:rsid w:val="007A432F"/>
    <w:rsid w:val="007A43B8"/>
    <w:rsid w:val="007A43BC"/>
    <w:rsid w:val="007A43DB"/>
    <w:rsid w:val="007A49DF"/>
    <w:rsid w:val="007A4FEB"/>
    <w:rsid w:val="007A54F8"/>
    <w:rsid w:val="007A59C5"/>
    <w:rsid w:val="007A5EF7"/>
    <w:rsid w:val="007A5F18"/>
    <w:rsid w:val="007A62BD"/>
    <w:rsid w:val="007A63A4"/>
    <w:rsid w:val="007A67E0"/>
    <w:rsid w:val="007A69F9"/>
    <w:rsid w:val="007A6B0B"/>
    <w:rsid w:val="007A6C88"/>
    <w:rsid w:val="007A7033"/>
    <w:rsid w:val="007A79DB"/>
    <w:rsid w:val="007A7A10"/>
    <w:rsid w:val="007B0203"/>
    <w:rsid w:val="007B0475"/>
    <w:rsid w:val="007B0F91"/>
    <w:rsid w:val="007B1273"/>
    <w:rsid w:val="007B17C3"/>
    <w:rsid w:val="007B18F0"/>
    <w:rsid w:val="007B1BB4"/>
    <w:rsid w:val="007B2688"/>
    <w:rsid w:val="007B2C10"/>
    <w:rsid w:val="007B3360"/>
    <w:rsid w:val="007B363D"/>
    <w:rsid w:val="007B3834"/>
    <w:rsid w:val="007B41CF"/>
    <w:rsid w:val="007B4295"/>
    <w:rsid w:val="007B454B"/>
    <w:rsid w:val="007B463C"/>
    <w:rsid w:val="007B4F11"/>
    <w:rsid w:val="007B4F51"/>
    <w:rsid w:val="007B53C6"/>
    <w:rsid w:val="007B5527"/>
    <w:rsid w:val="007B5910"/>
    <w:rsid w:val="007B5936"/>
    <w:rsid w:val="007B5BCF"/>
    <w:rsid w:val="007B5EBB"/>
    <w:rsid w:val="007B6138"/>
    <w:rsid w:val="007B6267"/>
    <w:rsid w:val="007B6CCE"/>
    <w:rsid w:val="007B754C"/>
    <w:rsid w:val="007B77F0"/>
    <w:rsid w:val="007B7E02"/>
    <w:rsid w:val="007C0112"/>
    <w:rsid w:val="007C09AF"/>
    <w:rsid w:val="007C0EBE"/>
    <w:rsid w:val="007C191E"/>
    <w:rsid w:val="007C1A30"/>
    <w:rsid w:val="007C1E25"/>
    <w:rsid w:val="007C1EB2"/>
    <w:rsid w:val="007C222F"/>
    <w:rsid w:val="007C2430"/>
    <w:rsid w:val="007C26D1"/>
    <w:rsid w:val="007C2C7F"/>
    <w:rsid w:val="007C2D8C"/>
    <w:rsid w:val="007C33E3"/>
    <w:rsid w:val="007C362B"/>
    <w:rsid w:val="007C4227"/>
    <w:rsid w:val="007C4747"/>
    <w:rsid w:val="007C4A9E"/>
    <w:rsid w:val="007C4B43"/>
    <w:rsid w:val="007C4BFD"/>
    <w:rsid w:val="007C5102"/>
    <w:rsid w:val="007C53AE"/>
    <w:rsid w:val="007C5578"/>
    <w:rsid w:val="007C695C"/>
    <w:rsid w:val="007C6AEA"/>
    <w:rsid w:val="007C6F6F"/>
    <w:rsid w:val="007C744A"/>
    <w:rsid w:val="007C7A03"/>
    <w:rsid w:val="007C7F9D"/>
    <w:rsid w:val="007D0D33"/>
    <w:rsid w:val="007D0E87"/>
    <w:rsid w:val="007D115A"/>
    <w:rsid w:val="007D140A"/>
    <w:rsid w:val="007D1442"/>
    <w:rsid w:val="007D1C21"/>
    <w:rsid w:val="007D1FED"/>
    <w:rsid w:val="007D2588"/>
    <w:rsid w:val="007D3A16"/>
    <w:rsid w:val="007D3D5A"/>
    <w:rsid w:val="007D3FE6"/>
    <w:rsid w:val="007D45DB"/>
    <w:rsid w:val="007D4865"/>
    <w:rsid w:val="007D49CA"/>
    <w:rsid w:val="007D4B53"/>
    <w:rsid w:val="007D4E58"/>
    <w:rsid w:val="007D5123"/>
    <w:rsid w:val="007D6B46"/>
    <w:rsid w:val="007D6B49"/>
    <w:rsid w:val="007D6BBF"/>
    <w:rsid w:val="007D6FEB"/>
    <w:rsid w:val="007D74F7"/>
    <w:rsid w:val="007D7601"/>
    <w:rsid w:val="007D7ADF"/>
    <w:rsid w:val="007D7BCC"/>
    <w:rsid w:val="007D7D4F"/>
    <w:rsid w:val="007E025A"/>
    <w:rsid w:val="007E02BF"/>
    <w:rsid w:val="007E04D3"/>
    <w:rsid w:val="007E0CC8"/>
    <w:rsid w:val="007E0F12"/>
    <w:rsid w:val="007E1096"/>
    <w:rsid w:val="007E1388"/>
    <w:rsid w:val="007E1400"/>
    <w:rsid w:val="007E1722"/>
    <w:rsid w:val="007E1766"/>
    <w:rsid w:val="007E1783"/>
    <w:rsid w:val="007E1900"/>
    <w:rsid w:val="007E1D73"/>
    <w:rsid w:val="007E1D7E"/>
    <w:rsid w:val="007E2502"/>
    <w:rsid w:val="007E2985"/>
    <w:rsid w:val="007E2B29"/>
    <w:rsid w:val="007E2F3C"/>
    <w:rsid w:val="007E30AB"/>
    <w:rsid w:val="007E38D0"/>
    <w:rsid w:val="007E393E"/>
    <w:rsid w:val="007E3F69"/>
    <w:rsid w:val="007E44E8"/>
    <w:rsid w:val="007E4A0E"/>
    <w:rsid w:val="007E4DF1"/>
    <w:rsid w:val="007E5222"/>
    <w:rsid w:val="007E524F"/>
    <w:rsid w:val="007E5D2D"/>
    <w:rsid w:val="007E5D48"/>
    <w:rsid w:val="007E5ECC"/>
    <w:rsid w:val="007E63C2"/>
    <w:rsid w:val="007E6756"/>
    <w:rsid w:val="007E6986"/>
    <w:rsid w:val="007E6D74"/>
    <w:rsid w:val="007E7D1B"/>
    <w:rsid w:val="007F0C72"/>
    <w:rsid w:val="007F0EB2"/>
    <w:rsid w:val="007F1293"/>
    <w:rsid w:val="007F1ACC"/>
    <w:rsid w:val="007F2089"/>
    <w:rsid w:val="007F2306"/>
    <w:rsid w:val="007F28C9"/>
    <w:rsid w:val="007F2F54"/>
    <w:rsid w:val="007F2F9A"/>
    <w:rsid w:val="007F3118"/>
    <w:rsid w:val="007F31FE"/>
    <w:rsid w:val="007F37E6"/>
    <w:rsid w:val="007F38E3"/>
    <w:rsid w:val="007F39D1"/>
    <w:rsid w:val="007F3A7F"/>
    <w:rsid w:val="007F4C43"/>
    <w:rsid w:val="007F4C9C"/>
    <w:rsid w:val="007F4CF9"/>
    <w:rsid w:val="007F58C7"/>
    <w:rsid w:val="007F59EF"/>
    <w:rsid w:val="007F5ACD"/>
    <w:rsid w:val="007F5FD0"/>
    <w:rsid w:val="007F6762"/>
    <w:rsid w:val="007F69B7"/>
    <w:rsid w:val="007F6E39"/>
    <w:rsid w:val="007F775A"/>
    <w:rsid w:val="007F7913"/>
    <w:rsid w:val="008003CC"/>
    <w:rsid w:val="008004CB"/>
    <w:rsid w:val="008007E5"/>
    <w:rsid w:val="008008B2"/>
    <w:rsid w:val="00800D92"/>
    <w:rsid w:val="00800F04"/>
    <w:rsid w:val="008014DD"/>
    <w:rsid w:val="008016A7"/>
    <w:rsid w:val="00801E8D"/>
    <w:rsid w:val="00801F70"/>
    <w:rsid w:val="008026AD"/>
    <w:rsid w:val="00802756"/>
    <w:rsid w:val="00802CD9"/>
    <w:rsid w:val="00802F0F"/>
    <w:rsid w:val="008032FF"/>
    <w:rsid w:val="008034C1"/>
    <w:rsid w:val="008035BE"/>
    <w:rsid w:val="0080407A"/>
    <w:rsid w:val="0080409C"/>
    <w:rsid w:val="008042C9"/>
    <w:rsid w:val="00804E31"/>
    <w:rsid w:val="008050E0"/>
    <w:rsid w:val="00805630"/>
    <w:rsid w:val="00805A17"/>
    <w:rsid w:val="00805E95"/>
    <w:rsid w:val="0080637A"/>
    <w:rsid w:val="008069FF"/>
    <w:rsid w:val="00807B70"/>
    <w:rsid w:val="00807BC0"/>
    <w:rsid w:val="00807CAE"/>
    <w:rsid w:val="00807E32"/>
    <w:rsid w:val="008106B4"/>
    <w:rsid w:val="0081088C"/>
    <w:rsid w:val="008108F0"/>
    <w:rsid w:val="00810CF8"/>
    <w:rsid w:val="008110E4"/>
    <w:rsid w:val="00811482"/>
    <w:rsid w:val="008114D8"/>
    <w:rsid w:val="008115E5"/>
    <w:rsid w:val="00812D60"/>
    <w:rsid w:val="008130F6"/>
    <w:rsid w:val="0081316B"/>
    <w:rsid w:val="00813218"/>
    <w:rsid w:val="008140B9"/>
    <w:rsid w:val="00814B63"/>
    <w:rsid w:val="008151CD"/>
    <w:rsid w:val="008152A7"/>
    <w:rsid w:val="00815EEA"/>
    <w:rsid w:val="008200DE"/>
    <w:rsid w:val="008203D1"/>
    <w:rsid w:val="00820793"/>
    <w:rsid w:val="0082084A"/>
    <w:rsid w:val="0082126A"/>
    <w:rsid w:val="008212DA"/>
    <w:rsid w:val="00822594"/>
    <w:rsid w:val="008226AF"/>
    <w:rsid w:val="00822DC8"/>
    <w:rsid w:val="008230DC"/>
    <w:rsid w:val="00823232"/>
    <w:rsid w:val="008232F3"/>
    <w:rsid w:val="00823C47"/>
    <w:rsid w:val="00824125"/>
    <w:rsid w:val="0082456B"/>
    <w:rsid w:val="00824860"/>
    <w:rsid w:val="00824A5B"/>
    <w:rsid w:val="00824A86"/>
    <w:rsid w:val="00824B2C"/>
    <w:rsid w:val="00824CFE"/>
    <w:rsid w:val="00824EA4"/>
    <w:rsid w:val="00826395"/>
    <w:rsid w:val="00826463"/>
    <w:rsid w:val="008265E8"/>
    <w:rsid w:val="00826883"/>
    <w:rsid w:val="00826968"/>
    <w:rsid w:val="00826BF8"/>
    <w:rsid w:val="00826C06"/>
    <w:rsid w:val="00826F8B"/>
    <w:rsid w:val="00827688"/>
    <w:rsid w:val="00827D41"/>
    <w:rsid w:val="00827DAA"/>
    <w:rsid w:val="00830236"/>
    <w:rsid w:val="008304FD"/>
    <w:rsid w:val="008318AE"/>
    <w:rsid w:val="00831AFC"/>
    <w:rsid w:val="00831B0B"/>
    <w:rsid w:val="0083286B"/>
    <w:rsid w:val="00832968"/>
    <w:rsid w:val="00832987"/>
    <w:rsid w:val="00832AE0"/>
    <w:rsid w:val="00832EFD"/>
    <w:rsid w:val="00832F7E"/>
    <w:rsid w:val="0083336C"/>
    <w:rsid w:val="008339B5"/>
    <w:rsid w:val="00833AB1"/>
    <w:rsid w:val="00834400"/>
    <w:rsid w:val="00834C9F"/>
    <w:rsid w:val="00834F85"/>
    <w:rsid w:val="00834FBF"/>
    <w:rsid w:val="00835019"/>
    <w:rsid w:val="00835381"/>
    <w:rsid w:val="00835BE4"/>
    <w:rsid w:val="00835C7B"/>
    <w:rsid w:val="00835F8E"/>
    <w:rsid w:val="00836C01"/>
    <w:rsid w:val="00836C69"/>
    <w:rsid w:val="00836F31"/>
    <w:rsid w:val="008370DB"/>
    <w:rsid w:val="00837555"/>
    <w:rsid w:val="00837F09"/>
    <w:rsid w:val="008401E6"/>
    <w:rsid w:val="008403EE"/>
    <w:rsid w:val="00840537"/>
    <w:rsid w:val="008405F1"/>
    <w:rsid w:val="00840A30"/>
    <w:rsid w:val="00840D62"/>
    <w:rsid w:val="00840DD0"/>
    <w:rsid w:val="00841220"/>
    <w:rsid w:val="008412CE"/>
    <w:rsid w:val="008416E6"/>
    <w:rsid w:val="0084175A"/>
    <w:rsid w:val="00841926"/>
    <w:rsid w:val="00841EC1"/>
    <w:rsid w:val="00841F60"/>
    <w:rsid w:val="00842E3A"/>
    <w:rsid w:val="00842F09"/>
    <w:rsid w:val="00843544"/>
    <w:rsid w:val="00843623"/>
    <w:rsid w:val="00844934"/>
    <w:rsid w:val="0084494D"/>
    <w:rsid w:val="00844CBE"/>
    <w:rsid w:val="008452B1"/>
    <w:rsid w:val="008453ED"/>
    <w:rsid w:val="00845582"/>
    <w:rsid w:val="00845915"/>
    <w:rsid w:val="00845E15"/>
    <w:rsid w:val="00845E98"/>
    <w:rsid w:val="008461AF"/>
    <w:rsid w:val="00846B4F"/>
    <w:rsid w:val="008471E2"/>
    <w:rsid w:val="008473BA"/>
    <w:rsid w:val="00847AFF"/>
    <w:rsid w:val="00847BA9"/>
    <w:rsid w:val="00847BC2"/>
    <w:rsid w:val="00847D8A"/>
    <w:rsid w:val="008506C5"/>
    <w:rsid w:val="00850788"/>
    <w:rsid w:val="00850C3E"/>
    <w:rsid w:val="00850C60"/>
    <w:rsid w:val="008511B3"/>
    <w:rsid w:val="0085131E"/>
    <w:rsid w:val="0085170D"/>
    <w:rsid w:val="008519D9"/>
    <w:rsid w:val="00851C76"/>
    <w:rsid w:val="00851CA5"/>
    <w:rsid w:val="0085206D"/>
    <w:rsid w:val="008520FF"/>
    <w:rsid w:val="00852190"/>
    <w:rsid w:val="00852266"/>
    <w:rsid w:val="00852E39"/>
    <w:rsid w:val="00853197"/>
    <w:rsid w:val="00853297"/>
    <w:rsid w:val="00853B0E"/>
    <w:rsid w:val="00853FAA"/>
    <w:rsid w:val="00853FC1"/>
    <w:rsid w:val="0085421D"/>
    <w:rsid w:val="008543E2"/>
    <w:rsid w:val="0085453A"/>
    <w:rsid w:val="008547C2"/>
    <w:rsid w:val="0085544B"/>
    <w:rsid w:val="00855CBF"/>
    <w:rsid w:val="00855E9A"/>
    <w:rsid w:val="0085606C"/>
    <w:rsid w:val="0085607C"/>
    <w:rsid w:val="008564A8"/>
    <w:rsid w:val="0085677E"/>
    <w:rsid w:val="00856A9F"/>
    <w:rsid w:val="00856D9C"/>
    <w:rsid w:val="00857071"/>
    <w:rsid w:val="008572EC"/>
    <w:rsid w:val="00857575"/>
    <w:rsid w:val="00857D67"/>
    <w:rsid w:val="008604C6"/>
    <w:rsid w:val="008604C9"/>
    <w:rsid w:val="0086053C"/>
    <w:rsid w:val="008606D7"/>
    <w:rsid w:val="00860812"/>
    <w:rsid w:val="00860A2F"/>
    <w:rsid w:val="00860FF7"/>
    <w:rsid w:val="0086129B"/>
    <w:rsid w:val="00861463"/>
    <w:rsid w:val="00861511"/>
    <w:rsid w:val="00861561"/>
    <w:rsid w:val="008616B6"/>
    <w:rsid w:val="008617EF"/>
    <w:rsid w:val="00861A11"/>
    <w:rsid w:val="00861C3E"/>
    <w:rsid w:val="0086263B"/>
    <w:rsid w:val="0086282E"/>
    <w:rsid w:val="008629DF"/>
    <w:rsid w:val="00863007"/>
    <w:rsid w:val="00863372"/>
    <w:rsid w:val="00863381"/>
    <w:rsid w:val="00863730"/>
    <w:rsid w:val="008638EA"/>
    <w:rsid w:val="008639C5"/>
    <w:rsid w:val="00863B6A"/>
    <w:rsid w:val="008642EE"/>
    <w:rsid w:val="0086575D"/>
    <w:rsid w:val="00865B48"/>
    <w:rsid w:val="0086601A"/>
    <w:rsid w:val="008661CE"/>
    <w:rsid w:val="008665F6"/>
    <w:rsid w:val="0086706A"/>
    <w:rsid w:val="008671DC"/>
    <w:rsid w:val="008671ED"/>
    <w:rsid w:val="00867208"/>
    <w:rsid w:val="00867323"/>
    <w:rsid w:val="00867421"/>
    <w:rsid w:val="008678AE"/>
    <w:rsid w:val="00867EA6"/>
    <w:rsid w:val="0087001B"/>
    <w:rsid w:val="00870121"/>
    <w:rsid w:val="0087019B"/>
    <w:rsid w:val="0087019D"/>
    <w:rsid w:val="008709BD"/>
    <w:rsid w:val="00870FDB"/>
    <w:rsid w:val="00871396"/>
    <w:rsid w:val="00871BFF"/>
    <w:rsid w:val="00871FCA"/>
    <w:rsid w:val="00872458"/>
    <w:rsid w:val="0087269A"/>
    <w:rsid w:val="00872C21"/>
    <w:rsid w:val="00872C23"/>
    <w:rsid w:val="00872C72"/>
    <w:rsid w:val="00873AD9"/>
    <w:rsid w:val="00874549"/>
    <w:rsid w:val="0087465C"/>
    <w:rsid w:val="008746B6"/>
    <w:rsid w:val="008746D9"/>
    <w:rsid w:val="00874884"/>
    <w:rsid w:val="00874B79"/>
    <w:rsid w:val="0087519D"/>
    <w:rsid w:val="0087558B"/>
    <w:rsid w:val="00875604"/>
    <w:rsid w:val="0087589D"/>
    <w:rsid w:val="008758FA"/>
    <w:rsid w:val="00875A41"/>
    <w:rsid w:val="00875EDE"/>
    <w:rsid w:val="008764F2"/>
    <w:rsid w:val="00876893"/>
    <w:rsid w:val="0087690A"/>
    <w:rsid w:val="008775CE"/>
    <w:rsid w:val="00877643"/>
    <w:rsid w:val="0087771F"/>
    <w:rsid w:val="00877A77"/>
    <w:rsid w:val="00877B89"/>
    <w:rsid w:val="00880305"/>
    <w:rsid w:val="00880A89"/>
    <w:rsid w:val="0088119F"/>
    <w:rsid w:val="00881990"/>
    <w:rsid w:val="00882235"/>
    <w:rsid w:val="0088235F"/>
    <w:rsid w:val="008828FF"/>
    <w:rsid w:val="00882BE8"/>
    <w:rsid w:val="0088359E"/>
    <w:rsid w:val="00883626"/>
    <w:rsid w:val="00883F56"/>
    <w:rsid w:val="00884767"/>
    <w:rsid w:val="00884A5F"/>
    <w:rsid w:val="0088513D"/>
    <w:rsid w:val="00885F0D"/>
    <w:rsid w:val="00886A3E"/>
    <w:rsid w:val="00886AB0"/>
    <w:rsid w:val="00886AF7"/>
    <w:rsid w:val="00886C0D"/>
    <w:rsid w:val="00886CE7"/>
    <w:rsid w:val="00886E89"/>
    <w:rsid w:val="00887003"/>
    <w:rsid w:val="008870D6"/>
    <w:rsid w:val="00887C07"/>
    <w:rsid w:val="00887F21"/>
    <w:rsid w:val="008900AC"/>
    <w:rsid w:val="00890712"/>
    <w:rsid w:val="00890A45"/>
    <w:rsid w:val="00891835"/>
    <w:rsid w:val="00891967"/>
    <w:rsid w:val="008924DE"/>
    <w:rsid w:val="008926EC"/>
    <w:rsid w:val="00892E59"/>
    <w:rsid w:val="0089315D"/>
    <w:rsid w:val="00893F4C"/>
    <w:rsid w:val="00893F8C"/>
    <w:rsid w:val="00893FD4"/>
    <w:rsid w:val="00894D78"/>
    <w:rsid w:val="00894FC1"/>
    <w:rsid w:val="00895B45"/>
    <w:rsid w:val="00895FA9"/>
    <w:rsid w:val="008969CD"/>
    <w:rsid w:val="00896E52"/>
    <w:rsid w:val="00896E8C"/>
    <w:rsid w:val="00896EBD"/>
    <w:rsid w:val="008970D4"/>
    <w:rsid w:val="008974A3"/>
    <w:rsid w:val="008974F6"/>
    <w:rsid w:val="00897930"/>
    <w:rsid w:val="00897CC8"/>
    <w:rsid w:val="008A0D01"/>
    <w:rsid w:val="008A0DFC"/>
    <w:rsid w:val="008A0EF6"/>
    <w:rsid w:val="008A1313"/>
    <w:rsid w:val="008A15BE"/>
    <w:rsid w:val="008A16EF"/>
    <w:rsid w:val="008A1AA0"/>
    <w:rsid w:val="008A1BBC"/>
    <w:rsid w:val="008A1D59"/>
    <w:rsid w:val="008A2573"/>
    <w:rsid w:val="008A27B7"/>
    <w:rsid w:val="008A2870"/>
    <w:rsid w:val="008A2A44"/>
    <w:rsid w:val="008A2AA4"/>
    <w:rsid w:val="008A2BA6"/>
    <w:rsid w:val="008A2EC6"/>
    <w:rsid w:val="008A37E3"/>
    <w:rsid w:val="008A38FD"/>
    <w:rsid w:val="008A3DF2"/>
    <w:rsid w:val="008A3E78"/>
    <w:rsid w:val="008A4978"/>
    <w:rsid w:val="008A4A5D"/>
    <w:rsid w:val="008A4BBA"/>
    <w:rsid w:val="008A4DA4"/>
    <w:rsid w:val="008A547B"/>
    <w:rsid w:val="008A5544"/>
    <w:rsid w:val="008A589C"/>
    <w:rsid w:val="008A5D8C"/>
    <w:rsid w:val="008A5F70"/>
    <w:rsid w:val="008A6066"/>
    <w:rsid w:val="008A63EE"/>
    <w:rsid w:val="008A67CF"/>
    <w:rsid w:val="008A6998"/>
    <w:rsid w:val="008A6DFB"/>
    <w:rsid w:val="008A7119"/>
    <w:rsid w:val="008A7E0B"/>
    <w:rsid w:val="008A7F33"/>
    <w:rsid w:val="008B03C9"/>
    <w:rsid w:val="008B0705"/>
    <w:rsid w:val="008B08E8"/>
    <w:rsid w:val="008B0B9A"/>
    <w:rsid w:val="008B19DB"/>
    <w:rsid w:val="008B1B40"/>
    <w:rsid w:val="008B1FC6"/>
    <w:rsid w:val="008B2073"/>
    <w:rsid w:val="008B27DD"/>
    <w:rsid w:val="008B27F3"/>
    <w:rsid w:val="008B2D30"/>
    <w:rsid w:val="008B2E36"/>
    <w:rsid w:val="008B2EBB"/>
    <w:rsid w:val="008B3BD7"/>
    <w:rsid w:val="008B3FD8"/>
    <w:rsid w:val="008B55DF"/>
    <w:rsid w:val="008B5F74"/>
    <w:rsid w:val="008B60D1"/>
    <w:rsid w:val="008B63C9"/>
    <w:rsid w:val="008B66F3"/>
    <w:rsid w:val="008B6B91"/>
    <w:rsid w:val="008B6BC1"/>
    <w:rsid w:val="008B6CAF"/>
    <w:rsid w:val="008B79FA"/>
    <w:rsid w:val="008B7CF1"/>
    <w:rsid w:val="008B7CFC"/>
    <w:rsid w:val="008B7F57"/>
    <w:rsid w:val="008C0613"/>
    <w:rsid w:val="008C0636"/>
    <w:rsid w:val="008C10D9"/>
    <w:rsid w:val="008C11D9"/>
    <w:rsid w:val="008C1414"/>
    <w:rsid w:val="008C16A4"/>
    <w:rsid w:val="008C1827"/>
    <w:rsid w:val="008C1C90"/>
    <w:rsid w:val="008C1FB7"/>
    <w:rsid w:val="008C24EE"/>
    <w:rsid w:val="008C2D42"/>
    <w:rsid w:val="008C2EC9"/>
    <w:rsid w:val="008C32A3"/>
    <w:rsid w:val="008C3CB7"/>
    <w:rsid w:val="008C41BB"/>
    <w:rsid w:val="008C41FF"/>
    <w:rsid w:val="008C4560"/>
    <w:rsid w:val="008C4F41"/>
    <w:rsid w:val="008C5259"/>
    <w:rsid w:val="008C54C5"/>
    <w:rsid w:val="008C5A3C"/>
    <w:rsid w:val="008C5D2D"/>
    <w:rsid w:val="008C5D6F"/>
    <w:rsid w:val="008C5E91"/>
    <w:rsid w:val="008C6253"/>
    <w:rsid w:val="008C68C8"/>
    <w:rsid w:val="008C6975"/>
    <w:rsid w:val="008C6B4D"/>
    <w:rsid w:val="008C6BF7"/>
    <w:rsid w:val="008C6C8C"/>
    <w:rsid w:val="008C724B"/>
    <w:rsid w:val="008C730B"/>
    <w:rsid w:val="008C76F6"/>
    <w:rsid w:val="008C78EB"/>
    <w:rsid w:val="008C79E0"/>
    <w:rsid w:val="008C7D3E"/>
    <w:rsid w:val="008C7E0F"/>
    <w:rsid w:val="008D019E"/>
    <w:rsid w:val="008D036C"/>
    <w:rsid w:val="008D07CD"/>
    <w:rsid w:val="008D084E"/>
    <w:rsid w:val="008D08BF"/>
    <w:rsid w:val="008D09D1"/>
    <w:rsid w:val="008D0D84"/>
    <w:rsid w:val="008D0F4F"/>
    <w:rsid w:val="008D1236"/>
    <w:rsid w:val="008D133F"/>
    <w:rsid w:val="008D180C"/>
    <w:rsid w:val="008D1DB9"/>
    <w:rsid w:val="008D2A27"/>
    <w:rsid w:val="008D2C2B"/>
    <w:rsid w:val="008D3028"/>
    <w:rsid w:val="008D3237"/>
    <w:rsid w:val="008D42AD"/>
    <w:rsid w:val="008D432C"/>
    <w:rsid w:val="008D43EE"/>
    <w:rsid w:val="008D4A46"/>
    <w:rsid w:val="008D5258"/>
    <w:rsid w:val="008D5935"/>
    <w:rsid w:val="008D5AB3"/>
    <w:rsid w:val="008D62CA"/>
    <w:rsid w:val="008D63FD"/>
    <w:rsid w:val="008D653A"/>
    <w:rsid w:val="008D6FF4"/>
    <w:rsid w:val="008D77A2"/>
    <w:rsid w:val="008D77E8"/>
    <w:rsid w:val="008D7913"/>
    <w:rsid w:val="008D7E41"/>
    <w:rsid w:val="008D7F38"/>
    <w:rsid w:val="008E06C3"/>
    <w:rsid w:val="008E11CC"/>
    <w:rsid w:val="008E1E56"/>
    <w:rsid w:val="008E1EA7"/>
    <w:rsid w:val="008E1FB7"/>
    <w:rsid w:val="008E2046"/>
    <w:rsid w:val="008E242D"/>
    <w:rsid w:val="008E294A"/>
    <w:rsid w:val="008E2F97"/>
    <w:rsid w:val="008E455B"/>
    <w:rsid w:val="008E5AD7"/>
    <w:rsid w:val="008E62B9"/>
    <w:rsid w:val="008E6919"/>
    <w:rsid w:val="008E71D0"/>
    <w:rsid w:val="008E736F"/>
    <w:rsid w:val="008E7432"/>
    <w:rsid w:val="008E76C8"/>
    <w:rsid w:val="008F03C7"/>
    <w:rsid w:val="008F04DD"/>
    <w:rsid w:val="008F090B"/>
    <w:rsid w:val="008F0DCF"/>
    <w:rsid w:val="008F0E1E"/>
    <w:rsid w:val="008F1010"/>
    <w:rsid w:val="008F1133"/>
    <w:rsid w:val="008F1F53"/>
    <w:rsid w:val="008F202C"/>
    <w:rsid w:val="008F2087"/>
    <w:rsid w:val="008F20C1"/>
    <w:rsid w:val="008F2477"/>
    <w:rsid w:val="008F2858"/>
    <w:rsid w:val="008F2BA7"/>
    <w:rsid w:val="008F2D8E"/>
    <w:rsid w:val="008F3655"/>
    <w:rsid w:val="008F368C"/>
    <w:rsid w:val="008F3770"/>
    <w:rsid w:val="008F3B85"/>
    <w:rsid w:val="008F3EFD"/>
    <w:rsid w:val="008F4785"/>
    <w:rsid w:val="008F4843"/>
    <w:rsid w:val="008F4C9B"/>
    <w:rsid w:val="008F4ED2"/>
    <w:rsid w:val="008F50C4"/>
    <w:rsid w:val="008F5358"/>
    <w:rsid w:val="008F565F"/>
    <w:rsid w:val="008F569E"/>
    <w:rsid w:val="008F576B"/>
    <w:rsid w:val="008F5896"/>
    <w:rsid w:val="008F5969"/>
    <w:rsid w:val="008F5B2F"/>
    <w:rsid w:val="008F5D26"/>
    <w:rsid w:val="008F5E37"/>
    <w:rsid w:val="008F5FB4"/>
    <w:rsid w:val="008F6EBB"/>
    <w:rsid w:val="008F74EB"/>
    <w:rsid w:val="00900254"/>
    <w:rsid w:val="009005AF"/>
    <w:rsid w:val="00900878"/>
    <w:rsid w:val="00900A41"/>
    <w:rsid w:val="00900BC4"/>
    <w:rsid w:val="00900C39"/>
    <w:rsid w:val="00900DF3"/>
    <w:rsid w:val="00901095"/>
    <w:rsid w:val="009019F1"/>
    <w:rsid w:val="00901CDA"/>
    <w:rsid w:val="00902514"/>
    <w:rsid w:val="009026D1"/>
    <w:rsid w:val="00902E2B"/>
    <w:rsid w:val="009032B8"/>
    <w:rsid w:val="009035B1"/>
    <w:rsid w:val="009037D5"/>
    <w:rsid w:val="00903CAA"/>
    <w:rsid w:val="00903D03"/>
    <w:rsid w:val="00904D3D"/>
    <w:rsid w:val="00904E1E"/>
    <w:rsid w:val="00904EC4"/>
    <w:rsid w:val="0090520E"/>
    <w:rsid w:val="00905490"/>
    <w:rsid w:val="00905614"/>
    <w:rsid w:val="009056AC"/>
    <w:rsid w:val="0090596A"/>
    <w:rsid w:val="00905AB4"/>
    <w:rsid w:val="00906CDD"/>
    <w:rsid w:val="00907057"/>
    <w:rsid w:val="0090755B"/>
    <w:rsid w:val="00907A64"/>
    <w:rsid w:val="00907E96"/>
    <w:rsid w:val="0091015A"/>
    <w:rsid w:val="009107A3"/>
    <w:rsid w:val="00910DE3"/>
    <w:rsid w:val="00910F02"/>
    <w:rsid w:val="00911325"/>
    <w:rsid w:val="00911781"/>
    <w:rsid w:val="00912331"/>
    <w:rsid w:val="00913261"/>
    <w:rsid w:val="00913C92"/>
    <w:rsid w:val="00913D72"/>
    <w:rsid w:val="0091410D"/>
    <w:rsid w:val="009142C9"/>
    <w:rsid w:val="0091436B"/>
    <w:rsid w:val="00914794"/>
    <w:rsid w:val="00914A24"/>
    <w:rsid w:val="00914AB2"/>
    <w:rsid w:val="00914D6C"/>
    <w:rsid w:val="00914F6B"/>
    <w:rsid w:val="00915762"/>
    <w:rsid w:val="00915B60"/>
    <w:rsid w:val="00915CE9"/>
    <w:rsid w:val="00915FCF"/>
    <w:rsid w:val="009161F7"/>
    <w:rsid w:val="009164B8"/>
    <w:rsid w:val="0091696F"/>
    <w:rsid w:val="00916A92"/>
    <w:rsid w:val="00917870"/>
    <w:rsid w:val="009178B0"/>
    <w:rsid w:val="00917A76"/>
    <w:rsid w:val="00917B99"/>
    <w:rsid w:val="00917F63"/>
    <w:rsid w:val="0092000C"/>
    <w:rsid w:val="009201F4"/>
    <w:rsid w:val="00920477"/>
    <w:rsid w:val="00920705"/>
    <w:rsid w:val="00920907"/>
    <w:rsid w:val="00920DC3"/>
    <w:rsid w:val="009217C9"/>
    <w:rsid w:val="00922913"/>
    <w:rsid w:val="00923135"/>
    <w:rsid w:val="00923439"/>
    <w:rsid w:val="00923677"/>
    <w:rsid w:val="0092371B"/>
    <w:rsid w:val="009242EF"/>
    <w:rsid w:val="00924415"/>
    <w:rsid w:val="009245A7"/>
    <w:rsid w:val="00924943"/>
    <w:rsid w:val="009249B0"/>
    <w:rsid w:val="00924BCD"/>
    <w:rsid w:val="00925AEA"/>
    <w:rsid w:val="00925EE9"/>
    <w:rsid w:val="00925FE7"/>
    <w:rsid w:val="009269A0"/>
    <w:rsid w:val="009278FC"/>
    <w:rsid w:val="00927E91"/>
    <w:rsid w:val="0093014C"/>
    <w:rsid w:val="00930298"/>
    <w:rsid w:val="009306D1"/>
    <w:rsid w:val="00930C35"/>
    <w:rsid w:val="009311C8"/>
    <w:rsid w:val="00931522"/>
    <w:rsid w:val="00931927"/>
    <w:rsid w:val="009319AB"/>
    <w:rsid w:val="00931BCE"/>
    <w:rsid w:val="00931C24"/>
    <w:rsid w:val="009324C3"/>
    <w:rsid w:val="00933166"/>
    <w:rsid w:val="00933428"/>
    <w:rsid w:val="00933953"/>
    <w:rsid w:val="00934704"/>
    <w:rsid w:val="009349BD"/>
    <w:rsid w:val="00935A8E"/>
    <w:rsid w:val="009360A1"/>
    <w:rsid w:val="00936542"/>
    <w:rsid w:val="00936805"/>
    <w:rsid w:val="00937FFE"/>
    <w:rsid w:val="00940254"/>
    <w:rsid w:val="009409B8"/>
    <w:rsid w:val="00940AA6"/>
    <w:rsid w:val="00940CAA"/>
    <w:rsid w:val="00940D6A"/>
    <w:rsid w:val="00941495"/>
    <w:rsid w:val="00941533"/>
    <w:rsid w:val="0094173E"/>
    <w:rsid w:val="00941DB4"/>
    <w:rsid w:val="009425AA"/>
    <w:rsid w:val="00943014"/>
    <w:rsid w:val="009432A4"/>
    <w:rsid w:val="00943788"/>
    <w:rsid w:val="00943870"/>
    <w:rsid w:val="00943999"/>
    <w:rsid w:val="009444F7"/>
    <w:rsid w:val="009447CB"/>
    <w:rsid w:val="0094489C"/>
    <w:rsid w:val="00944A1A"/>
    <w:rsid w:val="0094526F"/>
    <w:rsid w:val="009452A5"/>
    <w:rsid w:val="009454BC"/>
    <w:rsid w:val="00945AF3"/>
    <w:rsid w:val="00945BAA"/>
    <w:rsid w:val="0094622D"/>
    <w:rsid w:val="00946278"/>
    <w:rsid w:val="009464DA"/>
    <w:rsid w:val="0094657D"/>
    <w:rsid w:val="0094674E"/>
    <w:rsid w:val="00946D9B"/>
    <w:rsid w:val="00946F58"/>
    <w:rsid w:val="00947079"/>
    <w:rsid w:val="009470DE"/>
    <w:rsid w:val="0094714D"/>
    <w:rsid w:val="0094781A"/>
    <w:rsid w:val="009478E4"/>
    <w:rsid w:val="0095040E"/>
    <w:rsid w:val="0095049A"/>
    <w:rsid w:val="0095050D"/>
    <w:rsid w:val="009509EB"/>
    <w:rsid w:val="00950B46"/>
    <w:rsid w:val="009512F2"/>
    <w:rsid w:val="0095173F"/>
    <w:rsid w:val="009518F0"/>
    <w:rsid w:val="00951D72"/>
    <w:rsid w:val="00951F03"/>
    <w:rsid w:val="009525FE"/>
    <w:rsid w:val="009530CA"/>
    <w:rsid w:val="009535C7"/>
    <w:rsid w:val="0095392F"/>
    <w:rsid w:val="0095428E"/>
    <w:rsid w:val="00954930"/>
    <w:rsid w:val="00954D75"/>
    <w:rsid w:val="00954EBD"/>
    <w:rsid w:val="00954F7E"/>
    <w:rsid w:val="00955232"/>
    <w:rsid w:val="0095558A"/>
    <w:rsid w:val="0095569A"/>
    <w:rsid w:val="009558D3"/>
    <w:rsid w:val="00955B71"/>
    <w:rsid w:val="009569FA"/>
    <w:rsid w:val="00956DCF"/>
    <w:rsid w:val="00956F7D"/>
    <w:rsid w:val="00957A7C"/>
    <w:rsid w:val="00957C88"/>
    <w:rsid w:val="0096036B"/>
    <w:rsid w:val="009608F2"/>
    <w:rsid w:val="00960C1C"/>
    <w:rsid w:val="0096191F"/>
    <w:rsid w:val="00961BD8"/>
    <w:rsid w:val="00961F78"/>
    <w:rsid w:val="00962283"/>
    <w:rsid w:val="009624CB"/>
    <w:rsid w:val="009626D8"/>
    <w:rsid w:val="00962FF8"/>
    <w:rsid w:val="00963086"/>
    <w:rsid w:val="00963937"/>
    <w:rsid w:val="00963BE3"/>
    <w:rsid w:val="00964C4F"/>
    <w:rsid w:val="0096555E"/>
    <w:rsid w:val="0096591C"/>
    <w:rsid w:val="00965BAC"/>
    <w:rsid w:val="00965C70"/>
    <w:rsid w:val="009660E9"/>
    <w:rsid w:val="009667CE"/>
    <w:rsid w:val="00967827"/>
    <w:rsid w:val="00967844"/>
    <w:rsid w:val="009678B9"/>
    <w:rsid w:val="00967DA4"/>
    <w:rsid w:val="009700D7"/>
    <w:rsid w:val="0097038E"/>
    <w:rsid w:val="0097047F"/>
    <w:rsid w:val="009707BF"/>
    <w:rsid w:val="00970AC1"/>
    <w:rsid w:val="00970CFF"/>
    <w:rsid w:val="00970D9B"/>
    <w:rsid w:val="00970EE5"/>
    <w:rsid w:val="00971788"/>
    <w:rsid w:val="00971AD4"/>
    <w:rsid w:val="00971BDA"/>
    <w:rsid w:val="00971BE2"/>
    <w:rsid w:val="00971CB2"/>
    <w:rsid w:val="00971E20"/>
    <w:rsid w:val="00971E76"/>
    <w:rsid w:val="00972243"/>
    <w:rsid w:val="00972A32"/>
    <w:rsid w:val="00972A46"/>
    <w:rsid w:val="00972AC9"/>
    <w:rsid w:val="00972C25"/>
    <w:rsid w:val="00972DE3"/>
    <w:rsid w:val="00973841"/>
    <w:rsid w:val="0097384D"/>
    <w:rsid w:val="00973A72"/>
    <w:rsid w:val="00973BED"/>
    <w:rsid w:val="00974483"/>
    <w:rsid w:val="009748A7"/>
    <w:rsid w:val="00974AFA"/>
    <w:rsid w:val="00974E4B"/>
    <w:rsid w:val="00975BCB"/>
    <w:rsid w:val="00975D50"/>
    <w:rsid w:val="009766C0"/>
    <w:rsid w:val="00976829"/>
    <w:rsid w:val="009770D1"/>
    <w:rsid w:val="00977426"/>
    <w:rsid w:val="00977483"/>
    <w:rsid w:val="00977681"/>
    <w:rsid w:val="009777EE"/>
    <w:rsid w:val="0097782D"/>
    <w:rsid w:val="00977C54"/>
    <w:rsid w:val="00977CEC"/>
    <w:rsid w:val="00980005"/>
    <w:rsid w:val="00980456"/>
    <w:rsid w:val="009808CD"/>
    <w:rsid w:val="00980EE5"/>
    <w:rsid w:val="009812F6"/>
    <w:rsid w:val="00981834"/>
    <w:rsid w:val="00981EB7"/>
    <w:rsid w:val="00981F37"/>
    <w:rsid w:val="0098276E"/>
    <w:rsid w:val="00982DBD"/>
    <w:rsid w:val="00982F1C"/>
    <w:rsid w:val="009832A9"/>
    <w:rsid w:val="00983BCA"/>
    <w:rsid w:val="00983D26"/>
    <w:rsid w:val="00983E81"/>
    <w:rsid w:val="00984550"/>
    <w:rsid w:val="00984A94"/>
    <w:rsid w:val="00984B61"/>
    <w:rsid w:val="00984F18"/>
    <w:rsid w:val="00985240"/>
    <w:rsid w:val="00985464"/>
    <w:rsid w:val="009856E1"/>
    <w:rsid w:val="00985A10"/>
    <w:rsid w:val="00985B05"/>
    <w:rsid w:val="009861F9"/>
    <w:rsid w:val="00987469"/>
    <w:rsid w:val="00987518"/>
    <w:rsid w:val="00987692"/>
    <w:rsid w:val="00987755"/>
    <w:rsid w:val="00987EE3"/>
    <w:rsid w:val="009905B8"/>
    <w:rsid w:val="00990762"/>
    <w:rsid w:val="009908DC"/>
    <w:rsid w:val="009911CD"/>
    <w:rsid w:val="0099126E"/>
    <w:rsid w:val="0099136F"/>
    <w:rsid w:val="009918E4"/>
    <w:rsid w:val="009919CF"/>
    <w:rsid w:val="00991AFB"/>
    <w:rsid w:val="00991B3D"/>
    <w:rsid w:val="00991BA8"/>
    <w:rsid w:val="00991FBF"/>
    <w:rsid w:val="00992277"/>
    <w:rsid w:val="00992A02"/>
    <w:rsid w:val="00992E31"/>
    <w:rsid w:val="00993092"/>
    <w:rsid w:val="00993391"/>
    <w:rsid w:val="00993525"/>
    <w:rsid w:val="00993DD9"/>
    <w:rsid w:val="0099461F"/>
    <w:rsid w:val="009955E3"/>
    <w:rsid w:val="0099562C"/>
    <w:rsid w:val="00995C53"/>
    <w:rsid w:val="00996370"/>
    <w:rsid w:val="0099653E"/>
    <w:rsid w:val="009966AD"/>
    <w:rsid w:val="009968E8"/>
    <w:rsid w:val="00997094"/>
    <w:rsid w:val="009975CF"/>
    <w:rsid w:val="00997664"/>
    <w:rsid w:val="009A0438"/>
    <w:rsid w:val="009A0FBC"/>
    <w:rsid w:val="009A0FD7"/>
    <w:rsid w:val="009A1500"/>
    <w:rsid w:val="009A2370"/>
    <w:rsid w:val="009A258B"/>
    <w:rsid w:val="009A2BDF"/>
    <w:rsid w:val="009A31C7"/>
    <w:rsid w:val="009A3667"/>
    <w:rsid w:val="009A3ADA"/>
    <w:rsid w:val="009A3DA8"/>
    <w:rsid w:val="009A3EDA"/>
    <w:rsid w:val="009A4008"/>
    <w:rsid w:val="009A4081"/>
    <w:rsid w:val="009A47B8"/>
    <w:rsid w:val="009A4878"/>
    <w:rsid w:val="009A54A5"/>
    <w:rsid w:val="009A5BA2"/>
    <w:rsid w:val="009A5BB9"/>
    <w:rsid w:val="009A60A7"/>
    <w:rsid w:val="009A6410"/>
    <w:rsid w:val="009A65C0"/>
    <w:rsid w:val="009A6E26"/>
    <w:rsid w:val="009A6EB7"/>
    <w:rsid w:val="009A7053"/>
    <w:rsid w:val="009A7465"/>
    <w:rsid w:val="009A757F"/>
    <w:rsid w:val="009B053F"/>
    <w:rsid w:val="009B05BF"/>
    <w:rsid w:val="009B05EF"/>
    <w:rsid w:val="009B0FDD"/>
    <w:rsid w:val="009B11EC"/>
    <w:rsid w:val="009B2022"/>
    <w:rsid w:val="009B275C"/>
    <w:rsid w:val="009B2AF1"/>
    <w:rsid w:val="009B3449"/>
    <w:rsid w:val="009B35C8"/>
    <w:rsid w:val="009B3750"/>
    <w:rsid w:val="009B3C3B"/>
    <w:rsid w:val="009B3EF0"/>
    <w:rsid w:val="009B3F95"/>
    <w:rsid w:val="009B46CB"/>
    <w:rsid w:val="009B4EA0"/>
    <w:rsid w:val="009B5073"/>
    <w:rsid w:val="009B530E"/>
    <w:rsid w:val="009B5C62"/>
    <w:rsid w:val="009B5D1C"/>
    <w:rsid w:val="009B5F11"/>
    <w:rsid w:val="009B5F12"/>
    <w:rsid w:val="009B6573"/>
    <w:rsid w:val="009B6BA7"/>
    <w:rsid w:val="009B6DE8"/>
    <w:rsid w:val="009B6F55"/>
    <w:rsid w:val="009B7A92"/>
    <w:rsid w:val="009B7FEA"/>
    <w:rsid w:val="009C057E"/>
    <w:rsid w:val="009C06D7"/>
    <w:rsid w:val="009C072E"/>
    <w:rsid w:val="009C122C"/>
    <w:rsid w:val="009C1A13"/>
    <w:rsid w:val="009C2004"/>
    <w:rsid w:val="009C2132"/>
    <w:rsid w:val="009C2B7C"/>
    <w:rsid w:val="009C3053"/>
    <w:rsid w:val="009C3985"/>
    <w:rsid w:val="009C3CFD"/>
    <w:rsid w:val="009C4014"/>
    <w:rsid w:val="009C4745"/>
    <w:rsid w:val="009C4810"/>
    <w:rsid w:val="009C4C92"/>
    <w:rsid w:val="009C5367"/>
    <w:rsid w:val="009C5402"/>
    <w:rsid w:val="009C55DA"/>
    <w:rsid w:val="009C5708"/>
    <w:rsid w:val="009C59FE"/>
    <w:rsid w:val="009C5AA2"/>
    <w:rsid w:val="009C5BCE"/>
    <w:rsid w:val="009C5C02"/>
    <w:rsid w:val="009C6182"/>
    <w:rsid w:val="009C6A86"/>
    <w:rsid w:val="009C6AEE"/>
    <w:rsid w:val="009C6DE8"/>
    <w:rsid w:val="009C6F3E"/>
    <w:rsid w:val="009C7084"/>
    <w:rsid w:val="009C72F9"/>
    <w:rsid w:val="009C7AEA"/>
    <w:rsid w:val="009C7C37"/>
    <w:rsid w:val="009D0120"/>
    <w:rsid w:val="009D038E"/>
    <w:rsid w:val="009D04F2"/>
    <w:rsid w:val="009D1695"/>
    <w:rsid w:val="009D2051"/>
    <w:rsid w:val="009D20FE"/>
    <w:rsid w:val="009D2225"/>
    <w:rsid w:val="009D26D6"/>
    <w:rsid w:val="009D2C02"/>
    <w:rsid w:val="009D2CA0"/>
    <w:rsid w:val="009D47F8"/>
    <w:rsid w:val="009D5187"/>
    <w:rsid w:val="009D57E9"/>
    <w:rsid w:val="009D5DE1"/>
    <w:rsid w:val="009D5E74"/>
    <w:rsid w:val="009D633A"/>
    <w:rsid w:val="009D6656"/>
    <w:rsid w:val="009D67AF"/>
    <w:rsid w:val="009D6B63"/>
    <w:rsid w:val="009D737F"/>
    <w:rsid w:val="009D7F0B"/>
    <w:rsid w:val="009E0427"/>
    <w:rsid w:val="009E083E"/>
    <w:rsid w:val="009E090F"/>
    <w:rsid w:val="009E0A6A"/>
    <w:rsid w:val="009E0ECF"/>
    <w:rsid w:val="009E1156"/>
    <w:rsid w:val="009E1814"/>
    <w:rsid w:val="009E1AF7"/>
    <w:rsid w:val="009E1B63"/>
    <w:rsid w:val="009E1B85"/>
    <w:rsid w:val="009E1C43"/>
    <w:rsid w:val="009E26AB"/>
    <w:rsid w:val="009E28BF"/>
    <w:rsid w:val="009E2A51"/>
    <w:rsid w:val="009E2A7B"/>
    <w:rsid w:val="009E2B62"/>
    <w:rsid w:val="009E2D57"/>
    <w:rsid w:val="009E2DBB"/>
    <w:rsid w:val="009E2F3F"/>
    <w:rsid w:val="009E369E"/>
    <w:rsid w:val="009E36A2"/>
    <w:rsid w:val="009E373A"/>
    <w:rsid w:val="009E38FC"/>
    <w:rsid w:val="009E3C72"/>
    <w:rsid w:val="009E3FC4"/>
    <w:rsid w:val="009E42BA"/>
    <w:rsid w:val="009E517E"/>
    <w:rsid w:val="009E5213"/>
    <w:rsid w:val="009E5566"/>
    <w:rsid w:val="009E57D6"/>
    <w:rsid w:val="009E6086"/>
    <w:rsid w:val="009E6536"/>
    <w:rsid w:val="009E6626"/>
    <w:rsid w:val="009E6811"/>
    <w:rsid w:val="009E6A35"/>
    <w:rsid w:val="009E6D90"/>
    <w:rsid w:val="009E6E43"/>
    <w:rsid w:val="009E6E60"/>
    <w:rsid w:val="009E73F0"/>
    <w:rsid w:val="009F02FE"/>
    <w:rsid w:val="009F07A6"/>
    <w:rsid w:val="009F0917"/>
    <w:rsid w:val="009F1768"/>
    <w:rsid w:val="009F1906"/>
    <w:rsid w:val="009F23BD"/>
    <w:rsid w:val="009F2569"/>
    <w:rsid w:val="009F26F5"/>
    <w:rsid w:val="009F2A79"/>
    <w:rsid w:val="009F2D63"/>
    <w:rsid w:val="009F2DDA"/>
    <w:rsid w:val="009F2E50"/>
    <w:rsid w:val="009F3070"/>
    <w:rsid w:val="009F36D2"/>
    <w:rsid w:val="009F4C9F"/>
    <w:rsid w:val="009F4EA3"/>
    <w:rsid w:val="009F5460"/>
    <w:rsid w:val="009F5C02"/>
    <w:rsid w:val="009F621D"/>
    <w:rsid w:val="009F670A"/>
    <w:rsid w:val="009F683D"/>
    <w:rsid w:val="009F6E0B"/>
    <w:rsid w:val="009F71CC"/>
    <w:rsid w:val="009F7408"/>
    <w:rsid w:val="009F7759"/>
    <w:rsid w:val="009F786F"/>
    <w:rsid w:val="009F78D4"/>
    <w:rsid w:val="009F7A4A"/>
    <w:rsid w:val="009F7C73"/>
    <w:rsid w:val="009F7E1A"/>
    <w:rsid w:val="00A0029A"/>
    <w:rsid w:val="00A00388"/>
    <w:rsid w:val="00A00607"/>
    <w:rsid w:val="00A00609"/>
    <w:rsid w:val="00A00A40"/>
    <w:rsid w:val="00A00A91"/>
    <w:rsid w:val="00A00D31"/>
    <w:rsid w:val="00A01345"/>
    <w:rsid w:val="00A014BC"/>
    <w:rsid w:val="00A01859"/>
    <w:rsid w:val="00A01C92"/>
    <w:rsid w:val="00A02084"/>
    <w:rsid w:val="00A021E0"/>
    <w:rsid w:val="00A021ED"/>
    <w:rsid w:val="00A036C0"/>
    <w:rsid w:val="00A036EE"/>
    <w:rsid w:val="00A038DB"/>
    <w:rsid w:val="00A039FF"/>
    <w:rsid w:val="00A03A71"/>
    <w:rsid w:val="00A03E86"/>
    <w:rsid w:val="00A0415A"/>
    <w:rsid w:val="00A047F5"/>
    <w:rsid w:val="00A0504A"/>
    <w:rsid w:val="00A0531F"/>
    <w:rsid w:val="00A054C1"/>
    <w:rsid w:val="00A05537"/>
    <w:rsid w:val="00A05D98"/>
    <w:rsid w:val="00A061B2"/>
    <w:rsid w:val="00A06222"/>
    <w:rsid w:val="00A06AC1"/>
    <w:rsid w:val="00A072D8"/>
    <w:rsid w:val="00A0764D"/>
    <w:rsid w:val="00A0768E"/>
    <w:rsid w:val="00A078A3"/>
    <w:rsid w:val="00A079F5"/>
    <w:rsid w:val="00A07DF7"/>
    <w:rsid w:val="00A07F15"/>
    <w:rsid w:val="00A07FD5"/>
    <w:rsid w:val="00A07FEA"/>
    <w:rsid w:val="00A1053C"/>
    <w:rsid w:val="00A108D9"/>
    <w:rsid w:val="00A10D47"/>
    <w:rsid w:val="00A110A5"/>
    <w:rsid w:val="00A11278"/>
    <w:rsid w:val="00A1132D"/>
    <w:rsid w:val="00A116E6"/>
    <w:rsid w:val="00A11850"/>
    <w:rsid w:val="00A11A44"/>
    <w:rsid w:val="00A120EC"/>
    <w:rsid w:val="00A124E6"/>
    <w:rsid w:val="00A12D0B"/>
    <w:rsid w:val="00A12F20"/>
    <w:rsid w:val="00A13243"/>
    <w:rsid w:val="00A133B5"/>
    <w:rsid w:val="00A1360C"/>
    <w:rsid w:val="00A139F2"/>
    <w:rsid w:val="00A13DCB"/>
    <w:rsid w:val="00A13DD9"/>
    <w:rsid w:val="00A14F64"/>
    <w:rsid w:val="00A15091"/>
    <w:rsid w:val="00A15170"/>
    <w:rsid w:val="00A15AAC"/>
    <w:rsid w:val="00A15C14"/>
    <w:rsid w:val="00A17037"/>
    <w:rsid w:val="00A17119"/>
    <w:rsid w:val="00A1716B"/>
    <w:rsid w:val="00A1745E"/>
    <w:rsid w:val="00A2000B"/>
    <w:rsid w:val="00A20D9F"/>
    <w:rsid w:val="00A2119E"/>
    <w:rsid w:val="00A21236"/>
    <w:rsid w:val="00A214B6"/>
    <w:rsid w:val="00A215F8"/>
    <w:rsid w:val="00A2167E"/>
    <w:rsid w:val="00A2185A"/>
    <w:rsid w:val="00A21A00"/>
    <w:rsid w:val="00A21DF1"/>
    <w:rsid w:val="00A2210F"/>
    <w:rsid w:val="00A224B8"/>
    <w:rsid w:val="00A2275B"/>
    <w:rsid w:val="00A238E1"/>
    <w:rsid w:val="00A238FA"/>
    <w:rsid w:val="00A2395E"/>
    <w:rsid w:val="00A23B0E"/>
    <w:rsid w:val="00A242DA"/>
    <w:rsid w:val="00A249D1"/>
    <w:rsid w:val="00A2507D"/>
    <w:rsid w:val="00A253DB"/>
    <w:rsid w:val="00A25A83"/>
    <w:rsid w:val="00A261C5"/>
    <w:rsid w:val="00A26C95"/>
    <w:rsid w:val="00A27959"/>
    <w:rsid w:val="00A27C22"/>
    <w:rsid w:val="00A27CD3"/>
    <w:rsid w:val="00A27DFD"/>
    <w:rsid w:val="00A30323"/>
    <w:rsid w:val="00A30C58"/>
    <w:rsid w:val="00A30CD7"/>
    <w:rsid w:val="00A31307"/>
    <w:rsid w:val="00A317F6"/>
    <w:rsid w:val="00A325A0"/>
    <w:rsid w:val="00A32B51"/>
    <w:rsid w:val="00A32D49"/>
    <w:rsid w:val="00A332A2"/>
    <w:rsid w:val="00A338E6"/>
    <w:rsid w:val="00A33D55"/>
    <w:rsid w:val="00A3401F"/>
    <w:rsid w:val="00A3518A"/>
    <w:rsid w:val="00A3559F"/>
    <w:rsid w:val="00A35753"/>
    <w:rsid w:val="00A35B8F"/>
    <w:rsid w:val="00A35CF3"/>
    <w:rsid w:val="00A35D32"/>
    <w:rsid w:val="00A36385"/>
    <w:rsid w:val="00A36948"/>
    <w:rsid w:val="00A3736D"/>
    <w:rsid w:val="00A378D5"/>
    <w:rsid w:val="00A37DFD"/>
    <w:rsid w:val="00A400AC"/>
    <w:rsid w:val="00A401C1"/>
    <w:rsid w:val="00A404BB"/>
    <w:rsid w:val="00A41224"/>
    <w:rsid w:val="00A41410"/>
    <w:rsid w:val="00A4160B"/>
    <w:rsid w:val="00A416CA"/>
    <w:rsid w:val="00A425A3"/>
    <w:rsid w:val="00A42B76"/>
    <w:rsid w:val="00A42C88"/>
    <w:rsid w:val="00A434D9"/>
    <w:rsid w:val="00A43F5C"/>
    <w:rsid w:val="00A44659"/>
    <w:rsid w:val="00A44980"/>
    <w:rsid w:val="00A45424"/>
    <w:rsid w:val="00A4566C"/>
    <w:rsid w:val="00A457B9"/>
    <w:rsid w:val="00A45D21"/>
    <w:rsid w:val="00A4627D"/>
    <w:rsid w:val="00A463EA"/>
    <w:rsid w:val="00A46588"/>
    <w:rsid w:val="00A46751"/>
    <w:rsid w:val="00A46762"/>
    <w:rsid w:val="00A46E5E"/>
    <w:rsid w:val="00A473C0"/>
    <w:rsid w:val="00A474C9"/>
    <w:rsid w:val="00A475A3"/>
    <w:rsid w:val="00A47775"/>
    <w:rsid w:val="00A477A6"/>
    <w:rsid w:val="00A50375"/>
    <w:rsid w:val="00A507BA"/>
    <w:rsid w:val="00A5094C"/>
    <w:rsid w:val="00A50B6F"/>
    <w:rsid w:val="00A50BDA"/>
    <w:rsid w:val="00A50F1F"/>
    <w:rsid w:val="00A51627"/>
    <w:rsid w:val="00A51970"/>
    <w:rsid w:val="00A51F5E"/>
    <w:rsid w:val="00A52253"/>
    <w:rsid w:val="00A525AD"/>
    <w:rsid w:val="00A5268C"/>
    <w:rsid w:val="00A526D2"/>
    <w:rsid w:val="00A526EF"/>
    <w:rsid w:val="00A53B39"/>
    <w:rsid w:val="00A53FBD"/>
    <w:rsid w:val="00A5421F"/>
    <w:rsid w:val="00A5461C"/>
    <w:rsid w:val="00A54A17"/>
    <w:rsid w:val="00A54CA7"/>
    <w:rsid w:val="00A55F9C"/>
    <w:rsid w:val="00A562C0"/>
    <w:rsid w:val="00A56640"/>
    <w:rsid w:val="00A56712"/>
    <w:rsid w:val="00A56B6A"/>
    <w:rsid w:val="00A56C00"/>
    <w:rsid w:val="00A56E13"/>
    <w:rsid w:val="00A5741D"/>
    <w:rsid w:val="00A574D5"/>
    <w:rsid w:val="00A577BA"/>
    <w:rsid w:val="00A57837"/>
    <w:rsid w:val="00A57A90"/>
    <w:rsid w:val="00A57BDA"/>
    <w:rsid w:val="00A57D7B"/>
    <w:rsid w:val="00A57EA7"/>
    <w:rsid w:val="00A57F67"/>
    <w:rsid w:val="00A60D94"/>
    <w:rsid w:val="00A60FED"/>
    <w:rsid w:val="00A61691"/>
    <w:rsid w:val="00A619CA"/>
    <w:rsid w:val="00A61AAE"/>
    <w:rsid w:val="00A62666"/>
    <w:rsid w:val="00A62689"/>
    <w:rsid w:val="00A62691"/>
    <w:rsid w:val="00A62BCB"/>
    <w:rsid w:val="00A62FCC"/>
    <w:rsid w:val="00A63084"/>
    <w:rsid w:val="00A63AF0"/>
    <w:rsid w:val="00A63D38"/>
    <w:rsid w:val="00A63FF8"/>
    <w:rsid w:val="00A6450A"/>
    <w:rsid w:val="00A6489C"/>
    <w:rsid w:val="00A64D26"/>
    <w:rsid w:val="00A64E34"/>
    <w:rsid w:val="00A6588B"/>
    <w:rsid w:val="00A6589C"/>
    <w:rsid w:val="00A65975"/>
    <w:rsid w:val="00A65D55"/>
    <w:rsid w:val="00A65F14"/>
    <w:rsid w:val="00A66460"/>
    <w:rsid w:val="00A66473"/>
    <w:rsid w:val="00A66630"/>
    <w:rsid w:val="00A66BC3"/>
    <w:rsid w:val="00A66CC7"/>
    <w:rsid w:val="00A66D0F"/>
    <w:rsid w:val="00A66D98"/>
    <w:rsid w:val="00A66F8F"/>
    <w:rsid w:val="00A66FC3"/>
    <w:rsid w:val="00A66FEB"/>
    <w:rsid w:val="00A6702E"/>
    <w:rsid w:val="00A67397"/>
    <w:rsid w:val="00A6756C"/>
    <w:rsid w:val="00A676FD"/>
    <w:rsid w:val="00A67910"/>
    <w:rsid w:val="00A70594"/>
    <w:rsid w:val="00A705A3"/>
    <w:rsid w:val="00A707D2"/>
    <w:rsid w:val="00A716BE"/>
    <w:rsid w:val="00A7187D"/>
    <w:rsid w:val="00A722C0"/>
    <w:rsid w:val="00A72306"/>
    <w:rsid w:val="00A723C8"/>
    <w:rsid w:val="00A7277A"/>
    <w:rsid w:val="00A72F2E"/>
    <w:rsid w:val="00A73BF4"/>
    <w:rsid w:val="00A73D94"/>
    <w:rsid w:val="00A742FC"/>
    <w:rsid w:val="00A7434F"/>
    <w:rsid w:val="00A74592"/>
    <w:rsid w:val="00A7485D"/>
    <w:rsid w:val="00A74968"/>
    <w:rsid w:val="00A74BB2"/>
    <w:rsid w:val="00A74CD2"/>
    <w:rsid w:val="00A74D33"/>
    <w:rsid w:val="00A75428"/>
    <w:rsid w:val="00A75C71"/>
    <w:rsid w:val="00A75C9C"/>
    <w:rsid w:val="00A76474"/>
    <w:rsid w:val="00A76882"/>
    <w:rsid w:val="00A76AF4"/>
    <w:rsid w:val="00A775D5"/>
    <w:rsid w:val="00A778A4"/>
    <w:rsid w:val="00A778B1"/>
    <w:rsid w:val="00A77AC2"/>
    <w:rsid w:val="00A77B4C"/>
    <w:rsid w:val="00A77DC2"/>
    <w:rsid w:val="00A77FDC"/>
    <w:rsid w:val="00A80071"/>
    <w:rsid w:val="00A806C9"/>
    <w:rsid w:val="00A8106F"/>
    <w:rsid w:val="00A812D8"/>
    <w:rsid w:val="00A814F1"/>
    <w:rsid w:val="00A815F4"/>
    <w:rsid w:val="00A81769"/>
    <w:rsid w:val="00A817BC"/>
    <w:rsid w:val="00A8189B"/>
    <w:rsid w:val="00A81D47"/>
    <w:rsid w:val="00A81FFA"/>
    <w:rsid w:val="00A829B8"/>
    <w:rsid w:val="00A82EE3"/>
    <w:rsid w:val="00A8325C"/>
    <w:rsid w:val="00A837E9"/>
    <w:rsid w:val="00A83941"/>
    <w:rsid w:val="00A83B33"/>
    <w:rsid w:val="00A83C2A"/>
    <w:rsid w:val="00A83E92"/>
    <w:rsid w:val="00A8420B"/>
    <w:rsid w:val="00A848C5"/>
    <w:rsid w:val="00A851B7"/>
    <w:rsid w:val="00A85AA3"/>
    <w:rsid w:val="00A86198"/>
    <w:rsid w:val="00A861E2"/>
    <w:rsid w:val="00A86896"/>
    <w:rsid w:val="00A86BC3"/>
    <w:rsid w:val="00A87030"/>
    <w:rsid w:val="00A8713B"/>
    <w:rsid w:val="00A87D83"/>
    <w:rsid w:val="00A87ECD"/>
    <w:rsid w:val="00A90698"/>
    <w:rsid w:val="00A90D54"/>
    <w:rsid w:val="00A90F69"/>
    <w:rsid w:val="00A91251"/>
    <w:rsid w:val="00A912F6"/>
    <w:rsid w:val="00A913F0"/>
    <w:rsid w:val="00A914B6"/>
    <w:rsid w:val="00A91791"/>
    <w:rsid w:val="00A9193A"/>
    <w:rsid w:val="00A921DE"/>
    <w:rsid w:val="00A92236"/>
    <w:rsid w:val="00A92261"/>
    <w:rsid w:val="00A92672"/>
    <w:rsid w:val="00A92879"/>
    <w:rsid w:val="00A9289A"/>
    <w:rsid w:val="00A9361B"/>
    <w:rsid w:val="00A9365C"/>
    <w:rsid w:val="00A93D54"/>
    <w:rsid w:val="00A93F05"/>
    <w:rsid w:val="00A94109"/>
    <w:rsid w:val="00A9434F"/>
    <w:rsid w:val="00A945DD"/>
    <w:rsid w:val="00A94B4B"/>
    <w:rsid w:val="00A96774"/>
    <w:rsid w:val="00A96836"/>
    <w:rsid w:val="00A96ADB"/>
    <w:rsid w:val="00A96B7A"/>
    <w:rsid w:val="00A96CA7"/>
    <w:rsid w:val="00A97031"/>
    <w:rsid w:val="00A972A9"/>
    <w:rsid w:val="00A972BC"/>
    <w:rsid w:val="00A976BF"/>
    <w:rsid w:val="00A977BF"/>
    <w:rsid w:val="00A977EC"/>
    <w:rsid w:val="00A97A9A"/>
    <w:rsid w:val="00AA00E0"/>
    <w:rsid w:val="00AA1B22"/>
    <w:rsid w:val="00AA1B7B"/>
    <w:rsid w:val="00AA1EF2"/>
    <w:rsid w:val="00AA2069"/>
    <w:rsid w:val="00AA2178"/>
    <w:rsid w:val="00AA2363"/>
    <w:rsid w:val="00AA3062"/>
    <w:rsid w:val="00AA30DF"/>
    <w:rsid w:val="00AA3D9C"/>
    <w:rsid w:val="00AA41BA"/>
    <w:rsid w:val="00AA4AB9"/>
    <w:rsid w:val="00AA4C7A"/>
    <w:rsid w:val="00AA5117"/>
    <w:rsid w:val="00AA528D"/>
    <w:rsid w:val="00AA55F0"/>
    <w:rsid w:val="00AA59FA"/>
    <w:rsid w:val="00AA6002"/>
    <w:rsid w:val="00AA677F"/>
    <w:rsid w:val="00AA6A79"/>
    <w:rsid w:val="00AA6AB3"/>
    <w:rsid w:val="00AA6ADD"/>
    <w:rsid w:val="00AA6EA5"/>
    <w:rsid w:val="00AA7078"/>
    <w:rsid w:val="00AA7180"/>
    <w:rsid w:val="00AA769C"/>
    <w:rsid w:val="00AA787A"/>
    <w:rsid w:val="00AA7B53"/>
    <w:rsid w:val="00AA7D29"/>
    <w:rsid w:val="00AB00AF"/>
    <w:rsid w:val="00AB05F7"/>
    <w:rsid w:val="00AB0DAE"/>
    <w:rsid w:val="00AB1122"/>
    <w:rsid w:val="00AB1B6F"/>
    <w:rsid w:val="00AB2626"/>
    <w:rsid w:val="00AB2688"/>
    <w:rsid w:val="00AB292F"/>
    <w:rsid w:val="00AB2CBD"/>
    <w:rsid w:val="00AB33AB"/>
    <w:rsid w:val="00AB3427"/>
    <w:rsid w:val="00AB392B"/>
    <w:rsid w:val="00AB41AA"/>
    <w:rsid w:val="00AB43A0"/>
    <w:rsid w:val="00AB442B"/>
    <w:rsid w:val="00AB452C"/>
    <w:rsid w:val="00AB477F"/>
    <w:rsid w:val="00AB4793"/>
    <w:rsid w:val="00AB483C"/>
    <w:rsid w:val="00AB4869"/>
    <w:rsid w:val="00AB49D1"/>
    <w:rsid w:val="00AB49E4"/>
    <w:rsid w:val="00AB5393"/>
    <w:rsid w:val="00AB580D"/>
    <w:rsid w:val="00AB5896"/>
    <w:rsid w:val="00AB590B"/>
    <w:rsid w:val="00AB5A84"/>
    <w:rsid w:val="00AB6101"/>
    <w:rsid w:val="00AB622D"/>
    <w:rsid w:val="00AB6980"/>
    <w:rsid w:val="00AB6C60"/>
    <w:rsid w:val="00AB7571"/>
    <w:rsid w:val="00AB7675"/>
    <w:rsid w:val="00AB78B9"/>
    <w:rsid w:val="00AB7A1B"/>
    <w:rsid w:val="00AB7B74"/>
    <w:rsid w:val="00AB7BE7"/>
    <w:rsid w:val="00AC0BCD"/>
    <w:rsid w:val="00AC0D2D"/>
    <w:rsid w:val="00AC0E16"/>
    <w:rsid w:val="00AC26EA"/>
    <w:rsid w:val="00AC285D"/>
    <w:rsid w:val="00AC2DF4"/>
    <w:rsid w:val="00AC32F6"/>
    <w:rsid w:val="00AC33E9"/>
    <w:rsid w:val="00AC3B21"/>
    <w:rsid w:val="00AC3D61"/>
    <w:rsid w:val="00AC4072"/>
    <w:rsid w:val="00AC44F2"/>
    <w:rsid w:val="00AC48C9"/>
    <w:rsid w:val="00AC4935"/>
    <w:rsid w:val="00AC49CD"/>
    <w:rsid w:val="00AC4A75"/>
    <w:rsid w:val="00AC4CCE"/>
    <w:rsid w:val="00AC4E1D"/>
    <w:rsid w:val="00AC5C62"/>
    <w:rsid w:val="00AC5C86"/>
    <w:rsid w:val="00AC66D4"/>
    <w:rsid w:val="00AC6E08"/>
    <w:rsid w:val="00AC6F44"/>
    <w:rsid w:val="00AC74F3"/>
    <w:rsid w:val="00AC784F"/>
    <w:rsid w:val="00AC7976"/>
    <w:rsid w:val="00AC7B18"/>
    <w:rsid w:val="00AC7B1B"/>
    <w:rsid w:val="00AC7C58"/>
    <w:rsid w:val="00AD00C1"/>
    <w:rsid w:val="00AD012C"/>
    <w:rsid w:val="00AD04F0"/>
    <w:rsid w:val="00AD0D28"/>
    <w:rsid w:val="00AD118F"/>
    <w:rsid w:val="00AD1377"/>
    <w:rsid w:val="00AD1625"/>
    <w:rsid w:val="00AD16CF"/>
    <w:rsid w:val="00AD1BAC"/>
    <w:rsid w:val="00AD1EF7"/>
    <w:rsid w:val="00AD242E"/>
    <w:rsid w:val="00AD3522"/>
    <w:rsid w:val="00AD3847"/>
    <w:rsid w:val="00AD3B75"/>
    <w:rsid w:val="00AD3B9B"/>
    <w:rsid w:val="00AD3B9F"/>
    <w:rsid w:val="00AD4011"/>
    <w:rsid w:val="00AD4516"/>
    <w:rsid w:val="00AD4555"/>
    <w:rsid w:val="00AD4BCD"/>
    <w:rsid w:val="00AD55E2"/>
    <w:rsid w:val="00AD5A95"/>
    <w:rsid w:val="00AD5DEE"/>
    <w:rsid w:val="00AD62EE"/>
    <w:rsid w:val="00AD6E17"/>
    <w:rsid w:val="00AD6EED"/>
    <w:rsid w:val="00AE0287"/>
    <w:rsid w:val="00AE061E"/>
    <w:rsid w:val="00AE0A50"/>
    <w:rsid w:val="00AE0DAB"/>
    <w:rsid w:val="00AE1953"/>
    <w:rsid w:val="00AE19D9"/>
    <w:rsid w:val="00AE19E6"/>
    <w:rsid w:val="00AE1B76"/>
    <w:rsid w:val="00AE1C79"/>
    <w:rsid w:val="00AE1EE1"/>
    <w:rsid w:val="00AE3A30"/>
    <w:rsid w:val="00AE3BDE"/>
    <w:rsid w:val="00AE3CD1"/>
    <w:rsid w:val="00AE402B"/>
    <w:rsid w:val="00AE4211"/>
    <w:rsid w:val="00AE514F"/>
    <w:rsid w:val="00AE5562"/>
    <w:rsid w:val="00AE5645"/>
    <w:rsid w:val="00AE5676"/>
    <w:rsid w:val="00AE57CB"/>
    <w:rsid w:val="00AE5997"/>
    <w:rsid w:val="00AE5E45"/>
    <w:rsid w:val="00AE5E66"/>
    <w:rsid w:val="00AE61C3"/>
    <w:rsid w:val="00AE61FC"/>
    <w:rsid w:val="00AE6A66"/>
    <w:rsid w:val="00AE6C53"/>
    <w:rsid w:val="00AE743E"/>
    <w:rsid w:val="00AE7C84"/>
    <w:rsid w:val="00AF018E"/>
    <w:rsid w:val="00AF0212"/>
    <w:rsid w:val="00AF022D"/>
    <w:rsid w:val="00AF0339"/>
    <w:rsid w:val="00AF0347"/>
    <w:rsid w:val="00AF09B1"/>
    <w:rsid w:val="00AF0D10"/>
    <w:rsid w:val="00AF1BD7"/>
    <w:rsid w:val="00AF1F0F"/>
    <w:rsid w:val="00AF21BA"/>
    <w:rsid w:val="00AF2616"/>
    <w:rsid w:val="00AF293D"/>
    <w:rsid w:val="00AF29C7"/>
    <w:rsid w:val="00AF3240"/>
    <w:rsid w:val="00AF34BF"/>
    <w:rsid w:val="00AF34D3"/>
    <w:rsid w:val="00AF3F3D"/>
    <w:rsid w:val="00AF4333"/>
    <w:rsid w:val="00AF44D8"/>
    <w:rsid w:val="00AF4A4C"/>
    <w:rsid w:val="00AF4A58"/>
    <w:rsid w:val="00AF4A5F"/>
    <w:rsid w:val="00AF4DA4"/>
    <w:rsid w:val="00AF5029"/>
    <w:rsid w:val="00AF50FD"/>
    <w:rsid w:val="00AF5548"/>
    <w:rsid w:val="00AF6047"/>
    <w:rsid w:val="00AF649D"/>
    <w:rsid w:val="00AF66B1"/>
    <w:rsid w:val="00AF69C1"/>
    <w:rsid w:val="00AF6A3F"/>
    <w:rsid w:val="00AF6C40"/>
    <w:rsid w:val="00AF6CD5"/>
    <w:rsid w:val="00AF6F63"/>
    <w:rsid w:val="00AF7624"/>
    <w:rsid w:val="00AF7B4B"/>
    <w:rsid w:val="00B008CC"/>
    <w:rsid w:val="00B00ADC"/>
    <w:rsid w:val="00B01205"/>
    <w:rsid w:val="00B020CD"/>
    <w:rsid w:val="00B02195"/>
    <w:rsid w:val="00B02436"/>
    <w:rsid w:val="00B02BD7"/>
    <w:rsid w:val="00B02DD0"/>
    <w:rsid w:val="00B02E9C"/>
    <w:rsid w:val="00B0333C"/>
    <w:rsid w:val="00B033F4"/>
    <w:rsid w:val="00B039DD"/>
    <w:rsid w:val="00B03A70"/>
    <w:rsid w:val="00B03C35"/>
    <w:rsid w:val="00B03E62"/>
    <w:rsid w:val="00B043A2"/>
    <w:rsid w:val="00B0527E"/>
    <w:rsid w:val="00B0536C"/>
    <w:rsid w:val="00B05A8D"/>
    <w:rsid w:val="00B05EDE"/>
    <w:rsid w:val="00B061BD"/>
    <w:rsid w:val="00B0681B"/>
    <w:rsid w:val="00B06C21"/>
    <w:rsid w:val="00B06E00"/>
    <w:rsid w:val="00B074E3"/>
    <w:rsid w:val="00B07620"/>
    <w:rsid w:val="00B07A01"/>
    <w:rsid w:val="00B07A7F"/>
    <w:rsid w:val="00B07BB9"/>
    <w:rsid w:val="00B07ED1"/>
    <w:rsid w:val="00B07FFD"/>
    <w:rsid w:val="00B109E8"/>
    <w:rsid w:val="00B10D21"/>
    <w:rsid w:val="00B11264"/>
    <w:rsid w:val="00B11771"/>
    <w:rsid w:val="00B11A73"/>
    <w:rsid w:val="00B11AF2"/>
    <w:rsid w:val="00B11CCF"/>
    <w:rsid w:val="00B11D30"/>
    <w:rsid w:val="00B1232F"/>
    <w:rsid w:val="00B127BD"/>
    <w:rsid w:val="00B12F4C"/>
    <w:rsid w:val="00B136DB"/>
    <w:rsid w:val="00B138F9"/>
    <w:rsid w:val="00B13DBF"/>
    <w:rsid w:val="00B13E65"/>
    <w:rsid w:val="00B13EB7"/>
    <w:rsid w:val="00B14400"/>
    <w:rsid w:val="00B148B9"/>
    <w:rsid w:val="00B14B87"/>
    <w:rsid w:val="00B14C86"/>
    <w:rsid w:val="00B14D1B"/>
    <w:rsid w:val="00B15190"/>
    <w:rsid w:val="00B151BD"/>
    <w:rsid w:val="00B152D7"/>
    <w:rsid w:val="00B15348"/>
    <w:rsid w:val="00B155F2"/>
    <w:rsid w:val="00B15744"/>
    <w:rsid w:val="00B163B7"/>
    <w:rsid w:val="00B166EB"/>
    <w:rsid w:val="00B16907"/>
    <w:rsid w:val="00B17070"/>
    <w:rsid w:val="00B1756E"/>
    <w:rsid w:val="00B1774E"/>
    <w:rsid w:val="00B17FA5"/>
    <w:rsid w:val="00B20005"/>
    <w:rsid w:val="00B2009D"/>
    <w:rsid w:val="00B205D8"/>
    <w:rsid w:val="00B20796"/>
    <w:rsid w:val="00B21373"/>
    <w:rsid w:val="00B2147B"/>
    <w:rsid w:val="00B21ABD"/>
    <w:rsid w:val="00B21EDC"/>
    <w:rsid w:val="00B2234F"/>
    <w:rsid w:val="00B22981"/>
    <w:rsid w:val="00B22DB6"/>
    <w:rsid w:val="00B22EED"/>
    <w:rsid w:val="00B23137"/>
    <w:rsid w:val="00B23356"/>
    <w:rsid w:val="00B23629"/>
    <w:rsid w:val="00B23A1E"/>
    <w:rsid w:val="00B23C11"/>
    <w:rsid w:val="00B246C5"/>
    <w:rsid w:val="00B2496E"/>
    <w:rsid w:val="00B24AC9"/>
    <w:rsid w:val="00B25240"/>
    <w:rsid w:val="00B254D4"/>
    <w:rsid w:val="00B2551E"/>
    <w:rsid w:val="00B25521"/>
    <w:rsid w:val="00B256E9"/>
    <w:rsid w:val="00B2572D"/>
    <w:rsid w:val="00B25940"/>
    <w:rsid w:val="00B261C6"/>
    <w:rsid w:val="00B2671D"/>
    <w:rsid w:val="00B26984"/>
    <w:rsid w:val="00B275D2"/>
    <w:rsid w:val="00B2774E"/>
    <w:rsid w:val="00B27BD7"/>
    <w:rsid w:val="00B27D95"/>
    <w:rsid w:val="00B30290"/>
    <w:rsid w:val="00B30951"/>
    <w:rsid w:val="00B30A1C"/>
    <w:rsid w:val="00B30D4B"/>
    <w:rsid w:val="00B30E09"/>
    <w:rsid w:val="00B30E47"/>
    <w:rsid w:val="00B320F4"/>
    <w:rsid w:val="00B32421"/>
    <w:rsid w:val="00B3260E"/>
    <w:rsid w:val="00B32D92"/>
    <w:rsid w:val="00B32D9C"/>
    <w:rsid w:val="00B3346E"/>
    <w:rsid w:val="00B33D6B"/>
    <w:rsid w:val="00B33F65"/>
    <w:rsid w:val="00B3409D"/>
    <w:rsid w:val="00B34189"/>
    <w:rsid w:val="00B3483E"/>
    <w:rsid w:val="00B357B0"/>
    <w:rsid w:val="00B35A31"/>
    <w:rsid w:val="00B35B21"/>
    <w:rsid w:val="00B36E82"/>
    <w:rsid w:val="00B370A4"/>
    <w:rsid w:val="00B37194"/>
    <w:rsid w:val="00B3776B"/>
    <w:rsid w:val="00B37CB4"/>
    <w:rsid w:val="00B4103C"/>
    <w:rsid w:val="00B41055"/>
    <w:rsid w:val="00B41333"/>
    <w:rsid w:val="00B419CA"/>
    <w:rsid w:val="00B41F3F"/>
    <w:rsid w:val="00B429FE"/>
    <w:rsid w:val="00B42EF6"/>
    <w:rsid w:val="00B430C0"/>
    <w:rsid w:val="00B434A8"/>
    <w:rsid w:val="00B44288"/>
    <w:rsid w:val="00B443A9"/>
    <w:rsid w:val="00B44541"/>
    <w:rsid w:val="00B44E7D"/>
    <w:rsid w:val="00B45183"/>
    <w:rsid w:val="00B45549"/>
    <w:rsid w:val="00B4578E"/>
    <w:rsid w:val="00B459F7"/>
    <w:rsid w:val="00B45AF5"/>
    <w:rsid w:val="00B45CF8"/>
    <w:rsid w:val="00B45F3D"/>
    <w:rsid w:val="00B460B0"/>
    <w:rsid w:val="00B46724"/>
    <w:rsid w:val="00B46845"/>
    <w:rsid w:val="00B4769B"/>
    <w:rsid w:val="00B47777"/>
    <w:rsid w:val="00B47DA0"/>
    <w:rsid w:val="00B47EA8"/>
    <w:rsid w:val="00B501F6"/>
    <w:rsid w:val="00B50392"/>
    <w:rsid w:val="00B507A8"/>
    <w:rsid w:val="00B50B45"/>
    <w:rsid w:val="00B50D87"/>
    <w:rsid w:val="00B52088"/>
    <w:rsid w:val="00B52208"/>
    <w:rsid w:val="00B5248E"/>
    <w:rsid w:val="00B5276D"/>
    <w:rsid w:val="00B52E4F"/>
    <w:rsid w:val="00B53151"/>
    <w:rsid w:val="00B532B5"/>
    <w:rsid w:val="00B5330F"/>
    <w:rsid w:val="00B5344C"/>
    <w:rsid w:val="00B53C99"/>
    <w:rsid w:val="00B540F3"/>
    <w:rsid w:val="00B54494"/>
    <w:rsid w:val="00B54F81"/>
    <w:rsid w:val="00B552C7"/>
    <w:rsid w:val="00B55350"/>
    <w:rsid w:val="00B55A10"/>
    <w:rsid w:val="00B55E0A"/>
    <w:rsid w:val="00B560E5"/>
    <w:rsid w:val="00B566C3"/>
    <w:rsid w:val="00B57016"/>
    <w:rsid w:val="00B571B2"/>
    <w:rsid w:val="00B577F5"/>
    <w:rsid w:val="00B579D7"/>
    <w:rsid w:val="00B60238"/>
    <w:rsid w:val="00B60769"/>
    <w:rsid w:val="00B61320"/>
    <w:rsid w:val="00B6161C"/>
    <w:rsid w:val="00B6177D"/>
    <w:rsid w:val="00B617E3"/>
    <w:rsid w:val="00B61BCF"/>
    <w:rsid w:val="00B61DFE"/>
    <w:rsid w:val="00B629D6"/>
    <w:rsid w:val="00B62BBD"/>
    <w:rsid w:val="00B62FF1"/>
    <w:rsid w:val="00B63472"/>
    <w:rsid w:val="00B63928"/>
    <w:rsid w:val="00B640C4"/>
    <w:rsid w:val="00B640F9"/>
    <w:rsid w:val="00B6478B"/>
    <w:rsid w:val="00B64948"/>
    <w:rsid w:val="00B64A02"/>
    <w:rsid w:val="00B64C39"/>
    <w:rsid w:val="00B64C47"/>
    <w:rsid w:val="00B65ACB"/>
    <w:rsid w:val="00B6656C"/>
    <w:rsid w:val="00B66B1D"/>
    <w:rsid w:val="00B66C98"/>
    <w:rsid w:val="00B66CCE"/>
    <w:rsid w:val="00B66F1C"/>
    <w:rsid w:val="00B670B1"/>
    <w:rsid w:val="00B67819"/>
    <w:rsid w:val="00B700A2"/>
    <w:rsid w:val="00B70C9F"/>
    <w:rsid w:val="00B7122E"/>
    <w:rsid w:val="00B712F0"/>
    <w:rsid w:val="00B7190D"/>
    <w:rsid w:val="00B72935"/>
    <w:rsid w:val="00B736B9"/>
    <w:rsid w:val="00B73895"/>
    <w:rsid w:val="00B74C93"/>
    <w:rsid w:val="00B74E54"/>
    <w:rsid w:val="00B75B42"/>
    <w:rsid w:val="00B75E37"/>
    <w:rsid w:val="00B76334"/>
    <w:rsid w:val="00B76954"/>
    <w:rsid w:val="00B771CC"/>
    <w:rsid w:val="00B77CD5"/>
    <w:rsid w:val="00B77E25"/>
    <w:rsid w:val="00B80396"/>
    <w:rsid w:val="00B804B0"/>
    <w:rsid w:val="00B80677"/>
    <w:rsid w:val="00B808CD"/>
    <w:rsid w:val="00B80921"/>
    <w:rsid w:val="00B80E5C"/>
    <w:rsid w:val="00B80E92"/>
    <w:rsid w:val="00B81007"/>
    <w:rsid w:val="00B816DF"/>
    <w:rsid w:val="00B821D7"/>
    <w:rsid w:val="00B82482"/>
    <w:rsid w:val="00B832FC"/>
    <w:rsid w:val="00B83418"/>
    <w:rsid w:val="00B83D4A"/>
    <w:rsid w:val="00B8424D"/>
    <w:rsid w:val="00B84588"/>
    <w:rsid w:val="00B84771"/>
    <w:rsid w:val="00B84862"/>
    <w:rsid w:val="00B848CF"/>
    <w:rsid w:val="00B854A4"/>
    <w:rsid w:val="00B859CB"/>
    <w:rsid w:val="00B85B4A"/>
    <w:rsid w:val="00B85D5A"/>
    <w:rsid w:val="00B86855"/>
    <w:rsid w:val="00B87031"/>
    <w:rsid w:val="00B873B9"/>
    <w:rsid w:val="00B87884"/>
    <w:rsid w:val="00B87DDD"/>
    <w:rsid w:val="00B90528"/>
    <w:rsid w:val="00B9094E"/>
    <w:rsid w:val="00B90F5C"/>
    <w:rsid w:val="00B91216"/>
    <w:rsid w:val="00B91270"/>
    <w:rsid w:val="00B9194C"/>
    <w:rsid w:val="00B91B50"/>
    <w:rsid w:val="00B91C95"/>
    <w:rsid w:val="00B91EF1"/>
    <w:rsid w:val="00B91F4B"/>
    <w:rsid w:val="00B92340"/>
    <w:rsid w:val="00B92982"/>
    <w:rsid w:val="00B92FB7"/>
    <w:rsid w:val="00B932A7"/>
    <w:rsid w:val="00B93319"/>
    <w:rsid w:val="00B93354"/>
    <w:rsid w:val="00B93704"/>
    <w:rsid w:val="00B9373B"/>
    <w:rsid w:val="00B9414D"/>
    <w:rsid w:val="00B9416B"/>
    <w:rsid w:val="00B943D7"/>
    <w:rsid w:val="00B95437"/>
    <w:rsid w:val="00B96877"/>
    <w:rsid w:val="00B96C82"/>
    <w:rsid w:val="00B96D04"/>
    <w:rsid w:val="00B96E1E"/>
    <w:rsid w:val="00B96FF7"/>
    <w:rsid w:val="00B970A8"/>
    <w:rsid w:val="00B972C0"/>
    <w:rsid w:val="00B9758A"/>
    <w:rsid w:val="00B97680"/>
    <w:rsid w:val="00B97917"/>
    <w:rsid w:val="00BA0164"/>
    <w:rsid w:val="00BA02EC"/>
    <w:rsid w:val="00BA0A2E"/>
    <w:rsid w:val="00BA0B6A"/>
    <w:rsid w:val="00BA0E40"/>
    <w:rsid w:val="00BA20EF"/>
    <w:rsid w:val="00BA2213"/>
    <w:rsid w:val="00BA2841"/>
    <w:rsid w:val="00BA2A9D"/>
    <w:rsid w:val="00BA3B75"/>
    <w:rsid w:val="00BA3B79"/>
    <w:rsid w:val="00BA3BF4"/>
    <w:rsid w:val="00BA4252"/>
    <w:rsid w:val="00BA426E"/>
    <w:rsid w:val="00BA4725"/>
    <w:rsid w:val="00BA4F47"/>
    <w:rsid w:val="00BA56BF"/>
    <w:rsid w:val="00BA59A4"/>
    <w:rsid w:val="00BA5F1A"/>
    <w:rsid w:val="00BA65F3"/>
    <w:rsid w:val="00BA669E"/>
    <w:rsid w:val="00BB037F"/>
    <w:rsid w:val="00BB0919"/>
    <w:rsid w:val="00BB0D50"/>
    <w:rsid w:val="00BB15A6"/>
    <w:rsid w:val="00BB1673"/>
    <w:rsid w:val="00BB16D4"/>
    <w:rsid w:val="00BB1B4F"/>
    <w:rsid w:val="00BB1F4D"/>
    <w:rsid w:val="00BB273C"/>
    <w:rsid w:val="00BB27A7"/>
    <w:rsid w:val="00BB2F80"/>
    <w:rsid w:val="00BB3BFF"/>
    <w:rsid w:val="00BB3EA4"/>
    <w:rsid w:val="00BB41AC"/>
    <w:rsid w:val="00BB4352"/>
    <w:rsid w:val="00BB475E"/>
    <w:rsid w:val="00BB47A9"/>
    <w:rsid w:val="00BB4866"/>
    <w:rsid w:val="00BB4A6F"/>
    <w:rsid w:val="00BB4CA4"/>
    <w:rsid w:val="00BB4ED6"/>
    <w:rsid w:val="00BB5118"/>
    <w:rsid w:val="00BB5215"/>
    <w:rsid w:val="00BB5B6D"/>
    <w:rsid w:val="00BB5F4B"/>
    <w:rsid w:val="00BB5F73"/>
    <w:rsid w:val="00BB61BF"/>
    <w:rsid w:val="00BB6E09"/>
    <w:rsid w:val="00BB73B7"/>
    <w:rsid w:val="00BB73C0"/>
    <w:rsid w:val="00BB7B6C"/>
    <w:rsid w:val="00BB7F21"/>
    <w:rsid w:val="00BC0432"/>
    <w:rsid w:val="00BC05C4"/>
    <w:rsid w:val="00BC15C1"/>
    <w:rsid w:val="00BC2066"/>
    <w:rsid w:val="00BC21E4"/>
    <w:rsid w:val="00BC228D"/>
    <w:rsid w:val="00BC288A"/>
    <w:rsid w:val="00BC2C48"/>
    <w:rsid w:val="00BC2E47"/>
    <w:rsid w:val="00BC37DA"/>
    <w:rsid w:val="00BC37E1"/>
    <w:rsid w:val="00BC3CB1"/>
    <w:rsid w:val="00BC488E"/>
    <w:rsid w:val="00BC4F75"/>
    <w:rsid w:val="00BC5136"/>
    <w:rsid w:val="00BC5233"/>
    <w:rsid w:val="00BC523B"/>
    <w:rsid w:val="00BC5416"/>
    <w:rsid w:val="00BC59EC"/>
    <w:rsid w:val="00BC5EAE"/>
    <w:rsid w:val="00BC60CD"/>
    <w:rsid w:val="00BC61FE"/>
    <w:rsid w:val="00BC7161"/>
    <w:rsid w:val="00BC72A2"/>
    <w:rsid w:val="00BD0012"/>
    <w:rsid w:val="00BD02F9"/>
    <w:rsid w:val="00BD04CE"/>
    <w:rsid w:val="00BD05F2"/>
    <w:rsid w:val="00BD1103"/>
    <w:rsid w:val="00BD12F5"/>
    <w:rsid w:val="00BD1490"/>
    <w:rsid w:val="00BD18B0"/>
    <w:rsid w:val="00BD1AD5"/>
    <w:rsid w:val="00BD1EF4"/>
    <w:rsid w:val="00BD23A0"/>
    <w:rsid w:val="00BD2813"/>
    <w:rsid w:val="00BD2859"/>
    <w:rsid w:val="00BD3606"/>
    <w:rsid w:val="00BD3FCD"/>
    <w:rsid w:val="00BD45C5"/>
    <w:rsid w:val="00BD4E64"/>
    <w:rsid w:val="00BD55C4"/>
    <w:rsid w:val="00BD5882"/>
    <w:rsid w:val="00BD5ED4"/>
    <w:rsid w:val="00BD6562"/>
    <w:rsid w:val="00BD67BB"/>
    <w:rsid w:val="00BD6DCF"/>
    <w:rsid w:val="00BD7180"/>
    <w:rsid w:val="00BD718B"/>
    <w:rsid w:val="00BD7490"/>
    <w:rsid w:val="00BD7596"/>
    <w:rsid w:val="00BD79DA"/>
    <w:rsid w:val="00BD7D55"/>
    <w:rsid w:val="00BE00D2"/>
    <w:rsid w:val="00BE058F"/>
    <w:rsid w:val="00BE0B3A"/>
    <w:rsid w:val="00BE1597"/>
    <w:rsid w:val="00BE1E37"/>
    <w:rsid w:val="00BE209F"/>
    <w:rsid w:val="00BE365F"/>
    <w:rsid w:val="00BE38F5"/>
    <w:rsid w:val="00BE3C05"/>
    <w:rsid w:val="00BE3D3F"/>
    <w:rsid w:val="00BE3D87"/>
    <w:rsid w:val="00BE4415"/>
    <w:rsid w:val="00BE51EA"/>
    <w:rsid w:val="00BE5CF8"/>
    <w:rsid w:val="00BE5EA8"/>
    <w:rsid w:val="00BE63FC"/>
    <w:rsid w:val="00BE69B9"/>
    <w:rsid w:val="00BE6F1D"/>
    <w:rsid w:val="00BE6F5C"/>
    <w:rsid w:val="00BE7521"/>
    <w:rsid w:val="00BE76B0"/>
    <w:rsid w:val="00BE7DB4"/>
    <w:rsid w:val="00BF0148"/>
    <w:rsid w:val="00BF01E9"/>
    <w:rsid w:val="00BF072A"/>
    <w:rsid w:val="00BF0DA3"/>
    <w:rsid w:val="00BF125C"/>
    <w:rsid w:val="00BF1E8F"/>
    <w:rsid w:val="00BF2BA5"/>
    <w:rsid w:val="00BF2E2F"/>
    <w:rsid w:val="00BF3094"/>
    <w:rsid w:val="00BF318B"/>
    <w:rsid w:val="00BF332D"/>
    <w:rsid w:val="00BF36D5"/>
    <w:rsid w:val="00BF47D2"/>
    <w:rsid w:val="00BF4C07"/>
    <w:rsid w:val="00BF4FFB"/>
    <w:rsid w:val="00BF5188"/>
    <w:rsid w:val="00BF51EB"/>
    <w:rsid w:val="00BF523F"/>
    <w:rsid w:val="00BF530C"/>
    <w:rsid w:val="00BF54EF"/>
    <w:rsid w:val="00BF5CF6"/>
    <w:rsid w:val="00BF5D8C"/>
    <w:rsid w:val="00BF62F3"/>
    <w:rsid w:val="00BF63B3"/>
    <w:rsid w:val="00BF663A"/>
    <w:rsid w:val="00BF66DA"/>
    <w:rsid w:val="00BF6ED1"/>
    <w:rsid w:val="00BF79BB"/>
    <w:rsid w:val="00BF7E4E"/>
    <w:rsid w:val="00BF7EFF"/>
    <w:rsid w:val="00C00E79"/>
    <w:rsid w:val="00C01E1D"/>
    <w:rsid w:val="00C02278"/>
    <w:rsid w:val="00C03373"/>
    <w:rsid w:val="00C03E1F"/>
    <w:rsid w:val="00C03E89"/>
    <w:rsid w:val="00C03EF3"/>
    <w:rsid w:val="00C04362"/>
    <w:rsid w:val="00C0449A"/>
    <w:rsid w:val="00C04B54"/>
    <w:rsid w:val="00C04F8C"/>
    <w:rsid w:val="00C05979"/>
    <w:rsid w:val="00C05D69"/>
    <w:rsid w:val="00C0629A"/>
    <w:rsid w:val="00C066C5"/>
    <w:rsid w:val="00C07297"/>
    <w:rsid w:val="00C072C9"/>
    <w:rsid w:val="00C0750B"/>
    <w:rsid w:val="00C07D2E"/>
    <w:rsid w:val="00C100DE"/>
    <w:rsid w:val="00C10913"/>
    <w:rsid w:val="00C10C0B"/>
    <w:rsid w:val="00C10D36"/>
    <w:rsid w:val="00C10D38"/>
    <w:rsid w:val="00C111E9"/>
    <w:rsid w:val="00C118F6"/>
    <w:rsid w:val="00C11A40"/>
    <w:rsid w:val="00C11B6C"/>
    <w:rsid w:val="00C11D37"/>
    <w:rsid w:val="00C12457"/>
    <w:rsid w:val="00C1288B"/>
    <w:rsid w:val="00C12CB6"/>
    <w:rsid w:val="00C13239"/>
    <w:rsid w:val="00C133D4"/>
    <w:rsid w:val="00C13539"/>
    <w:rsid w:val="00C13743"/>
    <w:rsid w:val="00C13771"/>
    <w:rsid w:val="00C138D2"/>
    <w:rsid w:val="00C13914"/>
    <w:rsid w:val="00C13C0B"/>
    <w:rsid w:val="00C1401D"/>
    <w:rsid w:val="00C140F2"/>
    <w:rsid w:val="00C1479E"/>
    <w:rsid w:val="00C147A3"/>
    <w:rsid w:val="00C1488C"/>
    <w:rsid w:val="00C148D7"/>
    <w:rsid w:val="00C1494D"/>
    <w:rsid w:val="00C14A39"/>
    <w:rsid w:val="00C14CF3"/>
    <w:rsid w:val="00C153F7"/>
    <w:rsid w:val="00C159FC"/>
    <w:rsid w:val="00C160E9"/>
    <w:rsid w:val="00C16126"/>
    <w:rsid w:val="00C16C71"/>
    <w:rsid w:val="00C17369"/>
    <w:rsid w:val="00C17489"/>
    <w:rsid w:val="00C1776D"/>
    <w:rsid w:val="00C17963"/>
    <w:rsid w:val="00C1799F"/>
    <w:rsid w:val="00C17F84"/>
    <w:rsid w:val="00C20907"/>
    <w:rsid w:val="00C211AF"/>
    <w:rsid w:val="00C219BC"/>
    <w:rsid w:val="00C224A7"/>
    <w:rsid w:val="00C22568"/>
    <w:rsid w:val="00C229D8"/>
    <w:rsid w:val="00C22A45"/>
    <w:rsid w:val="00C22C89"/>
    <w:rsid w:val="00C22DCA"/>
    <w:rsid w:val="00C22E75"/>
    <w:rsid w:val="00C2306A"/>
    <w:rsid w:val="00C23102"/>
    <w:rsid w:val="00C234A8"/>
    <w:rsid w:val="00C23751"/>
    <w:rsid w:val="00C23C1B"/>
    <w:rsid w:val="00C24293"/>
    <w:rsid w:val="00C24383"/>
    <w:rsid w:val="00C24732"/>
    <w:rsid w:val="00C248FA"/>
    <w:rsid w:val="00C249F7"/>
    <w:rsid w:val="00C24B1C"/>
    <w:rsid w:val="00C24CC7"/>
    <w:rsid w:val="00C24F47"/>
    <w:rsid w:val="00C24F95"/>
    <w:rsid w:val="00C251A0"/>
    <w:rsid w:val="00C2539A"/>
    <w:rsid w:val="00C2571B"/>
    <w:rsid w:val="00C25A7A"/>
    <w:rsid w:val="00C25B31"/>
    <w:rsid w:val="00C25C59"/>
    <w:rsid w:val="00C26695"/>
    <w:rsid w:val="00C26B7F"/>
    <w:rsid w:val="00C26DA7"/>
    <w:rsid w:val="00C271D5"/>
    <w:rsid w:val="00C2726C"/>
    <w:rsid w:val="00C27367"/>
    <w:rsid w:val="00C27577"/>
    <w:rsid w:val="00C30260"/>
    <w:rsid w:val="00C3039C"/>
    <w:rsid w:val="00C304D3"/>
    <w:rsid w:val="00C307AF"/>
    <w:rsid w:val="00C30AC7"/>
    <w:rsid w:val="00C31198"/>
    <w:rsid w:val="00C314D5"/>
    <w:rsid w:val="00C314F5"/>
    <w:rsid w:val="00C31560"/>
    <w:rsid w:val="00C3187F"/>
    <w:rsid w:val="00C31E8B"/>
    <w:rsid w:val="00C327B3"/>
    <w:rsid w:val="00C32C87"/>
    <w:rsid w:val="00C32FA3"/>
    <w:rsid w:val="00C33231"/>
    <w:rsid w:val="00C33E5B"/>
    <w:rsid w:val="00C341E4"/>
    <w:rsid w:val="00C34B10"/>
    <w:rsid w:val="00C35252"/>
    <w:rsid w:val="00C35A34"/>
    <w:rsid w:val="00C35C71"/>
    <w:rsid w:val="00C35F19"/>
    <w:rsid w:val="00C35F67"/>
    <w:rsid w:val="00C35F97"/>
    <w:rsid w:val="00C36882"/>
    <w:rsid w:val="00C36AFD"/>
    <w:rsid w:val="00C373DE"/>
    <w:rsid w:val="00C37579"/>
    <w:rsid w:val="00C37AAB"/>
    <w:rsid w:val="00C37BAB"/>
    <w:rsid w:val="00C37FCC"/>
    <w:rsid w:val="00C37FF3"/>
    <w:rsid w:val="00C400CF"/>
    <w:rsid w:val="00C401AE"/>
    <w:rsid w:val="00C4031D"/>
    <w:rsid w:val="00C40DA8"/>
    <w:rsid w:val="00C40F67"/>
    <w:rsid w:val="00C41C01"/>
    <w:rsid w:val="00C41C32"/>
    <w:rsid w:val="00C41C7C"/>
    <w:rsid w:val="00C41CCD"/>
    <w:rsid w:val="00C42245"/>
    <w:rsid w:val="00C42361"/>
    <w:rsid w:val="00C427AE"/>
    <w:rsid w:val="00C42AAD"/>
    <w:rsid w:val="00C42E3C"/>
    <w:rsid w:val="00C43B1E"/>
    <w:rsid w:val="00C43F7E"/>
    <w:rsid w:val="00C45899"/>
    <w:rsid w:val="00C45C50"/>
    <w:rsid w:val="00C46142"/>
    <w:rsid w:val="00C46B8E"/>
    <w:rsid w:val="00C46DD2"/>
    <w:rsid w:val="00C47EC8"/>
    <w:rsid w:val="00C50412"/>
    <w:rsid w:val="00C50518"/>
    <w:rsid w:val="00C50689"/>
    <w:rsid w:val="00C509C5"/>
    <w:rsid w:val="00C50E29"/>
    <w:rsid w:val="00C50EA6"/>
    <w:rsid w:val="00C51012"/>
    <w:rsid w:val="00C51390"/>
    <w:rsid w:val="00C51845"/>
    <w:rsid w:val="00C51B5C"/>
    <w:rsid w:val="00C51C4E"/>
    <w:rsid w:val="00C51CC4"/>
    <w:rsid w:val="00C523E2"/>
    <w:rsid w:val="00C525FF"/>
    <w:rsid w:val="00C52607"/>
    <w:rsid w:val="00C52AD0"/>
    <w:rsid w:val="00C52DA1"/>
    <w:rsid w:val="00C5398C"/>
    <w:rsid w:val="00C53DAD"/>
    <w:rsid w:val="00C5418C"/>
    <w:rsid w:val="00C5445A"/>
    <w:rsid w:val="00C54CA0"/>
    <w:rsid w:val="00C54DB7"/>
    <w:rsid w:val="00C54DCC"/>
    <w:rsid w:val="00C54F21"/>
    <w:rsid w:val="00C551A2"/>
    <w:rsid w:val="00C5545A"/>
    <w:rsid w:val="00C555C4"/>
    <w:rsid w:val="00C5571C"/>
    <w:rsid w:val="00C55757"/>
    <w:rsid w:val="00C55995"/>
    <w:rsid w:val="00C55AB6"/>
    <w:rsid w:val="00C55CEB"/>
    <w:rsid w:val="00C55D5B"/>
    <w:rsid w:val="00C56AE2"/>
    <w:rsid w:val="00C56F6E"/>
    <w:rsid w:val="00C5729C"/>
    <w:rsid w:val="00C57450"/>
    <w:rsid w:val="00C57844"/>
    <w:rsid w:val="00C57E15"/>
    <w:rsid w:val="00C6006B"/>
    <w:rsid w:val="00C603A7"/>
    <w:rsid w:val="00C60C3D"/>
    <w:rsid w:val="00C6157F"/>
    <w:rsid w:val="00C61C0B"/>
    <w:rsid w:val="00C61EC4"/>
    <w:rsid w:val="00C6294B"/>
    <w:rsid w:val="00C629BA"/>
    <w:rsid w:val="00C629E8"/>
    <w:rsid w:val="00C62EEC"/>
    <w:rsid w:val="00C63041"/>
    <w:rsid w:val="00C63575"/>
    <w:rsid w:val="00C636B8"/>
    <w:rsid w:val="00C63FD7"/>
    <w:rsid w:val="00C643FB"/>
    <w:rsid w:val="00C64501"/>
    <w:rsid w:val="00C650AC"/>
    <w:rsid w:val="00C650C3"/>
    <w:rsid w:val="00C6544C"/>
    <w:rsid w:val="00C65979"/>
    <w:rsid w:val="00C65AC2"/>
    <w:rsid w:val="00C65BE1"/>
    <w:rsid w:val="00C663F5"/>
    <w:rsid w:val="00C67472"/>
    <w:rsid w:val="00C674E8"/>
    <w:rsid w:val="00C677AD"/>
    <w:rsid w:val="00C67843"/>
    <w:rsid w:val="00C67C1A"/>
    <w:rsid w:val="00C67C52"/>
    <w:rsid w:val="00C700F1"/>
    <w:rsid w:val="00C703F0"/>
    <w:rsid w:val="00C70BCD"/>
    <w:rsid w:val="00C70D11"/>
    <w:rsid w:val="00C71081"/>
    <w:rsid w:val="00C719D9"/>
    <w:rsid w:val="00C71AD4"/>
    <w:rsid w:val="00C71C5C"/>
    <w:rsid w:val="00C71E6E"/>
    <w:rsid w:val="00C724CE"/>
    <w:rsid w:val="00C72958"/>
    <w:rsid w:val="00C72AAD"/>
    <w:rsid w:val="00C73030"/>
    <w:rsid w:val="00C73D9D"/>
    <w:rsid w:val="00C73E37"/>
    <w:rsid w:val="00C73EDC"/>
    <w:rsid w:val="00C740C5"/>
    <w:rsid w:val="00C743C1"/>
    <w:rsid w:val="00C743E8"/>
    <w:rsid w:val="00C743EE"/>
    <w:rsid w:val="00C747BC"/>
    <w:rsid w:val="00C749B8"/>
    <w:rsid w:val="00C74D02"/>
    <w:rsid w:val="00C74DE0"/>
    <w:rsid w:val="00C74FCE"/>
    <w:rsid w:val="00C75936"/>
    <w:rsid w:val="00C7604C"/>
    <w:rsid w:val="00C76179"/>
    <w:rsid w:val="00C763CA"/>
    <w:rsid w:val="00C766A3"/>
    <w:rsid w:val="00C76A71"/>
    <w:rsid w:val="00C76B91"/>
    <w:rsid w:val="00C76CF7"/>
    <w:rsid w:val="00C76D2B"/>
    <w:rsid w:val="00C77704"/>
    <w:rsid w:val="00C800E4"/>
    <w:rsid w:val="00C80164"/>
    <w:rsid w:val="00C8027A"/>
    <w:rsid w:val="00C80E87"/>
    <w:rsid w:val="00C81109"/>
    <w:rsid w:val="00C812B2"/>
    <w:rsid w:val="00C813DC"/>
    <w:rsid w:val="00C819DD"/>
    <w:rsid w:val="00C819F1"/>
    <w:rsid w:val="00C81D9B"/>
    <w:rsid w:val="00C81FB0"/>
    <w:rsid w:val="00C8200B"/>
    <w:rsid w:val="00C8298B"/>
    <w:rsid w:val="00C8328E"/>
    <w:rsid w:val="00C832F3"/>
    <w:rsid w:val="00C83357"/>
    <w:rsid w:val="00C8346E"/>
    <w:rsid w:val="00C8363A"/>
    <w:rsid w:val="00C8369F"/>
    <w:rsid w:val="00C8383E"/>
    <w:rsid w:val="00C8458B"/>
    <w:rsid w:val="00C848F0"/>
    <w:rsid w:val="00C84A0F"/>
    <w:rsid w:val="00C84BAE"/>
    <w:rsid w:val="00C84CA5"/>
    <w:rsid w:val="00C85359"/>
    <w:rsid w:val="00C85604"/>
    <w:rsid w:val="00C85D31"/>
    <w:rsid w:val="00C863F3"/>
    <w:rsid w:val="00C86674"/>
    <w:rsid w:val="00C869ED"/>
    <w:rsid w:val="00C86C15"/>
    <w:rsid w:val="00C86CC2"/>
    <w:rsid w:val="00C86E16"/>
    <w:rsid w:val="00C87016"/>
    <w:rsid w:val="00C87E71"/>
    <w:rsid w:val="00C87FC1"/>
    <w:rsid w:val="00C90616"/>
    <w:rsid w:val="00C90D0A"/>
    <w:rsid w:val="00C914AA"/>
    <w:rsid w:val="00C914BE"/>
    <w:rsid w:val="00C9161C"/>
    <w:rsid w:val="00C917CD"/>
    <w:rsid w:val="00C91E31"/>
    <w:rsid w:val="00C923D4"/>
    <w:rsid w:val="00C92497"/>
    <w:rsid w:val="00C92632"/>
    <w:rsid w:val="00C9275E"/>
    <w:rsid w:val="00C93370"/>
    <w:rsid w:val="00C93635"/>
    <w:rsid w:val="00C93C15"/>
    <w:rsid w:val="00C9406E"/>
    <w:rsid w:val="00C940B5"/>
    <w:rsid w:val="00C94422"/>
    <w:rsid w:val="00C948E9"/>
    <w:rsid w:val="00C94B87"/>
    <w:rsid w:val="00C95191"/>
    <w:rsid w:val="00C952B3"/>
    <w:rsid w:val="00C95340"/>
    <w:rsid w:val="00C95487"/>
    <w:rsid w:val="00C96254"/>
    <w:rsid w:val="00C96415"/>
    <w:rsid w:val="00C97496"/>
    <w:rsid w:val="00C9782B"/>
    <w:rsid w:val="00C97D34"/>
    <w:rsid w:val="00CA0149"/>
    <w:rsid w:val="00CA0DDA"/>
    <w:rsid w:val="00CA16CE"/>
    <w:rsid w:val="00CA1960"/>
    <w:rsid w:val="00CA2487"/>
    <w:rsid w:val="00CA27C7"/>
    <w:rsid w:val="00CA319A"/>
    <w:rsid w:val="00CA3224"/>
    <w:rsid w:val="00CA3811"/>
    <w:rsid w:val="00CA392E"/>
    <w:rsid w:val="00CA4071"/>
    <w:rsid w:val="00CA40B4"/>
    <w:rsid w:val="00CA458C"/>
    <w:rsid w:val="00CA4F53"/>
    <w:rsid w:val="00CA520F"/>
    <w:rsid w:val="00CA5446"/>
    <w:rsid w:val="00CA54A3"/>
    <w:rsid w:val="00CA5694"/>
    <w:rsid w:val="00CA5DC0"/>
    <w:rsid w:val="00CA5E4D"/>
    <w:rsid w:val="00CA6603"/>
    <w:rsid w:val="00CA6BDD"/>
    <w:rsid w:val="00CA6EF1"/>
    <w:rsid w:val="00CA6F67"/>
    <w:rsid w:val="00CA74F9"/>
    <w:rsid w:val="00CB00F0"/>
    <w:rsid w:val="00CB0E41"/>
    <w:rsid w:val="00CB0E5A"/>
    <w:rsid w:val="00CB11CD"/>
    <w:rsid w:val="00CB14E3"/>
    <w:rsid w:val="00CB16CB"/>
    <w:rsid w:val="00CB17BE"/>
    <w:rsid w:val="00CB18A2"/>
    <w:rsid w:val="00CB27C5"/>
    <w:rsid w:val="00CB2A6F"/>
    <w:rsid w:val="00CB2E2D"/>
    <w:rsid w:val="00CB3CB1"/>
    <w:rsid w:val="00CB3F31"/>
    <w:rsid w:val="00CB4AB3"/>
    <w:rsid w:val="00CB57FF"/>
    <w:rsid w:val="00CB5E7D"/>
    <w:rsid w:val="00CB60C3"/>
    <w:rsid w:val="00CB6442"/>
    <w:rsid w:val="00CB69A4"/>
    <w:rsid w:val="00CC07BA"/>
    <w:rsid w:val="00CC0C6E"/>
    <w:rsid w:val="00CC0EC0"/>
    <w:rsid w:val="00CC186A"/>
    <w:rsid w:val="00CC1870"/>
    <w:rsid w:val="00CC1AF7"/>
    <w:rsid w:val="00CC1FA8"/>
    <w:rsid w:val="00CC23BF"/>
    <w:rsid w:val="00CC25A5"/>
    <w:rsid w:val="00CC2B2B"/>
    <w:rsid w:val="00CC336F"/>
    <w:rsid w:val="00CC3534"/>
    <w:rsid w:val="00CC43CB"/>
    <w:rsid w:val="00CC51B7"/>
    <w:rsid w:val="00CC52BC"/>
    <w:rsid w:val="00CC5816"/>
    <w:rsid w:val="00CC5C39"/>
    <w:rsid w:val="00CC5F24"/>
    <w:rsid w:val="00CC6071"/>
    <w:rsid w:val="00CC6543"/>
    <w:rsid w:val="00CC66AD"/>
    <w:rsid w:val="00CC68D5"/>
    <w:rsid w:val="00CC69C8"/>
    <w:rsid w:val="00CC6C87"/>
    <w:rsid w:val="00CC6CB2"/>
    <w:rsid w:val="00CC6CC8"/>
    <w:rsid w:val="00CC715A"/>
    <w:rsid w:val="00CC7752"/>
    <w:rsid w:val="00CC7E2F"/>
    <w:rsid w:val="00CD02A1"/>
    <w:rsid w:val="00CD07E0"/>
    <w:rsid w:val="00CD0993"/>
    <w:rsid w:val="00CD09CF"/>
    <w:rsid w:val="00CD0B69"/>
    <w:rsid w:val="00CD118F"/>
    <w:rsid w:val="00CD12F7"/>
    <w:rsid w:val="00CD237E"/>
    <w:rsid w:val="00CD265D"/>
    <w:rsid w:val="00CD2DA5"/>
    <w:rsid w:val="00CD33FF"/>
    <w:rsid w:val="00CD4317"/>
    <w:rsid w:val="00CD4F65"/>
    <w:rsid w:val="00CD5136"/>
    <w:rsid w:val="00CD53A0"/>
    <w:rsid w:val="00CD59AB"/>
    <w:rsid w:val="00CD59C9"/>
    <w:rsid w:val="00CD5CCA"/>
    <w:rsid w:val="00CD62AF"/>
    <w:rsid w:val="00CD62BE"/>
    <w:rsid w:val="00CD666A"/>
    <w:rsid w:val="00CD6B3F"/>
    <w:rsid w:val="00CD6E76"/>
    <w:rsid w:val="00CD6FFE"/>
    <w:rsid w:val="00CD7822"/>
    <w:rsid w:val="00CD7F6D"/>
    <w:rsid w:val="00CE02F6"/>
    <w:rsid w:val="00CE058A"/>
    <w:rsid w:val="00CE0764"/>
    <w:rsid w:val="00CE0D61"/>
    <w:rsid w:val="00CE1057"/>
    <w:rsid w:val="00CE136D"/>
    <w:rsid w:val="00CE15AF"/>
    <w:rsid w:val="00CE1A4C"/>
    <w:rsid w:val="00CE1EFF"/>
    <w:rsid w:val="00CE1F6E"/>
    <w:rsid w:val="00CE2106"/>
    <w:rsid w:val="00CE2906"/>
    <w:rsid w:val="00CE3328"/>
    <w:rsid w:val="00CE353E"/>
    <w:rsid w:val="00CE441B"/>
    <w:rsid w:val="00CE4852"/>
    <w:rsid w:val="00CE571A"/>
    <w:rsid w:val="00CE5EF5"/>
    <w:rsid w:val="00CE6D64"/>
    <w:rsid w:val="00CE74C3"/>
    <w:rsid w:val="00CE7727"/>
    <w:rsid w:val="00CE7782"/>
    <w:rsid w:val="00CE7A15"/>
    <w:rsid w:val="00CE7BC2"/>
    <w:rsid w:val="00CE7BDD"/>
    <w:rsid w:val="00CE7BFE"/>
    <w:rsid w:val="00CF03E3"/>
    <w:rsid w:val="00CF04AA"/>
    <w:rsid w:val="00CF06FF"/>
    <w:rsid w:val="00CF10BA"/>
    <w:rsid w:val="00CF1E10"/>
    <w:rsid w:val="00CF2732"/>
    <w:rsid w:val="00CF2F46"/>
    <w:rsid w:val="00CF306E"/>
    <w:rsid w:val="00CF3BBA"/>
    <w:rsid w:val="00CF3C66"/>
    <w:rsid w:val="00CF4093"/>
    <w:rsid w:val="00CF46EA"/>
    <w:rsid w:val="00CF4B8F"/>
    <w:rsid w:val="00CF4EA3"/>
    <w:rsid w:val="00CF4F09"/>
    <w:rsid w:val="00CF5757"/>
    <w:rsid w:val="00CF5A99"/>
    <w:rsid w:val="00CF6720"/>
    <w:rsid w:val="00CF68FA"/>
    <w:rsid w:val="00CF6A15"/>
    <w:rsid w:val="00CF6A4A"/>
    <w:rsid w:val="00CF6EF3"/>
    <w:rsid w:val="00CF74A8"/>
    <w:rsid w:val="00CF76D7"/>
    <w:rsid w:val="00CF7A91"/>
    <w:rsid w:val="00CF7FE4"/>
    <w:rsid w:val="00D00425"/>
    <w:rsid w:val="00D005E4"/>
    <w:rsid w:val="00D006F3"/>
    <w:rsid w:val="00D00714"/>
    <w:rsid w:val="00D00A14"/>
    <w:rsid w:val="00D00ABD"/>
    <w:rsid w:val="00D01ECF"/>
    <w:rsid w:val="00D02199"/>
    <w:rsid w:val="00D02E0C"/>
    <w:rsid w:val="00D03C2A"/>
    <w:rsid w:val="00D04074"/>
    <w:rsid w:val="00D04878"/>
    <w:rsid w:val="00D04A39"/>
    <w:rsid w:val="00D051C7"/>
    <w:rsid w:val="00D053E0"/>
    <w:rsid w:val="00D05597"/>
    <w:rsid w:val="00D06130"/>
    <w:rsid w:val="00D06238"/>
    <w:rsid w:val="00D066F2"/>
    <w:rsid w:val="00D068C8"/>
    <w:rsid w:val="00D068DF"/>
    <w:rsid w:val="00D06C06"/>
    <w:rsid w:val="00D07186"/>
    <w:rsid w:val="00D07F14"/>
    <w:rsid w:val="00D101B9"/>
    <w:rsid w:val="00D10431"/>
    <w:rsid w:val="00D104D4"/>
    <w:rsid w:val="00D107AA"/>
    <w:rsid w:val="00D11CD0"/>
    <w:rsid w:val="00D11E53"/>
    <w:rsid w:val="00D120CE"/>
    <w:rsid w:val="00D120DE"/>
    <w:rsid w:val="00D122F9"/>
    <w:rsid w:val="00D12779"/>
    <w:rsid w:val="00D12A56"/>
    <w:rsid w:val="00D12BBE"/>
    <w:rsid w:val="00D13583"/>
    <w:rsid w:val="00D13A89"/>
    <w:rsid w:val="00D13B24"/>
    <w:rsid w:val="00D13E73"/>
    <w:rsid w:val="00D13FA7"/>
    <w:rsid w:val="00D141D2"/>
    <w:rsid w:val="00D142AB"/>
    <w:rsid w:val="00D148E3"/>
    <w:rsid w:val="00D14A8E"/>
    <w:rsid w:val="00D14D4C"/>
    <w:rsid w:val="00D14F8F"/>
    <w:rsid w:val="00D155F4"/>
    <w:rsid w:val="00D15926"/>
    <w:rsid w:val="00D1594F"/>
    <w:rsid w:val="00D15B49"/>
    <w:rsid w:val="00D15DB0"/>
    <w:rsid w:val="00D163BE"/>
    <w:rsid w:val="00D177D4"/>
    <w:rsid w:val="00D17CD4"/>
    <w:rsid w:val="00D17E86"/>
    <w:rsid w:val="00D201BE"/>
    <w:rsid w:val="00D20756"/>
    <w:rsid w:val="00D20764"/>
    <w:rsid w:val="00D20869"/>
    <w:rsid w:val="00D210F9"/>
    <w:rsid w:val="00D21910"/>
    <w:rsid w:val="00D21A5F"/>
    <w:rsid w:val="00D22282"/>
    <w:rsid w:val="00D22537"/>
    <w:rsid w:val="00D22568"/>
    <w:rsid w:val="00D22827"/>
    <w:rsid w:val="00D22922"/>
    <w:rsid w:val="00D2358A"/>
    <w:rsid w:val="00D23793"/>
    <w:rsid w:val="00D2387D"/>
    <w:rsid w:val="00D23AFB"/>
    <w:rsid w:val="00D23C52"/>
    <w:rsid w:val="00D23D67"/>
    <w:rsid w:val="00D23D9D"/>
    <w:rsid w:val="00D248D1"/>
    <w:rsid w:val="00D24980"/>
    <w:rsid w:val="00D24CB5"/>
    <w:rsid w:val="00D24FEB"/>
    <w:rsid w:val="00D25587"/>
    <w:rsid w:val="00D2565F"/>
    <w:rsid w:val="00D25B76"/>
    <w:rsid w:val="00D25E8B"/>
    <w:rsid w:val="00D2603C"/>
    <w:rsid w:val="00D26244"/>
    <w:rsid w:val="00D2629A"/>
    <w:rsid w:val="00D268EB"/>
    <w:rsid w:val="00D26F43"/>
    <w:rsid w:val="00D274C0"/>
    <w:rsid w:val="00D27571"/>
    <w:rsid w:val="00D27CDD"/>
    <w:rsid w:val="00D3036F"/>
    <w:rsid w:val="00D3083D"/>
    <w:rsid w:val="00D30C11"/>
    <w:rsid w:val="00D30E1D"/>
    <w:rsid w:val="00D30F10"/>
    <w:rsid w:val="00D31297"/>
    <w:rsid w:val="00D313EE"/>
    <w:rsid w:val="00D31BF1"/>
    <w:rsid w:val="00D31CD7"/>
    <w:rsid w:val="00D31E72"/>
    <w:rsid w:val="00D3265C"/>
    <w:rsid w:val="00D3298D"/>
    <w:rsid w:val="00D3335D"/>
    <w:rsid w:val="00D335D2"/>
    <w:rsid w:val="00D33B63"/>
    <w:rsid w:val="00D345F9"/>
    <w:rsid w:val="00D34CE9"/>
    <w:rsid w:val="00D353CC"/>
    <w:rsid w:val="00D3570A"/>
    <w:rsid w:val="00D3577C"/>
    <w:rsid w:val="00D35C2B"/>
    <w:rsid w:val="00D36011"/>
    <w:rsid w:val="00D36E2D"/>
    <w:rsid w:val="00D37443"/>
    <w:rsid w:val="00D37D45"/>
    <w:rsid w:val="00D40736"/>
    <w:rsid w:val="00D41F38"/>
    <w:rsid w:val="00D41F7A"/>
    <w:rsid w:val="00D428C3"/>
    <w:rsid w:val="00D42BC0"/>
    <w:rsid w:val="00D42D96"/>
    <w:rsid w:val="00D43033"/>
    <w:rsid w:val="00D431FD"/>
    <w:rsid w:val="00D433AF"/>
    <w:rsid w:val="00D43A49"/>
    <w:rsid w:val="00D44240"/>
    <w:rsid w:val="00D445D0"/>
    <w:rsid w:val="00D44874"/>
    <w:rsid w:val="00D44D0A"/>
    <w:rsid w:val="00D44E47"/>
    <w:rsid w:val="00D46128"/>
    <w:rsid w:val="00D4632F"/>
    <w:rsid w:val="00D4649A"/>
    <w:rsid w:val="00D466E5"/>
    <w:rsid w:val="00D46792"/>
    <w:rsid w:val="00D46864"/>
    <w:rsid w:val="00D46EBF"/>
    <w:rsid w:val="00D46F13"/>
    <w:rsid w:val="00D46F97"/>
    <w:rsid w:val="00D478F6"/>
    <w:rsid w:val="00D47E6C"/>
    <w:rsid w:val="00D47E82"/>
    <w:rsid w:val="00D50097"/>
    <w:rsid w:val="00D501B5"/>
    <w:rsid w:val="00D5043D"/>
    <w:rsid w:val="00D50480"/>
    <w:rsid w:val="00D50780"/>
    <w:rsid w:val="00D50F07"/>
    <w:rsid w:val="00D51661"/>
    <w:rsid w:val="00D51B09"/>
    <w:rsid w:val="00D51E7C"/>
    <w:rsid w:val="00D52509"/>
    <w:rsid w:val="00D52739"/>
    <w:rsid w:val="00D52CF6"/>
    <w:rsid w:val="00D52F7A"/>
    <w:rsid w:val="00D534EC"/>
    <w:rsid w:val="00D53604"/>
    <w:rsid w:val="00D53680"/>
    <w:rsid w:val="00D5371F"/>
    <w:rsid w:val="00D53760"/>
    <w:rsid w:val="00D53839"/>
    <w:rsid w:val="00D53D5F"/>
    <w:rsid w:val="00D53E05"/>
    <w:rsid w:val="00D54122"/>
    <w:rsid w:val="00D545F8"/>
    <w:rsid w:val="00D5488E"/>
    <w:rsid w:val="00D54E7C"/>
    <w:rsid w:val="00D553BA"/>
    <w:rsid w:val="00D55591"/>
    <w:rsid w:val="00D560FE"/>
    <w:rsid w:val="00D5613E"/>
    <w:rsid w:val="00D564C2"/>
    <w:rsid w:val="00D56738"/>
    <w:rsid w:val="00D56D77"/>
    <w:rsid w:val="00D57277"/>
    <w:rsid w:val="00D57CF0"/>
    <w:rsid w:val="00D60A32"/>
    <w:rsid w:val="00D61021"/>
    <w:rsid w:val="00D61050"/>
    <w:rsid w:val="00D6118D"/>
    <w:rsid w:val="00D61516"/>
    <w:rsid w:val="00D61568"/>
    <w:rsid w:val="00D6177F"/>
    <w:rsid w:val="00D61985"/>
    <w:rsid w:val="00D61AAE"/>
    <w:rsid w:val="00D620DE"/>
    <w:rsid w:val="00D62304"/>
    <w:rsid w:val="00D62E7A"/>
    <w:rsid w:val="00D63350"/>
    <w:rsid w:val="00D63578"/>
    <w:rsid w:val="00D64043"/>
    <w:rsid w:val="00D640B2"/>
    <w:rsid w:val="00D6415C"/>
    <w:rsid w:val="00D64A7B"/>
    <w:rsid w:val="00D64B44"/>
    <w:rsid w:val="00D65AFF"/>
    <w:rsid w:val="00D67666"/>
    <w:rsid w:val="00D6768F"/>
    <w:rsid w:val="00D67FE1"/>
    <w:rsid w:val="00D67FE5"/>
    <w:rsid w:val="00D70334"/>
    <w:rsid w:val="00D704A0"/>
    <w:rsid w:val="00D709F1"/>
    <w:rsid w:val="00D70AE9"/>
    <w:rsid w:val="00D70DBD"/>
    <w:rsid w:val="00D711B1"/>
    <w:rsid w:val="00D729AE"/>
    <w:rsid w:val="00D72E56"/>
    <w:rsid w:val="00D7337D"/>
    <w:rsid w:val="00D7365F"/>
    <w:rsid w:val="00D739D0"/>
    <w:rsid w:val="00D73FD1"/>
    <w:rsid w:val="00D74944"/>
    <w:rsid w:val="00D74AC7"/>
    <w:rsid w:val="00D7512D"/>
    <w:rsid w:val="00D75E85"/>
    <w:rsid w:val="00D75ED2"/>
    <w:rsid w:val="00D760C7"/>
    <w:rsid w:val="00D763DA"/>
    <w:rsid w:val="00D768FE"/>
    <w:rsid w:val="00D76D55"/>
    <w:rsid w:val="00D77455"/>
    <w:rsid w:val="00D776E6"/>
    <w:rsid w:val="00D777A3"/>
    <w:rsid w:val="00D81328"/>
    <w:rsid w:val="00D81C92"/>
    <w:rsid w:val="00D81D48"/>
    <w:rsid w:val="00D81DD8"/>
    <w:rsid w:val="00D81FCE"/>
    <w:rsid w:val="00D82006"/>
    <w:rsid w:val="00D82322"/>
    <w:rsid w:val="00D8323F"/>
    <w:rsid w:val="00D8340F"/>
    <w:rsid w:val="00D834DE"/>
    <w:rsid w:val="00D8366C"/>
    <w:rsid w:val="00D83844"/>
    <w:rsid w:val="00D848BC"/>
    <w:rsid w:val="00D84DCF"/>
    <w:rsid w:val="00D84F0C"/>
    <w:rsid w:val="00D85293"/>
    <w:rsid w:val="00D856DE"/>
    <w:rsid w:val="00D857EE"/>
    <w:rsid w:val="00D85839"/>
    <w:rsid w:val="00D86398"/>
    <w:rsid w:val="00D864E2"/>
    <w:rsid w:val="00D8655B"/>
    <w:rsid w:val="00D86603"/>
    <w:rsid w:val="00D86AAE"/>
    <w:rsid w:val="00D86C26"/>
    <w:rsid w:val="00D86DD7"/>
    <w:rsid w:val="00D879F0"/>
    <w:rsid w:val="00D87B1D"/>
    <w:rsid w:val="00D87D97"/>
    <w:rsid w:val="00D87D98"/>
    <w:rsid w:val="00D9006B"/>
    <w:rsid w:val="00D902E1"/>
    <w:rsid w:val="00D90C0F"/>
    <w:rsid w:val="00D90C62"/>
    <w:rsid w:val="00D914C6"/>
    <w:rsid w:val="00D92223"/>
    <w:rsid w:val="00D9257C"/>
    <w:rsid w:val="00D92593"/>
    <w:rsid w:val="00D927C2"/>
    <w:rsid w:val="00D92ECA"/>
    <w:rsid w:val="00D935B1"/>
    <w:rsid w:val="00D936FA"/>
    <w:rsid w:val="00D9396F"/>
    <w:rsid w:val="00D93E8F"/>
    <w:rsid w:val="00D94037"/>
    <w:rsid w:val="00D943EA"/>
    <w:rsid w:val="00D946AE"/>
    <w:rsid w:val="00D946D8"/>
    <w:rsid w:val="00D947F9"/>
    <w:rsid w:val="00D948D8"/>
    <w:rsid w:val="00D94BAC"/>
    <w:rsid w:val="00D94E51"/>
    <w:rsid w:val="00D9553E"/>
    <w:rsid w:val="00D95800"/>
    <w:rsid w:val="00D95868"/>
    <w:rsid w:val="00D9699F"/>
    <w:rsid w:val="00D973C0"/>
    <w:rsid w:val="00DA0091"/>
    <w:rsid w:val="00DA0381"/>
    <w:rsid w:val="00DA03F7"/>
    <w:rsid w:val="00DA05FE"/>
    <w:rsid w:val="00DA15F1"/>
    <w:rsid w:val="00DA1916"/>
    <w:rsid w:val="00DA220C"/>
    <w:rsid w:val="00DA241E"/>
    <w:rsid w:val="00DA285C"/>
    <w:rsid w:val="00DA292F"/>
    <w:rsid w:val="00DA2C2C"/>
    <w:rsid w:val="00DA2C7E"/>
    <w:rsid w:val="00DA31B0"/>
    <w:rsid w:val="00DA328E"/>
    <w:rsid w:val="00DA385D"/>
    <w:rsid w:val="00DA399F"/>
    <w:rsid w:val="00DA3A45"/>
    <w:rsid w:val="00DA4ECF"/>
    <w:rsid w:val="00DA4EDF"/>
    <w:rsid w:val="00DA51C0"/>
    <w:rsid w:val="00DA5410"/>
    <w:rsid w:val="00DA5492"/>
    <w:rsid w:val="00DA58C8"/>
    <w:rsid w:val="00DA5A8E"/>
    <w:rsid w:val="00DA6059"/>
    <w:rsid w:val="00DA637C"/>
    <w:rsid w:val="00DA65DB"/>
    <w:rsid w:val="00DA66FF"/>
    <w:rsid w:val="00DA697B"/>
    <w:rsid w:val="00DA71B7"/>
    <w:rsid w:val="00DA737E"/>
    <w:rsid w:val="00DA7412"/>
    <w:rsid w:val="00DA744A"/>
    <w:rsid w:val="00DA77AA"/>
    <w:rsid w:val="00DA79A2"/>
    <w:rsid w:val="00DB0DD3"/>
    <w:rsid w:val="00DB1047"/>
    <w:rsid w:val="00DB1854"/>
    <w:rsid w:val="00DB1B06"/>
    <w:rsid w:val="00DB1CB4"/>
    <w:rsid w:val="00DB1CD4"/>
    <w:rsid w:val="00DB1E55"/>
    <w:rsid w:val="00DB224D"/>
    <w:rsid w:val="00DB2951"/>
    <w:rsid w:val="00DB2BE9"/>
    <w:rsid w:val="00DB3912"/>
    <w:rsid w:val="00DB3A80"/>
    <w:rsid w:val="00DB3C49"/>
    <w:rsid w:val="00DB3E9C"/>
    <w:rsid w:val="00DB3F44"/>
    <w:rsid w:val="00DB3F76"/>
    <w:rsid w:val="00DB48FC"/>
    <w:rsid w:val="00DB49B6"/>
    <w:rsid w:val="00DB4BDA"/>
    <w:rsid w:val="00DB4C0F"/>
    <w:rsid w:val="00DB4DAC"/>
    <w:rsid w:val="00DB4FA1"/>
    <w:rsid w:val="00DB5119"/>
    <w:rsid w:val="00DB5C42"/>
    <w:rsid w:val="00DB5D98"/>
    <w:rsid w:val="00DB5DC6"/>
    <w:rsid w:val="00DB5EA1"/>
    <w:rsid w:val="00DB6110"/>
    <w:rsid w:val="00DB6246"/>
    <w:rsid w:val="00DB6628"/>
    <w:rsid w:val="00DB66FC"/>
    <w:rsid w:val="00DB67A4"/>
    <w:rsid w:val="00DB6BBA"/>
    <w:rsid w:val="00DB7460"/>
    <w:rsid w:val="00DB7A34"/>
    <w:rsid w:val="00DC0202"/>
    <w:rsid w:val="00DC0203"/>
    <w:rsid w:val="00DC0406"/>
    <w:rsid w:val="00DC1391"/>
    <w:rsid w:val="00DC151C"/>
    <w:rsid w:val="00DC15A2"/>
    <w:rsid w:val="00DC1BFC"/>
    <w:rsid w:val="00DC1E73"/>
    <w:rsid w:val="00DC1FC9"/>
    <w:rsid w:val="00DC2257"/>
    <w:rsid w:val="00DC2783"/>
    <w:rsid w:val="00DC28A5"/>
    <w:rsid w:val="00DC2DE4"/>
    <w:rsid w:val="00DC2EEC"/>
    <w:rsid w:val="00DC3078"/>
    <w:rsid w:val="00DC3A64"/>
    <w:rsid w:val="00DC3CF1"/>
    <w:rsid w:val="00DC3E4E"/>
    <w:rsid w:val="00DC4438"/>
    <w:rsid w:val="00DC5712"/>
    <w:rsid w:val="00DC59AC"/>
    <w:rsid w:val="00DC5AB7"/>
    <w:rsid w:val="00DC5E16"/>
    <w:rsid w:val="00DC63BD"/>
    <w:rsid w:val="00DC67D1"/>
    <w:rsid w:val="00DC6DE6"/>
    <w:rsid w:val="00DC71E6"/>
    <w:rsid w:val="00DC75EF"/>
    <w:rsid w:val="00DC7673"/>
    <w:rsid w:val="00DD03AE"/>
    <w:rsid w:val="00DD0448"/>
    <w:rsid w:val="00DD0C81"/>
    <w:rsid w:val="00DD20E7"/>
    <w:rsid w:val="00DD22DE"/>
    <w:rsid w:val="00DD24BA"/>
    <w:rsid w:val="00DD277B"/>
    <w:rsid w:val="00DD28DB"/>
    <w:rsid w:val="00DD2CE5"/>
    <w:rsid w:val="00DD2EF8"/>
    <w:rsid w:val="00DD3D67"/>
    <w:rsid w:val="00DD40EA"/>
    <w:rsid w:val="00DD4759"/>
    <w:rsid w:val="00DD4C69"/>
    <w:rsid w:val="00DD4E6F"/>
    <w:rsid w:val="00DD5270"/>
    <w:rsid w:val="00DD59AB"/>
    <w:rsid w:val="00DD5BE7"/>
    <w:rsid w:val="00DD67EC"/>
    <w:rsid w:val="00DD68DD"/>
    <w:rsid w:val="00DD6EA5"/>
    <w:rsid w:val="00DD73D9"/>
    <w:rsid w:val="00DD7534"/>
    <w:rsid w:val="00DD7583"/>
    <w:rsid w:val="00DD7A29"/>
    <w:rsid w:val="00DD7B7A"/>
    <w:rsid w:val="00DD7CC4"/>
    <w:rsid w:val="00DD7D08"/>
    <w:rsid w:val="00DE04A2"/>
    <w:rsid w:val="00DE0811"/>
    <w:rsid w:val="00DE1300"/>
    <w:rsid w:val="00DE195A"/>
    <w:rsid w:val="00DE19F3"/>
    <w:rsid w:val="00DE1E8D"/>
    <w:rsid w:val="00DE217E"/>
    <w:rsid w:val="00DE244D"/>
    <w:rsid w:val="00DE2670"/>
    <w:rsid w:val="00DE2876"/>
    <w:rsid w:val="00DE2BB6"/>
    <w:rsid w:val="00DE2BCB"/>
    <w:rsid w:val="00DE2ECC"/>
    <w:rsid w:val="00DE30FE"/>
    <w:rsid w:val="00DE3149"/>
    <w:rsid w:val="00DE3606"/>
    <w:rsid w:val="00DE3A16"/>
    <w:rsid w:val="00DE3CDD"/>
    <w:rsid w:val="00DE418E"/>
    <w:rsid w:val="00DE45EF"/>
    <w:rsid w:val="00DE481F"/>
    <w:rsid w:val="00DE5223"/>
    <w:rsid w:val="00DE57C9"/>
    <w:rsid w:val="00DE5E83"/>
    <w:rsid w:val="00DE6183"/>
    <w:rsid w:val="00DE62E4"/>
    <w:rsid w:val="00DE6389"/>
    <w:rsid w:val="00DE6611"/>
    <w:rsid w:val="00DE6963"/>
    <w:rsid w:val="00DE6E82"/>
    <w:rsid w:val="00DE6FF5"/>
    <w:rsid w:val="00DE7409"/>
    <w:rsid w:val="00DE7757"/>
    <w:rsid w:val="00DE7DA8"/>
    <w:rsid w:val="00DF038E"/>
    <w:rsid w:val="00DF03C9"/>
    <w:rsid w:val="00DF03E7"/>
    <w:rsid w:val="00DF0840"/>
    <w:rsid w:val="00DF126C"/>
    <w:rsid w:val="00DF178D"/>
    <w:rsid w:val="00DF1A74"/>
    <w:rsid w:val="00DF1BE1"/>
    <w:rsid w:val="00DF2759"/>
    <w:rsid w:val="00DF2B4F"/>
    <w:rsid w:val="00DF2B65"/>
    <w:rsid w:val="00DF33A6"/>
    <w:rsid w:val="00DF3725"/>
    <w:rsid w:val="00DF3BD6"/>
    <w:rsid w:val="00DF3EEA"/>
    <w:rsid w:val="00DF3F40"/>
    <w:rsid w:val="00DF4149"/>
    <w:rsid w:val="00DF4251"/>
    <w:rsid w:val="00DF43B2"/>
    <w:rsid w:val="00DF44BE"/>
    <w:rsid w:val="00DF47C9"/>
    <w:rsid w:val="00DF47D0"/>
    <w:rsid w:val="00DF4C2D"/>
    <w:rsid w:val="00DF546C"/>
    <w:rsid w:val="00DF56C6"/>
    <w:rsid w:val="00DF5A16"/>
    <w:rsid w:val="00DF5E18"/>
    <w:rsid w:val="00DF6796"/>
    <w:rsid w:val="00DF6C57"/>
    <w:rsid w:val="00DF6F98"/>
    <w:rsid w:val="00DF6FC2"/>
    <w:rsid w:val="00DF7A24"/>
    <w:rsid w:val="00DF7C2B"/>
    <w:rsid w:val="00DF7D29"/>
    <w:rsid w:val="00E003AC"/>
    <w:rsid w:val="00E00AA6"/>
    <w:rsid w:val="00E00B02"/>
    <w:rsid w:val="00E017E3"/>
    <w:rsid w:val="00E0193B"/>
    <w:rsid w:val="00E01B55"/>
    <w:rsid w:val="00E0204D"/>
    <w:rsid w:val="00E020D6"/>
    <w:rsid w:val="00E021D2"/>
    <w:rsid w:val="00E0244A"/>
    <w:rsid w:val="00E02450"/>
    <w:rsid w:val="00E02640"/>
    <w:rsid w:val="00E02944"/>
    <w:rsid w:val="00E03377"/>
    <w:rsid w:val="00E0354A"/>
    <w:rsid w:val="00E03602"/>
    <w:rsid w:val="00E0373C"/>
    <w:rsid w:val="00E03EFD"/>
    <w:rsid w:val="00E0426F"/>
    <w:rsid w:val="00E047E7"/>
    <w:rsid w:val="00E0488A"/>
    <w:rsid w:val="00E04B5A"/>
    <w:rsid w:val="00E04C53"/>
    <w:rsid w:val="00E04E18"/>
    <w:rsid w:val="00E0513B"/>
    <w:rsid w:val="00E05162"/>
    <w:rsid w:val="00E057FA"/>
    <w:rsid w:val="00E05968"/>
    <w:rsid w:val="00E05F9D"/>
    <w:rsid w:val="00E06131"/>
    <w:rsid w:val="00E06551"/>
    <w:rsid w:val="00E06981"/>
    <w:rsid w:val="00E06E8B"/>
    <w:rsid w:val="00E075A7"/>
    <w:rsid w:val="00E0765A"/>
    <w:rsid w:val="00E07D44"/>
    <w:rsid w:val="00E10132"/>
    <w:rsid w:val="00E10322"/>
    <w:rsid w:val="00E1040C"/>
    <w:rsid w:val="00E10FEF"/>
    <w:rsid w:val="00E11002"/>
    <w:rsid w:val="00E11A42"/>
    <w:rsid w:val="00E124A2"/>
    <w:rsid w:val="00E12665"/>
    <w:rsid w:val="00E1269E"/>
    <w:rsid w:val="00E12D81"/>
    <w:rsid w:val="00E13004"/>
    <w:rsid w:val="00E13B20"/>
    <w:rsid w:val="00E14143"/>
    <w:rsid w:val="00E152CA"/>
    <w:rsid w:val="00E1599D"/>
    <w:rsid w:val="00E16207"/>
    <w:rsid w:val="00E1660B"/>
    <w:rsid w:val="00E16A0B"/>
    <w:rsid w:val="00E16E1E"/>
    <w:rsid w:val="00E16EFF"/>
    <w:rsid w:val="00E17168"/>
    <w:rsid w:val="00E17778"/>
    <w:rsid w:val="00E178AF"/>
    <w:rsid w:val="00E2006B"/>
    <w:rsid w:val="00E2044F"/>
    <w:rsid w:val="00E21286"/>
    <w:rsid w:val="00E21311"/>
    <w:rsid w:val="00E2180E"/>
    <w:rsid w:val="00E21888"/>
    <w:rsid w:val="00E2199E"/>
    <w:rsid w:val="00E21A55"/>
    <w:rsid w:val="00E21B25"/>
    <w:rsid w:val="00E21CFD"/>
    <w:rsid w:val="00E2207D"/>
    <w:rsid w:val="00E22379"/>
    <w:rsid w:val="00E223BD"/>
    <w:rsid w:val="00E225B1"/>
    <w:rsid w:val="00E22C30"/>
    <w:rsid w:val="00E2361B"/>
    <w:rsid w:val="00E23A14"/>
    <w:rsid w:val="00E23CEB"/>
    <w:rsid w:val="00E241C6"/>
    <w:rsid w:val="00E244B3"/>
    <w:rsid w:val="00E24DE3"/>
    <w:rsid w:val="00E250BF"/>
    <w:rsid w:val="00E26383"/>
    <w:rsid w:val="00E267EB"/>
    <w:rsid w:val="00E268B0"/>
    <w:rsid w:val="00E268DD"/>
    <w:rsid w:val="00E268E1"/>
    <w:rsid w:val="00E269FB"/>
    <w:rsid w:val="00E26B02"/>
    <w:rsid w:val="00E26BAE"/>
    <w:rsid w:val="00E2771B"/>
    <w:rsid w:val="00E27E89"/>
    <w:rsid w:val="00E30577"/>
    <w:rsid w:val="00E305E6"/>
    <w:rsid w:val="00E305E7"/>
    <w:rsid w:val="00E30955"/>
    <w:rsid w:val="00E31553"/>
    <w:rsid w:val="00E315DC"/>
    <w:rsid w:val="00E3172D"/>
    <w:rsid w:val="00E31B20"/>
    <w:rsid w:val="00E31E58"/>
    <w:rsid w:val="00E32771"/>
    <w:rsid w:val="00E327B9"/>
    <w:rsid w:val="00E327E4"/>
    <w:rsid w:val="00E32948"/>
    <w:rsid w:val="00E32A1B"/>
    <w:rsid w:val="00E32D21"/>
    <w:rsid w:val="00E32D68"/>
    <w:rsid w:val="00E32DFC"/>
    <w:rsid w:val="00E32E7F"/>
    <w:rsid w:val="00E33143"/>
    <w:rsid w:val="00E33669"/>
    <w:rsid w:val="00E33FCB"/>
    <w:rsid w:val="00E3420D"/>
    <w:rsid w:val="00E345DE"/>
    <w:rsid w:val="00E34BD1"/>
    <w:rsid w:val="00E34C48"/>
    <w:rsid w:val="00E353FA"/>
    <w:rsid w:val="00E3553D"/>
    <w:rsid w:val="00E357FF"/>
    <w:rsid w:val="00E35A33"/>
    <w:rsid w:val="00E35AC9"/>
    <w:rsid w:val="00E36239"/>
    <w:rsid w:val="00E363C6"/>
    <w:rsid w:val="00E364D5"/>
    <w:rsid w:val="00E36809"/>
    <w:rsid w:val="00E36E5C"/>
    <w:rsid w:val="00E36FAC"/>
    <w:rsid w:val="00E36FF4"/>
    <w:rsid w:val="00E372C6"/>
    <w:rsid w:val="00E37B56"/>
    <w:rsid w:val="00E37BAD"/>
    <w:rsid w:val="00E37BC0"/>
    <w:rsid w:val="00E4025E"/>
    <w:rsid w:val="00E40265"/>
    <w:rsid w:val="00E405B3"/>
    <w:rsid w:val="00E40691"/>
    <w:rsid w:val="00E41CD3"/>
    <w:rsid w:val="00E41D9A"/>
    <w:rsid w:val="00E41EC4"/>
    <w:rsid w:val="00E423CA"/>
    <w:rsid w:val="00E42A28"/>
    <w:rsid w:val="00E432E1"/>
    <w:rsid w:val="00E434AB"/>
    <w:rsid w:val="00E4358D"/>
    <w:rsid w:val="00E44047"/>
    <w:rsid w:val="00E44084"/>
    <w:rsid w:val="00E4431C"/>
    <w:rsid w:val="00E44DB4"/>
    <w:rsid w:val="00E44EED"/>
    <w:rsid w:val="00E450FA"/>
    <w:rsid w:val="00E45173"/>
    <w:rsid w:val="00E45F09"/>
    <w:rsid w:val="00E463C2"/>
    <w:rsid w:val="00E463E9"/>
    <w:rsid w:val="00E469DA"/>
    <w:rsid w:val="00E4769B"/>
    <w:rsid w:val="00E47AD5"/>
    <w:rsid w:val="00E47B60"/>
    <w:rsid w:val="00E47FEA"/>
    <w:rsid w:val="00E50059"/>
    <w:rsid w:val="00E503C7"/>
    <w:rsid w:val="00E50667"/>
    <w:rsid w:val="00E50905"/>
    <w:rsid w:val="00E50E37"/>
    <w:rsid w:val="00E50E9A"/>
    <w:rsid w:val="00E50FCA"/>
    <w:rsid w:val="00E51BA4"/>
    <w:rsid w:val="00E51C95"/>
    <w:rsid w:val="00E52A17"/>
    <w:rsid w:val="00E52C4D"/>
    <w:rsid w:val="00E52C5A"/>
    <w:rsid w:val="00E52F75"/>
    <w:rsid w:val="00E5356A"/>
    <w:rsid w:val="00E53901"/>
    <w:rsid w:val="00E53CDA"/>
    <w:rsid w:val="00E53D56"/>
    <w:rsid w:val="00E54134"/>
    <w:rsid w:val="00E543C7"/>
    <w:rsid w:val="00E54B3A"/>
    <w:rsid w:val="00E553BB"/>
    <w:rsid w:val="00E554D2"/>
    <w:rsid w:val="00E555A7"/>
    <w:rsid w:val="00E5598A"/>
    <w:rsid w:val="00E55C34"/>
    <w:rsid w:val="00E571BF"/>
    <w:rsid w:val="00E57268"/>
    <w:rsid w:val="00E57978"/>
    <w:rsid w:val="00E57B37"/>
    <w:rsid w:val="00E57C5E"/>
    <w:rsid w:val="00E57C9A"/>
    <w:rsid w:val="00E6066F"/>
    <w:rsid w:val="00E606CC"/>
    <w:rsid w:val="00E60759"/>
    <w:rsid w:val="00E60763"/>
    <w:rsid w:val="00E60AAE"/>
    <w:rsid w:val="00E615AE"/>
    <w:rsid w:val="00E61B55"/>
    <w:rsid w:val="00E61C2C"/>
    <w:rsid w:val="00E62327"/>
    <w:rsid w:val="00E625BB"/>
    <w:rsid w:val="00E62AF8"/>
    <w:rsid w:val="00E62F9B"/>
    <w:rsid w:val="00E63679"/>
    <w:rsid w:val="00E63B53"/>
    <w:rsid w:val="00E63C66"/>
    <w:rsid w:val="00E63ED0"/>
    <w:rsid w:val="00E642B7"/>
    <w:rsid w:val="00E645D3"/>
    <w:rsid w:val="00E646F5"/>
    <w:rsid w:val="00E647A2"/>
    <w:rsid w:val="00E647E4"/>
    <w:rsid w:val="00E64A91"/>
    <w:rsid w:val="00E64D75"/>
    <w:rsid w:val="00E64E83"/>
    <w:rsid w:val="00E6585D"/>
    <w:rsid w:val="00E65B09"/>
    <w:rsid w:val="00E66098"/>
    <w:rsid w:val="00E664DF"/>
    <w:rsid w:val="00E664FA"/>
    <w:rsid w:val="00E666D6"/>
    <w:rsid w:val="00E66B6C"/>
    <w:rsid w:val="00E66BE1"/>
    <w:rsid w:val="00E66C44"/>
    <w:rsid w:val="00E674C4"/>
    <w:rsid w:val="00E67516"/>
    <w:rsid w:val="00E67719"/>
    <w:rsid w:val="00E67AB9"/>
    <w:rsid w:val="00E67D25"/>
    <w:rsid w:val="00E67F9E"/>
    <w:rsid w:val="00E701E4"/>
    <w:rsid w:val="00E70534"/>
    <w:rsid w:val="00E70B59"/>
    <w:rsid w:val="00E70B8C"/>
    <w:rsid w:val="00E70C0E"/>
    <w:rsid w:val="00E713A6"/>
    <w:rsid w:val="00E716F7"/>
    <w:rsid w:val="00E719C9"/>
    <w:rsid w:val="00E71D7E"/>
    <w:rsid w:val="00E7210F"/>
    <w:rsid w:val="00E72172"/>
    <w:rsid w:val="00E72207"/>
    <w:rsid w:val="00E7236C"/>
    <w:rsid w:val="00E72F27"/>
    <w:rsid w:val="00E739D2"/>
    <w:rsid w:val="00E73C76"/>
    <w:rsid w:val="00E7437D"/>
    <w:rsid w:val="00E75118"/>
    <w:rsid w:val="00E75474"/>
    <w:rsid w:val="00E7550D"/>
    <w:rsid w:val="00E75BAA"/>
    <w:rsid w:val="00E75C09"/>
    <w:rsid w:val="00E76654"/>
    <w:rsid w:val="00E767F3"/>
    <w:rsid w:val="00E768D0"/>
    <w:rsid w:val="00E76DD9"/>
    <w:rsid w:val="00E76E92"/>
    <w:rsid w:val="00E77121"/>
    <w:rsid w:val="00E77190"/>
    <w:rsid w:val="00E772D9"/>
    <w:rsid w:val="00E77508"/>
    <w:rsid w:val="00E77622"/>
    <w:rsid w:val="00E8022D"/>
    <w:rsid w:val="00E8036F"/>
    <w:rsid w:val="00E80525"/>
    <w:rsid w:val="00E8079D"/>
    <w:rsid w:val="00E80960"/>
    <w:rsid w:val="00E80B57"/>
    <w:rsid w:val="00E80FDF"/>
    <w:rsid w:val="00E815E0"/>
    <w:rsid w:val="00E816A7"/>
    <w:rsid w:val="00E81A8E"/>
    <w:rsid w:val="00E81B15"/>
    <w:rsid w:val="00E81DDC"/>
    <w:rsid w:val="00E81DF0"/>
    <w:rsid w:val="00E8217F"/>
    <w:rsid w:val="00E824B9"/>
    <w:rsid w:val="00E82807"/>
    <w:rsid w:val="00E8280B"/>
    <w:rsid w:val="00E82CDE"/>
    <w:rsid w:val="00E82ECE"/>
    <w:rsid w:val="00E83213"/>
    <w:rsid w:val="00E8322E"/>
    <w:rsid w:val="00E8343A"/>
    <w:rsid w:val="00E837A8"/>
    <w:rsid w:val="00E8395E"/>
    <w:rsid w:val="00E83CE9"/>
    <w:rsid w:val="00E83EDA"/>
    <w:rsid w:val="00E83F3A"/>
    <w:rsid w:val="00E84620"/>
    <w:rsid w:val="00E84874"/>
    <w:rsid w:val="00E849E6"/>
    <w:rsid w:val="00E84F63"/>
    <w:rsid w:val="00E85250"/>
    <w:rsid w:val="00E8532C"/>
    <w:rsid w:val="00E8560F"/>
    <w:rsid w:val="00E85756"/>
    <w:rsid w:val="00E85787"/>
    <w:rsid w:val="00E8584C"/>
    <w:rsid w:val="00E85EAA"/>
    <w:rsid w:val="00E860F7"/>
    <w:rsid w:val="00E86824"/>
    <w:rsid w:val="00E869A4"/>
    <w:rsid w:val="00E86ADB"/>
    <w:rsid w:val="00E86DF0"/>
    <w:rsid w:val="00E86E44"/>
    <w:rsid w:val="00E87115"/>
    <w:rsid w:val="00E871F6"/>
    <w:rsid w:val="00E8775C"/>
    <w:rsid w:val="00E87D13"/>
    <w:rsid w:val="00E87D42"/>
    <w:rsid w:val="00E87E29"/>
    <w:rsid w:val="00E9017C"/>
    <w:rsid w:val="00E904A4"/>
    <w:rsid w:val="00E90D5E"/>
    <w:rsid w:val="00E90DC8"/>
    <w:rsid w:val="00E911C9"/>
    <w:rsid w:val="00E911FD"/>
    <w:rsid w:val="00E912A7"/>
    <w:rsid w:val="00E915CC"/>
    <w:rsid w:val="00E9175F"/>
    <w:rsid w:val="00E91D99"/>
    <w:rsid w:val="00E92043"/>
    <w:rsid w:val="00E92711"/>
    <w:rsid w:val="00E92B54"/>
    <w:rsid w:val="00E92BD4"/>
    <w:rsid w:val="00E92D25"/>
    <w:rsid w:val="00E93410"/>
    <w:rsid w:val="00E939B3"/>
    <w:rsid w:val="00E93B15"/>
    <w:rsid w:val="00E94972"/>
    <w:rsid w:val="00E94A6D"/>
    <w:rsid w:val="00E94F1A"/>
    <w:rsid w:val="00E953A3"/>
    <w:rsid w:val="00E95430"/>
    <w:rsid w:val="00E9547C"/>
    <w:rsid w:val="00E9579F"/>
    <w:rsid w:val="00E9609A"/>
    <w:rsid w:val="00E96D83"/>
    <w:rsid w:val="00EA009F"/>
    <w:rsid w:val="00EA027A"/>
    <w:rsid w:val="00EA0561"/>
    <w:rsid w:val="00EA0B69"/>
    <w:rsid w:val="00EA1744"/>
    <w:rsid w:val="00EA18AF"/>
    <w:rsid w:val="00EA1A6E"/>
    <w:rsid w:val="00EA1CD7"/>
    <w:rsid w:val="00EA1D90"/>
    <w:rsid w:val="00EA1E93"/>
    <w:rsid w:val="00EA2196"/>
    <w:rsid w:val="00EA2A42"/>
    <w:rsid w:val="00EA2DA2"/>
    <w:rsid w:val="00EA2EE2"/>
    <w:rsid w:val="00EA360B"/>
    <w:rsid w:val="00EA365A"/>
    <w:rsid w:val="00EA42F9"/>
    <w:rsid w:val="00EA432A"/>
    <w:rsid w:val="00EA4B75"/>
    <w:rsid w:val="00EA525A"/>
    <w:rsid w:val="00EA5732"/>
    <w:rsid w:val="00EA5804"/>
    <w:rsid w:val="00EA5C8B"/>
    <w:rsid w:val="00EA6437"/>
    <w:rsid w:val="00EA6476"/>
    <w:rsid w:val="00EA66D1"/>
    <w:rsid w:val="00EA6741"/>
    <w:rsid w:val="00EA69F2"/>
    <w:rsid w:val="00EA6A85"/>
    <w:rsid w:val="00EA6B4C"/>
    <w:rsid w:val="00EA7108"/>
    <w:rsid w:val="00EA7977"/>
    <w:rsid w:val="00EA7AD1"/>
    <w:rsid w:val="00EB003F"/>
    <w:rsid w:val="00EB0D3A"/>
    <w:rsid w:val="00EB1885"/>
    <w:rsid w:val="00EB19CD"/>
    <w:rsid w:val="00EB1CC8"/>
    <w:rsid w:val="00EB1DEA"/>
    <w:rsid w:val="00EB1E15"/>
    <w:rsid w:val="00EB2043"/>
    <w:rsid w:val="00EB240E"/>
    <w:rsid w:val="00EB2AAA"/>
    <w:rsid w:val="00EB2DF0"/>
    <w:rsid w:val="00EB3113"/>
    <w:rsid w:val="00EB32D0"/>
    <w:rsid w:val="00EB37A2"/>
    <w:rsid w:val="00EB4170"/>
    <w:rsid w:val="00EB4D37"/>
    <w:rsid w:val="00EB564A"/>
    <w:rsid w:val="00EB57A0"/>
    <w:rsid w:val="00EB5C14"/>
    <w:rsid w:val="00EB5E71"/>
    <w:rsid w:val="00EB6002"/>
    <w:rsid w:val="00EB60A4"/>
    <w:rsid w:val="00EB62A7"/>
    <w:rsid w:val="00EB62EC"/>
    <w:rsid w:val="00EB632C"/>
    <w:rsid w:val="00EB68A4"/>
    <w:rsid w:val="00EB6A33"/>
    <w:rsid w:val="00EB6D7A"/>
    <w:rsid w:val="00EB702D"/>
    <w:rsid w:val="00EB70E0"/>
    <w:rsid w:val="00EB7477"/>
    <w:rsid w:val="00EB755A"/>
    <w:rsid w:val="00EB76A2"/>
    <w:rsid w:val="00EB7709"/>
    <w:rsid w:val="00EB7B51"/>
    <w:rsid w:val="00EB7BA4"/>
    <w:rsid w:val="00EB7D9C"/>
    <w:rsid w:val="00EB7E97"/>
    <w:rsid w:val="00EC04B7"/>
    <w:rsid w:val="00EC158F"/>
    <w:rsid w:val="00EC195B"/>
    <w:rsid w:val="00EC1E0E"/>
    <w:rsid w:val="00EC206C"/>
    <w:rsid w:val="00EC22A8"/>
    <w:rsid w:val="00EC24A4"/>
    <w:rsid w:val="00EC24D3"/>
    <w:rsid w:val="00EC2573"/>
    <w:rsid w:val="00EC2AD7"/>
    <w:rsid w:val="00EC32CB"/>
    <w:rsid w:val="00EC32DA"/>
    <w:rsid w:val="00EC3786"/>
    <w:rsid w:val="00EC3949"/>
    <w:rsid w:val="00EC399B"/>
    <w:rsid w:val="00EC3A3D"/>
    <w:rsid w:val="00EC3CCE"/>
    <w:rsid w:val="00EC3E29"/>
    <w:rsid w:val="00EC40ED"/>
    <w:rsid w:val="00EC4140"/>
    <w:rsid w:val="00EC424E"/>
    <w:rsid w:val="00EC4467"/>
    <w:rsid w:val="00EC4A17"/>
    <w:rsid w:val="00EC4C35"/>
    <w:rsid w:val="00EC4DD7"/>
    <w:rsid w:val="00EC52F4"/>
    <w:rsid w:val="00EC5946"/>
    <w:rsid w:val="00EC629B"/>
    <w:rsid w:val="00EC6378"/>
    <w:rsid w:val="00EC6680"/>
    <w:rsid w:val="00EC66AA"/>
    <w:rsid w:val="00EC6E92"/>
    <w:rsid w:val="00EC707C"/>
    <w:rsid w:val="00EC72A8"/>
    <w:rsid w:val="00EC7381"/>
    <w:rsid w:val="00EC73B1"/>
    <w:rsid w:val="00EC7455"/>
    <w:rsid w:val="00EC79C8"/>
    <w:rsid w:val="00EC7D6E"/>
    <w:rsid w:val="00ED0788"/>
    <w:rsid w:val="00ED150E"/>
    <w:rsid w:val="00ED1518"/>
    <w:rsid w:val="00ED18AE"/>
    <w:rsid w:val="00ED2075"/>
    <w:rsid w:val="00ED214B"/>
    <w:rsid w:val="00ED295B"/>
    <w:rsid w:val="00ED29C1"/>
    <w:rsid w:val="00ED2D7A"/>
    <w:rsid w:val="00ED2FD1"/>
    <w:rsid w:val="00ED300E"/>
    <w:rsid w:val="00ED31C8"/>
    <w:rsid w:val="00ED3514"/>
    <w:rsid w:val="00ED4519"/>
    <w:rsid w:val="00ED4860"/>
    <w:rsid w:val="00ED4B05"/>
    <w:rsid w:val="00ED4BF7"/>
    <w:rsid w:val="00ED4C40"/>
    <w:rsid w:val="00ED5025"/>
    <w:rsid w:val="00ED5123"/>
    <w:rsid w:val="00ED542E"/>
    <w:rsid w:val="00ED5722"/>
    <w:rsid w:val="00ED5976"/>
    <w:rsid w:val="00ED619C"/>
    <w:rsid w:val="00ED63E8"/>
    <w:rsid w:val="00ED6513"/>
    <w:rsid w:val="00ED696E"/>
    <w:rsid w:val="00ED6D4C"/>
    <w:rsid w:val="00ED6EFE"/>
    <w:rsid w:val="00ED70C0"/>
    <w:rsid w:val="00ED73BC"/>
    <w:rsid w:val="00EE0076"/>
    <w:rsid w:val="00EE026D"/>
    <w:rsid w:val="00EE122D"/>
    <w:rsid w:val="00EE126C"/>
    <w:rsid w:val="00EE12DE"/>
    <w:rsid w:val="00EE1317"/>
    <w:rsid w:val="00EE1532"/>
    <w:rsid w:val="00EE19C1"/>
    <w:rsid w:val="00EE1E65"/>
    <w:rsid w:val="00EE1ED7"/>
    <w:rsid w:val="00EE1EE1"/>
    <w:rsid w:val="00EE293D"/>
    <w:rsid w:val="00EE2AF7"/>
    <w:rsid w:val="00EE2C32"/>
    <w:rsid w:val="00EE2DB0"/>
    <w:rsid w:val="00EE3594"/>
    <w:rsid w:val="00EE40EF"/>
    <w:rsid w:val="00EE49FE"/>
    <w:rsid w:val="00EE4C9B"/>
    <w:rsid w:val="00EE4F7D"/>
    <w:rsid w:val="00EE4F9E"/>
    <w:rsid w:val="00EE4FA1"/>
    <w:rsid w:val="00EE4FCA"/>
    <w:rsid w:val="00EE5969"/>
    <w:rsid w:val="00EE618E"/>
    <w:rsid w:val="00EE62DC"/>
    <w:rsid w:val="00EE6757"/>
    <w:rsid w:val="00EE75B1"/>
    <w:rsid w:val="00EE76E7"/>
    <w:rsid w:val="00EE79AD"/>
    <w:rsid w:val="00EF06BD"/>
    <w:rsid w:val="00EF1480"/>
    <w:rsid w:val="00EF1719"/>
    <w:rsid w:val="00EF193A"/>
    <w:rsid w:val="00EF1B15"/>
    <w:rsid w:val="00EF1EBA"/>
    <w:rsid w:val="00EF1FD9"/>
    <w:rsid w:val="00EF2603"/>
    <w:rsid w:val="00EF2AF5"/>
    <w:rsid w:val="00EF2B8D"/>
    <w:rsid w:val="00EF2DD5"/>
    <w:rsid w:val="00EF2FE7"/>
    <w:rsid w:val="00EF322A"/>
    <w:rsid w:val="00EF3B90"/>
    <w:rsid w:val="00EF4103"/>
    <w:rsid w:val="00EF429D"/>
    <w:rsid w:val="00EF42D1"/>
    <w:rsid w:val="00EF449C"/>
    <w:rsid w:val="00EF4F2D"/>
    <w:rsid w:val="00EF4F41"/>
    <w:rsid w:val="00EF5410"/>
    <w:rsid w:val="00EF57D2"/>
    <w:rsid w:val="00EF5F7B"/>
    <w:rsid w:val="00EF5F8E"/>
    <w:rsid w:val="00EF6326"/>
    <w:rsid w:val="00EF6A31"/>
    <w:rsid w:val="00EF6B50"/>
    <w:rsid w:val="00EF6FC9"/>
    <w:rsid w:val="00EF75CF"/>
    <w:rsid w:val="00EF7E80"/>
    <w:rsid w:val="00F00078"/>
    <w:rsid w:val="00F00294"/>
    <w:rsid w:val="00F00736"/>
    <w:rsid w:val="00F00EAD"/>
    <w:rsid w:val="00F010FF"/>
    <w:rsid w:val="00F01858"/>
    <w:rsid w:val="00F018AE"/>
    <w:rsid w:val="00F018E9"/>
    <w:rsid w:val="00F020D0"/>
    <w:rsid w:val="00F02314"/>
    <w:rsid w:val="00F028A6"/>
    <w:rsid w:val="00F02B44"/>
    <w:rsid w:val="00F035BA"/>
    <w:rsid w:val="00F03775"/>
    <w:rsid w:val="00F0437F"/>
    <w:rsid w:val="00F04553"/>
    <w:rsid w:val="00F04A72"/>
    <w:rsid w:val="00F04AA4"/>
    <w:rsid w:val="00F04CAA"/>
    <w:rsid w:val="00F04F6D"/>
    <w:rsid w:val="00F05152"/>
    <w:rsid w:val="00F05999"/>
    <w:rsid w:val="00F06117"/>
    <w:rsid w:val="00F0629A"/>
    <w:rsid w:val="00F079B4"/>
    <w:rsid w:val="00F07D74"/>
    <w:rsid w:val="00F107F6"/>
    <w:rsid w:val="00F109BE"/>
    <w:rsid w:val="00F11040"/>
    <w:rsid w:val="00F11323"/>
    <w:rsid w:val="00F11823"/>
    <w:rsid w:val="00F11F72"/>
    <w:rsid w:val="00F123DF"/>
    <w:rsid w:val="00F12968"/>
    <w:rsid w:val="00F12978"/>
    <w:rsid w:val="00F12994"/>
    <w:rsid w:val="00F12F33"/>
    <w:rsid w:val="00F12FB8"/>
    <w:rsid w:val="00F138AD"/>
    <w:rsid w:val="00F1415E"/>
    <w:rsid w:val="00F143B8"/>
    <w:rsid w:val="00F14408"/>
    <w:rsid w:val="00F14619"/>
    <w:rsid w:val="00F1474B"/>
    <w:rsid w:val="00F14EC6"/>
    <w:rsid w:val="00F14F9A"/>
    <w:rsid w:val="00F167C9"/>
    <w:rsid w:val="00F17748"/>
    <w:rsid w:val="00F1794C"/>
    <w:rsid w:val="00F17AB6"/>
    <w:rsid w:val="00F17E66"/>
    <w:rsid w:val="00F206F8"/>
    <w:rsid w:val="00F20C44"/>
    <w:rsid w:val="00F2185E"/>
    <w:rsid w:val="00F21944"/>
    <w:rsid w:val="00F22BE4"/>
    <w:rsid w:val="00F2324E"/>
    <w:rsid w:val="00F23578"/>
    <w:rsid w:val="00F23801"/>
    <w:rsid w:val="00F238E0"/>
    <w:rsid w:val="00F23AA8"/>
    <w:rsid w:val="00F24780"/>
    <w:rsid w:val="00F249CC"/>
    <w:rsid w:val="00F24FEC"/>
    <w:rsid w:val="00F25E7C"/>
    <w:rsid w:val="00F268C8"/>
    <w:rsid w:val="00F26BD4"/>
    <w:rsid w:val="00F2791B"/>
    <w:rsid w:val="00F27C14"/>
    <w:rsid w:val="00F27C6A"/>
    <w:rsid w:val="00F27FB3"/>
    <w:rsid w:val="00F308E7"/>
    <w:rsid w:val="00F30B07"/>
    <w:rsid w:val="00F30B1C"/>
    <w:rsid w:val="00F30C4F"/>
    <w:rsid w:val="00F315DC"/>
    <w:rsid w:val="00F315F5"/>
    <w:rsid w:val="00F31CD8"/>
    <w:rsid w:val="00F31CFF"/>
    <w:rsid w:val="00F3236C"/>
    <w:rsid w:val="00F32443"/>
    <w:rsid w:val="00F327EE"/>
    <w:rsid w:val="00F32F0F"/>
    <w:rsid w:val="00F33A6A"/>
    <w:rsid w:val="00F33B16"/>
    <w:rsid w:val="00F3403C"/>
    <w:rsid w:val="00F34654"/>
    <w:rsid w:val="00F34AA4"/>
    <w:rsid w:val="00F34B27"/>
    <w:rsid w:val="00F34FF1"/>
    <w:rsid w:val="00F3517D"/>
    <w:rsid w:val="00F35282"/>
    <w:rsid w:val="00F3586C"/>
    <w:rsid w:val="00F359CF"/>
    <w:rsid w:val="00F35EF1"/>
    <w:rsid w:val="00F371A3"/>
    <w:rsid w:val="00F3744C"/>
    <w:rsid w:val="00F37A32"/>
    <w:rsid w:val="00F37D02"/>
    <w:rsid w:val="00F4072F"/>
    <w:rsid w:val="00F40C32"/>
    <w:rsid w:val="00F40FBB"/>
    <w:rsid w:val="00F41193"/>
    <w:rsid w:val="00F415E6"/>
    <w:rsid w:val="00F41D94"/>
    <w:rsid w:val="00F42731"/>
    <w:rsid w:val="00F429B1"/>
    <w:rsid w:val="00F42C66"/>
    <w:rsid w:val="00F43271"/>
    <w:rsid w:val="00F4348E"/>
    <w:rsid w:val="00F440A3"/>
    <w:rsid w:val="00F442D5"/>
    <w:rsid w:val="00F44782"/>
    <w:rsid w:val="00F44A4E"/>
    <w:rsid w:val="00F44B6A"/>
    <w:rsid w:val="00F44B9F"/>
    <w:rsid w:val="00F44E32"/>
    <w:rsid w:val="00F4523E"/>
    <w:rsid w:val="00F454E9"/>
    <w:rsid w:val="00F46153"/>
    <w:rsid w:val="00F461CC"/>
    <w:rsid w:val="00F46226"/>
    <w:rsid w:val="00F46C24"/>
    <w:rsid w:val="00F46DE1"/>
    <w:rsid w:val="00F47775"/>
    <w:rsid w:val="00F47855"/>
    <w:rsid w:val="00F502FD"/>
    <w:rsid w:val="00F50418"/>
    <w:rsid w:val="00F50968"/>
    <w:rsid w:val="00F50C58"/>
    <w:rsid w:val="00F50E43"/>
    <w:rsid w:val="00F512AC"/>
    <w:rsid w:val="00F5163C"/>
    <w:rsid w:val="00F51A14"/>
    <w:rsid w:val="00F51B2A"/>
    <w:rsid w:val="00F52514"/>
    <w:rsid w:val="00F52799"/>
    <w:rsid w:val="00F528B6"/>
    <w:rsid w:val="00F5292A"/>
    <w:rsid w:val="00F52C1B"/>
    <w:rsid w:val="00F52C9D"/>
    <w:rsid w:val="00F53021"/>
    <w:rsid w:val="00F53570"/>
    <w:rsid w:val="00F53EB5"/>
    <w:rsid w:val="00F540BB"/>
    <w:rsid w:val="00F5422E"/>
    <w:rsid w:val="00F54607"/>
    <w:rsid w:val="00F551B0"/>
    <w:rsid w:val="00F552AC"/>
    <w:rsid w:val="00F556D3"/>
    <w:rsid w:val="00F55939"/>
    <w:rsid w:val="00F563BD"/>
    <w:rsid w:val="00F56BBD"/>
    <w:rsid w:val="00F56C44"/>
    <w:rsid w:val="00F573B9"/>
    <w:rsid w:val="00F5769C"/>
    <w:rsid w:val="00F579EB"/>
    <w:rsid w:val="00F600A8"/>
    <w:rsid w:val="00F601CB"/>
    <w:rsid w:val="00F60538"/>
    <w:rsid w:val="00F60E6D"/>
    <w:rsid w:val="00F60E86"/>
    <w:rsid w:val="00F61193"/>
    <w:rsid w:val="00F61AB5"/>
    <w:rsid w:val="00F62413"/>
    <w:rsid w:val="00F627CE"/>
    <w:rsid w:val="00F62840"/>
    <w:rsid w:val="00F62C2D"/>
    <w:rsid w:val="00F62FB5"/>
    <w:rsid w:val="00F630F1"/>
    <w:rsid w:val="00F6325B"/>
    <w:rsid w:val="00F633BA"/>
    <w:rsid w:val="00F635B9"/>
    <w:rsid w:val="00F635E4"/>
    <w:rsid w:val="00F63A8A"/>
    <w:rsid w:val="00F63AD8"/>
    <w:rsid w:val="00F63BD3"/>
    <w:rsid w:val="00F645D5"/>
    <w:rsid w:val="00F6473E"/>
    <w:rsid w:val="00F64D7C"/>
    <w:rsid w:val="00F650BD"/>
    <w:rsid w:val="00F653EB"/>
    <w:rsid w:val="00F6542D"/>
    <w:rsid w:val="00F654A1"/>
    <w:rsid w:val="00F6558C"/>
    <w:rsid w:val="00F655DA"/>
    <w:rsid w:val="00F65C8E"/>
    <w:rsid w:val="00F662BC"/>
    <w:rsid w:val="00F66D23"/>
    <w:rsid w:val="00F6751C"/>
    <w:rsid w:val="00F67AC9"/>
    <w:rsid w:val="00F67E64"/>
    <w:rsid w:val="00F67EA9"/>
    <w:rsid w:val="00F7001E"/>
    <w:rsid w:val="00F709E7"/>
    <w:rsid w:val="00F7122B"/>
    <w:rsid w:val="00F71DF5"/>
    <w:rsid w:val="00F7259C"/>
    <w:rsid w:val="00F727D4"/>
    <w:rsid w:val="00F7340F"/>
    <w:rsid w:val="00F73553"/>
    <w:rsid w:val="00F73E50"/>
    <w:rsid w:val="00F7460C"/>
    <w:rsid w:val="00F74800"/>
    <w:rsid w:val="00F74CC5"/>
    <w:rsid w:val="00F75167"/>
    <w:rsid w:val="00F7518C"/>
    <w:rsid w:val="00F75448"/>
    <w:rsid w:val="00F75BBB"/>
    <w:rsid w:val="00F760A1"/>
    <w:rsid w:val="00F76454"/>
    <w:rsid w:val="00F76B9B"/>
    <w:rsid w:val="00F7715C"/>
    <w:rsid w:val="00F77C1C"/>
    <w:rsid w:val="00F77CAD"/>
    <w:rsid w:val="00F80296"/>
    <w:rsid w:val="00F80D60"/>
    <w:rsid w:val="00F80EFC"/>
    <w:rsid w:val="00F81394"/>
    <w:rsid w:val="00F8150C"/>
    <w:rsid w:val="00F815B3"/>
    <w:rsid w:val="00F817A1"/>
    <w:rsid w:val="00F819E6"/>
    <w:rsid w:val="00F81EDD"/>
    <w:rsid w:val="00F81FC3"/>
    <w:rsid w:val="00F824C8"/>
    <w:rsid w:val="00F824F4"/>
    <w:rsid w:val="00F825D4"/>
    <w:rsid w:val="00F825F9"/>
    <w:rsid w:val="00F82B9B"/>
    <w:rsid w:val="00F82E06"/>
    <w:rsid w:val="00F82F00"/>
    <w:rsid w:val="00F8323F"/>
    <w:rsid w:val="00F8383A"/>
    <w:rsid w:val="00F8412B"/>
    <w:rsid w:val="00F84966"/>
    <w:rsid w:val="00F85C03"/>
    <w:rsid w:val="00F85FFE"/>
    <w:rsid w:val="00F862F9"/>
    <w:rsid w:val="00F8657B"/>
    <w:rsid w:val="00F87144"/>
    <w:rsid w:val="00F876E8"/>
    <w:rsid w:val="00F87D90"/>
    <w:rsid w:val="00F87E9D"/>
    <w:rsid w:val="00F901AC"/>
    <w:rsid w:val="00F90728"/>
    <w:rsid w:val="00F90821"/>
    <w:rsid w:val="00F90D33"/>
    <w:rsid w:val="00F914DD"/>
    <w:rsid w:val="00F914F0"/>
    <w:rsid w:val="00F91A91"/>
    <w:rsid w:val="00F91ABE"/>
    <w:rsid w:val="00F91AFA"/>
    <w:rsid w:val="00F91EA6"/>
    <w:rsid w:val="00F91EB2"/>
    <w:rsid w:val="00F91F0C"/>
    <w:rsid w:val="00F91FB5"/>
    <w:rsid w:val="00F921E2"/>
    <w:rsid w:val="00F922C6"/>
    <w:rsid w:val="00F92588"/>
    <w:rsid w:val="00F926D0"/>
    <w:rsid w:val="00F9334B"/>
    <w:rsid w:val="00F94601"/>
    <w:rsid w:val="00F94AB6"/>
    <w:rsid w:val="00F94B7B"/>
    <w:rsid w:val="00F95260"/>
    <w:rsid w:val="00F95432"/>
    <w:rsid w:val="00F95FAA"/>
    <w:rsid w:val="00F9649E"/>
    <w:rsid w:val="00F965DB"/>
    <w:rsid w:val="00F96AF4"/>
    <w:rsid w:val="00F96EF9"/>
    <w:rsid w:val="00F97396"/>
    <w:rsid w:val="00F97795"/>
    <w:rsid w:val="00F97A9F"/>
    <w:rsid w:val="00F97BD5"/>
    <w:rsid w:val="00FA0623"/>
    <w:rsid w:val="00FA0BB3"/>
    <w:rsid w:val="00FA0BDB"/>
    <w:rsid w:val="00FA0F29"/>
    <w:rsid w:val="00FA0F4B"/>
    <w:rsid w:val="00FA129C"/>
    <w:rsid w:val="00FA1602"/>
    <w:rsid w:val="00FA1852"/>
    <w:rsid w:val="00FA1A45"/>
    <w:rsid w:val="00FA1FAD"/>
    <w:rsid w:val="00FA20EF"/>
    <w:rsid w:val="00FA219C"/>
    <w:rsid w:val="00FA35FF"/>
    <w:rsid w:val="00FA4433"/>
    <w:rsid w:val="00FA4460"/>
    <w:rsid w:val="00FA4628"/>
    <w:rsid w:val="00FA463F"/>
    <w:rsid w:val="00FA4941"/>
    <w:rsid w:val="00FA4A07"/>
    <w:rsid w:val="00FA4CFE"/>
    <w:rsid w:val="00FA5332"/>
    <w:rsid w:val="00FA555F"/>
    <w:rsid w:val="00FA5905"/>
    <w:rsid w:val="00FA5F52"/>
    <w:rsid w:val="00FA6E69"/>
    <w:rsid w:val="00FA75BF"/>
    <w:rsid w:val="00FA76E4"/>
    <w:rsid w:val="00FA78E9"/>
    <w:rsid w:val="00FA7E85"/>
    <w:rsid w:val="00FB02CF"/>
    <w:rsid w:val="00FB15C7"/>
    <w:rsid w:val="00FB181D"/>
    <w:rsid w:val="00FB1EE7"/>
    <w:rsid w:val="00FB270C"/>
    <w:rsid w:val="00FB27EF"/>
    <w:rsid w:val="00FB2B5A"/>
    <w:rsid w:val="00FB3964"/>
    <w:rsid w:val="00FB45AA"/>
    <w:rsid w:val="00FB4C02"/>
    <w:rsid w:val="00FB4C26"/>
    <w:rsid w:val="00FB4CA0"/>
    <w:rsid w:val="00FB5484"/>
    <w:rsid w:val="00FB56BD"/>
    <w:rsid w:val="00FB5BA8"/>
    <w:rsid w:val="00FB5BB4"/>
    <w:rsid w:val="00FB5F9E"/>
    <w:rsid w:val="00FB6050"/>
    <w:rsid w:val="00FB6075"/>
    <w:rsid w:val="00FB6B49"/>
    <w:rsid w:val="00FB6DC8"/>
    <w:rsid w:val="00FB758B"/>
    <w:rsid w:val="00FB7A29"/>
    <w:rsid w:val="00FB7B5E"/>
    <w:rsid w:val="00FB7E0E"/>
    <w:rsid w:val="00FC008A"/>
    <w:rsid w:val="00FC03AD"/>
    <w:rsid w:val="00FC0870"/>
    <w:rsid w:val="00FC0BE2"/>
    <w:rsid w:val="00FC0DBD"/>
    <w:rsid w:val="00FC1098"/>
    <w:rsid w:val="00FC1891"/>
    <w:rsid w:val="00FC1E8A"/>
    <w:rsid w:val="00FC2363"/>
    <w:rsid w:val="00FC2573"/>
    <w:rsid w:val="00FC2A2F"/>
    <w:rsid w:val="00FC3434"/>
    <w:rsid w:val="00FC34A8"/>
    <w:rsid w:val="00FC34B9"/>
    <w:rsid w:val="00FC38E8"/>
    <w:rsid w:val="00FC3D3B"/>
    <w:rsid w:val="00FC3DD5"/>
    <w:rsid w:val="00FC46B8"/>
    <w:rsid w:val="00FC4DB3"/>
    <w:rsid w:val="00FC53B9"/>
    <w:rsid w:val="00FC5513"/>
    <w:rsid w:val="00FC5899"/>
    <w:rsid w:val="00FC589A"/>
    <w:rsid w:val="00FC58C7"/>
    <w:rsid w:val="00FC5AB8"/>
    <w:rsid w:val="00FC5B6C"/>
    <w:rsid w:val="00FC6031"/>
    <w:rsid w:val="00FC6967"/>
    <w:rsid w:val="00FC6CF3"/>
    <w:rsid w:val="00FC6D8E"/>
    <w:rsid w:val="00FC6F4B"/>
    <w:rsid w:val="00FC70A7"/>
    <w:rsid w:val="00FC754B"/>
    <w:rsid w:val="00FC77F6"/>
    <w:rsid w:val="00FC78D6"/>
    <w:rsid w:val="00FC78D8"/>
    <w:rsid w:val="00FD0A15"/>
    <w:rsid w:val="00FD1359"/>
    <w:rsid w:val="00FD172D"/>
    <w:rsid w:val="00FD1AB0"/>
    <w:rsid w:val="00FD1EF9"/>
    <w:rsid w:val="00FD1F53"/>
    <w:rsid w:val="00FD2800"/>
    <w:rsid w:val="00FD2890"/>
    <w:rsid w:val="00FD2BDE"/>
    <w:rsid w:val="00FD312F"/>
    <w:rsid w:val="00FD370B"/>
    <w:rsid w:val="00FD39DC"/>
    <w:rsid w:val="00FD3A01"/>
    <w:rsid w:val="00FD3DDA"/>
    <w:rsid w:val="00FD41D0"/>
    <w:rsid w:val="00FD44D4"/>
    <w:rsid w:val="00FD49E1"/>
    <w:rsid w:val="00FD4C30"/>
    <w:rsid w:val="00FD4F70"/>
    <w:rsid w:val="00FD526D"/>
    <w:rsid w:val="00FD56F1"/>
    <w:rsid w:val="00FD5799"/>
    <w:rsid w:val="00FD59B5"/>
    <w:rsid w:val="00FD5A48"/>
    <w:rsid w:val="00FD5BEC"/>
    <w:rsid w:val="00FD5E4D"/>
    <w:rsid w:val="00FD68B9"/>
    <w:rsid w:val="00FD694F"/>
    <w:rsid w:val="00FD6B9C"/>
    <w:rsid w:val="00FD6DF1"/>
    <w:rsid w:val="00FD71E9"/>
    <w:rsid w:val="00FD7F6B"/>
    <w:rsid w:val="00FE008B"/>
    <w:rsid w:val="00FE00C0"/>
    <w:rsid w:val="00FE1416"/>
    <w:rsid w:val="00FE1538"/>
    <w:rsid w:val="00FE164F"/>
    <w:rsid w:val="00FE1804"/>
    <w:rsid w:val="00FE1CB9"/>
    <w:rsid w:val="00FE25AF"/>
    <w:rsid w:val="00FE2771"/>
    <w:rsid w:val="00FE27B6"/>
    <w:rsid w:val="00FE288E"/>
    <w:rsid w:val="00FE29EA"/>
    <w:rsid w:val="00FE2F9A"/>
    <w:rsid w:val="00FE313E"/>
    <w:rsid w:val="00FE32D6"/>
    <w:rsid w:val="00FE33B9"/>
    <w:rsid w:val="00FE3723"/>
    <w:rsid w:val="00FE41C4"/>
    <w:rsid w:val="00FE4401"/>
    <w:rsid w:val="00FE4461"/>
    <w:rsid w:val="00FE471F"/>
    <w:rsid w:val="00FE4826"/>
    <w:rsid w:val="00FE48A4"/>
    <w:rsid w:val="00FE5321"/>
    <w:rsid w:val="00FE591C"/>
    <w:rsid w:val="00FE5FF9"/>
    <w:rsid w:val="00FE6152"/>
    <w:rsid w:val="00FE695E"/>
    <w:rsid w:val="00FE73D4"/>
    <w:rsid w:val="00FE73F6"/>
    <w:rsid w:val="00FE749B"/>
    <w:rsid w:val="00FE74C3"/>
    <w:rsid w:val="00FE7EE4"/>
    <w:rsid w:val="00FF072C"/>
    <w:rsid w:val="00FF09CB"/>
    <w:rsid w:val="00FF0B4E"/>
    <w:rsid w:val="00FF0D1C"/>
    <w:rsid w:val="00FF0D9C"/>
    <w:rsid w:val="00FF1118"/>
    <w:rsid w:val="00FF13DA"/>
    <w:rsid w:val="00FF13FE"/>
    <w:rsid w:val="00FF1A17"/>
    <w:rsid w:val="00FF219A"/>
    <w:rsid w:val="00FF22EF"/>
    <w:rsid w:val="00FF28C6"/>
    <w:rsid w:val="00FF3198"/>
    <w:rsid w:val="00FF359D"/>
    <w:rsid w:val="00FF37FB"/>
    <w:rsid w:val="00FF4088"/>
    <w:rsid w:val="00FF46B7"/>
    <w:rsid w:val="00FF4888"/>
    <w:rsid w:val="00FF4D6B"/>
    <w:rsid w:val="00FF5EBB"/>
    <w:rsid w:val="00FF61AF"/>
    <w:rsid w:val="00FF6281"/>
    <w:rsid w:val="00FF67FF"/>
    <w:rsid w:val="00FF6ED4"/>
    <w:rsid w:val="00FF76CE"/>
    <w:rsid w:val="00FF783F"/>
    <w:rsid w:val="00FF786C"/>
    <w:rsid w:val="00FF7924"/>
    <w:rsid w:val="00FF7A29"/>
    <w:rsid w:val="00FF7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4C579"/>
  <w15:chartTrackingRefBased/>
  <w15:docId w15:val="{71D3669C-C96D-4256-84C4-603EB6A2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E98"/>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1"/>
      </w:numPr>
      <w:suppressAutoHyphens/>
      <w:spacing w:before="240" w:after="240"/>
      <w:jc w:val="both"/>
      <w:outlineLvl w:val="1"/>
    </w:pPr>
    <w:rPr>
      <w:szCs w:val="20"/>
    </w:rPr>
  </w:style>
  <w:style w:type="paragraph" w:customStyle="1" w:styleId="ParaLevel3">
    <w:name w:val="ParaLevel3"/>
    <w:basedOn w:val="Normal"/>
    <w:pPr>
      <w:numPr>
        <w:ilvl w:val="2"/>
        <w:numId w:val="1"/>
      </w:numPr>
      <w:suppressAutoHyphens/>
      <w:spacing w:before="240" w:after="240"/>
      <w:jc w:val="both"/>
      <w:outlineLvl w:val="2"/>
    </w:pPr>
    <w:rPr>
      <w:szCs w:val="20"/>
    </w:rPr>
  </w:style>
  <w:style w:type="paragraph" w:customStyle="1" w:styleId="ParaLevel4">
    <w:name w:val="ParaLevel4"/>
    <w:basedOn w:val="Normal"/>
    <w:pPr>
      <w:numPr>
        <w:ilvl w:val="3"/>
        <w:numId w:val="1"/>
      </w:numPr>
      <w:suppressAutoHyphens/>
      <w:spacing w:before="240" w:after="240"/>
      <w:jc w:val="both"/>
      <w:outlineLvl w:val="3"/>
    </w:pPr>
    <w:rPr>
      <w:szCs w:val="20"/>
    </w:rPr>
  </w:style>
  <w:style w:type="paragraph" w:customStyle="1" w:styleId="ParaLevel5">
    <w:name w:val="ParaLevel5"/>
    <w:basedOn w:val="Normal"/>
    <w:pPr>
      <w:numPr>
        <w:ilvl w:val="4"/>
        <w:numId w:val="1"/>
      </w:numPr>
      <w:suppressAutoHyphens/>
      <w:spacing w:before="240" w:after="240"/>
      <w:jc w:val="both"/>
      <w:outlineLvl w:val="4"/>
    </w:pPr>
    <w:rPr>
      <w:szCs w:val="20"/>
    </w:rPr>
  </w:style>
  <w:style w:type="paragraph" w:customStyle="1" w:styleId="ParaLevel6">
    <w:name w:val="ParaLevel6"/>
    <w:basedOn w:val="Normal"/>
    <w:pPr>
      <w:numPr>
        <w:ilvl w:val="5"/>
        <w:numId w:val="1"/>
      </w:numPr>
      <w:suppressAutoHyphens/>
      <w:spacing w:before="240" w:after="240"/>
      <w:jc w:val="both"/>
      <w:outlineLvl w:val="5"/>
    </w:pPr>
    <w:rPr>
      <w:szCs w:val="20"/>
    </w:rPr>
  </w:style>
  <w:style w:type="paragraph" w:customStyle="1" w:styleId="ParaLevel7">
    <w:name w:val="ParaLevel7"/>
    <w:basedOn w:val="Normal"/>
    <w:pPr>
      <w:numPr>
        <w:ilvl w:val="6"/>
        <w:numId w:val="1"/>
      </w:numPr>
      <w:suppressAutoHyphens/>
      <w:spacing w:before="240" w:after="240"/>
      <w:jc w:val="both"/>
      <w:outlineLvl w:val="6"/>
    </w:pPr>
    <w:rPr>
      <w:szCs w:val="20"/>
    </w:rPr>
  </w:style>
  <w:style w:type="paragraph" w:customStyle="1" w:styleId="ParaLevel8">
    <w:name w:val="ParaLevel8"/>
    <w:basedOn w:val="Normal"/>
    <w:pPr>
      <w:numPr>
        <w:ilvl w:val="7"/>
        <w:numId w:val="1"/>
      </w:numPr>
      <w:suppressAutoHyphens/>
      <w:spacing w:before="240" w:after="240"/>
      <w:jc w:val="both"/>
      <w:outlineLvl w:val="7"/>
    </w:pPr>
    <w:rPr>
      <w:szCs w:val="20"/>
    </w:rPr>
  </w:style>
  <w:style w:type="paragraph" w:customStyle="1" w:styleId="ParaLevel9">
    <w:name w:val="ParaLevel9"/>
    <w:basedOn w:val="Normal"/>
    <w:pPr>
      <w:numPr>
        <w:ilvl w:val="8"/>
        <w:numId w:val="1"/>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styleId="BalloonText">
    <w:name w:val="Balloon Text"/>
    <w:basedOn w:val="Normal"/>
    <w:link w:val="BalloonTextChar"/>
    <w:rsid w:val="00AF1BD7"/>
    <w:rPr>
      <w:rFonts w:ascii="Segoe UI" w:hAnsi="Segoe UI" w:cs="Segoe UI"/>
      <w:sz w:val="18"/>
      <w:szCs w:val="18"/>
    </w:rPr>
  </w:style>
  <w:style w:type="paragraph" w:customStyle="1" w:styleId="eMailBlock">
    <w:name w:val="eMailBlock"/>
    <w:basedOn w:val="Title"/>
    <w:rPr>
      <w:sz w:val="26"/>
    </w:rPr>
  </w:style>
  <w:style w:type="character" w:customStyle="1" w:styleId="BalloonTextChar">
    <w:name w:val="Balloon Text Char"/>
    <w:basedOn w:val="DefaultParagraphFont"/>
    <w:link w:val="BalloonText"/>
    <w:rsid w:val="00AF1BD7"/>
    <w:rPr>
      <w:rFonts w:ascii="Segoe UI" w:hAnsi="Segoe UI" w:cs="Segoe UI"/>
      <w:sz w:val="18"/>
      <w:szCs w:val="18"/>
      <w:lang w:eastAsia="en-US"/>
    </w:rPr>
  </w:style>
  <w:style w:type="table" w:styleId="TableGrid">
    <w:name w:val="Table Grid"/>
    <w:basedOn w:val="TableNormal"/>
    <w:rsid w:val="00417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3DDA"/>
    <w:pPr>
      <w:ind w:left="720"/>
      <w:contextualSpacing/>
    </w:pPr>
  </w:style>
  <w:style w:type="character" w:styleId="CommentReference">
    <w:name w:val="annotation reference"/>
    <w:basedOn w:val="DefaultParagraphFont"/>
    <w:rsid w:val="001F1F59"/>
    <w:rPr>
      <w:sz w:val="16"/>
      <w:szCs w:val="16"/>
    </w:rPr>
  </w:style>
  <w:style w:type="paragraph" w:styleId="CommentText">
    <w:name w:val="annotation text"/>
    <w:basedOn w:val="Normal"/>
    <w:link w:val="CommentTextChar"/>
    <w:rsid w:val="001F1F59"/>
    <w:rPr>
      <w:sz w:val="20"/>
      <w:szCs w:val="20"/>
    </w:rPr>
  </w:style>
  <w:style w:type="character" w:customStyle="1" w:styleId="CommentTextChar">
    <w:name w:val="Comment Text Char"/>
    <w:basedOn w:val="DefaultParagraphFont"/>
    <w:link w:val="CommentText"/>
    <w:rsid w:val="001F1F59"/>
    <w:rPr>
      <w:lang w:eastAsia="en-US"/>
    </w:rPr>
  </w:style>
  <w:style w:type="paragraph" w:styleId="CommentSubject">
    <w:name w:val="annotation subject"/>
    <w:basedOn w:val="CommentText"/>
    <w:next w:val="CommentText"/>
    <w:link w:val="CommentSubjectChar"/>
    <w:rsid w:val="001F1F59"/>
    <w:rPr>
      <w:b/>
      <w:bCs/>
    </w:rPr>
  </w:style>
  <w:style w:type="character" w:customStyle="1" w:styleId="CommentSubjectChar">
    <w:name w:val="Comment Subject Char"/>
    <w:basedOn w:val="CommentTextChar"/>
    <w:link w:val="CommentSubject"/>
    <w:rsid w:val="001F1F59"/>
    <w:rPr>
      <w:b/>
      <w:bCs/>
      <w:lang w:eastAsia="en-US"/>
    </w:rPr>
  </w:style>
  <w:style w:type="character" w:styleId="Hyperlink">
    <w:name w:val="Hyperlink"/>
    <w:basedOn w:val="DefaultParagraphFont"/>
    <w:rsid w:val="00515FBC"/>
    <w:rPr>
      <w:color w:val="0563C1" w:themeColor="hyperlink"/>
      <w:u w:val="single"/>
    </w:rPr>
  </w:style>
  <w:style w:type="character" w:customStyle="1" w:styleId="UnresolvedMention">
    <w:name w:val="Unresolved Mention"/>
    <w:basedOn w:val="DefaultParagraphFont"/>
    <w:uiPriority w:val="99"/>
    <w:semiHidden/>
    <w:unhideWhenUsed/>
    <w:rsid w:val="00515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f45k\OneDrive%20-%20eJudiciary\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CF9F776926E748A0349B254838B86F" ma:contentTypeVersion="12" ma:contentTypeDescription="Create a new document." ma:contentTypeScope="" ma:versionID="c781b88e7b103f71b5cf57a0def894f3">
  <xsd:schema xmlns:xsd="http://www.w3.org/2001/XMLSchema" xmlns:xs="http://www.w3.org/2001/XMLSchema" xmlns:p="http://schemas.microsoft.com/office/2006/metadata/properties" xmlns:ns3="daaa5965-d4a4-4498-9ac1-de45f81763c0" xmlns:ns4="ef8bed2f-b3e5-4b92-b107-922c564c1b6e" targetNamespace="http://schemas.microsoft.com/office/2006/metadata/properties" ma:root="true" ma:fieldsID="8603300739ef8c62c551ca1021e72c3e" ns3:_="" ns4:_="">
    <xsd:import namespace="daaa5965-d4a4-4498-9ac1-de45f81763c0"/>
    <xsd:import namespace="ef8bed2f-b3e5-4b92-b107-922c564c1b6e"/>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a5965-d4a4-4498-9ac1-de45f8176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bed2f-b3e5-4b92-b107-922c564c1b6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0EB8F7-D022-485B-BD15-4E9469AB3B4F}">
  <ds:schemaRefs>
    <ds:schemaRef ds:uri="http://purl.org/dc/elements/1.1/"/>
    <ds:schemaRef ds:uri="http://schemas.microsoft.com/office/2006/metadata/properties"/>
    <ds:schemaRef ds:uri="http://purl.org/dc/terms/"/>
    <ds:schemaRef ds:uri="daaa5965-d4a4-4498-9ac1-de45f81763c0"/>
    <ds:schemaRef ds:uri="ef8bed2f-b3e5-4b92-b107-922c564c1b6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013503B-9D8C-4287-A310-B4C05A0A8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a5965-d4a4-4498-9ac1-de45f81763c0"/>
    <ds:schemaRef ds:uri="ef8bed2f-b3e5-4b92-b107-922c564c1b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06D652-9784-4B9B-9B4C-F848E9D877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hc_judg2k</Template>
  <TotalTime>1</TotalTime>
  <Pages>108</Pages>
  <Words>56759</Words>
  <Characters>273066</Characters>
  <Application>Microsoft Office Word</Application>
  <DocSecurity>0</DocSecurity>
  <Lines>2275</Lines>
  <Paragraphs>658</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329167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Russen QC, HHJ Jonathan</dc:creator>
  <cp:keywords/>
  <dc:description/>
  <cp:lastModifiedBy>Warren, Janine</cp:lastModifiedBy>
  <cp:revision>2</cp:revision>
  <cp:lastPrinted>2022-04-14T16:02:00Z</cp:lastPrinted>
  <dcterms:created xsi:type="dcterms:W3CDTF">2022-04-29T12:27:00Z</dcterms:created>
  <dcterms:modified xsi:type="dcterms:W3CDTF">2022-04-29T12:27:00Z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
  </property>
  <property fmtid="{D5CDD505-2E9C-101B-9397-08002B2CF9AE}" pid="6" name="ApprovedStage">
    <vt:lpwstr>Approved</vt:lpwstr>
  </property>
  <property fmtid="{D5CDD505-2E9C-101B-9397-08002B2CF9AE}" pid="7" name="NCDiv">
    <vt:lpwstr>QB</vt:lpwstr>
  </property>
  <property fmtid="{D5CDD505-2E9C-101B-9397-08002B2CF9AE}" pid="8" name="NCCaseNum">
    <vt:lpwstr>LM-2020-000172</vt:lpwstr>
  </property>
  <property fmtid="{D5CDD505-2E9C-101B-9397-08002B2CF9AE}" pid="9" name="ContentTypeId">
    <vt:lpwstr>0x01010083CF9F776926E748A0349B254838B86F</vt:lpwstr>
  </property>
  <property fmtid="{D5CDD505-2E9C-101B-9397-08002B2CF9AE}" pid="10" name="NCCaseTitle">
    <vt:lpwstr>Richards v Charles Russell Speechlys</vt:lpwstr>
  </property>
  <property fmtid="{D5CDD505-2E9C-101B-9397-08002B2CF9AE}" pid="11" name="NCNumber">
    <vt:lpwstr>[2022] EWHC 935 (Comm) (QB)</vt:lpwstr>
  </property>
  <property fmtid="{D5CDD505-2E9C-101B-9397-08002B2CF9AE}" pid="12" name="NCJudgeDate">
    <vt:lpwstr>29/04/2022</vt:lpwstr>
  </property>
  <property fmtid="{D5CDD505-2E9C-101B-9397-08002B2CF9AE}" pid="13" name="MSIP_Label_61c22e59-6e76-40e7-9277-37c464fc6354_Enabled">
    <vt:lpwstr>true</vt:lpwstr>
  </property>
  <property fmtid="{D5CDD505-2E9C-101B-9397-08002B2CF9AE}" pid="14" name="MSIP_Label_61c22e59-6e76-40e7-9277-37c464fc6354_SetDate">
    <vt:lpwstr>2022-04-29T12:26:47Z</vt:lpwstr>
  </property>
  <property fmtid="{D5CDD505-2E9C-101B-9397-08002B2CF9AE}" pid="15" name="MSIP_Label_61c22e59-6e76-40e7-9277-37c464fc6354_Method">
    <vt:lpwstr>Privileged</vt:lpwstr>
  </property>
  <property fmtid="{D5CDD505-2E9C-101B-9397-08002B2CF9AE}" pid="16" name="MSIP_Label_61c22e59-6e76-40e7-9277-37c464fc6354_Name">
    <vt:lpwstr>OFFICIAL</vt:lpwstr>
  </property>
  <property fmtid="{D5CDD505-2E9C-101B-9397-08002B2CF9AE}" pid="17" name="MSIP_Label_61c22e59-6e76-40e7-9277-37c464fc6354_SiteId">
    <vt:lpwstr>f99512c1-fd9f-4475-9896-9a0b3cdc50ec</vt:lpwstr>
  </property>
  <property fmtid="{D5CDD505-2E9C-101B-9397-08002B2CF9AE}" pid="18" name="MSIP_Label_61c22e59-6e76-40e7-9277-37c464fc6354_ActionId">
    <vt:lpwstr>b1f8d680-a912-4847-923c-35a176af261d</vt:lpwstr>
  </property>
  <property fmtid="{D5CDD505-2E9C-101B-9397-08002B2CF9AE}" pid="19" name="MSIP_Label_61c22e59-6e76-40e7-9277-37c464fc6354_ContentBits">
    <vt:lpwstr>0</vt:lpwstr>
  </property>
</Properties>
</file>