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60DC8" w14:textId="77777777" w:rsidR="001258C1" w:rsidRDefault="00FF4F92" w:rsidP="001258C1">
      <w:pPr>
        <w:pStyle w:val="CoverText"/>
        <w:jc w:val="center"/>
        <w:rPr>
          <w:bCs/>
        </w:rPr>
      </w:pPr>
      <w:r>
        <w:rPr>
          <w:bCs/>
        </w:rPr>
        <w:br/>
      </w:r>
      <w:r>
        <w:rPr>
          <w:bCs/>
        </w:rPr>
        <w:br/>
      </w:r>
      <w:r>
        <w:rPr>
          <w:bCs/>
        </w:rPr>
        <w:br/>
      </w:r>
      <w:bookmarkStart w:id="0" w:name="bkNCNumber"/>
      <w:r w:rsidR="00716F26" w:rsidRPr="001258C1">
        <w:rPr>
          <w:bCs/>
        </w:rPr>
        <w:t xml:space="preserve"> </w:t>
      </w:r>
      <w:bookmarkEnd w:id="0"/>
      <w:r w:rsidR="001258C1" w:rsidRPr="001258C1">
        <w:rPr>
          <w:noProof/>
          <w:u w:val="none"/>
          <w:lang w:eastAsia="en-GB"/>
        </w:rPr>
        <w:drawing>
          <wp:inline distT="0" distB="0" distL="0" distR="0" wp14:anchorId="04A76BCC" wp14:editId="25CDB2EE">
            <wp:extent cx="847725" cy="822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8524" cy="832606"/>
                    </a:xfrm>
                    <a:prstGeom prst="rect">
                      <a:avLst/>
                    </a:prstGeom>
                  </pic:spPr>
                </pic:pic>
              </a:graphicData>
            </a:graphic>
          </wp:inline>
        </w:drawing>
      </w:r>
    </w:p>
    <w:p w14:paraId="69C13BC8" w14:textId="77777777" w:rsidR="001258C1" w:rsidRDefault="001258C1" w:rsidP="001258C1">
      <w:pPr>
        <w:pStyle w:val="CoverText"/>
        <w:jc w:val="center"/>
        <w:rPr>
          <w:bCs/>
        </w:rPr>
      </w:pPr>
    </w:p>
    <w:p w14:paraId="19146FCF" w14:textId="4DF1ACD5" w:rsidR="00A36141" w:rsidRPr="00400B8D" w:rsidRDefault="00B177F1" w:rsidP="00FB5A46">
      <w:pPr>
        <w:pStyle w:val="CoverText"/>
        <w:jc w:val="left"/>
        <w:rPr>
          <w:b/>
          <w:szCs w:val="24"/>
        </w:rPr>
      </w:pPr>
      <w:r w:rsidRPr="00400B8D">
        <w:rPr>
          <w:b/>
          <w:szCs w:val="24"/>
        </w:rPr>
        <w:t xml:space="preserve"> </w:t>
      </w:r>
      <w:r w:rsidR="001258C1" w:rsidRPr="00400B8D">
        <w:rPr>
          <w:b/>
          <w:bCs/>
          <w:szCs w:val="24"/>
        </w:rPr>
        <w:t xml:space="preserve"> </w:t>
      </w:r>
      <w:r w:rsidR="00716F26" w:rsidRPr="00400B8D">
        <w:rPr>
          <w:b/>
          <w:bCs/>
          <w:szCs w:val="24"/>
        </w:rPr>
        <w:br/>
      </w:r>
      <w:r w:rsidR="006F03DC">
        <w:rPr>
          <w:b/>
          <w:szCs w:val="24"/>
        </w:rPr>
        <w:t xml:space="preserve">Neutral citation: </w:t>
      </w:r>
      <w:r w:rsidR="006F03DC" w:rsidRPr="006F03DC">
        <w:rPr>
          <w:b/>
          <w:szCs w:val="24"/>
        </w:rPr>
        <w:t>[2022] EWHC 1918 (Comm)</w:t>
      </w:r>
    </w:p>
    <w:p w14:paraId="2C45DD47" w14:textId="33DBFA0C" w:rsidR="005768A8" w:rsidRPr="00400B8D" w:rsidRDefault="00ED3E4E" w:rsidP="00A36141">
      <w:pPr>
        <w:pStyle w:val="CoverText"/>
        <w:rPr>
          <w:szCs w:val="24"/>
        </w:rPr>
      </w:pPr>
      <w:r w:rsidRPr="00400B8D">
        <w:rPr>
          <w:b/>
          <w:szCs w:val="24"/>
        </w:rPr>
        <w:t xml:space="preserve">Claim No: </w:t>
      </w:r>
      <w:r w:rsidR="00A36141" w:rsidRPr="00400B8D">
        <w:rPr>
          <w:b/>
          <w:spacing w:val="-3"/>
          <w:szCs w:val="24"/>
        </w:rPr>
        <w:t>CL-2021-000561</w:t>
      </w:r>
      <w:r w:rsidR="00716F26" w:rsidRPr="00400B8D">
        <w:rPr>
          <w:b/>
          <w:szCs w:val="24"/>
        </w:rPr>
        <w:t xml:space="preserve"> </w:t>
      </w:r>
    </w:p>
    <w:p w14:paraId="0F46B208" w14:textId="77777777" w:rsidR="005768A8" w:rsidRPr="00400B8D" w:rsidRDefault="00716F26" w:rsidP="001F53CD">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Cs w:val="24"/>
        </w:rPr>
      </w:pPr>
      <w:r w:rsidRPr="00400B8D">
        <w:rPr>
          <w:szCs w:val="24"/>
        </w:rPr>
        <w:t>IN THE HIGH COURT OF JUSTICE</w:t>
      </w:r>
    </w:p>
    <w:p w14:paraId="78438E86" w14:textId="52BF9647" w:rsidR="00C9312F" w:rsidRPr="00400B8D" w:rsidRDefault="00C9312F" w:rsidP="001F53CD">
      <w:pPr>
        <w:spacing w:line="276" w:lineRule="auto"/>
        <w:rPr>
          <w:b/>
          <w:spacing w:val="-3"/>
          <w:u w:val="single"/>
        </w:rPr>
      </w:pPr>
      <w:bookmarkStart w:id="1" w:name="title"/>
      <w:r w:rsidRPr="00400B8D">
        <w:rPr>
          <w:b/>
          <w:spacing w:val="-3"/>
          <w:u w:val="single"/>
        </w:rPr>
        <w:t>BUSINESS AND PROPERTY COURTS OF ENGLAND AND WALES</w:t>
      </w:r>
    </w:p>
    <w:p w14:paraId="26288A17" w14:textId="7D28DD31" w:rsidR="005768A8" w:rsidRPr="00400B8D" w:rsidRDefault="00A36141" w:rsidP="001F53CD">
      <w:pPr>
        <w:spacing w:line="276" w:lineRule="auto"/>
        <w:rPr>
          <w:b/>
          <w:spacing w:val="-3"/>
          <w:u w:val="single"/>
        </w:rPr>
      </w:pPr>
      <w:r w:rsidRPr="00400B8D">
        <w:rPr>
          <w:b/>
          <w:spacing w:val="-3"/>
          <w:u w:val="single"/>
        </w:rPr>
        <w:t>COMMERCIAL COURT</w:t>
      </w:r>
      <w:r w:rsidR="00ED3E4E" w:rsidRPr="00400B8D">
        <w:rPr>
          <w:b/>
          <w:spacing w:val="-3"/>
          <w:u w:val="single"/>
        </w:rPr>
        <w:t xml:space="preserve"> (</w:t>
      </w:r>
      <w:r w:rsidRPr="00400B8D">
        <w:rPr>
          <w:b/>
          <w:spacing w:val="-3"/>
          <w:u w:val="single"/>
        </w:rPr>
        <w:t>QBD</w:t>
      </w:r>
      <w:r w:rsidR="00ED3E4E" w:rsidRPr="00400B8D">
        <w:rPr>
          <w:b/>
          <w:spacing w:val="-3"/>
          <w:u w:val="single"/>
        </w:rPr>
        <w:t>)</w:t>
      </w:r>
      <w:r w:rsidR="00716F26" w:rsidRPr="00400B8D">
        <w:rPr>
          <w:b/>
          <w:spacing w:val="-3"/>
          <w:u w:val="single"/>
        </w:rPr>
        <w:t xml:space="preserve"> </w:t>
      </w:r>
    </w:p>
    <w:bookmarkEnd w:id="1"/>
    <w:p w14:paraId="49804C8E" w14:textId="77777777" w:rsidR="005768A8" w:rsidRPr="00400B8D" w:rsidRDefault="00716F26" w:rsidP="001F53CD">
      <w:pPr>
        <w:pStyle w:val="CoverText"/>
        <w:spacing w:line="276" w:lineRule="auto"/>
        <w:rPr>
          <w:szCs w:val="24"/>
        </w:rPr>
      </w:pPr>
      <w:r w:rsidRPr="00400B8D">
        <w:rPr>
          <w:szCs w:val="24"/>
        </w:rPr>
        <w:t>Royal Courts of Justice</w:t>
      </w:r>
    </w:p>
    <w:p w14:paraId="5A05D194" w14:textId="0F1FEBD3" w:rsidR="005768A8" w:rsidRPr="00400B8D" w:rsidRDefault="00FB5A46" w:rsidP="001F53CD">
      <w:pPr>
        <w:pStyle w:val="CoverText"/>
        <w:spacing w:line="276" w:lineRule="auto"/>
        <w:rPr>
          <w:szCs w:val="24"/>
        </w:rPr>
      </w:pPr>
      <w:r w:rsidRPr="00400B8D">
        <w:rPr>
          <w:szCs w:val="24"/>
        </w:rPr>
        <w:t>Rolls Building</w:t>
      </w:r>
      <w:r w:rsidR="00716F26" w:rsidRPr="00400B8D">
        <w:rPr>
          <w:szCs w:val="24"/>
        </w:rPr>
        <w:t xml:space="preserve">, London, </w:t>
      </w:r>
      <w:r w:rsidRPr="00400B8D">
        <w:rPr>
          <w:szCs w:val="24"/>
        </w:rPr>
        <w:t>EC4A 1NL</w:t>
      </w:r>
    </w:p>
    <w:p w14:paraId="0CD61A34" w14:textId="63582029" w:rsidR="005768A8" w:rsidRPr="00400B8D" w:rsidRDefault="00352167" w:rsidP="005762C1">
      <w:pPr>
        <w:pStyle w:val="CoverText"/>
        <w:spacing w:line="276" w:lineRule="auto"/>
        <w:rPr>
          <w:szCs w:val="24"/>
        </w:rPr>
      </w:pPr>
      <w:r w:rsidRPr="00400B8D">
        <w:rPr>
          <w:szCs w:val="24"/>
        </w:rPr>
        <w:t>Date</w:t>
      </w:r>
      <w:r w:rsidR="006F03DC">
        <w:rPr>
          <w:szCs w:val="24"/>
        </w:rPr>
        <w:t>: 25 July 2022</w:t>
      </w:r>
      <w:r w:rsidRPr="00400B8D">
        <w:rPr>
          <w:szCs w:val="24"/>
        </w:rPr>
        <w:t xml:space="preserve"> </w:t>
      </w:r>
      <w:r w:rsidR="00AF77CA" w:rsidRPr="00400B8D">
        <w:rPr>
          <w:szCs w:val="24"/>
        </w:rPr>
        <w:t xml:space="preserve">   </w:t>
      </w:r>
      <w:r w:rsidR="00716F26" w:rsidRPr="00400B8D">
        <w:rPr>
          <w:szCs w:val="24"/>
        </w:rPr>
        <w:t xml:space="preserve"> </w:t>
      </w:r>
    </w:p>
    <w:p w14:paraId="0CB801AE" w14:textId="77777777" w:rsidR="005768A8" w:rsidRPr="00400B8D" w:rsidRDefault="00716F26" w:rsidP="001F53CD">
      <w:pPr>
        <w:spacing w:line="276" w:lineRule="auto"/>
        <w:jc w:val="center"/>
      </w:pPr>
      <w:r w:rsidRPr="00400B8D">
        <w:rPr>
          <w:b/>
          <w:spacing w:val="-3"/>
        </w:rPr>
        <w:t>Before</w:t>
      </w:r>
    </w:p>
    <w:p w14:paraId="0A2519F3" w14:textId="77777777" w:rsidR="005768A8" w:rsidRPr="00400B8D" w:rsidRDefault="00716F26" w:rsidP="001F53CD">
      <w:pPr>
        <w:spacing w:line="276" w:lineRule="auto"/>
        <w:jc w:val="center"/>
        <w:rPr>
          <w:b/>
          <w:spacing w:val="-3"/>
        </w:rPr>
      </w:pPr>
      <w:r w:rsidRPr="00400B8D">
        <w:rPr>
          <w:b/>
          <w:spacing w:val="-3"/>
        </w:rPr>
        <w:t>Philip Marshall QC (sitting as a Deputy Judge of the High Court)</w:t>
      </w:r>
    </w:p>
    <w:p w14:paraId="4C61396C" w14:textId="77777777" w:rsidR="005768A8" w:rsidRPr="00400B8D" w:rsidRDefault="00716F26" w:rsidP="001F53CD">
      <w:pPr>
        <w:spacing w:line="276" w:lineRule="auto"/>
        <w:jc w:val="center"/>
        <w:rPr>
          <w:spacing w:val="-3"/>
        </w:rPr>
      </w:pPr>
      <w:r w:rsidRPr="00400B8D">
        <w:rPr>
          <w:spacing w:val="-3"/>
        </w:rPr>
        <w:t>- - - - - - - - - - - - - - - - - - - - -</w:t>
      </w:r>
    </w:p>
    <w:p w14:paraId="5A7D6D27" w14:textId="14F45F32" w:rsidR="00A36141" w:rsidRPr="00400B8D" w:rsidRDefault="00A36141" w:rsidP="00A36141">
      <w:pPr>
        <w:spacing w:line="276" w:lineRule="auto"/>
        <w:jc w:val="center"/>
        <w:rPr>
          <w:b/>
          <w:spacing w:val="-3"/>
        </w:rPr>
      </w:pPr>
      <w:r w:rsidRPr="00400B8D">
        <w:rPr>
          <w:b/>
          <w:spacing w:val="-3"/>
        </w:rPr>
        <w:t>Between:</w:t>
      </w:r>
    </w:p>
    <w:p w14:paraId="30039FBA" w14:textId="77777777" w:rsidR="00A36141" w:rsidRPr="00400B8D" w:rsidRDefault="00A36141" w:rsidP="00A36141">
      <w:pPr>
        <w:spacing w:line="276" w:lineRule="auto"/>
        <w:jc w:val="center"/>
        <w:rPr>
          <w:b/>
          <w:spacing w:val="-3"/>
        </w:rPr>
      </w:pPr>
      <w:r w:rsidRPr="00400B8D">
        <w:rPr>
          <w:b/>
          <w:spacing w:val="-3"/>
        </w:rPr>
        <w:t>EULER HERMES SA (NV)</w:t>
      </w:r>
    </w:p>
    <w:p w14:paraId="1613796A" w14:textId="77777777" w:rsidR="00A36141" w:rsidRPr="00400B8D" w:rsidRDefault="00A36141" w:rsidP="00A36141">
      <w:pPr>
        <w:spacing w:line="276" w:lineRule="auto"/>
        <w:jc w:val="center"/>
        <w:rPr>
          <w:b/>
          <w:spacing w:val="-3"/>
        </w:rPr>
      </w:pPr>
      <w:r w:rsidRPr="00400B8D">
        <w:rPr>
          <w:b/>
          <w:spacing w:val="-3"/>
        </w:rPr>
        <w:t>acting through its registered branch EULER HERMES UK</w:t>
      </w:r>
    </w:p>
    <w:p w14:paraId="04259EFE" w14:textId="77777777" w:rsidR="00A36141" w:rsidRPr="00400B8D" w:rsidRDefault="00A36141" w:rsidP="00A36141">
      <w:pPr>
        <w:spacing w:line="276" w:lineRule="auto"/>
        <w:jc w:val="right"/>
        <w:rPr>
          <w:b/>
          <w:spacing w:val="-3"/>
        </w:rPr>
      </w:pPr>
      <w:r w:rsidRPr="00400B8D">
        <w:rPr>
          <w:b/>
          <w:spacing w:val="-3"/>
        </w:rPr>
        <w:t>Claimant</w:t>
      </w:r>
    </w:p>
    <w:p w14:paraId="325134B1" w14:textId="77777777" w:rsidR="00A36141" w:rsidRPr="00400B8D" w:rsidRDefault="00A36141" w:rsidP="00A36141">
      <w:pPr>
        <w:spacing w:line="276" w:lineRule="auto"/>
        <w:jc w:val="center"/>
        <w:rPr>
          <w:b/>
          <w:spacing w:val="-3"/>
        </w:rPr>
      </w:pPr>
      <w:r w:rsidRPr="00400B8D">
        <w:rPr>
          <w:b/>
          <w:spacing w:val="-3"/>
        </w:rPr>
        <w:t>-and-</w:t>
      </w:r>
    </w:p>
    <w:p w14:paraId="0DC978AA" w14:textId="77777777" w:rsidR="00A36141" w:rsidRPr="00400B8D" w:rsidRDefault="00A36141" w:rsidP="00A36141">
      <w:pPr>
        <w:spacing w:line="276" w:lineRule="auto"/>
        <w:jc w:val="center"/>
        <w:rPr>
          <w:b/>
          <w:spacing w:val="-3"/>
        </w:rPr>
      </w:pPr>
      <w:r w:rsidRPr="00400B8D">
        <w:rPr>
          <w:b/>
          <w:spacing w:val="-3"/>
        </w:rPr>
        <w:t>(1) MACKAYS STORES GROUP LIMITED</w:t>
      </w:r>
    </w:p>
    <w:p w14:paraId="0526CA08" w14:textId="77777777" w:rsidR="00A36141" w:rsidRPr="00400B8D" w:rsidRDefault="00A36141" w:rsidP="00A36141">
      <w:pPr>
        <w:spacing w:line="276" w:lineRule="auto"/>
        <w:jc w:val="center"/>
        <w:rPr>
          <w:b/>
          <w:spacing w:val="-3"/>
        </w:rPr>
      </w:pPr>
      <w:r w:rsidRPr="00400B8D">
        <w:rPr>
          <w:b/>
          <w:spacing w:val="-3"/>
        </w:rPr>
        <w:t>(2) MACKAYS STORES (HOLDINGS) LIMITED</w:t>
      </w:r>
    </w:p>
    <w:p w14:paraId="3C215831" w14:textId="77777777" w:rsidR="00A36141" w:rsidRPr="00400B8D" w:rsidRDefault="00A36141" w:rsidP="00A36141">
      <w:pPr>
        <w:spacing w:line="276" w:lineRule="auto"/>
        <w:jc w:val="center"/>
        <w:rPr>
          <w:b/>
          <w:spacing w:val="-3"/>
        </w:rPr>
      </w:pPr>
      <w:r w:rsidRPr="00400B8D">
        <w:rPr>
          <w:b/>
          <w:spacing w:val="-3"/>
        </w:rPr>
        <w:t>(3) M.E.G. RENEWABLES LIMITED</w:t>
      </w:r>
    </w:p>
    <w:p w14:paraId="66412DFC" w14:textId="77777777" w:rsidR="00A36141" w:rsidRPr="00400B8D" w:rsidRDefault="00A36141" w:rsidP="00A36141">
      <w:pPr>
        <w:spacing w:line="276" w:lineRule="auto"/>
        <w:jc w:val="center"/>
        <w:rPr>
          <w:b/>
          <w:spacing w:val="-3"/>
        </w:rPr>
      </w:pPr>
      <w:r w:rsidRPr="00400B8D">
        <w:rPr>
          <w:b/>
          <w:spacing w:val="-3"/>
        </w:rPr>
        <w:t>(4) M.E.G. GLENKILN LIMITED</w:t>
      </w:r>
    </w:p>
    <w:p w14:paraId="6D8E02BF" w14:textId="77777777" w:rsidR="00A36141" w:rsidRPr="00400B8D" w:rsidRDefault="00A36141" w:rsidP="00A36141">
      <w:pPr>
        <w:spacing w:line="276" w:lineRule="auto"/>
        <w:jc w:val="center"/>
        <w:rPr>
          <w:b/>
          <w:spacing w:val="-3"/>
        </w:rPr>
      </w:pPr>
      <w:r w:rsidRPr="00400B8D">
        <w:rPr>
          <w:b/>
          <w:spacing w:val="-3"/>
        </w:rPr>
        <w:t>(5) MACKAYS GROUP TRUSTEES LIMITED</w:t>
      </w:r>
    </w:p>
    <w:p w14:paraId="7C0C504B" w14:textId="77777777" w:rsidR="00A36141" w:rsidRPr="00400B8D" w:rsidRDefault="00A36141" w:rsidP="00A36141">
      <w:pPr>
        <w:spacing w:line="276" w:lineRule="auto"/>
        <w:jc w:val="center"/>
        <w:rPr>
          <w:b/>
          <w:spacing w:val="-3"/>
        </w:rPr>
      </w:pPr>
      <w:r w:rsidRPr="00400B8D">
        <w:rPr>
          <w:b/>
          <w:spacing w:val="-3"/>
        </w:rPr>
        <w:t>(6) LAROQUE LIMITED</w:t>
      </w:r>
    </w:p>
    <w:p w14:paraId="7F7157A3" w14:textId="77777777" w:rsidR="00A36141" w:rsidRPr="00400B8D" w:rsidRDefault="00A36141" w:rsidP="00A36141">
      <w:pPr>
        <w:spacing w:line="276" w:lineRule="auto"/>
        <w:jc w:val="center"/>
        <w:rPr>
          <w:b/>
          <w:spacing w:val="-3"/>
        </w:rPr>
      </w:pPr>
      <w:r w:rsidRPr="00400B8D">
        <w:rPr>
          <w:b/>
          <w:spacing w:val="-3"/>
        </w:rPr>
        <w:t>(7) WILLIAM MCILROY SWINDON LIMITED</w:t>
      </w:r>
    </w:p>
    <w:p w14:paraId="3A3BF4F0" w14:textId="77777777" w:rsidR="00A36141" w:rsidRPr="00400B8D" w:rsidRDefault="00A36141" w:rsidP="00A36141">
      <w:pPr>
        <w:spacing w:line="276" w:lineRule="auto"/>
        <w:jc w:val="center"/>
        <w:rPr>
          <w:b/>
          <w:spacing w:val="-3"/>
        </w:rPr>
      </w:pPr>
      <w:r w:rsidRPr="00400B8D">
        <w:rPr>
          <w:b/>
          <w:spacing w:val="-3"/>
        </w:rPr>
        <w:t>(8) JANPRO LIMITED</w:t>
      </w:r>
    </w:p>
    <w:p w14:paraId="2930643F" w14:textId="77777777" w:rsidR="00A36141" w:rsidRPr="00400B8D" w:rsidRDefault="00A36141" w:rsidP="00A36141">
      <w:pPr>
        <w:spacing w:line="276" w:lineRule="auto"/>
        <w:jc w:val="center"/>
        <w:rPr>
          <w:b/>
          <w:spacing w:val="-3"/>
        </w:rPr>
      </w:pPr>
      <w:r w:rsidRPr="00400B8D">
        <w:rPr>
          <w:b/>
          <w:spacing w:val="-3"/>
        </w:rPr>
        <w:t>(9) G.E. WORTHINGTON LIMITED</w:t>
      </w:r>
    </w:p>
    <w:p w14:paraId="5D077CD8" w14:textId="40827C2F" w:rsidR="005768A8" w:rsidRPr="00400B8D" w:rsidRDefault="00A36141" w:rsidP="00A36141">
      <w:pPr>
        <w:spacing w:line="276" w:lineRule="auto"/>
        <w:jc w:val="right"/>
        <w:rPr>
          <w:b/>
          <w:spacing w:val="-3"/>
        </w:rPr>
      </w:pPr>
      <w:r w:rsidRPr="00400B8D">
        <w:rPr>
          <w:b/>
          <w:spacing w:val="-3"/>
        </w:rPr>
        <w:t>Defendants</w:t>
      </w:r>
    </w:p>
    <w:p w14:paraId="034D620F" w14:textId="77777777" w:rsidR="005768A8" w:rsidRPr="00400B8D" w:rsidRDefault="00716F26" w:rsidP="001F53CD">
      <w:pPr>
        <w:spacing w:line="276" w:lineRule="auto"/>
        <w:jc w:val="center"/>
        <w:rPr>
          <w:spacing w:val="-3"/>
        </w:rPr>
      </w:pPr>
      <w:r w:rsidRPr="00400B8D">
        <w:rPr>
          <w:spacing w:val="-3"/>
        </w:rPr>
        <w:t>- - - - - - - - - - - - - - - - - - - - -</w:t>
      </w:r>
    </w:p>
    <w:p w14:paraId="50D6F351" w14:textId="3D41F3A6" w:rsidR="007C7753" w:rsidRPr="00400B8D" w:rsidRDefault="007C7753" w:rsidP="001F53CD">
      <w:pPr>
        <w:spacing w:line="276" w:lineRule="auto"/>
        <w:jc w:val="center"/>
        <w:rPr>
          <w:b/>
          <w:spacing w:val="-3"/>
        </w:rPr>
      </w:pPr>
      <w:r w:rsidRPr="00400B8D">
        <w:rPr>
          <w:b/>
          <w:spacing w:val="-3"/>
        </w:rPr>
        <w:t>JUDGMENT</w:t>
      </w:r>
    </w:p>
    <w:p w14:paraId="7E10B87E" w14:textId="7521247A" w:rsidR="005768A8" w:rsidRPr="00400B8D" w:rsidRDefault="00716F26" w:rsidP="005762C1">
      <w:pPr>
        <w:spacing w:line="276" w:lineRule="auto"/>
        <w:jc w:val="center"/>
        <w:rPr>
          <w:spacing w:val="-3"/>
        </w:rPr>
      </w:pPr>
      <w:r w:rsidRPr="00400B8D">
        <w:rPr>
          <w:spacing w:val="-3"/>
        </w:rPr>
        <w:t>- - - - - - - - - - - - - - - - - - - - -</w:t>
      </w:r>
    </w:p>
    <w:p w14:paraId="3E90393A" w14:textId="4D8F74AC" w:rsidR="00352167" w:rsidRPr="00400B8D" w:rsidRDefault="00ED3E4E" w:rsidP="00352167">
      <w:pPr>
        <w:jc w:val="center"/>
        <w:rPr>
          <w:bCs/>
          <w:spacing w:val="-3"/>
        </w:rPr>
      </w:pPr>
      <w:r w:rsidRPr="00400B8D">
        <w:rPr>
          <w:bCs/>
          <w:spacing w:val="-3"/>
        </w:rPr>
        <w:t xml:space="preserve"> </w:t>
      </w:r>
      <w:r w:rsidR="00FB5A46" w:rsidRPr="00400B8D">
        <w:rPr>
          <w:bCs/>
          <w:spacing w:val="-3"/>
        </w:rPr>
        <w:t xml:space="preserve">Rebecca Drake </w:t>
      </w:r>
      <w:r w:rsidRPr="00400B8D">
        <w:rPr>
          <w:bCs/>
          <w:spacing w:val="-3"/>
        </w:rPr>
        <w:t xml:space="preserve">(instructed by </w:t>
      </w:r>
      <w:r w:rsidR="00FB5A46" w:rsidRPr="00400B8D">
        <w:rPr>
          <w:bCs/>
          <w:spacing w:val="-3"/>
        </w:rPr>
        <w:t>Gateley Plc</w:t>
      </w:r>
      <w:r w:rsidRPr="00400B8D">
        <w:rPr>
          <w:bCs/>
          <w:spacing w:val="-3"/>
        </w:rPr>
        <w:t xml:space="preserve">) </w:t>
      </w:r>
      <w:r w:rsidR="00352167" w:rsidRPr="00400B8D">
        <w:rPr>
          <w:bCs/>
          <w:spacing w:val="-3"/>
        </w:rPr>
        <w:t xml:space="preserve">for the </w:t>
      </w:r>
      <w:r w:rsidR="00ED6F9D" w:rsidRPr="00400B8D">
        <w:rPr>
          <w:spacing w:val="-3"/>
        </w:rPr>
        <w:t>Claimant</w:t>
      </w:r>
      <w:r w:rsidR="007C7753" w:rsidRPr="00400B8D">
        <w:rPr>
          <w:spacing w:val="-3"/>
        </w:rPr>
        <w:t>s</w:t>
      </w:r>
    </w:p>
    <w:p w14:paraId="3DF03DF6" w14:textId="4186BB60" w:rsidR="00352167" w:rsidRPr="00400B8D" w:rsidRDefault="00FB5A46" w:rsidP="00352167">
      <w:pPr>
        <w:jc w:val="center"/>
        <w:rPr>
          <w:spacing w:val="-3"/>
        </w:rPr>
      </w:pPr>
      <w:r w:rsidRPr="00400B8D">
        <w:rPr>
          <w:spacing w:val="-3"/>
        </w:rPr>
        <w:t xml:space="preserve">Iain Quirk </w:t>
      </w:r>
      <w:r w:rsidR="00ED3E4E" w:rsidRPr="00400B8D">
        <w:rPr>
          <w:spacing w:val="-3"/>
        </w:rPr>
        <w:t xml:space="preserve">QC </w:t>
      </w:r>
      <w:r w:rsidR="00352167" w:rsidRPr="00400B8D">
        <w:rPr>
          <w:bCs/>
          <w:spacing w:val="-3"/>
        </w:rPr>
        <w:t>(instructed by</w:t>
      </w:r>
      <w:r w:rsidR="00A36141" w:rsidRPr="00400B8D">
        <w:rPr>
          <w:bCs/>
          <w:spacing w:val="-3"/>
        </w:rPr>
        <w:t xml:space="preserve"> </w:t>
      </w:r>
      <w:r w:rsidRPr="00400B8D">
        <w:rPr>
          <w:bCs/>
          <w:spacing w:val="-3"/>
        </w:rPr>
        <w:t>Harper McLeod LLP) on behalf of the First to Third, Fifth to Sixth and Eighth to Ninth</w:t>
      </w:r>
      <w:r w:rsidR="00A36141" w:rsidRPr="00400B8D">
        <w:rPr>
          <w:bCs/>
          <w:spacing w:val="-3"/>
        </w:rPr>
        <w:t xml:space="preserve"> </w:t>
      </w:r>
      <w:r w:rsidR="00352167" w:rsidRPr="00400B8D">
        <w:rPr>
          <w:spacing w:val="-3"/>
        </w:rPr>
        <w:t>Defendant</w:t>
      </w:r>
      <w:r w:rsidR="007C7753" w:rsidRPr="00400B8D">
        <w:rPr>
          <w:spacing w:val="-3"/>
        </w:rPr>
        <w:t>s</w:t>
      </w:r>
    </w:p>
    <w:p w14:paraId="4485E2AE" w14:textId="0184F1D7" w:rsidR="00352167" w:rsidRPr="00400B8D" w:rsidRDefault="00FB5A46" w:rsidP="00FB5A46">
      <w:pPr>
        <w:jc w:val="center"/>
        <w:rPr>
          <w:spacing w:val="-3"/>
        </w:rPr>
      </w:pPr>
      <w:r w:rsidRPr="00400B8D">
        <w:rPr>
          <w:spacing w:val="-3"/>
        </w:rPr>
        <w:t>The Fourth and Seventh Defendants did not appear and were unrepresented</w:t>
      </w:r>
    </w:p>
    <w:p w14:paraId="5F55FEA8" w14:textId="572B0096" w:rsidR="00352167" w:rsidRPr="00400B8D" w:rsidRDefault="00352167" w:rsidP="00352167">
      <w:pPr>
        <w:jc w:val="center"/>
        <w:rPr>
          <w:spacing w:val="-3"/>
        </w:rPr>
      </w:pPr>
      <w:r w:rsidRPr="00400B8D">
        <w:rPr>
          <w:spacing w:val="-3"/>
        </w:rPr>
        <w:t xml:space="preserve">Hearing date: </w:t>
      </w:r>
      <w:r w:rsidR="00FB5A46" w:rsidRPr="00400B8D">
        <w:rPr>
          <w:spacing w:val="-3"/>
        </w:rPr>
        <w:t>5 July</w:t>
      </w:r>
      <w:r w:rsidR="003C5F4E" w:rsidRPr="00400B8D">
        <w:rPr>
          <w:spacing w:val="-3"/>
        </w:rPr>
        <w:t xml:space="preserve"> 2022</w:t>
      </w:r>
    </w:p>
    <w:p w14:paraId="7363DE09" w14:textId="70DDFD1C" w:rsidR="006E327E" w:rsidRPr="00400B8D" w:rsidRDefault="00716F26" w:rsidP="00694006">
      <w:pPr>
        <w:spacing w:line="276" w:lineRule="auto"/>
        <w:jc w:val="center"/>
        <w:rPr>
          <w:spacing w:val="-3"/>
        </w:rPr>
      </w:pPr>
      <w:r w:rsidRPr="00400B8D">
        <w:rPr>
          <w:spacing w:val="-3"/>
        </w:rPr>
        <w:t>- - - - - - - - - - - - - - - - - - - - -</w:t>
      </w:r>
    </w:p>
    <w:p w14:paraId="7353DDA6" w14:textId="77777777" w:rsidR="006F03DC" w:rsidRPr="006F03DC" w:rsidRDefault="006F03DC" w:rsidP="006F03DC">
      <w:pPr>
        <w:spacing w:after="240"/>
        <w:rPr>
          <w:b/>
        </w:rPr>
      </w:pPr>
    </w:p>
    <w:p w14:paraId="6EDCAC26" w14:textId="4CD6F942" w:rsidR="006F03DC" w:rsidRPr="006F03DC" w:rsidRDefault="006F03DC" w:rsidP="006F03DC">
      <w:pPr>
        <w:spacing w:after="240"/>
        <w:rPr>
          <w:b/>
        </w:rPr>
      </w:pPr>
      <w:r w:rsidRPr="006F03DC">
        <w:rPr>
          <w:b/>
        </w:rPr>
        <w:lastRenderedPageBreak/>
        <w:t>I direct that pursuant to CPR PD 39A para 6.1 no official shorthand note shall be taken of this Judgment and that copies of this version as handed down may be treated as authentic.</w:t>
      </w:r>
    </w:p>
    <w:p w14:paraId="742CEC78" w14:textId="77777777" w:rsidR="00F86605" w:rsidRDefault="00F86605" w:rsidP="006F03DC">
      <w:pPr>
        <w:spacing w:after="240"/>
        <w:rPr>
          <w:b/>
        </w:rPr>
      </w:pPr>
    </w:p>
    <w:p w14:paraId="46A80ACC" w14:textId="1166F7C0" w:rsidR="006F03DC" w:rsidRDefault="006F03DC" w:rsidP="006F03DC">
      <w:pPr>
        <w:spacing w:after="240"/>
        <w:rPr>
          <w:b/>
        </w:rPr>
      </w:pPr>
      <w:r w:rsidRPr="006F03DC">
        <w:rPr>
          <w:b/>
        </w:rPr>
        <w:t xml:space="preserve">This judgment has been handed down by the judge remotely by circulation to the parties’ representatives by email and release to </w:t>
      </w:r>
      <w:r w:rsidR="00F86605">
        <w:rPr>
          <w:b/>
        </w:rPr>
        <w:t>the National Archives</w:t>
      </w:r>
      <w:r w:rsidRPr="006F03DC">
        <w:rPr>
          <w:b/>
        </w:rPr>
        <w:t xml:space="preserve">. The date for hand-down is deemed to be </w:t>
      </w:r>
      <w:r>
        <w:rPr>
          <w:b/>
        </w:rPr>
        <w:t>25 July</w:t>
      </w:r>
      <w:r w:rsidRPr="006F03DC">
        <w:rPr>
          <w:b/>
        </w:rPr>
        <w:t xml:space="preserve"> 2022.</w:t>
      </w:r>
    </w:p>
    <w:p w14:paraId="6D8F3966" w14:textId="77777777" w:rsidR="006F03DC" w:rsidRDefault="006F03DC" w:rsidP="00352167">
      <w:pPr>
        <w:spacing w:after="240"/>
        <w:rPr>
          <w:b/>
        </w:rPr>
      </w:pPr>
    </w:p>
    <w:p w14:paraId="715A14AF" w14:textId="77777777" w:rsidR="006F03DC" w:rsidRDefault="006F03DC" w:rsidP="00352167">
      <w:pPr>
        <w:spacing w:after="240"/>
        <w:rPr>
          <w:b/>
        </w:rPr>
      </w:pPr>
    </w:p>
    <w:p w14:paraId="2055BFD8" w14:textId="2A9A0261" w:rsidR="00352167" w:rsidRPr="00400B8D" w:rsidRDefault="00352167" w:rsidP="00352167">
      <w:pPr>
        <w:spacing w:after="240"/>
      </w:pPr>
      <w:r w:rsidRPr="00400B8D">
        <w:rPr>
          <w:b/>
        </w:rPr>
        <w:t>PHILIP MARSHALL QC:</w:t>
      </w:r>
      <w:r w:rsidRPr="00400B8D">
        <w:t xml:space="preserve"> </w:t>
      </w:r>
    </w:p>
    <w:p w14:paraId="0B6AC054" w14:textId="14AD7C71" w:rsidR="00352167" w:rsidRPr="00400B8D" w:rsidRDefault="00352167" w:rsidP="00F46FBF">
      <w:pPr>
        <w:spacing w:after="240"/>
        <w:rPr>
          <w:b/>
          <w:u w:val="single"/>
        </w:rPr>
      </w:pPr>
      <w:r w:rsidRPr="00400B8D">
        <w:rPr>
          <w:b/>
          <w:u w:val="single"/>
        </w:rPr>
        <w:t>Introduction</w:t>
      </w:r>
    </w:p>
    <w:p w14:paraId="7AE78D32" w14:textId="1111DCDE" w:rsidR="00ED3E4E" w:rsidRPr="00400B8D" w:rsidRDefault="00694006" w:rsidP="00F46FBF">
      <w:pPr>
        <w:pStyle w:val="ListParagraph"/>
        <w:numPr>
          <w:ilvl w:val="0"/>
          <w:numId w:val="21"/>
        </w:numPr>
        <w:autoSpaceDN/>
        <w:spacing w:line="360" w:lineRule="auto"/>
        <w:contextualSpacing/>
        <w:jc w:val="left"/>
        <w:textAlignment w:val="auto"/>
        <w:rPr>
          <w:rFonts w:ascii="Times New Roman" w:hAnsi="Times New Roman"/>
          <w:sz w:val="24"/>
          <w:szCs w:val="24"/>
        </w:rPr>
      </w:pPr>
      <w:r w:rsidRPr="00400B8D">
        <w:rPr>
          <w:rFonts w:ascii="Times New Roman" w:hAnsi="Times New Roman"/>
          <w:sz w:val="24"/>
          <w:szCs w:val="24"/>
        </w:rPr>
        <w:t xml:space="preserve">This is </w:t>
      </w:r>
      <w:r w:rsidR="00ED3E4E" w:rsidRPr="00400B8D">
        <w:rPr>
          <w:rFonts w:ascii="Times New Roman" w:hAnsi="Times New Roman"/>
          <w:sz w:val="24"/>
          <w:szCs w:val="24"/>
        </w:rPr>
        <w:t xml:space="preserve">the </w:t>
      </w:r>
      <w:r w:rsidR="00FB5A46" w:rsidRPr="00400B8D">
        <w:rPr>
          <w:rFonts w:ascii="Times New Roman" w:hAnsi="Times New Roman"/>
          <w:sz w:val="24"/>
          <w:szCs w:val="24"/>
        </w:rPr>
        <w:t xml:space="preserve">trial of a claim issued under Part 8 of the Civil Procedure Rules in which the Claimant </w:t>
      </w:r>
      <w:r w:rsidR="00FB5A46" w:rsidRPr="00400B8D">
        <w:rPr>
          <w:rFonts w:ascii="Times New Roman" w:hAnsi="Times New Roman"/>
          <w:b/>
          <w:bCs/>
          <w:sz w:val="24"/>
          <w:szCs w:val="24"/>
        </w:rPr>
        <w:t xml:space="preserve">(“Euler”) </w:t>
      </w:r>
      <w:r w:rsidR="00FB5A46" w:rsidRPr="00400B8D">
        <w:rPr>
          <w:rFonts w:ascii="Times New Roman" w:hAnsi="Times New Roman"/>
          <w:sz w:val="24"/>
          <w:szCs w:val="24"/>
        </w:rPr>
        <w:t xml:space="preserve">seeks sums alleged to be due under a contract of indemnity or damages for breach of that contract along with declarations as to its entitlement. </w:t>
      </w:r>
    </w:p>
    <w:p w14:paraId="22CB3B73" w14:textId="77777777" w:rsidR="00ED3E4E" w:rsidRPr="00400B8D" w:rsidRDefault="00ED3E4E" w:rsidP="00ED3E4E">
      <w:pPr>
        <w:pStyle w:val="ListParagraph"/>
        <w:autoSpaceDN/>
        <w:spacing w:line="360" w:lineRule="auto"/>
        <w:ind w:left="360"/>
        <w:contextualSpacing/>
        <w:jc w:val="left"/>
        <w:textAlignment w:val="auto"/>
        <w:rPr>
          <w:rFonts w:ascii="Times New Roman" w:hAnsi="Times New Roman"/>
          <w:sz w:val="24"/>
          <w:szCs w:val="24"/>
        </w:rPr>
      </w:pPr>
    </w:p>
    <w:p w14:paraId="3E9E28B7" w14:textId="294F1E60" w:rsidR="00ED3E4E" w:rsidRPr="00400B8D" w:rsidRDefault="00FB5A46" w:rsidP="00F46FBF">
      <w:pPr>
        <w:pStyle w:val="ListParagraph"/>
        <w:numPr>
          <w:ilvl w:val="0"/>
          <w:numId w:val="21"/>
        </w:numPr>
        <w:autoSpaceDN/>
        <w:spacing w:line="360" w:lineRule="auto"/>
        <w:contextualSpacing/>
        <w:jc w:val="left"/>
        <w:textAlignment w:val="auto"/>
        <w:rPr>
          <w:rFonts w:ascii="Times New Roman" w:hAnsi="Times New Roman"/>
          <w:sz w:val="24"/>
          <w:szCs w:val="24"/>
        </w:rPr>
      </w:pPr>
      <w:r w:rsidRPr="00400B8D">
        <w:rPr>
          <w:rFonts w:ascii="Times New Roman" w:hAnsi="Times New Roman"/>
          <w:sz w:val="24"/>
          <w:szCs w:val="24"/>
        </w:rPr>
        <w:t>No witnesses were called and the matter stands to be determined by reference to an agreed statement of facts, written evidence and the parties</w:t>
      </w:r>
      <w:r w:rsidR="001C6C74">
        <w:rPr>
          <w:rFonts w:ascii="Times New Roman" w:hAnsi="Times New Roman"/>
          <w:sz w:val="24"/>
          <w:szCs w:val="24"/>
        </w:rPr>
        <w:t>’</w:t>
      </w:r>
      <w:r w:rsidRPr="00400B8D">
        <w:rPr>
          <w:rFonts w:ascii="Times New Roman" w:hAnsi="Times New Roman"/>
          <w:sz w:val="24"/>
          <w:szCs w:val="24"/>
        </w:rPr>
        <w:t xml:space="preserve"> respective submissions</w:t>
      </w:r>
      <w:r w:rsidR="00ED3E4E" w:rsidRPr="00400B8D">
        <w:rPr>
          <w:rFonts w:ascii="Times New Roman" w:hAnsi="Times New Roman"/>
          <w:sz w:val="24"/>
          <w:szCs w:val="24"/>
        </w:rPr>
        <w:t xml:space="preserve">. </w:t>
      </w:r>
    </w:p>
    <w:p w14:paraId="77B2A889" w14:textId="66FED27D" w:rsidR="00000176" w:rsidRPr="00400B8D" w:rsidRDefault="00ED3E4E" w:rsidP="00FB5A46">
      <w:pPr>
        <w:autoSpaceDN/>
        <w:spacing w:line="360" w:lineRule="auto"/>
        <w:contextualSpacing/>
        <w:textAlignment w:val="auto"/>
      </w:pPr>
      <w:r w:rsidRPr="00400B8D">
        <w:t xml:space="preserve">   </w:t>
      </w:r>
    </w:p>
    <w:p w14:paraId="08FEB774" w14:textId="581D027C" w:rsidR="00694006" w:rsidRPr="00400B8D" w:rsidRDefault="00CE2B30" w:rsidP="00F46FBF">
      <w:pPr>
        <w:spacing w:line="360" w:lineRule="auto"/>
      </w:pPr>
      <w:r w:rsidRPr="00400B8D">
        <w:rPr>
          <w:b/>
          <w:u w:val="single"/>
        </w:rPr>
        <w:t>The Facts</w:t>
      </w:r>
      <w:r w:rsidR="00694006" w:rsidRPr="00400B8D">
        <w:t xml:space="preserve"> </w:t>
      </w:r>
    </w:p>
    <w:p w14:paraId="32C738B8" w14:textId="17367C12" w:rsidR="00FB5A46" w:rsidRPr="00400B8D" w:rsidRDefault="00FB5A46" w:rsidP="00F46FBF">
      <w:pPr>
        <w:pStyle w:val="ListParagraph"/>
        <w:numPr>
          <w:ilvl w:val="0"/>
          <w:numId w:val="21"/>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The following factual summary is largely derived from the agreed statement of facts and key documents which both parties have referred to. </w:t>
      </w:r>
    </w:p>
    <w:p w14:paraId="204271DE" w14:textId="77777777" w:rsidR="00FB5A46" w:rsidRPr="00400B8D" w:rsidRDefault="00FB5A46" w:rsidP="00FB5A46">
      <w:pPr>
        <w:pStyle w:val="ListParagraph"/>
        <w:autoSpaceDN/>
        <w:spacing w:line="360" w:lineRule="auto"/>
        <w:ind w:left="360"/>
        <w:contextualSpacing/>
        <w:textAlignment w:val="auto"/>
        <w:rPr>
          <w:rFonts w:ascii="Times New Roman" w:hAnsi="Times New Roman"/>
          <w:sz w:val="24"/>
          <w:szCs w:val="24"/>
        </w:rPr>
      </w:pPr>
    </w:p>
    <w:p w14:paraId="7242EEEB" w14:textId="14D10C08" w:rsidR="00FB5A46" w:rsidRPr="00400B8D" w:rsidRDefault="00FB5A46" w:rsidP="00F46FBF">
      <w:pPr>
        <w:pStyle w:val="ListParagraph"/>
        <w:numPr>
          <w:ilvl w:val="0"/>
          <w:numId w:val="21"/>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Euler carries on the business of providing insurance, bonds, guarantees and other financial instruments. </w:t>
      </w:r>
    </w:p>
    <w:p w14:paraId="570534EC" w14:textId="77777777" w:rsidR="00FB5A46" w:rsidRPr="00400B8D" w:rsidRDefault="00FB5A46" w:rsidP="00FB5A46">
      <w:pPr>
        <w:pStyle w:val="ListParagraph"/>
        <w:autoSpaceDN/>
        <w:spacing w:line="360" w:lineRule="auto"/>
        <w:ind w:left="360"/>
        <w:contextualSpacing/>
        <w:textAlignment w:val="auto"/>
        <w:rPr>
          <w:rFonts w:ascii="Times New Roman" w:hAnsi="Times New Roman"/>
          <w:sz w:val="24"/>
          <w:szCs w:val="24"/>
        </w:rPr>
      </w:pPr>
    </w:p>
    <w:p w14:paraId="690ABD38" w14:textId="77777777" w:rsidR="00FB5A46" w:rsidRPr="00400B8D" w:rsidRDefault="00FB5A46" w:rsidP="00FB5A46">
      <w:pPr>
        <w:pStyle w:val="ListParagraph"/>
        <w:numPr>
          <w:ilvl w:val="0"/>
          <w:numId w:val="21"/>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The Defendant companies are all members of the Mackay Stores Group, the principal business of which is or was high street clothing and homeware retail. </w:t>
      </w:r>
    </w:p>
    <w:p w14:paraId="5C09F03F" w14:textId="77777777" w:rsidR="00FB5A46" w:rsidRPr="00400B8D" w:rsidRDefault="00FB5A46" w:rsidP="00FB5A46">
      <w:pPr>
        <w:pStyle w:val="ListParagraph"/>
        <w:rPr>
          <w:rFonts w:ascii="Times New Roman" w:hAnsi="Times New Roman"/>
          <w:sz w:val="24"/>
          <w:szCs w:val="24"/>
        </w:rPr>
      </w:pPr>
    </w:p>
    <w:p w14:paraId="7097AE21" w14:textId="56EB5298" w:rsidR="00FB5A46" w:rsidRPr="00400B8D" w:rsidRDefault="00FB5A46" w:rsidP="00FB5A46">
      <w:pPr>
        <w:pStyle w:val="ListParagraph"/>
        <w:numPr>
          <w:ilvl w:val="0"/>
          <w:numId w:val="21"/>
        </w:numPr>
        <w:autoSpaceDN/>
        <w:spacing w:line="360" w:lineRule="auto"/>
        <w:contextualSpacing/>
        <w:textAlignment w:val="auto"/>
        <w:rPr>
          <w:rFonts w:ascii="Times New Roman" w:hAnsi="Times New Roman"/>
          <w:sz w:val="24"/>
          <w:szCs w:val="24"/>
        </w:rPr>
      </w:pPr>
      <w:proofErr w:type="spellStart"/>
      <w:r w:rsidRPr="00400B8D">
        <w:rPr>
          <w:rFonts w:ascii="Times New Roman" w:hAnsi="Times New Roman"/>
          <w:sz w:val="24"/>
          <w:szCs w:val="24"/>
        </w:rPr>
        <w:t>Mackays</w:t>
      </w:r>
      <w:proofErr w:type="spellEnd"/>
      <w:r w:rsidRPr="00400B8D">
        <w:rPr>
          <w:rFonts w:ascii="Times New Roman" w:hAnsi="Times New Roman"/>
          <w:sz w:val="24"/>
          <w:szCs w:val="24"/>
        </w:rPr>
        <w:t xml:space="preserve"> Stores Limited </w:t>
      </w:r>
      <w:r w:rsidRPr="00400B8D">
        <w:rPr>
          <w:rFonts w:ascii="Times New Roman" w:hAnsi="Times New Roman"/>
          <w:b/>
          <w:bCs/>
          <w:sz w:val="24"/>
          <w:szCs w:val="24"/>
        </w:rPr>
        <w:t>("MSL")</w:t>
      </w:r>
      <w:r w:rsidRPr="00400B8D">
        <w:rPr>
          <w:rFonts w:ascii="Times New Roman" w:hAnsi="Times New Roman"/>
          <w:sz w:val="24"/>
          <w:szCs w:val="24"/>
        </w:rPr>
        <w:t xml:space="preserve"> was a wholly owned subsidiary of the Second Defendant, Mackay Stores Holdings Limited. MSL was formerly the principal trading company of the Mackay Stores group. MSL went into administration on 4 August 2020, and ceased trading the same day. </w:t>
      </w:r>
    </w:p>
    <w:p w14:paraId="06002439" w14:textId="5A086F05" w:rsidR="00FB5A46" w:rsidRPr="00400B8D" w:rsidRDefault="00FB5A46" w:rsidP="00FB5A46">
      <w:pPr>
        <w:autoSpaceDN/>
        <w:spacing w:line="360" w:lineRule="auto"/>
        <w:contextualSpacing/>
        <w:textAlignment w:val="auto"/>
      </w:pPr>
    </w:p>
    <w:p w14:paraId="4E7A587A" w14:textId="4415B714" w:rsidR="00FB5A46" w:rsidRPr="00400B8D" w:rsidRDefault="00FB5A46" w:rsidP="00FB5A46">
      <w:pPr>
        <w:pStyle w:val="ListParagraph"/>
        <w:numPr>
          <w:ilvl w:val="0"/>
          <w:numId w:val="21"/>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lastRenderedPageBreak/>
        <w:t xml:space="preserve">Euler provided a guarantee and bond facility dated 9 December 2013 to the First Defendant, Mackay Stores Group Limited, and </w:t>
      </w:r>
      <w:r w:rsidRPr="00400B8D">
        <w:rPr>
          <w:rFonts w:ascii="Times New Roman" w:hAnsi="Times New Roman"/>
          <w:i/>
          <w:iCs/>
          <w:sz w:val="24"/>
          <w:szCs w:val="24"/>
        </w:rPr>
        <w:t>"approved subsidiary companies"</w:t>
      </w:r>
      <w:r w:rsidRPr="00400B8D">
        <w:rPr>
          <w:rFonts w:ascii="Times New Roman" w:hAnsi="Times New Roman"/>
          <w:sz w:val="24"/>
          <w:szCs w:val="24"/>
        </w:rPr>
        <w:t xml:space="preserve"> (which in the proceedings have been treated as MSL and the Defendants) </w:t>
      </w:r>
      <w:r w:rsidRPr="00400B8D">
        <w:rPr>
          <w:rFonts w:ascii="Times New Roman" w:hAnsi="Times New Roman"/>
          <w:b/>
          <w:bCs/>
          <w:sz w:val="24"/>
          <w:szCs w:val="24"/>
        </w:rPr>
        <w:t>("the Facility")</w:t>
      </w:r>
      <w:r w:rsidRPr="00400B8D">
        <w:rPr>
          <w:rFonts w:ascii="Times New Roman" w:hAnsi="Times New Roman"/>
          <w:sz w:val="24"/>
          <w:szCs w:val="24"/>
        </w:rPr>
        <w:t xml:space="preserve">.  The scope of the Facility was the provision of bonds and guarantees </w:t>
      </w:r>
      <w:r w:rsidRPr="00400B8D">
        <w:rPr>
          <w:rFonts w:ascii="Times New Roman" w:hAnsi="Times New Roman"/>
          <w:i/>
          <w:iCs/>
          <w:sz w:val="24"/>
          <w:szCs w:val="24"/>
        </w:rPr>
        <w:t>"relating to the contractual obligation of [MSL and the Defendants] as required by parties contracting with [MSL and the Defendants]"</w:t>
      </w:r>
      <w:r w:rsidRPr="00400B8D">
        <w:rPr>
          <w:rFonts w:ascii="Times New Roman" w:hAnsi="Times New Roman"/>
          <w:sz w:val="24"/>
          <w:szCs w:val="24"/>
        </w:rPr>
        <w:t>.</w:t>
      </w:r>
    </w:p>
    <w:p w14:paraId="46A11BE2" w14:textId="6CD31F7E" w:rsidR="00FB5A46" w:rsidRPr="00400B8D" w:rsidRDefault="00FB5A46" w:rsidP="00FB5A46">
      <w:pPr>
        <w:autoSpaceDN/>
        <w:spacing w:line="360" w:lineRule="auto"/>
        <w:contextualSpacing/>
        <w:textAlignment w:val="auto"/>
      </w:pPr>
    </w:p>
    <w:p w14:paraId="2DB78598" w14:textId="101D45A6" w:rsidR="00FB5A46" w:rsidRPr="00400B8D" w:rsidRDefault="00FB5A46" w:rsidP="00FB5A46">
      <w:pPr>
        <w:pStyle w:val="ListParagraph"/>
        <w:numPr>
          <w:ilvl w:val="0"/>
          <w:numId w:val="21"/>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The period of the Facility was </w:t>
      </w:r>
      <w:r w:rsidRPr="00400B8D">
        <w:rPr>
          <w:rFonts w:ascii="Times New Roman" w:hAnsi="Times New Roman"/>
          <w:i/>
          <w:iCs/>
          <w:sz w:val="24"/>
          <w:szCs w:val="24"/>
        </w:rPr>
        <w:t>"until terminated by [Euler] by notice in writing or as and when [Euler] have been released from all liabilities and obligations under any Bonds issued under the Facility"</w:t>
      </w:r>
      <w:r w:rsidRPr="00400B8D">
        <w:rPr>
          <w:rFonts w:ascii="Times New Roman" w:hAnsi="Times New Roman"/>
          <w:sz w:val="24"/>
          <w:szCs w:val="24"/>
        </w:rPr>
        <w:t>.</w:t>
      </w:r>
    </w:p>
    <w:p w14:paraId="4E059A71" w14:textId="77777777" w:rsidR="00F90D40" w:rsidRPr="00400B8D" w:rsidRDefault="00F90D40" w:rsidP="00F90D40">
      <w:pPr>
        <w:pStyle w:val="ListParagraph"/>
        <w:autoSpaceDN/>
        <w:spacing w:line="360" w:lineRule="auto"/>
        <w:ind w:left="360"/>
        <w:contextualSpacing/>
        <w:textAlignment w:val="auto"/>
        <w:rPr>
          <w:rFonts w:ascii="Times New Roman" w:hAnsi="Times New Roman"/>
          <w:sz w:val="24"/>
          <w:szCs w:val="24"/>
        </w:rPr>
      </w:pPr>
    </w:p>
    <w:p w14:paraId="748CDF8C" w14:textId="138BCF94" w:rsidR="00FB5A46" w:rsidRPr="00400B8D" w:rsidRDefault="00FB5A46" w:rsidP="00FB5A46">
      <w:pPr>
        <w:pStyle w:val="ListParagraph"/>
        <w:numPr>
          <w:ilvl w:val="0"/>
          <w:numId w:val="21"/>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The Facility provided for a counter-indemnity to be provided by MSL and the Defendants: "</w:t>
      </w:r>
      <w:r w:rsidRPr="00400B8D">
        <w:rPr>
          <w:rFonts w:ascii="Times New Roman" w:hAnsi="Times New Roman"/>
          <w:i/>
          <w:iCs/>
          <w:sz w:val="24"/>
          <w:szCs w:val="24"/>
        </w:rPr>
        <w:t>The counter-indemnity of [MSL and the Defendants] in the form of the Agreement of Indemnity attached, is to be provided as a condition of the provision of the Facility".</w:t>
      </w:r>
    </w:p>
    <w:p w14:paraId="5C5FA183" w14:textId="77777777" w:rsidR="00FB5A46" w:rsidRPr="00400B8D" w:rsidRDefault="00FB5A46" w:rsidP="00FB5A46">
      <w:pPr>
        <w:pStyle w:val="ListParagraph"/>
        <w:autoSpaceDN/>
        <w:spacing w:line="360" w:lineRule="auto"/>
        <w:ind w:left="360"/>
        <w:contextualSpacing/>
        <w:textAlignment w:val="auto"/>
        <w:rPr>
          <w:rFonts w:ascii="Times New Roman" w:hAnsi="Times New Roman"/>
          <w:sz w:val="24"/>
          <w:szCs w:val="24"/>
        </w:rPr>
      </w:pPr>
    </w:p>
    <w:p w14:paraId="41C82BAE" w14:textId="3E31E42B" w:rsidR="00FB5A46" w:rsidRPr="00400B8D" w:rsidRDefault="00FB5A46" w:rsidP="00FB5A46">
      <w:pPr>
        <w:pStyle w:val="ListParagraph"/>
        <w:numPr>
          <w:ilvl w:val="0"/>
          <w:numId w:val="21"/>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A week later, on 16 December 2013, Euler and the Defendants together with </w:t>
      </w:r>
      <w:proofErr w:type="gramStart"/>
      <w:r w:rsidRPr="00400B8D">
        <w:rPr>
          <w:rFonts w:ascii="Times New Roman" w:hAnsi="Times New Roman"/>
          <w:sz w:val="24"/>
          <w:szCs w:val="24"/>
        </w:rPr>
        <w:t>MSL  entered</w:t>
      </w:r>
      <w:proofErr w:type="gramEnd"/>
      <w:r w:rsidRPr="00400B8D">
        <w:rPr>
          <w:rFonts w:ascii="Times New Roman" w:hAnsi="Times New Roman"/>
          <w:sz w:val="24"/>
          <w:szCs w:val="24"/>
        </w:rPr>
        <w:t xml:space="preserve"> into the counter-indemnity </w:t>
      </w:r>
      <w:r w:rsidRPr="00400B8D">
        <w:rPr>
          <w:rFonts w:ascii="Times New Roman" w:hAnsi="Times New Roman"/>
          <w:b/>
          <w:sz w:val="24"/>
          <w:szCs w:val="24"/>
        </w:rPr>
        <w:t>("the Indemnity")</w:t>
      </w:r>
      <w:r w:rsidRPr="00400B8D">
        <w:rPr>
          <w:rFonts w:ascii="Times New Roman" w:hAnsi="Times New Roman"/>
          <w:sz w:val="24"/>
          <w:szCs w:val="24"/>
        </w:rPr>
        <w:t>. This provided in material part as follows:</w:t>
      </w:r>
    </w:p>
    <w:p w14:paraId="6EB98424" w14:textId="77777777" w:rsidR="00FB5A46" w:rsidRPr="00400B8D" w:rsidRDefault="00FB5A46" w:rsidP="00FB5A46">
      <w:pPr>
        <w:pStyle w:val="ListParagraph"/>
        <w:autoSpaceDN/>
        <w:spacing w:line="360" w:lineRule="auto"/>
        <w:ind w:left="360"/>
        <w:contextualSpacing/>
        <w:textAlignment w:val="auto"/>
        <w:rPr>
          <w:rFonts w:ascii="Times New Roman" w:hAnsi="Times New Roman"/>
          <w:sz w:val="24"/>
          <w:szCs w:val="24"/>
        </w:rPr>
      </w:pPr>
    </w:p>
    <w:p w14:paraId="0170E4B7" w14:textId="703035C7" w:rsidR="00FB5A46" w:rsidRPr="00400B8D" w:rsidRDefault="00FB5A46" w:rsidP="00FB5A46">
      <w:pPr>
        <w:pStyle w:val="ListParagraph"/>
        <w:numPr>
          <w:ilvl w:val="1"/>
          <w:numId w:val="26"/>
        </w:numPr>
        <w:autoSpaceDN/>
        <w:spacing w:line="360" w:lineRule="auto"/>
        <w:contextualSpacing/>
        <w:textAlignment w:val="auto"/>
        <w:rPr>
          <w:rFonts w:ascii="Times New Roman" w:hAnsi="Times New Roman"/>
          <w:sz w:val="24"/>
          <w:szCs w:val="24"/>
        </w:rPr>
      </w:pPr>
      <w:r w:rsidRPr="00400B8D">
        <w:rPr>
          <w:rFonts w:ascii="Times New Roman" w:hAnsi="Times New Roman"/>
          <w:i/>
          <w:iCs/>
          <w:sz w:val="24"/>
          <w:szCs w:val="24"/>
        </w:rPr>
        <w:t xml:space="preserve">"[the Defendants and MSL] will at all times indemnify and save harmless [Euler] against and from Ultimate Liability" </w:t>
      </w:r>
      <w:r w:rsidRPr="00400B8D">
        <w:rPr>
          <w:rFonts w:ascii="Times New Roman" w:hAnsi="Times New Roman"/>
          <w:sz w:val="24"/>
          <w:szCs w:val="24"/>
        </w:rPr>
        <w:t>(see clause (1))</w:t>
      </w:r>
      <w:r w:rsidRPr="00400B8D">
        <w:rPr>
          <w:rFonts w:ascii="Times New Roman" w:hAnsi="Times New Roman"/>
          <w:i/>
          <w:iCs/>
          <w:sz w:val="24"/>
          <w:szCs w:val="24"/>
        </w:rPr>
        <w:t xml:space="preserve">. “Ultimate Liability” </w:t>
      </w:r>
      <w:r w:rsidRPr="00400B8D">
        <w:rPr>
          <w:rFonts w:ascii="Times New Roman" w:hAnsi="Times New Roman"/>
          <w:sz w:val="24"/>
          <w:szCs w:val="24"/>
        </w:rPr>
        <w:t xml:space="preserve">was defined as </w:t>
      </w:r>
      <w:r w:rsidRPr="00400B8D">
        <w:rPr>
          <w:rFonts w:ascii="Times New Roman" w:hAnsi="Times New Roman"/>
          <w:i/>
          <w:iCs/>
          <w:sz w:val="24"/>
          <w:szCs w:val="24"/>
        </w:rPr>
        <w:t>“Any liability (actual, prospective or contingent) and also any claim and every other loss expense damage or cost of whatsoever nature and howsoever arising which at any time may be incurred by [Euler] in any way in connection with the Facility”</w:t>
      </w:r>
      <w:r w:rsidRPr="00400B8D">
        <w:rPr>
          <w:rFonts w:ascii="Times New Roman" w:hAnsi="Times New Roman"/>
          <w:sz w:val="24"/>
          <w:szCs w:val="24"/>
        </w:rPr>
        <w:t xml:space="preserve"> (see first recital);</w:t>
      </w:r>
    </w:p>
    <w:p w14:paraId="0483A21A" w14:textId="77777777" w:rsidR="00FB5A46" w:rsidRPr="00400B8D" w:rsidRDefault="00FB5A46" w:rsidP="00FB5A46">
      <w:pPr>
        <w:pStyle w:val="ListParagraph"/>
        <w:autoSpaceDN/>
        <w:spacing w:line="360" w:lineRule="auto"/>
        <w:ind w:left="1500"/>
        <w:contextualSpacing/>
        <w:textAlignment w:val="auto"/>
        <w:rPr>
          <w:rFonts w:ascii="Times New Roman" w:hAnsi="Times New Roman"/>
          <w:sz w:val="24"/>
          <w:szCs w:val="24"/>
        </w:rPr>
      </w:pPr>
    </w:p>
    <w:p w14:paraId="436ED334" w14:textId="3712ABBC" w:rsidR="00FB5A46" w:rsidRPr="00400B8D" w:rsidRDefault="00FB5A46" w:rsidP="00FB5A46">
      <w:pPr>
        <w:pStyle w:val="ListParagraph"/>
        <w:numPr>
          <w:ilvl w:val="1"/>
          <w:numId w:val="26"/>
        </w:numPr>
        <w:autoSpaceDN/>
        <w:spacing w:line="360" w:lineRule="auto"/>
        <w:contextualSpacing/>
        <w:textAlignment w:val="auto"/>
        <w:rPr>
          <w:rFonts w:ascii="Times New Roman" w:hAnsi="Times New Roman"/>
          <w:sz w:val="24"/>
          <w:szCs w:val="24"/>
        </w:rPr>
      </w:pPr>
      <w:r w:rsidRPr="00400B8D">
        <w:rPr>
          <w:rFonts w:ascii="Times New Roman" w:hAnsi="Times New Roman"/>
          <w:i/>
          <w:iCs/>
          <w:sz w:val="24"/>
          <w:szCs w:val="24"/>
        </w:rPr>
        <w:t>"any payment made by [Euler] in respect of Ultimate Liability shall be made at its sole discretion without the need for the authority of [the Defendants and MSL] or any of them and in the event of any such payment being made by [Euler] [the Defendants and MSL] shall pay to [Euler] on demand any amount so paid"</w:t>
      </w:r>
      <w:r w:rsidRPr="00400B8D">
        <w:rPr>
          <w:rFonts w:ascii="Times New Roman" w:hAnsi="Times New Roman"/>
          <w:sz w:val="24"/>
          <w:szCs w:val="24"/>
        </w:rPr>
        <w:t xml:space="preserve"> (see clause (4));</w:t>
      </w:r>
    </w:p>
    <w:p w14:paraId="2727EB9F" w14:textId="77777777" w:rsidR="00FB5A46" w:rsidRPr="00400B8D" w:rsidRDefault="00FB5A46" w:rsidP="00FB5A46">
      <w:pPr>
        <w:pStyle w:val="ListParagraph"/>
        <w:autoSpaceDN/>
        <w:spacing w:line="360" w:lineRule="auto"/>
        <w:ind w:left="360"/>
        <w:contextualSpacing/>
        <w:textAlignment w:val="auto"/>
        <w:rPr>
          <w:rFonts w:ascii="Times New Roman" w:hAnsi="Times New Roman"/>
          <w:sz w:val="24"/>
          <w:szCs w:val="24"/>
        </w:rPr>
      </w:pPr>
    </w:p>
    <w:p w14:paraId="1895AFF4" w14:textId="626372DC" w:rsidR="00FB5A46" w:rsidRPr="00400B8D" w:rsidRDefault="00FB5A46" w:rsidP="00FB5A46">
      <w:pPr>
        <w:pStyle w:val="ListParagraph"/>
        <w:numPr>
          <w:ilvl w:val="1"/>
          <w:numId w:val="26"/>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in the event of, among other things, the appointment of an administrator in respect of any of the Defendants, or MSL,  the Defendants and MSL </w:t>
      </w:r>
      <w:r w:rsidRPr="00400B8D">
        <w:rPr>
          <w:rFonts w:ascii="Times New Roman" w:hAnsi="Times New Roman"/>
          <w:i/>
          <w:iCs/>
          <w:sz w:val="24"/>
          <w:szCs w:val="24"/>
        </w:rPr>
        <w:t xml:space="preserve">"shall forthwith upon receipt of a demand in writing deposit with [Euler] such sum or </w:t>
      </w:r>
      <w:r w:rsidRPr="00400B8D">
        <w:rPr>
          <w:rFonts w:ascii="Times New Roman" w:hAnsi="Times New Roman"/>
          <w:i/>
          <w:iCs/>
          <w:sz w:val="24"/>
          <w:szCs w:val="24"/>
        </w:rPr>
        <w:lastRenderedPageBreak/>
        <w:t>sums as [Euler] shall specify"</w:t>
      </w:r>
      <w:r w:rsidRPr="00400B8D">
        <w:rPr>
          <w:rFonts w:ascii="Times New Roman" w:hAnsi="Times New Roman"/>
          <w:sz w:val="24"/>
          <w:szCs w:val="24"/>
        </w:rPr>
        <w:t xml:space="preserve">  and "</w:t>
      </w:r>
      <w:r w:rsidRPr="00400B8D">
        <w:rPr>
          <w:rFonts w:ascii="Times New Roman" w:hAnsi="Times New Roman"/>
          <w:i/>
          <w:iCs/>
          <w:sz w:val="24"/>
          <w:szCs w:val="24"/>
        </w:rPr>
        <w:t xml:space="preserve">such sum or sums deposited in accordance with Clause 5(a) above shall not in the aggregate exceed the amount of Ultimate Liability and shall be placed and held by and in the name of [Euler] on deposit with a bank of standing to be used, together with any interest earned or accruing thereon, to pay Ultimate Liability. Any surplus remaining after such payment or payments have been made together with any surplus of accrued interest shall be refunded to [the Defendants and MSL] who contributed to the deposit in the shares that those contributions were made" </w:t>
      </w:r>
      <w:r w:rsidRPr="00400B8D">
        <w:rPr>
          <w:rFonts w:ascii="Times New Roman" w:hAnsi="Times New Roman"/>
          <w:sz w:val="24"/>
          <w:szCs w:val="24"/>
        </w:rPr>
        <w:t>(see clauses 5(a) and (b)); and</w:t>
      </w:r>
    </w:p>
    <w:p w14:paraId="04CAEEB5" w14:textId="77777777" w:rsidR="00FB5A46" w:rsidRPr="00400B8D" w:rsidRDefault="00FB5A46" w:rsidP="00FB5A46">
      <w:pPr>
        <w:pStyle w:val="ListParagraph"/>
        <w:rPr>
          <w:rFonts w:ascii="Times New Roman" w:hAnsi="Times New Roman"/>
          <w:sz w:val="24"/>
          <w:szCs w:val="24"/>
        </w:rPr>
      </w:pPr>
    </w:p>
    <w:p w14:paraId="418BD17F" w14:textId="5D4FCBDD" w:rsidR="00FB5A46" w:rsidRPr="00400B8D" w:rsidRDefault="00FB5A46" w:rsidP="00FB5A46">
      <w:pPr>
        <w:pStyle w:val="ListParagraph"/>
        <w:numPr>
          <w:ilvl w:val="1"/>
          <w:numId w:val="26"/>
        </w:numPr>
        <w:autoSpaceDN/>
        <w:spacing w:line="360" w:lineRule="auto"/>
        <w:contextualSpacing/>
        <w:textAlignment w:val="auto"/>
        <w:rPr>
          <w:rFonts w:ascii="Times New Roman" w:hAnsi="Times New Roman"/>
          <w:sz w:val="24"/>
          <w:szCs w:val="24"/>
        </w:rPr>
      </w:pPr>
      <w:r w:rsidRPr="00400B8D">
        <w:rPr>
          <w:rFonts w:ascii="Times New Roman" w:hAnsi="Times New Roman"/>
          <w:i/>
          <w:iCs/>
          <w:sz w:val="24"/>
          <w:szCs w:val="24"/>
        </w:rPr>
        <w:t>"a demand in writing by the Company pursuant to the provisions of either Clause (4) or Clause (5)(a) above shall constitute conclusive evidence of the fact and the aggregate amount of the liability of the Indemnitors to the Company at the time of such demand"</w:t>
      </w:r>
      <w:r w:rsidRPr="00400B8D">
        <w:rPr>
          <w:rFonts w:ascii="Times New Roman" w:hAnsi="Times New Roman"/>
          <w:sz w:val="24"/>
          <w:szCs w:val="24"/>
        </w:rPr>
        <w:t xml:space="preserve"> (see clause (6)).</w:t>
      </w:r>
    </w:p>
    <w:p w14:paraId="1149A421" w14:textId="77777777" w:rsidR="00FB5A46" w:rsidRPr="00400B8D" w:rsidRDefault="00FB5A46" w:rsidP="00FB5A46">
      <w:pPr>
        <w:pStyle w:val="ListParagraph"/>
        <w:autoSpaceDN/>
        <w:spacing w:line="360" w:lineRule="auto"/>
        <w:ind w:left="1500"/>
        <w:contextualSpacing/>
        <w:textAlignment w:val="auto"/>
        <w:rPr>
          <w:rFonts w:ascii="Times New Roman" w:hAnsi="Times New Roman"/>
          <w:sz w:val="24"/>
          <w:szCs w:val="24"/>
        </w:rPr>
      </w:pPr>
    </w:p>
    <w:p w14:paraId="38ACE784" w14:textId="68409BAB" w:rsidR="00FB5A46" w:rsidRPr="00400B8D"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The only bond or guarantee entered into pursuant to the Facility was a guarantee provided by Euler to </w:t>
      </w:r>
      <w:r w:rsidR="00F90D40" w:rsidRPr="00400B8D">
        <w:rPr>
          <w:rFonts w:ascii="Times New Roman" w:hAnsi="Times New Roman"/>
          <w:sz w:val="24"/>
          <w:szCs w:val="24"/>
        </w:rPr>
        <w:t xml:space="preserve">the Commissioners of </w:t>
      </w:r>
      <w:r w:rsidRPr="00400B8D">
        <w:rPr>
          <w:rFonts w:ascii="Times New Roman" w:hAnsi="Times New Roman"/>
          <w:sz w:val="24"/>
          <w:szCs w:val="24"/>
        </w:rPr>
        <w:t xml:space="preserve">HM Revenue and Customs </w:t>
      </w:r>
      <w:r w:rsidRPr="00400B8D">
        <w:rPr>
          <w:rFonts w:ascii="Times New Roman" w:hAnsi="Times New Roman"/>
          <w:b/>
          <w:bCs/>
          <w:sz w:val="24"/>
          <w:szCs w:val="24"/>
        </w:rPr>
        <w:t>(“HMRC</w:t>
      </w:r>
      <w:proofErr w:type="gramStart"/>
      <w:r w:rsidRPr="00400B8D">
        <w:rPr>
          <w:rFonts w:ascii="Times New Roman" w:hAnsi="Times New Roman"/>
          <w:b/>
          <w:bCs/>
          <w:sz w:val="24"/>
          <w:szCs w:val="24"/>
        </w:rPr>
        <w:t>”)</w:t>
      </w:r>
      <w:r w:rsidRPr="00400B8D">
        <w:rPr>
          <w:rFonts w:ascii="Times New Roman" w:hAnsi="Times New Roman"/>
          <w:sz w:val="24"/>
          <w:szCs w:val="24"/>
        </w:rPr>
        <w:t xml:space="preserve">  dated</w:t>
      </w:r>
      <w:proofErr w:type="gramEnd"/>
      <w:r w:rsidRPr="00400B8D">
        <w:rPr>
          <w:rFonts w:ascii="Times New Roman" w:hAnsi="Times New Roman"/>
          <w:sz w:val="24"/>
          <w:szCs w:val="24"/>
        </w:rPr>
        <w:t xml:space="preserve"> 18 December 2013 and commencing on 1 January 2014 in respect of deferred tax owed by MSL to HMRC </w:t>
      </w:r>
      <w:r w:rsidRPr="00400B8D">
        <w:rPr>
          <w:rFonts w:ascii="Times New Roman" w:hAnsi="Times New Roman"/>
          <w:b/>
          <w:bCs/>
          <w:sz w:val="24"/>
          <w:szCs w:val="24"/>
        </w:rPr>
        <w:t>("the Guarantee")</w:t>
      </w:r>
      <w:r w:rsidRPr="00400B8D">
        <w:rPr>
          <w:rFonts w:ascii="Times New Roman" w:hAnsi="Times New Roman"/>
          <w:sz w:val="24"/>
          <w:szCs w:val="24"/>
        </w:rPr>
        <w:t xml:space="preserve">. This was an HMRC standard form document that contained the following material provisions: </w:t>
      </w:r>
    </w:p>
    <w:p w14:paraId="7053CA70" w14:textId="77777777" w:rsidR="00FB5A46" w:rsidRPr="00400B8D" w:rsidRDefault="00FB5A46" w:rsidP="00FB5A46">
      <w:pPr>
        <w:pStyle w:val="ListParagraph"/>
        <w:autoSpaceDN/>
        <w:spacing w:line="360" w:lineRule="auto"/>
        <w:ind w:left="420"/>
        <w:contextualSpacing/>
        <w:textAlignment w:val="auto"/>
        <w:rPr>
          <w:rFonts w:ascii="Times New Roman" w:hAnsi="Times New Roman"/>
          <w:sz w:val="24"/>
          <w:szCs w:val="24"/>
        </w:rPr>
      </w:pPr>
    </w:p>
    <w:p w14:paraId="6C26A43F" w14:textId="5B759B6C" w:rsidR="00FB5A46" w:rsidRPr="00400B8D" w:rsidRDefault="00FB5A46" w:rsidP="00FB5A46">
      <w:pPr>
        <w:pStyle w:val="ListParagraph"/>
        <w:numPr>
          <w:ilvl w:val="1"/>
          <w:numId w:val="26"/>
        </w:numPr>
        <w:autoSpaceDN/>
        <w:spacing w:line="360" w:lineRule="auto"/>
        <w:contextualSpacing/>
        <w:textAlignment w:val="auto"/>
        <w:rPr>
          <w:rFonts w:ascii="Times New Roman" w:hAnsi="Times New Roman"/>
          <w:sz w:val="24"/>
          <w:szCs w:val="24"/>
        </w:rPr>
      </w:pPr>
      <w:r w:rsidRPr="00400B8D">
        <w:rPr>
          <w:rFonts w:ascii="Times New Roman" w:hAnsi="Times New Roman"/>
          <w:i/>
          <w:iCs/>
          <w:sz w:val="24"/>
          <w:szCs w:val="24"/>
        </w:rPr>
        <w:t>"In consideration of [HMRC] allowing payment of duties, taxes, levies, charges, amounts and deposits in respect of the same to be deferred to prescribed payment days by [MSL] [Euler] guarantees to pay [HMRC] IMMEDIATELY ON DEMAND each and every sum for which deferment is allowed during the continuance of this guarantee"</w:t>
      </w:r>
      <w:r w:rsidRPr="00400B8D">
        <w:rPr>
          <w:rFonts w:ascii="Times New Roman" w:hAnsi="Times New Roman"/>
          <w:sz w:val="24"/>
          <w:szCs w:val="24"/>
        </w:rPr>
        <w:t xml:space="preserve"> (see clause 2a)); </w:t>
      </w:r>
    </w:p>
    <w:p w14:paraId="41336BA2" w14:textId="6518B620" w:rsidR="00FB5A46" w:rsidRPr="00400B8D" w:rsidRDefault="00FB5A46" w:rsidP="00FB5A46">
      <w:pPr>
        <w:autoSpaceDN/>
        <w:spacing w:line="360" w:lineRule="auto"/>
        <w:contextualSpacing/>
        <w:textAlignment w:val="auto"/>
      </w:pPr>
    </w:p>
    <w:p w14:paraId="7DBF4189" w14:textId="5401A6CB" w:rsidR="00FB5A46" w:rsidRPr="00400B8D" w:rsidRDefault="00FB5A46" w:rsidP="00FB5A46">
      <w:pPr>
        <w:pStyle w:val="ListParagraph"/>
        <w:numPr>
          <w:ilvl w:val="1"/>
          <w:numId w:val="26"/>
        </w:numPr>
        <w:autoSpaceDN/>
        <w:spacing w:line="360" w:lineRule="auto"/>
        <w:contextualSpacing/>
        <w:textAlignment w:val="auto"/>
        <w:rPr>
          <w:rFonts w:ascii="Times New Roman" w:hAnsi="Times New Roman"/>
          <w:sz w:val="24"/>
          <w:szCs w:val="24"/>
        </w:rPr>
      </w:pPr>
      <w:r w:rsidRPr="00400B8D">
        <w:rPr>
          <w:rFonts w:ascii="Times New Roman" w:hAnsi="Times New Roman"/>
          <w:i/>
          <w:iCs/>
          <w:sz w:val="24"/>
          <w:szCs w:val="24"/>
        </w:rPr>
        <w:t xml:space="preserve">“The liability of [Euler] shall be limited as follows: (a) in any one calendar month liability in respect of sums for which deferment is allowed in that month shall not exceed the amount of [£250,000] (b) the overall liability of [Euler] shall not exceed twice the amount set out in sub-paragraph (3a) above always provided that where payment of a deferred amount is sought by direct debit, advice of any default payment shall be received by HMRC’s bank not later than seven days after the default occurred” </w:t>
      </w:r>
      <w:r w:rsidRPr="00400B8D">
        <w:rPr>
          <w:rFonts w:ascii="Times New Roman" w:hAnsi="Times New Roman"/>
          <w:sz w:val="24"/>
          <w:szCs w:val="24"/>
        </w:rPr>
        <w:t>(clauses 3a) and b)); and</w:t>
      </w:r>
    </w:p>
    <w:p w14:paraId="4AD4F200" w14:textId="0B8779EA" w:rsidR="00FB5A46" w:rsidRPr="00400B8D" w:rsidRDefault="00FB5A46" w:rsidP="00FB5A46">
      <w:pPr>
        <w:autoSpaceDN/>
        <w:spacing w:line="360" w:lineRule="auto"/>
        <w:contextualSpacing/>
        <w:textAlignment w:val="auto"/>
      </w:pPr>
    </w:p>
    <w:p w14:paraId="3F8044CC" w14:textId="6E292532" w:rsidR="00FB5A46" w:rsidRPr="00400B8D" w:rsidRDefault="00FB5A46" w:rsidP="00FB5A46">
      <w:pPr>
        <w:pStyle w:val="ListParagraph"/>
        <w:numPr>
          <w:ilvl w:val="1"/>
          <w:numId w:val="26"/>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w:t>
      </w:r>
      <w:r w:rsidRPr="00400B8D">
        <w:rPr>
          <w:rFonts w:ascii="Times New Roman" w:hAnsi="Times New Roman"/>
          <w:i/>
          <w:iCs/>
          <w:sz w:val="24"/>
          <w:szCs w:val="24"/>
        </w:rPr>
        <w:t>If not less than seven days written notice of termination of this guarantee is given by [Euler] to the Commissioners by delivering such notice to HM Revenue &amp; Customs at the address provided above then all further liability shall cease as from the date of expiry of this notice or such earlier date within the period of such notice as the Commissioners may allow except for any liability arising hereunder before that date"</w:t>
      </w:r>
      <w:r w:rsidRPr="00400B8D">
        <w:rPr>
          <w:rFonts w:ascii="Times New Roman" w:hAnsi="Times New Roman"/>
          <w:sz w:val="24"/>
          <w:szCs w:val="24"/>
        </w:rPr>
        <w:t xml:space="preserve"> (see clause 4).</w:t>
      </w:r>
    </w:p>
    <w:p w14:paraId="00EEB2C8" w14:textId="77777777" w:rsidR="00FB5A46" w:rsidRPr="00400B8D" w:rsidRDefault="00FB5A46" w:rsidP="00FB5A46">
      <w:pPr>
        <w:pStyle w:val="ListParagraph"/>
        <w:rPr>
          <w:rFonts w:ascii="Times New Roman" w:hAnsi="Times New Roman"/>
          <w:sz w:val="24"/>
          <w:szCs w:val="24"/>
        </w:rPr>
      </w:pPr>
    </w:p>
    <w:p w14:paraId="36DC1A8E" w14:textId="77777777" w:rsidR="00FB5A46" w:rsidRPr="00400B8D" w:rsidRDefault="00FB5A46" w:rsidP="00FB5A46">
      <w:pPr>
        <w:pStyle w:val="ListParagraph"/>
        <w:rPr>
          <w:rFonts w:ascii="Times New Roman" w:hAnsi="Times New Roman"/>
          <w:sz w:val="24"/>
          <w:szCs w:val="24"/>
        </w:rPr>
      </w:pPr>
    </w:p>
    <w:p w14:paraId="605A0709" w14:textId="1BB2B2ED" w:rsidR="00FB5A46" w:rsidRPr="00400B8D"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The Guarantee replaced an earlier guarantee provided by the Clydesdale Bank Plc in the amount of £250,000 and as to this clause 6 provided: </w:t>
      </w:r>
      <w:r w:rsidRPr="00400B8D">
        <w:rPr>
          <w:rFonts w:ascii="Times New Roman" w:hAnsi="Times New Roman"/>
          <w:i/>
          <w:iCs/>
          <w:sz w:val="24"/>
          <w:szCs w:val="24"/>
        </w:rPr>
        <w:t xml:space="preserve">“Such sums as were deferred during the continuance of the [earlier guarantee] and which remain unpaid upon completion of this guarantee shall be treated as sums for which deferment is allowed immediately after the commencement of this guarantee. The provisions limiting [Euler’s] liability contained in paragraph 3(a) shall not apply to such sums”. </w:t>
      </w:r>
    </w:p>
    <w:p w14:paraId="0B075161" w14:textId="77777777" w:rsidR="00FB5A46" w:rsidRPr="00400B8D" w:rsidRDefault="00FB5A46" w:rsidP="00FB5A46">
      <w:pPr>
        <w:pStyle w:val="ListParagraph"/>
        <w:rPr>
          <w:rFonts w:ascii="Times New Roman" w:hAnsi="Times New Roman"/>
          <w:sz w:val="24"/>
          <w:szCs w:val="24"/>
        </w:rPr>
      </w:pPr>
    </w:p>
    <w:p w14:paraId="3A9AD104" w14:textId="177ED2A9" w:rsidR="004D7B3D" w:rsidRPr="00400B8D" w:rsidRDefault="004D7B3D" w:rsidP="00FB5A46">
      <w:pPr>
        <w:pStyle w:val="ListParagraph"/>
        <w:numPr>
          <w:ilvl w:val="0"/>
          <w:numId w:val="26"/>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 xml:space="preserve">The Guarantee was varied twice, with each variation increasing the limit of Euler’s liability. On 5 July 2017 it was increased to £300,000 in any one calendar month and £600,000 overall. On 4 October 2017 there was a further increase in these figures to £450,000 and £900,000 respectively. </w:t>
      </w:r>
    </w:p>
    <w:p w14:paraId="60514B16" w14:textId="77777777" w:rsidR="004D7B3D" w:rsidRPr="00400B8D" w:rsidRDefault="004D7B3D" w:rsidP="004D7B3D">
      <w:pPr>
        <w:pStyle w:val="ListParagraph"/>
        <w:rPr>
          <w:rFonts w:ascii="Times New Roman" w:hAnsi="Times New Roman"/>
          <w:sz w:val="24"/>
          <w:szCs w:val="24"/>
        </w:rPr>
      </w:pPr>
    </w:p>
    <w:p w14:paraId="004A6A6D" w14:textId="4F600D34" w:rsidR="00FB5A46" w:rsidRPr="004D7B3D"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sidRPr="00400B8D">
        <w:rPr>
          <w:rFonts w:ascii="Times New Roman" w:hAnsi="Times New Roman"/>
          <w:sz w:val="24"/>
          <w:szCs w:val="24"/>
        </w:rPr>
        <w:t>A termination</w:t>
      </w:r>
      <w:r w:rsidRPr="004D7B3D">
        <w:rPr>
          <w:rFonts w:ascii="Times New Roman" w:hAnsi="Times New Roman"/>
          <w:sz w:val="24"/>
          <w:szCs w:val="24"/>
        </w:rPr>
        <w:t xml:space="preserve"> notice under clause 4 of the Guarantee was given by Euler and delivered to HMRC on or around 4 May 2020, expiring on 30 June 2020 (the </w:t>
      </w:r>
      <w:r w:rsidRPr="004D7B3D">
        <w:rPr>
          <w:rFonts w:ascii="Times New Roman" w:hAnsi="Times New Roman"/>
          <w:b/>
          <w:sz w:val="24"/>
          <w:szCs w:val="24"/>
        </w:rPr>
        <w:t>"Termination Notice"</w:t>
      </w:r>
      <w:r w:rsidRPr="004D7B3D">
        <w:rPr>
          <w:rFonts w:ascii="Times New Roman" w:hAnsi="Times New Roman"/>
          <w:sz w:val="24"/>
          <w:szCs w:val="24"/>
        </w:rPr>
        <w:t xml:space="preserve">). It stated: </w:t>
      </w:r>
      <w:r w:rsidRPr="00251944">
        <w:rPr>
          <w:rFonts w:ascii="Times New Roman" w:hAnsi="Times New Roman"/>
          <w:i/>
          <w:sz w:val="24"/>
          <w:szCs w:val="24"/>
        </w:rPr>
        <w:t>"Please take this letter as notice of our wish to terminate the above guarantee with effect from 30th June 2020"</w:t>
      </w:r>
      <w:r w:rsidR="00251944">
        <w:rPr>
          <w:rFonts w:ascii="Times New Roman" w:hAnsi="Times New Roman"/>
          <w:i/>
          <w:sz w:val="24"/>
          <w:szCs w:val="24"/>
        </w:rPr>
        <w:t>.</w:t>
      </w:r>
    </w:p>
    <w:p w14:paraId="11A41890"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41E19018" w14:textId="5D07C186" w:rsidR="00FB5A46" w:rsidRP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sidRPr="00FB5A46">
        <w:rPr>
          <w:rFonts w:ascii="Times New Roman" w:hAnsi="Times New Roman"/>
          <w:sz w:val="24"/>
          <w:szCs w:val="24"/>
        </w:rPr>
        <w:t xml:space="preserve">HMRC replied two days later, on 6 May 2020, acknowledging receipt of the notice of termination and stating, </w:t>
      </w:r>
      <w:r w:rsidRPr="004D7B3D">
        <w:rPr>
          <w:rFonts w:ascii="Times New Roman" w:hAnsi="Times New Roman"/>
          <w:i/>
          <w:sz w:val="24"/>
          <w:szCs w:val="24"/>
        </w:rPr>
        <w:t xml:space="preserve">"I acknowledge receipt of the notice of termination you have given for the C1201 guarantee for your </w:t>
      </w:r>
      <w:proofErr w:type="gramStart"/>
      <w:r w:rsidRPr="004D7B3D">
        <w:rPr>
          <w:rFonts w:ascii="Times New Roman" w:hAnsi="Times New Roman"/>
          <w:i/>
          <w:sz w:val="24"/>
          <w:szCs w:val="24"/>
        </w:rPr>
        <w:t>above named</w:t>
      </w:r>
      <w:proofErr w:type="gramEnd"/>
      <w:r w:rsidRPr="004D7B3D">
        <w:rPr>
          <w:rFonts w:ascii="Times New Roman" w:hAnsi="Times New Roman"/>
          <w:i/>
          <w:sz w:val="24"/>
          <w:szCs w:val="24"/>
        </w:rPr>
        <w:t xml:space="preserve"> customer‚… The guarantee should be returned to yourselves at the end of 31/08/2020, although I am unable to return it until I am sure that all liabilities covered by it have been paid."</w:t>
      </w:r>
      <w:r w:rsidRPr="00FB5A46">
        <w:rPr>
          <w:rFonts w:ascii="Times New Roman" w:hAnsi="Times New Roman"/>
          <w:sz w:val="24"/>
          <w:szCs w:val="24"/>
        </w:rPr>
        <w:t xml:space="preserve">  </w:t>
      </w:r>
    </w:p>
    <w:p w14:paraId="1F99A0FD"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43355342" w14:textId="48275041" w:rsidR="00FB5A46" w:rsidRPr="00640EFF" w:rsidRDefault="00FB5A46" w:rsidP="00640EFF">
      <w:pPr>
        <w:pStyle w:val="ListParagraph"/>
        <w:numPr>
          <w:ilvl w:val="0"/>
          <w:numId w:val="26"/>
        </w:numPr>
        <w:autoSpaceDN/>
        <w:spacing w:line="360" w:lineRule="auto"/>
        <w:contextualSpacing/>
        <w:textAlignment w:val="auto"/>
        <w:rPr>
          <w:rFonts w:ascii="Times New Roman" w:hAnsi="Times New Roman"/>
          <w:sz w:val="24"/>
          <w:szCs w:val="24"/>
        </w:rPr>
      </w:pPr>
      <w:r>
        <w:rPr>
          <w:rFonts w:ascii="Times New Roman" w:hAnsi="Times New Roman"/>
          <w:sz w:val="24"/>
          <w:szCs w:val="24"/>
        </w:rPr>
        <w:t>On</w:t>
      </w:r>
      <w:r w:rsidRPr="00FB5A46">
        <w:rPr>
          <w:rFonts w:ascii="Times New Roman" w:hAnsi="Times New Roman"/>
          <w:sz w:val="24"/>
          <w:szCs w:val="24"/>
        </w:rPr>
        <w:t xml:space="preserve"> 8 September </w:t>
      </w:r>
      <w:proofErr w:type="gramStart"/>
      <w:r w:rsidRPr="00FB5A46">
        <w:rPr>
          <w:rFonts w:ascii="Times New Roman" w:hAnsi="Times New Roman"/>
          <w:sz w:val="24"/>
          <w:szCs w:val="24"/>
        </w:rPr>
        <w:t>2020  HMRC</w:t>
      </w:r>
      <w:proofErr w:type="gramEnd"/>
      <w:r w:rsidRPr="00FB5A46">
        <w:rPr>
          <w:rFonts w:ascii="Times New Roman" w:hAnsi="Times New Roman"/>
          <w:sz w:val="24"/>
          <w:szCs w:val="24"/>
        </w:rPr>
        <w:t xml:space="preserve"> made a demand </w:t>
      </w:r>
      <w:r>
        <w:rPr>
          <w:rFonts w:ascii="Times New Roman" w:hAnsi="Times New Roman"/>
          <w:sz w:val="24"/>
          <w:szCs w:val="24"/>
        </w:rPr>
        <w:t>on</w:t>
      </w:r>
      <w:r w:rsidRPr="00FB5A46">
        <w:rPr>
          <w:rFonts w:ascii="Times New Roman" w:hAnsi="Times New Roman"/>
          <w:sz w:val="24"/>
          <w:szCs w:val="24"/>
        </w:rPr>
        <w:t xml:space="preserve"> Euler under the Guarantee. That demand was headed "Claims Against Deferment Guarantee" and said</w:t>
      </w:r>
      <w:r w:rsidR="00251944">
        <w:rPr>
          <w:rFonts w:ascii="Times New Roman" w:hAnsi="Times New Roman"/>
          <w:sz w:val="24"/>
          <w:szCs w:val="24"/>
        </w:rPr>
        <w:t xml:space="preserve"> that </w:t>
      </w:r>
      <w:r w:rsidRPr="00251944">
        <w:rPr>
          <w:rFonts w:ascii="Times New Roman" w:hAnsi="Times New Roman"/>
          <w:sz w:val="24"/>
          <w:szCs w:val="24"/>
        </w:rPr>
        <w:t xml:space="preserve">HMRC had sought to </w:t>
      </w:r>
      <w:r w:rsidRPr="00251944">
        <w:rPr>
          <w:rFonts w:ascii="Times New Roman" w:hAnsi="Times New Roman"/>
          <w:sz w:val="24"/>
          <w:szCs w:val="24"/>
        </w:rPr>
        <w:lastRenderedPageBreak/>
        <w:t>debit a deferred sum of £641,594.01 on 15 April 2020 from MSL</w:t>
      </w:r>
      <w:r w:rsidR="00251944" w:rsidRPr="00251944">
        <w:rPr>
          <w:rFonts w:ascii="Times New Roman" w:hAnsi="Times New Roman"/>
          <w:sz w:val="24"/>
          <w:szCs w:val="24"/>
        </w:rPr>
        <w:t>’s account</w:t>
      </w:r>
      <w:r w:rsidRPr="00251944">
        <w:rPr>
          <w:rFonts w:ascii="Times New Roman" w:hAnsi="Times New Roman"/>
          <w:sz w:val="24"/>
          <w:szCs w:val="24"/>
        </w:rPr>
        <w:t xml:space="preserve">, but it was returned unpaid. That was a sum deferred in the period 1 to 31 March 2020. </w:t>
      </w:r>
      <w:r w:rsidR="00251944">
        <w:rPr>
          <w:rFonts w:ascii="Times New Roman" w:hAnsi="Times New Roman"/>
          <w:sz w:val="24"/>
          <w:szCs w:val="24"/>
        </w:rPr>
        <w:t>HMRC went on to say</w:t>
      </w:r>
      <w:r w:rsidRPr="00251944">
        <w:rPr>
          <w:rFonts w:ascii="Times New Roman" w:hAnsi="Times New Roman"/>
          <w:sz w:val="24"/>
          <w:szCs w:val="24"/>
        </w:rPr>
        <w:t xml:space="preserve"> </w:t>
      </w:r>
      <w:r w:rsidRPr="00251944">
        <w:rPr>
          <w:rFonts w:ascii="Times New Roman" w:hAnsi="Times New Roman"/>
          <w:i/>
          <w:sz w:val="24"/>
          <w:szCs w:val="24"/>
        </w:rPr>
        <w:t>"In the circumstances, under the terms of the guarantee given by yourselves in respect of [MSL], I must now ask for payment of the sum of £450,000"</w:t>
      </w:r>
      <w:r w:rsidR="00251944">
        <w:rPr>
          <w:rFonts w:ascii="Times New Roman" w:hAnsi="Times New Roman"/>
          <w:i/>
          <w:sz w:val="24"/>
          <w:szCs w:val="24"/>
        </w:rPr>
        <w:t>.</w:t>
      </w:r>
      <w:r w:rsidR="00640EFF">
        <w:rPr>
          <w:rFonts w:ascii="Times New Roman" w:hAnsi="Times New Roman"/>
          <w:sz w:val="24"/>
          <w:szCs w:val="24"/>
        </w:rPr>
        <w:t xml:space="preserve"> </w:t>
      </w:r>
      <w:r w:rsidR="00640EFF" w:rsidRPr="00640EFF">
        <w:rPr>
          <w:rFonts w:ascii="Times New Roman" w:hAnsi="Times New Roman"/>
          <w:sz w:val="24"/>
          <w:szCs w:val="24"/>
        </w:rPr>
        <w:t xml:space="preserve">On 15 July 2020 </w:t>
      </w:r>
      <w:r w:rsidRPr="00640EFF">
        <w:rPr>
          <w:rFonts w:ascii="Times New Roman" w:hAnsi="Times New Roman"/>
          <w:sz w:val="24"/>
          <w:szCs w:val="24"/>
        </w:rPr>
        <w:t>HMRC had sought to debit a further sum of £101,147.36</w:t>
      </w:r>
      <w:r w:rsidR="00640EFF" w:rsidRPr="00640EFF">
        <w:rPr>
          <w:rFonts w:ascii="Times New Roman" w:hAnsi="Times New Roman"/>
          <w:sz w:val="24"/>
          <w:szCs w:val="24"/>
        </w:rPr>
        <w:t>,</w:t>
      </w:r>
      <w:r w:rsidR="00251944" w:rsidRPr="00640EFF">
        <w:rPr>
          <w:rFonts w:ascii="Times New Roman" w:hAnsi="Times New Roman"/>
          <w:sz w:val="24"/>
          <w:szCs w:val="24"/>
        </w:rPr>
        <w:t xml:space="preserve"> that had been deferred in the period </w:t>
      </w:r>
      <w:r w:rsidR="00640EFF" w:rsidRPr="00640EFF">
        <w:rPr>
          <w:rFonts w:ascii="Times New Roman" w:hAnsi="Times New Roman"/>
          <w:sz w:val="24"/>
          <w:szCs w:val="24"/>
        </w:rPr>
        <w:t>1</w:t>
      </w:r>
      <w:r w:rsidR="00640EFF" w:rsidRPr="00640EFF">
        <w:rPr>
          <w:rFonts w:ascii="Times New Roman" w:hAnsi="Times New Roman"/>
          <w:sz w:val="24"/>
          <w:szCs w:val="24"/>
          <w:vertAlign w:val="superscript"/>
        </w:rPr>
        <w:t>st</w:t>
      </w:r>
      <w:r w:rsidR="00640EFF" w:rsidRPr="00640EFF">
        <w:rPr>
          <w:rFonts w:ascii="Times New Roman" w:hAnsi="Times New Roman"/>
          <w:sz w:val="24"/>
          <w:szCs w:val="24"/>
        </w:rPr>
        <w:t xml:space="preserve"> to 30</w:t>
      </w:r>
      <w:r w:rsidR="00640EFF" w:rsidRPr="00640EFF">
        <w:rPr>
          <w:rFonts w:ascii="Times New Roman" w:hAnsi="Times New Roman"/>
          <w:sz w:val="24"/>
          <w:szCs w:val="24"/>
          <w:vertAlign w:val="superscript"/>
        </w:rPr>
        <w:t>th</w:t>
      </w:r>
      <w:r w:rsidR="00640EFF" w:rsidRPr="00640EFF">
        <w:rPr>
          <w:rFonts w:ascii="Times New Roman" w:hAnsi="Times New Roman"/>
          <w:sz w:val="24"/>
          <w:szCs w:val="24"/>
        </w:rPr>
        <w:t xml:space="preserve"> June 2020,</w:t>
      </w:r>
      <w:r w:rsidRPr="00640EFF">
        <w:rPr>
          <w:rFonts w:ascii="Times New Roman" w:hAnsi="Times New Roman"/>
          <w:sz w:val="24"/>
          <w:szCs w:val="24"/>
        </w:rPr>
        <w:t xml:space="preserve"> from MSL</w:t>
      </w:r>
      <w:r w:rsidR="00640EFF" w:rsidRPr="00640EFF">
        <w:rPr>
          <w:rFonts w:ascii="Times New Roman" w:hAnsi="Times New Roman"/>
          <w:sz w:val="24"/>
          <w:szCs w:val="24"/>
        </w:rPr>
        <w:t>’s account</w:t>
      </w:r>
      <w:r w:rsidRPr="00640EFF">
        <w:rPr>
          <w:rFonts w:ascii="Times New Roman" w:hAnsi="Times New Roman"/>
          <w:sz w:val="24"/>
          <w:szCs w:val="24"/>
        </w:rPr>
        <w:t xml:space="preserve"> but that too was returned unpaid. HMRC asked for a further payment from Euler in that amount </w:t>
      </w:r>
      <w:r w:rsidR="00640EFF" w:rsidRPr="00640EFF">
        <w:rPr>
          <w:rFonts w:ascii="Times New Roman" w:hAnsi="Times New Roman"/>
          <w:sz w:val="24"/>
          <w:szCs w:val="24"/>
        </w:rPr>
        <w:t>also</w:t>
      </w:r>
      <w:r w:rsidRPr="00640EFF">
        <w:rPr>
          <w:rFonts w:ascii="Times New Roman" w:hAnsi="Times New Roman"/>
          <w:sz w:val="24"/>
          <w:szCs w:val="24"/>
        </w:rPr>
        <w:t xml:space="preserve">. </w:t>
      </w:r>
    </w:p>
    <w:p w14:paraId="18C43F77"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6C7B93B8" w14:textId="77777777" w:rsid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sidRPr="00FB5A46">
        <w:rPr>
          <w:rFonts w:ascii="Times New Roman" w:hAnsi="Times New Roman"/>
          <w:sz w:val="24"/>
          <w:szCs w:val="24"/>
        </w:rPr>
        <w:t xml:space="preserve">On 21 September 2020, Euler initially disputed the second part of HMRC's demand of 8 September 2020 on the basis that it </w:t>
      </w:r>
      <w:r w:rsidRPr="00640EFF">
        <w:rPr>
          <w:rFonts w:ascii="Times New Roman" w:hAnsi="Times New Roman"/>
          <w:i/>
          <w:sz w:val="24"/>
          <w:szCs w:val="24"/>
        </w:rPr>
        <w:t>"relates to sums deferred significantly after the date of our cancelation notice, and subsequent acknowledgment thereof by your office in correspondence dated 6th May 2020"</w:t>
      </w:r>
      <w:r>
        <w:rPr>
          <w:rFonts w:ascii="Times New Roman" w:hAnsi="Times New Roman"/>
          <w:sz w:val="24"/>
          <w:szCs w:val="24"/>
        </w:rPr>
        <w:t>.</w:t>
      </w:r>
    </w:p>
    <w:p w14:paraId="5BDEF3C0" w14:textId="77777777" w:rsidR="00FB5A46" w:rsidRPr="00FB5A46" w:rsidRDefault="00FB5A46" w:rsidP="00FB5A46">
      <w:pPr>
        <w:pStyle w:val="ListParagraph"/>
        <w:rPr>
          <w:rFonts w:ascii="Times New Roman" w:hAnsi="Times New Roman"/>
          <w:sz w:val="24"/>
          <w:szCs w:val="24"/>
        </w:rPr>
      </w:pPr>
    </w:p>
    <w:p w14:paraId="00B68590" w14:textId="14247277" w:rsidR="00FB5A46" w:rsidRP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sidRPr="00FB5A46">
        <w:rPr>
          <w:rFonts w:ascii="Times New Roman" w:hAnsi="Times New Roman"/>
          <w:sz w:val="24"/>
          <w:szCs w:val="24"/>
        </w:rPr>
        <w:t xml:space="preserve">Two days later, on 23 September 2020, HMRC replied to Euler in a short email referring to their letter of 6 May and said </w:t>
      </w:r>
      <w:r w:rsidRPr="00640EFF">
        <w:rPr>
          <w:rFonts w:ascii="Times New Roman" w:hAnsi="Times New Roman"/>
          <w:i/>
          <w:sz w:val="24"/>
          <w:szCs w:val="24"/>
        </w:rPr>
        <w:t>"Therefore, payment of £101,147.36 incurred during the period 1 to 30 June is due under the terms of guarantee"</w:t>
      </w:r>
      <w:r w:rsidR="00640EFF">
        <w:rPr>
          <w:rFonts w:ascii="Times New Roman" w:hAnsi="Times New Roman"/>
          <w:i/>
          <w:sz w:val="24"/>
          <w:szCs w:val="24"/>
        </w:rPr>
        <w:t xml:space="preserve">. </w:t>
      </w:r>
      <w:r w:rsidRPr="00FB5A46">
        <w:rPr>
          <w:rFonts w:ascii="Times New Roman" w:hAnsi="Times New Roman"/>
          <w:sz w:val="24"/>
          <w:szCs w:val="24"/>
        </w:rPr>
        <w:t xml:space="preserve"> HMRC maintained their claim to both sums.</w:t>
      </w:r>
    </w:p>
    <w:p w14:paraId="57FAB12A"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17D36D1E" w14:textId="5547F421" w:rsidR="00FB5A46" w:rsidRP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Pr>
          <w:rFonts w:ascii="Times New Roman" w:hAnsi="Times New Roman"/>
          <w:sz w:val="24"/>
          <w:szCs w:val="24"/>
        </w:rPr>
        <w:t>O</w:t>
      </w:r>
      <w:r w:rsidRPr="00FB5A46">
        <w:rPr>
          <w:rFonts w:ascii="Times New Roman" w:hAnsi="Times New Roman"/>
          <w:sz w:val="24"/>
          <w:szCs w:val="24"/>
        </w:rPr>
        <w:t>n 29 September 2020, Euler made payment to HMRC in the full amount requested, namely a total of £551,147.36</w:t>
      </w:r>
      <w:r>
        <w:rPr>
          <w:rFonts w:ascii="Times New Roman" w:hAnsi="Times New Roman"/>
          <w:sz w:val="24"/>
          <w:szCs w:val="24"/>
        </w:rPr>
        <w:t>.</w:t>
      </w:r>
    </w:p>
    <w:p w14:paraId="1D5BDC68"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2128468B" w14:textId="0FC5ECFE" w:rsidR="00FB5A46" w:rsidRP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Pr>
          <w:rFonts w:ascii="Times New Roman" w:hAnsi="Times New Roman"/>
          <w:sz w:val="24"/>
          <w:szCs w:val="24"/>
        </w:rPr>
        <w:t>On</w:t>
      </w:r>
      <w:r w:rsidRPr="00FB5A46">
        <w:rPr>
          <w:rFonts w:ascii="Times New Roman" w:hAnsi="Times New Roman"/>
          <w:sz w:val="24"/>
          <w:szCs w:val="24"/>
        </w:rPr>
        <w:t xml:space="preserve"> 12 October 2020, Euler reserved its rights against the Defendants and then made a claim against the Defendants under the Indemnity.</w:t>
      </w:r>
    </w:p>
    <w:p w14:paraId="1A7C8271"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2D69F76A" w14:textId="0C8A7ED5" w:rsidR="00FB5A46" w:rsidRPr="00640EFF" w:rsidRDefault="00640EFF" w:rsidP="00FB5A46">
      <w:pPr>
        <w:pStyle w:val="ListParagraph"/>
        <w:numPr>
          <w:ilvl w:val="0"/>
          <w:numId w:val="26"/>
        </w:numPr>
        <w:autoSpaceDN/>
        <w:spacing w:line="360" w:lineRule="auto"/>
        <w:contextualSpacing/>
        <w:textAlignment w:val="auto"/>
        <w:rPr>
          <w:rFonts w:ascii="Times New Roman" w:hAnsi="Times New Roman"/>
          <w:sz w:val="24"/>
          <w:szCs w:val="24"/>
        </w:rPr>
      </w:pPr>
      <w:r>
        <w:rPr>
          <w:rFonts w:ascii="Times New Roman" w:hAnsi="Times New Roman"/>
          <w:sz w:val="24"/>
          <w:szCs w:val="24"/>
        </w:rPr>
        <w:t>O</w:t>
      </w:r>
      <w:r w:rsidR="00FB5A46" w:rsidRPr="00FB5A46">
        <w:rPr>
          <w:rFonts w:ascii="Times New Roman" w:hAnsi="Times New Roman"/>
          <w:sz w:val="24"/>
          <w:szCs w:val="24"/>
        </w:rPr>
        <w:t>n 3 June 2021, Euler wrote to HMRC pointing out that the Defendants had asserted that no liability existed given no demand was made by HMRC prior to 30 June 2020 and that the Guarantee had thereafter terminated. Euler asked HMRC:</w:t>
      </w:r>
      <w:r w:rsidR="00FB5A46">
        <w:rPr>
          <w:rFonts w:ascii="Times New Roman" w:hAnsi="Times New Roman"/>
          <w:sz w:val="24"/>
          <w:szCs w:val="24"/>
        </w:rPr>
        <w:t xml:space="preserve"> </w:t>
      </w:r>
      <w:r w:rsidR="00FB5A46" w:rsidRPr="00640EFF">
        <w:rPr>
          <w:rFonts w:ascii="Times New Roman" w:hAnsi="Times New Roman"/>
          <w:i/>
          <w:sz w:val="24"/>
          <w:szCs w:val="24"/>
        </w:rPr>
        <w:t>"Please may we request; a) You review your file and confirm that the liability did exist and a demand was therefore appropriate. b) Confirm the terms of the guarantee, and your understanding of the validity of the demand made after the expiry of the cancellation notice on 30th June"</w:t>
      </w:r>
      <w:r>
        <w:rPr>
          <w:rFonts w:ascii="Times New Roman" w:hAnsi="Times New Roman"/>
          <w:i/>
          <w:sz w:val="24"/>
          <w:szCs w:val="24"/>
        </w:rPr>
        <w:t>.</w:t>
      </w:r>
    </w:p>
    <w:p w14:paraId="2E51BE1A"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61294F3B" w14:textId="66838EA3" w:rsidR="00FB5A46" w:rsidRP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sidRPr="00FB5A46">
        <w:rPr>
          <w:rFonts w:ascii="Times New Roman" w:hAnsi="Times New Roman"/>
          <w:sz w:val="24"/>
          <w:szCs w:val="24"/>
        </w:rPr>
        <w:t xml:space="preserve">HMRC replied </w:t>
      </w:r>
      <w:r>
        <w:rPr>
          <w:rFonts w:ascii="Times New Roman" w:hAnsi="Times New Roman"/>
          <w:sz w:val="24"/>
          <w:szCs w:val="24"/>
        </w:rPr>
        <w:t xml:space="preserve">the same day stating </w:t>
      </w:r>
      <w:r w:rsidRPr="00FB5A46">
        <w:rPr>
          <w:rFonts w:ascii="Times New Roman" w:hAnsi="Times New Roman"/>
          <w:sz w:val="24"/>
          <w:szCs w:val="24"/>
        </w:rPr>
        <w:t xml:space="preserve">that </w:t>
      </w:r>
      <w:r w:rsidRPr="00640EFF">
        <w:rPr>
          <w:rFonts w:ascii="Times New Roman" w:hAnsi="Times New Roman"/>
          <w:i/>
          <w:sz w:val="24"/>
          <w:szCs w:val="24"/>
        </w:rPr>
        <w:t>"The guarantee expired with effect from 30 June 20</w:t>
      </w:r>
      <w:r w:rsidR="00640EFF" w:rsidRPr="00640EFF">
        <w:rPr>
          <w:rFonts w:ascii="Times New Roman" w:hAnsi="Times New Roman"/>
          <w:i/>
          <w:sz w:val="24"/>
          <w:szCs w:val="24"/>
        </w:rPr>
        <w:t>20</w:t>
      </w:r>
      <w:r w:rsidRPr="00640EFF">
        <w:rPr>
          <w:rFonts w:ascii="Times New Roman" w:hAnsi="Times New Roman"/>
          <w:i/>
          <w:sz w:val="24"/>
          <w:szCs w:val="24"/>
        </w:rPr>
        <w:t>, therefore all liabilities up to and including this date were covered by it"</w:t>
      </w:r>
      <w:r w:rsidR="00640EFF">
        <w:rPr>
          <w:rFonts w:ascii="Times New Roman" w:hAnsi="Times New Roman"/>
          <w:i/>
          <w:sz w:val="24"/>
          <w:szCs w:val="24"/>
        </w:rPr>
        <w:t>.</w:t>
      </w:r>
      <w:r w:rsidRPr="00FB5A46">
        <w:rPr>
          <w:rFonts w:ascii="Times New Roman" w:hAnsi="Times New Roman"/>
          <w:sz w:val="24"/>
          <w:szCs w:val="24"/>
        </w:rPr>
        <w:t xml:space="preserve"> </w:t>
      </w:r>
    </w:p>
    <w:p w14:paraId="0AC287BC"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08D18026" w14:textId="51C92000" w:rsidR="00FB5A46" w:rsidRPr="00FB5A46" w:rsidRDefault="00CE2B30" w:rsidP="00FB5A46">
      <w:pPr>
        <w:pStyle w:val="ListParagraph"/>
        <w:numPr>
          <w:ilvl w:val="0"/>
          <w:numId w:val="26"/>
        </w:numPr>
        <w:autoSpaceDN/>
        <w:spacing w:line="360" w:lineRule="auto"/>
        <w:contextualSpacing/>
        <w:textAlignment w:val="auto"/>
        <w:rPr>
          <w:rFonts w:ascii="Times New Roman" w:hAnsi="Times New Roman"/>
          <w:sz w:val="24"/>
          <w:szCs w:val="24"/>
        </w:rPr>
      </w:pPr>
      <w:proofErr w:type="gramStart"/>
      <w:r>
        <w:rPr>
          <w:rFonts w:ascii="Times New Roman" w:hAnsi="Times New Roman"/>
          <w:sz w:val="24"/>
          <w:szCs w:val="24"/>
        </w:rPr>
        <w:lastRenderedPageBreak/>
        <w:t>Also</w:t>
      </w:r>
      <w:proofErr w:type="gramEnd"/>
      <w:r>
        <w:rPr>
          <w:rFonts w:ascii="Times New Roman" w:hAnsi="Times New Roman"/>
          <w:sz w:val="24"/>
          <w:szCs w:val="24"/>
        </w:rPr>
        <w:t xml:space="preserve"> on the same day</w:t>
      </w:r>
      <w:r w:rsidR="00FB5A46">
        <w:rPr>
          <w:rFonts w:ascii="Times New Roman" w:hAnsi="Times New Roman"/>
          <w:sz w:val="24"/>
          <w:szCs w:val="24"/>
        </w:rPr>
        <w:t xml:space="preserve"> </w:t>
      </w:r>
      <w:r w:rsidR="00FB5A46" w:rsidRPr="00FB5A46">
        <w:rPr>
          <w:rFonts w:ascii="Times New Roman" w:hAnsi="Times New Roman"/>
          <w:sz w:val="24"/>
          <w:szCs w:val="24"/>
        </w:rPr>
        <w:t xml:space="preserve">Euler </w:t>
      </w:r>
      <w:r w:rsidR="00FB5A46">
        <w:rPr>
          <w:rFonts w:ascii="Times New Roman" w:hAnsi="Times New Roman"/>
          <w:sz w:val="24"/>
          <w:szCs w:val="24"/>
        </w:rPr>
        <w:t>explained</w:t>
      </w:r>
      <w:r w:rsidR="00FB5A46" w:rsidRPr="00FB5A46">
        <w:rPr>
          <w:rFonts w:ascii="Times New Roman" w:hAnsi="Times New Roman"/>
          <w:sz w:val="24"/>
          <w:szCs w:val="24"/>
        </w:rPr>
        <w:t xml:space="preserve"> that the Defendants were disputing liability on the basis that a demand had not been made prior to the expiry of the Guarantee on 30 June</w:t>
      </w:r>
      <w:r w:rsidR="00FB5A46">
        <w:rPr>
          <w:rFonts w:ascii="Times New Roman" w:hAnsi="Times New Roman"/>
          <w:sz w:val="24"/>
          <w:szCs w:val="24"/>
        </w:rPr>
        <w:t xml:space="preserve"> 2020 and</w:t>
      </w:r>
      <w:r w:rsidR="00FB5A46" w:rsidRPr="00FB5A46">
        <w:rPr>
          <w:rFonts w:ascii="Times New Roman" w:hAnsi="Times New Roman"/>
          <w:sz w:val="24"/>
          <w:szCs w:val="24"/>
        </w:rPr>
        <w:t xml:space="preserve"> asked HMRC </w:t>
      </w:r>
      <w:r w:rsidR="00FB5A46" w:rsidRPr="00640EFF">
        <w:rPr>
          <w:rFonts w:ascii="Times New Roman" w:hAnsi="Times New Roman"/>
          <w:i/>
          <w:sz w:val="24"/>
          <w:szCs w:val="24"/>
        </w:rPr>
        <w:t xml:space="preserve">"Has this position ever been tested with yourselves, and would you have any situations where you have legal confirmation that indeed the liabilities are valid notwithstanding the expiry date of the guarantee having passed?" </w:t>
      </w:r>
    </w:p>
    <w:p w14:paraId="37064FAA"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45CFD529" w14:textId="7C8C5FAB" w:rsidR="00FB5A46" w:rsidRP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sidRPr="00FB5A46">
        <w:rPr>
          <w:rFonts w:ascii="Times New Roman" w:hAnsi="Times New Roman"/>
          <w:sz w:val="24"/>
          <w:szCs w:val="24"/>
        </w:rPr>
        <w:t xml:space="preserve">On the next day, 4 June 2021 HMRC replied stating </w:t>
      </w:r>
      <w:r w:rsidRPr="00FB5A46">
        <w:rPr>
          <w:rFonts w:ascii="Times New Roman" w:hAnsi="Times New Roman"/>
          <w:i/>
          <w:iCs/>
          <w:sz w:val="24"/>
          <w:szCs w:val="24"/>
        </w:rPr>
        <w:t>"The legal position is that your guarantee covered all liabilities accrued by your client during the period your guarantee was active i.e. 01.01.2014 to 30.06.2020",</w:t>
      </w:r>
      <w:r w:rsidRPr="00FB5A46">
        <w:rPr>
          <w:rFonts w:ascii="Times New Roman" w:hAnsi="Times New Roman"/>
          <w:sz w:val="24"/>
          <w:szCs w:val="24"/>
        </w:rPr>
        <w:t xml:space="preserve"> and </w:t>
      </w:r>
      <w:r w:rsidRPr="00FB5A46">
        <w:rPr>
          <w:rFonts w:ascii="Times New Roman" w:hAnsi="Times New Roman"/>
          <w:i/>
          <w:iCs/>
          <w:sz w:val="24"/>
          <w:szCs w:val="24"/>
        </w:rPr>
        <w:t>"This has not been tested as it's covered within various Acts. Should you so wish, I will find out where in law it states this"</w:t>
      </w:r>
      <w:r>
        <w:rPr>
          <w:rFonts w:ascii="Times New Roman" w:hAnsi="Times New Roman"/>
          <w:i/>
          <w:iCs/>
          <w:sz w:val="24"/>
          <w:szCs w:val="24"/>
        </w:rPr>
        <w:t>.</w:t>
      </w:r>
      <w:r w:rsidRPr="00FB5A46">
        <w:rPr>
          <w:rFonts w:ascii="Times New Roman" w:hAnsi="Times New Roman"/>
          <w:sz w:val="24"/>
          <w:szCs w:val="24"/>
        </w:rPr>
        <w:t xml:space="preserve">  </w:t>
      </w:r>
    </w:p>
    <w:p w14:paraId="30E65035" w14:textId="77777777"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6F066B01" w14:textId="27E3DA4A" w:rsidR="00FB5A46" w:rsidRP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Pr>
          <w:rFonts w:ascii="Times New Roman" w:hAnsi="Times New Roman"/>
          <w:sz w:val="24"/>
          <w:szCs w:val="24"/>
        </w:rPr>
        <w:t xml:space="preserve">Euler took up this invitation and requested an </w:t>
      </w:r>
      <w:proofErr w:type="spellStart"/>
      <w:r>
        <w:rPr>
          <w:rFonts w:ascii="Times New Roman" w:hAnsi="Times New Roman"/>
          <w:sz w:val="24"/>
          <w:szCs w:val="24"/>
        </w:rPr>
        <w:t>explantion</w:t>
      </w:r>
      <w:proofErr w:type="spellEnd"/>
      <w:r>
        <w:rPr>
          <w:rFonts w:ascii="Times New Roman" w:hAnsi="Times New Roman"/>
          <w:sz w:val="24"/>
          <w:szCs w:val="24"/>
        </w:rPr>
        <w:t xml:space="preserve"> of the legal position from HMRC’s perspective. </w:t>
      </w:r>
      <w:r w:rsidRPr="00FB5A46">
        <w:rPr>
          <w:rFonts w:ascii="Times New Roman" w:hAnsi="Times New Roman"/>
          <w:sz w:val="24"/>
          <w:szCs w:val="24"/>
        </w:rPr>
        <w:t>Further to</w:t>
      </w:r>
      <w:r>
        <w:rPr>
          <w:rFonts w:ascii="Times New Roman" w:hAnsi="Times New Roman"/>
          <w:sz w:val="24"/>
          <w:szCs w:val="24"/>
        </w:rPr>
        <w:t xml:space="preserve"> this</w:t>
      </w:r>
      <w:r w:rsidRPr="00FB5A46">
        <w:rPr>
          <w:rFonts w:ascii="Times New Roman" w:hAnsi="Times New Roman"/>
          <w:sz w:val="24"/>
          <w:szCs w:val="24"/>
        </w:rPr>
        <w:t xml:space="preserve"> request</w:t>
      </w:r>
      <w:r>
        <w:rPr>
          <w:rFonts w:ascii="Times New Roman" w:hAnsi="Times New Roman"/>
          <w:sz w:val="24"/>
          <w:szCs w:val="24"/>
        </w:rPr>
        <w:t>,</w:t>
      </w:r>
      <w:r w:rsidRPr="00FB5A46">
        <w:rPr>
          <w:rFonts w:ascii="Times New Roman" w:hAnsi="Times New Roman"/>
          <w:sz w:val="24"/>
          <w:szCs w:val="24"/>
        </w:rPr>
        <w:t xml:space="preserve"> on 7 June 2021, HMRC</w:t>
      </w:r>
      <w:r>
        <w:rPr>
          <w:rFonts w:ascii="Times New Roman" w:hAnsi="Times New Roman"/>
          <w:sz w:val="24"/>
          <w:szCs w:val="24"/>
        </w:rPr>
        <w:t xml:space="preserve"> stated</w:t>
      </w:r>
      <w:r w:rsidR="00CE2B30">
        <w:rPr>
          <w:rFonts w:ascii="Times New Roman" w:hAnsi="Times New Roman"/>
          <w:sz w:val="24"/>
          <w:szCs w:val="24"/>
        </w:rPr>
        <w:t xml:space="preserve"> in an email</w:t>
      </w:r>
      <w:r w:rsidRPr="00FB5A46">
        <w:rPr>
          <w:rFonts w:ascii="Times New Roman" w:hAnsi="Times New Roman"/>
          <w:sz w:val="24"/>
          <w:szCs w:val="24"/>
        </w:rPr>
        <w:t>: "</w:t>
      </w:r>
      <w:r w:rsidRPr="00FB5A46">
        <w:rPr>
          <w:rFonts w:ascii="Times New Roman" w:hAnsi="Times New Roman"/>
          <w:i/>
          <w:iCs/>
          <w:sz w:val="24"/>
          <w:szCs w:val="24"/>
        </w:rPr>
        <w:t>Once notice is given, there are still 7 days when liabilities will be covered by the guarantee - and‚ all liabilities which arise before "notice+7" will still be covered by the guarantee</w:t>
      </w:r>
      <w:r w:rsidR="00CE2B30">
        <w:rPr>
          <w:rFonts w:ascii="Times New Roman" w:hAnsi="Times New Roman"/>
          <w:i/>
          <w:iCs/>
          <w:sz w:val="24"/>
          <w:szCs w:val="24"/>
        </w:rPr>
        <w:t>…The critical point is “did the debt arise during the period covered by the guarantee” – not “did we try to claim against the guarantee during the period covered. Future liability is extinguished on cancellation, not past liability</w:t>
      </w:r>
      <w:r w:rsidRPr="00FB5A46">
        <w:rPr>
          <w:rFonts w:ascii="Times New Roman" w:hAnsi="Times New Roman"/>
          <w:i/>
          <w:iCs/>
          <w:sz w:val="24"/>
          <w:szCs w:val="24"/>
        </w:rPr>
        <w:t>"</w:t>
      </w:r>
      <w:r>
        <w:rPr>
          <w:rFonts w:ascii="Times New Roman" w:hAnsi="Times New Roman"/>
          <w:i/>
          <w:iCs/>
          <w:sz w:val="24"/>
          <w:szCs w:val="24"/>
        </w:rPr>
        <w:t>.</w:t>
      </w:r>
      <w:r w:rsidRPr="00FB5A46">
        <w:rPr>
          <w:rFonts w:ascii="Times New Roman" w:hAnsi="Times New Roman"/>
          <w:sz w:val="24"/>
          <w:szCs w:val="24"/>
        </w:rPr>
        <w:t xml:space="preserve"> </w:t>
      </w:r>
      <w:r w:rsidR="00CE2B30">
        <w:rPr>
          <w:rFonts w:ascii="Times New Roman" w:hAnsi="Times New Roman"/>
          <w:sz w:val="24"/>
          <w:szCs w:val="24"/>
        </w:rPr>
        <w:t xml:space="preserve">The email then referred to various pieces of legislation which were said to provide the statutory context to </w:t>
      </w:r>
      <w:proofErr w:type="gramStart"/>
      <w:r w:rsidR="00CE2B30">
        <w:rPr>
          <w:rFonts w:ascii="Times New Roman" w:hAnsi="Times New Roman"/>
          <w:sz w:val="24"/>
          <w:szCs w:val="24"/>
        </w:rPr>
        <w:t>the  standard</w:t>
      </w:r>
      <w:proofErr w:type="gramEnd"/>
      <w:r w:rsidR="00CE2B30">
        <w:rPr>
          <w:rFonts w:ascii="Times New Roman" w:hAnsi="Times New Roman"/>
          <w:sz w:val="24"/>
          <w:szCs w:val="24"/>
        </w:rPr>
        <w:t xml:space="preserve"> form wording of the Guarantee. </w:t>
      </w:r>
    </w:p>
    <w:p w14:paraId="27AC53B7" w14:textId="19146288" w:rsidR="00FB5A46" w:rsidRDefault="00FB5A46" w:rsidP="00FB5A46">
      <w:pPr>
        <w:pStyle w:val="ListParagraph"/>
        <w:autoSpaceDN/>
        <w:spacing w:line="360" w:lineRule="auto"/>
        <w:ind w:left="420"/>
        <w:contextualSpacing/>
        <w:textAlignment w:val="auto"/>
        <w:rPr>
          <w:rFonts w:ascii="Times New Roman" w:hAnsi="Times New Roman"/>
          <w:sz w:val="24"/>
          <w:szCs w:val="24"/>
        </w:rPr>
      </w:pPr>
    </w:p>
    <w:p w14:paraId="0788CC30" w14:textId="78865A0C" w:rsidR="00FB5A46" w:rsidRDefault="00FB5A46" w:rsidP="00FB5A46">
      <w:pPr>
        <w:pStyle w:val="ListParagraph"/>
        <w:numPr>
          <w:ilvl w:val="0"/>
          <w:numId w:val="26"/>
        </w:numPr>
        <w:autoSpaceDN/>
        <w:spacing w:line="360" w:lineRule="auto"/>
        <w:contextualSpacing/>
        <w:textAlignment w:val="auto"/>
        <w:rPr>
          <w:rFonts w:ascii="Times New Roman" w:hAnsi="Times New Roman"/>
          <w:sz w:val="24"/>
          <w:szCs w:val="24"/>
        </w:rPr>
      </w:pPr>
      <w:r>
        <w:rPr>
          <w:rFonts w:ascii="Times New Roman" w:hAnsi="Times New Roman"/>
          <w:sz w:val="24"/>
          <w:szCs w:val="24"/>
        </w:rPr>
        <w:t xml:space="preserve">Various exchanges of pre-action correspondence then followed in which Euler sought payment from the Defendants under clauses 5(a) and 5(b) of the Indemnity. When no payment was forthcoming the present claim was issued on 28 September 2021. </w:t>
      </w:r>
    </w:p>
    <w:p w14:paraId="52BA7FC8" w14:textId="41A3BC2A" w:rsidR="0079676D" w:rsidRPr="00784AAA" w:rsidRDefault="00E568E1" w:rsidP="00784AAA">
      <w:pPr>
        <w:pStyle w:val="ListParagraph"/>
        <w:autoSpaceDN/>
        <w:spacing w:line="360" w:lineRule="auto"/>
        <w:ind w:left="1080"/>
        <w:contextualSpacing/>
        <w:textAlignment w:val="auto"/>
        <w:rPr>
          <w:rFonts w:ascii="Times New Roman" w:hAnsi="Times New Roman"/>
          <w:sz w:val="24"/>
          <w:szCs w:val="24"/>
        </w:rPr>
      </w:pPr>
      <w:r>
        <w:rPr>
          <w:rFonts w:ascii="Times New Roman" w:hAnsi="Times New Roman"/>
          <w:sz w:val="24"/>
          <w:szCs w:val="24"/>
        </w:rPr>
        <w:t xml:space="preserve">   </w:t>
      </w:r>
    </w:p>
    <w:p w14:paraId="57C4EB3B" w14:textId="273094BA" w:rsidR="0079676D" w:rsidRPr="00E9155E" w:rsidRDefault="0079676D" w:rsidP="0079676D">
      <w:pPr>
        <w:pStyle w:val="ListParagraph"/>
        <w:ind w:left="0"/>
        <w:rPr>
          <w:rFonts w:ascii="Times New Roman" w:hAnsi="Times New Roman"/>
          <w:b/>
          <w:bCs/>
          <w:sz w:val="24"/>
          <w:szCs w:val="24"/>
          <w:u w:val="single"/>
        </w:rPr>
      </w:pPr>
      <w:r w:rsidRPr="00E9155E">
        <w:rPr>
          <w:rFonts w:ascii="Times New Roman" w:hAnsi="Times New Roman"/>
          <w:b/>
          <w:bCs/>
          <w:sz w:val="24"/>
          <w:szCs w:val="24"/>
          <w:u w:val="single"/>
        </w:rPr>
        <w:t xml:space="preserve">The </w:t>
      </w:r>
      <w:r w:rsidR="00CE2B30">
        <w:rPr>
          <w:rFonts w:ascii="Times New Roman" w:hAnsi="Times New Roman"/>
          <w:b/>
          <w:bCs/>
          <w:sz w:val="24"/>
          <w:szCs w:val="24"/>
          <w:u w:val="single"/>
        </w:rPr>
        <w:t>Issues</w:t>
      </w:r>
    </w:p>
    <w:p w14:paraId="0ECF4479" w14:textId="3BFCB9A0" w:rsidR="00CE2B30" w:rsidRDefault="00EB6394"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In the</w:t>
      </w:r>
      <w:r w:rsidR="008D3DA4">
        <w:rPr>
          <w:rFonts w:ascii="Times New Roman" w:hAnsi="Times New Roman"/>
          <w:sz w:val="24"/>
          <w:szCs w:val="24"/>
        </w:rPr>
        <w:t>ir</w:t>
      </w:r>
      <w:r>
        <w:rPr>
          <w:rFonts w:ascii="Times New Roman" w:hAnsi="Times New Roman"/>
          <w:sz w:val="24"/>
          <w:szCs w:val="24"/>
        </w:rPr>
        <w:t xml:space="preserve"> written submissions both parties addressed first the question of whether Euler had a liability to pay the sums demanded under the Guarantee notwithstanding the notice of termination that had been received by HMRC on or around 4 May 2020. </w:t>
      </w:r>
    </w:p>
    <w:p w14:paraId="13D33482" w14:textId="77777777" w:rsidR="00EB6394" w:rsidRDefault="00EB6394" w:rsidP="00EB6394">
      <w:pPr>
        <w:pStyle w:val="ListParagraph"/>
        <w:autoSpaceDN/>
        <w:spacing w:line="360" w:lineRule="auto"/>
        <w:ind w:left="420"/>
        <w:contextualSpacing/>
        <w:jc w:val="left"/>
        <w:textAlignment w:val="auto"/>
        <w:rPr>
          <w:rFonts w:ascii="Times New Roman" w:hAnsi="Times New Roman"/>
          <w:sz w:val="24"/>
          <w:szCs w:val="24"/>
        </w:rPr>
      </w:pPr>
    </w:p>
    <w:p w14:paraId="3DA3FEA4" w14:textId="0254F86B" w:rsidR="00EB6394" w:rsidRDefault="00EB6394"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In the event that, on the true construction of the Guarantee</w:t>
      </w:r>
      <w:r w:rsidR="008D3DA4">
        <w:rPr>
          <w:rFonts w:ascii="Times New Roman" w:hAnsi="Times New Roman"/>
          <w:sz w:val="24"/>
          <w:szCs w:val="24"/>
        </w:rPr>
        <w:t>,</w:t>
      </w:r>
      <w:r>
        <w:rPr>
          <w:rFonts w:ascii="Times New Roman" w:hAnsi="Times New Roman"/>
          <w:sz w:val="24"/>
          <w:szCs w:val="24"/>
        </w:rPr>
        <w:t xml:space="preserve"> there was </w:t>
      </w:r>
      <w:r w:rsidR="008D3DA4">
        <w:rPr>
          <w:rFonts w:ascii="Times New Roman" w:hAnsi="Times New Roman"/>
          <w:sz w:val="24"/>
          <w:szCs w:val="24"/>
        </w:rPr>
        <w:t xml:space="preserve">in fact </w:t>
      </w:r>
      <w:r>
        <w:rPr>
          <w:rFonts w:ascii="Times New Roman" w:hAnsi="Times New Roman"/>
          <w:sz w:val="24"/>
          <w:szCs w:val="24"/>
        </w:rPr>
        <w:t xml:space="preserve">no liability a second issue arose as to whether Euler was nevertheless entitled to payment of the sums claimed </w:t>
      </w:r>
      <w:r w:rsidR="009743F6">
        <w:rPr>
          <w:rFonts w:ascii="Times New Roman" w:hAnsi="Times New Roman"/>
          <w:sz w:val="24"/>
          <w:szCs w:val="24"/>
        </w:rPr>
        <w:t xml:space="preserve">from the Defendants </w:t>
      </w:r>
      <w:r>
        <w:rPr>
          <w:rFonts w:ascii="Times New Roman" w:hAnsi="Times New Roman"/>
          <w:sz w:val="24"/>
          <w:szCs w:val="24"/>
        </w:rPr>
        <w:t xml:space="preserve">under the Indemnity.  </w:t>
      </w:r>
    </w:p>
    <w:p w14:paraId="576CBE6E" w14:textId="77777777" w:rsidR="00EB6394" w:rsidRPr="00EB6394" w:rsidRDefault="00EB6394" w:rsidP="00EB6394">
      <w:pPr>
        <w:pStyle w:val="ListParagraph"/>
        <w:rPr>
          <w:rFonts w:ascii="Times New Roman" w:hAnsi="Times New Roman"/>
          <w:sz w:val="24"/>
          <w:szCs w:val="24"/>
        </w:rPr>
      </w:pPr>
    </w:p>
    <w:p w14:paraId="64B74B82" w14:textId="0CFFBE8D" w:rsidR="00EB6394" w:rsidRDefault="00EB6394"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lastRenderedPageBreak/>
        <w:t xml:space="preserve">A third </w:t>
      </w:r>
      <w:r w:rsidR="009743F6">
        <w:rPr>
          <w:rFonts w:ascii="Times New Roman" w:hAnsi="Times New Roman"/>
          <w:sz w:val="24"/>
          <w:szCs w:val="24"/>
        </w:rPr>
        <w:t>form of</w:t>
      </w:r>
      <w:r>
        <w:rPr>
          <w:rFonts w:ascii="Times New Roman" w:hAnsi="Times New Roman"/>
          <w:sz w:val="24"/>
          <w:szCs w:val="24"/>
        </w:rPr>
        <w:t xml:space="preserve"> claim was referred to very briefly in the skeleton argument of Ms. Drake, counsel for </w:t>
      </w:r>
      <w:r w:rsidR="008D3DA4">
        <w:rPr>
          <w:rFonts w:ascii="Times New Roman" w:hAnsi="Times New Roman"/>
          <w:sz w:val="24"/>
          <w:szCs w:val="24"/>
        </w:rPr>
        <w:t>Euler</w:t>
      </w:r>
      <w:r>
        <w:rPr>
          <w:rFonts w:ascii="Times New Roman" w:hAnsi="Times New Roman"/>
          <w:sz w:val="24"/>
          <w:szCs w:val="24"/>
        </w:rPr>
        <w:t xml:space="preserve">, namely restitution. This </w:t>
      </w:r>
      <w:r w:rsidR="009743F6">
        <w:rPr>
          <w:rFonts w:ascii="Times New Roman" w:hAnsi="Times New Roman"/>
          <w:sz w:val="24"/>
          <w:szCs w:val="24"/>
        </w:rPr>
        <w:t xml:space="preserve">claim </w:t>
      </w:r>
      <w:r>
        <w:rPr>
          <w:rFonts w:ascii="Times New Roman" w:hAnsi="Times New Roman"/>
          <w:sz w:val="24"/>
          <w:szCs w:val="24"/>
        </w:rPr>
        <w:t xml:space="preserve">was said to be founded on section 5 of the Mercantile Law Amendment Act 1856. However, this </w:t>
      </w:r>
      <w:r w:rsidR="009743F6">
        <w:rPr>
          <w:rFonts w:ascii="Times New Roman" w:hAnsi="Times New Roman"/>
          <w:sz w:val="24"/>
          <w:szCs w:val="24"/>
        </w:rPr>
        <w:t>claim</w:t>
      </w:r>
      <w:r w:rsidR="008D3DA4">
        <w:rPr>
          <w:rFonts w:ascii="Times New Roman" w:hAnsi="Times New Roman"/>
          <w:sz w:val="24"/>
          <w:szCs w:val="24"/>
        </w:rPr>
        <w:t xml:space="preserve"> </w:t>
      </w:r>
      <w:r>
        <w:rPr>
          <w:rFonts w:ascii="Times New Roman" w:hAnsi="Times New Roman"/>
          <w:sz w:val="24"/>
          <w:szCs w:val="24"/>
        </w:rPr>
        <w:t>was not mentioned in either the claim form or particulars of claim. The only mention of such a</w:t>
      </w:r>
      <w:r w:rsidR="009743F6">
        <w:rPr>
          <w:rFonts w:ascii="Times New Roman" w:hAnsi="Times New Roman"/>
          <w:sz w:val="24"/>
          <w:szCs w:val="24"/>
        </w:rPr>
        <w:t>n argument</w:t>
      </w:r>
      <w:r w:rsidR="00400B8D">
        <w:rPr>
          <w:rFonts w:ascii="Times New Roman" w:hAnsi="Times New Roman"/>
          <w:sz w:val="24"/>
          <w:szCs w:val="24"/>
        </w:rPr>
        <w:t>,</w:t>
      </w:r>
      <w:r>
        <w:rPr>
          <w:rFonts w:ascii="Times New Roman" w:hAnsi="Times New Roman"/>
          <w:sz w:val="24"/>
          <w:szCs w:val="24"/>
        </w:rPr>
        <w:t xml:space="preserve"> prior to the exchange of skeleton arguments</w:t>
      </w:r>
      <w:r w:rsidR="00400B8D">
        <w:rPr>
          <w:rFonts w:ascii="Times New Roman" w:hAnsi="Times New Roman"/>
          <w:sz w:val="24"/>
          <w:szCs w:val="24"/>
        </w:rPr>
        <w:t>,</w:t>
      </w:r>
      <w:r>
        <w:rPr>
          <w:rFonts w:ascii="Times New Roman" w:hAnsi="Times New Roman"/>
          <w:sz w:val="24"/>
          <w:szCs w:val="24"/>
        </w:rPr>
        <w:t xml:space="preserve"> </w:t>
      </w:r>
      <w:r w:rsidR="009743F6">
        <w:rPr>
          <w:rFonts w:ascii="Times New Roman" w:hAnsi="Times New Roman"/>
          <w:sz w:val="24"/>
          <w:szCs w:val="24"/>
        </w:rPr>
        <w:t>wa</w:t>
      </w:r>
      <w:r>
        <w:rPr>
          <w:rFonts w:ascii="Times New Roman" w:hAnsi="Times New Roman"/>
          <w:sz w:val="24"/>
          <w:szCs w:val="24"/>
        </w:rPr>
        <w:t xml:space="preserve">s in a short </w:t>
      </w:r>
      <w:r w:rsidR="008D3DA4">
        <w:rPr>
          <w:rFonts w:ascii="Times New Roman" w:hAnsi="Times New Roman"/>
          <w:sz w:val="24"/>
          <w:szCs w:val="24"/>
        </w:rPr>
        <w:t>paragraph in the evidence of Emlyn Hudson dated 7 December 2021</w:t>
      </w:r>
      <w:r w:rsidR="00400B8D">
        <w:rPr>
          <w:rFonts w:ascii="Times New Roman" w:hAnsi="Times New Roman"/>
          <w:sz w:val="24"/>
          <w:szCs w:val="24"/>
        </w:rPr>
        <w:t>,</w:t>
      </w:r>
      <w:r w:rsidR="008D3DA4">
        <w:rPr>
          <w:rFonts w:ascii="Times New Roman" w:hAnsi="Times New Roman"/>
          <w:sz w:val="24"/>
          <w:szCs w:val="24"/>
        </w:rPr>
        <w:t xml:space="preserve"> served in reply on behalf of Euler. </w:t>
      </w:r>
      <w:r w:rsidR="009743F6">
        <w:rPr>
          <w:rFonts w:ascii="Times New Roman" w:hAnsi="Times New Roman"/>
          <w:sz w:val="24"/>
          <w:szCs w:val="24"/>
        </w:rPr>
        <w:t xml:space="preserve">On seeing this </w:t>
      </w:r>
      <w:proofErr w:type="gramStart"/>
      <w:r w:rsidR="009743F6">
        <w:rPr>
          <w:rFonts w:ascii="Times New Roman" w:hAnsi="Times New Roman"/>
          <w:sz w:val="24"/>
          <w:szCs w:val="24"/>
        </w:rPr>
        <w:t>passage</w:t>
      </w:r>
      <w:proofErr w:type="gramEnd"/>
      <w:r w:rsidR="009743F6">
        <w:rPr>
          <w:rFonts w:ascii="Times New Roman" w:hAnsi="Times New Roman"/>
          <w:sz w:val="24"/>
          <w:szCs w:val="24"/>
        </w:rPr>
        <w:t xml:space="preserve"> t</w:t>
      </w:r>
      <w:r w:rsidR="008D3DA4">
        <w:rPr>
          <w:rFonts w:ascii="Times New Roman" w:hAnsi="Times New Roman"/>
          <w:sz w:val="24"/>
          <w:szCs w:val="24"/>
        </w:rPr>
        <w:t>he solicitors for the Defendants raised objection</w:t>
      </w:r>
      <w:r w:rsidR="009743F6">
        <w:rPr>
          <w:rFonts w:ascii="Times New Roman" w:hAnsi="Times New Roman"/>
          <w:sz w:val="24"/>
          <w:szCs w:val="24"/>
        </w:rPr>
        <w:t xml:space="preserve"> in correspondence</w:t>
      </w:r>
      <w:r w:rsidR="008D3DA4">
        <w:rPr>
          <w:rFonts w:ascii="Times New Roman" w:hAnsi="Times New Roman"/>
          <w:sz w:val="24"/>
          <w:szCs w:val="24"/>
        </w:rPr>
        <w:t xml:space="preserve"> </w:t>
      </w:r>
      <w:r w:rsidR="009743F6">
        <w:rPr>
          <w:rFonts w:ascii="Times New Roman" w:hAnsi="Times New Roman"/>
          <w:sz w:val="24"/>
          <w:szCs w:val="24"/>
        </w:rPr>
        <w:t>o</w:t>
      </w:r>
      <w:r w:rsidR="00400B8D">
        <w:rPr>
          <w:rFonts w:ascii="Times New Roman" w:hAnsi="Times New Roman"/>
          <w:sz w:val="24"/>
          <w:szCs w:val="24"/>
        </w:rPr>
        <w:t>f</w:t>
      </w:r>
      <w:r w:rsidR="009743F6">
        <w:rPr>
          <w:rFonts w:ascii="Times New Roman" w:hAnsi="Times New Roman"/>
          <w:sz w:val="24"/>
          <w:szCs w:val="24"/>
        </w:rPr>
        <w:t xml:space="preserve"> 20 January 2020 </w:t>
      </w:r>
      <w:r w:rsidR="008D3DA4">
        <w:rPr>
          <w:rFonts w:ascii="Times New Roman" w:hAnsi="Times New Roman"/>
          <w:sz w:val="24"/>
          <w:szCs w:val="24"/>
        </w:rPr>
        <w:t xml:space="preserve">to the argument on the basis that it had not been raised in the claim form or the particulars of claim and could not be advanced in this way in reply evidence. </w:t>
      </w:r>
    </w:p>
    <w:p w14:paraId="1694BAAC" w14:textId="77777777" w:rsidR="008D3DA4" w:rsidRPr="008D3DA4" w:rsidRDefault="008D3DA4" w:rsidP="008D3DA4">
      <w:pPr>
        <w:pStyle w:val="ListParagraph"/>
        <w:rPr>
          <w:rFonts w:ascii="Times New Roman" w:hAnsi="Times New Roman"/>
          <w:sz w:val="24"/>
          <w:szCs w:val="24"/>
        </w:rPr>
      </w:pPr>
    </w:p>
    <w:p w14:paraId="02866EE1" w14:textId="3AC2B40C" w:rsidR="009743F6" w:rsidRDefault="008D3DA4"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In my judgment, it is not permissible for th</w:t>
      </w:r>
      <w:r w:rsidR="00080299">
        <w:rPr>
          <w:rFonts w:ascii="Times New Roman" w:hAnsi="Times New Roman"/>
          <w:sz w:val="24"/>
          <w:szCs w:val="24"/>
        </w:rPr>
        <w:t>is</w:t>
      </w:r>
      <w:r>
        <w:rPr>
          <w:rFonts w:ascii="Times New Roman" w:hAnsi="Times New Roman"/>
          <w:sz w:val="24"/>
          <w:szCs w:val="24"/>
        </w:rPr>
        <w:t xml:space="preserve"> restitution </w:t>
      </w:r>
      <w:r w:rsidR="009743F6">
        <w:rPr>
          <w:rFonts w:ascii="Times New Roman" w:hAnsi="Times New Roman"/>
          <w:sz w:val="24"/>
          <w:szCs w:val="24"/>
        </w:rPr>
        <w:t>claim</w:t>
      </w:r>
      <w:r>
        <w:rPr>
          <w:rFonts w:ascii="Times New Roman" w:hAnsi="Times New Roman"/>
          <w:sz w:val="24"/>
          <w:szCs w:val="24"/>
        </w:rPr>
        <w:t xml:space="preserve"> to be </w:t>
      </w:r>
      <w:r w:rsidR="00400B8D">
        <w:rPr>
          <w:rFonts w:ascii="Times New Roman" w:hAnsi="Times New Roman"/>
          <w:sz w:val="24"/>
          <w:szCs w:val="24"/>
        </w:rPr>
        <w:t>made</w:t>
      </w:r>
      <w:r>
        <w:rPr>
          <w:rFonts w:ascii="Times New Roman" w:hAnsi="Times New Roman"/>
          <w:sz w:val="24"/>
          <w:szCs w:val="24"/>
        </w:rPr>
        <w:t xml:space="preserve"> by Euler. Under rule 8.2 of the Civil </w:t>
      </w:r>
      <w:proofErr w:type="spellStart"/>
      <w:r>
        <w:rPr>
          <w:rFonts w:ascii="Times New Roman" w:hAnsi="Times New Roman"/>
          <w:sz w:val="24"/>
          <w:szCs w:val="24"/>
        </w:rPr>
        <w:t>Proedure</w:t>
      </w:r>
      <w:proofErr w:type="spellEnd"/>
      <w:r>
        <w:rPr>
          <w:rFonts w:ascii="Times New Roman" w:hAnsi="Times New Roman"/>
          <w:sz w:val="24"/>
          <w:szCs w:val="24"/>
        </w:rPr>
        <w:t xml:space="preserve"> Rules, in a Part 8 claim such as this</w:t>
      </w:r>
      <w:r w:rsidR="009743F6">
        <w:rPr>
          <w:rFonts w:ascii="Times New Roman" w:hAnsi="Times New Roman"/>
          <w:sz w:val="24"/>
          <w:szCs w:val="24"/>
        </w:rPr>
        <w:t>,</w:t>
      </w:r>
      <w:r>
        <w:rPr>
          <w:rFonts w:ascii="Times New Roman" w:hAnsi="Times New Roman"/>
          <w:sz w:val="24"/>
          <w:szCs w:val="24"/>
        </w:rPr>
        <w:t xml:space="preserve"> the claimant must state in the claim form what question the claima</w:t>
      </w:r>
      <w:r w:rsidR="00080299">
        <w:rPr>
          <w:rFonts w:ascii="Times New Roman" w:hAnsi="Times New Roman"/>
          <w:sz w:val="24"/>
          <w:szCs w:val="24"/>
        </w:rPr>
        <w:t>nt wants</w:t>
      </w:r>
      <w:r>
        <w:rPr>
          <w:rFonts w:ascii="Times New Roman" w:hAnsi="Times New Roman"/>
          <w:sz w:val="24"/>
          <w:szCs w:val="24"/>
        </w:rPr>
        <w:t xml:space="preserve"> </w:t>
      </w:r>
      <w:r w:rsidR="006F03DC">
        <w:rPr>
          <w:rFonts w:ascii="Times New Roman" w:hAnsi="Times New Roman"/>
          <w:sz w:val="24"/>
          <w:szCs w:val="24"/>
        </w:rPr>
        <w:t xml:space="preserve">the </w:t>
      </w:r>
      <w:r>
        <w:rPr>
          <w:rFonts w:ascii="Times New Roman" w:hAnsi="Times New Roman"/>
          <w:sz w:val="24"/>
          <w:szCs w:val="24"/>
        </w:rPr>
        <w:t xml:space="preserve">court to try or the remedy which the claimant is seeking and the legal basis for the claim to that remedy. The claim form here did not refer to any question of whether restitution was available </w:t>
      </w:r>
      <w:r w:rsidR="009743F6">
        <w:rPr>
          <w:rFonts w:ascii="Times New Roman" w:hAnsi="Times New Roman"/>
          <w:sz w:val="24"/>
          <w:szCs w:val="24"/>
        </w:rPr>
        <w:t>nor</w:t>
      </w:r>
      <w:r>
        <w:rPr>
          <w:rFonts w:ascii="Times New Roman" w:hAnsi="Times New Roman"/>
          <w:sz w:val="24"/>
          <w:szCs w:val="24"/>
        </w:rPr>
        <w:t xml:space="preserve"> did </w:t>
      </w:r>
      <w:r w:rsidR="009743F6">
        <w:rPr>
          <w:rFonts w:ascii="Times New Roman" w:hAnsi="Times New Roman"/>
          <w:sz w:val="24"/>
          <w:szCs w:val="24"/>
        </w:rPr>
        <w:t>it</w:t>
      </w:r>
      <w:r>
        <w:rPr>
          <w:rFonts w:ascii="Times New Roman" w:hAnsi="Times New Roman"/>
          <w:sz w:val="24"/>
          <w:szCs w:val="24"/>
        </w:rPr>
        <w:t xml:space="preserve"> refer to a </w:t>
      </w:r>
      <w:proofErr w:type="spellStart"/>
      <w:r>
        <w:rPr>
          <w:rFonts w:ascii="Times New Roman" w:hAnsi="Times New Roman"/>
          <w:sz w:val="24"/>
          <w:szCs w:val="24"/>
        </w:rPr>
        <w:t>restitutionary</w:t>
      </w:r>
      <w:proofErr w:type="spellEnd"/>
      <w:r>
        <w:rPr>
          <w:rFonts w:ascii="Times New Roman" w:hAnsi="Times New Roman"/>
          <w:sz w:val="24"/>
          <w:szCs w:val="24"/>
        </w:rPr>
        <w:t xml:space="preserve"> remedy or </w:t>
      </w:r>
      <w:r w:rsidR="009743F6">
        <w:rPr>
          <w:rFonts w:ascii="Times New Roman" w:hAnsi="Times New Roman"/>
          <w:sz w:val="24"/>
          <w:szCs w:val="24"/>
        </w:rPr>
        <w:t xml:space="preserve">to </w:t>
      </w:r>
      <w:r>
        <w:rPr>
          <w:rFonts w:ascii="Times New Roman" w:hAnsi="Times New Roman"/>
          <w:sz w:val="24"/>
          <w:szCs w:val="24"/>
        </w:rPr>
        <w:t>the 1856 legislation</w:t>
      </w:r>
      <w:r w:rsidR="009743F6">
        <w:rPr>
          <w:rFonts w:ascii="Times New Roman" w:hAnsi="Times New Roman"/>
          <w:sz w:val="24"/>
          <w:szCs w:val="24"/>
        </w:rPr>
        <w:t>,</w:t>
      </w:r>
      <w:r>
        <w:rPr>
          <w:rFonts w:ascii="Times New Roman" w:hAnsi="Times New Roman"/>
          <w:sz w:val="24"/>
          <w:szCs w:val="24"/>
        </w:rPr>
        <w:t xml:space="preserve"> mentioned above</w:t>
      </w:r>
      <w:r w:rsidR="009743F6">
        <w:rPr>
          <w:rFonts w:ascii="Times New Roman" w:hAnsi="Times New Roman"/>
          <w:sz w:val="24"/>
          <w:szCs w:val="24"/>
        </w:rPr>
        <w:t>,</w:t>
      </w:r>
      <w:r>
        <w:rPr>
          <w:rFonts w:ascii="Times New Roman" w:hAnsi="Times New Roman"/>
          <w:sz w:val="24"/>
          <w:szCs w:val="24"/>
        </w:rPr>
        <w:t xml:space="preserve"> as the basis for it. In these circumstances, it is not open to Euler to rely on this alternative basis of claim without seeking to amend its claim form. No such application </w:t>
      </w:r>
      <w:r w:rsidR="009743F6">
        <w:rPr>
          <w:rFonts w:ascii="Times New Roman" w:hAnsi="Times New Roman"/>
          <w:sz w:val="24"/>
          <w:szCs w:val="24"/>
        </w:rPr>
        <w:t xml:space="preserve">to amend </w:t>
      </w:r>
      <w:r>
        <w:rPr>
          <w:rFonts w:ascii="Times New Roman" w:hAnsi="Times New Roman"/>
          <w:sz w:val="24"/>
          <w:szCs w:val="24"/>
        </w:rPr>
        <w:t xml:space="preserve">has been made. </w:t>
      </w:r>
    </w:p>
    <w:p w14:paraId="7A586E19" w14:textId="77777777" w:rsidR="009743F6" w:rsidRPr="009743F6" w:rsidRDefault="009743F6" w:rsidP="009743F6">
      <w:pPr>
        <w:pStyle w:val="ListParagraph"/>
        <w:rPr>
          <w:rFonts w:ascii="Times New Roman" w:hAnsi="Times New Roman"/>
          <w:sz w:val="24"/>
          <w:szCs w:val="24"/>
        </w:rPr>
      </w:pPr>
    </w:p>
    <w:p w14:paraId="75AD5B4E" w14:textId="5558EEE5" w:rsidR="008D3DA4" w:rsidRDefault="009743F6"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One f</w:t>
      </w:r>
      <w:r w:rsidR="005E5D7D">
        <w:rPr>
          <w:rFonts w:ascii="Times New Roman" w:hAnsi="Times New Roman"/>
          <w:sz w:val="24"/>
          <w:szCs w:val="24"/>
        </w:rPr>
        <w:t>inal</w:t>
      </w:r>
      <w:r>
        <w:rPr>
          <w:rFonts w:ascii="Times New Roman" w:hAnsi="Times New Roman"/>
          <w:sz w:val="24"/>
          <w:szCs w:val="24"/>
        </w:rPr>
        <w:t xml:space="preserve"> issue </w:t>
      </w:r>
      <w:r w:rsidR="005E5D7D">
        <w:rPr>
          <w:rFonts w:ascii="Times New Roman" w:hAnsi="Times New Roman"/>
          <w:sz w:val="24"/>
          <w:szCs w:val="24"/>
        </w:rPr>
        <w:t xml:space="preserve">appeared to </w:t>
      </w:r>
      <w:r>
        <w:rPr>
          <w:rFonts w:ascii="Times New Roman" w:hAnsi="Times New Roman"/>
          <w:sz w:val="24"/>
          <w:szCs w:val="24"/>
        </w:rPr>
        <w:t>ar</w:t>
      </w:r>
      <w:r w:rsidR="005E5D7D">
        <w:rPr>
          <w:rFonts w:ascii="Times New Roman" w:hAnsi="Times New Roman"/>
          <w:sz w:val="24"/>
          <w:szCs w:val="24"/>
        </w:rPr>
        <w:t>i</w:t>
      </w:r>
      <w:r>
        <w:rPr>
          <w:rFonts w:ascii="Times New Roman" w:hAnsi="Times New Roman"/>
          <w:sz w:val="24"/>
          <w:szCs w:val="24"/>
        </w:rPr>
        <w:t>se as regards to the correct approach to the recovery of legal costs by Euler i</w:t>
      </w:r>
      <w:r w:rsidR="00080299">
        <w:rPr>
          <w:rFonts w:ascii="Times New Roman" w:hAnsi="Times New Roman"/>
          <w:sz w:val="24"/>
          <w:szCs w:val="24"/>
        </w:rPr>
        <w:t>f</w:t>
      </w:r>
      <w:r>
        <w:rPr>
          <w:rFonts w:ascii="Times New Roman" w:hAnsi="Times New Roman"/>
          <w:sz w:val="24"/>
          <w:szCs w:val="24"/>
        </w:rPr>
        <w:t xml:space="preserve"> it succeeded on its claim under the Indemnity. In the event, the parties are agreed that </w:t>
      </w:r>
      <w:r w:rsidR="005E5D7D">
        <w:rPr>
          <w:rFonts w:ascii="Times New Roman" w:hAnsi="Times New Roman"/>
          <w:sz w:val="24"/>
          <w:szCs w:val="24"/>
        </w:rPr>
        <w:t xml:space="preserve">in such an event </w:t>
      </w:r>
      <w:r>
        <w:rPr>
          <w:rFonts w:ascii="Times New Roman" w:hAnsi="Times New Roman"/>
          <w:sz w:val="24"/>
          <w:szCs w:val="24"/>
        </w:rPr>
        <w:t>such</w:t>
      </w:r>
      <w:r w:rsidR="00A4121F">
        <w:rPr>
          <w:rFonts w:ascii="Times New Roman" w:hAnsi="Times New Roman"/>
          <w:sz w:val="24"/>
          <w:szCs w:val="24"/>
        </w:rPr>
        <w:t xml:space="preserve"> costs will fall to </w:t>
      </w:r>
      <w:r w:rsidR="005E5D7D">
        <w:rPr>
          <w:rFonts w:ascii="Times New Roman" w:hAnsi="Times New Roman"/>
          <w:sz w:val="24"/>
          <w:szCs w:val="24"/>
        </w:rPr>
        <w:t xml:space="preserve">be recoverable </w:t>
      </w:r>
      <w:r w:rsidR="00080299">
        <w:rPr>
          <w:rFonts w:ascii="Times New Roman" w:hAnsi="Times New Roman"/>
          <w:sz w:val="24"/>
          <w:szCs w:val="24"/>
        </w:rPr>
        <w:t xml:space="preserve">by Euler </w:t>
      </w:r>
      <w:r w:rsidR="005E5D7D">
        <w:rPr>
          <w:rFonts w:ascii="Times New Roman" w:hAnsi="Times New Roman"/>
          <w:sz w:val="24"/>
          <w:szCs w:val="24"/>
        </w:rPr>
        <w:t>a</w:t>
      </w:r>
      <w:r w:rsidR="00080299">
        <w:rPr>
          <w:rFonts w:ascii="Times New Roman" w:hAnsi="Times New Roman"/>
          <w:sz w:val="24"/>
          <w:szCs w:val="24"/>
        </w:rPr>
        <w:t>nd</w:t>
      </w:r>
      <w:r w:rsidR="005E5D7D">
        <w:rPr>
          <w:rFonts w:ascii="Times New Roman" w:hAnsi="Times New Roman"/>
          <w:sz w:val="24"/>
          <w:szCs w:val="24"/>
        </w:rPr>
        <w:t xml:space="preserve"> they will be subject to detailed assessment on the indemnity basis. In the light of that agreement there do not now appear to be any distinct issues for determination regarding </w:t>
      </w:r>
      <w:r w:rsidR="00080299">
        <w:rPr>
          <w:rFonts w:ascii="Times New Roman" w:hAnsi="Times New Roman"/>
          <w:sz w:val="24"/>
          <w:szCs w:val="24"/>
        </w:rPr>
        <w:t xml:space="preserve">the contractual </w:t>
      </w:r>
      <w:proofErr w:type="spellStart"/>
      <w:r w:rsidR="005E5D7D">
        <w:rPr>
          <w:rFonts w:ascii="Times New Roman" w:hAnsi="Times New Roman"/>
          <w:sz w:val="24"/>
          <w:szCs w:val="24"/>
        </w:rPr>
        <w:t>recoverablilty</w:t>
      </w:r>
      <w:proofErr w:type="spellEnd"/>
      <w:r w:rsidR="005E5D7D">
        <w:rPr>
          <w:rFonts w:ascii="Times New Roman" w:hAnsi="Times New Roman"/>
          <w:sz w:val="24"/>
          <w:szCs w:val="24"/>
        </w:rPr>
        <w:t xml:space="preserve"> of legal costs. </w:t>
      </w:r>
      <w:r w:rsidR="008D3DA4">
        <w:rPr>
          <w:rFonts w:ascii="Times New Roman" w:hAnsi="Times New Roman"/>
          <w:sz w:val="24"/>
          <w:szCs w:val="24"/>
        </w:rPr>
        <w:t xml:space="preserve"> </w:t>
      </w:r>
    </w:p>
    <w:p w14:paraId="66D8A393" w14:textId="3674EC95" w:rsidR="00EB6394" w:rsidRDefault="00EB6394" w:rsidP="00EB6394">
      <w:pPr>
        <w:pStyle w:val="ListParagraph"/>
        <w:rPr>
          <w:rFonts w:ascii="Times New Roman" w:hAnsi="Times New Roman"/>
          <w:sz w:val="24"/>
          <w:szCs w:val="24"/>
        </w:rPr>
      </w:pPr>
    </w:p>
    <w:p w14:paraId="3EA4D9DC" w14:textId="71C79E5E" w:rsidR="005E5D7D" w:rsidRPr="005E5D7D" w:rsidRDefault="005E5D7D" w:rsidP="005E5D7D">
      <w:pPr>
        <w:pStyle w:val="ListParagraph"/>
        <w:ind w:left="0"/>
        <w:rPr>
          <w:rFonts w:ascii="Times New Roman" w:hAnsi="Times New Roman"/>
          <w:b/>
          <w:sz w:val="24"/>
          <w:szCs w:val="24"/>
          <w:u w:val="single"/>
        </w:rPr>
      </w:pPr>
      <w:r>
        <w:rPr>
          <w:rFonts w:ascii="Times New Roman" w:hAnsi="Times New Roman"/>
          <w:b/>
          <w:sz w:val="24"/>
          <w:szCs w:val="24"/>
          <w:u w:val="single"/>
        </w:rPr>
        <w:t>Analysis</w:t>
      </w:r>
    </w:p>
    <w:p w14:paraId="4816A164" w14:textId="0F8A82B3" w:rsidR="00422F08" w:rsidRDefault="005E5D7D"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Central to the Defendants’ case on the validity of the demand of HMRC under the Guarantee is the contention that liability under the Guarantee ar</w:t>
      </w:r>
      <w:r w:rsidR="00080299">
        <w:rPr>
          <w:rFonts w:ascii="Times New Roman" w:hAnsi="Times New Roman"/>
          <w:sz w:val="24"/>
          <w:szCs w:val="24"/>
        </w:rPr>
        <w:t>o</w:t>
      </w:r>
      <w:r>
        <w:rPr>
          <w:rFonts w:ascii="Times New Roman" w:hAnsi="Times New Roman"/>
          <w:sz w:val="24"/>
          <w:szCs w:val="24"/>
        </w:rPr>
        <w:t xml:space="preserve">se where a demand was made by HMRC upon Euler for payment. </w:t>
      </w:r>
      <w:r w:rsidR="00422F08">
        <w:rPr>
          <w:rFonts w:ascii="Times New Roman" w:hAnsi="Times New Roman"/>
          <w:sz w:val="24"/>
          <w:szCs w:val="24"/>
        </w:rPr>
        <w:t>They contend that, s</w:t>
      </w:r>
      <w:r>
        <w:rPr>
          <w:rFonts w:ascii="Times New Roman" w:hAnsi="Times New Roman"/>
          <w:sz w:val="24"/>
          <w:szCs w:val="24"/>
        </w:rPr>
        <w:t xml:space="preserve">ince Euler had no liability until such time as demand was made and </w:t>
      </w:r>
      <w:r w:rsidR="00584C30">
        <w:rPr>
          <w:rFonts w:ascii="Times New Roman" w:hAnsi="Times New Roman"/>
          <w:sz w:val="24"/>
          <w:szCs w:val="24"/>
        </w:rPr>
        <w:t xml:space="preserve">since </w:t>
      </w:r>
      <w:r>
        <w:rPr>
          <w:rFonts w:ascii="Times New Roman" w:hAnsi="Times New Roman"/>
          <w:sz w:val="24"/>
          <w:szCs w:val="24"/>
        </w:rPr>
        <w:t>notice had been given terminating exposure under the Guarantee as from 30 June 2020</w:t>
      </w:r>
      <w:r w:rsidR="00422F08">
        <w:rPr>
          <w:rFonts w:ascii="Times New Roman" w:hAnsi="Times New Roman"/>
          <w:sz w:val="24"/>
          <w:szCs w:val="24"/>
        </w:rPr>
        <w:t>,</w:t>
      </w:r>
      <w:r>
        <w:rPr>
          <w:rFonts w:ascii="Times New Roman" w:hAnsi="Times New Roman"/>
          <w:sz w:val="24"/>
          <w:szCs w:val="24"/>
        </w:rPr>
        <w:t xml:space="preserve"> the demand for payment of HMRC </w:t>
      </w:r>
      <w:r w:rsidR="00584C30">
        <w:rPr>
          <w:rFonts w:ascii="Times New Roman" w:hAnsi="Times New Roman"/>
          <w:sz w:val="24"/>
          <w:szCs w:val="24"/>
        </w:rPr>
        <w:t xml:space="preserve">sent on 8 September 2020 </w:t>
      </w:r>
      <w:r>
        <w:rPr>
          <w:rFonts w:ascii="Times New Roman" w:hAnsi="Times New Roman"/>
          <w:sz w:val="24"/>
          <w:szCs w:val="24"/>
        </w:rPr>
        <w:t>w</w:t>
      </w:r>
      <w:r w:rsidR="00584C30">
        <w:rPr>
          <w:rFonts w:ascii="Times New Roman" w:hAnsi="Times New Roman"/>
          <w:sz w:val="24"/>
          <w:szCs w:val="24"/>
        </w:rPr>
        <w:t>as</w:t>
      </w:r>
      <w:r>
        <w:rPr>
          <w:rFonts w:ascii="Times New Roman" w:hAnsi="Times New Roman"/>
          <w:sz w:val="24"/>
          <w:szCs w:val="24"/>
        </w:rPr>
        <w:t xml:space="preserve"> not valid.</w:t>
      </w:r>
    </w:p>
    <w:p w14:paraId="39EC1C2D" w14:textId="3201BB7F" w:rsidR="00422F08" w:rsidRDefault="00422F08" w:rsidP="00422F08">
      <w:pPr>
        <w:pStyle w:val="ListParagraph"/>
        <w:autoSpaceDN/>
        <w:spacing w:line="360" w:lineRule="auto"/>
        <w:ind w:left="420"/>
        <w:contextualSpacing/>
        <w:jc w:val="left"/>
        <w:textAlignment w:val="auto"/>
        <w:rPr>
          <w:rFonts w:ascii="Times New Roman" w:hAnsi="Times New Roman"/>
          <w:sz w:val="24"/>
          <w:szCs w:val="24"/>
        </w:rPr>
      </w:pPr>
    </w:p>
    <w:p w14:paraId="37938F9E" w14:textId="417C2F46" w:rsidR="00537E26" w:rsidRDefault="005E5D7D"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 </w:t>
      </w:r>
      <w:r w:rsidR="00584C30">
        <w:rPr>
          <w:rFonts w:ascii="Times New Roman" w:hAnsi="Times New Roman"/>
          <w:sz w:val="24"/>
          <w:szCs w:val="24"/>
        </w:rPr>
        <w:t xml:space="preserve">In support of this </w:t>
      </w:r>
      <w:r w:rsidR="00422F08">
        <w:rPr>
          <w:rFonts w:ascii="Times New Roman" w:hAnsi="Times New Roman"/>
          <w:sz w:val="24"/>
          <w:szCs w:val="24"/>
        </w:rPr>
        <w:t>Mr Quirk QC</w:t>
      </w:r>
      <w:r w:rsidR="00584C30">
        <w:rPr>
          <w:rFonts w:ascii="Times New Roman" w:hAnsi="Times New Roman"/>
          <w:sz w:val="24"/>
          <w:szCs w:val="24"/>
        </w:rPr>
        <w:t>,</w:t>
      </w:r>
      <w:r w:rsidR="00422F08">
        <w:rPr>
          <w:rFonts w:ascii="Times New Roman" w:hAnsi="Times New Roman"/>
          <w:sz w:val="24"/>
          <w:szCs w:val="24"/>
        </w:rPr>
        <w:t xml:space="preserve"> </w:t>
      </w:r>
      <w:r w:rsidR="001B0EA7">
        <w:rPr>
          <w:rFonts w:ascii="Times New Roman" w:hAnsi="Times New Roman"/>
          <w:sz w:val="24"/>
          <w:szCs w:val="24"/>
        </w:rPr>
        <w:t xml:space="preserve">counsel for the Defendants, </w:t>
      </w:r>
      <w:r w:rsidR="00422F08">
        <w:rPr>
          <w:rFonts w:ascii="Times New Roman" w:hAnsi="Times New Roman"/>
          <w:sz w:val="24"/>
          <w:szCs w:val="24"/>
        </w:rPr>
        <w:t xml:space="preserve">placed </w:t>
      </w:r>
      <w:r w:rsidR="00080299">
        <w:rPr>
          <w:rFonts w:ascii="Times New Roman" w:hAnsi="Times New Roman"/>
          <w:sz w:val="24"/>
          <w:szCs w:val="24"/>
        </w:rPr>
        <w:t xml:space="preserve">particular </w:t>
      </w:r>
      <w:r w:rsidR="00422F08">
        <w:rPr>
          <w:rFonts w:ascii="Times New Roman" w:hAnsi="Times New Roman"/>
          <w:sz w:val="24"/>
          <w:szCs w:val="24"/>
        </w:rPr>
        <w:t xml:space="preserve">reliance upon the </w:t>
      </w:r>
      <w:proofErr w:type="spellStart"/>
      <w:r w:rsidR="00584C30">
        <w:rPr>
          <w:rFonts w:ascii="Times New Roman" w:hAnsi="Times New Roman"/>
          <w:sz w:val="24"/>
          <w:szCs w:val="24"/>
        </w:rPr>
        <w:t>the</w:t>
      </w:r>
      <w:proofErr w:type="spellEnd"/>
      <w:r w:rsidR="00584C30">
        <w:rPr>
          <w:rFonts w:ascii="Times New Roman" w:hAnsi="Times New Roman"/>
          <w:sz w:val="24"/>
          <w:szCs w:val="24"/>
        </w:rPr>
        <w:t xml:space="preserve"> decisions of the Court of Appeal in </w:t>
      </w:r>
      <w:r w:rsidR="00584C30">
        <w:rPr>
          <w:rFonts w:ascii="Times New Roman" w:hAnsi="Times New Roman"/>
          <w:sz w:val="24"/>
          <w:szCs w:val="24"/>
          <w:u w:val="single"/>
        </w:rPr>
        <w:t>National Westminster Bank v Hardman</w:t>
      </w:r>
      <w:r w:rsidR="00584C30">
        <w:rPr>
          <w:rFonts w:ascii="Times New Roman" w:hAnsi="Times New Roman"/>
          <w:sz w:val="24"/>
          <w:szCs w:val="24"/>
        </w:rPr>
        <w:t xml:space="preserve"> [1988] FLR 302 and </w:t>
      </w:r>
      <w:r w:rsidR="00584C30">
        <w:rPr>
          <w:rFonts w:ascii="Times New Roman" w:hAnsi="Times New Roman"/>
          <w:sz w:val="24"/>
          <w:szCs w:val="24"/>
          <w:u w:val="single"/>
        </w:rPr>
        <w:t xml:space="preserve">Bank of Credit and Commerce </w:t>
      </w:r>
      <w:proofErr w:type="spellStart"/>
      <w:r w:rsidR="00584C30">
        <w:rPr>
          <w:rFonts w:ascii="Times New Roman" w:hAnsi="Times New Roman"/>
          <w:sz w:val="24"/>
          <w:szCs w:val="24"/>
          <w:u w:val="single"/>
        </w:rPr>
        <w:t>Internatioal</w:t>
      </w:r>
      <w:proofErr w:type="spellEnd"/>
      <w:r w:rsidR="00584C30">
        <w:rPr>
          <w:rFonts w:ascii="Times New Roman" w:hAnsi="Times New Roman"/>
          <w:sz w:val="24"/>
          <w:szCs w:val="24"/>
          <w:u w:val="single"/>
        </w:rPr>
        <w:t xml:space="preserve"> </w:t>
      </w:r>
      <w:r w:rsidR="0010734D">
        <w:rPr>
          <w:rFonts w:ascii="Times New Roman" w:hAnsi="Times New Roman"/>
          <w:sz w:val="24"/>
          <w:szCs w:val="24"/>
          <w:u w:val="single"/>
        </w:rPr>
        <w:t xml:space="preserve">S.A. </w:t>
      </w:r>
      <w:r w:rsidR="00584C30">
        <w:rPr>
          <w:rFonts w:ascii="Times New Roman" w:hAnsi="Times New Roman"/>
          <w:sz w:val="24"/>
          <w:szCs w:val="24"/>
          <w:u w:val="single"/>
        </w:rPr>
        <w:t xml:space="preserve">v </w:t>
      </w:r>
      <w:proofErr w:type="spellStart"/>
      <w:r w:rsidR="00584C30">
        <w:rPr>
          <w:rFonts w:ascii="Times New Roman" w:hAnsi="Times New Roman"/>
          <w:sz w:val="24"/>
          <w:szCs w:val="24"/>
          <w:u w:val="single"/>
        </w:rPr>
        <w:t>Simjee</w:t>
      </w:r>
      <w:proofErr w:type="spellEnd"/>
      <w:r w:rsidR="00584C30">
        <w:rPr>
          <w:rFonts w:ascii="Times New Roman" w:hAnsi="Times New Roman"/>
          <w:sz w:val="24"/>
          <w:szCs w:val="24"/>
        </w:rPr>
        <w:t xml:space="preserve"> [1997] CLC 135. </w:t>
      </w:r>
    </w:p>
    <w:p w14:paraId="32F97F2F" w14:textId="77777777" w:rsidR="00537E26" w:rsidRPr="00537E26" w:rsidRDefault="00537E26" w:rsidP="00537E26">
      <w:pPr>
        <w:pStyle w:val="ListParagraph"/>
        <w:rPr>
          <w:rFonts w:ascii="Times New Roman" w:hAnsi="Times New Roman"/>
          <w:sz w:val="24"/>
          <w:szCs w:val="24"/>
        </w:rPr>
      </w:pPr>
    </w:p>
    <w:p w14:paraId="42AA9C56" w14:textId="2951C945" w:rsidR="00537E26" w:rsidRDefault="00584C30"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In </w:t>
      </w:r>
      <w:r>
        <w:rPr>
          <w:rFonts w:ascii="Times New Roman" w:hAnsi="Times New Roman"/>
          <w:sz w:val="24"/>
          <w:szCs w:val="24"/>
          <w:u w:val="single"/>
        </w:rPr>
        <w:t>Hardman</w:t>
      </w:r>
      <w:r>
        <w:rPr>
          <w:rFonts w:ascii="Times New Roman" w:hAnsi="Times New Roman"/>
          <w:sz w:val="24"/>
          <w:szCs w:val="24"/>
        </w:rPr>
        <w:t xml:space="preserve"> the court was concerned with a guarantee under which the guarantor was liable to pay on demand but </w:t>
      </w:r>
      <w:r w:rsidR="001B0EA7">
        <w:rPr>
          <w:rFonts w:ascii="Times New Roman" w:hAnsi="Times New Roman"/>
          <w:sz w:val="24"/>
          <w:szCs w:val="24"/>
        </w:rPr>
        <w:t xml:space="preserve">which </w:t>
      </w:r>
      <w:r>
        <w:rPr>
          <w:rFonts w:ascii="Times New Roman" w:hAnsi="Times New Roman"/>
          <w:sz w:val="24"/>
          <w:szCs w:val="24"/>
        </w:rPr>
        <w:t xml:space="preserve">was determinable on three </w:t>
      </w:r>
      <w:proofErr w:type="spellStart"/>
      <w:r>
        <w:rPr>
          <w:rFonts w:ascii="Times New Roman" w:hAnsi="Times New Roman"/>
          <w:sz w:val="24"/>
          <w:szCs w:val="24"/>
        </w:rPr>
        <w:t>months notice</w:t>
      </w:r>
      <w:proofErr w:type="spellEnd"/>
      <w:r>
        <w:rPr>
          <w:rFonts w:ascii="Times New Roman" w:hAnsi="Times New Roman"/>
          <w:sz w:val="24"/>
          <w:szCs w:val="24"/>
        </w:rPr>
        <w:t xml:space="preserve">. It was common ground that no cause of action arose against the guarantor </w:t>
      </w:r>
      <w:r w:rsidR="001B0EA7">
        <w:rPr>
          <w:rFonts w:ascii="Times New Roman" w:hAnsi="Times New Roman"/>
          <w:sz w:val="24"/>
          <w:szCs w:val="24"/>
        </w:rPr>
        <w:t>until a demand was made. It was also the case that the termination provision stated ‘</w:t>
      </w:r>
      <w:r w:rsidR="001B0EA7">
        <w:rPr>
          <w:rFonts w:ascii="Times New Roman" w:hAnsi="Times New Roman"/>
          <w:i/>
          <w:sz w:val="24"/>
          <w:szCs w:val="24"/>
        </w:rPr>
        <w:t xml:space="preserve">This guarantee shall be a continuing security </w:t>
      </w:r>
      <w:r w:rsidR="001B0EA7" w:rsidRPr="00537E26">
        <w:rPr>
          <w:rFonts w:ascii="Times New Roman" w:hAnsi="Times New Roman"/>
          <w:i/>
          <w:sz w:val="24"/>
          <w:szCs w:val="24"/>
        </w:rPr>
        <w:t>and shall remain in force</w:t>
      </w:r>
      <w:r w:rsidR="001B0EA7">
        <w:rPr>
          <w:rFonts w:ascii="Times New Roman" w:hAnsi="Times New Roman"/>
          <w:i/>
          <w:sz w:val="24"/>
          <w:szCs w:val="24"/>
        </w:rPr>
        <w:t xml:space="preserve"> …until determined by three months’ notice in writing”. </w:t>
      </w:r>
      <w:r w:rsidR="001B0EA7">
        <w:rPr>
          <w:rFonts w:ascii="Times New Roman" w:hAnsi="Times New Roman"/>
          <w:sz w:val="24"/>
          <w:szCs w:val="24"/>
        </w:rPr>
        <w:t>The relevant guarantee also expressly provided for wh</w:t>
      </w:r>
      <w:r w:rsidR="00080299">
        <w:rPr>
          <w:rFonts w:ascii="Times New Roman" w:hAnsi="Times New Roman"/>
          <w:sz w:val="24"/>
          <w:szCs w:val="24"/>
        </w:rPr>
        <w:t>a</w:t>
      </w:r>
      <w:r w:rsidR="001B0EA7">
        <w:rPr>
          <w:rFonts w:ascii="Times New Roman" w:hAnsi="Times New Roman"/>
          <w:sz w:val="24"/>
          <w:szCs w:val="24"/>
        </w:rPr>
        <w:t>t was to be preserved from the effect of termination: “</w:t>
      </w:r>
      <w:r w:rsidR="001B0EA7">
        <w:rPr>
          <w:rFonts w:ascii="Times New Roman" w:hAnsi="Times New Roman"/>
          <w:i/>
          <w:sz w:val="24"/>
          <w:szCs w:val="24"/>
        </w:rPr>
        <w:t>…[B]</w:t>
      </w:r>
      <w:proofErr w:type="spellStart"/>
      <w:r w:rsidR="001B0EA7">
        <w:rPr>
          <w:rFonts w:ascii="Times New Roman" w:hAnsi="Times New Roman"/>
          <w:i/>
          <w:sz w:val="24"/>
          <w:szCs w:val="24"/>
        </w:rPr>
        <w:t>ut</w:t>
      </w:r>
      <w:proofErr w:type="spellEnd"/>
      <w:r w:rsidR="001B0EA7">
        <w:rPr>
          <w:rFonts w:ascii="Times New Roman" w:hAnsi="Times New Roman"/>
          <w:i/>
          <w:sz w:val="24"/>
          <w:szCs w:val="24"/>
        </w:rPr>
        <w:t xml:space="preserve"> such determination shall not affect the liability of the guarantor for the amount due hereunder at the date of expiration of the notice with interest as herein provided until payment in full”. </w:t>
      </w:r>
      <w:r w:rsidR="001B0EA7">
        <w:rPr>
          <w:rFonts w:ascii="Times New Roman" w:hAnsi="Times New Roman"/>
          <w:sz w:val="24"/>
          <w:szCs w:val="24"/>
        </w:rPr>
        <w:t xml:space="preserve">The Court of Appeal placed reliance on this express wording in concluding that there could be no continuing exposure </w:t>
      </w:r>
      <w:r w:rsidR="00537E26">
        <w:rPr>
          <w:rFonts w:ascii="Times New Roman" w:hAnsi="Times New Roman"/>
          <w:sz w:val="24"/>
          <w:szCs w:val="24"/>
        </w:rPr>
        <w:t>to contingent debts after termination had taken effect. Unless demand</w:t>
      </w:r>
      <w:r w:rsidR="001B0EA7">
        <w:rPr>
          <w:rFonts w:ascii="Times New Roman" w:hAnsi="Times New Roman"/>
          <w:sz w:val="24"/>
          <w:szCs w:val="24"/>
        </w:rPr>
        <w:t xml:space="preserve"> </w:t>
      </w:r>
      <w:r w:rsidR="00537E26">
        <w:rPr>
          <w:rFonts w:ascii="Times New Roman" w:hAnsi="Times New Roman"/>
          <w:sz w:val="24"/>
          <w:szCs w:val="24"/>
        </w:rPr>
        <w:t>had</w:t>
      </w:r>
      <w:r w:rsidR="001B0EA7">
        <w:rPr>
          <w:rFonts w:ascii="Times New Roman" w:hAnsi="Times New Roman"/>
          <w:sz w:val="24"/>
          <w:szCs w:val="24"/>
        </w:rPr>
        <w:t xml:space="preserve"> been made at the date of termination there was nothing due </w:t>
      </w:r>
      <w:r w:rsidR="00537E26">
        <w:rPr>
          <w:rFonts w:ascii="Times New Roman" w:hAnsi="Times New Roman"/>
          <w:sz w:val="24"/>
          <w:szCs w:val="24"/>
        </w:rPr>
        <w:t xml:space="preserve">that could be the subject of continuing liability. The court also took account of the commercial consideration of the guarantor remaining contingently liable without limitation of time, with demand </w:t>
      </w:r>
      <w:r w:rsidR="00080299">
        <w:rPr>
          <w:rFonts w:ascii="Times New Roman" w:hAnsi="Times New Roman"/>
          <w:sz w:val="24"/>
          <w:szCs w:val="24"/>
        </w:rPr>
        <w:t xml:space="preserve">potentially </w:t>
      </w:r>
      <w:r w:rsidR="00537E26">
        <w:rPr>
          <w:rFonts w:ascii="Times New Roman" w:hAnsi="Times New Roman"/>
          <w:sz w:val="24"/>
          <w:szCs w:val="24"/>
        </w:rPr>
        <w:t xml:space="preserve">being made many years later and proceedings </w:t>
      </w:r>
      <w:r w:rsidR="00080299">
        <w:rPr>
          <w:rFonts w:ascii="Times New Roman" w:hAnsi="Times New Roman"/>
          <w:sz w:val="24"/>
          <w:szCs w:val="24"/>
        </w:rPr>
        <w:t xml:space="preserve">being </w:t>
      </w:r>
      <w:r w:rsidR="00537E26">
        <w:rPr>
          <w:rFonts w:ascii="Times New Roman" w:hAnsi="Times New Roman"/>
          <w:sz w:val="24"/>
          <w:szCs w:val="24"/>
        </w:rPr>
        <w:t>issued 6 years after the demand.</w:t>
      </w:r>
    </w:p>
    <w:p w14:paraId="263C66F3" w14:textId="77777777" w:rsidR="00537E26" w:rsidRPr="00537E26" w:rsidRDefault="00537E26" w:rsidP="00537E26">
      <w:pPr>
        <w:pStyle w:val="ListParagraph"/>
        <w:rPr>
          <w:rFonts w:ascii="Times New Roman" w:hAnsi="Times New Roman"/>
          <w:sz w:val="24"/>
          <w:szCs w:val="24"/>
        </w:rPr>
      </w:pPr>
    </w:p>
    <w:p w14:paraId="3F4C73BF" w14:textId="77777777" w:rsidR="0010734D" w:rsidRDefault="00537E26"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It seems to me that the </w:t>
      </w:r>
      <w:r>
        <w:rPr>
          <w:rFonts w:ascii="Times New Roman" w:hAnsi="Times New Roman"/>
          <w:sz w:val="24"/>
          <w:szCs w:val="24"/>
          <w:u w:val="single"/>
        </w:rPr>
        <w:t>Hardman</w:t>
      </w:r>
      <w:r>
        <w:rPr>
          <w:rFonts w:ascii="Times New Roman" w:hAnsi="Times New Roman"/>
          <w:sz w:val="24"/>
          <w:szCs w:val="24"/>
        </w:rPr>
        <w:t xml:space="preserve"> </w:t>
      </w:r>
      <w:r w:rsidR="0010734D">
        <w:rPr>
          <w:rFonts w:ascii="Times New Roman" w:hAnsi="Times New Roman"/>
          <w:sz w:val="24"/>
          <w:szCs w:val="24"/>
        </w:rPr>
        <w:t xml:space="preserve">decision </w:t>
      </w:r>
      <w:r>
        <w:rPr>
          <w:rFonts w:ascii="Times New Roman" w:hAnsi="Times New Roman"/>
          <w:sz w:val="24"/>
          <w:szCs w:val="24"/>
        </w:rPr>
        <w:t xml:space="preserve">is specific to the wording of the guarantee in that particular case. There, in contrast to the Guarantee in this case, there was express provision for the nature of </w:t>
      </w:r>
      <w:r w:rsidR="0010734D">
        <w:rPr>
          <w:rFonts w:ascii="Times New Roman" w:hAnsi="Times New Roman"/>
          <w:sz w:val="24"/>
          <w:szCs w:val="24"/>
        </w:rPr>
        <w:t xml:space="preserve">the </w:t>
      </w:r>
      <w:r>
        <w:rPr>
          <w:rFonts w:ascii="Times New Roman" w:hAnsi="Times New Roman"/>
          <w:sz w:val="24"/>
          <w:szCs w:val="24"/>
        </w:rPr>
        <w:t xml:space="preserve">liability that was to persist after termination. In </w:t>
      </w:r>
      <w:r w:rsidRPr="0010734D">
        <w:rPr>
          <w:rFonts w:ascii="Times New Roman" w:hAnsi="Times New Roman"/>
          <w:sz w:val="24"/>
          <w:szCs w:val="24"/>
          <w:u w:val="single"/>
        </w:rPr>
        <w:t>Hardman</w:t>
      </w:r>
      <w:r>
        <w:rPr>
          <w:rFonts w:ascii="Times New Roman" w:hAnsi="Times New Roman"/>
          <w:sz w:val="24"/>
          <w:szCs w:val="24"/>
        </w:rPr>
        <w:t xml:space="preserve"> that express wording required a demand to have been made </w:t>
      </w:r>
      <w:r w:rsidR="0010734D">
        <w:rPr>
          <w:rFonts w:ascii="Times New Roman" w:hAnsi="Times New Roman"/>
          <w:sz w:val="24"/>
          <w:szCs w:val="24"/>
        </w:rPr>
        <w:t>for any exposure to persist. There is no such equivalent wording in this case.</w:t>
      </w:r>
    </w:p>
    <w:p w14:paraId="730129AB" w14:textId="77777777" w:rsidR="0010734D" w:rsidRPr="0010734D" w:rsidRDefault="0010734D" w:rsidP="0010734D">
      <w:pPr>
        <w:pStyle w:val="ListParagraph"/>
        <w:rPr>
          <w:rFonts w:ascii="Times New Roman" w:hAnsi="Times New Roman"/>
          <w:sz w:val="24"/>
          <w:szCs w:val="24"/>
        </w:rPr>
      </w:pPr>
    </w:p>
    <w:p w14:paraId="3F0D9923" w14:textId="44F95F99" w:rsidR="00EE04B7" w:rsidRDefault="0010734D" w:rsidP="00EE04B7">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sz w:val="24"/>
          <w:szCs w:val="24"/>
          <w:u w:val="single"/>
        </w:rPr>
        <w:t>Simjee</w:t>
      </w:r>
      <w:proofErr w:type="spellEnd"/>
      <w:r>
        <w:rPr>
          <w:rFonts w:ascii="Times New Roman" w:hAnsi="Times New Roman"/>
          <w:sz w:val="24"/>
          <w:szCs w:val="24"/>
        </w:rPr>
        <w:t xml:space="preserve">, the principal judgment was given by Hobhouse LJ who distinguished the </w:t>
      </w:r>
      <w:r>
        <w:rPr>
          <w:rFonts w:ascii="Times New Roman" w:hAnsi="Times New Roman"/>
          <w:sz w:val="24"/>
          <w:szCs w:val="24"/>
          <w:u w:val="single"/>
        </w:rPr>
        <w:t xml:space="preserve">Hardman </w:t>
      </w:r>
      <w:r>
        <w:rPr>
          <w:rFonts w:ascii="Times New Roman" w:hAnsi="Times New Roman"/>
          <w:sz w:val="24"/>
          <w:szCs w:val="24"/>
        </w:rPr>
        <w:t xml:space="preserve">decision having regard to the different wording of the form of the guarantee in that case and who observed that </w:t>
      </w:r>
      <w:r>
        <w:rPr>
          <w:rFonts w:ascii="Times New Roman" w:hAnsi="Times New Roman"/>
          <w:i/>
          <w:sz w:val="24"/>
          <w:szCs w:val="24"/>
        </w:rPr>
        <w:t xml:space="preserve">“decisions on differently worded documents are of limited assistance”. </w:t>
      </w:r>
      <w:r>
        <w:rPr>
          <w:rFonts w:ascii="Times New Roman" w:hAnsi="Times New Roman"/>
          <w:sz w:val="24"/>
          <w:szCs w:val="24"/>
        </w:rPr>
        <w:t xml:space="preserve">He then went on to consider the </w:t>
      </w:r>
      <w:r w:rsidR="00EE04B7">
        <w:rPr>
          <w:rFonts w:ascii="Times New Roman" w:hAnsi="Times New Roman"/>
          <w:sz w:val="24"/>
          <w:szCs w:val="24"/>
        </w:rPr>
        <w:t>operation and effect of demand guarantees and continuing guarantees in the following passage</w:t>
      </w:r>
      <w:r w:rsidR="00827312">
        <w:rPr>
          <w:rFonts w:ascii="Times New Roman" w:hAnsi="Times New Roman"/>
          <w:sz w:val="24"/>
          <w:szCs w:val="24"/>
        </w:rPr>
        <w:t xml:space="preserve"> at 137-139</w:t>
      </w:r>
      <w:r w:rsidR="00EE04B7">
        <w:rPr>
          <w:rFonts w:ascii="Times New Roman" w:hAnsi="Times New Roman"/>
          <w:sz w:val="24"/>
          <w:szCs w:val="24"/>
        </w:rPr>
        <w:t>:</w:t>
      </w:r>
    </w:p>
    <w:p w14:paraId="49A11CF0" w14:textId="77777777" w:rsidR="00827312" w:rsidRPr="00827312" w:rsidRDefault="00827312" w:rsidP="00827312">
      <w:pPr>
        <w:pStyle w:val="ListParagraph"/>
        <w:rPr>
          <w:rFonts w:ascii="Times New Roman" w:hAnsi="Times New Roman"/>
          <w:sz w:val="24"/>
          <w:szCs w:val="24"/>
        </w:rPr>
      </w:pPr>
    </w:p>
    <w:p w14:paraId="34E17DBA" w14:textId="77777777" w:rsidR="00827312" w:rsidRDefault="00827312" w:rsidP="00827312">
      <w:pPr>
        <w:pStyle w:val="ListParagraph"/>
        <w:autoSpaceDN/>
        <w:spacing w:line="360" w:lineRule="auto"/>
        <w:ind w:left="420"/>
        <w:contextualSpacing/>
        <w:jc w:val="left"/>
        <w:textAlignment w:val="auto"/>
        <w:rPr>
          <w:rFonts w:ascii="Times New Roman" w:hAnsi="Times New Roman"/>
          <w:sz w:val="24"/>
          <w:szCs w:val="24"/>
        </w:rPr>
      </w:pPr>
    </w:p>
    <w:p w14:paraId="331EDAC4" w14:textId="561274AA" w:rsidR="00827312" w:rsidRPr="00827312" w:rsidRDefault="00827312" w:rsidP="00827312">
      <w:pPr>
        <w:pStyle w:val="ListParagraph"/>
        <w:autoSpaceDN/>
        <w:spacing w:line="360" w:lineRule="auto"/>
        <w:ind w:left="360"/>
        <w:contextualSpacing/>
        <w:textAlignment w:val="auto"/>
        <w:rPr>
          <w:rFonts w:ascii="Times New Roman" w:hAnsi="Times New Roman"/>
          <w:i/>
          <w:sz w:val="24"/>
          <w:szCs w:val="24"/>
        </w:rPr>
      </w:pPr>
      <w:r>
        <w:rPr>
          <w:rFonts w:ascii="Times New Roman" w:hAnsi="Times New Roman"/>
          <w:sz w:val="24"/>
          <w:szCs w:val="24"/>
        </w:rPr>
        <w:t>“</w:t>
      </w:r>
      <w:r w:rsidRPr="00827312">
        <w:rPr>
          <w:rFonts w:ascii="Times New Roman" w:hAnsi="Times New Roman"/>
          <w:i/>
          <w:sz w:val="24"/>
          <w:szCs w:val="24"/>
        </w:rPr>
        <w:t xml:space="preserve">The simplest form of guarantee of a monetary liability of a principal debtor is one which identifies an obligation of the principal and simply states that the surety guarantees that that obligation will be discharged. The subject matter of the guarantee is thus the payment of an identified debt or the discharge of the principal's liability in respect of an identified transaction. The liability of the surety is not, as such, qualified in amount or time; a further term is necessary to do that. The liability of the surety to the creditor accrues and becomes actionable as soon as there is a default by the principal. Any repayments by the principal will reduce or extinguish the obligation the subject of the guarantee and therefore the liability of the surety. If there is a running account, prima facie, the rule in </w:t>
      </w:r>
      <w:r w:rsidRPr="00827312">
        <w:rPr>
          <w:rFonts w:ascii="Times New Roman" w:hAnsi="Times New Roman"/>
          <w:i/>
          <w:sz w:val="24"/>
          <w:szCs w:val="24"/>
          <w:u w:val="single"/>
        </w:rPr>
        <w:t>Clayton's Case</w:t>
      </w:r>
      <w:r w:rsidRPr="00827312">
        <w:rPr>
          <w:rFonts w:ascii="Times New Roman" w:hAnsi="Times New Roman"/>
          <w:i/>
          <w:sz w:val="24"/>
          <w:szCs w:val="24"/>
        </w:rPr>
        <w:t xml:space="preserve"> (1816) 1 Mer 572 will apply </w:t>
      </w:r>
      <w:proofErr w:type="gramStart"/>
      <w:r w:rsidRPr="00827312">
        <w:rPr>
          <w:rFonts w:ascii="Times New Roman" w:hAnsi="Times New Roman"/>
          <w:i/>
          <w:sz w:val="24"/>
          <w:szCs w:val="24"/>
        </w:rPr>
        <w:t xml:space="preserve">( </w:t>
      </w:r>
      <w:r w:rsidRPr="00827312">
        <w:rPr>
          <w:rFonts w:ascii="Times New Roman" w:hAnsi="Times New Roman"/>
          <w:i/>
          <w:sz w:val="24"/>
          <w:szCs w:val="24"/>
          <w:u w:val="single"/>
        </w:rPr>
        <w:t>Re</w:t>
      </w:r>
      <w:proofErr w:type="gramEnd"/>
      <w:r w:rsidRPr="00827312">
        <w:rPr>
          <w:rFonts w:ascii="Times New Roman" w:hAnsi="Times New Roman"/>
          <w:i/>
          <w:sz w:val="24"/>
          <w:szCs w:val="24"/>
          <w:u w:val="single"/>
        </w:rPr>
        <w:t xml:space="preserve"> Quest CAE</w:t>
      </w:r>
      <w:r w:rsidRPr="00827312">
        <w:rPr>
          <w:rFonts w:ascii="Times New Roman" w:hAnsi="Times New Roman"/>
          <w:i/>
          <w:sz w:val="24"/>
          <w:szCs w:val="24"/>
        </w:rPr>
        <w:t xml:space="preserve"> (1985) 1 BCC 99 , 389 at pp. 99,392–99,393). The liability of the surety is exhausted once the relevant obligation has been performed and does not cover further advances.</w:t>
      </w:r>
    </w:p>
    <w:p w14:paraId="41BB6486" w14:textId="77777777" w:rsidR="00827312" w:rsidRPr="00827312" w:rsidRDefault="00827312" w:rsidP="00827312">
      <w:pPr>
        <w:pStyle w:val="ListParagraph"/>
        <w:autoSpaceDN/>
        <w:spacing w:line="360" w:lineRule="auto"/>
        <w:ind w:left="360"/>
        <w:contextualSpacing/>
        <w:textAlignment w:val="auto"/>
        <w:rPr>
          <w:rFonts w:ascii="Times New Roman" w:hAnsi="Times New Roman"/>
          <w:i/>
          <w:sz w:val="24"/>
          <w:szCs w:val="24"/>
        </w:rPr>
      </w:pPr>
      <w:r w:rsidRPr="00827312">
        <w:rPr>
          <w:rFonts w:ascii="Times New Roman" w:hAnsi="Times New Roman"/>
          <w:i/>
          <w:sz w:val="24"/>
          <w:szCs w:val="24"/>
        </w:rPr>
        <w:t>This simple situation is capable of being varied or elaborated in many ways. But still the two elements will be identifiable—the obligation or obligations of the principal the subject matter of the guarantee and the accrual of the liability of the surety to the creditor. Where the creditor and principal have a running account and the creditor, the bank, is from time to time providing the principal debtor with finance, whether by granting him overdrafts or loan facilities or issuing paper on his behalf or discounting negotiable and other instruments or debts for him or in any of the other many ways a banker may provide finance to a business, the only satisfactory form of guarantee will be what is called a continuing guarantee. This has the effect of making the subject matter of the guarantee whatever may be the discharge of the indebtedness (and other monetary obligations) of the principal to the bank at any given time. It is in essence a security with a floating subject matter. Ordinarily such a guarantee will not prudently be given unless the surety has a measure of control over the affairs of the principal.</w:t>
      </w:r>
    </w:p>
    <w:p w14:paraId="4D0C41EB" w14:textId="77777777" w:rsidR="00827312" w:rsidRPr="00827312" w:rsidRDefault="00827312" w:rsidP="00827312">
      <w:pPr>
        <w:pStyle w:val="ListParagraph"/>
        <w:autoSpaceDN/>
        <w:spacing w:line="360" w:lineRule="auto"/>
        <w:ind w:left="360"/>
        <w:contextualSpacing/>
        <w:textAlignment w:val="auto"/>
        <w:rPr>
          <w:rFonts w:ascii="Times New Roman" w:hAnsi="Times New Roman"/>
          <w:i/>
          <w:sz w:val="24"/>
          <w:szCs w:val="24"/>
        </w:rPr>
      </w:pPr>
      <w:r w:rsidRPr="00827312">
        <w:rPr>
          <w:rFonts w:ascii="Times New Roman" w:hAnsi="Times New Roman"/>
          <w:i/>
          <w:sz w:val="24"/>
          <w:szCs w:val="24"/>
        </w:rPr>
        <w:t xml:space="preserve">For the guarantee contract to work satisfactorily it is necessary to have some mechanism whereby the accrual of any liability of the surety under the guarantee can be identified and quantified. In its absence, problems can also arise under the Limitation Acts </w:t>
      </w:r>
      <w:proofErr w:type="gramStart"/>
      <w:r w:rsidRPr="00827312">
        <w:rPr>
          <w:rFonts w:ascii="Times New Roman" w:hAnsi="Times New Roman"/>
          <w:i/>
          <w:sz w:val="24"/>
          <w:szCs w:val="24"/>
        </w:rPr>
        <w:t xml:space="preserve">( </w:t>
      </w:r>
      <w:r w:rsidRPr="00827312">
        <w:rPr>
          <w:rFonts w:ascii="Times New Roman" w:hAnsi="Times New Roman"/>
          <w:i/>
          <w:sz w:val="24"/>
          <w:szCs w:val="24"/>
          <w:u w:val="single"/>
        </w:rPr>
        <w:t>Parr's</w:t>
      </w:r>
      <w:proofErr w:type="gramEnd"/>
      <w:r w:rsidRPr="00827312">
        <w:rPr>
          <w:rFonts w:ascii="Times New Roman" w:hAnsi="Times New Roman"/>
          <w:i/>
          <w:sz w:val="24"/>
          <w:szCs w:val="24"/>
          <w:u w:val="single"/>
        </w:rPr>
        <w:t xml:space="preserve"> Banking Co Ltd v Yates</w:t>
      </w:r>
      <w:r w:rsidRPr="00827312">
        <w:rPr>
          <w:rFonts w:ascii="Times New Roman" w:hAnsi="Times New Roman"/>
          <w:i/>
          <w:sz w:val="24"/>
          <w:szCs w:val="24"/>
        </w:rPr>
        <w:t xml:space="preserve"> [1898] 2 QB 460 ). The mechanism ordinarily adopted is to express the guarantee as a demand guarantee. Thus, as does the present document, the guarantee will provide that the obligation of the surety arises when a demand is made upon him by the creditor. That demand provides the moment at which a line is drawn under the account </w:t>
      </w:r>
      <w:r w:rsidRPr="00827312">
        <w:rPr>
          <w:rFonts w:ascii="Times New Roman" w:hAnsi="Times New Roman"/>
          <w:i/>
          <w:sz w:val="24"/>
          <w:szCs w:val="24"/>
        </w:rPr>
        <w:lastRenderedPageBreak/>
        <w:t>between the principal and the creditor and the surety becomes immediately liable for the discharge of whatever are at that time the obligations of the principal to the creditor.</w:t>
      </w:r>
    </w:p>
    <w:p w14:paraId="6A49BB05" w14:textId="77777777" w:rsidR="00827312" w:rsidRPr="00827312" w:rsidRDefault="00827312" w:rsidP="00827312">
      <w:pPr>
        <w:pStyle w:val="ListParagraph"/>
        <w:autoSpaceDN/>
        <w:spacing w:line="360" w:lineRule="auto"/>
        <w:ind w:left="360"/>
        <w:contextualSpacing/>
        <w:textAlignment w:val="auto"/>
        <w:rPr>
          <w:rFonts w:ascii="Times New Roman" w:hAnsi="Times New Roman"/>
          <w:i/>
          <w:sz w:val="24"/>
          <w:szCs w:val="24"/>
        </w:rPr>
      </w:pPr>
      <w:r w:rsidRPr="00827312">
        <w:rPr>
          <w:rFonts w:ascii="Times New Roman" w:hAnsi="Times New Roman"/>
          <w:i/>
          <w:sz w:val="24"/>
          <w:szCs w:val="24"/>
        </w:rPr>
        <w:t xml:space="preserve">A continuing guarantee is prima facie open-ended. The surety will normally require some mechanism whereby he can bring this state of affairs to an end. Commercially, there is more than one way in which he can do this. One is by including in the guarantee a provision which enables the surety to give notice of termination of the guarantee contract so that the creditor is given a period of time within which he may if he chooses make a demand upon the surety; if he does not do so, the contract then wholly comes to an end. This was held to be the effect of the guarantee in the </w:t>
      </w:r>
      <w:r w:rsidRPr="00827312">
        <w:rPr>
          <w:rFonts w:ascii="Times New Roman" w:hAnsi="Times New Roman"/>
          <w:i/>
          <w:sz w:val="24"/>
          <w:szCs w:val="24"/>
          <w:u w:val="single"/>
        </w:rPr>
        <w:t>Hardman</w:t>
      </w:r>
      <w:r w:rsidRPr="00827312">
        <w:rPr>
          <w:rFonts w:ascii="Times New Roman" w:hAnsi="Times New Roman"/>
          <w:i/>
          <w:sz w:val="24"/>
          <w:szCs w:val="24"/>
        </w:rPr>
        <w:t xml:space="preserve"> case. Another is by having a provision which enables the surety by the service of a notice to </w:t>
      </w:r>
      <w:proofErr w:type="gramStart"/>
      <w:r w:rsidRPr="00827312">
        <w:rPr>
          <w:rFonts w:ascii="Times New Roman" w:hAnsi="Times New Roman"/>
          <w:i/>
          <w:sz w:val="24"/>
          <w:szCs w:val="24"/>
        </w:rPr>
        <w:t>bring to an end</w:t>
      </w:r>
      <w:proofErr w:type="gramEnd"/>
      <w:r w:rsidRPr="00827312">
        <w:rPr>
          <w:rFonts w:ascii="Times New Roman" w:hAnsi="Times New Roman"/>
          <w:i/>
          <w:sz w:val="24"/>
          <w:szCs w:val="24"/>
        </w:rPr>
        <w:t xml:space="preserve"> the continuing character of the guarantee so that from the expiry of the notice its subject matter becomes the obligations of the principal to the creditor at that time. The judge has held that this is the effect of cl. 3 of the guarantee in the present case.</w:t>
      </w:r>
    </w:p>
    <w:p w14:paraId="2998A92D" w14:textId="77777777" w:rsidR="00827312" w:rsidRPr="00827312" w:rsidRDefault="00827312" w:rsidP="00827312">
      <w:pPr>
        <w:pStyle w:val="ListParagraph"/>
        <w:autoSpaceDN/>
        <w:spacing w:line="360" w:lineRule="auto"/>
        <w:ind w:left="360"/>
        <w:contextualSpacing/>
        <w:textAlignment w:val="auto"/>
        <w:rPr>
          <w:rFonts w:ascii="Times New Roman" w:hAnsi="Times New Roman"/>
          <w:i/>
          <w:sz w:val="24"/>
          <w:szCs w:val="24"/>
        </w:rPr>
      </w:pPr>
      <w:r w:rsidRPr="00827312">
        <w:rPr>
          <w:rFonts w:ascii="Times New Roman" w:hAnsi="Times New Roman"/>
          <w:i/>
          <w:sz w:val="24"/>
          <w:szCs w:val="24"/>
        </w:rPr>
        <w:t>If the provisions of the guarantee are of the latter kind, the guarantee remains in force but only as a guarantee of the performance of identified obligations. It remains a demand guarantee so that, although the notice crystallises the subject matter of the guarantee, it leaves open whether there will be any liability of the surety under the guarantee. No cause of action against the surety will arise until a demand is made upon him. But the demand can only relate to such of the obligations of the principal at the time of the expiry of the notice as still remain unperformed at the time of the demand on the surety.</w:t>
      </w:r>
    </w:p>
    <w:p w14:paraId="6BFCD8DE" w14:textId="31C8FB09" w:rsidR="00AB7458" w:rsidRDefault="00827312" w:rsidP="00827312">
      <w:pPr>
        <w:pStyle w:val="ListParagraph"/>
        <w:autoSpaceDN/>
        <w:spacing w:line="360" w:lineRule="auto"/>
        <w:ind w:left="360"/>
        <w:contextualSpacing/>
        <w:jc w:val="left"/>
        <w:textAlignment w:val="auto"/>
        <w:rPr>
          <w:rFonts w:ascii="Times New Roman" w:hAnsi="Times New Roman"/>
          <w:i/>
          <w:sz w:val="24"/>
          <w:szCs w:val="24"/>
        </w:rPr>
      </w:pPr>
      <w:r w:rsidRPr="00827312">
        <w:rPr>
          <w:rFonts w:ascii="Times New Roman" w:hAnsi="Times New Roman"/>
          <w:i/>
          <w:sz w:val="24"/>
          <w:szCs w:val="24"/>
        </w:rPr>
        <w:t xml:space="preserve">As Parker LJ pointed out in the </w:t>
      </w:r>
      <w:r w:rsidRPr="00827312">
        <w:rPr>
          <w:rFonts w:ascii="Times New Roman" w:hAnsi="Times New Roman"/>
          <w:i/>
          <w:sz w:val="24"/>
          <w:szCs w:val="24"/>
          <w:u w:val="single"/>
        </w:rPr>
        <w:t>Hardman</w:t>
      </w:r>
      <w:r w:rsidRPr="00827312">
        <w:rPr>
          <w:rFonts w:ascii="Times New Roman" w:hAnsi="Times New Roman"/>
          <w:i/>
          <w:sz w:val="24"/>
          <w:szCs w:val="24"/>
        </w:rPr>
        <w:t xml:space="preserve"> case, there are advantages and disadvantages in either type of notice provision. What is important is that the parties should know at the time when the guarantee is executed and at the time when notice has been given what is the effect of their contract. They can then protect their position. What is unacceptable is that there should be the kind of uncertainty that existed in the Hardman case and, it is suggested, in the present case</w:t>
      </w:r>
      <w:r>
        <w:rPr>
          <w:rFonts w:ascii="Times New Roman" w:hAnsi="Times New Roman"/>
          <w:i/>
          <w:sz w:val="24"/>
          <w:szCs w:val="24"/>
        </w:rPr>
        <w:t>”</w:t>
      </w:r>
      <w:r w:rsidRPr="00827312">
        <w:rPr>
          <w:rFonts w:ascii="Times New Roman" w:hAnsi="Times New Roman"/>
          <w:i/>
          <w:sz w:val="24"/>
          <w:szCs w:val="24"/>
        </w:rPr>
        <w:t>.</w:t>
      </w:r>
    </w:p>
    <w:p w14:paraId="1E95750A" w14:textId="77777777" w:rsidR="00827312" w:rsidRPr="00827312" w:rsidRDefault="00827312" w:rsidP="00827312">
      <w:pPr>
        <w:pStyle w:val="ListParagraph"/>
        <w:autoSpaceDN/>
        <w:spacing w:line="360" w:lineRule="auto"/>
        <w:ind w:left="360"/>
        <w:contextualSpacing/>
        <w:jc w:val="left"/>
        <w:textAlignment w:val="auto"/>
        <w:rPr>
          <w:rFonts w:ascii="Times New Roman" w:hAnsi="Times New Roman"/>
          <w:i/>
          <w:sz w:val="24"/>
          <w:szCs w:val="24"/>
        </w:rPr>
      </w:pPr>
    </w:p>
    <w:p w14:paraId="6C48CECC" w14:textId="48EDE249" w:rsidR="00827312" w:rsidRDefault="00D309A6"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sz w:val="24"/>
          <w:szCs w:val="24"/>
          <w:u w:val="single"/>
        </w:rPr>
        <w:t>Simjee</w:t>
      </w:r>
      <w:proofErr w:type="spellEnd"/>
      <w:r>
        <w:rPr>
          <w:rFonts w:ascii="Times New Roman" w:hAnsi="Times New Roman"/>
          <w:sz w:val="24"/>
          <w:szCs w:val="24"/>
        </w:rPr>
        <w:t xml:space="preserve"> the Court of Appeal concluded that the guarantee in issue was a continuing guarantee falling into the second category of the type described in the judgment of Hobhouse LJ</w:t>
      </w:r>
      <w:r w:rsidR="00080299">
        <w:rPr>
          <w:rFonts w:ascii="Times New Roman" w:hAnsi="Times New Roman"/>
          <w:sz w:val="24"/>
          <w:szCs w:val="24"/>
        </w:rPr>
        <w:t xml:space="preserve"> and</w:t>
      </w:r>
      <w:r>
        <w:rPr>
          <w:rFonts w:ascii="Times New Roman" w:hAnsi="Times New Roman"/>
          <w:sz w:val="24"/>
          <w:szCs w:val="24"/>
        </w:rPr>
        <w:t xml:space="preserve"> it was the continuing nature of the guarantee that was determined by notice. Liability remained in respect of contingent liabilities in existence as at that date, the notice effectively crystalised their extent. In that case the court was abl</w:t>
      </w:r>
      <w:r w:rsidR="006F03DC">
        <w:rPr>
          <w:rFonts w:ascii="Times New Roman" w:hAnsi="Times New Roman"/>
          <w:sz w:val="24"/>
          <w:szCs w:val="24"/>
        </w:rPr>
        <w:t>e</w:t>
      </w:r>
      <w:r>
        <w:rPr>
          <w:rFonts w:ascii="Times New Roman" w:hAnsi="Times New Roman"/>
          <w:sz w:val="24"/>
          <w:szCs w:val="24"/>
        </w:rPr>
        <w:t xml:space="preserve"> to rely on express wording referring to the guarantee being determined and “the liability hereunder crystallised”. </w:t>
      </w:r>
    </w:p>
    <w:p w14:paraId="33A75E53" w14:textId="77777777" w:rsidR="00D309A6" w:rsidRDefault="00D309A6" w:rsidP="00D309A6">
      <w:pPr>
        <w:pStyle w:val="ListParagraph"/>
        <w:autoSpaceDN/>
        <w:spacing w:line="360" w:lineRule="auto"/>
        <w:ind w:left="420"/>
        <w:contextualSpacing/>
        <w:jc w:val="left"/>
        <w:textAlignment w:val="auto"/>
        <w:rPr>
          <w:rFonts w:ascii="Times New Roman" w:hAnsi="Times New Roman"/>
          <w:sz w:val="24"/>
          <w:szCs w:val="24"/>
        </w:rPr>
      </w:pPr>
    </w:p>
    <w:p w14:paraId="50B0DF9B" w14:textId="690EF271" w:rsidR="00E45D16" w:rsidRDefault="00D309A6"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Once </w:t>
      </w:r>
      <w:proofErr w:type="gramStart"/>
      <w:r>
        <w:rPr>
          <w:rFonts w:ascii="Times New Roman" w:hAnsi="Times New Roman"/>
          <w:sz w:val="24"/>
          <w:szCs w:val="24"/>
        </w:rPr>
        <w:t>again</w:t>
      </w:r>
      <w:proofErr w:type="gramEnd"/>
      <w:r>
        <w:rPr>
          <w:rFonts w:ascii="Times New Roman" w:hAnsi="Times New Roman"/>
          <w:sz w:val="24"/>
          <w:szCs w:val="24"/>
        </w:rPr>
        <w:t xml:space="preserve"> the wording of the guarantee in </w:t>
      </w:r>
      <w:proofErr w:type="spellStart"/>
      <w:r w:rsidRPr="00D309A6">
        <w:rPr>
          <w:rFonts w:ascii="Times New Roman" w:hAnsi="Times New Roman"/>
          <w:sz w:val="24"/>
          <w:szCs w:val="24"/>
          <w:u w:val="single"/>
        </w:rPr>
        <w:t>Simjee</w:t>
      </w:r>
      <w:proofErr w:type="spellEnd"/>
      <w:r>
        <w:rPr>
          <w:rFonts w:ascii="Times New Roman" w:hAnsi="Times New Roman"/>
          <w:sz w:val="24"/>
          <w:szCs w:val="24"/>
        </w:rPr>
        <w:t xml:space="preserve"> is different from that adopted in the Guarantee here</w:t>
      </w:r>
      <w:r w:rsidR="00E45D16">
        <w:rPr>
          <w:rFonts w:ascii="Times New Roman" w:hAnsi="Times New Roman"/>
          <w:sz w:val="24"/>
          <w:szCs w:val="24"/>
        </w:rPr>
        <w:t>,</w:t>
      </w:r>
      <w:r>
        <w:rPr>
          <w:rFonts w:ascii="Times New Roman" w:hAnsi="Times New Roman"/>
          <w:sz w:val="24"/>
          <w:szCs w:val="24"/>
        </w:rPr>
        <w:t xml:space="preserve"> where there is no equ</w:t>
      </w:r>
      <w:r w:rsidR="006F03DC">
        <w:rPr>
          <w:rFonts w:ascii="Times New Roman" w:hAnsi="Times New Roman"/>
          <w:sz w:val="24"/>
          <w:szCs w:val="24"/>
        </w:rPr>
        <w:t>i</w:t>
      </w:r>
      <w:r>
        <w:rPr>
          <w:rFonts w:ascii="Times New Roman" w:hAnsi="Times New Roman"/>
          <w:sz w:val="24"/>
          <w:szCs w:val="24"/>
        </w:rPr>
        <w:t xml:space="preserve">valent reference to liability being crystallised after notice of termination. </w:t>
      </w:r>
      <w:r w:rsidR="00E45D16">
        <w:rPr>
          <w:rFonts w:ascii="Times New Roman" w:hAnsi="Times New Roman"/>
          <w:sz w:val="24"/>
          <w:szCs w:val="24"/>
        </w:rPr>
        <w:t xml:space="preserve">In this case the central question is what is meant by the term “liability” as used in the proviso to the termination provisions in clause 4 which provide for liability to cease “except for any liability arising hereunder before that date”. </w:t>
      </w:r>
    </w:p>
    <w:p w14:paraId="2C7F0B9C" w14:textId="77777777" w:rsidR="00E45D16" w:rsidRPr="00E45D16" w:rsidRDefault="00E45D16" w:rsidP="00E45D16">
      <w:pPr>
        <w:pStyle w:val="ListParagraph"/>
        <w:rPr>
          <w:rFonts w:ascii="Times New Roman" w:hAnsi="Times New Roman"/>
          <w:sz w:val="24"/>
          <w:szCs w:val="24"/>
        </w:rPr>
      </w:pPr>
    </w:p>
    <w:p w14:paraId="7355D8D4" w14:textId="69968A13" w:rsidR="006C2DBD" w:rsidRDefault="00E45D16"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In my judgment construction of the term “liability” is informed by other provisions of the Guarantee such as that setting a limitation on liability in clause 3 and the additional provisions regarding deferred sums </w:t>
      </w:r>
      <w:r w:rsidR="00080299">
        <w:rPr>
          <w:rFonts w:ascii="Times New Roman" w:hAnsi="Times New Roman"/>
          <w:sz w:val="24"/>
          <w:szCs w:val="24"/>
        </w:rPr>
        <w:t xml:space="preserve">that were unpaid </w:t>
      </w:r>
      <w:r>
        <w:rPr>
          <w:rFonts w:ascii="Times New Roman" w:hAnsi="Times New Roman"/>
          <w:sz w:val="24"/>
          <w:szCs w:val="24"/>
        </w:rPr>
        <w:t>during the continuance of earlier guarantees. Such provisions s</w:t>
      </w:r>
      <w:r w:rsidR="0085019F">
        <w:rPr>
          <w:rFonts w:ascii="Times New Roman" w:hAnsi="Times New Roman"/>
          <w:sz w:val="24"/>
          <w:szCs w:val="24"/>
        </w:rPr>
        <w:t>trongly support the conclusion</w:t>
      </w:r>
      <w:r>
        <w:rPr>
          <w:rFonts w:ascii="Times New Roman" w:hAnsi="Times New Roman"/>
          <w:sz w:val="24"/>
          <w:szCs w:val="24"/>
        </w:rPr>
        <w:t xml:space="preserve"> that “liability” encompasses contingent liability in respect of sums </w:t>
      </w:r>
      <w:r w:rsidR="006F03DC">
        <w:rPr>
          <w:rFonts w:ascii="Times New Roman" w:hAnsi="Times New Roman"/>
          <w:sz w:val="24"/>
          <w:szCs w:val="24"/>
        </w:rPr>
        <w:t>regarding</w:t>
      </w:r>
      <w:r>
        <w:rPr>
          <w:rFonts w:ascii="Times New Roman" w:hAnsi="Times New Roman"/>
          <w:sz w:val="24"/>
          <w:szCs w:val="24"/>
        </w:rPr>
        <w:t xml:space="preserve"> which payment has been deferred and which could be the subject of a demand </w:t>
      </w:r>
      <w:r w:rsidR="00B35B1C">
        <w:rPr>
          <w:rFonts w:ascii="Times New Roman" w:hAnsi="Times New Roman"/>
          <w:sz w:val="24"/>
          <w:szCs w:val="24"/>
        </w:rPr>
        <w:t xml:space="preserve">by HMRC </w:t>
      </w:r>
      <w:r>
        <w:rPr>
          <w:rFonts w:ascii="Times New Roman" w:hAnsi="Times New Roman"/>
          <w:sz w:val="24"/>
          <w:szCs w:val="24"/>
        </w:rPr>
        <w:t xml:space="preserve">if not paid by MSL.  </w:t>
      </w:r>
      <w:r w:rsidR="00B35B1C">
        <w:rPr>
          <w:rFonts w:ascii="Times New Roman" w:hAnsi="Times New Roman"/>
          <w:sz w:val="24"/>
          <w:szCs w:val="24"/>
        </w:rPr>
        <w:t xml:space="preserve">Thus, for example, </w:t>
      </w:r>
      <w:r>
        <w:rPr>
          <w:rFonts w:ascii="Times New Roman" w:hAnsi="Times New Roman"/>
          <w:sz w:val="24"/>
          <w:szCs w:val="24"/>
        </w:rPr>
        <w:t xml:space="preserve">clause 3(b) states that the overall liability </w:t>
      </w:r>
      <w:r w:rsidR="00B35B1C">
        <w:rPr>
          <w:rFonts w:ascii="Times New Roman" w:hAnsi="Times New Roman"/>
          <w:sz w:val="24"/>
          <w:szCs w:val="24"/>
        </w:rPr>
        <w:t xml:space="preserve">of Euler </w:t>
      </w:r>
      <w:r>
        <w:rPr>
          <w:rFonts w:ascii="Times New Roman" w:hAnsi="Times New Roman"/>
          <w:sz w:val="24"/>
          <w:szCs w:val="24"/>
        </w:rPr>
        <w:t xml:space="preserve">is subject to a proviso that </w:t>
      </w:r>
      <w:r w:rsidR="00080299">
        <w:rPr>
          <w:rFonts w:ascii="Times New Roman" w:hAnsi="Times New Roman"/>
          <w:sz w:val="24"/>
          <w:szCs w:val="24"/>
        </w:rPr>
        <w:t xml:space="preserve">the </w:t>
      </w:r>
      <w:r>
        <w:rPr>
          <w:rFonts w:ascii="Times New Roman" w:hAnsi="Times New Roman"/>
          <w:sz w:val="24"/>
          <w:szCs w:val="24"/>
        </w:rPr>
        <w:t xml:space="preserve">advice of any default in payment has been received by HMRC’s bank </w:t>
      </w:r>
      <w:r w:rsidR="00B35B1C">
        <w:rPr>
          <w:rFonts w:ascii="Times New Roman" w:hAnsi="Times New Roman"/>
          <w:sz w:val="24"/>
          <w:szCs w:val="24"/>
        </w:rPr>
        <w:t xml:space="preserve">not later than 7 days after default occurred. The “overall liability” figure may thus increase because of a delay in bank notification which suggests “liability” is concerned with </w:t>
      </w:r>
      <w:proofErr w:type="spellStart"/>
      <w:r w:rsidR="00B35B1C">
        <w:rPr>
          <w:rFonts w:ascii="Times New Roman" w:hAnsi="Times New Roman"/>
          <w:sz w:val="24"/>
          <w:szCs w:val="24"/>
        </w:rPr>
        <w:t>exposoure</w:t>
      </w:r>
      <w:proofErr w:type="spellEnd"/>
      <w:r w:rsidR="00B35B1C">
        <w:rPr>
          <w:rFonts w:ascii="Times New Roman" w:hAnsi="Times New Roman"/>
          <w:sz w:val="24"/>
          <w:szCs w:val="24"/>
        </w:rPr>
        <w:t xml:space="preserve"> to a potential demand by HMRC as a result of such bank notification of default.  See also the provisions of clause 6 which also provide for Euler’s “overall liability” to be increased in respect of sums deferred and not yet paid and which therefore amount to a contingent or potential liability for a </w:t>
      </w:r>
      <w:proofErr w:type="spellStart"/>
      <w:r w:rsidR="00B35B1C">
        <w:rPr>
          <w:rFonts w:ascii="Times New Roman" w:hAnsi="Times New Roman"/>
          <w:sz w:val="24"/>
          <w:szCs w:val="24"/>
        </w:rPr>
        <w:t>gurantor</w:t>
      </w:r>
      <w:proofErr w:type="spellEnd"/>
      <w:r w:rsidR="00B35B1C">
        <w:rPr>
          <w:rFonts w:ascii="Times New Roman" w:hAnsi="Times New Roman"/>
          <w:sz w:val="24"/>
          <w:szCs w:val="24"/>
        </w:rPr>
        <w:t xml:space="preserve">.  </w:t>
      </w:r>
      <w:r>
        <w:rPr>
          <w:rFonts w:ascii="Times New Roman" w:hAnsi="Times New Roman"/>
          <w:sz w:val="24"/>
          <w:szCs w:val="24"/>
        </w:rPr>
        <w:t xml:space="preserve">  </w:t>
      </w:r>
    </w:p>
    <w:p w14:paraId="3F6C20BF" w14:textId="77777777" w:rsidR="006C2DBD" w:rsidRPr="006C2DBD" w:rsidRDefault="006C2DBD" w:rsidP="006C2DBD">
      <w:pPr>
        <w:pStyle w:val="ListParagraph"/>
        <w:rPr>
          <w:rFonts w:ascii="Times New Roman" w:hAnsi="Times New Roman"/>
          <w:sz w:val="24"/>
          <w:szCs w:val="24"/>
        </w:rPr>
      </w:pPr>
    </w:p>
    <w:p w14:paraId="18858C87" w14:textId="1C097AEC" w:rsidR="006C2DBD" w:rsidRDefault="0085019F"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The Defendants rely (as the guarantor did in </w:t>
      </w:r>
      <w:r>
        <w:rPr>
          <w:rFonts w:ascii="Times New Roman" w:hAnsi="Times New Roman"/>
          <w:sz w:val="24"/>
          <w:szCs w:val="24"/>
          <w:u w:val="single"/>
        </w:rPr>
        <w:t>Hardman</w:t>
      </w:r>
      <w:r>
        <w:rPr>
          <w:rFonts w:ascii="Times New Roman" w:hAnsi="Times New Roman"/>
          <w:sz w:val="24"/>
          <w:szCs w:val="24"/>
        </w:rPr>
        <w:t xml:space="preserve">) upon the possible length of time that Euler might be exposed to a demand under the Guarantee under such a construction. But such a commercial consideration </w:t>
      </w:r>
      <w:r w:rsidR="00FB298A">
        <w:rPr>
          <w:rFonts w:ascii="Times New Roman" w:hAnsi="Times New Roman"/>
          <w:sz w:val="24"/>
          <w:szCs w:val="24"/>
        </w:rPr>
        <w:t xml:space="preserve">is not in any way decisive – it </w:t>
      </w:r>
      <w:r>
        <w:rPr>
          <w:rFonts w:ascii="Times New Roman" w:hAnsi="Times New Roman"/>
          <w:sz w:val="24"/>
          <w:szCs w:val="24"/>
        </w:rPr>
        <w:t>did not deter the Court of Appeal f</w:t>
      </w:r>
      <w:r w:rsidR="00FB298A">
        <w:rPr>
          <w:rFonts w:ascii="Times New Roman" w:hAnsi="Times New Roman"/>
          <w:sz w:val="24"/>
          <w:szCs w:val="24"/>
        </w:rPr>
        <w:t>rom reaching</w:t>
      </w:r>
      <w:r>
        <w:rPr>
          <w:rFonts w:ascii="Times New Roman" w:hAnsi="Times New Roman"/>
          <w:sz w:val="24"/>
          <w:szCs w:val="24"/>
        </w:rPr>
        <w:t xml:space="preserve"> its conclusion in </w:t>
      </w:r>
      <w:proofErr w:type="spellStart"/>
      <w:r w:rsidRPr="0085019F">
        <w:rPr>
          <w:rFonts w:ascii="Times New Roman" w:hAnsi="Times New Roman"/>
          <w:sz w:val="24"/>
          <w:szCs w:val="24"/>
          <w:u w:val="single"/>
        </w:rPr>
        <w:t>Simjee</w:t>
      </w:r>
      <w:proofErr w:type="spellEnd"/>
      <w:r>
        <w:rPr>
          <w:rFonts w:ascii="Times New Roman" w:hAnsi="Times New Roman"/>
          <w:sz w:val="24"/>
          <w:szCs w:val="24"/>
        </w:rPr>
        <w:t>.  Moreo</w:t>
      </w:r>
      <w:r w:rsidR="00FB298A">
        <w:rPr>
          <w:rFonts w:ascii="Times New Roman" w:hAnsi="Times New Roman"/>
          <w:sz w:val="24"/>
          <w:szCs w:val="24"/>
        </w:rPr>
        <w:t>v</w:t>
      </w:r>
      <w:r>
        <w:rPr>
          <w:rFonts w:ascii="Times New Roman" w:hAnsi="Times New Roman"/>
          <w:sz w:val="24"/>
          <w:szCs w:val="24"/>
        </w:rPr>
        <w:t xml:space="preserve">er, in this instance we are concerned with the deferral of the payment of taxes for which there is a statutory framework </w:t>
      </w:r>
      <w:r w:rsidR="00FB298A">
        <w:rPr>
          <w:rFonts w:ascii="Times New Roman" w:hAnsi="Times New Roman"/>
          <w:sz w:val="24"/>
          <w:szCs w:val="24"/>
        </w:rPr>
        <w:t>and obligation to collect. I</w:t>
      </w:r>
      <w:r>
        <w:rPr>
          <w:rFonts w:ascii="Times New Roman" w:hAnsi="Times New Roman"/>
          <w:sz w:val="24"/>
          <w:szCs w:val="24"/>
        </w:rPr>
        <w:t xml:space="preserve">t would therefore seem </w:t>
      </w:r>
      <w:r w:rsidR="00FB298A">
        <w:rPr>
          <w:rFonts w:ascii="Times New Roman" w:hAnsi="Times New Roman"/>
          <w:sz w:val="24"/>
          <w:szCs w:val="24"/>
        </w:rPr>
        <w:t>unrealistic to conclude</w:t>
      </w:r>
      <w:r>
        <w:rPr>
          <w:rFonts w:ascii="Times New Roman" w:hAnsi="Times New Roman"/>
          <w:sz w:val="24"/>
          <w:szCs w:val="24"/>
        </w:rPr>
        <w:t xml:space="preserve"> that a default by MSL, for example by its bank failing to meet a direct debit, would not result in a demand within a relatively short timescale by HMRC </w:t>
      </w:r>
      <w:r w:rsidR="00FB298A">
        <w:rPr>
          <w:rFonts w:ascii="Times New Roman" w:hAnsi="Times New Roman"/>
          <w:sz w:val="24"/>
          <w:szCs w:val="24"/>
        </w:rPr>
        <w:t>under the Guarantee</w:t>
      </w:r>
      <w:r>
        <w:rPr>
          <w:rFonts w:ascii="Times New Roman" w:hAnsi="Times New Roman"/>
          <w:sz w:val="24"/>
          <w:szCs w:val="24"/>
        </w:rPr>
        <w:t>, as has in fact happened.</w:t>
      </w:r>
    </w:p>
    <w:p w14:paraId="0FC51221" w14:textId="77777777" w:rsidR="00FB298A" w:rsidRPr="00FB298A" w:rsidRDefault="00FB298A" w:rsidP="00FB298A">
      <w:pPr>
        <w:pStyle w:val="ListParagraph"/>
        <w:rPr>
          <w:rFonts w:ascii="Times New Roman" w:hAnsi="Times New Roman"/>
          <w:sz w:val="24"/>
          <w:szCs w:val="24"/>
        </w:rPr>
      </w:pPr>
    </w:p>
    <w:p w14:paraId="2C7E1FC6" w14:textId="79BE7797" w:rsidR="006A3FF3" w:rsidRDefault="00FB298A"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By contrast the Defendants’ construction could well have uncommercial results. HMRC could </w:t>
      </w:r>
      <w:r w:rsidR="006A3FF3">
        <w:rPr>
          <w:rFonts w:ascii="Times New Roman" w:hAnsi="Times New Roman"/>
          <w:sz w:val="24"/>
          <w:szCs w:val="24"/>
        </w:rPr>
        <w:t xml:space="preserve">afford more than a 7 days period of deferral (from the time periods referred to in </w:t>
      </w:r>
      <w:r w:rsidR="006A3FF3">
        <w:rPr>
          <w:rFonts w:ascii="Times New Roman" w:hAnsi="Times New Roman"/>
          <w:sz w:val="24"/>
          <w:szCs w:val="24"/>
        </w:rPr>
        <w:lastRenderedPageBreak/>
        <w:t xml:space="preserve">the letter of demand it would appear 15 days deferral was </w:t>
      </w:r>
      <w:r w:rsidR="00080299">
        <w:rPr>
          <w:rFonts w:ascii="Times New Roman" w:hAnsi="Times New Roman"/>
          <w:sz w:val="24"/>
          <w:szCs w:val="24"/>
        </w:rPr>
        <w:t xml:space="preserve">in fact </w:t>
      </w:r>
      <w:r w:rsidR="006A3FF3">
        <w:rPr>
          <w:rFonts w:ascii="Times New Roman" w:hAnsi="Times New Roman"/>
          <w:sz w:val="24"/>
          <w:szCs w:val="24"/>
        </w:rPr>
        <w:t xml:space="preserve">afforded to MSL). If the exposure of Euler could end within 7 days save in respect of sums demanded then HMRC </w:t>
      </w:r>
      <w:r w:rsidR="00ED483D">
        <w:rPr>
          <w:rFonts w:ascii="Times New Roman" w:hAnsi="Times New Roman"/>
          <w:sz w:val="24"/>
          <w:szCs w:val="24"/>
        </w:rPr>
        <w:t>might</w:t>
      </w:r>
      <w:r w:rsidR="006A3FF3">
        <w:rPr>
          <w:rFonts w:ascii="Times New Roman" w:hAnsi="Times New Roman"/>
          <w:sz w:val="24"/>
          <w:szCs w:val="24"/>
        </w:rPr>
        <w:t xml:space="preserve"> </w:t>
      </w:r>
      <w:r w:rsidR="00ED483D">
        <w:rPr>
          <w:rFonts w:ascii="Times New Roman" w:hAnsi="Times New Roman"/>
          <w:sz w:val="24"/>
          <w:szCs w:val="24"/>
        </w:rPr>
        <w:t xml:space="preserve">arguably </w:t>
      </w:r>
      <w:r w:rsidR="006A3FF3">
        <w:rPr>
          <w:rFonts w:ascii="Times New Roman" w:hAnsi="Times New Roman"/>
          <w:sz w:val="24"/>
          <w:szCs w:val="24"/>
        </w:rPr>
        <w:t xml:space="preserve">have no recourse </w:t>
      </w:r>
      <w:r w:rsidR="00D51724">
        <w:rPr>
          <w:rFonts w:ascii="Times New Roman" w:hAnsi="Times New Roman"/>
          <w:sz w:val="24"/>
          <w:szCs w:val="24"/>
        </w:rPr>
        <w:t xml:space="preserve">to the guarantor </w:t>
      </w:r>
      <w:r w:rsidR="006A3FF3">
        <w:rPr>
          <w:rFonts w:ascii="Times New Roman" w:hAnsi="Times New Roman"/>
          <w:sz w:val="24"/>
          <w:szCs w:val="24"/>
        </w:rPr>
        <w:t xml:space="preserve">for sums for which payment was deferred </w:t>
      </w:r>
      <w:r w:rsidR="00D51724">
        <w:rPr>
          <w:rFonts w:ascii="Times New Roman" w:hAnsi="Times New Roman"/>
          <w:sz w:val="24"/>
          <w:szCs w:val="24"/>
        </w:rPr>
        <w:t xml:space="preserve">during its validity </w:t>
      </w:r>
      <w:r w:rsidR="006A3FF3">
        <w:rPr>
          <w:rFonts w:ascii="Times New Roman" w:hAnsi="Times New Roman"/>
          <w:sz w:val="24"/>
          <w:szCs w:val="24"/>
        </w:rPr>
        <w:t xml:space="preserve">but </w:t>
      </w:r>
      <w:r w:rsidR="00D51724">
        <w:rPr>
          <w:rFonts w:ascii="Times New Roman" w:hAnsi="Times New Roman"/>
          <w:sz w:val="24"/>
          <w:szCs w:val="24"/>
        </w:rPr>
        <w:t>which</w:t>
      </w:r>
      <w:r w:rsidR="006A3FF3">
        <w:rPr>
          <w:rFonts w:ascii="Times New Roman" w:hAnsi="Times New Roman"/>
          <w:sz w:val="24"/>
          <w:szCs w:val="24"/>
        </w:rPr>
        <w:t xml:space="preserve"> had not yet fallen due. This would mean that in cases where this </w:t>
      </w:r>
      <w:r w:rsidR="00D51724">
        <w:rPr>
          <w:rFonts w:ascii="Times New Roman" w:hAnsi="Times New Roman"/>
          <w:sz w:val="24"/>
          <w:szCs w:val="24"/>
        </w:rPr>
        <w:t xml:space="preserve">standard </w:t>
      </w:r>
      <w:r w:rsidR="006A3FF3">
        <w:rPr>
          <w:rFonts w:ascii="Times New Roman" w:hAnsi="Times New Roman"/>
          <w:sz w:val="24"/>
          <w:szCs w:val="24"/>
        </w:rPr>
        <w:t xml:space="preserve">form of guarantee was used HMRC could only safely allow 7 days as a period of deferral. That would be an odd conclusion given that </w:t>
      </w:r>
      <w:r w:rsidR="00D51724">
        <w:rPr>
          <w:rFonts w:ascii="Times New Roman" w:hAnsi="Times New Roman"/>
          <w:sz w:val="24"/>
          <w:szCs w:val="24"/>
        </w:rPr>
        <w:t>relevant</w:t>
      </w:r>
      <w:r w:rsidR="006A3FF3">
        <w:rPr>
          <w:rFonts w:ascii="Times New Roman" w:hAnsi="Times New Roman"/>
          <w:sz w:val="24"/>
          <w:szCs w:val="24"/>
        </w:rPr>
        <w:t xml:space="preserve"> statutory provisions governing deferral of payment </w:t>
      </w:r>
      <w:r w:rsidR="00D51724">
        <w:rPr>
          <w:rFonts w:ascii="Times New Roman" w:hAnsi="Times New Roman"/>
          <w:sz w:val="24"/>
          <w:szCs w:val="24"/>
        </w:rPr>
        <w:t>to</w:t>
      </w:r>
      <w:r w:rsidR="006A3FF3">
        <w:rPr>
          <w:rFonts w:ascii="Times New Roman" w:hAnsi="Times New Roman"/>
          <w:sz w:val="24"/>
          <w:szCs w:val="24"/>
        </w:rPr>
        <w:t xml:space="preserve"> HMRC at the time envisage</w:t>
      </w:r>
      <w:r w:rsidR="00D51724">
        <w:rPr>
          <w:rFonts w:ascii="Times New Roman" w:hAnsi="Times New Roman"/>
          <w:sz w:val="24"/>
          <w:szCs w:val="24"/>
        </w:rPr>
        <w:t>d</w:t>
      </w:r>
      <w:r w:rsidR="006A3FF3">
        <w:rPr>
          <w:rFonts w:ascii="Times New Roman" w:hAnsi="Times New Roman"/>
          <w:sz w:val="24"/>
          <w:szCs w:val="24"/>
        </w:rPr>
        <w:t xml:space="preserve"> longer periods </w:t>
      </w:r>
      <w:r w:rsidR="006F03DC">
        <w:rPr>
          <w:rFonts w:ascii="Times New Roman" w:hAnsi="Times New Roman"/>
          <w:sz w:val="24"/>
          <w:szCs w:val="24"/>
        </w:rPr>
        <w:t xml:space="preserve">of </w:t>
      </w:r>
      <w:r w:rsidR="006A3FF3">
        <w:rPr>
          <w:rFonts w:ascii="Times New Roman" w:hAnsi="Times New Roman"/>
          <w:sz w:val="24"/>
          <w:szCs w:val="24"/>
        </w:rPr>
        <w:t xml:space="preserve">deferral (see the </w:t>
      </w:r>
      <w:r w:rsidR="00D51724">
        <w:rPr>
          <w:rFonts w:ascii="Times New Roman" w:hAnsi="Times New Roman"/>
          <w:sz w:val="24"/>
          <w:szCs w:val="24"/>
        </w:rPr>
        <w:t>Customs</w:t>
      </w:r>
      <w:r w:rsidR="006A3FF3">
        <w:rPr>
          <w:rFonts w:ascii="Times New Roman" w:hAnsi="Times New Roman"/>
          <w:sz w:val="24"/>
          <w:szCs w:val="24"/>
        </w:rPr>
        <w:t xml:space="preserve"> Duties (Deferred Payment) Regulations </w:t>
      </w:r>
      <w:r w:rsidR="00264077">
        <w:rPr>
          <w:rFonts w:ascii="Times New Roman" w:hAnsi="Times New Roman"/>
          <w:sz w:val="24"/>
          <w:szCs w:val="24"/>
        </w:rPr>
        <w:t xml:space="preserve">1976 SI 1976 1223, the Customs Duties (Deferred Payment) (Amendment) </w:t>
      </w:r>
      <w:proofErr w:type="spellStart"/>
      <w:r w:rsidR="00264077">
        <w:rPr>
          <w:rFonts w:ascii="Times New Roman" w:hAnsi="Times New Roman"/>
          <w:sz w:val="24"/>
          <w:szCs w:val="24"/>
        </w:rPr>
        <w:t>Regualtions</w:t>
      </w:r>
      <w:proofErr w:type="spellEnd"/>
      <w:r w:rsidR="00264077">
        <w:rPr>
          <w:rFonts w:ascii="Times New Roman" w:hAnsi="Times New Roman"/>
          <w:sz w:val="24"/>
          <w:szCs w:val="24"/>
        </w:rPr>
        <w:t xml:space="preserve"> 1978 SI 1978 No.1725 and </w:t>
      </w:r>
      <w:r w:rsidR="00D51724">
        <w:rPr>
          <w:rFonts w:ascii="Times New Roman" w:hAnsi="Times New Roman"/>
          <w:sz w:val="24"/>
          <w:szCs w:val="24"/>
        </w:rPr>
        <w:t xml:space="preserve">Excise Duties (Deferred Payment) Regulations </w:t>
      </w:r>
      <w:r w:rsidR="006A3FF3">
        <w:rPr>
          <w:rFonts w:ascii="Times New Roman" w:hAnsi="Times New Roman"/>
          <w:sz w:val="24"/>
          <w:szCs w:val="24"/>
        </w:rPr>
        <w:t>1992 SI 1992 No.</w:t>
      </w:r>
      <w:proofErr w:type="gramStart"/>
      <w:r w:rsidR="006A3FF3">
        <w:rPr>
          <w:rFonts w:ascii="Times New Roman" w:hAnsi="Times New Roman"/>
          <w:sz w:val="24"/>
          <w:szCs w:val="24"/>
        </w:rPr>
        <w:t>3152,  and</w:t>
      </w:r>
      <w:proofErr w:type="gramEnd"/>
      <w:r w:rsidR="006A3FF3">
        <w:rPr>
          <w:rFonts w:ascii="Times New Roman" w:hAnsi="Times New Roman"/>
          <w:sz w:val="24"/>
          <w:szCs w:val="24"/>
        </w:rPr>
        <w:t xml:space="preserve"> </w:t>
      </w:r>
      <w:r w:rsidR="00D51724">
        <w:rPr>
          <w:rFonts w:ascii="Times New Roman" w:hAnsi="Times New Roman"/>
          <w:sz w:val="24"/>
          <w:szCs w:val="24"/>
        </w:rPr>
        <w:t xml:space="preserve">EU Regulation No.952/2013 on the Union Customs Code (recast)).  </w:t>
      </w:r>
    </w:p>
    <w:p w14:paraId="7D95BF8D" w14:textId="77777777" w:rsidR="006A3FF3" w:rsidRPr="006A3FF3" w:rsidRDefault="006A3FF3" w:rsidP="006A3FF3">
      <w:pPr>
        <w:pStyle w:val="ListParagraph"/>
        <w:rPr>
          <w:rFonts w:ascii="Times New Roman" w:hAnsi="Times New Roman"/>
          <w:sz w:val="24"/>
          <w:szCs w:val="24"/>
        </w:rPr>
      </w:pPr>
    </w:p>
    <w:p w14:paraId="04E5EE4D" w14:textId="77777777" w:rsidR="00D51724" w:rsidRDefault="00D51724"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Having regard to the above, in my judgment, the demand made by HMRC on 8 September 2020 was not affected by the prior termination notice. As I understand it there is no other ground on which it is contended that the demand was invalid. I also understand there to be no question over the sum paid by Euler to HMRC being recoverable in these circumstances from the Defendants under the terms of the Indemnity. </w:t>
      </w:r>
    </w:p>
    <w:p w14:paraId="03F3AD75" w14:textId="77777777" w:rsidR="00D51724" w:rsidRPr="00D51724" w:rsidRDefault="00D51724" w:rsidP="00D51724">
      <w:pPr>
        <w:pStyle w:val="ListParagraph"/>
        <w:rPr>
          <w:rFonts w:ascii="Times New Roman" w:hAnsi="Times New Roman"/>
          <w:sz w:val="24"/>
          <w:szCs w:val="24"/>
        </w:rPr>
      </w:pPr>
    </w:p>
    <w:p w14:paraId="7604C2CC" w14:textId="599D4653" w:rsidR="00FB48A2" w:rsidRDefault="00D51724"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This renders it strictly unnecessary to consider the further argument that the sums claimed are payable under the Indemnity in any event</w:t>
      </w:r>
      <w:r w:rsidR="00483A43">
        <w:rPr>
          <w:rFonts w:ascii="Times New Roman" w:hAnsi="Times New Roman"/>
          <w:sz w:val="24"/>
          <w:szCs w:val="24"/>
        </w:rPr>
        <w:t>,</w:t>
      </w:r>
      <w:r>
        <w:rPr>
          <w:rFonts w:ascii="Times New Roman" w:hAnsi="Times New Roman"/>
          <w:sz w:val="24"/>
          <w:szCs w:val="24"/>
        </w:rPr>
        <w:t xml:space="preserve"> even if </w:t>
      </w:r>
      <w:r w:rsidR="00ED483D">
        <w:rPr>
          <w:rFonts w:ascii="Times New Roman" w:hAnsi="Times New Roman"/>
          <w:sz w:val="24"/>
          <w:szCs w:val="24"/>
        </w:rPr>
        <w:t xml:space="preserve">it had not been concluded that they were properly payable under the </w:t>
      </w:r>
      <w:r>
        <w:rPr>
          <w:rFonts w:ascii="Times New Roman" w:hAnsi="Times New Roman"/>
          <w:sz w:val="24"/>
          <w:szCs w:val="24"/>
        </w:rPr>
        <w:t>Guarantee</w:t>
      </w:r>
      <w:r w:rsidR="00ED483D">
        <w:rPr>
          <w:rFonts w:ascii="Times New Roman" w:hAnsi="Times New Roman"/>
          <w:sz w:val="24"/>
          <w:szCs w:val="24"/>
        </w:rPr>
        <w:t xml:space="preserve">. However, even if I had </w:t>
      </w:r>
      <w:r w:rsidR="006F03DC">
        <w:rPr>
          <w:rFonts w:ascii="Times New Roman" w:hAnsi="Times New Roman"/>
          <w:sz w:val="24"/>
          <w:szCs w:val="24"/>
        </w:rPr>
        <w:t>not decided</w:t>
      </w:r>
      <w:r w:rsidR="00ED483D">
        <w:rPr>
          <w:rFonts w:ascii="Times New Roman" w:hAnsi="Times New Roman"/>
          <w:sz w:val="24"/>
          <w:szCs w:val="24"/>
        </w:rPr>
        <w:t xml:space="preserve"> that the demand of HMRC under the Guarantee was valid</w:t>
      </w:r>
      <w:r w:rsidR="00FB48A2">
        <w:rPr>
          <w:rFonts w:ascii="Times New Roman" w:hAnsi="Times New Roman"/>
          <w:sz w:val="24"/>
          <w:szCs w:val="24"/>
        </w:rPr>
        <w:t xml:space="preserve"> I would still have concluded that the sums claimed were properly payable under the Indemnity</w:t>
      </w:r>
      <w:r w:rsidR="00DE3D43">
        <w:rPr>
          <w:rFonts w:ascii="Times New Roman" w:hAnsi="Times New Roman"/>
          <w:sz w:val="24"/>
          <w:szCs w:val="24"/>
        </w:rPr>
        <w:t xml:space="preserve"> for the reasons briefly set out below. </w:t>
      </w:r>
    </w:p>
    <w:p w14:paraId="2FB1F469" w14:textId="77777777" w:rsidR="00FB48A2" w:rsidRPr="00FB48A2" w:rsidRDefault="00FB48A2" w:rsidP="00FB48A2">
      <w:pPr>
        <w:pStyle w:val="ListParagraph"/>
        <w:rPr>
          <w:rFonts w:ascii="Times New Roman" w:hAnsi="Times New Roman"/>
          <w:sz w:val="24"/>
          <w:szCs w:val="24"/>
        </w:rPr>
      </w:pPr>
    </w:p>
    <w:p w14:paraId="64BE24CF" w14:textId="3E528FFF" w:rsidR="00DE3D43" w:rsidRDefault="00FB48A2"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Whilst accepting for present purposes that the terms of the Indemnity only permitted recovery in respect of “Ul</w:t>
      </w:r>
      <w:r w:rsidR="00483A43">
        <w:rPr>
          <w:rFonts w:ascii="Times New Roman" w:hAnsi="Times New Roman"/>
          <w:sz w:val="24"/>
          <w:szCs w:val="24"/>
        </w:rPr>
        <w:t>t</w:t>
      </w:r>
      <w:r>
        <w:rPr>
          <w:rFonts w:ascii="Times New Roman" w:hAnsi="Times New Roman"/>
          <w:sz w:val="24"/>
          <w:szCs w:val="24"/>
        </w:rPr>
        <w:t xml:space="preserve">imate Liability” that was incurred in connection with the Facility and that this meant that there had to be </w:t>
      </w:r>
      <w:r w:rsidR="00483A43">
        <w:rPr>
          <w:rFonts w:ascii="Times New Roman" w:hAnsi="Times New Roman"/>
          <w:sz w:val="24"/>
          <w:szCs w:val="24"/>
        </w:rPr>
        <w:t xml:space="preserve">a </w:t>
      </w:r>
      <w:r>
        <w:rPr>
          <w:rFonts w:ascii="Times New Roman" w:hAnsi="Times New Roman"/>
          <w:sz w:val="24"/>
          <w:szCs w:val="24"/>
        </w:rPr>
        <w:t xml:space="preserve">causal connection (as advocated by the Defendants) there remain </w:t>
      </w:r>
      <w:r w:rsidR="00DE3D43">
        <w:rPr>
          <w:rFonts w:ascii="Times New Roman" w:hAnsi="Times New Roman"/>
          <w:sz w:val="24"/>
          <w:szCs w:val="24"/>
        </w:rPr>
        <w:t xml:space="preserve">the provisions in clause 6 of the Indemnity to consider. </w:t>
      </w:r>
      <w:r>
        <w:rPr>
          <w:rFonts w:ascii="Times New Roman" w:hAnsi="Times New Roman"/>
          <w:sz w:val="24"/>
          <w:szCs w:val="24"/>
        </w:rPr>
        <w:t xml:space="preserve"> </w:t>
      </w:r>
      <w:proofErr w:type="gramStart"/>
      <w:r w:rsidR="00DE3D43">
        <w:rPr>
          <w:rFonts w:ascii="Times New Roman" w:hAnsi="Times New Roman"/>
          <w:sz w:val="24"/>
          <w:szCs w:val="24"/>
        </w:rPr>
        <w:t>Under  clause</w:t>
      </w:r>
      <w:proofErr w:type="gramEnd"/>
      <w:r w:rsidR="00DE3D43">
        <w:rPr>
          <w:rFonts w:ascii="Times New Roman" w:hAnsi="Times New Roman"/>
          <w:sz w:val="24"/>
          <w:szCs w:val="24"/>
        </w:rPr>
        <w:t xml:space="preserve"> </w:t>
      </w:r>
      <w:r w:rsidR="00483A43">
        <w:rPr>
          <w:rFonts w:ascii="Times New Roman" w:hAnsi="Times New Roman"/>
          <w:sz w:val="24"/>
          <w:szCs w:val="24"/>
        </w:rPr>
        <w:t xml:space="preserve">6 </w:t>
      </w:r>
      <w:r w:rsidR="00DE3D43">
        <w:rPr>
          <w:rFonts w:ascii="Times New Roman" w:hAnsi="Times New Roman"/>
          <w:sz w:val="24"/>
          <w:szCs w:val="24"/>
        </w:rPr>
        <w:t>a demand in wr</w:t>
      </w:r>
      <w:r w:rsidR="00483A43">
        <w:rPr>
          <w:rFonts w:ascii="Times New Roman" w:hAnsi="Times New Roman"/>
          <w:sz w:val="24"/>
          <w:szCs w:val="24"/>
        </w:rPr>
        <w:t>i</w:t>
      </w:r>
      <w:r w:rsidR="00DE3D43">
        <w:rPr>
          <w:rFonts w:ascii="Times New Roman" w:hAnsi="Times New Roman"/>
          <w:sz w:val="24"/>
          <w:szCs w:val="24"/>
        </w:rPr>
        <w:t xml:space="preserve">ting is to constitute conclusive evidence of the fact and amount of liability of the Defendants. </w:t>
      </w:r>
    </w:p>
    <w:p w14:paraId="6D96F2E3" w14:textId="77777777" w:rsidR="00DE3D43" w:rsidRPr="00DE3D43" w:rsidRDefault="00DE3D43" w:rsidP="00DE3D43">
      <w:pPr>
        <w:pStyle w:val="ListParagraph"/>
        <w:rPr>
          <w:rFonts w:ascii="Times New Roman" w:hAnsi="Times New Roman"/>
          <w:sz w:val="24"/>
          <w:szCs w:val="24"/>
        </w:rPr>
      </w:pPr>
    </w:p>
    <w:p w14:paraId="2D4251FF" w14:textId="6441E79C" w:rsidR="00D51724" w:rsidRDefault="00DE3D43"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lastRenderedPageBreak/>
        <w:t xml:space="preserve">The Defendants submit that such a clause ought to be construed as referring to a demand which is not the subject of manifest error or </w:t>
      </w:r>
      <w:r w:rsidR="00483A43">
        <w:rPr>
          <w:rFonts w:ascii="Times New Roman" w:hAnsi="Times New Roman"/>
          <w:sz w:val="24"/>
          <w:szCs w:val="24"/>
        </w:rPr>
        <w:t xml:space="preserve">is properly </w:t>
      </w:r>
      <w:r>
        <w:rPr>
          <w:rFonts w:ascii="Times New Roman" w:hAnsi="Times New Roman"/>
          <w:sz w:val="24"/>
          <w:szCs w:val="24"/>
        </w:rPr>
        <w:t xml:space="preserve">subject to an implied term to that effect. In my judgment there is force in the contention that such an interpretation is correct and that manifest error or fraud will prevent a demand of Euler being definitive (see, for example, </w:t>
      </w:r>
      <w:r>
        <w:rPr>
          <w:rFonts w:ascii="Times New Roman" w:hAnsi="Times New Roman"/>
          <w:sz w:val="24"/>
          <w:szCs w:val="24"/>
          <w:u w:val="single"/>
        </w:rPr>
        <w:t xml:space="preserve">Bache v </w:t>
      </w:r>
      <w:proofErr w:type="spellStart"/>
      <w:r>
        <w:rPr>
          <w:rFonts w:ascii="Times New Roman" w:hAnsi="Times New Roman"/>
          <w:sz w:val="24"/>
          <w:szCs w:val="24"/>
          <w:u w:val="single"/>
        </w:rPr>
        <w:t>Banques</w:t>
      </w:r>
      <w:proofErr w:type="spellEnd"/>
      <w:r>
        <w:rPr>
          <w:rFonts w:ascii="Times New Roman" w:hAnsi="Times New Roman"/>
          <w:sz w:val="24"/>
          <w:szCs w:val="24"/>
          <w:u w:val="single"/>
        </w:rPr>
        <w:t xml:space="preserve"> </w:t>
      </w:r>
      <w:proofErr w:type="spellStart"/>
      <w:r>
        <w:rPr>
          <w:rFonts w:ascii="Times New Roman" w:hAnsi="Times New Roman"/>
          <w:sz w:val="24"/>
          <w:szCs w:val="24"/>
          <w:u w:val="single"/>
        </w:rPr>
        <w:t>Vernes</w:t>
      </w:r>
      <w:proofErr w:type="spellEnd"/>
      <w:r>
        <w:rPr>
          <w:rFonts w:ascii="Times New Roman" w:hAnsi="Times New Roman"/>
          <w:sz w:val="24"/>
          <w:szCs w:val="24"/>
          <w:u w:val="single"/>
        </w:rPr>
        <w:t xml:space="preserve"> </w:t>
      </w:r>
      <w:r>
        <w:rPr>
          <w:rFonts w:ascii="Times New Roman" w:hAnsi="Times New Roman"/>
          <w:sz w:val="24"/>
          <w:szCs w:val="24"/>
        </w:rPr>
        <w:t xml:space="preserve">[1973] 2 Lloyd’s Rep. 437, at 439). </w:t>
      </w:r>
      <w:r w:rsidR="00D51724">
        <w:rPr>
          <w:rFonts w:ascii="Times New Roman" w:hAnsi="Times New Roman"/>
          <w:sz w:val="24"/>
          <w:szCs w:val="24"/>
        </w:rPr>
        <w:t xml:space="preserve"> </w:t>
      </w:r>
    </w:p>
    <w:p w14:paraId="64506DF7" w14:textId="77777777" w:rsidR="00D51724" w:rsidRPr="00D51724" w:rsidRDefault="00D51724" w:rsidP="00D51724">
      <w:pPr>
        <w:pStyle w:val="ListParagraph"/>
        <w:rPr>
          <w:rFonts w:ascii="Times New Roman" w:hAnsi="Times New Roman"/>
          <w:sz w:val="24"/>
          <w:szCs w:val="24"/>
        </w:rPr>
      </w:pPr>
    </w:p>
    <w:p w14:paraId="6C86F07E" w14:textId="7B1A9AD1" w:rsidR="00615DE3" w:rsidRDefault="00DE3D43" w:rsidP="00615DE3">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Even accepting that manifest error in this context encompasse</w:t>
      </w:r>
      <w:r w:rsidR="00615DE3">
        <w:rPr>
          <w:rFonts w:ascii="Times New Roman" w:hAnsi="Times New Roman"/>
          <w:sz w:val="24"/>
          <w:szCs w:val="24"/>
        </w:rPr>
        <w:t>s</w:t>
      </w:r>
      <w:r>
        <w:rPr>
          <w:rFonts w:ascii="Times New Roman" w:hAnsi="Times New Roman"/>
          <w:sz w:val="24"/>
          <w:szCs w:val="24"/>
        </w:rPr>
        <w:t xml:space="preserve"> “obvious” error </w:t>
      </w:r>
      <w:r w:rsidR="00615DE3">
        <w:rPr>
          <w:rFonts w:ascii="Times New Roman" w:hAnsi="Times New Roman"/>
          <w:sz w:val="24"/>
          <w:szCs w:val="24"/>
        </w:rPr>
        <w:t xml:space="preserve">(as described in </w:t>
      </w:r>
      <w:r w:rsidR="00615DE3">
        <w:rPr>
          <w:rFonts w:ascii="Times New Roman" w:hAnsi="Times New Roman"/>
          <w:sz w:val="24"/>
          <w:szCs w:val="24"/>
          <w:u w:val="single"/>
        </w:rPr>
        <w:t xml:space="preserve">AXA Sun Life Services Plc v </w:t>
      </w:r>
      <w:r w:rsidR="00615DE3" w:rsidRPr="00615DE3">
        <w:rPr>
          <w:rFonts w:ascii="Times New Roman" w:hAnsi="Times New Roman"/>
          <w:sz w:val="24"/>
          <w:szCs w:val="24"/>
          <w:u w:val="single"/>
        </w:rPr>
        <w:t>Campbell</w:t>
      </w:r>
      <w:r w:rsidR="00615DE3">
        <w:rPr>
          <w:rFonts w:ascii="Times New Roman" w:hAnsi="Times New Roman"/>
          <w:sz w:val="24"/>
          <w:szCs w:val="24"/>
          <w:u w:val="single"/>
        </w:rPr>
        <w:t xml:space="preserve"> Martin Ltd.</w:t>
      </w:r>
      <w:r w:rsidR="00615DE3">
        <w:rPr>
          <w:rFonts w:ascii="Times New Roman" w:hAnsi="Times New Roman"/>
          <w:sz w:val="24"/>
          <w:szCs w:val="24"/>
        </w:rPr>
        <w:t xml:space="preserve"> [2011] </w:t>
      </w:r>
      <w:proofErr w:type="spellStart"/>
      <w:r w:rsidR="00615DE3">
        <w:rPr>
          <w:rFonts w:ascii="Times New Roman" w:hAnsi="Times New Roman"/>
          <w:sz w:val="24"/>
          <w:szCs w:val="24"/>
        </w:rPr>
        <w:t>EWCA</w:t>
      </w:r>
      <w:proofErr w:type="spellEnd"/>
      <w:r w:rsidR="00615DE3">
        <w:rPr>
          <w:rFonts w:ascii="Times New Roman" w:hAnsi="Times New Roman"/>
          <w:sz w:val="24"/>
          <w:szCs w:val="24"/>
        </w:rPr>
        <w:t xml:space="preserve"> </w:t>
      </w:r>
      <w:proofErr w:type="spellStart"/>
      <w:r w:rsidR="00615DE3">
        <w:rPr>
          <w:rFonts w:ascii="Times New Roman" w:hAnsi="Times New Roman"/>
          <w:sz w:val="24"/>
          <w:szCs w:val="24"/>
        </w:rPr>
        <w:t>Civ</w:t>
      </w:r>
      <w:proofErr w:type="spellEnd"/>
      <w:r w:rsidR="00615DE3">
        <w:rPr>
          <w:rFonts w:ascii="Times New Roman" w:hAnsi="Times New Roman"/>
          <w:sz w:val="24"/>
          <w:szCs w:val="24"/>
        </w:rPr>
        <w:t xml:space="preserve"> 133</w:t>
      </w:r>
      <w:r w:rsidR="00483A43">
        <w:rPr>
          <w:rFonts w:ascii="Times New Roman" w:hAnsi="Times New Roman"/>
          <w:sz w:val="24"/>
          <w:szCs w:val="24"/>
        </w:rPr>
        <w:t>)</w:t>
      </w:r>
      <w:r w:rsidR="00615DE3">
        <w:rPr>
          <w:rFonts w:ascii="Times New Roman" w:hAnsi="Times New Roman"/>
          <w:sz w:val="24"/>
          <w:szCs w:val="24"/>
        </w:rPr>
        <w:t xml:space="preserve">, I would not regard the demand in this instance to be obviously wrong. In my judgment, even absent my earlier conclusions, it would be well </w:t>
      </w:r>
      <w:r w:rsidR="00483A43">
        <w:rPr>
          <w:rFonts w:ascii="Times New Roman" w:hAnsi="Times New Roman"/>
          <w:sz w:val="24"/>
          <w:szCs w:val="24"/>
        </w:rPr>
        <w:t>open to argument</w:t>
      </w:r>
      <w:r w:rsidR="00615DE3">
        <w:rPr>
          <w:rFonts w:ascii="Times New Roman" w:hAnsi="Times New Roman"/>
          <w:sz w:val="24"/>
          <w:szCs w:val="24"/>
        </w:rPr>
        <w:t xml:space="preserve"> and by no means obvious that the demand by HMRC under the Guarantee was invalid</w:t>
      </w:r>
      <w:r w:rsidR="00483A43">
        <w:rPr>
          <w:rFonts w:ascii="Times New Roman" w:hAnsi="Times New Roman"/>
          <w:sz w:val="24"/>
          <w:szCs w:val="24"/>
        </w:rPr>
        <w:t xml:space="preserve">. </w:t>
      </w:r>
      <w:r w:rsidR="00615DE3">
        <w:rPr>
          <w:rFonts w:ascii="Times New Roman" w:hAnsi="Times New Roman"/>
          <w:sz w:val="24"/>
          <w:szCs w:val="24"/>
        </w:rPr>
        <w:t xml:space="preserve"> I</w:t>
      </w:r>
      <w:r w:rsidR="00483A43">
        <w:rPr>
          <w:rFonts w:ascii="Times New Roman" w:hAnsi="Times New Roman"/>
          <w:sz w:val="24"/>
          <w:szCs w:val="24"/>
        </w:rPr>
        <w:t>n this respect I</w:t>
      </w:r>
      <w:r w:rsidR="00615DE3">
        <w:rPr>
          <w:rFonts w:ascii="Times New Roman" w:hAnsi="Times New Roman"/>
          <w:sz w:val="24"/>
          <w:szCs w:val="24"/>
        </w:rPr>
        <w:t xml:space="preserve"> regard the guidance in </w:t>
      </w:r>
      <w:proofErr w:type="spellStart"/>
      <w:r w:rsidR="00615DE3">
        <w:rPr>
          <w:rFonts w:ascii="Times New Roman" w:hAnsi="Times New Roman"/>
          <w:sz w:val="24"/>
          <w:szCs w:val="24"/>
          <w:u w:val="single"/>
        </w:rPr>
        <w:t>Veba</w:t>
      </w:r>
      <w:proofErr w:type="spellEnd"/>
      <w:r w:rsidR="00615DE3">
        <w:rPr>
          <w:rFonts w:ascii="Times New Roman" w:hAnsi="Times New Roman"/>
          <w:sz w:val="24"/>
          <w:szCs w:val="24"/>
          <w:u w:val="single"/>
        </w:rPr>
        <w:t xml:space="preserve"> Oil Supply &amp; Trading GmbH v </w:t>
      </w:r>
      <w:proofErr w:type="spellStart"/>
      <w:r w:rsidR="00615DE3">
        <w:rPr>
          <w:rFonts w:ascii="Times New Roman" w:hAnsi="Times New Roman"/>
          <w:sz w:val="24"/>
          <w:szCs w:val="24"/>
          <w:u w:val="single"/>
        </w:rPr>
        <w:t>Petrotrade</w:t>
      </w:r>
      <w:proofErr w:type="spellEnd"/>
      <w:r w:rsidR="00615DE3">
        <w:rPr>
          <w:rFonts w:ascii="Times New Roman" w:hAnsi="Times New Roman"/>
          <w:sz w:val="24"/>
          <w:szCs w:val="24"/>
          <w:u w:val="single"/>
        </w:rPr>
        <w:t xml:space="preserve"> Inc.</w:t>
      </w:r>
      <w:r w:rsidR="00615DE3">
        <w:rPr>
          <w:rFonts w:ascii="Times New Roman" w:hAnsi="Times New Roman"/>
          <w:sz w:val="24"/>
          <w:szCs w:val="24"/>
        </w:rPr>
        <w:t xml:space="preserve"> [2001] </w:t>
      </w:r>
      <w:proofErr w:type="spellStart"/>
      <w:r w:rsidR="00615DE3">
        <w:rPr>
          <w:rFonts w:ascii="Times New Roman" w:hAnsi="Times New Roman"/>
          <w:sz w:val="24"/>
          <w:szCs w:val="24"/>
        </w:rPr>
        <w:t>EWCA</w:t>
      </w:r>
      <w:proofErr w:type="spellEnd"/>
      <w:r w:rsidR="00615DE3">
        <w:rPr>
          <w:rFonts w:ascii="Times New Roman" w:hAnsi="Times New Roman"/>
          <w:sz w:val="24"/>
          <w:szCs w:val="24"/>
        </w:rPr>
        <w:t xml:space="preserve"> </w:t>
      </w:r>
      <w:proofErr w:type="spellStart"/>
      <w:r w:rsidR="00615DE3">
        <w:rPr>
          <w:rFonts w:ascii="Times New Roman" w:hAnsi="Times New Roman"/>
          <w:sz w:val="24"/>
          <w:szCs w:val="24"/>
        </w:rPr>
        <w:t>Civ</w:t>
      </w:r>
      <w:proofErr w:type="spellEnd"/>
      <w:r w:rsidR="00615DE3">
        <w:rPr>
          <w:rFonts w:ascii="Times New Roman" w:hAnsi="Times New Roman"/>
          <w:sz w:val="24"/>
          <w:szCs w:val="24"/>
        </w:rPr>
        <w:t xml:space="preserve"> 1832, at [33] as to the meaning of obvious error to be equally applicable in this context (as seems to me to be supported by the further analysis in </w:t>
      </w:r>
      <w:proofErr w:type="spellStart"/>
      <w:r w:rsidR="00615DE3">
        <w:rPr>
          <w:rFonts w:ascii="Times New Roman" w:hAnsi="Times New Roman"/>
          <w:sz w:val="24"/>
          <w:szCs w:val="24"/>
          <w:u w:val="single"/>
        </w:rPr>
        <w:t>Flowgroup</w:t>
      </w:r>
      <w:proofErr w:type="spellEnd"/>
      <w:r w:rsidR="00615DE3">
        <w:rPr>
          <w:rFonts w:ascii="Times New Roman" w:hAnsi="Times New Roman"/>
          <w:sz w:val="24"/>
          <w:szCs w:val="24"/>
          <w:u w:val="single"/>
        </w:rPr>
        <w:t xml:space="preserve"> Plc v Co-operative Energy Ltd.</w:t>
      </w:r>
      <w:r w:rsidR="00615DE3">
        <w:rPr>
          <w:rFonts w:ascii="Times New Roman" w:hAnsi="Times New Roman"/>
          <w:sz w:val="24"/>
          <w:szCs w:val="24"/>
        </w:rPr>
        <w:t xml:space="preserve"> [2021] EWHC 344 (Comm)). </w:t>
      </w:r>
      <w:r w:rsidR="00483A43">
        <w:rPr>
          <w:rFonts w:ascii="Times New Roman" w:hAnsi="Times New Roman"/>
          <w:sz w:val="24"/>
          <w:szCs w:val="24"/>
        </w:rPr>
        <w:t xml:space="preserve">If the point is seriously arguable then it cannot be said to be obviously wrong. </w:t>
      </w:r>
    </w:p>
    <w:p w14:paraId="183F1845" w14:textId="77777777" w:rsidR="00615DE3" w:rsidRPr="00615DE3" w:rsidRDefault="00615DE3" w:rsidP="00615DE3">
      <w:pPr>
        <w:pStyle w:val="ListParagraph"/>
        <w:rPr>
          <w:rFonts w:ascii="Times New Roman" w:hAnsi="Times New Roman"/>
          <w:sz w:val="24"/>
          <w:szCs w:val="24"/>
        </w:rPr>
      </w:pPr>
    </w:p>
    <w:p w14:paraId="0E456BA4" w14:textId="46B2301F" w:rsidR="00615DE3" w:rsidRDefault="00615DE3" w:rsidP="00615DE3">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For these reasons the demand under clause 6 would be conclusive and payment was properly due in respect of it under the terms of the Indemnity. </w:t>
      </w:r>
    </w:p>
    <w:p w14:paraId="6A46F6FA" w14:textId="77777777" w:rsidR="00483A43" w:rsidRPr="00483A43" w:rsidRDefault="00483A43" w:rsidP="00483A43">
      <w:pPr>
        <w:pStyle w:val="ListParagraph"/>
        <w:rPr>
          <w:rFonts w:ascii="Times New Roman" w:hAnsi="Times New Roman"/>
          <w:sz w:val="24"/>
          <w:szCs w:val="24"/>
        </w:rPr>
      </w:pPr>
    </w:p>
    <w:p w14:paraId="3CECFA31" w14:textId="6B7CA053" w:rsidR="00483A43" w:rsidRPr="00E9155E" w:rsidRDefault="00483A43" w:rsidP="00615DE3">
      <w:pPr>
        <w:pStyle w:val="ListParagraph"/>
        <w:numPr>
          <w:ilvl w:val="0"/>
          <w:numId w:val="26"/>
        </w:numPr>
        <w:autoSpaceDN/>
        <w:spacing w:line="360" w:lineRule="auto"/>
        <w:contextualSpacing/>
        <w:jc w:val="left"/>
        <w:textAlignment w:val="auto"/>
        <w:rPr>
          <w:rFonts w:ascii="Times New Roman" w:hAnsi="Times New Roman"/>
          <w:sz w:val="24"/>
          <w:szCs w:val="24"/>
        </w:rPr>
      </w:pPr>
      <w:r>
        <w:rPr>
          <w:rFonts w:ascii="Times New Roman" w:hAnsi="Times New Roman"/>
          <w:sz w:val="24"/>
          <w:szCs w:val="24"/>
        </w:rPr>
        <w:t xml:space="preserve">I should add for completeness that Mr Quirk raised the argument that clause 6 of the Indemnity was invalid under the provisions of the Unfair Contract Terms Act 1977. However, this was premised on there being no express or implied manifest error proviso to </w:t>
      </w:r>
      <w:r w:rsidR="00C01199">
        <w:rPr>
          <w:rFonts w:ascii="Times New Roman" w:hAnsi="Times New Roman"/>
          <w:sz w:val="24"/>
          <w:szCs w:val="24"/>
        </w:rPr>
        <w:t xml:space="preserve">that </w:t>
      </w:r>
      <w:r>
        <w:rPr>
          <w:rFonts w:ascii="Times New Roman" w:hAnsi="Times New Roman"/>
          <w:sz w:val="24"/>
          <w:szCs w:val="24"/>
        </w:rPr>
        <w:t>clause. As I would have concluded that such a proviso did exist I do not understand this argument to be one that has any appl</w:t>
      </w:r>
      <w:r w:rsidR="00C01199">
        <w:rPr>
          <w:rFonts w:ascii="Times New Roman" w:hAnsi="Times New Roman"/>
          <w:sz w:val="24"/>
          <w:szCs w:val="24"/>
        </w:rPr>
        <w:t>ication</w:t>
      </w:r>
      <w:r>
        <w:rPr>
          <w:rFonts w:ascii="Times New Roman" w:hAnsi="Times New Roman"/>
          <w:sz w:val="24"/>
          <w:szCs w:val="24"/>
        </w:rPr>
        <w:t xml:space="preserve">. </w:t>
      </w:r>
    </w:p>
    <w:p w14:paraId="19641A51" w14:textId="1E30590E" w:rsidR="0079676D" w:rsidRPr="00E9155E" w:rsidRDefault="0079676D" w:rsidP="00615DE3">
      <w:pPr>
        <w:pStyle w:val="ListParagraph"/>
        <w:autoSpaceDN/>
        <w:spacing w:line="360" w:lineRule="auto"/>
        <w:ind w:left="420"/>
        <w:contextualSpacing/>
        <w:jc w:val="left"/>
        <w:textAlignment w:val="auto"/>
        <w:rPr>
          <w:rFonts w:ascii="Times New Roman" w:hAnsi="Times New Roman"/>
          <w:sz w:val="24"/>
          <w:szCs w:val="24"/>
        </w:rPr>
      </w:pPr>
    </w:p>
    <w:p w14:paraId="13C26756" w14:textId="27965A81" w:rsidR="00E9155E" w:rsidRPr="00E9155E" w:rsidRDefault="00E9155E" w:rsidP="00E9155E">
      <w:pPr>
        <w:autoSpaceDN/>
        <w:spacing w:line="360" w:lineRule="auto"/>
        <w:contextualSpacing/>
        <w:textAlignment w:val="auto"/>
      </w:pPr>
    </w:p>
    <w:p w14:paraId="4E1ACA13" w14:textId="2F5026C3" w:rsidR="00E9155E" w:rsidRPr="00E9155E" w:rsidRDefault="00E9155E" w:rsidP="00E9155E">
      <w:pPr>
        <w:autoSpaceDN/>
        <w:spacing w:line="360" w:lineRule="auto"/>
        <w:contextualSpacing/>
        <w:textAlignment w:val="auto"/>
        <w:rPr>
          <w:b/>
          <w:bCs/>
          <w:u w:val="single"/>
        </w:rPr>
      </w:pPr>
      <w:r w:rsidRPr="00E9155E">
        <w:rPr>
          <w:b/>
          <w:bCs/>
          <w:u w:val="single"/>
        </w:rPr>
        <w:t>Conclusion</w:t>
      </w:r>
    </w:p>
    <w:p w14:paraId="365C863F" w14:textId="1AFECB20" w:rsidR="00E9155E" w:rsidRPr="00E9155E" w:rsidRDefault="00E9155E" w:rsidP="00FB5A46">
      <w:pPr>
        <w:pStyle w:val="ListParagraph"/>
        <w:numPr>
          <w:ilvl w:val="0"/>
          <w:numId w:val="26"/>
        </w:numPr>
        <w:autoSpaceDN/>
        <w:spacing w:line="360" w:lineRule="auto"/>
        <w:contextualSpacing/>
        <w:jc w:val="left"/>
        <w:textAlignment w:val="auto"/>
        <w:rPr>
          <w:rFonts w:ascii="Times New Roman" w:hAnsi="Times New Roman"/>
          <w:sz w:val="24"/>
          <w:szCs w:val="24"/>
        </w:rPr>
      </w:pPr>
      <w:r w:rsidRPr="00E9155E">
        <w:rPr>
          <w:rFonts w:ascii="Times New Roman" w:hAnsi="Times New Roman"/>
          <w:sz w:val="24"/>
          <w:szCs w:val="24"/>
        </w:rPr>
        <w:t xml:space="preserve">For the reasons set out above </w:t>
      </w:r>
      <w:r w:rsidR="00400B8D">
        <w:rPr>
          <w:rFonts w:ascii="Times New Roman" w:hAnsi="Times New Roman"/>
          <w:sz w:val="24"/>
          <w:szCs w:val="24"/>
        </w:rPr>
        <w:t>the claim succeeds in respect of the principal amount sought of £551,146.36</w:t>
      </w:r>
      <w:r w:rsidRPr="00E9155E">
        <w:rPr>
          <w:rFonts w:ascii="Times New Roman" w:hAnsi="Times New Roman"/>
          <w:sz w:val="24"/>
          <w:szCs w:val="24"/>
        </w:rPr>
        <w:t xml:space="preserve">. </w:t>
      </w:r>
      <w:r w:rsidR="00400B8D">
        <w:rPr>
          <w:rFonts w:ascii="Times New Roman" w:hAnsi="Times New Roman"/>
          <w:sz w:val="24"/>
          <w:szCs w:val="24"/>
        </w:rPr>
        <w:t>Unless these</w:t>
      </w:r>
      <w:r w:rsidR="00C01199">
        <w:rPr>
          <w:rFonts w:ascii="Times New Roman" w:hAnsi="Times New Roman"/>
          <w:sz w:val="24"/>
          <w:szCs w:val="24"/>
        </w:rPr>
        <w:t xml:space="preserve"> points</w:t>
      </w:r>
      <w:r w:rsidR="00400B8D">
        <w:rPr>
          <w:rFonts w:ascii="Times New Roman" w:hAnsi="Times New Roman"/>
          <w:sz w:val="24"/>
          <w:szCs w:val="24"/>
        </w:rPr>
        <w:t xml:space="preserve"> can be agreed in light of this judgment </w:t>
      </w:r>
      <w:r w:rsidRPr="00E9155E">
        <w:rPr>
          <w:rFonts w:ascii="Times New Roman" w:hAnsi="Times New Roman"/>
          <w:sz w:val="24"/>
          <w:szCs w:val="24"/>
        </w:rPr>
        <w:t xml:space="preserve">I shall hear submissions on </w:t>
      </w:r>
      <w:r w:rsidR="00400B8D">
        <w:rPr>
          <w:rFonts w:ascii="Times New Roman" w:hAnsi="Times New Roman"/>
          <w:sz w:val="24"/>
          <w:szCs w:val="24"/>
        </w:rPr>
        <w:t>consequential matters such as the award and quantification of int</w:t>
      </w:r>
      <w:r w:rsidR="00C01199">
        <w:rPr>
          <w:rFonts w:ascii="Times New Roman" w:hAnsi="Times New Roman"/>
          <w:sz w:val="24"/>
          <w:szCs w:val="24"/>
        </w:rPr>
        <w:t>e</w:t>
      </w:r>
      <w:r w:rsidR="00400B8D">
        <w:rPr>
          <w:rFonts w:ascii="Times New Roman" w:hAnsi="Times New Roman"/>
          <w:sz w:val="24"/>
          <w:szCs w:val="24"/>
        </w:rPr>
        <w:t xml:space="preserve">rest and </w:t>
      </w:r>
      <w:r w:rsidR="00C01199">
        <w:rPr>
          <w:rFonts w:ascii="Times New Roman" w:hAnsi="Times New Roman"/>
          <w:sz w:val="24"/>
          <w:szCs w:val="24"/>
        </w:rPr>
        <w:t>any remain</w:t>
      </w:r>
      <w:r w:rsidR="006F03DC">
        <w:rPr>
          <w:rFonts w:ascii="Times New Roman" w:hAnsi="Times New Roman"/>
          <w:sz w:val="24"/>
          <w:szCs w:val="24"/>
        </w:rPr>
        <w:t>i</w:t>
      </w:r>
      <w:r w:rsidR="00C01199">
        <w:rPr>
          <w:rFonts w:ascii="Times New Roman" w:hAnsi="Times New Roman"/>
          <w:sz w:val="24"/>
          <w:szCs w:val="24"/>
        </w:rPr>
        <w:t xml:space="preserve">ng issues on </w:t>
      </w:r>
      <w:r w:rsidRPr="00E9155E">
        <w:rPr>
          <w:rFonts w:ascii="Times New Roman" w:hAnsi="Times New Roman"/>
          <w:sz w:val="24"/>
          <w:szCs w:val="24"/>
        </w:rPr>
        <w:t xml:space="preserve">costs. </w:t>
      </w:r>
    </w:p>
    <w:p w14:paraId="773A28EF" w14:textId="6026CA00" w:rsidR="00352167" w:rsidRPr="003D3BC6" w:rsidRDefault="00352167" w:rsidP="00E9155E">
      <w:pPr>
        <w:pStyle w:val="ListParagraph"/>
        <w:autoSpaceDN/>
        <w:spacing w:line="240" w:lineRule="auto"/>
        <w:ind w:left="360"/>
        <w:contextualSpacing/>
        <w:jc w:val="left"/>
        <w:textAlignment w:val="auto"/>
        <w:rPr>
          <w:rFonts w:ascii="Times New Roman" w:hAnsi="Times New Roman"/>
          <w:sz w:val="24"/>
          <w:szCs w:val="24"/>
        </w:rPr>
      </w:pPr>
    </w:p>
    <w:sectPr w:rsidR="00352167" w:rsidRPr="003D3BC6">
      <w:headerReference w:type="default" r:id="rId8"/>
      <w:footerReference w:type="default" r:id="rId9"/>
      <w:type w:val="continuous"/>
      <w:pgSz w:w="11909" w:h="16834"/>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4C067" w14:textId="77777777" w:rsidR="00F85F93" w:rsidRDefault="00F85F93">
      <w:r>
        <w:separator/>
      </w:r>
    </w:p>
  </w:endnote>
  <w:endnote w:type="continuationSeparator" w:id="0">
    <w:p w14:paraId="1D5234B4" w14:textId="77777777" w:rsidR="00F85F93" w:rsidRDefault="00F8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BD406" w14:textId="77777777" w:rsidR="006C2DBD" w:rsidRDefault="006C2DBD">
    <w:pPr>
      <w:pStyle w:val="Footer"/>
      <w:jc w:val="center"/>
      <w:rPr>
        <w:rFonts w:ascii="Times New Roman" w:hAnsi="Times New Roman"/>
        <w:sz w:val="16"/>
      </w:rPr>
    </w:pPr>
  </w:p>
  <w:p w14:paraId="2C71A11B" w14:textId="574B1169" w:rsidR="006C2DBD" w:rsidRDefault="006C2DBD">
    <w:pPr>
      <w:pStyle w:val="Foote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Pr>
        <w:rFonts w:ascii="Times New Roman" w:hAnsi="Times New Roman"/>
        <w:noProof/>
        <w:sz w:val="16"/>
      </w:rPr>
      <w:t>9</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0B695" w14:textId="77777777" w:rsidR="00F85F93" w:rsidRDefault="00F85F93">
      <w:r>
        <w:rPr>
          <w:color w:val="000000"/>
        </w:rPr>
        <w:separator/>
      </w:r>
    </w:p>
  </w:footnote>
  <w:footnote w:type="continuationSeparator" w:id="0">
    <w:p w14:paraId="0948E0A5" w14:textId="77777777" w:rsidR="00F85F93" w:rsidRDefault="00F85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CellMar>
        <w:left w:w="10" w:type="dxa"/>
        <w:right w:w="10" w:type="dxa"/>
      </w:tblCellMar>
      <w:tblLook w:val="0000" w:firstRow="0" w:lastRow="0" w:firstColumn="0" w:lastColumn="0" w:noHBand="0" w:noVBand="0"/>
    </w:tblPr>
    <w:tblGrid>
      <w:gridCol w:w="4680"/>
      <w:gridCol w:w="4320"/>
    </w:tblGrid>
    <w:tr w:rsidR="006C2DBD" w14:paraId="506708A0" w14:textId="77777777">
      <w:tc>
        <w:tcPr>
          <w:tcW w:w="4680" w:type="dxa"/>
          <w:shd w:val="clear" w:color="auto" w:fill="auto"/>
          <w:tcMar>
            <w:top w:w="0" w:type="dxa"/>
            <w:left w:w="108" w:type="dxa"/>
            <w:bottom w:w="0" w:type="dxa"/>
            <w:right w:w="108" w:type="dxa"/>
          </w:tcMar>
        </w:tcPr>
        <w:p w14:paraId="665E867E" w14:textId="498D6C63" w:rsidR="006C2DBD" w:rsidRDefault="006C2DBD">
          <w:pPr>
            <w:pStyle w:val="Header"/>
          </w:pPr>
        </w:p>
      </w:tc>
      <w:tc>
        <w:tcPr>
          <w:tcW w:w="4320" w:type="dxa"/>
          <w:shd w:val="clear" w:color="auto" w:fill="auto"/>
          <w:tcMar>
            <w:top w:w="0" w:type="dxa"/>
            <w:left w:w="108" w:type="dxa"/>
            <w:bottom w:w="0" w:type="dxa"/>
            <w:right w:w="108" w:type="dxa"/>
          </w:tcMar>
        </w:tcPr>
        <w:p w14:paraId="535A75D3" w14:textId="4C30D88F" w:rsidR="006C2DBD" w:rsidRDefault="006C2DBD">
          <w:pPr>
            <w:pStyle w:val="Header"/>
            <w:jc w:val="right"/>
          </w:pPr>
          <w:r>
            <w:rPr>
              <w:rFonts w:ascii="Times New Roman" w:hAnsi="Times New Roman"/>
              <w:sz w:val="16"/>
            </w:rPr>
            <w:t xml:space="preserve"> </w:t>
          </w:r>
        </w:p>
      </w:tc>
    </w:tr>
  </w:tbl>
  <w:p w14:paraId="1BC2CE53" w14:textId="77777777" w:rsidR="006C2DBD" w:rsidRDefault="006C2DBD">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9F1"/>
    <w:multiLevelType w:val="hybridMultilevel"/>
    <w:tmpl w:val="D152BE56"/>
    <w:lvl w:ilvl="0" w:tplc="8FFC18F8">
      <w:start w:val="1"/>
      <w:numFmt w:val="decimal"/>
      <w:lvlText w:val="(%1)"/>
      <w:lvlJc w:val="left"/>
      <w:pPr>
        <w:ind w:left="1080" w:hanging="360"/>
      </w:pPr>
      <w:rPr>
        <w:rFonts w:hint="default"/>
        <w:b w:val="0"/>
        <w:i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E27C91"/>
    <w:multiLevelType w:val="hybridMultilevel"/>
    <w:tmpl w:val="B9BE635C"/>
    <w:lvl w:ilvl="0" w:tplc="194AA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9278F"/>
    <w:multiLevelType w:val="multilevel"/>
    <w:tmpl w:val="85A6BD64"/>
    <w:lvl w:ilvl="0">
      <w:start w:val="10"/>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A2E377B"/>
    <w:multiLevelType w:val="hybridMultilevel"/>
    <w:tmpl w:val="71BA6EA0"/>
    <w:lvl w:ilvl="0" w:tplc="6338F5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DAA68E1"/>
    <w:multiLevelType w:val="hybridMultilevel"/>
    <w:tmpl w:val="E3C495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12912ED"/>
    <w:multiLevelType w:val="multilevel"/>
    <w:tmpl w:val="7A7A1220"/>
    <w:lvl w:ilvl="0">
      <w:start w:val="28"/>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26B4564"/>
    <w:multiLevelType w:val="hybridMultilevel"/>
    <w:tmpl w:val="D152BE56"/>
    <w:lvl w:ilvl="0" w:tplc="8FFC18F8">
      <w:start w:val="1"/>
      <w:numFmt w:val="decimal"/>
      <w:lvlText w:val="(%1)"/>
      <w:lvlJc w:val="left"/>
      <w:pPr>
        <w:ind w:left="1080" w:hanging="360"/>
      </w:pPr>
      <w:rPr>
        <w:rFonts w:hint="default"/>
        <w:b w:val="0"/>
        <w:i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3320A68"/>
    <w:multiLevelType w:val="multilevel"/>
    <w:tmpl w:val="CA2EC35A"/>
    <w:styleLink w:val="WWOutlineListStyle"/>
    <w:lvl w:ilvl="0">
      <w:start w:val="1"/>
      <w:numFmt w:val="decimal"/>
      <w:pStyle w:val="ParaLevel1"/>
      <w:lvlText w:val="%1."/>
      <w:lvlJc w:val="left"/>
      <w:pPr>
        <w:ind w:left="720" w:hanging="720"/>
      </w:pPr>
      <w:rPr>
        <w:b w:val="0"/>
        <w:i w:val="0"/>
        <w:u w:val="none"/>
      </w:rPr>
    </w:lvl>
    <w:lvl w:ilvl="1">
      <w:start w:val="1"/>
      <w:numFmt w:val="lowerRoman"/>
      <w:pStyle w:val="ParaLevel2"/>
      <w:lvlText w:val="%2)"/>
      <w:lvlJc w:val="left"/>
      <w:pPr>
        <w:ind w:left="1418" w:hanging="709"/>
      </w:pPr>
      <w:rPr>
        <w:b w:val="0"/>
        <w:i w:val="0"/>
      </w:rPr>
    </w:lvl>
    <w:lvl w:ilvl="2">
      <w:start w:val="1"/>
      <w:numFmt w:val="lowerLetter"/>
      <w:pStyle w:val="ParaLevel3"/>
      <w:lvlText w:val="%3)"/>
      <w:lvlJc w:val="left"/>
      <w:pPr>
        <w:ind w:left="2127" w:hanging="709"/>
      </w:pPr>
    </w:lvl>
    <w:lvl w:ilvl="3">
      <w:start w:val="1"/>
      <w:numFmt w:val="lowerRoman"/>
      <w:pStyle w:val="ParaLevel4"/>
      <w:lvlText w:val="%4)"/>
      <w:lvlJc w:val="left"/>
      <w:pPr>
        <w:ind w:left="2836" w:hanging="709"/>
      </w:pPr>
    </w:lvl>
    <w:lvl w:ilvl="4">
      <w:start w:val="1"/>
      <w:numFmt w:val="lowerLetter"/>
      <w:pStyle w:val="ParaLevel5"/>
      <w:lvlText w:val="(%5)"/>
      <w:lvlJc w:val="left"/>
      <w:pPr>
        <w:ind w:left="3545" w:hanging="709"/>
      </w:pPr>
    </w:lvl>
    <w:lvl w:ilvl="5">
      <w:start w:val="1"/>
      <w:numFmt w:val="lowerRoman"/>
      <w:pStyle w:val="ParaLevel6"/>
      <w:lvlText w:val="(%6)"/>
      <w:lvlJc w:val="left"/>
      <w:pPr>
        <w:ind w:left="4254" w:hanging="709"/>
      </w:pPr>
    </w:lvl>
    <w:lvl w:ilvl="6">
      <w:start w:val="1"/>
      <w:numFmt w:val="lowerLetter"/>
      <w:pStyle w:val="ParaLevel7"/>
      <w:lvlText w:val="(%7)"/>
      <w:lvlJc w:val="left"/>
      <w:pPr>
        <w:ind w:left="4963" w:hanging="709"/>
      </w:pPr>
    </w:lvl>
    <w:lvl w:ilvl="7">
      <w:start w:val="1"/>
      <w:numFmt w:val="lowerRoman"/>
      <w:pStyle w:val="ParaLevel8"/>
      <w:lvlText w:val="(%8)"/>
      <w:lvlJc w:val="left"/>
      <w:pPr>
        <w:ind w:left="5672" w:hanging="709"/>
      </w:pPr>
    </w:lvl>
    <w:lvl w:ilvl="8">
      <w:start w:val="1"/>
      <w:numFmt w:val="lowerLetter"/>
      <w:pStyle w:val="ParaLevel9"/>
      <w:lvlText w:val="(%9)"/>
      <w:lvlJc w:val="left"/>
      <w:pPr>
        <w:ind w:left="6381" w:hanging="709"/>
      </w:pPr>
    </w:lvl>
  </w:abstractNum>
  <w:abstractNum w:abstractNumId="8" w15:restartNumberingAfterBreak="0">
    <w:nsid w:val="14216EDE"/>
    <w:multiLevelType w:val="multilevel"/>
    <w:tmpl w:val="F90E1D9C"/>
    <w:lvl w:ilvl="0">
      <w:start w:val="24"/>
      <w:numFmt w:val="decimal"/>
      <w:lvlText w:val="%1"/>
      <w:lvlJc w:val="left"/>
      <w:pPr>
        <w:ind w:left="360" w:hanging="360"/>
      </w:pPr>
      <w:rPr>
        <w:rFonts w:ascii="Palatino Linotype" w:hAnsi="Palatino Linotype" w:hint="default"/>
        <w:sz w:val="21"/>
      </w:rPr>
    </w:lvl>
    <w:lvl w:ilvl="1">
      <w:start w:val="1"/>
      <w:numFmt w:val="decimal"/>
      <w:lvlText w:val="%1.%2"/>
      <w:lvlJc w:val="left"/>
      <w:pPr>
        <w:ind w:left="1440" w:hanging="360"/>
      </w:pPr>
      <w:rPr>
        <w:rFonts w:ascii="Palatino Linotype" w:hAnsi="Palatino Linotype" w:hint="default"/>
        <w:sz w:val="21"/>
      </w:rPr>
    </w:lvl>
    <w:lvl w:ilvl="2">
      <w:start w:val="1"/>
      <w:numFmt w:val="decimal"/>
      <w:lvlText w:val="%1.%2.%3"/>
      <w:lvlJc w:val="left"/>
      <w:pPr>
        <w:ind w:left="2880" w:hanging="720"/>
      </w:pPr>
      <w:rPr>
        <w:rFonts w:ascii="Palatino Linotype" w:hAnsi="Palatino Linotype" w:hint="default"/>
        <w:sz w:val="21"/>
      </w:rPr>
    </w:lvl>
    <w:lvl w:ilvl="3">
      <w:start w:val="1"/>
      <w:numFmt w:val="decimal"/>
      <w:lvlText w:val="%1.%2.%3.%4"/>
      <w:lvlJc w:val="left"/>
      <w:pPr>
        <w:ind w:left="3960" w:hanging="720"/>
      </w:pPr>
      <w:rPr>
        <w:rFonts w:ascii="Palatino Linotype" w:hAnsi="Palatino Linotype" w:hint="default"/>
        <w:sz w:val="21"/>
      </w:rPr>
    </w:lvl>
    <w:lvl w:ilvl="4">
      <w:start w:val="1"/>
      <w:numFmt w:val="decimal"/>
      <w:lvlText w:val="%1.%2.%3.%4.%5"/>
      <w:lvlJc w:val="left"/>
      <w:pPr>
        <w:ind w:left="5400" w:hanging="1080"/>
      </w:pPr>
      <w:rPr>
        <w:rFonts w:ascii="Palatino Linotype" w:hAnsi="Palatino Linotype" w:hint="default"/>
        <w:sz w:val="21"/>
      </w:rPr>
    </w:lvl>
    <w:lvl w:ilvl="5">
      <w:start w:val="1"/>
      <w:numFmt w:val="decimal"/>
      <w:lvlText w:val="%1.%2.%3.%4.%5.%6"/>
      <w:lvlJc w:val="left"/>
      <w:pPr>
        <w:ind w:left="6480" w:hanging="1080"/>
      </w:pPr>
      <w:rPr>
        <w:rFonts w:ascii="Palatino Linotype" w:hAnsi="Palatino Linotype" w:hint="default"/>
        <w:sz w:val="21"/>
      </w:rPr>
    </w:lvl>
    <w:lvl w:ilvl="6">
      <w:start w:val="1"/>
      <w:numFmt w:val="decimal"/>
      <w:lvlText w:val="%1.%2.%3.%4.%5.%6.%7"/>
      <w:lvlJc w:val="left"/>
      <w:pPr>
        <w:ind w:left="7920" w:hanging="1440"/>
      </w:pPr>
      <w:rPr>
        <w:rFonts w:ascii="Palatino Linotype" w:hAnsi="Palatino Linotype" w:hint="default"/>
        <w:sz w:val="21"/>
      </w:rPr>
    </w:lvl>
    <w:lvl w:ilvl="7">
      <w:start w:val="1"/>
      <w:numFmt w:val="decimal"/>
      <w:lvlText w:val="%1.%2.%3.%4.%5.%6.%7.%8"/>
      <w:lvlJc w:val="left"/>
      <w:pPr>
        <w:ind w:left="9000" w:hanging="1440"/>
      </w:pPr>
      <w:rPr>
        <w:rFonts w:ascii="Palatino Linotype" w:hAnsi="Palatino Linotype" w:hint="default"/>
        <w:sz w:val="21"/>
      </w:rPr>
    </w:lvl>
    <w:lvl w:ilvl="8">
      <w:start w:val="1"/>
      <w:numFmt w:val="decimal"/>
      <w:lvlText w:val="%1.%2.%3.%4.%5.%6.%7.%8.%9"/>
      <w:lvlJc w:val="left"/>
      <w:pPr>
        <w:ind w:left="10440" w:hanging="1800"/>
      </w:pPr>
      <w:rPr>
        <w:rFonts w:ascii="Palatino Linotype" w:hAnsi="Palatino Linotype" w:hint="default"/>
        <w:sz w:val="21"/>
      </w:rPr>
    </w:lvl>
  </w:abstractNum>
  <w:abstractNum w:abstractNumId="9" w15:restartNumberingAfterBreak="0">
    <w:nsid w:val="14F243C3"/>
    <w:multiLevelType w:val="hybridMultilevel"/>
    <w:tmpl w:val="D152BE56"/>
    <w:lvl w:ilvl="0" w:tplc="8FFC18F8">
      <w:start w:val="1"/>
      <w:numFmt w:val="decimal"/>
      <w:lvlText w:val="(%1)"/>
      <w:lvlJc w:val="left"/>
      <w:pPr>
        <w:ind w:left="1080" w:hanging="360"/>
      </w:pPr>
      <w:rPr>
        <w:rFonts w:hint="default"/>
        <w:b w:val="0"/>
        <w:i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A527A14"/>
    <w:multiLevelType w:val="multilevel"/>
    <w:tmpl w:val="4010122E"/>
    <w:lvl w:ilvl="0">
      <w:start w:val="42"/>
      <w:numFmt w:val="decimal"/>
      <w:lvlText w:val="%1"/>
      <w:lvlJc w:val="left"/>
      <w:pPr>
        <w:ind w:left="420" w:hanging="420"/>
      </w:pPr>
      <w:rPr>
        <w:rFonts w:hint="default"/>
        <w:i w:val="0"/>
      </w:rPr>
    </w:lvl>
    <w:lvl w:ilvl="1">
      <w:start w:val="1"/>
      <w:numFmt w:val="decimal"/>
      <w:lvlText w:val="%1.%2"/>
      <w:lvlJc w:val="left"/>
      <w:pPr>
        <w:ind w:left="1838" w:hanging="420"/>
      </w:pPr>
      <w:rPr>
        <w:rFonts w:hint="default"/>
        <w:i w:val="0"/>
      </w:rPr>
    </w:lvl>
    <w:lvl w:ilvl="2">
      <w:start w:val="1"/>
      <w:numFmt w:val="decimal"/>
      <w:lvlText w:val="%1.%2.%3"/>
      <w:lvlJc w:val="left"/>
      <w:pPr>
        <w:ind w:left="3556" w:hanging="720"/>
      </w:pPr>
      <w:rPr>
        <w:rFonts w:hint="default"/>
        <w:i w:val="0"/>
      </w:rPr>
    </w:lvl>
    <w:lvl w:ilvl="3">
      <w:start w:val="1"/>
      <w:numFmt w:val="decimal"/>
      <w:lvlText w:val="%1.%2.%3.%4"/>
      <w:lvlJc w:val="left"/>
      <w:pPr>
        <w:ind w:left="4974" w:hanging="720"/>
      </w:pPr>
      <w:rPr>
        <w:rFonts w:hint="default"/>
        <w:i w:val="0"/>
      </w:rPr>
    </w:lvl>
    <w:lvl w:ilvl="4">
      <w:start w:val="1"/>
      <w:numFmt w:val="decimal"/>
      <w:lvlText w:val="%1.%2.%3.%4.%5"/>
      <w:lvlJc w:val="left"/>
      <w:pPr>
        <w:ind w:left="6752" w:hanging="1080"/>
      </w:pPr>
      <w:rPr>
        <w:rFonts w:hint="default"/>
        <w:i w:val="0"/>
      </w:rPr>
    </w:lvl>
    <w:lvl w:ilvl="5">
      <w:start w:val="1"/>
      <w:numFmt w:val="decimal"/>
      <w:lvlText w:val="%1.%2.%3.%4.%5.%6"/>
      <w:lvlJc w:val="left"/>
      <w:pPr>
        <w:ind w:left="8170" w:hanging="1080"/>
      </w:pPr>
      <w:rPr>
        <w:rFonts w:hint="default"/>
        <w:i w:val="0"/>
      </w:rPr>
    </w:lvl>
    <w:lvl w:ilvl="6">
      <w:start w:val="1"/>
      <w:numFmt w:val="decimal"/>
      <w:lvlText w:val="%1.%2.%3.%4.%5.%6.%7"/>
      <w:lvlJc w:val="left"/>
      <w:pPr>
        <w:ind w:left="9948" w:hanging="1440"/>
      </w:pPr>
      <w:rPr>
        <w:rFonts w:hint="default"/>
        <w:i w:val="0"/>
      </w:rPr>
    </w:lvl>
    <w:lvl w:ilvl="7">
      <w:start w:val="1"/>
      <w:numFmt w:val="decimal"/>
      <w:lvlText w:val="%1.%2.%3.%4.%5.%6.%7.%8"/>
      <w:lvlJc w:val="left"/>
      <w:pPr>
        <w:ind w:left="11366" w:hanging="1440"/>
      </w:pPr>
      <w:rPr>
        <w:rFonts w:hint="default"/>
        <w:i w:val="0"/>
      </w:rPr>
    </w:lvl>
    <w:lvl w:ilvl="8">
      <w:start w:val="1"/>
      <w:numFmt w:val="decimal"/>
      <w:lvlText w:val="%1.%2.%3.%4.%5.%6.%7.%8.%9"/>
      <w:lvlJc w:val="left"/>
      <w:pPr>
        <w:ind w:left="13144" w:hanging="1800"/>
      </w:pPr>
      <w:rPr>
        <w:rFonts w:hint="default"/>
        <w:i w:val="0"/>
      </w:rPr>
    </w:lvl>
  </w:abstractNum>
  <w:abstractNum w:abstractNumId="11" w15:restartNumberingAfterBreak="0">
    <w:nsid w:val="1DA62842"/>
    <w:multiLevelType w:val="multilevel"/>
    <w:tmpl w:val="4760C010"/>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15:restartNumberingAfterBreak="0">
    <w:nsid w:val="251B31EF"/>
    <w:multiLevelType w:val="multilevel"/>
    <w:tmpl w:val="BB6242FE"/>
    <w:lvl w:ilvl="0">
      <w:start w:val="13"/>
      <w:numFmt w:val="decimal"/>
      <w:lvlText w:val="%1"/>
      <w:lvlJc w:val="left"/>
      <w:pPr>
        <w:ind w:left="360" w:hanging="360"/>
      </w:pPr>
      <w:rPr>
        <w:rFonts w:ascii="Palatino Linotype" w:hAnsi="Palatino Linotype" w:hint="default"/>
        <w:sz w:val="21"/>
      </w:rPr>
    </w:lvl>
    <w:lvl w:ilvl="1">
      <w:start w:val="1"/>
      <w:numFmt w:val="decimal"/>
      <w:lvlText w:val="%1.%2"/>
      <w:lvlJc w:val="left"/>
      <w:pPr>
        <w:ind w:left="1440" w:hanging="360"/>
      </w:pPr>
      <w:rPr>
        <w:rFonts w:ascii="Palatino Linotype" w:hAnsi="Palatino Linotype" w:hint="default"/>
        <w:sz w:val="21"/>
      </w:rPr>
    </w:lvl>
    <w:lvl w:ilvl="2">
      <w:start w:val="1"/>
      <w:numFmt w:val="decimal"/>
      <w:lvlText w:val="%1.%2.%3"/>
      <w:lvlJc w:val="left"/>
      <w:pPr>
        <w:ind w:left="2880" w:hanging="720"/>
      </w:pPr>
      <w:rPr>
        <w:rFonts w:ascii="Palatino Linotype" w:hAnsi="Palatino Linotype" w:hint="default"/>
        <w:sz w:val="21"/>
      </w:rPr>
    </w:lvl>
    <w:lvl w:ilvl="3">
      <w:start w:val="1"/>
      <w:numFmt w:val="decimal"/>
      <w:lvlText w:val="%1.%2.%3.%4"/>
      <w:lvlJc w:val="left"/>
      <w:pPr>
        <w:ind w:left="3960" w:hanging="720"/>
      </w:pPr>
      <w:rPr>
        <w:rFonts w:ascii="Palatino Linotype" w:hAnsi="Palatino Linotype" w:hint="default"/>
        <w:sz w:val="21"/>
      </w:rPr>
    </w:lvl>
    <w:lvl w:ilvl="4">
      <w:start w:val="1"/>
      <w:numFmt w:val="decimal"/>
      <w:lvlText w:val="%1.%2.%3.%4.%5"/>
      <w:lvlJc w:val="left"/>
      <w:pPr>
        <w:ind w:left="5400" w:hanging="1080"/>
      </w:pPr>
      <w:rPr>
        <w:rFonts w:ascii="Palatino Linotype" w:hAnsi="Palatino Linotype" w:hint="default"/>
        <w:sz w:val="21"/>
      </w:rPr>
    </w:lvl>
    <w:lvl w:ilvl="5">
      <w:start w:val="1"/>
      <w:numFmt w:val="decimal"/>
      <w:lvlText w:val="%1.%2.%3.%4.%5.%6"/>
      <w:lvlJc w:val="left"/>
      <w:pPr>
        <w:ind w:left="6480" w:hanging="1080"/>
      </w:pPr>
      <w:rPr>
        <w:rFonts w:ascii="Palatino Linotype" w:hAnsi="Palatino Linotype" w:hint="default"/>
        <w:sz w:val="21"/>
      </w:rPr>
    </w:lvl>
    <w:lvl w:ilvl="6">
      <w:start w:val="1"/>
      <w:numFmt w:val="decimal"/>
      <w:lvlText w:val="%1.%2.%3.%4.%5.%6.%7"/>
      <w:lvlJc w:val="left"/>
      <w:pPr>
        <w:ind w:left="7920" w:hanging="1440"/>
      </w:pPr>
      <w:rPr>
        <w:rFonts w:ascii="Palatino Linotype" w:hAnsi="Palatino Linotype" w:hint="default"/>
        <w:sz w:val="21"/>
      </w:rPr>
    </w:lvl>
    <w:lvl w:ilvl="7">
      <w:start w:val="1"/>
      <w:numFmt w:val="decimal"/>
      <w:lvlText w:val="%1.%2.%3.%4.%5.%6.%7.%8"/>
      <w:lvlJc w:val="left"/>
      <w:pPr>
        <w:ind w:left="9000" w:hanging="1440"/>
      </w:pPr>
      <w:rPr>
        <w:rFonts w:ascii="Palatino Linotype" w:hAnsi="Palatino Linotype" w:hint="default"/>
        <w:sz w:val="21"/>
      </w:rPr>
    </w:lvl>
    <w:lvl w:ilvl="8">
      <w:start w:val="1"/>
      <w:numFmt w:val="decimal"/>
      <w:lvlText w:val="%1.%2.%3.%4.%5.%6.%7.%8.%9"/>
      <w:lvlJc w:val="left"/>
      <w:pPr>
        <w:ind w:left="10440" w:hanging="1800"/>
      </w:pPr>
      <w:rPr>
        <w:rFonts w:ascii="Palatino Linotype" w:hAnsi="Palatino Linotype" w:hint="default"/>
        <w:sz w:val="21"/>
      </w:rPr>
    </w:lvl>
  </w:abstractNum>
  <w:abstractNum w:abstractNumId="13" w15:restartNumberingAfterBreak="0">
    <w:nsid w:val="254D3C23"/>
    <w:multiLevelType w:val="multilevel"/>
    <w:tmpl w:val="9226640E"/>
    <w:lvl w:ilvl="0">
      <w:start w:val="23"/>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C706EE7"/>
    <w:multiLevelType w:val="multilevel"/>
    <w:tmpl w:val="B1442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2C0E94"/>
    <w:multiLevelType w:val="hybridMultilevel"/>
    <w:tmpl w:val="1E341D94"/>
    <w:lvl w:ilvl="0" w:tplc="07C2D78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18A041E"/>
    <w:multiLevelType w:val="multilevel"/>
    <w:tmpl w:val="69206F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2511F8"/>
    <w:multiLevelType w:val="multilevel"/>
    <w:tmpl w:val="3A66C1BC"/>
    <w:lvl w:ilvl="0">
      <w:start w:val="2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43E73AEC"/>
    <w:multiLevelType w:val="hybridMultilevel"/>
    <w:tmpl w:val="E8D0F7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0D34C1"/>
    <w:multiLevelType w:val="hybridMultilevel"/>
    <w:tmpl w:val="42B6A596"/>
    <w:lvl w:ilvl="0" w:tplc="F94C5FAA">
      <w:start w:val="1"/>
      <w:numFmt w:val="decimal"/>
      <w:lvlText w:val="%1."/>
      <w:lvlJc w:val="left"/>
      <w:pPr>
        <w:ind w:left="720" w:hanging="360"/>
      </w:pPr>
      <w:rPr>
        <w:rFonts w:hint="default"/>
        <w:b w:val="0"/>
        <w:i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E15FB4"/>
    <w:multiLevelType w:val="hybridMultilevel"/>
    <w:tmpl w:val="5F9679AE"/>
    <w:lvl w:ilvl="0" w:tplc="45623E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D275FAE"/>
    <w:multiLevelType w:val="hybridMultilevel"/>
    <w:tmpl w:val="87E268BE"/>
    <w:lvl w:ilvl="0" w:tplc="21AADD5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615D0751"/>
    <w:multiLevelType w:val="hybridMultilevel"/>
    <w:tmpl w:val="F37EAC24"/>
    <w:lvl w:ilvl="0" w:tplc="57E0B790">
      <w:start w:val="1"/>
      <w:numFmt w:val="decimal"/>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701592"/>
    <w:multiLevelType w:val="hybridMultilevel"/>
    <w:tmpl w:val="3A2062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B87678"/>
    <w:multiLevelType w:val="hybridMultilevel"/>
    <w:tmpl w:val="44469A1E"/>
    <w:lvl w:ilvl="0" w:tplc="71568F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D70B9F"/>
    <w:multiLevelType w:val="multilevel"/>
    <w:tmpl w:val="96F820B0"/>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num w:numId="1">
    <w:abstractNumId w:val="7"/>
  </w:num>
  <w:num w:numId="2">
    <w:abstractNumId w:val="14"/>
  </w:num>
  <w:num w:numId="3">
    <w:abstractNumId w:val="16"/>
  </w:num>
  <w:num w:numId="4">
    <w:abstractNumId w:val="11"/>
  </w:num>
  <w:num w:numId="5">
    <w:abstractNumId w:val="19"/>
  </w:num>
  <w:num w:numId="6">
    <w:abstractNumId w:val="9"/>
  </w:num>
  <w:num w:numId="7">
    <w:abstractNumId w:val="0"/>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0"/>
  </w:num>
  <w:num w:numId="11">
    <w:abstractNumId w:val="25"/>
  </w:num>
  <w:num w:numId="12">
    <w:abstractNumId w:val="23"/>
  </w:num>
  <w:num w:numId="13">
    <w:abstractNumId w:val="21"/>
  </w:num>
  <w:num w:numId="14">
    <w:abstractNumId w:val="2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7"/>
  </w:num>
  <w:num w:numId="18">
    <w:abstractNumId w:val="5"/>
  </w:num>
  <w:num w:numId="19">
    <w:abstractNumId w:val="3"/>
  </w:num>
  <w:num w:numId="20">
    <w:abstractNumId w:val="1"/>
  </w:num>
  <w:num w:numId="21">
    <w:abstractNumId w:val="18"/>
  </w:num>
  <w:num w:numId="22">
    <w:abstractNumId w:val="24"/>
  </w:num>
  <w:num w:numId="23">
    <w:abstractNumId w:val="13"/>
  </w:num>
  <w:num w:numId="24">
    <w:abstractNumId w:val="8"/>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567"/>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8A8"/>
    <w:rsid w:val="00000176"/>
    <w:rsid w:val="000145C2"/>
    <w:rsid w:val="000309D6"/>
    <w:rsid w:val="000369D8"/>
    <w:rsid w:val="000541B6"/>
    <w:rsid w:val="0005791A"/>
    <w:rsid w:val="00080299"/>
    <w:rsid w:val="000810DE"/>
    <w:rsid w:val="000846B3"/>
    <w:rsid w:val="00084A23"/>
    <w:rsid w:val="000938D8"/>
    <w:rsid w:val="000A1A05"/>
    <w:rsid w:val="000A2831"/>
    <w:rsid w:val="000A4361"/>
    <w:rsid w:val="000B4C80"/>
    <w:rsid w:val="000C20BA"/>
    <w:rsid w:val="000D2E45"/>
    <w:rsid w:val="000E014F"/>
    <w:rsid w:val="000F02ED"/>
    <w:rsid w:val="000F1013"/>
    <w:rsid w:val="0010734D"/>
    <w:rsid w:val="00107A02"/>
    <w:rsid w:val="001258C1"/>
    <w:rsid w:val="00125A71"/>
    <w:rsid w:val="00136CFD"/>
    <w:rsid w:val="00137C03"/>
    <w:rsid w:val="001435DA"/>
    <w:rsid w:val="00150036"/>
    <w:rsid w:val="00154154"/>
    <w:rsid w:val="00161C77"/>
    <w:rsid w:val="00181F9F"/>
    <w:rsid w:val="00183C2B"/>
    <w:rsid w:val="00184131"/>
    <w:rsid w:val="00196DFE"/>
    <w:rsid w:val="001A162D"/>
    <w:rsid w:val="001B019E"/>
    <w:rsid w:val="001B0EA7"/>
    <w:rsid w:val="001B4EB8"/>
    <w:rsid w:val="001B694C"/>
    <w:rsid w:val="001C42A8"/>
    <w:rsid w:val="001C6C74"/>
    <w:rsid w:val="001D237A"/>
    <w:rsid w:val="001E41C4"/>
    <w:rsid w:val="001E5A84"/>
    <w:rsid w:val="001E7845"/>
    <w:rsid w:val="001F0055"/>
    <w:rsid w:val="001F1BB0"/>
    <w:rsid w:val="001F53CD"/>
    <w:rsid w:val="00217F91"/>
    <w:rsid w:val="00220DFA"/>
    <w:rsid w:val="00223BA6"/>
    <w:rsid w:val="00234E7B"/>
    <w:rsid w:val="00251944"/>
    <w:rsid w:val="00264077"/>
    <w:rsid w:val="0026772F"/>
    <w:rsid w:val="00274AF1"/>
    <w:rsid w:val="002811D8"/>
    <w:rsid w:val="002C26BE"/>
    <w:rsid w:val="002D4E54"/>
    <w:rsid w:val="002E194F"/>
    <w:rsid w:val="002F146C"/>
    <w:rsid w:val="002F4AC8"/>
    <w:rsid w:val="00307B9F"/>
    <w:rsid w:val="0032113A"/>
    <w:rsid w:val="00322670"/>
    <w:rsid w:val="00324F51"/>
    <w:rsid w:val="00326E96"/>
    <w:rsid w:val="00341804"/>
    <w:rsid w:val="00352167"/>
    <w:rsid w:val="00354C1A"/>
    <w:rsid w:val="00370F36"/>
    <w:rsid w:val="003732A6"/>
    <w:rsid w:val="00384D15"/>
    <w:rsid w:val="00385F74"/>
    <w:rsid w:val="00390294"/>
    <w:rsid w:val="00392350"/>
    <w:rsid w:val="003974AF"/>
    <w:rsid w:val="003A588F"/>
    <w:rsid w:val="003B24C7"/>
    <w:rsid w:val="003B6DA5"/>
    <w:rsid w:val="003C5F4E"/>
    <w:rsid w:val="003D3BC6"/>
    <w:rsid w:val="003E0BFF"/>
    <w:rsid w:val="003F0B91"/>
    <w:rsid w:val="003F2205"/>
    <w:rsid w:val="00400B8D"/>
    <w:rsid w:val="0040282C"/>
    <w:rsid w:val="00404168"/>
    <w:rsid w:val="0040608D"/>
    <w:rsid w:val="00406CF1"/>
    <w:rsid w:val="00422F08"/>
    <w:rsid w:val="004319E6"/>
    <w:rsid w:val="004606BB"/>
    <w:rsid w:val="004644E3"/>
    <w:rsid w:val="00466C6E"/>
    <w:rsid w:val="004779B9"/>
    <w:rsid w:val="00483A43"/>
    <w:rsid w:val="00490130"/>
    <w:rsid w:val="00495188"/>
    <w:rsid w:val="004D7B3D"/>
    <w:rsid w:val="004E4039"/>
    <w:rsid w:val="004E5A1E"/>
    <w:rsid w:val="005028F7"/>
    <w:rsid w:val="0051235C"/>
    <w:rsid w:val="005229A5"/>
    <w:rsid w:val="00522B6B"/>
    <w:rsid w:val="00530B4D"/>
    <w:rsid w:val="00537E26"/>
    <w:rsid w:val="00551B95"/>
    <w:rsid w:val="00552CBB"/>
    <w:rsid w:val="005538CA"/>
    <w:rsid w:val="005762C1"/>
    <w:rsid w:val="005768A8"/>
    <w:rsid w:val="00584C30"/>
    <w:rsid w:val="005C2942"/>
    <w:rsid w:val="005C6630"/>
    <w:rsid w:val="005D2C66"/>
    <w:rsid w:val="005D37BA"/>
    <w:rsid w:val="005E1815"/>
    <w:rsid w:val="005E4145"/>
    <w:rsid w:val="005E49E8"/>
    <w:rsid w:val="005E5D7D"/>
    <w:rsid w:val="005F58A8"/>
    <w:rsid w:val="00612886"/>
    <w:rsid w:val="00615DE3"/>
    <w:rsid w:val="0062051A"/>
    <w:rsid w:val="00634C2F"/>
    <w:rsid w:val="00640EFF"/>
    <w:rsid w:val="0065213A"/>
    <w:rsid w:val="00662508"/>
    <w:rsid w:val="00666367"/>
    <w:rsid w:val="00690CBF"/>
    <w:rsid w:val="00694006"/>
    <w:rsid w:val="006A3FF3"/>
    <w:rsid w:val="006B039B"/>
    <w:rsid w:val="006B62B8"/>
    <w:rsid w:val="006B6FAD"/>
    <w:rsid w:val="006C2DBD"/>
    <w:rsid w:val="006C4C68"/>
    <w:rsid w:val="006D6B73"/>
    <w:rsid w:val="006E327E"/>
    <w:rsid w:val="006F03DC"/>
    <w:rsid w:val="006F0F06"/>
    <w:rsid w:val="00706C28"/>
    <w:rsid w:val="007161E9"/>
    <w:rsid w:val="00716F26"/>
    <w:rsid w:val="00721BC7"/>
    <w:rsid w:val="00743062"/>
    <w:rsid w:val="00750EE6"/>
    <w:rsid w:val="00757E3C"/>
    <w:rsid w:val="00762FF6"/>
    <w:rsid w:val="007641BC"/>
    <w:rsid w:val="00764A77"/>
    <w:rsid w:val="00772913"/>
    <w:rsid w:val="00776FFF"/>
    <w:rsid w:val="00784AAA"/>
    <w:rsid w:val="0078744F"/>
    <w:rsid w:val="0079676D"/>
    <w:rsid w:val="00797588"/>
    <w:rsid w:val="007A6FFD"/>
    <w:rsid w:val="007B3865"/>
    <w:rsid w:val="007C7753"/>
    <w:rsid w:val="007D1DD6"/>
    <w:rsid w:val="007D21C7"/>
    <w:rsid w:val="007E4A37"/>
    <w:rsid w:val="007F3DFF"/>
    <w:rsid w:val="00800C2D"/>
    <w:rsid w:val="00817C27"/>
    <w:rsid w:val="00820C1C"/>
    <w:rsid w:val="00823534"/>
    <w:rsid w:val="00826E6D"/>
    <w:rsid w:val="00827312"/>
    <w:rsid w:val="0083185F"/>
    <w:rsid w:val="00833EAF"/>
    <w:rsid w:val="0083415D"/>
    <w:rsid w:val="00844D46"/>
    <w:rsid w:val="0085019F"/>
    <w:rsid w:val="0085443A"/>
    <w:rsid w:val="00861CA7"/>
    <w:rsid w:val="00865A01"/>
    <w:rsid w:val="00873D69"/>
    <w:rsid w:val="00883730"/>
    <w:rsid w:val="00883D71"/>
    <w:rsid w:val="008852C4"/>
    <w:rsid w:val="0089306C"/>
    <w:rsid w:val="008A3019"/>
    <w:rsid w:val="008D343D"/>
    <w:rsid w:val="008D3DA4"/>
    <w:rsid w:val="008E4A7F"/>
    <w:rsid w:val="008E4AEF"/>
    <w:rsid w:val="009155B1"/>
    <w:rsid w:val="009211C9"/>
    <w:rsid w:val="00930DE0"/>
    <w:rsid w:val="00934B36"/>
    <w:rsid w:val="00954848"/>
    <w:rsid w:val="009553DE"/>
    <w:rsid w:val="00966DAD"/>
    <w:rsid w:val="0096739B"/>
    <w:rsid w:val="0097417E"/>
    <w:rsid w:val="009743F6"/>
    <w:rsid w:val="00994EB4"/>
    <w:rsid w:val="009B4988"/>
    <w:rsid w:val="009D0219"/>
    <w:rsid w:val="009E0750"/>
    <w:rsid w:val="009E4741"/>
    <w:rsid w:val="009E71BF"/>
    <w:rsid w:val="009F4198"/>
    <w:rsid w:val="009F5C3A"/>
    <w:rsid w:val="009F5C7F"/>
    <w:rsid w:val="009F72A7"/>
    <w:rsid w:val="00A01D01"/>
    <w:rsid w:val="00A04900"/>
    <w:rsid w:val="00A06288"/>
    <w:rsid w:val="00A36141"/>
    <w:rsid w:val="00A3620B"/>
    <w:rsid w:val="00A4121F"/>
    <w:rsid w:val="00A448B8"/>
    <w:rsid w:val="00A524FF"/>
    <w:rsid w:val="00A53200"/>
    <w:rsid w:val="00A67513"/>
    <w:rsid w:val="00A74046"/>
    <w:rsid w:val="00A75C95"/>
    <w:rsid w:val="00A84401"/>
    <w:rsid w:val="00A85515"/>
    <w:rsid w:val="00A97928"/>
    <w:rsid w:val="00AA4F28"/>
    <w:rsid w:val="00AB1224"/>
    <w:rsid w:val="00AB4491"/>
    <w:rsid w:val="00AB7458"/>
    <w:rsid w:val="00AC0E47"/>
    <w:rsid w:val="00AC2E78"/>
    <w:rsid w:val="00AC3D06"/>
    <w:rsid w:val="00AC6DC1"/>
    <w:rsid w:val="00AC7488"/>
    <w:rsid w:val="00AD685D"/>
    <w:rsid w:val="00AE155E"/>
    <w:rsid w:val="00AF198A"/>
    <w:rsid w:val="00AF77CA"/>
    <w:rsid w:val="00B071B7"/>
    <w:rsid w:val="00B177F1"/>
    <w:rsid w:val="00B35B1C"/>
    <w:rsid w:val="00B674E3"/>
    <w:rsid w:val="00B67633"/>
    <w:rsid w:val="00B80CA5"/>
    <w:rsid w:val="00B8555E"/>
    <w:rsid w:val="00B974DA"/>
    <w:rsid w:val="00B976C5"/>
    <w:rsid w:val="00BA1A2C"/>
    <w:rsid w:val="00BA2E12"/>
    <w:rsid w:val="00BA2EFD"/>
    <w:rsid w:val="00BA4776"/>
    <w:rsid w:val="00BA4996"/>
    <w:rsid w:val="00BB1463"/>
    <w:rsid w:val="00BC7A66"/>
    <w:rsid w:val="00BE2199"/>
    <w:rsid w:val="00BE225B"/>
    <w:rsid w:val="00BE3243"/>
    <w:rsid w:val="00BF11AC"/>
    <w:rsid w:val="00BF4408"/>
    <w:rsid w:val="00C01199"/>
    <w:rsid w:val="00C149B9"/>
    <w:rsid w:val="00C1630D"/>
    <w:rsid w:val="00C871AF"/>
    <w:rsid w:val="00C92F64"/>
    <w:rsid w:val="00C9312F"/>
    <w:rsid w:val="00C952D2"/>
    <w:rsid w:val="00CB09CA"/>
    <w:rsid w:val="00CB500A"/>
    <w:rsid w:val="00CB60D1"/>
    <w:rsid w:val="00CC71B6"/>
    <w:rsid w:val="00CD144E"/>
    <w:rsid w:val="00CD4DDA"/>
    <w:rsid w:val="00CE0480"/>
    <w:rsid w:val="00CE1CE1"/>
    <w:rsid w:val="00CE2B30"/>
    <w:rsid w:val="00D00B68"/>
    <w:rsid w:val="00D05EB1"/>
    <w:rsid w:val="00D252EA"/>
    <w:rsid w:val="00D2559E"/>
    <w:rsid w:val="00D309A6"/>
    <w:rsid w:val="00D51724"/>
    <w:rsid w:val="00D51CD1"/>
    <w:rsid w:val="00D5724A"/>
    <w:rsid w:val="00D9534D"/>
    <w:rsid w:val="00DB0BA1"/>
    <w:rsid w:val="00DB2710"/>
    <w:rsid w:val="00DB606A"/>
    <w:rsid w:val="00DC0B74"/>
    <w:rsid w:val="00DE3D43"/>
    <w:rsid w:val="00DE7223"/>
    <w:rsid w:val="00E013E6"/>
    <w:rsid w:val="00E03F82"/>
    <w:rsid w:val="00E27187"/>
    <w:rsid w:val="00E35289"/>
    <w:rsid w:val="00E450D9"/>
    <w:rsid w:val="00E45D16"/>
    <w:rsid w:val="00E46B0A"/>
    <w:rsid w:val="00E568E1"/>
    <w:rsid w:val="00E60A78"/>
    <w:rsid w:val="00E61B9A"/>
    <w:rsid w:val="00E67D95"/>
    <w:rsid w:val="00E8720B"/>
    <w:rsid w:val="00E9155E"/>
    <w:rsid w:val="00E94281"/>
    <w:rsid w:val="00E971B7"/>
    <w:rsid w:val="00EA4216"/>
    <w:rsid w:val="00EB19BF"/>
    <w:rsid w:val="00EB413A"/>
    <w:rsid w:val="00EB6394"/>
    <w:rsid w:val="00ED3E4E"/>
    <w:rsid w:val="00ED483D"/>
    <w:rsid w:val="00ED598F"/>
    <w:rsid w:val="00ED6F9D"/>
    <w:rsid w:val="00ED7BDE"/>
    <w:rsid w:val="00EE04B7"/>
    <w:rsid w:val="00EE11FE"/>
    <w:rsid w:val="00EE31EB"/>
    <w:rsid w:val="00F047D6"/>
    <w:rsid w:val="00F13FF9"/>
    <w:rsid w:val="00F16456"/>
    <w:rsid w:val="00F164E6"/>
    <w:rsid w:val="00F23297"/>
    <w:rsid w:val="00F364C8"/>
    <w:rsid w:val="00F373EF"/>
    <w:rsid w:val="00F4658E"/>
    <w:rsid w:val="00F46FBF"/>
    <w:rsid w:val="00F65AC4"/>
    <w:rsid w:val="00F7265C"/>
    <w:rsid w:val="00F77059"/>
    <w:rsid w:val="00F808DA"/>
    <w:rsid w:val="00F81A57"/>
    <w:rsid w:val="00F85C13"/>
    <w:rsid w:val="00F85F93"/>
    <w:rsid w:val="00F86605"/>
    <w:rsid w:val="00F90D40"/>
    <w:rsid w:val="00FA28E7"/>
    <w:rsid w:val="00FA2B9B"/>
    <w:rsid w:val="00FA2F62"/>
    <w:rsid w:val="00FB298A"/>
    <w:rsid w:val="00FB47B1"/>
    <w:rsid w:val="00FB48A2"/>
    <w:rsid w:val="00FB5A46"/>
    <w:rsid w:val="00FC12B9"/>
    <w:rsid w:val="00FC3578"/>
    <w:rsid w:val="00FF4F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ABAD6"/>
  <w15:docId w15:val="{65037C32-B461-4A2D-8A89-060899ED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sz w:val="24"/>
      <w:szCs w:val="24"/>
      <w:lang w:eastAsia="en-US"/>
    </w:rPr>
  </w:style>
  <w:style w:type="paragraph" w:styleId="Heading1">
    <w:name w:val="heading 1"/>
    <w:basedOn w:val="Normal"/>
    <w:next w:val="Normal"/>
    <w:pPr>
      <w:keepNext/>
      <w:spacing w:before="240" w:after="60"/>
      <w:outlineLvl w:val="0"/>
    </w:pPr>
    <w:rPr>
      <w:rFonts w:ascii="Arial" w:hAnsi="Arial" w:cs="Arial"/>
      <w:b/>
      <w:bCs/>
      <w:kern w:val="3"/>
      <w:sz w:val="32"/>
      <w:szCs w:val="32"/>
    </w:rPr>
  </w:style>
  <w:style w:type="paragraph" w:styleId="Heading3">
    <w:name w:val="heading 3"/>
    <w:basedOn w:val="Normal"/>
    <w:next w:val="Normal"/>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aLevel1">
    <w:name w:val="ParaLevel1"/>
    <w:basedOn w:val="Normal"/>
    <w:pPr>
      <w:numPr>
        <w:numId w:val="1"/>
      </w:numPr>
      <w:spacing w:before="240" w:after="240" w:line="480" w:lineRule="auto"/>
      <w:jc w:val="both"/>
      <w:outlineLvl w:val="0"/>
    </w:pPr>
    <w:rPr>
      <w:szCs w:val="20"/>
    </w:rPr>
  </w:style>
  <w:style w:type="paragraph" w:customStyle="1" w:styleId="ParaLevel2">
    <w:name w:val="ParaLevel2"/>
    <w:basedOn w:val="Normal"/>
    <w:pPr>
      <w:numPr>
        <w:ilvl w:val="1"/>
        <w:numId w:val="1"/>
      </w:numPr>
      <w:spacing w:before="240" w:after="240" w:line="480" w:lineRule="auto"/>
      <w:jc w:val="both"/>
      <w:outlineLvl w:val="1"/>
    </w:pPr>
    <w:rPr>
      <w:szCs w:val="20"/>
    </w:rPr>
  </w:style>
  <w:style w:type="paragraph" w:customStyle="1" w:styleId="ParaLevel3">
    <w:name w:val="ParaLevel3"/>
    <w:basedOn w:val="Normal"/>
    <w:pPr>
      <w:numPr>
        <w:ilvl w:val="2"/>
        <w:numId w:val="1"/>
      </w:numPr>
      <w:spacing w:before="240" w:after="240" w:line="480" w:lineRule="auto"/>
      <w:jc w:val="both"/>
      <w:outlineLvl w:val="2"/>
    </w:pPr>
    <w:rPr>
      <w:szCs w:val="20"/>
    </w:rPr>
  </w:style>
  <w:style w:type="paragraph" w:customStyle="1" w:styleId="ParaLevel4">
    <w:name w:val="ParaLevel4"/>
    <w:basedOn w:val="Normal"/>
    <w:pPr>
      <w:numPr>
        <w:ilvl w:val="3"/>
        <w:numId w:val="1"/>
      </w:numPr>
      <w:tabs>
        <w:tab w:val="left" w:pos="0"/>
      </w:tabs>
      <w:spacing w:before="240" w:after="240" w:line="480" w:lineRule="auto"/>
      <w:jc w:val="both"/>
      <w:outlineLvl w:val="3"/>
    </w:pPr>
    <w:rPr>
      <w:szCs w:val="20"/>
    </w:rPr>
  </w:style>
  <w:style w:type="paragraph" w:customStyle="1" w:styleId="ParaLevel5">
    <w:name w:val="ParaLevel5"/>
    <w:basedOn w:val="Normal"/>
    <w:pPr>
      <w:numPr>
        <w:ilvl w:val="4"/>
        <w:numId w:val="1"/>
      </w:numPr>
      <w:spacing w:before="240" w:after="240" w:line="480" w:lineRule="auto"/>
      <w:jc w:val="both"/>
      <w:outlineLvl w:val="4"/>
    </w:pPr>
    <w:rPr>
      <w:szCs w:val="20"/>
    </w:rPr>
  </w:style>
  <w:style w:type="paragraph" w:customStyle="1" w:styleId="ParaLevel6">
    <w:name w:val="ParaLevel6"/>
    <w:basedOn w:val="Normal"/>
    <w:pPr>
      <w:numPr>
        <w:ilvl w:val="5"/>
        <w:numId w:val="1"/>
      </w:numPr>
      <w:tabs>
        <w:tab w:val="left" w:pos="0"/>
      </w:tabs>
      <w:spacing w:before="240" w:after="240" w:line="480" w:lineRule="auto"/>
      <w:jc w:val="both"/>
      <w:outlineLvl w:val="5"/>
    </w:pPr>
    <w:rPr>
      <w:szCs w:val="20"/>
    </w:rPr>
  </w:style>
  <w:style w:type="paragraph" w:customStyle="1" w:styleId="ParaLevel7">
    <w:name w:val="ParaLevel7"/>
    <w:basedOn w:val="Normal"/>
    <w:pPr>
      <w:numPr>
        <w:ilvl w:val="6"/>
        <w:numId w:val="1"/>
      </w:numPr>
      <w:spacing w:before="240" w:after="240" w:line="480" w:lineRule="auto"/>
      <w:jc w:val="both"/>
      <w:outlineLvl w:val="6"/>
    </w:pPr>
    <w:rPr>
      <w:szCs w:val="20"/>
    </w:rPr>
  </w:style>
  <w:style w:type="paragraph" w:customStyle="1" w:styleId="ParaLevel8">
    <w:name w:val="ParaLevel8"/>
    <w:basedOn w:val="Normal"/>
    <w:pPr>
      <w:numPr>
        <w:ilvl w:val="7"/>
        <w:numId w:val="1"/>
      </w:numPr>
      <w:tabs>
        <w:tab w:val="left" w:pos="0"/>
      </w:tabs>
      <w:spacing w:before="240" w:after="240" w:line="480" w:lineRule="auto"/>
      <w:jc w:val="both"/>
      <w:outlineLvl w:val="7"/>
    </w:pPr>
    <w:rPr>
      <w:szCs w:val="20"/>
    </w:rPr>
  </w:style>
  <w:style w:type="paragraph" w:customStyle="1" w:styleId="ParaLevel9">
    <w:name w:val="ParaLevel9"/>
    <w:basedOn w:val="Normal"/>
    <w:pPr>
      <w:numPr>
        <w:ilvl w:val="8"/>
        <w:numId w:val="1"/>
      </w:numPr>
      <w:spacing w:before="240" w:after="240" w:line="480" w:lineRule="auto"/>
      <w:jc w:val="both"/>
      <w:outlineLvl w:val="8"/>
    </w:pPr>
    <w:rPr>
      <w:szCs w:val="20"/>
    </w:rPr>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pPr>
      <w:pBdr>
        <w:top w:val="single" w:sz="6" w:space="1" w:color="000000"/>
        <w:left w:val="single" w:sz="6" w:space="1" w:color="000000"/>
        <w:bottom w:val="single" w:sz="6" w:space="1" w:color="000000"/>
        <w:right w:val="single" w:sz="6" w:space="1" w:color="000000"/>
      </w:pBdr>
      <w:jc w:val="center"/>
    </w:pPr>
    <w:rPr>
      <w:b/>
      <w:sz w:val="20"/>
    </w:rPr>
  </w:style>
  <w:style w:type="paragraph" w:styleId="ListParagraph">
    <w:name w:val="List Paragraph"/>
    <w:basedOn w:val="Normal"/>
    <w:uiPriority w:val="34"/>
    <w:qFormat/>
    <w:pPr>
      <w:spacing w:line="276" w:lineRule="auto"/>
      <w:ind w:left="720"/>
      <w:jc w:val="both"/>
    </w:pPr>
    <w:rPr>
      <w:rFonts w:ascii="Palatino Linotype" w:eastAsia="Calibri" w:hAnsi="Palatino Linotype"/>
      <w:sz w:val="21"/>
      <w:szCs w:val="22"/>
    </w:rPr>
  </w:style>
  <w:style w:type="paragraph" w:customStyle="1" w:styleId="eMailBlock">
    <w:name w:val="eMailBlock"/>
    <w:basedOn w:val="Title"/>
    <w:rPr>
      <w:sz w:val="26"/>
    </w:rPr>
  </w:style>
  <w:style w:type="character" w:customStyle="1" w:styleId="FooterChar">
    <w:name w:val="Footer Char"/>
    <w:rPr>
      <w:rFonts w:ascii="Univers (W1)" w:hAnsi="Univers (W1)"/>
      <w:sz w:val="24"/>
      <w:lang w:eastAsia="en-US"/>
    </w:rPr>
  </w:style>
  <w:style w:type="character" w:styleId="Hyperlink">
    <w:name w:val="Hyperlink"/>
    <w:rPr>
      <w:color w:val="0000FF"/>
      <w:u w:val="single"/>
    </w:rPr>
  </w:style>
  <w:style w:type="paragraph" w:styleId="FootnoteText">
    <w:name w:val="footnote text"/>
    <w:basedOn w:val="Normal"/>
    <w:link w:val="FootnoteTextChar"/>
    <w:uiPriority w:val="99"/>
    <w:semiHidden/>
    <w:unhideWhenUsed/>
    <w:rsid w:val="0085443A"/>
    <w:pPr>
      <w:suppressAutoHyphens w:val="0"/>
      <w:autoSpaceDN/>
      <w:spacing w:after="200" w:line="276" w:lineRule="auto"/>
      <w:textAlignment w:val="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5443A"/>
    <w:rPr>
      <w:rFonts w:ascii="Calibri" w:eastAsia="Calibri" w:hAnsi="Calibri"/>
      <w:lang w:eastAsia="en-US"/>
    </w:rPr>
  </w:style>
  <w:style w:type="character" w:styleId="FootnoteReference">
    <w:name w:val="footnote reference"/>
    <w:uiPriority w:val="99"/>
    <w:semiHidden/>
    <w:unhideWhenUsed/>
    <w:rsid w:val="0085443A"/>
    <w:rPr>
      <w:vertAlign w:val="superscript"/>
    </w:rPr>
  </w:style>
  <w:style w:type="character" w:customStyle="1" w:styleId="UnresolvedMention1">
    <w:name w:val="Unresolved Mention1"/>
    <w:basedOn w:val="DefaultParagraphFont"/>
    <w:uiPriority w:val="99"/>
    <w:semiHidden/>
    <w:unhideWhenUsed/>
    <w:rsid w:val="00A06288"/>
    <w:rPr>
      <w:color w:val="605E5C"/>
      <w:shd w:val="clear" w:color="auto" w:fill="E1DFDD"/>
    </w:rPr>
  </w:style>
  <w:style w:type="character" w:styleId="PageNumber">
    <w:name w:val="page number"/>
    <w:rsid w:val="00352167"/>
    <w:rPr>
      <w:sz w:val="20"/>
    </w:rPr>
  </w:style>
  <w:style w:type="character" w:styleId="UnresolvedMention">
    <w:name w:val="Unresolved Mention"/>
    <w:basedOn w:val="DefaultParagraphFont"/>
    <w:uiPriority w:val="99"/>
    <w:semiHidden/>
    <w:unhideWhenUsed/>
    <w:rsid w:val="00CE1CE1"/>
    <w:rPr>
      <w:color w:val="605E5C"/>
      <w:shd w:val="clear" w:color="auto" w:fill="E1DFDD"/>
    </w:rPr>
  </w:style>
  <w:style w:type="character" w:styleId="FollowedHyperlink">
    <w:name w:val="FollowedHyperlink"/>
    <w:basedOn w:val="DefaultParagraphFont"/>
    <w:uiPriority w:val="99"/>
    <w:semiHidden/>
    <w:unhideWhenUsed/>
    <w:rsid w:val="000B4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3931">
      <w:bodyDiv w:val="1"/>
      <w:marLeft w:val="0"/>
      <w:marRight w:val="0"/>
      <w:marTop w:val="0"/>
      <w:marBottom w:val="0"/>
      <w:divBdr>
        <w:top w:val="none" w:sz="0" w:space="0" w:color="auto"/>
        <w:left w:val="none" w:sz="0" w:space="0" w:color="auto"/>
        <w:bottom w:val="none" w:sz="0" w:space="0" w:color="auto"/>
        <w:right w:val="none" w:sz="0" w:space="0" w:color="auto"/>
      </w:divBdr>
    </w:div>
    <w:div w:id="312951178">
      <w:bodyDiv w:val="1"/>
      <w:marLeft w:val="0"/>
      <w:marRight w:val="0"/>
      <w:marTop w:val="0"/>
      <w:marBottom w:val="0"/>
      <w:divBdr>
        <w:top w:val="none" w:sz="0" w:space="0" w:color="auto"/>
        <w:left w:val="none" w:sz="0" w:space="0" w:color="auto"/>
        <w:bottom w:val="none" w:sz="0" w:space="0" w:color="auto"/>
        <w:right w:val="none" w:sz="0" w:space="0" w:color="auto"/>
      </w:divBdr>
      <w:divsChild>
        <w:div w:id="336924467">
          <w:marLeft w:val="0"/>
          <w:marRight w:val="0"/>
          <w:marTop w:val="0"/>
          <w:marBottom w:val="0"/>
          <w:divBdr>
            <w:top w:val="none" w:sz="0" w:space="0" w:color="auto"/>
            <w:left w:val="none" w:sz="0" w:space="0" w:color="auto"/>
            <w:bottom w:val="none" w:sz="0" w:space="0" w:color="auto"/>
            <w:right w:val="none" w:sz="0" w:space="0" w:color="auto"/>
          </w:divBdr>
        </w:div>
      </w:divsChild>
    </w:div>
    <w:div w:id="370230860">
      <w:bodyDiv w:val="1"/>
      <w:marLeft w:val="0"/>
      <w:marRight w:val="0"/>
      <w:marTop w:val="0"/>
      <w:marBottom w:val="0"/>
      <w:divBdr>
        <w:top w:val="none" w:sz="0" w:space="0" w:color="auto"/>
        <w:left w:val="none" w:sz="0" w:space="0" w:color="auto"/>
        <w:bottom w:val="none" w:sz="0" w:space="0" w:color="auto"/>
        <w:right w:val="none" w:sz="0" w:space="0" w:color="auto"/>
      </w:divBdr>
      <w:divsChild>
        <w:div w:id="294530922">
          <w:marLeft w:val="0"/>
          <w:marRight w:val="0"/>
          <w:marTop w:val="240"/>
          <w:marBottom w:val="240"/>
          <w:divBdr>
            <w:top w:val="none" w:sz="0" w:space="0" w:color="auto"/>
            <w:left w:val="none" w:sz="0" w:space="0" w:color="auto"/>
            <w:bottom w:val="none" w:sz="0" w:space="0" w:color="auto"/>
            <w:right w:val="none" w:sz="0" w:space="0" w:color="auto"/>
          </w:divBdr>
          <w:divsChild>
            <w:div w:id="1613392717">
              <w:marLeft w:val="0"/>
              <w:marRight w:val="0"/>
              <w:marTop w:val="240"/>
              <w:marBottom w:val="240"/>
              <w:divBdr>
                <w:top w:val="none" w:sz="0" w:space="0" w:color="auto"/>
                <w:left w:val="none" w:sz="0" w:space="0" w:color="auto"/>
                <w:bottom w:val="none" w:sz="0" w:space="0" w:color="auto"/>
                <w:right w:val="none" w:sz="0" w:space="0" w:color="auto"/>
              </w:divBdr>
            </w:div>
          </w:divsChild>
        </w:div>
        <w:div w:id="99300550">
          <w:marLeft w:val="0"/>
          <w:marRight w:val="0"/>
          <w:marTop w:val="240"/>
          <w:marBottom w:val="240"/>
          <w:divBdr>
            <w:top w:val="none" w:sz="0" w:space="0" w:color="auto"/>
            <w:left w:val="none" w:sz="0" w:space="0" w:color="auto"/>
            <w:bottom w:val="none" w:sz="0" w:space="0" w:color="auto"/>
            <w:right w:val="none" w:sz="0" w:space="0" w:color="auto"/>
          </w:divBdr>
          <w:divsChild>
            <w:div w:id="252738522">
              <w:marLeft w:val="0"/>
              <w:marRight w:val="0"/>
              <w:marTop w:val="240"/>
              <w:marBottom w:val="240"/>
              <w:divBdr>
                <w:top w:val="none" w:sz="0" w:space="0" w:color="auto"/>
                <w:left w:val="none" w:sz="0" w:space="0" w:color="auto"/>
                <w:bottom w:val="none" w:sz="0" w:space="0" w:color="auto"/>
                <w:right w:val="none" w:sz="0" w:space="0" w:color="auto"/>
              </w:divBdr>
            </w:div>
          </w:divsChild>
        </w:div>
        <w:div w:id="1469517586">
          <w:marLeft w:val="0"/>
          <w:marRight w:val="0"/>
          <w:marTop w:val="240"/>
          <w:marBottom w:val="240"/>
          <w:divBdr>
            <w:top w:val="none" w:sz="0" w:space="0" w:color="auto"/>
            <w:left w:val="none" w:sz="0" w:space="0" w:color="auto"/>
            <w:bottom w:val="none" w:sz="0" w:space="0" w:color="auto"/>
            <w:right w:val="none" w:sz="0" w:space="0" w:color="auto"/>
          </w:divBdr>
          <w:divsChild>
            <w:div w:id="823543285">
              <w:marLeft w:val="0"/>
              <w:marRight w:val="0"/>
              <w:marTop w:val="240"/>
              <w:marBottom w:val="240"/>
              <w:divBdr>
                <w:top w:val="none" w:sz="0" w:space="0" w:color="auto"/>
                <w:left w:val="none" w:sz="0" w:space="0" w:color="auto"/>
                <w:bottom w:val="none" w:sz="0" w:space="0" w:color="auto"/>
                <w:right w:val="none" w:sz="0" w:space="0" w:color="auto"/>
              </w:divBdr>
            </w:div>
          </w:divsChild>
        </w:div>
        <w:div w:id="1544948687">
          <w:marLeft w:val="0"/>
          <w:marRight w:val="0"/>
          <w:marTop w:val="240"/>
          <w:marBottom w:val="240"/>
          <w:divBdr>
            <w:top w:val="none" w:sz="0" w:space="0" w:color="auto"/>
            <w:left w:val="none" w:sz="0" w:space="0" w:color="auto"/>
            <w:bottom w:val="none" w:sz="0" w:space="0" w:color="auto"/>
            <w:right w:val="none" w:sz="0" w:space="0" w:color="auto"/>
          </w:divBdr>
          <w:divsChild>
            <w:div w:id="6056237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3188297">
      <w:bodyDiv w:val="1"/>
      <w:marLeft w:val="0"/>
      <w:marRight w:val="0"/>
      <w:marTop w:val="0"/>
      <w:marBottom w:val="0"/>
      <w:divBdr>
        <w:top w:val="none" w:sz="0" w:space="0" w:color="auto"/>
        <w:left w:val="none" w:sz="0" w:space="0" w:color="auto"/>
        <w:bottom w:val="none" w:sz="0" w:space="0" w:color="auto"/>
        <w:right w:val="none" w:sz="0" w:space="0" w:color="auto"/>
      </w:divBdr>
    </w:div>
    <w:div w:id="777673956">
      <w:bodyDiv w:val="1"/>
      <w:marLeft w:val="0"/>
      <w:marRight w:val="0"/>
      <w:marTop w:val="0"/>
      <w:marBottom w:val="0"/>
      <w:divBdr>
        <w:top w:val="none" w:sz="0" w:space="0" w:color="auto"/>
        <w:left w:val="none" w:sz="0" w:space="0" w:color="auto"/>
        <w:bottom w:val="none" w:sz="0" w:space="0" w:color="auto"/>
        <w:right w:val="none" w:sz="0" w:space="0" w:color="auto"/>
      </w:divBdr>
    </w:div>
    <w:div w:id="1191450965">
      <w:bodyDiv w:val="1"/>
      <w:marLeft w:val="0"/>
      <w:marRight w:val="0"/>
      <w:marTop w:val="0"/>
      <w:marBottom w:val="0"/>
      <w:divBdr>
        <w:top w:val="none" w:sz="0" w:space="0" w:color="auto"/>
        <w:left w:val="none" w:sz="0" w:space="0" w:color="auto"/>
        <w:bottom w:val="none" w:sz="0" w:space="0" w:color="auto"/>
        <w:right w:val="none" w:sz="0" w:space="0" w:color="auto"/>
      </w:divBdr>
    </w:div>
    <w:div w:id="1248463117">
      <w:bodyDiv w:val="1"/>
      <w:marLeft w:val="0"/>
      <w:marRight w:val="0"/>
      <w:marTop w:val="0"/>
      <w:marBottom w:val="0"/>
      <w:divBdr>
        <w:top w:val="none" w:sz="0" w:space="0" w:color="auto"/>
        <w:left w:val="none" w:sz="0" w:space="0" w:color="auto"/>
        <w:bottom w:val="none" w:sz="0" w:space="0" w:color="auto"/>
        <w:right w:val="none" w:sz="0" w:space="0" w:color="auto"/>
      </w:divBdr>
      <w:divsChild>
        <w:div w:id="1893610388">
          <w:marLeft w:val="0"/>
          <w:marRight w:val="0"/>
          <w:marTop w:val="240"/>
          <w:marBottom w:val="240"/>
          <w:divBdr>
            <w:top w:val="none" w:sz="0" w:space="0" w:color="auto"/>
            <w:left w:val="none" w:sz="0" w:space="0" w:color="auto"/>
            <w:bottom w:val="none" w:sz="0" w:space="0" w:color="auto"/>
            <w:right w:val="none" w:sz="0" w:space="0" w:color="auto"/>
          </w:divBdr>
          <w:divsChild>
            <w:div w:id="1425608785">
              <w:marLeft w:val="0"/>
              <w:marRight w:val="0"/>
              <w:marTop w:val="240"/>
              <w:marBottom w:val="240"/>
              <w:divBdr>
                <w:top w:val="none" w:sz="0" w:space="0" w:color="auto"/>
                <w:left w:val="none" w:sz="0" w:space="0" w:color="auto"/>
                <w:bottom w:val="none" w:sz="0" w:space="0" w:color="auto"/>
                <w:right w:val="none" w:sz="0" w:space="0" w:color="auto"/>
              </w:divBdr>
            </w:div>
          </w:divsChild>
        </w:div>
        <w:div w:id="922496216">
          <w:marLeft w:val="0"/>
          <w:marRight w:val="0"/>
          <w:marTop w:val="240"/>
          <w:marBottom w:val="240"/>
          <w:divBdr>
            <w:top w:val="none" w:sz="0" w:space="0" w:color="auto"/>
            <w:left w:val="none" w:sz="0" w:space="0" w:color="auto"/>
            <w:bottom w:val="none" w:sz="0" w:space="0" w:color="auto"/>
            <w:right w:val="none" w:sz="0" w:space="0" w:color="auto"/>
          </w:divBdr>
          <w:divsChild>
            <w:div w:id="1205946147">
              <w:marLeft w:val="0"/>
              <w:marRight w:val="0"/>
              <w:marTop w:val="240"/>
              <w:marBottom w:val="240"/>
              <w:divBdr>
                <w:top w:val="none" w:sz="0" w:space="0" w:color="auto"/>
                <w:left w:val="none" w:sz="0" w:space="0" w:color="auto"/>
                <w:bottom w:val="none" w:sz="0" w:space="0" w:color="auto"/>
                <w:right w:val="none" w:sz="0" w:space="0" w:color="auto"/>
              </w:divBdr>
            </w:div>
          </w:divsChild>
        </w:div>
        <w:div w:id="1746415244">
          <w:marLeft w:val="0"/>
          <w:marRight w:val="0"/>
          <w:marTop w:val="240"/>
          <w:marBottom w:val="240"/>
          <w:divBdr>
            <w:top w:val="none" w:sz="0" w:space="0" w:color="auto"/>
            <w:left w:val="none" w:sz="0" w:space="0" w:color="auto"/>
            <w:bottom w:val="none" w:sz="0" w:space="0" w:color="auto"/>
            <w:right w:val="none" w:sz="0" w:space="0" w:color="auto"/>
          </w:divBdr>
        </w:div>
        <w:div w:id="148182045">
          <w:marLeft w:val="0"/>
          <w:marRight w:val="0"/>
          <w:marTop w:val="240"/>
          <w:marBottom w:val="240"/>
          <w:divBdr>
            <w:top w:val="none" w:sz="0" w:space="0" w:color="auto"/>
            <w:left w:val="none" w:sz="0" w:space="0" w:color="auto"/>
            <w:bottom w:val="none" w:sz="0" w:space="0" w:color="auto"/>
            <w:right w:val="none" w:sz="0" w:space="0" w:color="auto"/>
          </w:divBdr>
          <w:divsChild>
            <w:div w:id="1227692150">
              <w:marLeft w:val="0"/>
              <w:marRight w:val="0"/>
              <w:marTop w:val="240"/>
              <w:marBottom w:val="240"/>
              <w:divBdr>
                <w:top w:val="none" w:sz="0" w:space="0" w:color="auto"/>
                <w:left w:val="none" w:sz="0" w:space="0" w:color="auto"/>
                <w:bottom w:val="none" w:sz="0" w:space="0" w:color="auto"/>
                <w:right w:val="none" w:sz="0" w:space="0" w:color="auto"/>
              </w:divBdr>
              <w:divsChild>
                <w:div w:id="109729046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7591630">
                      <w:marLeft w:val="0"/>
                      <w:marRight w:val="0"/>
                      <w:marTop w:val="224"/>
                      <w:marBottom w:val="240"/>
                      <w:divBdr>
                        <w:top w:val="none" w:sz="0" w:space="0" w:color="auto"/>
                        <w:left w:val="none" w:sz="0" w:space="0" w:color="auto"/>
                        <w:bottom w:val="none" w:sz="0" w:space="0" w:color="auto"/>
                        <w:right w:val="none" w:sz="0" w:space="0" w:color="auto"/>
                      </w:divBdr>
                      <w:divsChild>
                        <w:div w:id="999576819">
                          <w:marLeft w:val="0"/>
                          <w:marRight w:val="0"/>
                          <w:marTop w:val="240"/>
                          <w:marBottom w:val="240"/>
                          <w:divBdr>
                            <w:top w:val="none" w:sz="0" w:space="0" w:color="auto"/>
                            <w:left w:val="none" w:sz="0" w:space="0" w:color="auto"/>
                            <w:bottom w:val="none" w:sz="0" w:space="0" w:color="auto"/>
                            <w:right w:val="none" w:sz="0" w:space="0" w:color="auto"/>
                          </w:divBdr>
                        </w:div>
                        <w:div w:id="438721518">
                          <w:marLeft w:val="0"/>
                          <w:marRight w:val="0"/>
                          <w:marTop w:val="240"/>
                          <w:marBottom w:val="240"/>
                          <w:divBdr>
                            <w:top w:val="none" w:sz="0" w:space="0" w:color="auto"/>
                            <w:left w:val="none" w:sz="0" w:space="0" w:color="auto"/>
                            <w:bottom w:val="none" w:sz="0" w:space="0" w:color="auto"/>
                            <w:right w:val="none" w:sz="0" w:space="0" w:color="auto"/>
                          </w:divBdr>
                        </w:div>
                        <w:div w:id="1848322316">
                          <w:marLeft w:val="0"/>
                          <w:marRight w:val="0"/>
                          <w:marTop w:val="240"/>
                          <w:marBottom w:val="240"/>
                          <w:divBdr>
                            <w:top w:val="none" w:sz="0" w:space="0" w:color="auto"/>
                            <w:left w:val="none" w:sz="0" w:space="0" w:color="auto"/>
                            <w:bottom w:val="none" w:sz="0" w:space="0" w:color="auto"/>
                            <w:right w:val="none" w:sz="0" w:space="0" w:color="auto"/>
                          </w:divBdr>
                        </w:div>
                        <w:div w:id="1152672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95075021">
          <w:marLeft w:val="0"/>
          <w:marRight w:val="0"/>
          <w:marTop w:val="240"/>
          <w:marBottom w:val="240"/>
          <w:divBdr>
            <w:top w:val="none" w:sz="0" w:space="0" w:color="auto"/>
            <w:left w:val="none" w:sz="0" w:space="0" w:color="auto"/>
            <w:bottom w:val="none" w:sz="0" w:space="0" w:color="auto"/>
            <w:right w:val="none" w:sz="0" w:space="0" w:color="auto"/>
          </w:divBdr>
          <w:divsChild>
            <w:div w:id="871917544">
              <w:marLeft w:val="0"/>
              <w:marRight w:val="0"/>
              <w:marTop w:val="240"/>
              <w:marBottom w:val="240"/>
              <w:divBdr>
                <w:top w:val="none" w:sz="0" w:space="0" w:color="auto"/>
                <w:left w:val="none" w:sz="0" w:space="0" w:color="auto"/>
                <w:bottom w:val="none" w:sz="0" w:space="0" w:color="auto"/>
                <w:right w:val="none" w:sz="0" w:space="0" w:color="auto"/>
              </w:divBdr>
            </w:div>
          </w:divsChild>
        </w:div>
        <w:div w:id="1020938589">
          <w:marLeft w:val="0"/>
          <w:marRight w:val="0"/>
          <w:marTop w:val="240"/>
          <w:marBottom w:val="240"/>
          <w:divBdr>
            <w:top w:val="none" w:sz="0" w:space="0" w:color="auto"/>
            <w:left w:val="none" w:sz="0" w:space="0" w:color="auto"/>
            <w:bottom w:val="none" w:sz="0" w:space="0" w:color="auto"/>
            <w:right w:val="none" w:sz="0" w:space="0" w:color="auto"/>
          </w:divBdr>
          <w:divsChild>
            <w:div w:id="1035618828">
              <w:marLeft w:val="0"/>
              <w:marRight w:val="0"/>
              <w:marTop w:val="240"/>
              <w:marBottom w:val="240"/>
              <w:divBdr>
                <w:top w:val="none" w:sz="0" w:space="0" w:color="auto"/>
                <w:left w:val="none" w:sz="0" w:space="0" w:color="auto"/>
                <w:bottom w:val="none" w:sz="0" w:space="0" w:color="auto"/>
                <w:right w:val="none" w:sz="0" w:space="0" w:color="auto"/>
              </w:divBdr>
            </w:div>
          </w:divsChild>
        </w:div>
        <w:div w:id="1478842320">
          <w:marLeft w:val="0"/>
          <w:marRight w:val="0"/>
          <w:marTop w:val="240"/>
          <w:marBottom w:val="240"/>
          <w:divBdr>
            <w:top w:val="none" w:sz="0" w:space="0" w:color="auto"/>
            <w:left w:val="none" w:sz="0" w:space="0" w:color="auto"/>
            <w:bottom w:val="none" w:sz="0" w:space="0" w:color="auto"/>
            <w:right w:val="none" w:sz="0" w:space="0" w:color="auto"/>
          </w:divBdr>
          <w:divsChild>
            <w:div w:id="399526716">
              <w:marLeft w:val="0"/>
              <w:marRight w:val="0"/>
              <w:marTop w:val="240"/>
              <w:marBottom w:val="240"/>
              <w:divBdr>
                <w:top w:val="none" w:sz="0" w:space="0" w:color="auto"/>
                <w:left w:val="none" w:sz="0" w:space="0" w:color="auto"/>
                <w:bottom w:val="none" w:sz="0" w:space="0" w:color="auto"/>
                <w:right w:val="none" w:sz="0" w:space="0" w:color="auto"/>
              </w:divBdr>
            </w:div>
          </w:divsChild>
        </w:div>
        <w:div w:id="2106799201">
          <w:marLeft w:val="0"/>
          <w:marRight w:val="0"/>
          <w:marTop w:val="240"/>
          <w:marBottom w:val="240"/>
          <w:divBdr>
            <w:top w:val="none" w:sz="0" w:space="0" w:color="auto"/>
            <w:left w:val="none" w:sz="0" w:space="0" w:color="auto"/>
            <w:bottom w:val="none" w:sz="0" w:space="0" w:color="auto"/>
            <w:right w:val="none" w:sz="0" w:space="0" w:color="auto"/>
          </w:divBdr>
          <w:divsChild>
            <w:div w:id="76054437">
              <w:marLeft w:val="0"/>
              <w:marRight w:val="0"/>
              <w:marTop w:val="240"/>
              <w:marBottom w:val="240"/>
              <w:divBdr>
                <w:top w:val="none" w:sz="0" w:space="0" w:color="auto"/>
                <w:left w:val="none" w:sz="0" w:space="0" w:color="auto"/>
                <w:bottom w:val="none" w:sz="0" w:space="0" w:color="auto"/>
                <w:right w:val="none" w:sz="0" w:space="0" w:color="auto"/>
              </w:divBdr>
              <w:divsChild>
                <w:div w:id="120155000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868182083">
                      <w:marLeft w:val="0"/>
                      <w:marRight w:val="0"/>
                      <w:marTop w:val="224"/>
                      <w:marBottom w:val="240"/>
                      <w:divBdr>
                        <w:top w:val="none" w:sz="0" w:space="0" w:color="auto"/>
                        <w:left w:val="none" w:sz="0" w:space="0" w:color="auto"/>
                        <w:bottom w:val="none" w:sz="0" w:space="0" w:color="auto"/>
                        <w:right w:val="none" w:sz="0" w:space="0" w:color="auto"/>
                      </w:divBdr>
                    </w:div>
                    <w:div w:id="1537697524">
                      <w:marLeft w:val="0"/>
                      <w:marRight w:val="0"/>
                      <w:marTop w:val="224"/>
                      <w:marBottom w:val="240"/>
                      <w:divBdr>
                        <w:top w:val="none" w:sz="0" w:space="0" w:color="auto"/>
                        <w:left w:val="none" w:sz="0" w:space="0" w:color="auto"/>
                        <w:bottom w:val="none" w:sz="0" w:space="0" w:color="auto"/>
                        <w:right w:val="none" w:sz="0" w:space="0" w:color="auto"/>
                      </w:divBdr>
                    </w:div>
                    <w:div w:id="1143888876">
                      <w:marLeft w:val="0"/>
                      <w:marRight w:val="0"/>
                      <w:marTop w:val="224"/>
                      <w:marBottom w:val="240"/>
                      <w:divBdr>
                        <w:top w:val="none" w:sz="0" w:space="0" w:color="auto"/>
                        <w:left w:val="none" w:sz="0" w:space="0" w:color="auto"/>
                        <w:bottom w:val="none" w:sz="0" w:space="0" w:color="auto"/>
                        <w:right w:val="none" w:sz="0" w:space="0" w:color="auto"/>
                      </w:divBdr>
                    </w:div>
                    <w:div w:id="297031638">
                      <w:marLeft w:val="0"/>
                      <w:marRight w:val="0"/>
                      <w:marTop w:val="224"/>
                      <w:marBottom w:val="240"/>
                      <w:divBdr>
                        <w:top w:val="none" w:sz="0" w:space="0" w:color="auto"/>
                        <w:left w:val="none" w:sz="0" w:space="0" w:color="auto"/>
                        <w:bottom w:val="none" w:sz="0" w:space="0" w:color="auto"/>
                        <w:right w:val="none" w:sz="0" w:space="0" w:color="auto"/>
                      </w:divBdr>
                    </w:div>
                    <w:div w:id="1077823969">
                      <w:marLeft w:val="0"/>
                      <w:marRight w:val="0"/>
                      <w:marTop w:val="224"/>
                      <w:marBottom w:val="240"/>
                      <w:divBdr>
                        <w:top w:val="none" w:sz="0" w:space="0" w:color="auto"/>
                        <w:left w:val="none" w:sz="0" w:space="0" w:color="auto"/>
                        <w:bottom w:val="none" w:sz="0" w:space="0" w:color="auto"/>
                        <w:right w:val="none" w:sz="0" w:space="0" w:color="auto"/>
                      </w:divBdr>
                    </w:div>
                  </w:divsChild>
                </w:div>
              </w:divsChild>
            </w:div>
          </w:divsChild>
        </w:div>
        <w:div w:id="1525823576">
          <w:marLeft w:val="0"/>
          <w:marRight w:val="0"/>
          <w:marTop w:val="240"/>
          <w:marBottom w:val="240"/>
          <w:divBdr>
            <w:top w:val="none" w:sz="0" w:space="0" w:color="auto"/>
            <w:left w:val="none" w:sz="0" w:space="0" w:color="auto"/>
            <w:bottom w:val="none" w:sz="0" w:space="0" w:color="auto"/>
            <w:right w:val="none" w:sz="0" w:space="0" w:color="auto"/>
          </w:divBdr>
          <w:divsChild>
            <w:div w:id="26181486">
              <w:marLeft w:val="0"/>
              <w:marRight w:val="0"/>
              <w:marTop w:val="240"/>
              <w:marBottom w:val="240"/>
              <w:divBdr>
                <w:top w:val="none" w:sz="0" w:space="0" w:color="auto"/>
                <w:left w:val="none" w:sz="0" w:space="0" w:color="auto"/>
                <w:bottom w:val="none" w:sz="0" w:space="0" w:color="auto"/>
                <w:right w:val="none" w:sz="0" w:space="0" w:color="auto"/>
              </w:divBdr>
            </w:div>
          </w:divsChild>
        </w:div>
        <w:div w:id="1510176578">
          <w:marLeft w:val="0"/>
          <w:marRight w:val="0"/>
          <w:marTop w:val="240"/>
          <w:marBottom w:val="240"/>
          <w:divBdr>
            <w:top w:val="none" w:sz="0" w:space="0" w:color="auto"/>
            <w:left w:val="none" w:sz="0" w:space="0" w:color="auto"/>
            <w:bottom w:val="none" w:sz="0" w:space="0" w:color="auto"/>
            <w:right w:val="none" w:sz="0" w:space="0" w:color="auto"/>
          </w:divBdr>
          <w:divsChild>
            <w:div w:id="7612971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4378177">
      <w:bodyDiv w:val="1"/>
      <w:marLeft w:val="0"/>
      <w:marRight w:val="0"/>
      <w:marTop w:val="0"/>
      <w:marBottom w:val="0"/>
      <w:divBdr>
        <w:top w:val="none" w:sz="0" w:space="0" w:color="auto"/>
        <w:left w:val="none" w:sz="0" w:space="0" w:color="auto"/>
        <w:bottom w:val="none" w:sz="0" w:space="0" w:color="auto"/>
        <w:right w:val="none" w:sz="0" w:space="0" w:color="auto"/>
      </w:divBdr>
      <w:divsChild>
        <w:div w:id="666203522">
          <w:marLeft w:val="0"/>
          <w:marRight w:val="0"/>
          <w:marTop w:val="240"/>
          <w:marBottom w:val="240"/>
          <w:divBdr>
            <w:top w:val="none" w:sz="0" w:space="0" w:color="auto"/>
            <w:left w:val="none" w:sz="0" w:space="0" w:color="auto"/>
            <w:bottom w:val="none" w:sz="0" w:space="0" w:color="auto"/>
            <w:right w:val="none" w:sz="0" w:space="0" w:color="auto"/>
          </w:divBdr>
          <w:divsChild>
            <w:div w:id="553540452">
              <w:marLeft w:val="0"/>
              <w:marRight w:val="0"/>
              <w:marTop w:val="240"/>
              <w:marBottom w:val="240"/>
              <w:divBdr>
                <w:top w:val="none" w:sz="0" w:space="0" w:color="auto"/>
                <w:left w:val="none" w:sz="0" w:space="0" w:color="auto"/>
                <w:bottom w:val="none" w:sz="0" w:space="0" w:color="auto"/>
                <w:right w:val="none" w:sz="0" w:space="0" w:color="auto"/>
              </w:divBdr>
            </w:div>
          </w:divsChild>
        </w:div>
        <w:div w:id="523055370">
          <w:marLeft w:val="0"/>
          <w:marRight w:val="0"/>
          <w:marTop w:val="240"/>
          <w:marBottom w:val="240"/>
          <w:divBdr>
            <w:top w:val="none" w:sz="0" w:space="0" w:color="auto"/>
            <w:left w:val="none" w:sz="0" w:space="0" w:color="auto"/>
            <w:bottom w:val="none" w:sz="0" w:space="0" w:color="auto"/>
            <w:right w:val="none" w:sz="0" w:space="0" w:color="auto"/>
          </w:divBdr>
          <w:divsChild>
            <w:div w:id="4342512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9976228">
      <w:bodyDiv w:val="1"/>
      <w:marLeft w:val="0"/>
      <w:marRight w:val="0"/>
      <w:marTop w:val="0"/>
      <w:marBottom w:val="0"/>
      <w:divBdr>
        <w:top w:val="none" w:sz="0" w:space="0" w:color="auto"/>
        <w:left w:val="none" w:sz="0" w:space="0" w:color="auto"/>
        <w:bottom w:val="none" w:sz="0" w:space="0" w:color="auto"/>
        <w:right w:val="none" w:sz="0" w:space="0" w:color="auto"/>
      </w:divBdr>
      <w:divsChild>
        <w:div w:id="1828201080">
          <w:marLeft w:val="0"/>
          <w:marRight w:val="0"/>
          <w:marTop w:val="240"/>
          <w:marBottom w:val="240"/>
          <w:divBdr>
            <w:top w:val="none" w:sz="0" w:space="0" w:color="auto"/>
            <w:left w:val="none" w:sz="0" w:space="0" w:color="auto"/>
            <w:bottom w:val="none" w:sz="0" w:space="0" w:color="auto"/>
            <w:right w:val="none" w:sz="0" w:space="0" w:color="auto"/>
          </w:divBdr>
          <w:divsChild>
            <w:div w:id="11139869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5569821">
      <w:bodyDiv w:val="1"/>
      <w:marLeft w:val="0"/>
      <w:marRight w:val="0"/>
      <w:marTop w:val="0"/>
      <w:marBottom w:val="0"/>
      <w:divBdr>
        <w:top w:val="none" w:sz="0" w:space="0" w:color="auto"/>
        <w:left w:val="none" w:sz="0" w:space="0" w:color="auto"/>
        <w:bottom w:val="none" w:sz="0" w:space="0" w:color="auto"/>
        <w:right w:val="none" w:sz="0" w:space="0" w:color="auto"/>
      </w:divBdr>
      <w:divsChild>
        <w:div w:id="771977208">
          <w:marLeft w:val="0"/>
          <w:marRight w:val="0"/>
          <w:marTop w:val="240"/>
          <w:marBottom w:val="240"/>
          <w:divBdr>
            <w:top w:val="none" w:sz="0" w:space="0" w:color="auto"/>
            <w:left w:val="none" w:sz="0" w:space="0" w:color="auto"/>
            <w:bottom w:val="none" w:sz="0" w:space="0" w:color="auto"/>
            <w:right w:val="none" w:sz="0" w:space="0" w:color="auto"/>
          </w:divBdr>
          <w:divsChild>
            <w:div w:id="497430993">
              <w:marLeft w:val="0"/>
              <w:marRight w:val="0"/>
              <w:marTop w:val="240"/>
              <w:marBottom w:val="240"/>
              <w:divBdr>
                <w:top w:val="none" w:sz="0" w:space="0" w:color="auto"/>
                <w:left w:val="none" w:sz="0" w:space="0" w:color="auto"/>
                <w:bottom w:val="none" w:sz="0" w:space="0" w:color="auto"/>
                <w:right w:val="none" w:sz="0" w:space="0" w:color="auto"/>
              </w:divBdr>
              <w:divsChild>
                <w:div w:id="29722905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54507282">
                      <w:marLeft w:val="0"/>
                      <w:marRight w:val="0"/>
                      <w:marTop w:val="224"/>
                      <w:marBottom w:val="240"/>
                      <w:divBdr>
                        <w:top w:val="none" w:sz="0" w:space="0" w:color="auto"/>
                        <w:left w:val="none" w:sz="0" w:space="0" w:color="auto"/>
                        <w:bottom w:val="none" w:sz="0" w:space="0" w:color="auto"/>
                        <w:right w:val="none" w:sz="0" w:space="0" w:color="auto"/>
                      </w:divBdr>
                    </w:div>
                  </w:divsChild>
                </w:div>
              </w:divsChild>
            </w:div>
          </w:divsChild>
        </w:div>
        <w:div w:id="1033842384">
          <w:marLeft w:val="0"/>
          <w:marRight w:val="0"/>
          <w:marTop w:val="240"/>
          <w:marBottom w:val="240"/>
          <w:divBdr>
            <w:top w:val="none" w:sz="0" w:space="0" w:color="auto"/>
            <w:left w:val="none" w:sz="0" w:space="0" w:color="auto"/>
            <w:bottom w:val="none" w:sz="0" w:space="0" w:color="auto"/>
            <w:right w:val="none" w:sz="0" w:space="0" w:color="auto"/>
          </w:divBdr>
          <w:divsChild>
            <w:div w:id="8006118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40563548">
      <w:bodyDiv w:val="1"/>
      <w:marLeft w:val="0"/>
      <w:marRight w:val="0"/>
      <w:marTop w:val="0"/>
      <w:marBottom w:val="0"/>
      <w:divBdr>
        <w:top w:val="none" w:sz="0" w:space="0" w:color="auto"/>
        <w:left w:val="none" w:sz="0" w:space="0" w:color="auto"/>
        <w:bottom w:val="none" w:sz="0" w:space="0" w:color="auto"/>
        <w:right w:val="none" w:sz="0" w:space="0" w:color="auto"/>
      </w:divBdr>
      <w:divsChild>
        <w:div w:id="5767869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ell\AppData\Local\Microsoft\Windows\INetCache\hc_judg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Template>
  <TotalTime>0</TotalTime>
  <Pages>14</Pages>
  <Words>4583</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
  <LinksUpToDate>false</LinksUpToDate>
  <CharactersWithSpaces>30646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Philip Marshall</dc:creator>
  <dc:description/>
  <cp:lastModifiedBy>Duddridge, Alice</cp:lastModifiedBy>
  <cp:revision>3</cp:revision>
  <cp:lastPrinted>2018-07-12T09:57:00Z</cp:lastPrinted>
  <dcterms:created xsi:type="dcterms:W3CDTF">2022-07-22T10:24:00Z</dcterms:created>
  <dcterms:modified xsi:type="dcterms:W3CDTF">2022-07-22T11:05:00Z</dcterms:modified>
</cp:coreProperties>
</file>