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CB2ED" w14:textId="74683F11" w:rsidR="002C01DE" w:rsidRDefault="003D4828" w:rsidP="00255217">
      <w:pPr>
        <w:jc w:val="center"/>
      </w:pPr>
      <w:r>
        <w:rPr>
          <w:noProof/>
        </w:rPr>
        <w:drawing>
          <wp:inline distT="0" distB="0" distL="0" distR="0" wp14:anchorId="5EC65718" wp14:editId="7A08198B">
            <wp:extent cx="970280" cy="962025"/>
            <wp:effectExtent l="0" t="0" r="1270" b="9525"/>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0280" cy="962025"/>
                    </a:xfrm>
                    <a:prstGeom prst="rect">
                      <a:avLst/>
                    </a:prstGeom>
                    <a:noFill/>
                    <a:ln>
                      <a:noFill/>
                    </a:ln>
                  </pic:spPr>
                </pic:pic>
              </a:graphicData>
            </a:graphic>
          </wp:inline>
        </w:drawing>
      </w:r>
    </w:p>
    <w:p w14:paraId="5E485CDF" w14:textId="77777777" w:rsidR="00255217" w:rsidRDefault="00255217" w:rsidP="00255217">
      <w:pPr>
        <w:jc w:val="center"/>
      </w:pPr>
    </w:p>
    <w:p w14:paraId="2DD7BCBA" w14:textId="51BA5360" w:rsidR="003D4828" w:rsidRDefault="003D4828" w:rsidP="003D4828">
      <w:pPr>
        <w:pStyle w:val="CoverText"/>
        <w:jc w:val="left"/>
        <w:rPr>
          <w:bCs/>
        </w:rPr>
      </w:pPr>
      <w:r>
        <w:rPr>
          <w:bCs/>
        </w:rPr>
        <w:t>Neutral Citation Number: [20</w:t>
      </w:r>
      <w:r w:rsidR="00FC3996">
        <w:rPr>
          <w:bCs/>
        </w:rPr>
        <w:t>2</w:t>
      </w:r>
      <w:r w:rsidR="00731B0B">
        <w:rPr>
          <w:bCs/>
        </w:rPr>
        <w:t>2</w:t>
      </w:r>
      <w:r>
        <w:rPr>
          <w:bCs/>
        </w:rPr>
        <w:t xml:space="preserve">] EWHC </w:t>
      </w:r>
      <w:r w:rsidR="004D0065">
        <w:rPr>
          <w:bCs/>
        </w:rPr>
        <w:t>2354</w:t>
      </w:r>
      <w:r w:rsidR="00FC3996">
        <w:rPr>
          <w:bCs/>
        </w:rPr>
        <w:t xml:space="preserve"> (</w:t>
      </w:r>
      <w:r w:rsidR="005A0F49">
        <w:rPr>
          <w:bCs/>
        </w:rPr>
        <w:t>Admin</w:t>
      </w:r>
      <w:r w:rsidR="00FC3996">
        <w:rPr>
          <w:bCs/>
        </w:rPr>
        <w:t xml:space="preserve">) </w:t>
      </w:r>
    </w:p>
    <w:p w14:paraId="6F5D720A" w14:textId="6EECCE69" w:rsidR="00255217" w:rsidRDefault="00255217" w:rsidP="003D4828">
      <w:pPr>
        <w:pStyle w:val="CoverText"/>
        <w:jc w:val="left"/>
        <w:rPr>
          <w:bCs/>
        </w:rPr>
      </w:pPr>
    </w:p>
    <w:p w14:paraId="0DB777D3" w14:textId="77777777" w:rsidR="00255217" w:rsidRDefault="00255217" w:rsidP="003D4828">
      <w:pPr>
        <w:pStyle w:val="CoverText"/>
        <w:jc w:val="left"/>
        <w:rPr>
          <w:bCs/>
          <w:sz w:val="20"/>
          <w:u w:val="none"/>
        </w:rPr>
      </w:pPr>
    </w:p>
    <w:p w14:paraId="39DED0E8" w14:textId="527C9FDC" w:rsidR="00A713C5" w:rsidRDefault="00A713C5" w:rsidP="00A713C5">
      <w:pPr>
        <w:pStyle w:val="CoverText"/>
      </w:pPr>
      <w:r>
        <w:t xml:space="preserve">Case No: </w:t>
      </w:r>
      <w:r w:rsidR="00DE23EA">
        <w:t>CO/</w:t>
      </w:r>
      <w:r w:rsidR="00466632">
        <w:t>2492/2021</w:t>
      </w:r>
    </w:p>
    <w:p w14:paraId="120D9C55" w14:textId="77777777" w:rsidR="00255217" w:rsidRDefault="00255217" w:rsidP="00A713C5">
      <w:pPr>
        <w:pStyle w:val="CoverText"/>
        <w:rPr>
          <w:b/>
          <w:spacing w:val="-3"/>
        </w:rPr>
      </w:pPr>
    </w:p>
    <w:p w14:paraId="3401364A" w14:textId="77777777" w:rsidR="00A713C5" w:rsidRDefault="00A713C5" w:rsidP="00A713C5">
      <w:pPr>
        <w:pStyle w:val="CoverMain"/>
        <w:tabs>
          <w:tab w:val="clear" w:pos="0"/>
        </w:tabs>
      </w:pPr>
      <w:r>
        <w:t>IN THE HIGH COURT OF JUSTICE</w:t>
      </w:r>
    </w:p>
    <w:p w14:paraId="2D8C7ED7" w14:textId="78F950E3" w:rsidR="00A713C5" w:rsidRDefault="000B6C91" w:rsidP="00A713C5">
      <w:pPr>
        <w:suppressAutoHyphens/>
        <w:rPr>
          <w:b/>
          <w:spacing w:val="-3"/>
          <w:u w:val="single"/>
        </w:rPr>
      </w:pPr>
      <w:r>
        <w:rPr>
          <w:b/>
          <w:spacing w:val="-3"/>
          <w:u w:val="single"/>
        </w:rPr>
        <w:t>KING</w:t>
      </w:r>
      <w:r w:rsidR="00A713C5">
        <w:rPr>
          <w:b/>
          <w:spacing w:val="-3"/>
          <w:u w:val="single"/>
        </w:rPr>
        <w:t>'S BENCH DIVISION</w:t>
      </w:r>
    </w:p>
    <w:p w14:paraId="2546804F" w14:textId="65915989" w:rsidR="00A713C5" w:rsidRDefault="00CB7F64" w:rsidP="00A713C5">
      <w:pPr>
        <w:suppressAutoHyphens/>
        <w:rPr>
          <w:b/>
          <w:spacing w:val="-3"/>
          <w:u w:val="single"/>
        </w:rPr>
      </w:pPr>
      <w:r>
        <w:rPr>
          <w:b/>
          <w:spacing w:val="-3"/>
          <w:u w:val="single"/>
        </w:rPr>
        <w:t>A</w:t>
      </w:r>
      <w:r w:rsidR="00E55961">
        <w:rPr>
          <w:b/>
          <w:spacing w:val="-3"/>
          <w:u w:val="single"/>
        </w:rPr>
        <w:t xml:space="preserve">DMINISTRATIVE COURT </w:t>
      </w:r>
    </w:p>
    <w:p w14:paraId="579717EF" w14:textId="77777777" w:rsidR="00255217" w:rsidRDefault="00255217" w:rsidP="00A713C5">
      <w:pPr>
        <w:pStyle w:val="CoverText"/>
      </w:pPr>
    </w:p>
    <w:p w14:paraId="1CB5223B" w14:textId="2F332173" w:rsidR="00A713C5" w:rsidRDefault="00A713C5" w:rsidP="00A713C5">
      <w:pPr>
        <w:pStyle w:val="CoverText"/>
      </w:pPr>
      <w:r>
        <w:t>Royal Courts of Justice</w:t>
      </w:r>
    </w:p>
    <w:p w14:paraId="6BEEFF82" w14:textId="77777777" w:rsidR="00A713C5" w:rsidRDefault="00A713C5" w:rsidP="00A713C5">
      <w:pPr>
        <w:pStyle w:val="CoverText"/>
      </w:pPr>
      <w:r>
        <w:t>Strand, London, WC2A 2LL</w:t>
      </w:r>
    </w:p>
    <w:p w14:paraId="4ACD0268" w14:textId="77777777" w:rsidR="00A713C5" w:rsidRDefault="00A713C5" w:rsidP="00A713C5">
      <w:pPr>
        <w:suppressAutoHyphens/>
        <w:jc w:val="right"/>
        <w:rPr>
          <w:spacing w:val="-3"/>
          <w:u w:val="single"/>
        </w:rPr>
      </w:pPr>
    </w:p>
    <w:p w14:paraId="35E22414" w14:textId="1CCCCD75" w:rsidR="00A713C5" w:rsidRDefault="001E26F9" w:rsidP="00A713C5">
      <w:pPr>
        <w:pStyle w:val="CoverText"/>
        <w:rPr>
          <w:b/>
        </w:rPr>
      </w:pPr>
      <w:r>
        <w:t>16</w:t>
      </w:r>
      <w:r w:rsidRPr="001E26F9">
        <w:rPr>
          <w:vertAlign w:val="superscript"/>
        </w:rPr>
        <w:t>th</w:t>
      </w:r>
      <w:r>
        <w:t xml:space="preserve"> </w:t>
      </w:r>
      <w:r w:rsidR="00B23624">
        <w:t>September 2022</w:t>
      </w:r>
    </w:p>
    <w:p w14:paraId="3F8ED401" w14:textId="77777777" w:rsidR="00A713C5" w:rsidRDefault="00A713C5" w:rsidP="00A713C5">
      <w:pPr>
        <w:suppressAutoHyphens/>
        <w:rPr>
          <w:spacing w:val="-3"/>
        </w:rPr>
      </w:pPr>
    </w:p>
    <w:p w14:paraId="621A14B3" w14:textId="771D0C99" w:rsidR="00A713C5" w:rsidRDefault="00A713C5" w:rsidP="0011228F">
      <w:pPr>
        <w:suppressAutoHyphens/>
        <w:jc w:val="center"/>
        <w:rPr>
          <w:spacing w:val="-3"/>
        </w:rPr>
      </w:pPr>
      <w:r>
        <w:rPr>
          <w:b/>
          <w:spacing w:val="-3"/>
        </w:rPr>
        <w:t>Before</w:t>
      </w:r>
      <w:r w:rsidRPr="00036EF0">
        <w:rPr>
          <w:b/>
          <w:bCs/>
          <w:spacing w:val="-3"/>
        </w:rPr>
        <w:t>:</w:t>
      </w:r>
    </w:p>
    <w:p w14:paraId="1D990134" w14:textId="77777777" w:rsidR="00A713C5" w:rsidRDefault="00A713C5" w:rsidP="00A713C5">
      <w:pPr>
        <w:pStyle w:val="CoverMain"/>
        <w:tabs>
          <w:tab w:val="clear" w:pos="0"/>
        </w:tabs>
        <w:jc w:val="center"/>
      </w:pPr>
      <w:r>
        <w:t>MR JUSTICE FORDHAM</w:t>
      </w:r>
    </w:p>
    <w:p w14:paraId="11CFEA21" w14:textId="5A7E1FE3" w:rsidR="00A713C5" w:rsidRDefault="00A713C5" w:rsidP="00A713C5">
      <w:pPr>
        <w:suppressAutoHyphens/>
        <w:jc w:val="center"/>
        <w:rPr>
          <w:spacing w:val="-3"/>
        </w:rPr>
      </w:pPr>
      <w:r>
        <w:rPr>
          <w:spacing w:val="-3"/>
        </w:rPr>
        <w:t>- - - - - - - - - - - - - - - - - - - - -</w:t>
      </w:r>
    </w:p>
    <w:p w14:paraId="339A2F2B" w14:textId="77777777" w:rsidR="00255217" w:rsidRDefault="00255217" w:rsidP="00A713C5">
      <w:pPr>
        <w:suppressAutoHyphens/>
        <w:jc w:val="center"/>
        <w:rPr>
          <w:spacing w:val="-3"/>
        </w:rPr>
      </w:pPr>
    </w:p>
    <w:p w14:paraId="244DAC24" w14:textId="3D104715" w:rsidR="00A713C5" w:rsidRDefault="00A713C5" w:rsidP="0011228F">
      <w:pPr>
        <w:suppressAutoHyphens/>
        <w:jc w:val="center"/>
        <w:rPr>
          <w:b/>
          <w:spacing w:val="-3"/>
        </w:rPr>
      </w:pPr>
      <w:r>
        <w:rPr>
          <w:b/>
          <w:spacing w:val="-3"/>
        </w:rPr>
        <w:t>Between:</w:t>
      </w:r>
    </w:p>
    <w:p w14:paraId="3483CEE4" w14:textId="77777777" w:rsidR="00255217" w:rsidRDefault="00255217" w:rsidP="0011228F">
      <w:pPr>
        <w:suppressAutoHyphens/>
        <w:jc w:val="center"/>
        <w:rPr>
          <w:b/>
          <w:spacing w:val="-3"/>
        </w:rPr>
      </w:pPr>
    </w:p>
    <w:tbl>
      <w:tblPr>
        <w:tblW w:w="9120" w:type="dxa"/>
        <w:jc w:val="center"/>
        <w:tblLayout w:type="fixed"/>
        <w:tblLook w:val="04A0" w:firstRow="1" w:lastRow="0" w:firstColumn="1" w:lastColumn="0" w:noHBand="0" w:noVBand="1"/>
      </w:tblPr>
      <w:tblGrid>
        <w:gridCol w:w="1775"/>
        <w:gridCol w:w="5564"/>
        <w:gridCol w:w="1781"/>
      </w:tblGrid>
      <w:tr w:rsidR="00A713C5" w14:paraId="68C25342" w14:textId="77777777" w:rsidTr="00A713C5">
        <w:trPr>
          <w:jc w:val="center"/>
        </w:trPr>
        <w:tc>
          <w:tcPr>
            <w:tcW w:w="1701" w:type="dxa"/>
          </w:tcPr>
          <w:p w14:paraId="52D1AC88" w14:textId="77777777" w:rsidR="00A713C5" w:rsidRDefault="00A713C5">
            <w:pPr>
              <w:suppressAutoHyphens/>
              <w:rPr>
                <w:b/>
                <w:spacing w:val="-3"/>
              </w:rPr>
            </w:pPr>
          </w:p>
        </w:tc>
        <w:tc>
          <w:tcPr>
            <w:tcW w:w="5333" w:type="dxa"/>
            <w:hideMark/>
          </w:tcPr>
          <w:p w14:paraId="50D4B3DF" w14:textId="3CC4CADF" w:rsidR="00A713C5" w:rsidRPr="00610143" w:rsidRDefault="00B23624">
            <w:pPr>
              <w:suppressAutoHyphens/>
              <w:jc w:val="center"/>
              <w:rPr>
                <w:b/>
                <w:spacing w:val="-3"/>
              </w:rPr>
            </w:pPr>
            <w:r>
              <w:rPr>
                <w:rFonts w:cs="Arial"/>
                <w:b/>
              </w:rPr>
              <w:t>ASAD AL-JABAN</w:t>
            </w:r>
          </w:p>
        </w:tc>
        <w:tc>
          <w:tcPr>
            <w:tcW w:w="1707" w:type="dxa"/>
            <w:hideMark/>
          </w:tcPr>
          <w:p w14:paraId="0B056362" w14:textId="39BEF95C" w:rsidR="00A713C5" w:rsidRDefault="00AC0C2F">
            <w:pPr>
              <w:pStyle w:val="CoverMain"/>
              <w:tabs>
                <w:tab w:val="clear" w:pos="0"/>
              </w:tabs>
              <w:jc w:val="right"/>
            </w:pPr>
            <w:r>
              <w:t>Appe</w:t>
            </w:r>
            <w:r w:rsidR="003320F2">
              <w:t>l</w:t>
            </w:r>
            <w:r>
              <w:t>l</w:t>
            </w:r>
            <w:r w:rsidR="006549D3">
              <w:t>a</w:t>
            </w:r>
            <w:r>
              <w:t>nt</w:t>
            </w:r>
          </w:p>
        </w:tc>
      </w:tr>
      <w:tr w:rsidR="00A713C5" w14:paraId="2A916D74" w14:textId="77777777" w:rsidTr="00A713C5">
        <w:trPr>
          <w:jc w:val="center"/>
        </w:trPr>
        <w:tc>
          <w:tcPr>
            <w:tcW w:w="1701" w:type="dxa"/>
          </w:tcPr>
          <w:p w14:paraId="0200EEB6" w14:textId="77777777" w:rsidR="00A713C5" w:rsidRDefault="00A713C5">
            <w:pPr>
              <w:suppressAutoHyphens/>
              <w:rPr>
                <w:b/>
                <w:spacing w:val="-3"/>
              </w:rPr>
            </w:pPr>
          </w:p>
        </w:tc>
        <w:tc>
          <w:tcPr>
            <w:tcW w:w="5333" w:type="dxa"/>
            <w:hideMark/>
          </w:tcPr>
          <w:p w14:paraId="78D26686" w14:textId="77777777" w:rsidR="00A713C5" w:rsidRDefault="00A713C5">
            <w:pPr>
              <w:suppressAutoHyphens/>
              <w:jc w:val="center"/>
              <w:rPr>
                <w:b/>
                <w:spacing w:val="-3"/>
              </w:rPr>
            </w:pPr>
            <w:r>
              <w:rPr>
                <w:b/>
                <w:spacing w:val="-3"/>
              </w:rPr>
              <w:t>- and -</w:t>
            </w:r>
          </w:p>
        </w:tc>
        <w:tc>
          <w:tcPr>
            <w:tcW w:w="1707" w:type="dxa"/>
          </w:tcPr>
          <w:p w14:paraId="3AB41B8B" w14:textId="77777777" w:rsidR="00A713C5" w:rsidRDefault="00A713C5">
            <w:pPr>
              <w:pStyle w:val="CoverMain"/>
              <w:tabs>
                <w:tab w:val="clear" w:pos="0"/>
              </w:tabs>
              <w:jc w:val="right"/>
            </w:pPr>
          </w:p>
        </w:tc>
      </w:tr>
      <w:tr w:rsidR="00A713C5" w14:paraId="5316E1AE" w14:textId="77777777" w:rsidTr="00A713C5">
        <w:trPr>
          <w:jc w:val="center"/>
        </w:trPr>
        <w:tc>
          <w:tcPr>
            <w:tcW w:w="1701" w:type="dxa"/>
          </w:tcPr>
          <w:p w14:paraId="2820B955" w14:textId="77777777" w:rsidR="00A713C5" w:rsidRDefault="00A713C5">
            <w:pPr>
              <w:suppressAutoHyphens/>
              <w:rPr>
                <w:b/>
                <w:spacing w:val="-3"/>
              </w:rPr>
            </w:pPr>
          </w:p>
        </w:tc>
        <w:tc>
          <w:tcPr>
            <w:tcW w:w="5333" w:type="dxa"/>
            <w:hideMark/>
          </w:tcPr>
          <w:p w14:paraId="0A72C295" w14:textId="0DEF20DA" w:rsidR="00087E2C" w:rsidRPr="00EB7F4F" w:rsidRDefault="00B23624">
            <w:pPr>
              <w:suppressAutoHyphens/>
              <w:jc w:val="center"/>
              <w:rPr>
                <w:b/>
                <w:spacing w:val="-3"/>
              </w:rPr>
            </w:pPr>
            <w:r>
              <w:rPr>
                <w:b/>
                <w:spacing w:val="-3"/>
              </w:rPr>
              <w:t>COURT OF FIRST INSTANCE IN ANTWERP (BELGIUM)</w:t>
            </w:r>
          </w:p>
        </w:tc>
        <w:tc>
          <w:tcPr>
            <w:tcW w:w="1707" w:type="dxa"/>
            <w:hideMark/>
          </w:tcPr>
          <w:p w14:paraId="6F9F734A" w14:textId="0FFFD796" w:rsidR="00A713C5" w:rsidRDefault="00AC0C2F">
            <w:pPr>
              <w:pStyle w:val="CoverMain"/>
              <w:tabs>
                <w:tab w:val="clear" w:pos="0"/>
              </w:tabs>
              <w:jc w:val="right"/>
            </w:pPr>
            <w:r>
              <w:t>Respondent</w:t>
            </w:r>
          </w:p>
        </w:tc>
      </w:tr>
    </w:tbl>
    <w:p w14:paraId="2FDCBD88" w14:textId="77777777" w:rsidR="00A713C5" w:rsidRDefault="00A713C5" w:rsidP="00A713C5">
      <w:pPr>
        <w:suppressAutoHyphens/>
        <w:rPr>
          <w:b/>
          <w:spacing w:val="-3"/>
        </w:rPr>
      </w:pPr>
    </w:p>
    <w:p w14:paraId="425FE4C5" w14:textId="77777777" w:rsidR="00A713C5" w:rsidRDefault="00A713C5" w:rsidP="00A713C5">
      <w:pPr>
        <w:suppressAutoHyphens/>
        <w:jc w:val="center"/>
        <w:rPr>
          <w:spacing w:val="-3"/>
        </w:rPr>
      </w:pPr>
      <w:r>
        <w:rPr>
          <w:spacing w:val="-3"/>
        </w:rPr>
        <w:t>- - - - - - - - - - - - - - - - - - - - -</w:t>
      </w:r>
    </w:p>
    <w:p w14:paraId="488F2A93" w14:textId="0C3FFBA1" w:rsidR="00A713C5" w:rsidRDefault="00A713C5" w:rsidP="0011228F">
      <w:pPr>
        <w:suppressAutoHyphens/>
        <w:jc w:val="center"/>
        <w:rPr>
          <w:spacing w:val="-3"/>
        </w:rPr>
      </w:pPr>
      <w:r>
        <w:rPr>
          <w:spacing w:val="-3"/>
        </w:rPr>
        <w:t>- - - - - - - - - - - - - - - - - - - - -</w:t>
      </w:r>
    </w:p>
    <w:p w14:paraId="37611A40" w14:textId="38DA7032" w:rsidR="00A713C5" w:rsidRDefault="00B23624" w:rsidP="00A713C5">
      <w:pPr>
        <w:suppressAutoHyphens/>
        <w:jc w:val="center"/>
        <w:rPr>
          <w:b/>
          <w:bCs/>
          <w:spacing w:val="-3"/>
        </w:rPr>
      </w:pPr>
      <w:r>
        <w:rPr>
          <w:b/>
          <w:bCs/>
          <w:spacing w:val="-3"/>
        </w:rPr>
        <w:t>Rebecca Hill</w:t>
      </w:r>
      <w:r w:rsidR="00036EF0">
        <w:rPr>
          <w:b/>
          <w:bCs/>
          <w:spacing w:val="-3"/>
        </w:rPr>
        <w:t xml:space="preserve"> </w:t>
      </w:r>
      <w:r w:rsidR="00F71EC5">
        <w:rPr>
          <w:bCs/>
          <w:spacing w:val="-3"/>
        </w:rPr>
        <w:t>(instructed by</w:t>
      </w:r>
      <w:r w:rsidR="00C57CFE">
        <w:rPr>
          <w:bCs/>
          <w:spacing w:val="-3"/>
        </w:rPr>
        <w:t xml:space="preserve"> </w:t>
      </w:r>
      <w:r w:rsidR="00036EF0">
        <w:rPr>
          <w:bCs/>
          <w:spacing w:val="-3"/>
        </w:rPr>
        <w:t>Freemans Solicitors</w:t>
      </w:r>
      <w:r w:rsidR="00F71EC5">
        <w:rPr>
          <w:bCs/>
          <w:spacing w:val="-3"/>
        </w:rPr>
        <w:t xml:space="preserve">) </w:t>
      </w:r>
      <w:r w:rsidR="00A713C5">
        <w:rPr>
          <w:bCs/>
          <w:spacing w:val="-3"/>
        </w:rPr>
        <w:t>for the</w:t>
      </w:r>
      <w:r w:rsidR="00A713C5">
        <w:rPr>
          <w:spacing w:val="-3"/>
        </w:rPr>
        <w:t xml:space="preserve"> </w:t>
      </w:r>
      <w:r w:rsidR="00E65DA6">
        <w:rPr>
          <w:b/>
          <w:bCs/>
          <w:spacing w:val="-3"/>
        </w:rPr>
        <w:t>Appellant</w:t>
      </w:r>
    </w:p>
    <w:p w14:paraId="37E597BD" w14:textId="081DC9C4" w:rsidR="00AA4E31" w:rsidRDefault="00AA4E31" w:rsidP="00A713C5">
      <w:pPr>
        <w:suppressAutoHyphens/>
        <w:jc w:val="center"/>
        <w:rPr>
          <w:bCs/>
          <w:spacing w:val="-3"/>
        </w:rPr>
      </w:pPr>
      <w:r w:rsidRPr="00B42CBC">
        <w:rPr>
          <w:bCs/>
          <w:spacing w:val="-3"/>
        </w:rPr>
        <w:t xml:space="preserve">The </w:t>
      </w:r>
      <w:r w:rsidR="00036EF0">
        <w:rPr>
          <w:b/>
          <w:spacing w:val="-3"/>
        </w:rPr>
        <w:t>R</w:t>
      </w:r>
      <w:r w:rsidRPr="00B42CBC">
        <w:rPr>
          <w:b/>
          <w:spacing w:val="-3"/>
        </w:rPr>
        <w:t>espondent</w:t>
      </w:r>
      <w:r>
        <w:rPr>
          <w:bCs/>
          <w:spacing w:val="-3"/>
        </w:rPr>
        <w:t xml:space="preserve"> did not appear and was not represented</w:t>
      </w:r>
    </w:p>
    <w:p w14:paraId="585E5BAC" w14:textId="35B67AA7" w:rsidR="00A713C5" w:rsidRPr="0011228F" w:rsidRDefault="00F12D56" w:rsidP="0011228F">
      <w:pPr>
        <w:suppressAutoHyphens/>
        <w:jc w:val="center"/>
        <w:rPr>
          <w:spacing w:val="-3"/>
        </w:rPr>
      </w:pPr>
      <w:r>
        <w:rPr>
          <w:spacing w:val="-3"/>
        </w:rPr>
        <w:t>- - - - - - - - - - - - - - - - - - - - -</w:t>
      </w:r>
    </w:p>
    <w:p w14:paraId="272B120A" w14:textId="07BC709B" w:rsidR="00A713C5" w:rsidRPr="00F12D56" w:rsidRDefault="00A713C5" w:rsidP="00F12D56">
      <w:pPr>
        <w:suppressAutoHyphens/>
        <w:jc w:val="center"/>
        <w:rPr>
          <w:spacing w:val="-3"/>
        </w:rPr>
      </w:pPr>
      <w:r>
        <w:rPr>
          <w:spacing w:val="-3"/>
        </w:rPr>
        <w:t>Hearing date</w:t>
      </w:r>
      <w:r w:rsidR="006D68EC">
        <w:rPr>
          <w:spacing w:val="-3"/>
        </w:rPr>
        <w:t xml:space="preserve">: </w:t>
      </w:r>
      <w:r w:rsidR="00FD25E4">
        <w:rPr>
          <w:spacing w:val="-3"/>
        </w:rPr>
        <w:t>13.9.22</w:t>
      </w:r>
    </w:p>
    <w:p w14:paraId="1890BB44" w14:textId="3FA4C7A3" w:rsidR="003D4828" w:rsidRDefault="003D4828" w:rsidP="003D4828">
      <w:pPr>
        <w:suppressAutoHyphens/>
        <w:jc w:val="center"/>
        <w:rPr>
          <w:spacing w:val="-3"/>
        </w:rPr>
      </w:pPr>
      <w:r>
        <w:rPr>
          <w:spacing w:val="-3"/>
        </w:rPr>
        <w:t>- - - - - - - - - - - - - - - - - - - - -</w:t>
      </w:r>
    </w:p>
    <w:p w14:paraId="2F8B84A5" w14:textId="77777777" w:rsidR="00255217" w:rsidRDefault="00255217" w:rsidP="003D4828">
      <w:pPr>
        <w:suppressAutoHyphens/>
        <w:jc w:val="center"/>
        <w:rPr>
          <w:spacing w:val="-3"/>
        </w:rPr>
      </w:pPr>
    </w:p>
    <w:p w14:paraId="036CEA7C" w14:textId="2066FC6A" w:rsidR="003D4828" w:rsidRDefault="00255217" w:rsidP="003D4828">
      <w:pPr>
        <w:pStyle w:val="CoverDesc"/>
      </w:pPr>
      <w:r>
        <w:t>Approved</w:t>
      </w:r>
      <w:r w:rsidR="003D4828">
        <w:t xml:space="preserve"> Judgment</w:t>
      </w:r>
    </w:p>
    <w:p w14:paraId="046C552B" w14:textId="453C8D7D" w:rsidR="003D4828" w:rsidRDefault="003D4828" w:rsidP="003D4828">
      <w:pPr>
        <w:jc w:val="center"/>
      </w:pPr>
      <w:r>
        <w:t>I direct that no official shorthand note shall be taken of this Judgment and that copies of this version as handed down may be treated as authentic.</w:t>
      </w:r>
    </w:p>
    <w:p w14:paraId="4B0BF5FD" w14:textId="77777777" w:rsidR="003D4828" w:rsidRDefault="003D4828" w:rsidP="003D4828">
      <w:pPr>
        <w:jc w:val="center"/>
      </w:pPr>
    </w:p>
    <w:p w14:paraId="24E8BA90" w14:textId="40E03929" w:rsidR="003D4828" w:rsidRDefault="006B544D" w:rsidP="003D4828">
      <w:pPr>
        <w:jc w:val="center"/>
      </w:pPr>
      <w:r>
        <w:rPr>
          <w:noProof/>
        </w:rPr>
        <w:drawing>
          <wp:inline distT="0" distB="0" distL="0" distR="0" wp14:anchorId="74FDBCA6" wp14:editId="1D83C712">
            <wp:extent cx="1000125" cy="613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315" cy="649173"/>
                    </a:xfrm>
                    <a:prstGeom prst="rect">
                      <a:avLst/>
                    </a:prstGeom>
                    <a:noFill/>
                    <a:ln>
                      <a:noFill/>
                    </a:ln>
                  </pic:spPr>
                </pic:pic>
              </a:graphicData>
            </a:graphic>
          </wp:inline>
        </w:drawing>
      </w:r>
    </w:p>
    <w:p w14:paraId="0F49DD03" w14:textId="77777777" w:rsidR="003D4828" w:rsidRDefault="003D4828" w:rsidP="003D4828">
      <w:pPr>
        <w:jc w:val="center"/>
      </w:pPr>
      <w:r>
        <w:t>.............................</w:t>
      </w:r>
    </w:p>
    <w:p w14:paraId="1FB0867F" w14:textId="77777777" w:rsidR="003D4828" w:rsidRDefault="003D4828" w:rsidP="003D4828">
      <w:pPr>
        <w:jc w:val="center"/>
      </w:pPr>
    </w:p>
    <w:p w14:paraId="522477C6" w14:textId="7109E528" w:rsidR="003D4828" w:rsidRDefault="00A90BEC" w:rsidP="003D4828">
      <w:pPr>
        <w:jc w:val="center"/>
      </w:pPr>
      <w:r>
        <w:t>THE HON. MR JUSTICE FORDHAM</w:t>
      </w:r>
    </w:p>
    <w:p w14:paraId="4C518A16" w14:textId="2E844843" w:rsidR="00A713C5" w:rsidRDefault="00A713C5" w:rsidP="00A713C5">
      <w:pPr>
        <w:spacing w:after="240"/>
      </w:pPr>
      <w:r>
        <w:rPr>
          <w:b/>
        </w:rPr>
        <w:lastRenderedPageBreak/>
        <w:t>MR JUSTICE FORDHAM:</w:t>
      </w:r>
      <w:r>
        <w:t xml:space="preserve"> </w:t>
      </w:r>
    </w:p>
    <w:p w14:paraId="451F5D90" w14:textId="6DEC096F" w:rsidR="00E81EE2" w:rsidRPr="00E81EE2" w:rsidRDefault="00E81EE2" w:rsidP="00E81EE2">
      <w:pPr>
        <w:pStyle w:val="ParaLevel1"/>
        <w:numPr>
          <w:ilvl w:val="0"/>
          <w:numId w:val="0"/>
        </w:numPr>
        <w:ind w:left="720" w:hanging="720"/>
        <w:rPr>
          <w:u w:val="single"/>
        </w:rPr>
      </w:pPr>
      <w:r w:rsidRPr="00E81EE2">
        <w:rPr>
          <w:u w:val="single"/>
        </w:rPr>
        <w:t>Introduction</w:t>
      </w:r>
    </w:p>
    <w:p w14:paraId="6B00D0E4" w14:textId="39235C7C" w:rsidR="00AC06DE" w:rsidRDefault="00BA4022" w:rsidP="005A53EB">
      <w:pPr>
        <w:pStyle w:val="ParaLevel1"/>
        <w:tabs>
          <w:tab w:val="left" w:pos="720"/>
        </w:tabs>
      </w:pPr>
      <w:r>
        <w:t>T</w:t>
      </w:r>
      <w:r w:rsidR="006042F8">
        <w:t>his in-person renewed application for permission to appeal c</w:t>
      </w:r>
      <w:r w:rsidR="000B522F">
        <w:t>ame</w:t>
      </w:r>
      <w:r w:rsidR="006042F8">
        <w:t xml:space="preserve"> before the </w:t>
      </w:r>
      <w:r w:rsidR="00A436A6">
        <w:t>C</w:t>
      </w:r>
      <w:r w:rsidR="006042F8">
        <w:t xml:space="preserve">ourt in consequence of the </w:t>
      </w:r>
      <w:r>
        <w:t>D</w:t>
      </w:r>
      <w:r w:rsidR="006042F8">
        <w:t xml:space="preserve">ivisional Court’s judgment </w:t>
      </w:r>
      <w:r w:rsidR="00044687">
        <w:t>[</w:t>
      </w:r>
      <w:r w:rsidR="006042F8">
        <w:t>2022</w:t>
      </w:r>
      <w:r w:rsidR="00044687">
        <w:t>]</w:t>
      </w:r>
      <w:r w:rsidR="006042F8">
        <w:t xml:space="preserve"> EWHC 1906 (</w:t>
      </w:r>
      <w:r>
        <w:t>A</w:t>
      </w:r>
      <w:r w:rsidR="006042F8">
        <w:t>dmin).</w:t>
      </w:r>
      <w:r w:rsidR="004436FC">
        <w:t xml:space="preserve"> </w:t>
      </w:r>
      <w:r w:rsidR="007B2AEB">
        <w:t xml:space="preserve">The background and context can be seen from that judgment </w:t>
      </w:r>
      <w:r w:rsidR="00AF04CB">
        <w:t>(§§</w:t>
      </w:r>
      <w:r w:rsidR="007B2AEB">
        <w:t>3 and 28 to 34</w:t>
      </w:r>
      <w:r w:rsidR="00AF04CB">
        <w:t>), where the essence of the renewal</w:t>
      </w:r>
      <w:r w:rsidR="007B2AEB">
        <w:t xml:space="preserve"> grounds w</w:t>
      </w:r>
      <w:r w:rsidR="00AF04CB">
        <w:t>as</w:t>
      </w:r>
      <w:r w:rsidR="007B2AEB">
        <w:t xml:space="preserve"> </w:t>
      </w:r>
      <w:r w:rsidR="00AF04CB">
        <w:t xml:space="preserve">also </w:t>
      </w:r>
      <w:r w:rsidR="007B2AEB">
        <w:t xml:space="preserve">encapsulated </w:t>
      </w:r>
      <w:r w:rsidR="00AF04CB">
        <w:t>(§33).</w:t>
      </w:r>
      <w:r w:rsidR="003E2029">
        <w:t xml:space="preserve"> </w:t>
      </w:r>
      <w:r w:rsidR="00FD0A9C">
        <w:t xml:space="preserve">There is a section 2 </w:t>
      </w:r>
      <w:r w:rsidR="00C46A67">
        <w:t xml:space="preserve">Extradition Act 2003 </w:t>
      </w:r>
      <w:r w:rsidR="00FD0A9C">
        <w:t>ground raising</w:t>
      </w:r>
      <w:r w:rsidR="00E3568F">
        <w:t xml:space="preserve"> the inadequacy of particulars. There is </w:t>
      </w:r>
      <w:r w:rsidR="00841AB3">
        <w:t xml:space="preserve">also </w:t>
      </w:r>
      <w:r w:rsidR="00E3568F">
        <w:t xml:space="preserve">a section 10 ground alleging the absence of an </w:t>
      </w:r>
      <w:r w:rsidR="003E2029">
        <w:t>“</w:t>
      </w:r>
      <w:r w:rsidR="00E3568F">
        <w:t>extradition offence</w:t>
      </w:r>
      <w:r w:rsidR="003E2029">
        <w:t>”</w:t>
      </w:r>
      <w:r w:rsidR="00E3568F">
        <w:t xml:space="preserve"> by reference to </w:t>
      </w:r>
      <w:r w:rsidR="003E2029">
        <w:t>“</w:t>
      </w:r>
      <w:r w:rsidR="00E3568F">
        <w:t>dual criminality</w:t>
      </w:r>
      <w:r w:rsidR="003E2029">
        <w:t>” but</w:t>
      </w:r>
      <w:r w:rsidR="00E0505A">
        <w:t xml:space="preserve"> Ms Hill accepts that </w:t>
      </w:r>
      <w:r w:rsidR="00C96BAB">
        <w:t>this</w:t>
      </w:r>
      <w:r w:rsidR="00AC06DE">
        <w:t xml:space="preserve"> section 10 ground </w:t>
      </w:r>
      <w:r w:rsidR="00C96BAB">
        <w:t>is parasitic on the section 2 ground</w:t>
      </w:r>
      <w:r w:rsidR="00AC06DE">
        <w:t xml:space="preserve"> (</w:t>
      </w:r>
      <w:r w:rsidR="00C96BAB">
        <w:t>as</w:t>
      </w:r>
      <w:r w:rsidR="00AC06DE">
        <w:t>, I note,</w:t>
      </w:r>
      <w:r w:rsidR="00C96BAB">
        <w:t xml:space="preserve"> </w:t>
      </w:r>
      <w:r w:rsidR="003D1169">
        <w:t xml:space="preserve">was </w:t>
      </w:r>
      <w:r w:rsidR="00AC06DE">
        <w:t xml:space="preserve">also </w:t>
      </w:r>
      <w:r w:rsidR="003D1169">
        <w:t>the position in</w:t>
      </w:r>
      <w:r w:rsidR="00C96BAB">
        <w:t xml:space="preserve"> </w:t>
      </w:r>
      <w:r w:rsidR="00C96BAB" w:rsidRPr="005F363F">
        <w:rPr>
          <w:u w:val="single"/>
        </w:rPr>
        <w:t>Killoran v Belgium</w:t>
      </w:r>
      <w:r w:rsidR="00C96BAB">
        <w:t xml:space="preserve"> [2021] EWHC 1257 (Admin)</w:t>
      </w:r>
      <w:r w:rsidR="003D1169">
        <w:t xml:space="preserve"> at §39</w:t>
      </w:r>
      <w:r w:rsidR="00AC06DE">
        <w:t>)</w:t>
      </w:r>
      <w:r w:rsidR="003D1169">
        <w:t>.</w:t>
      </w:r>
      <w:r w:rsidR="001A4CB7">
        <w:t xml:space="preserve"> I will</w:t>
      </w:r>
      <w:r w:rsidR="003D1169">
        <w:t xml:space="preserve"> be focusing on</w:t>
      </w:r>
      <w:r w:rsidR="001A4CB7">
        <w:t xml:space="preserve"> section 2 particularisation</w:t>
      </w:r>
      <w:r w:rsidR="00222715">
        <w:t>.</w:t>
      </w:r>
    </w:p>
    <w:p w14:paraId="649D0EAA" w14:textId="54F941A6" w:rsidR="00C01BD4" w:rsidRDefault="004C285F" w:rsidP="005A53EB">
      <w:pPr>
        <w:pStyle w:val="ParaLevel1"/>
        <w:tabs>
          <w:tab w:val="left" w:pos="720"/>
        </w:tabs>
      </w:pPr>
      <w:r>
        <w:t xml:space="preserve">The Appellant’s extradition to Belgium was ordered by a judgment of DJ Rimmer (the Judge) dated 13 July 2021. </w:t>
      </w:r>
      <w:r w:rsidR="00F83859">
        <w:t>The EAW of 30 July 2020</w:t>
      </w:r>
      <w:r w:rsidR="00D438AF">
        <w:t xml:space="preserve"> on which the </w:t>
      </w:r>
      <w:r w:rsidR="005B20E7">
        <w:t>A</w:t>
      </w:r>
      <w:r w:rsidR="00D438AF">
        <w:t xml:space="preserve">ppellant was arrested on 4 September 2020 is an accusation warrant. </w:t>
      </w:r>
      <w:r w:rsidR="00F2291B">
        <w:t xml:space="preserve">Further Information is dated 6 January 2021 (FI1) and 26 April 2021 (FI2). </w:t>
      </w:r>
      <w:r w:rsidR="00D438AF">
        <w:t xml:space="preserve">The </w:t>
      </w:r>
      <w:r w:rsidR="005B20E7">
        <w:t>A</w:t>
      </w:r>
      <w:r w:rsidR="00D438AF">
        <w:t>ppellant is a refugee</w:t>
      </w:r>
      <w:r w:rsidR="006B59B0">
        <w:t xml:space="preserve"> whose country of origin is Syria</w:t>
      </w:r>
      <w:r w:rsidR="005B20E7">
        <w:t>. He</w:t>
      </w:r>
      <w:r w:rsidR="00D438AF">
        <w:t xml:space="preserve"> came to the United Kingdom on 22 </w:t>
      </w:r>
      <w:r w:rsidR="003B1159">
        <w:t>June</w:t>
      </w:r>
      <w:r w:rsidR="00D438AF">
        <w:t xml:space="preserve"> 2019 </w:t>
      </w:r>
      <w:r w:rsidR="003B1159">
        <w:t>in a lorry and</w:t>
      </w:r>
      <w:r w:rsidR="00D438AF">
        <w:t xml:space="preserve"> claimed asylum</w:t>
      </w:r>
      <w:r w:rsidR="009F43FC">
        <w:t>,</w:t>
      </w:r>
      <w:r w:rsidR="00D438AF">
        <w:t xml:space="preserve"> which was granted in December 2019.</w:t>
      </w:r>
      <w:r w:rsidR="009F43FC">
        <w:t xml:space="preserve"> </w:t>
      </w:r>
      <w:r w:rsidR="00C46A67">
        <w:t>The</w:t>
      </w:r>
      <w:r w:rsidR="00C64D31">
        <w:t xml:space="preserve"> alleged offences for which he is wanted to stand trial in Belgium relate to </w:t>
      </w:r>
      <w:r w:rsidR="006B59B0">
        <w:t>“</w:t>
      </w:r>
      <w:r w:rsidR="00C64D31">
        <w:t>people trafficking</w:t>
      </w:r>
      <w:r w:rsidR="006B59B0">
        <w:t>”</w:t>
      </w:r>
      <w:r w:rsidR="005A53EB">
        <w:t xml:space="preserve"> as an active member of a</w:t>
      </w:r>
      <w:r w:rsidR="00C64D31">
        <w:t xml:space="preserve"> criminal gang concerned with</w:t>
      </w:r>
      <w:r w:rsidR="003E22EA">
        <w:t xml:space="preserve"> smuggling people from </w:t>
      </w:r>
      <w:r w:rsidR="00222715">
        <w:t>Belgium</w:t>
      </w:r>
      <w:r w:rsidR="003E22EA">
        <w:t xml:space="preserve"> to the United Kingdom </w:t>
      </w:r>
      <w:r w:rsidR="00222715">
        <w:t>hidden in</w:t>
      </w:r>
      <w:r w:rsidR="003E22EA">
        <w:t xml:space="preserve"> lorries.</w:t>
      </w:r>
      <w:r w:rsidR="001F7D5E">
        <w:t xml:space="preserve"> </w:t>
      </w:r>
      <w:r w:rsidR="00C46A67">
        <w:t>The Appellant</w:t>
      </w:r>
      <w:r w:rsidR="00861772">
        <w:t xml:space="preserve"> denies that alleged offending</w:t>
      </w:r>
      <w:r w:rsidR="001F7D5E">
        <w:t xml:space="preserve"> and says he became caught up </w:t>
      </w:r>
      <w:r w:rsidR="005B20E7">
        <w:t xml:space="preserve">with the gang and </w:t>
      </w:r>
      <w:r w:rsidR="001F7D5E">
        <w:t>in the people trafficking</w:t>
      </w:r>
      <w:r w:rsidR="005B20E7">
        <w:t>, but</w:t>
      </w:r>
      <w:r w:rsidR="001F7D5E">
        <w:t xml:space="preserve"> only as a victim</w:t>
      </w:r>
      <w:r w:rsidR="005B20E7">
        <w:t>.</w:t>
      </w:r>
      <w:r w:rsidR="00C01BD4">
        <w:t xml:space="preserve"> </w:t>
      </w:r>
      <w:r w:rsidR="009F43FC">
        <w:t>The Judge heard submissions about a refugee’s shield</w:t>
      </w:r>
      <w:r w:rsidR="00E27F9C">
        <w:t xml:space="preserve"> under </w:t>
      </w:r>
      <w:r w:rsidR="00050104">
        <w:t>Article 31 of the</w:t>
      </w:r>
      <w:r w:rsidR="00E27F9C">
        <w:t xml:space="preserve"> Refugee Convention but the Respondent convincingly explained that a refugee has no blanket immunity</w:t>
      </w:r>
      <w:r w:rsidR="0000230E">
        <w:t xml:space="preserve"> insofar as</w:t>
      </w:r>
      <w:r w:rsidR="004853F6">
        <w:t xml:space="preserve"> they are</w:t>
      </w:r>
      <w:r w:rsidR="0000230E">
        <w:t xml:space="preserve"> directly implicated in </w:t>
      </w:r>
      <w:r w:rsidR="00A634F4">
        <w:t>smuggling others</w:t>
      </w:r>
      <w:r w:rsidR="0000230E">
        <w:t>.</w:t>
      </w:r>
    </w:p>
    <w:p w14:paraId="35BEBF85" w14:textId="6B8F1EBD" w:rsidR="00E736F8" w:rsidRDefault="005A53EB" w:rsidP="00E736F8">
      <w:pPr>
        <w:pStyle w:val="ParaLevel1"/>
        <w:tabs>
          <w:tab w:val="left" w:pos="720"/>
        </w:tabs>
      </w:pPr>
      <w:r>
        <w:t>I would normally have given a judgment ex tempore</w:t>
      </w:r>
      <w:r w:rsidR="001A0F4F">
        <w:t>. But</w:t>
      </w:r>
      <w:r w:rsidR="004436FC">
        <w:t xml:space="preserve"> Ms Hill had </w:t>
      </w:r>
      <w:r>
        <w:t>been instructed at short notice</w:t>
      </w:r>
      <w:r w:rsidR="00A634F4">
        <w:t>. W</w:t>
      </w:r>
      <w:r w:rsidR="00E811F3">
        <w:t>ithout setting any precedent</w:t>
      </w:r>
      <w:r w:rsidR="00A634F4">
        <w:t>,</w:t>
      </w:r>
      <w:r w:rsidR="00E811F3">
        <w:t xml:space="preserve"> </w:t>
      </w:r>
      <w:r w:rsidR="004436FC">
        <w:t xml:space="preserve">I acceded to her invitation to read </w:t>
      </w:r>
      <w:r w:rsidR="006D086B">
        <w:t xml:space="preserve">and consider </w:t>
      </w:r>
      <w:r w:rsidR="00253B54">
        <w:t xml:space="preserve">– after the hearing – two </w:t>
      </w:r>
      <w:r w:rsidR="004436FC">
        <w:t xml:space="preserve">authorities </w:t>
      </w:r>
      <w:r w:rsidR="006D086B">
        <w:t xml:space="preserve">which </w:t>
      </w:r>
      <w:r w:rsidR="00253B54">
        <w:t xml:space="preserve">she </w:t>
      </w:r>
      <w:r w:rsidR="00410559">
        <w:t>emphasised</w:t>
      </w:r>
      <w:r w:rsidR="00253B54">
        <w:t xml:space="preserve"> but which </w:t>
      </w:r>
      <w:r w:rsidR="006D086B">
        <w:t xml:space="preserve">had not been supplied in </w:t>
      </w:r>
      <w:r w:rsidR="00253B54">
        <w:t xml:space="preserve">her authorities </w:t>
      </w:r>
      <w:r w:rsidR="006D086B">
        <w:t>bundle,</w:t>
      </w:r>
      <w:r w:rsidR="004436FC">
        <w:t xml:space="preserve"> </w:t>
      </w:r>
      <w:r w:rsidR="00253B54">
        <w:t>then giving</w:t>
      </w:r>
      <w:r w:rsidR="004436FC">
        <w:t xml:space="preserve"> a </w:t>
      </w:r>
      <w:r w:rsidR="008B236F">
        <w:t xml:space="preserve">brief </w:t>
      </w:r>
      <w:r w:rsidR="004436FC">
        <w:t xml:space="preserve">ruling in writing. </w:t>
      </w:r>
      <w:r w:rsidR="00410559">
        <w:t>In doing so, I came across</w:t>
      </w:r>
      <w:r w:rsidR="00E811F3">
        <w:t xml:space="preserve"> </w:t>
      </w:r>
      <w:r w:rsidR="00E811F3" w:rsidRPr="009A2F97">
        <w:rPr>
          <w:u w:val="single"/>
        </w:rPr>
        <w:t>Killoran</w:t>
      </w:r>
      <w:r w:rsidR="00E811F3">
        <w:t xml:space="preserve"> </w:t>
      </w:r>
      <w:r w:rsidR="00E30763">
        <w:t xml:space="preserve">and asked her to address that case </w:t>
      </w:r>
      <w:r w:rsidR="00E811F3">
        <w:t>in</w:t>
      </w:r>
      <w:r w:rsidR="004436FC">
        <w:t xml:space="preserve"> urgent brief written submissions</w:t>
      </w:r>
      <w:r w:rsidR="00E811F3">
        <w:t xml:space="preserve">, as she </w:t>
      </w:r>
      <w:r w:rsidR="00E30763">
        <w:t xml:space="preserve">helpfully </w:t>
      </w:r>
      <w:r w:rsidR="00E811F3">
        <w:t>did.</w:t>
      </w:r>
      <w:r w:rsidR="00E30763">
        <w:t xml:space="preserve"> </w:t>
      </w:r>
      <w:r w:rsidR="00E736F8">
        <w:t>In subsequent reading for another case</w:t>
      </w:r>
      <w:r w:rsidR="00BB56DC">
        <w:t>,</w:t>
      </w:r>
      <w:r w:rsidR="00E736F8">
        <w:t xml:space="preserve"> I have also </w:t>
      </w:r>
      <w:r w:rsidR="00BB56DC">
        <w:t xml:space="preserve">now </w:t>
      </w:r>
      <w:r w:rsidR="00E736F8">
        <w:t xml:space="preserve">come across </w:t>
      </w:r>
      <w:r w:rsidR="00E736F8" w:rsidRPr="00E736F8">
        <w:rPr>
          <w:u w:val="single"/>
        </w:rPr>
        <w:t>Osu v Spain</w:t>
      </w:r>
      <w:r w:rsidR="00E736F8" w:rsidRPr="007E1768">
        <w:t xml:space="preserve"> [2020] EWHC 3856 (Admin)</w:t>
      </w:r>
      <w:r w:rsidR="00E736F8">
        <w:t xml:space="preserve">, to which I will interpose two footnote references. I was and am satisfied that it is not necessary or appropriate to reconvene the hearing or put any </w:t>
      </w:r>
      <w:r w:rsidR="00BB56DC">
        <w:t xml:space="preserve">further </w:t>
      </w:r>
      <w:r w:rsidR="00E736F8">
        <w:t xml:space="preserve">aspect </w:t>
      </w:r>
      <w:r w:rsidR="00BB56DC">
        <w:t>for argument by either party</w:t>
      </w:r>
      <w:r w:rsidR="00E736F8">
        <w:t>.</w:t>
      </w:r>
    </w:p>
    <w:p w14:paraId="6EA71C77" w14:textId="09702327" w:rsidR="00E81EE2" w:rsidRPr="00E81EE2" w:rsidRDefault="00E81EE2" w:rsidP="00E81EE2">
      <w:pPr>
        <w:pStyle w:val="ParaLevel1"/>
        <w:numPr>
          <w:ilvl w:val="0"/>
          <w:numId w:val="0"/>
        </w:numPr>
        <w:tabs>
          <w:tab w:val="left" w:pos="720"/>
        </w:tabs>
        <w:rPr>
          <w:u w:val="single"/>
        </w:rPr>
      </w:pPr>
      <w:r w:rsidRPr="00E81EE2">
        <w:rPr>
          <w:u w:val="single"/>
        </w:rPr>
        <w:t>Law</w:t>
      </w:r>
    </w:p>
    <w:p w14:paraId="3AB3D059" w14:textId="74987942" w:rsidR="00884712" w:rsidRDefault="00D574C4" w:rsidP="00433076">
      <w:pPr>
        <w:pStyle w:val="ParaLevel1"/>
        <w:tabs>
          <w:tab w:val="left" w:pos="720"/>
        </w:tabs>
      </w:pPr>
      <w:r>
        <w:t xml:space="preserve">The </w:t>
      </w:r>
      <w:r w:rsidR="009A2F97">
        <w:t xml:space="preserve">essential law </w:t>
      </w:r>
      <w:r w:rsidR="005F32AA">
        <w:t>on particularisation derives from</w:t>
      </w:r>
      <w:r>
        <w:t xml:space="preserve"> section 2</w:t>
      </w:r>
      <w:r w:rsidR="00F231FB">
        <w:t>(4)(c)(d)</w:t>
      </w:r>
      <w:r>
        <w:t xml:space="preserve"> of the 2003 </w:t>
      </w:r>
      <w:r w:rsidR="0082480C">
        <w:t>A</w:t>
      </w:r>
      <w:r>
        <w:t xml:space="preserve">ct and </w:t>
      </w:r>
      <w:r w:rsidR="00F231FB">
        <w:t>A</w:t>
      </w:r>
      <w:r>
        <w:t>rticle 8</w:t>
      </w:r>
      <w:r w:rsidR="00F231FB">
        <w:t>(1)(e)(f)</w:t>
      </w:r>
      <w:r>
        <w:t xml:space="preserve"> of the </w:t>
      </w:r>
      <w:r w:rsidR="00F231FB">
        <w:t>F</w:t>
      </w:r>
      <w:r>
        <w:t xml:space="preserve">ramework </w:t>
      </w:r>
      <w:r w:rsidR="00F231FB">
        <w:t>D</w:t>
      </w:r>
      <w:r>
        <w:t>ecision compatibly with which it is interpreted and applied</w:t>
      </w:r>
      <w:r w:rsidR="00322F72">
        <w:t xml:space="preserve"> (in the present case)</w:t>
      </w:r>
      <w:r w:rsidR="0010279D">
        <w:t xml:space="preserve">; </w:t>
      </w:r>
      <w:r w:rsidR="00D27419">
        <w:t xml:space="preserve">and </w:t>
      </w:r>
      <w:r w:rsidR="0010279D">
        <w:t xml:space="preserve">the </w:t>
      </w:r>
      <w:r w:rsidR="00322F72">
        <w:t>M</w:t>
      </w:r>
      <w:r w:rsidR="0010279D">
        <w:t xml:space="preserve">ultiple </w:t>
      </w:r>
      <w:r w:rsidR="00322F72">
        <w:t>O</w:t>
      </w:r>
      <w:r w:rsidR="0010279D">
        <w:t xml:space="preserve">ffences </w:t>
      </w:r>
      <w:r w:rsidR="00322F72">
        <w:t>O</w:t>
      </w:r>
      <w:r w:rsidR="0010279D">
        <w:t>rder SI 2003/3150</w:t>
      </w:r>
      <w:r w:rsidR="00D27419">
        <w:t>. As to authorities, the</w:t>
      </w:r>
      <w:r w:rsidR="00D7694D">
        <w:t xml:space="preserve"> Judge referred to</w:t>
      </w:r>
      <w:r w:rsidR="008C1EAB">
        <w:t xml:space="preserve"> </w:t>
      </w:r>
      <w:r w:rsidR="008C1EAB">
        <w:rPr>
          <w:u w:val="single"/>
        </w:rPr>
        <w:t>Belgium v Cando-Armas</w:t>
      </w:r>
      <w:r w:rsidR="008C1EAB">
        <w:t xml:space="preserve"> [2006] 2 AC 1; </w:t>
      </w:r>
      <w:r w:rsidR="008C1EAB">
        <w:rPr>
          <w:u w:val="single"/>
        </w:rPr>
        <w:t>Dabas v Spain</w:t>
      </w:r>
      <w:r w:rsidR="008C1EAB">
        <w:t xml:space="preserve"> </w:t>
      </w:r>
      <w:r w:rsidR="00A3109C">
        <w:t>[2007] 2 AC 31;</w:t>
      </w:r>
      <w:r w:rsidR="00B56EEE">
        <w:t xml:space="preserve"> </w:t>
      </w:r>
      <w:r w:rsidR="00B56EEE" w:rsidRPr="00B56EEE">
        <w:rPr>
          <w:u w:val="single"/>
        </w:rPr>
        <w:t>Ektor v Holland</w:t>
      </w:r>
      <w:r w:rsidR="00B56EEE">
        <w:t xml:space="preserve"> [2007] EWHC 3106 (Admin); </w:t>
      </w:r>
      <w:r w:rsidR="00B56EEE" w:rsidRPr="00B56EEE">
        <w:rPr>
          <w:u w:val="single"/>
        </w:rPr>
        <w:t>Taylor v Germany</w:t>
      </w:r>
      <w:r w:rsidR="00B56EEE">
        <w:t xml:space="preserve"> [2012] EWHC 475 (Admin);</w:t>
      </w:r>
      <w:r w:rsidR="00BB6D24">
        <w:t xml:space="preserve"> </w:t>
      </w:r>
      <w:r w:rsidR="00BB6D24" w:rsidRPr="00B56EEE">
        <w:rPr>
          <w:u w:val="single"/>
        </w:rPr>
        <w:t xml:space="preserve">Poland v </w:t>
      </w:r>
      <w:r w:rsidR="006B4126">
        <w:rPr>
          <w:u w:val="single"/>
        </w:rPr>
        <w:t>S</w:t>
      </w:r>
      <w:r w:rsidR="00BB6D24" w:rsidRPr="00B56EEE">
        <w:rPr>
          <w:u w:val="single"/>
        </w:rPr>
        <w:t>abramowicz</w:t>
      </w:r>
      <w:r w:rsidR="00BB6D24">
        <w:t xml:space="preserve"> [2012] EWHC 3878 (Admin)</w:t>
      </w:r>
      <w:r w:rsidR="00B56EEE">
        <w:t>;</w:t>
      </w:r>
      <w:r w:rsidR="004E3491">
        <w:t xml:space="preserve"> </w:t>
      </w:r>
      <w:r w:rsidR="004E3491">
        <w:rPr>
          <w:u w:val="single"/>
        </w:rPr>
        <w:t xml:space="preserve">Alexander </w:t>
      </w:r>
      <w:r w:rsidR="002A4F1A">
        <w:rPr>
          <w:u w:val="single"/>
        </w:rPr>
        <w:t>&amp; Di Benedetto</w:t>
      </w:r>
      <w:r w:rsidR="008C1EAB">
        <w:rPr>
          <w:u w:val="single"/>
        </w:rPr>
        <w:t xml:space="preserve"> </w:t>
      </w:r>
      <w:r w:rsidR="004E3491">
        <w:rPr>
          <w:u w:val="single"/>
        </w:rPr>
        <w:t xml:space="preserve">v </w:t>
      </w:r>
      <w:r w:rsidR="002A4F1A">
        <w:rPr>
          <w:u w:val="single"/>
        </w:rPr>
        <w:t>France &amp; Italy</w:t>
      </w:r>
      <w:r w:rsidR="002A4F1A">
        <w:t xml:space="preserve"> [2017] EWHC 1392 (Admin);</w:t>
      </w:r>
      <w:r w:rsidR="00474CCF">
        <w:t xml:space="preserve"> </w:t>
      </w:r>
      <w:r w:rsidR="00474CCF">
        <w:rPr>
          <w:u w:val="single"/>
        </w:rPr>
        <w:t>FK v Germany</w:t>
      </w:r>
      <w:r w:rsidR="00474CCF">
        <w:t xml:space="preserve"> [2017] EWHC 2160 (Admin); </w:t>
      </w:r>
      <w:r w:rsidR="00474CCF">
        <w:rPr>
          <w:u w:val="single"/>
        </w:rPr>
        <w:t>M &amp; B v Italy</w:t>
      </w:r>
      <w:r w:rsidR="00474CCF">
        <w:t xml:space="preserve"> [2018] </w:t>
      </w:r>
      <w:r w:rsidR="004E3491">
        <w:t>EWHC 1808 (Admin);</w:t>
      </w:r>
      <w:r w:rsidR="00042960">
        <w:t xml:space="preserve"> </w:t>
      </w:r>
      <w:r w:rsidR="00042960" w:rsidRPr="00B56EEE">
        <w:rPr>
          <w:u w:val="single"/>
        </w:rPr>
        <w:t>Avadanei v France</w:t>
      </w:r>
      <w:r w:rsidR="00042960">
        <w:t xml:space="preserve"> [2019] EWHC 2534 (Admin)</w:t>
      </w:r>
      <w:r w:rsidR="00B56EEE">
        <w:t>;</w:t>
      </w:r>
      <w:r w:rsidR="00D7694D">
        <w:t xml:space="preserve"> </w:t>
      </w:r>
      <w:r w:rsidR="00D7694D" w:rsidRPr="00B56EEE">
        <w:rPr>
          <w:u w:val="single"/>
        </w:rPr>
        <w:t>Zeka v Belgium</w:t>
      </w:r>
      <w:r w:rsidR="00D7694D">
        <w:t xml:space="preserve"> [2020] EWHC 2304 (Admin)</w:t>
      </w:r>
      <w:r w:rsidR="000247FB">
        <w:t xml:space="preserve">. </w:t>
      </w:r>
      <w:r w:rsidR="00624ADA">
        <w:t>Ms Hill</w:t>
      </w:r>
      <w:r w:rsidR="00B00240">
        <w:t>’s bundle</w:t>
      </w:r>
      <w:r w:rsidR="00624ADA">
        <w:t xml:space="preserve"> supplied me with</w:t>
      </w:r>
      <w:r w:rsidR="001112E0">
        <w:t xml:space="preserve"> </w:t>
      </w:r>
      <w:r w:rsidR="0049392B">
        <w:rPr>
          <w:u w:val="single"/>
        </w:rPr>
        <w:t>Taylor</w:t>
      </w:r>
      <w:r w:rsidR="00624ADA">
        <w:t xml:space="preserve">, </w:t>
      </w:r>
      <w:r w:rsidR="0049392B">
        <w:rPr>
          <w:u w:val="single"/>
        </w:rPr>
        <w:t>M &amp; B</w:t>
      </w:r>
      <w:r w:rsidR="00624ADA">
        <w:t xml:space="preserve"> and</w:t>
      </w:r>
      <w:r w:rsidR="0049392B">
        <w:t xml:space="preserve"> </w:t>
      </w:r>
      <w:r w:rsidR="0049392B">
        <w:rPr>
          <w:u w:val="single"/>
        </w:rPr>
        <w:lastRenderedPageBreak/>
        <w:t>King v France</w:t>
      </w:r>
      <w:r w:rsidR="0049392B">
        <w:t xml:space="preserve"> </w:t>
      </w:r>
      <w:r w:rsidR="000723A3">
        <w:t xml:space="preserve">[2015] EWHC 3670 (Admin). </w:t>
      </w:r>
      <w:r w:rsidR="00A972C0">
        <w:t>At the end of the hearing she asked</w:t>
      </w:r>
      <w:r w:rsidR="00624ADA">
        <w:t xml:space="preserve"> me to </w:t>
      </w:r>
      <w:r w:rsidR="00A972C0">
        <w:t xml:space="preserve">receive and </w:t>
      </w:r>
      <w:r w:rsidR="00624ADA">
        <w:t>read</w:t>
      </w:r>
      <w:r w:rsidR="006F2160">
        <w:t xml:space="preserve"> </w:t>
      </w:r>
      <w:r w:rsidR="006F2160">
        <w:rPr>
          <w:u w:val="single"/>
        </w:rPr>
        <w:t>Avadanei</w:t>
      </w:r>
      <w:r w:rsidR="006F2160">
        <w:t xml:space="preserve"> and </w:t>
      </w:r>
      <w:r w:rsidR="006F2160">
        <w:rPr>
          <w:u w:val="single"/>
        </w:rPr>
        <w:t>Zeka</w:t>
      </w:r>
      <w:r w:rsidR="00624ADA">
        <w:t>.</w:t>
      </w:r>
      <w:r w:rsidR="00884712">
        <w:t xml:space="preserve"> I </w:t>
      </w:r>
      <w:r w:rsidR="00A972C0">
        <w:t xml:space="preserve">then </w:t>
      </w:r>
      <w:r w:rsidR="00CF069F">
        <w:t>drew her attention to</w:t>
      </w:r>
      <w:r w:rsidR="00884712">
        <w:t xml:space="preserve"> </w:t>
      </w:r>
      <w:r w:rsidR="00884712" w:rsidRPr="00884712">
        <w:rPr>
          <w:u w:val="single"/>
        </w:rPr>
        <w:t>Killoran</w:t>
      </w:r>
      <w:r w:rsidR="00884712">
        <w:t>.</w:t>
      </w:r>
    </w:p>
    <w:p w14:paraId="227F2585" w14:textId="39470645" w:rsidR="00CF069F" w:rsidRPr="00CF069F" w:rsidRDefault="00CF069F" w:rsidP="00CF069F">
      <w:pPr>
        <w:pStyle w:val="ParaLevel1"/>
        <w:numPr>
          <w:ilvl w:val="0"/>
          <w:numId w:val="0"/>
        </w:numPr>
        <w:rPr>
          <w:u w:val="single"/>
        </w:rPr>
      </w:pPr>
      <w:r w:rsidRPr="00CF069F">
        <w:rPr>
          <w:u w:val="single"/>
        </w:rPr>
        <w:t>Legal Principles</w:t>
      </w:r>
    </w:p>
    <w:p w14:paraId="1C77BD7C" w14:textId="3B536A64" w:rsidR="004913CA" w:rsidRDefault="00D05893" w:rsidP="009F4D23">
      <w:pPr>
        <w:pStyle w:val="ParaLevel1"/>
        <w:tabs>
          <w:tab w:val="left" w:pos="720"/>
        </w:tabs>
      </w:pPr>
      <w:r>
        <w:t xml:space="preserve">The following summary </w:t>
      </w:r>
      <w:r w:rsidR="00433076">
        <w:t xml:space="preserve">of applicable legal principles </w:t>
      </w:r>
      <w:r>
        <w:t xml:space="preserve">suffices for the present case. </w:t>
      </w:r>
      <w:r w:rsidR="009F4D23">
        <w:t xml:space="preserve">They </w:t>
      </w:r>
      <w:r w:rsidR="001B1D6A">
        <w:t>can all be found</w:t>
      </w:r>
      <w:r w:rsidR="007F72E2">
        <w:t xml:space="preserve"> reflected in the Judge’s judgment. </w:t>
      </w:r>
      <w:r w:rsidR="00CF069F">
        <w:t xml:space="preserve">(1) </w:t>
      </w:r>
      <w:r w:rsidR="00A25760">
        <w:t>Legally adequate p</w:t>
      </w:r>
      <w:r w:rsidR="00E15FF7">
        <w:t xml:space="preserve">articularisation </w:t>
      </w:r>
      <w:r w:rsidR="00A25760">
        <w:t xml:space="preserve">is required </w:t>
      </w:r>
      <w:r w:rsidR="00896378">
        <w:t>for an EAW to be valid</w:t>
      </w:r>
      <w:r w:rsidR="00C76F84">
        <w:t xml:space="preserve"> (</w:t>
      </w:r>
      <w:r w:rsidR="00C76F84" w:rsidRPr="00F14D6F">
        <w:rPr>
          <w:u w:val="single"/>
        </w:rPr>
        <w:t>M</w:t>
      </w:r>
      <w:r w:rsidR="00F14D6F">
        <w:rPr>
          <w:u w:val="single"/>
        </w:rPr>
        <w:t xml:space="preserve"> </w:t>
      </w:r>
      <w:r w:rsidR="00C76F84" w:rsidRPr="00F14D6F">
        <w:rPr>
          <w:u w:val="single"/>
        </w:rPr>
        <w:t>&amp;</w:t>
      </w:r>
      <w:r w:rsidR="00F14D6F">
        <w:rPr>
          <w:u w:val="single"/>
        </w:rPr>
        <w:t xml:space="preserve"> </w:t>
      </w:r>
      <w:r w:rsidR="00C76F84" w:rsidRPr="00F14D6F">
        <w:rPr>
          <w:u w:val="single"/>
        </w:rPr>
        <w:t>B</w:t>
      </w:r>
      <w:r w:rsidR="00C76F84">
        <w:t xml:space="preserve"> §</w:t>
      </w:r>
      <w:r w:rsidR="00F14D6F">
        <w:t>46i)</w:t>
      </w:r>
      <w:r w:rsidR="00896378">
        <w:t xml:space="preserve">. </w:t>
      </w:r>
      <w:r w:rsidR="005D66F3">
        <w:t xml:space="preserve">(2) </w:t>
      </w:r>
      <w:r w:rsidR="00896378">
        <w:t>Further Information can add missing information to a deficient EAW to establish its validity</w:t>
      </w:r>
      <w:r w:rsidR="00E7539B">
        <w:t xml:space="preserve"> (</w:t>
      </w:r>
      <w:r w:rsidR="00E7539B" w:rsidRPr="00C76F84">
        <w:rPr>
          <w:u w:val="single"/>
        </w:rPr>
        <w:t>Alexander</w:t>
      </w:r>
      <w:r w:rsidR="00E7539B">
        <w:t xml:space="preserve"> §73)</w:t>
      </w:r>
      <w:r w:rsidR="005D66F3">
        <w:t xml:space="preserve">. (3) However, </w:t>
      </w:r>
      <w:r w:rsidR="00F14D6F">
        <w:t>a</w:t>
      </w:r>
      <w:r w:rsidR="00A25760">
        <w:t xml:space="preserve"> “whol</w:t>
      </w:r>
      <w:r w:rsidR="00ED09F7">
        <w:t>esale failure</w:t>
      </w:r>
      <w:r w:rsidR="00A25760">
        <w:t>”</w:t>
      </w:r>
      <w:r w:rsidR="00CE3DA9">
        <w:t xml:space="preserve"> </w:t>
      </w:r>
      <w:r w:rsidR="00ED09F7">
        <w:t xml:space="preserve">in the </w:t>
      </w:r>
      <w:r w:rsidR="00E7539B">
        <w:t xml:space="preserve">EAW cannot be cured by Further Information </w:t>
      </w:r>
      <w:r w:rsidR="00CE3DA9">
        <w:t>(</w:t>
      </w:r>
      <w:r w:rsidR="00CE3DA9" w:rsidRPr="00C76F84">
        <w:rPr>
          <w:u w:val="single"/>
        </w:rPr>
        <w:t>Alexander</w:t>
      </w:r>
      <w:r w:rsidR="00CE3DA9">
        <w:t xml:space="preserve"> §</w:t>
      </w:r>
      <w:r w:rsidR="00C76F84">
        <w:t>75).</w:t>
      </w:r>
      <w:r w:rsidR="00F14D6F">
        <w:t xml:space="preserve"> </w:t>
      </w:r>
      <w:r w:rsidR="005D66F3">
        <w:t xml:space="preserve">(4) </w:t>
      </w:r>
      <w:r w:rsidR="00F14D6F">
        <w:t xml:space="preserve">The onus </w:t>
      </w:r>
      <w:r w:rsidR="005D66F3">
        <w:t xml:space="preserve">in establishing legally adequate particulars </w:t>
      </w:r>
      <w:r w:rsidR="00FD4B31">
        <w:t>is on the requesting judicial authority and the standard is the criminal standard (</w:t>
      </w:r>
      <w:r w:rsidR="00FD4B31" w:rsidRPr="00FD4B31">
        <w:rPr>
          <w:u w:val="single"/>
        </w:rPr>
        <w:t>M &amp; B</w:t>
      </w:r>
      <w:r w:rsidR="00FD4B31">
        <w:t xml:space="preserve"> §46ii, iii).</w:t>
      </w:r>
      <w:r w:rsidR="003904D0">
        <w:t xml:space="preserve"> </w:t>
      </w:r>
      <w:r w:rsidR="00AD2BF0">
        <w:t xml:space="preserve">(5) </w:t>
      </w:r>
      <w:r w:rsidR="000F1658">
        <w:t>“Each offence” must be adequately particularised (</w:t>
      </w:r>
      <w:r w:rsidR="000F1658" w:rsidRPr="00963B5B">
        <w:rPr>
          <w:u w:val="single"/>
        </w:rPr>
        <w:t>FK</w:t>
      </w:r>
      <w:r w:rsidR="000F1658">
        <w:t xml:space="preserve"> §</w:t>
      </w:r>
      <w:r w:rsidR="00963B5B">
        <w:t>54vi</w:t>
      </w:r>
      <w:r w:rsidR="00AD2BF0">
        <w:t>; 2003 Order</w:t>
      </w:r>
      <w:r w:rsidR="00963B5B">
        <w:t>).</w:t>
      </w:r>
      <w:r w:rsidR="00286BBE">
        <w:t xml:space="preserve"> </w:t>
      </w:r>
      <w:r w:rsidR="00AD2BF0">
        <w:t xml:space="preserve">(6) </w:t>
      </w:r>
      <w:r w:rsidR="0034242F">
        <w:t>Required i</w:t>
      </w:r>
      <w:r w:rsidR="00211817">
        <w:t>nformation includes “particulars of the circumstances in which the person is alleged to have committed the offence”</w:t>
      </w:r>
      <w:r w:rsidR="001B54DE">
        <w:t>, including “the conduct</w:t>
      </w:r>
      <w:r w:rsidR="006C0DE2">
        <w:t>”</w:t>
      </w:r>
      <w:r w:rsidR="001B54DE">
        <w:t xml:space="preserve"> alleged to constitute the offence</w:t>
      </w:r>
      <w:r w:rsidR="0034242F">
        <w:t>,</w:t>
      </w:r>
      <w:r w:rsidR="006C0DE2">
        <w:t xml:space="preserve"> “</w:t>
      </w:r>
      <w:r w:rsidR="001B54DE">
        <w:t xml:space="preserve">the time and place at which” they are alleged to have </w:t>
      </w:r>
      <w:r w:rsidR="00C0684C">
        <w:t>done so</w:t>
      </w:r>
      <w:r w:rsidR="0034242F">
        <w:t>,</w:t>
      </w:r>
      <w:r w:rsidR="00B4060F">
        <w:t xml:space="preserve"> “any provision of the law</w:t>
      </w:r>
      <w:r w:rsidR="001F784D">
        <w:t>”</w:t>
      </w:r>
      <w:r w:rsidR="00B4060F">
        <w:t xml:space="preserve"> under which the conduct is alleged to </w:t>
      </w:r>
      <w:r w:rsidR="001F784D">
        <w:t>“</w:t>
      </w:r>
      <w:r w:rsidR="00B4060F">
        <w:t>constitute an offence” (s.2(4)(c))</w:t>
      </w:r>
      <w:r w:rsidR="0039438B">
        <w:t>, their “degree of participation” (Article 8</w:t>
      </w:r>
      <w:r w:rsidR="006403DE">
        <w:t>(1)(e))</w:t>
      </w:r>
      <w:r w:rsidR="00AF568E">
        <w:t>,</w:t>
      </w:r>
      <w:r w:rsidR="00E11520">
        <w:t xml:space="preserve"> and “particulars of the sentence which may be imposed” (s.2(4)(d))</w:t>
      </w:r>
      <w:r w:rsidR="006403DE">
        <w:t>.</w:t>
      </w:r>
      <w:r w:rsidR="00A32F11">
        <w:t xml:space="preserve"> </w:t>
      </w:r>
      <w:r w:rsidR="00AF568E">
        <w:t xml:space="preserve">(7) </w:t>
      </w:r>
      <w:r w:rsidR="00A32F11">
        <w:t xml:space="preserve">The purposes of particularisation </w:t>
      </w:r>
      <w:r w:rsidR="00A26A6A">
        <w:t xml:space="preserve">are </w:t>
      </w:r>
      <w:r w:rsidR="00A36390">
        <w:t xml:space="preserve">twofold. </w:t>
      </w:r>
      <w:r w:rsidR="00AF568E">
        <w:t xml:space="preserve">(i) </w:t>
      </w:r>
      <w:r w:rsidR="00A36390">
        <w:t>First, so that the</w:t>
      </w:r>
      <w:r w:rsidR="00A26A6A">
        <w:t xml:space="preserve"> requested person </w:t>
      </w:r>
      <w:r w:rsidR="001A0A53">
        <w:t xml:space="preserve">knows </w:t>
      </w:r>
      <w:r w:rsidR="00065A0F">
        <w:t xml:space="preserve">with reasonable certainty the </w:t>
      </w:r>
      <w:r w:rsidR="00367A98">
        <w:t xml:space="preserve">substance of the allegations against them, in particular when and where the offence is said to have been committed and </w:t>
      </w:r>
      <w:r w:rsidR="001B7F84">
        <w:t>what they are said to have done (</w:t>
      </w:r>
      <w:r w:rsidR="001B7F84" w:rsidRPr="001B7F84">
        <w:rPr>
          <w:u w:val="single"/>
        </w:rPr>
        <w:t>FK</w:t>
      </w:r>
      <w:r w:rsidR="001B7F84">
        <w:t xml:space="preserve"> §54ii)</w:t>
      </w:r>
      <w:r w:rsidR="0075750F">
        <w:t xml:space="preserve">. </w:t>
      </w:r>
      <w:r w:rsidR="00AF568E">
        <w:t xml:space="preserve">(ii) </w:t>
      </w:r>
      <w:r w:rsidR="0075750F">
        <w:t xml:space="preserve">Secondly, so that the requested person </w:t>
      </w:r>
      <w:r w:rsidR="00C00067">
        <w:t xml:space="preserve">can raise </w:t>
      </w:r>
      <w:r w:rsidR="001F2863">
        <w:t xml:space="preserve">– and </w:t>
      </w:r>
      <w:r w:rsidR="00C00067">
        <w:t xml:space="preserve">the </w:t>
      </w:r>
      <w:r w:rsidR="00BA0573">
        <w:t>extradition court</w:t>
      </w:r>
      <w:r w:rsidR="00C00067">
        <w:t>s</w:t>
      </w:r>
      <w:r w:rsidR="00BA0573">
        <w:t xml:space="preserve"> apply </w:t>
      </w:r>
      <w:r w:rsidR="001F2863">
        <w:t>– extrad</w:t>
      </w:r>
      <w:r w:rsidR="00BA0573">
        <w:t>ition bars and safeguards</w:t>
      </w:r>
      <w:r w:rsidR="00543D92">
        <w:t xml:space="preserve"> (</w:t>
      </w:r>
      <w:r w:rsidR="00543D92" w:rsidRPr="00CC1745">
        <w:rPr>
          <w:u w:val="single"/>
        </w:rPr>
        <w:t>FK</w:t>
      </w:r>
      <w:r w:rsidR="00543D92">
        <w:t xml:space="preserve"> </w:t>
      </w:r>
      <w:r w:rsidR="00CC1745">
        <w:t>§54iii-iv)</w:t>
      </w:r>
      <w:r w:rsidR="00543D92">
        <w:t>, including (a)</w:t>
      </w:r>
      <w:r w:rsidR="001F2863">
        <w:t xml:space="preserve"> </w:t>
      </w:r>
      <w:r w:rsidR="00C00067">
        <w:t xml:space="preserve">the dual criminality “transposition exercise” </w:t>
      </w:r>
      <w:r w:rsidR="00BA18A6">
        <w:t>regarding each “offence” (</w:t>
      </w:r>
      <w:r>
        <w:t xml:space="preserve">2003 Act ss.10, 64; </w:t>
      </w:r>
      <w:r w:rsidRPr="00D05893">
        <w:rPr>
          <w:u w:val="single"/>
        </w:rPr>
        <w:t>FK</w:t>
      </w:r>
      <w:r>
        <w:t xml:space="preserve"> §54iii; </w:t>
      </w:r>
      <w:r w:rsidRPr="00D05893">
        <w:rPr>
          <w:u w:val="single"/>
        </w:rPr>
        <w:t>M &amp; B</w:t>
      </w:r>
      <w:r>
        <w:t xml:space="preserve"> §47)</w:t>
      </w:r>
      <w:r w:rsidR="001F2863">
        <w:t xml:space="preserve"> and (b)</w:t>
      </w:r>
      <w:r w:rsidR="00CC1745">
        <w:t xml:space="preserve"> </w:t>
      </w:r>
      <w:r w:rsidR="008771C4">
        <w:t>being able to invoke</w:t>
      </w:r>
      <w:r w:rsidR="00CC1745">
        <w:t xml:space="preserve"> specialty protection</w:t>
      </w:r>
      <w:r w:rsidR="008771C4">
        <w:t xml:space="preserve"> (2003 Act s.17</w:t>
      </w:r>
      <w:r w:rsidR="008C7DEF">
        <w:t xml:space="preserve">; </w:t>
      </w:r>
      <w:r w:rsidR="008C7DEF" w:rsidRPr="008C7DEF">
        <w:rPr>
          <w:u w:val="single"/>
        </w:rPr>
        <w:t>M &amp; B</w:t>
      </w:r>
      <w:r w:rsidR="008C7DEF">
        <w:t xml:space="preserve"> §47).</w:t>
      </w:r>
      <w:r w:rsidR="00FE63DC">
        <w:t xml:space="preserve"> </w:t>
      </w:r>
      <w:r w:rsidR="00B81561">
        <w:t>(8) A</w:t>
      </w:r>
      <w:r w:rsidR="00E65E38">
        <w:t xml:space="preserve">dequate </w:t>
      </w:r>
      <w:r w:rsidR="00B1433A">
        <w:t xml:space="preserve">particularisation arises in the context of </w:t>
      </w:r>
      <w:r w:rsidR="00EC129C">
        <w:t>the object of simplifying extradition procedures</w:t>
      </w:r>
      <w:r w:rsidR="00E65E38">
        <w:t xml:space="preserve"> </w:t>
      </w:r>
      <w:r w:rsidR="00B95F06">
        <w:t xml:space="preserve">with a high level of mutual trust, </w:t>
      </w:r>
      <w:r w:rsidR="00E65E38">
        <w:t>so that</w:t>
      </w:r>
      <w:r w:rsidR="00AA32E6">
        <w:t xml:space="preserve"> a “balance must be struck” and</w:t>
      </w:r>
      <w:r w:rsidR="00E65E38">
        <w:t xml:space="preserve"> “great detail” is unnecessary (</w:t>
      </w:r>
      <w:r w:rsidR="00E65E38" w:rsidRPr="005040C4">
        <w:rPr>
          <w:u w:val="single"/>
        </w:rPr>
        <w:t>Taylor</w:t>
      </w:r>
      <w:r w:rsidR="00E65E38">
        <w:t xml:space="preserve"> §</w:t>
      </w:r>
      <w:r w:rsidR="00AA32E6">
        <w:t>11)</w:t>
      </w:r>
      <w:r w:rsidR="007968E4">
        <w:t>,</w:t>
      </w:r>
      <w:r w:rsidR="00401180">
        <w:t xml:space="preserve"> </w:t>
      </w:r>
      <w:r w:rsidR="00B95F06">
        <w:t xml:space="preserve">there </w:t>
      </w:r>
      <w:r w:rsidR="004913CA">
        <w:t>being</w:t>
      </w:r>
      <w:r w:rsidR="00B95F06">
        <w:t xml:space="preserve"> “no requirement for full and exhaustive particularisation”</w:t>
      </w:r>
      <w:r w:rsidR="004913CA">
        <w:t>,</w:t>
      </w:r>
      <w:r w:rsidR="007968E4">
        <w:t xml:space="preserve"> and “the appropriate level of particularisation” </w:t>
      </w:r>
      <w:r w:rsidR="004913CA">
        <w:t>being</w:t>
      </w:r>
      <w:r w:rsidR="007968E4">
        <w:t xml:space="preserve"> “dependent </w:t>
      </w:r>
      <w:r w:rsidR="00EB5E0B">
        <w:t>upon the circumstances of the specific case” (</w:t>
      </w:r>
      <w:r w:rsidR="00EB5E0B" w:rsidRPr="00EB5E0B">
        <w:rPr>
          <w:u w:val="single"/>
        </w:rPr>
        <w:t>FK</w:t>
      </w:r>
      <w:r w:rsidR="00EB5E0B">
        <w:t xml:space="preserve"> §54)</w:t>
      </w:r>
      <w:r w:rsidR="005B532C">
        <w:t xml:space="preserve">, and </w:t>
      </w:r>
      <w:r w:rsidR="007B5EFD">
        <w:t xml:space="preserve">whether there is a “wholesale failure” </w:t>
      </w:r>
      <w:r w:rsidR="00C40E87">
        <w:t>is a judgment “</w:t>
      </w:r>
      <w:r w:rsidR="007B5EFD">
        <w:t>on the specific facts” (</w:t>
      </w:r>
      <w:r w:rsidR="007B5EFD" w:rsidRPr="00C40E87">
        <w:rPr>
          <w:u w:val="single"/>
        </w:rPr>
        <w:t>Alexander</w:t>
      </w:r>
      <w:r w:rsidR="007B5EFD">
        <w:t xml:space="preserve"> §75)</w:t>
      </w:r>
      <w:r w:rsidR="00EB5E0B">
        <w:t>.</w:t>
      </w:r>
      <w:r w:rsidR="004A62F4">
        <w:t xml:space="preserve"> I have applied those principles in assessing arguability in this case.</w:t>
      </w:r>
    </w:p>
    <w:p w14:paraId="0971FCBF" w14:textId="09C3E1D0" w:rsidR="00011E95" w:rsidRPr="00011E95" w:rsidRDefault="00011E95" w:rsidP="00011E95">
      <w:pPr>
        <w:pStyle w:val="ParaLevel1"/>
        <w:numPr>
          <w:ilvl w:val="0"/>
          <w:numId w:val="0"/>
        </w:numPr>
        <w:rPr>
          <w:u w:val="single"/>
        </w:rPr>
      </w:pPr>
      <w:r w:rsidRPr="00011E95">
        <w:rPr>
          <w:u w:val="single"/>
        </w:rPr>
        <w:t>Killoran</w:t>
      </w:r>
      <w:r w:rsidR="00C54F40">
        <w:rPr>
          <w:u w:val="single"/>
        </w:rPr>
        <w:t>’s case</w:t>
      </w:r>
    </w:p>
    <w:p w14:paraId="54A981A0" w14:textId="05482855" w:rsidR="00596FCC" w:rsidRDefault="008F60C2" w:rsidP="00596FCC">
      <w:pPr>
        <w:pStyle w:val="ParaLevel1"/>
        <w:tabs>
          <w:tab w:val="left" w:pos="720"/>
        </w:tabs>
      </w:pPr>
      <w:r>
        <w:t>In</w:t>
      </w:r>
      <w:r w:rsidR="009D3D13">
        <w:t xml:space="preserve"> </w:t>
      </w:r>
      <w:r w:rsidR="009D3D13" w:rsidRPr="009D3D13">
        <w:rPr>
          <w:u w:val="single"/>
        </w:rPr>
        <w:t>Killoran</w:t>
      </w:r>
      <w:r>
        <w:t xml:space="preserve">, </w:t>
      </w:r>
      <w:r w:rsidR="00C07747">
        <w:t xml:space="preserve">permission to appeal was refused after an oral hearing with </w:t>
      </w:r>
      <w:r w:rsidR="00D034BD">
        <w:t xml:space="preserve">relatively </w:t>
      </w:r>
      <w:r w:rsidR="00C07747">
        <w:t>extensive</w:t>
      </w:r>
      <w:r w:rsidR="00D034BD">
        <w:t xml:space="preserve"> oral argument,</w:t>
      </w:r>
      <w:r w:rsidR="000D0CE9">
        <w:t xml:space="preserve"> </w:t>
      </w:r>
      <w:r w:rsidR="00D034BD">
        <w:t>such that</w:t>
      </w:r>
      <w:r w:rsidR="000D0CE9">
        <w:t xml:space="preserve"> Chamberlain J gave permission for the judgment to be cited (§61). </w:t>
      </w:r>
      <w:r w:rsidR="0071602B">
        <w:t>Ms Killoran was wanted for extradition to Belgium. The EAW identified two “offences”</w:t>
      </w:r>
      <w:r w:rsidR="001102B6">
        <w:t xml:space="preserve"> </w:t>
      </w:r>
      <w:r w:rsidR="005750B1">
        <w:t xml:space="preserve">of “people smuggling” </w:t>
      </w:r>
      <w:r w:rsidR="001102B6">
        <w:t>(§7)</w:t>
      </w:r>
      <w:r w:rsidR="00FC2A1A">
        <w:t xml:space="preserve"> and gave the maximum as “15-20 years” (§4). The ringleader was </w:t>
      </w:r>
      <w:r w:rsidR="00AB6070">
        <w:t xml:space="preserve">identified as </w:t>
      </w:r>
      <w:r w:rsidR="00FC2A1A">
        <w:t>Saman Ahmed Taha</w:t>
      </w:r>
      <w:r w:rsidR="00AB6070">
        <w:t xml:space="preserve">. The </w:t>
      </w:r>
      <w:r w:rsidR="004E472D">
        <w:t>alleged “</w:t>
      </w:r>
      <w:r w:rsidR="00AB6070">
        <w:t>people smuggling</w:t>
      </w:r>
      <w:r w:rsidR="004E472D">
        <w:t>”</w:t>
      </w:r>
      <w:r w:rsidR="00AB6070">
        <w:t xml:space="preserve"> involved </w:t>
      </w:r>
      <w:r w:rsidR="00716F1D">
        <w:t xml:space="preserve">receiving payments and </w:t>
      </w:r>
      <w:r w:rsidR="004E472D">
        <w:t xml:space="preserve">guiding people </w:t>
      </w:r>
      <w:r w:rsidR="003648A2">
        <w:t xml:space="preserve">from Oud-Turnhout train station </w:t>
      </w:r>
      <w:r w:rsidR="004E472D">
        <w:t>to Belgian pickup points (</w:t>
      </w:r>
      <w:r w:rsidR="00C37A77">
        <w:t>o</w:t>
      </w:r>
      <w:r w:rsidR="004E472D">
        <w:t>n the E34</w:t>
      </w:r>
      <w:r w:rsidR="00C80319">
        <w:t xml:space="preserve">, </w:t>
      </w:r>
      <w:r w:rsidR="008C1DA6">
        <w:t>E313</w:t>
      </w:r>
      <w:r w:rsidR="00C80319">
        <w:t xml:space="preserve"> and E40</w:t>
      </w:r>
      <w:r w:rsidR="004E472D">
        <w:t>)</w:t>
      </w:r>
      <w:r w:rsidR="003648A2">
        <w:t xml:space="preserve"> </w:t>
      </w:r>
      <w:r w:rsidR="005750B1">
        <w:t xml:space="preserve">where they </w:t>
      </w:r>
      <w:r w:rsidR="00753474">
        <w:t>would</w:t>
      </w:r>
      <w:r w:rsidR="0022368F">
        <w:t xml:space="preserve"> join lorries for the UK.</w:t>
      </w:r>
      <w:r w:rsidR="00B86CE4">
        <w:t xml:space="preserve"> Ms Killoran was said to </w:t>
      </w:r>
      <w:r w:rsidR="00652FFE">
        <w:t xml:space="preserve">have transported </w:t>
      </w:r>
      <w:r w:rsidR="00753474">
        <w:t>people</w:t>
      </w:r>
      <w:r w:rsidR="00652FFE">
        <w:t xml:space="preserve"> to the pickup points and </w:t>
      </w:r>
      <w:r w:rsidR="00753474">
        <w:t xml:space="preserve">the </w:t>
      </w:r>
      <w:r w:rsidR="00B86CE4">
        <w:t xml:space="preserve">Further Information </w:t>
      </w:r>
      <w:r w:rsidR="008C1DA6">
        <w:t>gave “the dates of the occasions when she was present at the parking areas on the E34 and E313</w:t>
      </w:r>
      <w:r w:rsidR="004A5ED7">
        <w:t>” (§11).</w:t>
      </w:r>
      <w:r w:rsidR="00ED09F7">
        <w:t xml:space="preserve"> She argued that the EAW failed adequately to particularise each offence, which was a “wholesale failure”</w:t>
      </w:r>
      <w:r w:rsidR="00392809">
        <w:t xml:space="preserve"> uncurable by Further Information; that even with the Further Information there were inadequate particulars; and </w:t>
      </w:r>
      <w:r w:rsidR="0048480E">
        <w:t>that the maximum sentence was not adequately particularised</w:t>
      </w:r>
      <w:r w:rsidR="0065476B">
        <w:t xml:space="preserve"> (§3). These were </w:t>
      </w:r>
      <w:r w:rsidR="00F80687">
        <w:t xml:space="preserve">held to be </w:t>
      </w:r>
      <w:r w:rsidR="0065476B">
        <w:t>unarguable (§§12-33).</w:t>
      </w:r>
      <w:r w:rsidR="00533FF7">
        <w:t xml:space="preserve"> </w:t>
      </w:r>
      <w:r w:rsidR="00226841">
        <w:t>As will be seen, t</w:t>
      </w:r>
      <w:r w:rsidR="00533FF7">
        <w:t>here are obvious parallels with the present case.</w:t>
      </w:r>
      <w:r w:rsidR="00596FCC">
        <w:t xml:space="preserve"> </w:t>
      </w:r>
      <w:r w:rsidR="00BF55DB">
        <w:t xml:space="preserve">As Ms Hill has accepted, </w:t>
      </w:r>
      <w:r w:rsidR="00F11736">
        <w:t xml:space="preserve">it is </w:t>
      </w:r>
      <w:r w:rsidR="0074490B">
        <w:t>“</w:t>
      </w:r>
      <w:r w:rsidR="00F11736">
        <w:t xml:space="preserve">the same wider conspiracy to </w:t>
      </w:r>
      <w:r w:rsidR="00F11736">
        <w:lastRenderedPageBreak/>
        <w:t>traffic people” and the</w:t>
      </w:r>
      <w:r w:rsidR="00BF55DB">
        <w:t xml:space="preserve"> ss.2 and 10 challenges in the present case “exactly echo” those </w:t>
      </w:r>
      <w:r w:rsidR="00F11736">
        <w:t xml:space="preserve">in </w:t>
      </w:r>
      <w:r w:rsidR="00F11736" w:rsidRPr="00F11736">
        <w:rPr>
          <w:u w:val="single"/>
        </w:rPr>
        <w:t>Killoran</w:t>
      </w:r>
      <w:r w:rsidR="00F11736">
        <w:t xml:space="preserve">. </w:t>
      </w:r>
      <w:r w:rsidR="00596FCC">
        <w:t xml:space="preserve">Where I refer below to </w:t>
      </w:r>
      <w:r w:rsidR="00596FCC" w:rsidRPr="00596FCC">
        <w:rPr>
          <w:u w:val="single"/>
        </w:rPr>
        <w:t>Killoran</w:t>
      </w:r>
      <w:r w:rsidR="0074490B">
        <w:t>, I am not saying it is</w:t>
      </w:r>
      <w:r w:rsidR="00596FCC">
        <w:t xml:space="preserve"> identical, </w:t>
      </w:r>
      <w:r w:rsidR="0074490B">
        <w:t>n</w:t>
      </w:r>
      <w:r w:rsidR="00596FCC">
        <w:t xml:space="preserve">or that </w:t>
      </w:r>
      <w:r w:rsidR="00E86250">
        <w:t xml:space="preserve">the </w:t>
      </w:r>
      <w:r w:rsidR="00596FCC">
        <w:t xml:space="preserve">judgment is legally binding on me. Rather, it will be </w:t>
      </w:r>
      <w:r w:rsidR="00D73A1C">
        <w:t xml:space="preserve">where – in assessing arguability in the present case - I find the analysis in </w:t>
      </w:r>
      <w:r w:rsidR="00D73A1C" w:rsidRPr="00D73A1C">
        <w:rPr>
          <w:u w:val="single"/>
        </w:rPr>
        <w:t>Killoran</w:t>
      </w:r>
      <w:r w:rsidR="00596FCC">
        <w:t xml:space="preserve"> helpful and agree with it.</w:t>
      </w:r>
    </w:p>
    <w:p w14:paraId="1231C1B8" w14:textId="3A76055C" w:rsidR="000352ED" w:rsidRPr="000352ED" w:rsidRDefault="00F5022D" w:rsidP="000352ED">
      <w:pPr>
        <w:pStyle w:val="ParaLevel1"/>
        <w:numPr>
          <w:ilvl w:val="0"/>
          <w:numId w:val="0"/>
        </w:numPr>
        <w:rPr>
          <w:u w:val="single"/>
        </w:rPr>
      </w:pPr>
      <w:r>
        <w:rPr>
          <w:u w:val="single"/>
        </w:rPr>
        <w:t>Th</w:t>
      </w:r>
      <w:r w:rsidR="00533FF7">
        <w:rPr>
          <w:u w:val="single"/>
        </w:rPr>
        <w:t>e present</w:t>
      </w:r>
      <w:r>
        <w:rPr>
          <w:u w:val="single"/>
        </w:rPr>
        <w:t xml:space="preserve"> ca</w:t>
      </w:r>
      <w:r w:rsidR="000352ED" w:rsidRPr="000352ED">
        <w:rPr>
          <w:u w:val="single"/>
        </w:rPr>
        <w:t>se</w:t>
      </w:r>
    </w:p>
    <w:p w14:paraId="1CBF2544" w14:textId="001EA884" w:rsidR="00F5022D" w:rsidRPr="00260C7E" w:rsidRDefault="00C54460" w:rsidP="00260C7E">
      <w:pPr>
        <w:pStyle w:val="ParaLevel1"/>
        <w:tabs>
          <w:tab w:val="left" w:pos="720"/>
        </w:tabs>
      </w:pPr>
      <w:r>
        <w:t xml:space="preserve">I start with the EAW. </w:t>
      </w:r>
      <w:r w:rsidR="00D6697A">
        <w:t xml:space="preserve">The EAW </w:t>
      </w:r>
      <w:r w:rsidR="00E86250">
        <w:t xml:space="preserve">in this case </w:t>
      </w:r>
      <w:r w:rsidR="00D6697A">
        <w:t>identifies the same two “offences”</w:t>
      </w:r>
      <w:r w:rsidR="00F917D9">
        <w:t xml:space="preserve"> as </w:t>
      </w:r>
      <w:r w:rsidR="00F142B6">
        <w:t xml:space="preserve">did the EAW </w:t>
      </w:r>
      <w:r w:rsidR="00F917D9">
        <w:t xml:space="preserve">in </w:t>
      </w:r>
      <w:r w:rsidR="00F917D9" w:rsidRPr="00F917D9">
        <w:rPr>
          <w:u w:val="single"/>
        </w:rPr>
        <w:t>Killoran</w:t>
      </w:r>
      <w:r w:rsidR="007023BC">
        <w:t xml:space="preserve"> (§7):</w:t>
      </w:r>
      <w:r w:rsidR="00F917D9">
        <w:t xml:space="preserve"> (a) </w:t>
      </w:r>
      <w:r w:rsidR="0095015D">
        <w:t>“</w:t>
      </w:r>
      <w:r w:rsidR="00F917D9">
        <w:t>smuggling of human beings, committed against minors, during which the victim’s life was exposed to serious danger, as a habit, and within the framework of a criminal organisation</w:t>
      </w:r>
      <w:r w:rsidR="0095015D">
        <w:t>”;</w:t>
      </w:r>
      <w:r w:rsidR="00F917D9">
        <w:t xml:space="preserve"> and (b) </w:t>
      </w:r>
      <w:r w:rsidR="0095015D">
        <w:t>“</w:t>
      </w:r>
      <w:r w:rsidR="00F917D9">
        <w:t>smuggling of human beings, during which the victim’s life with exposed to serious danger, as a habit, and within the framework of a criminal organisation</w:t>
      </w:r>
      <w:r w:rsidR="006D4968">
        <w:t>”</w:t>
      </w:r>
      <w:r w:rsidR="00F917D9">
        <w:t>.</w:t>
      </w:r>
      <w:r w:rsidR="00A20A00">
        <w:t xml:space="preserve"> The difference is that (a) would apply when </w:t>
      </w:r>
      <w:r w:rsidR="006D4968">
        <w:t>any</w:t>
      </w:r>
      <w:r w:rsidR="00A20A00">
        <w:t xml:space="preserve"> smuggled individual was a minor. </w:t>
      </w:r>
      <w:r w:rsidR="0097386D">
        <w:t xml:space="preserve">The EAW refers to the applicable statutory provisions as in </w:t>
      </w:r>
      <w:r w:rsidR="0097386D" w:rsidRPr="001D6BE2">
        <w:rPr>
          <w:u w:val="single"/>
        </w:rPr>
        <w:t>Killoran</w:t>
      </w:r>
      <w:r w:rsidR="0097386D">
        <w:t xml:space="preserve"> </w:t>
      </w:r>
      <w:r w:rsidR="00F142B6">
        <w:t>(§7)</w:t>
      </w:r>
      <w:r>
        <w:t>:</w:t>
      </w:r>
      <w:r w:rsidR="0097386D">
        <w:t xml:space="preserve"> section 66 of the </w:t>
      </w:r>
      <w:r w:rsidR="00F142B6">
        <w:t>Belgian C</w:t>
      </w:r>
      <w:r w:rsidR="0097386D">
        <w:t xml:space="preserve">riminal </w:t>
      </w:r>
      <w:r w:rsidR="00F142B6">
        <w:t>C</w:t>
      </w:r>
      <w:r w:rsidR="0097386D">
        <w:t xml:space="preserve">ode and section 77 of a December 1980 Immigration Law. The EAW records under </w:t>
      </w:r>
      <w:r>
        <w:t>“</w:t>
      </w:r>
      <w:r w:rsidR="0097386D">
        <w:t>indications on the length of the sentence” as the “maximum length of the custodial sentence” imprisonment of “15 to 20 years”, as in</w:t>
      </w:r>
      <w:r w:rsidR="00A20A00">
        <w:t xml:space="preserve"> </w:t>
      </w:r>
      <w:r w:rsidR="00A20A00" w:rsidRPr="00A20A00">
        <w:rPr>
          <w:u w:val="single"/>
        </w:rPr>
        <w:t>Killoran</w:t>
      </w:r>
      <w:r>
        <w:t xml:space="preserve"> (§</w:t>
      </w:r>
      <w:r w:rsidR="00A503D8">
        <w:t>4).</w:t>
      </w:r>
      <w:r w:rsidR="0093148B">
        <w:t xml:space="preserve"> </w:t>
      </w:r>
      <w:r w:rsidR="003173F5">
        <w:t xml:space="preserve">The EAW </w:t>
      </w:r>
      <w:r w:rsidR="00FA031B">
        <w:t xml:space="preserve">identifies the same ringleader: Saman Ahmed Taha. The alleged “people smuggling” involves </w:t>
      </w:r>
      <w:r w:rsidR="00F05A4E">
        <w:t xml:space="preserve">receiving payments and guiding people from Brussels North railway station to the </w:t>
      </w:r>
      <w:r w:rsidR="00C80319">
        <w:t>same pickup points (E34, E313 and E40)</w:t>
      </w:r>
      <w:r w:rsidR="0077470D">
        <w:t xml:space="preserve"> to join lorries for the UK</w:t>
      </w:r>
      <w:r w:rsidR="00A503D8">
        <w:t xml:space="preserve"> (explaining that the</w:t>
      </w:r>
      <w:r w:rsidR="0077470D">
        <w:t xml:space="preserve"> Appellant himself join</w:t>
      </w:r>
      <w:r w:rsidR="00A503D8">
        <w:t>ed</w:t>
      </w:r>
      <w:r w:rsidR="0077470D">
        <w:t xml:space="preserve"> a lorry to the UK on </w:t>
      </w:r>
      <w:r w:rsidR="001C1454">
        <w:t>20 June 2019</w:t>
      </w:r>
      <w:r w:rsidR="00A503D8">
        <w:t>)</w:t>
      </w:r>
      <w:r w:rsidR="001C1454">
        <w:t xml:space="preserve">. </w:t>
      </w:r>
      <w:r w:rsidR="008752A3">
        <w:t xml:space="preserve">The EAW describes the mode of operation of the gang in guiding individuals from the Brussels North railway station to the pick up location, in return for payment. It describes instructions being given as to how to get to the pick up location or the individual being taken there. </w:t>
      </w:r>
      <w:r w:rsidR="001A54D9">
        <w:t>It</w:t>
      </w:r>
      <w:r w:rsidR="00012D6D">
        <w:t xml:space="preserve"> identifies the Appellant as </w:t>
      </w:r>
      <w:r w:rsidR="005510AB">
        <w:t xml:space="preserve">having been </w:t>
      </w:r>
      <w:r w:rsidR="005E2271">
        <w:t xml:space="preserve">involved in the smuggling operation; having been identified as </w:t>
      </w:r>
      <w:r w:rsidR="00012D6D">
        <w:t xml:space="preserve">present </w:t>
      </w:r>
      <w:r w:rsidR="005510AB">
        <w:t>at Brussels North railway station and present at the pickup points</w:t>
      </w:r>
      <w:r w:rsidR="002067ED">
        <w:t xml:space="preserve"> (between 8 October 2018 and 20 June 2019)</w:t>
      </w:r>
      <w:r w:rsidR="005E2271">
        <w:t>; as having</w:t>
      </w:r>
      <w:r w:rsidR="00C05E8F">
        <w:t xml:space="preserve"> telephone contact with the ringleader</w:t>
      </w:r>
      <w:r w:rsidR="005E2271">
        <w:t>; and as being</w:t>
      </w:r>
      <w:r w:rsidR="00C05E8F">
        <w:t xml:space="preserve"> instructed by the ringleader to hand over money that had come from the smuggled individuals</w:t>
      </w:r>
      <w:r w:rsidR="00BB36E4">
        <w:t>.</w:t>
      </w:r>
    </w:p>
    <w:p w14:paraId="06B303B4" w14:textId="25E83FD2" w:rsidR="00A856CA" w:rsidRDefault="005702C1" w:rsidP="00A11494">
      <w:pPr>
        <w:pStyle w:val="ParaLevel1"/>
        <w:tabs>
          <w:tab w:val="left" w:pos="720"/>
        </w:tabs>
      </w:pPr>
      <w:r>
        <w:t xml:space="preserve">FI1 and </w:t>
      </w:r>
      <w:r w:rsidR="00474A53">
        <w:t>FI2 give considerable further detail. FI2 adds</w:t>
      </w:r>
      <w:r w:rsidR="009967F7">
        <w:t xml:space="preserve"> a third species of offence (“being part of a criminal organisation</w:t>
      </w:r>
      <w:r w:rsidR="003C40C0">
        <w:t xml:space="preserve">”) and </w:t>
      </w:r>
      <w:r w:rsidR="00260C7E">
        <w:t xml:space="preserve">a Prosecutor’s Statement </w:t>
      </w:r>
      <w:r w:rsidR="009E72AE">
        <w:t>(</w:t>
      </w:r>
      <w:r w:rsidR="009A6479">
        <w:t xml:space="preserve">8.3.21) </w:t>
      </w:r>
      <w:r w:rsidR="003C40C0">
        <w:t>explains that this “entails</w:t>
      </w:r>
      <w:r w:rsidR="009A6479">
        <w:t>”</w:t>
      </w:r>
      <w:r w:rsidR="003C40C0">
        <w:t xml:space="preserve"> the </w:t>
      </w:r>
      <w:r w:rsidR="009A6479">
        <w:t>“</w:t>
      </w:r>
      <w:r w:rsidR="003C40C0">
        <w:t xml:space="preserve">same conduct” </w:t>
      </w:r>
      <w:r w:rsidR="009A6479">
        <w:t>already</w:t>
      </w:r>
      <w:r w:rsidR="003C40C0">
        <w:t xml:space="preserve"> summarised</w:t>
      </w:r>
      <w:r w:rsidR="009F029F">
        <w:t xml:space="preserve">, </w:t>
      </w:r>
      <w:r w:rsidR="008A22D9">
        <w:t>in a context where</w:t>
      </w:r>
      <w:r w:rsidR="009F029F">
        <w:t xml:space="preserve"> “within the framework of a criminal organisation”</w:t>
      </w:r>
      <w:r w:rsidR="00504C71">
        <w:t xml:space="preserve"> is already an “aggravating circumstance” of the two </w:t>
      </w:r>
      <w:r w:rsidR="008A22D9">
        <w:t xml:space="preserve">species of </w:t>
      </w:r>
      <w:r w:rsidR="00504C71">
        <w:t>offence specified in the EAW.</w:t>
      </w:r>
      <w:r w:rsidR="00C54F40">
        <w:t xml:space="preserve"> </w:t>
      </w:r>
      <w:r w:rsidR="00DE4CDA">
        <w:t xml:space="preserve">As the Judge unassailably accepted, </w:t>
      </w:r>
      <w:r w:rsidR="00D36F11">
        <w:t xml:space="preserve">what </w:t>
      </w:r>
      <w:r w:rsidR="00DE4CDA">
        <w:t xml:space="preserve">this </w:t>
      </w:r>
      <w:r w:rsidR="007077B0">
        <w:t>‘</w:t>
      </w:r>
      <w:r w:rsidR="008E78DB">
        <w:t>participation in an organisation</w:t>
      </w:r>
      <w:r w:rsidR="007077B0">
        <w:t>’</w:t>
      </w:r>
      <w:r w:rsidR="008E78DB">
        <w:t xml:space="preserve"> </w:t>
      </w:r>
      <w:r w:rsidR="00D36F11">
        <w:t>is describing</w:t>
      </w:r>
      <w:r w:rsidR="00224740">
        <w:t xml:space="preserve"> is</w:t>
      </w:r>
      <w:r w:rsidR="00D36F11">
        <w:t xml:space="preserve"> being “part of a conspiracy to smuggle people</w:t>
      </w:r>
      <w:r w:rsidR="008E78DB">
        <w:t xml:space="preserve"> from Belgium to the UK”</w:t>
      </w:r>
      <w:r w:rsidR="00155E32">
        <w:t>.</w:t>
      </w:r>
      <w:r w:rsidR="00A11494">
        <w:t xml:space="preserve"> </w:t>
      </w:r>
      <w:r w:rsidR="00C54F40">
        <w:t xml:space="preserve">FI1 </w:t>
      </w:r>
      <w:r w:rsidR="00F5022D">
        <w:t xml:space="preserve">provides very considerable detail of the case against the Appellant that he guided victims to the pickup location; that </w:t>
      </w:r>
      <w:r w:rsidR="00680FC8">
        <w:t>h</w:t>
      </w:r>
      <w:r w:rsidR="00F5022D">
        <w:t xml:space="preserve">is role included assisting with smuggling activities at that location; that he guided victims from the Brussels North train station to that location; that he recovered money from victims; and that he handed over part of the recovered money to the ringleader. </w:t>
      </w:r>
      <w:r w:rsidR="00C54F40">
        <w:t>FI1</w:t>
      </w:r>
      <w:r w:rsidR="00F5022D">
        <w:t xml:space="preserve"> gives a series of </w:t>
      </w:r>
      <w:r w:rsidR="00504C71">
        <w:t>specific</w:t>
      </w:r>
      <w:r w:rsidR="00F5022D">
        <w:t xml:space="preserve"> </w:t>
      </w:r>
      <w:r w:rsidR="00504C71">
        <w:t>dates when the A</w:t>
      </w:r>
      <w:r w:rsidR="00F5022D">
        <w:t>ppellant</w:t>
      </w:r>
      <w:r w:rsidR="00504C71">
        <w:t xml:space="preserve"> is alleged to have been at</w:t>
      </w:r>
      <w:r w:rsidR="00F5022D">
        <w:t xml:space="preserve"> Brussels North train station and then travelled to the pickup location: 9/10/18; 12/10/18; 22/10/18; 23/10/18; 24</w:t>
      </w:r>
      <w:r w:rsidR="00504C71">
        <w:t>-25</w:t>
      </w:r>
      <w:r w:rsidR="00F5022D">
        <w:t>/10/18; 25</w:t>
      </w:r>
      <w:r w:rsidR="00504C71">
        <w:t>-26</w:t>
      </w:r>
      <w:r w:rsidR="00F5022D">
        <w:t xml:space="preserve">/10/18; </w:t>
      </w:r>
      <w:r w:rsidR="00504C71">
        <w:t>12-13</w:t>
      </w:r>
      <w:r w:rsidR="00F5022D">
        <w:t>/12/18; 17</w:t>
      </w:r>
      <w:r w:rsidR="00504C71">
        <w:t>-18</w:t>
      </w:r>
      <w:r w:rsidR="00F5022D">
        <w:t>/12/18; 26</w:t>
      </w:r>
      <w:r w:rsidR="00504C71">
        <w:t>-27</w:t>
      </w:r>
      <w:r w:rsidR="00F5022D">
        <w:t>/3/19; 27</w:t>
      </w:r>
      <w:r w:rsidR="00504C71">
        <w:t>-28</w:t>
      </w:r>
      <w:r w:rsidR="00F5022D">
        <w:t>/3/19; 28/3/19; 3</w:t>
      </w:r>
      <w:r w:rsidR="008A3E61">
        <w:t>-4</w:t>
      </w:r>
      <w:r w:rsidR="00F5022D">
        <w:t xml:space="preserve">/4/19; </w:t>
      </w:r>
      <w:r w:rsidR="008A3E61">
        <w:t>5-6</w:t>
      </w:r>
      <w:r w:rsidR="00F5022D">
        <w:t>/4/19; 10</w:t>
      </w:r>
      <w:r w:rsidR="008A3E61">
        <w:t>-11</w:t>
      </w:r>
      <w:r w:rsidR="00F5022D">
        <w:t xml:space="preserve">/4/19; 14/5/19; 20/5/19; 21/5/19; </w:t>
      </w:r>
      <w:r w:rsidR="008A3E61">
        <w:t>5-6</w:t>
      </w:r>
      <w:r w:rsidR="00F5022D">
        <w:t>/6/19; 18</w:t>
      </w:r>
      <w:r w:rsidR="008A3E61">
        <w:t>-19</w:t>
      </w:r>
      <w:r w:rsidR="00F5022D">
        <w:t>/6/19; 19</w:t>
      </w:r>
      <w:r w:rsidR="008A3E61">
        <w:t>-20</w:t>
      </w:r>
      <w:r w:rsidR="00F5022D">
        <w:t>/6/19.</w:t>
      </w:r>
      <w:r w:rsidR="00A11494">
        <w:t xml:space="preserve"> </w:t>
      </w:r>
      <w:r>
        <w:t xml:space="preserve">FI1 </w:t>
      </w:r>
      <w:r w:rsidR="00751153">
        <w:t xml:space="preserve">also </w:t>
      </w:r>
      <w:r w:rsidR="002A117D">
        <w:t>says this</w:t>
      </w:r>
      <w:r w:rsidR="00F5022D">
        <w:t>: “It is still possible that further investigation (such as camera images, statements or telephony investigation) shows [the Appellant’s] involvement in other acts of human trafficking for the same criminal organisation, in which case, evidently, he will be prosecuted for these acts as well”.</w:t>
      </w:r>
      <w:r w:rsidR="00751153">
        <w:t xml:space="preserve"> Ms Hall accepts that there is </w:t>
      </w:r>
      <w:r w:rsidR="00751153">
        <w:lastRenderedPageBreak/>
        <w:t xml:space="preserve">nothing, per se, objectionable in that description or course of action, but </w:t>
      </w:r>
      <w:r w:rsidR="00A07873">
        <w:t xml:space="preserve">says it brings into sharp focus whether legally adequate particulars have been given so as to allow </w:t>
      </w:r>
      <w:r w:rsidR="009B3011">
        <w:t>the Appellant to invoke speciality protection.</w:t>
      </w:r>
    </w:p>
    <w:p w14:paraId="7F6F7C3E" w14:textId="0CEE349B" w:rsidR="00E81EE2" w:rsidRPr="00E81EE2" w:rsidRDefault="00D0618A" w:rsidP="00E81EE2">
      <w:pPr>
        <w:pStyle w:val="ParaLevel1"/>
        <w:numPr>
          <w:ilvl w:val="0"/>
          <w:numId w:val="0"/>
        </w:numPr>
        <w:rPr>
          <w:u w:val="single"/>
        </w:rPr>
      </w:pPr>
      <w:r>
        <w:rPr>
          <w:u w:val="single"/>
        </w:rPr>
        <w:t xml:space="preserve">The </w:t>
      </w:r>
      <w:r w:rsidR="00E81EE2" w:rsidRPr="00E81EE2">
        <w:rPr>
          <w:u w:val="single"/>
        </w:rPr>
        <w:t>Argument</w:t>
      </w:r>
    </w:p>
    <w:p w14:paraId="61737E3F" w14:textId="3B905914" w:rsidR="00EB741D" w:rsidRDefault="004702BA" w:rsidP="00AD695F">
      <w:pPr>
        <w:pStyle w:val="ParaLevel1"/>
        <w:tabs>
          <w:tab w:val="left" w:pos="720"/>
        </w:tabs>
      </w:pPr>
      <w:r>
        <w:t xml:space="preserve">Ms Hill submitted that it is reasonably arguable that the </w:t>
      </w:r>
      <w:r w:rsidR="003F1321">
        <w:t>J</w:t>
      </w:r>
      <w:r>
        <w:t>udge was wrong</w:t>
      </w:r>
      <w:r w:rsidR="00471ECE">
        <w:t xml:space="preserve"> </w:t>
      </w:r>
      <w:r w:rsidR="00DF35FA">
        <w:t>not to find a “wholesale failure” in the EAW</w:t>
      </w:r>
      <w:r w:rsidR="009D6EB9">
        <w:t xml:space="preserve">; alternatively that the Judge was wrong not to find the EAW and Further Information </w:t>
      </w:r>
      <w:r w:rsidR="004C3145">
        <w:t>fail to provide legally adequate particulars</w:t>
      </w:r>
      <w:r w:rsidR="00B846ED">
        <w:t>.</w:t>
      </w:r>
      <w:r w:rsidR="006805BB">
        <w:t xml:space="preserve"> She emphasises that </w:t>
      </w:r>
      <w:r w:rsidR="006805BB" w:rsidRPr="006805BB">
        <w:rPr>
          <w:u w:val="single"/>
        </w:rPr>
        <w:t>Killoran</w:t>
      </w:r>
      <w:r w:rsidR="006805BB">
        <w:t xml:space="preserve"> was a permission decision</w:t>
      </w:r>
      <w:r w:rsidR="004367CC">
        <w:t>;</w:t>
      </w:r>
      <w:r w:rsidR="006805BB">
        <w:t xml:space="preserve"> argu</w:t>
      </w:r>
      <w:r w:rsidR="00A052BC">
        <w:t>es</w:t>
      </w:r>
      <w:r w:rsidR="006805BB">
        <w:t xml:space="preserve"> that </w:t>
      </w:r>
      <w:r w:rsidR="00A052BC">
        <w:t xml:space="preserve">it </w:t>
      </w:r>
      <w:r w:rsidR="006805BB">
        <w:t>was materially distinct</w:t>
      </w:r>
      <w:r w:rsidR="00A052BC">
        <w:t xml:space="preserve"> as to the </w:t>
      </w:r>
      <w:r w:rsidR="00BC67FD">
        <w:t>materials and arguments;</w:t>
      </w:r>
      <w:r w:rsidR="00A052BC">
        <w:t xml:space="preserve"> </w:t>
      </w:r>
      <w:r w:rsidR="004367CC">
        <w:t>and</w:t>
      </w:r>
      <w:r w:rsidR="00A052BC">
        <w:t xml:space="preserve"> </w:t>
      </w:r>
      <w:r w:rsidR="00BC67FD">
        <w:t>argue</w:t>
      </w:r>
      <w:r w:rsidR="004367CC">
        <w:t>s</w:t>
      </w:r>
      <w:r w:rsidR="00BC67FD">
        <w:t xml:space="preserve"> </w:t>
      </w:r>
      <w:r w:rsidR="00A052BC">
        <w:t xml:space="preserve">that this Court should </w:t>
      </w:r>
      <w:r w:rsidR="004367CC">
        <w:t>if necessary</w:t>
      </w:r>
      <w:r w:rsidR="00BC67FD">
        <w:t xml:space="preserve"> </w:t>
      </w:r>
      <w:r w:rsidR="00A052BC">
        <w:t>take a different view</w:t>
      </w:r>
      <w:r w:rsidR="006509CD">
        <w:t xml:space="preserve"> </w:t>
      </w:r>
      <w:r w:rsidR="004367CC">
        <w:t>on the basis that the conclusions</w:t>
      </w:r>
      <w:r w:rsidR="006509CD">
        <w:t xml:space="preserve"> “could not properly have </w:t>
      </w:r>
      <w:r w:rsidR="004367CC">
        <w:t xml:space="preserve">[been] </w:t>
      </w:r>
      <w:r w:rsidR="006509CD">
        <w:t>reached”</w:t>
      </w:r>
      <w:r w:rsidR="00A052BC">
        <w:t>.</w:t>
      </w:r>
      <w:r w:rsidR="00BC67FD">
        <w:t xml:space="preserve"> </w:t>
      </w:r>
      <w:r w:rsidR="004367CC">
        <w:t>Ms Hill helpfully</w:t>
      </w:r>
      <w:r w:rsidR="00BC67FD">
        <w:t xml:space="preserve"> </w:t>
      </w:r>
      <w:r w:rsidR="00B846ED">
        <w:t>identifie</w:t>
      </w:r>
      <w:r w:rsidR="004367CC">
        <w:t>d</w:t>
      </w:r>
      <w:r w:rsidR="00B846ED">
        <w:t xml:space="preserve"> five features of the case</w:t>
      </w:r>
      <w:r w:rsidR="00861560">
        <w:t xml:space="preserve"> involving arguable lack of particularisation: (1) </w:t>
      </w:r>
      <w:r w:rsidR="004F3DCB">
        <w:t xml:space="preserve">failure to specify a clear </w:t>
      </w:r>
      <w:r w:rsidR="004F3DCB" w:rsidRPr="007839E7">
        <w:rPr>
          <w:u w:val="single"/>
        </w:rPr>
        <w:t>maximum sentence</w:t>
      </w:r>
      <w:r w:rsidR="00425B2E">
        <w:t xml:space="preserve">, </w:t>
      </w:r>
      <w:r w:rsidR="00CC5E86">
        <w:t xml:space="preserve">given the </w:t>
      </w:r>
      <w:r w:rsidR="00D73C5A">
        <w:t xml:space="preserve">“ambiguous” </w:t>
      </w:r>
      <w:r w:rsidR="00CC5E86">
        <w:t>reference to “15 to 20 years”</w:t>
      </w:r>
      <w:r w:rsidR="00715DDD">
        <w:t xml:space="preserve"> </w:t>
      </w:r>
      <w:r w:rsidR="00FE208C">
        <w:t xml:space="preserve">indicating a sentencing “range” </w:t>
      </w:r>
      <w:r w:rsidR="00715DDD">
        <w:t>(section 2(4)(d)); (2) failure to identify which</w:t>
      </w:r>
      <w:r w:rsidR="00EC08D9">
        <w:t xml:space="preserve"> alleged courses of conduct involved</w:t>
      </w:r>
      <w:r w:rsidR="002D0B0C">
        <w:t xml:space="preserve"> trafficking </w:t>
      </w:r>
      <w:r w:rsidR="002D0B0C" w:rsidRPr="007839E7">
        <w:rPr>
          <w:u w:val="single"/>
        </w:rPr>
        <w:t>of a minor</w:t>
      </w:r>
      <w:r w:rsidR="00592F83">
        <w:t xml:space="preserve">; (3) </w:t>
      </w:r>
      <w:r w:rsidR="00E05218">
        <w:t xml:space="preserve">failure to specify the </w:t>
      </w:r>
      <w:r w:rsidR="00E05218" w:rsidRPr="007839E7">
        <w:rPr>
          <w:u w:val="single"/>
        </w:rPr>
        <w:t>place</w:t>
      </w:r>
      <w:r w:rsidR="00E05218">
        <w:t xml:space="preserve"> at which</w:t>
      </w:r>
      <w:r w:rsidR="003A03BF">
        <w:t xml:space="preserve"> the Appellant is alleged to have committed each offence (section 2(4)(c))</w:t>
      </w:r>
      <w:r w:rsidR="007839E7">
        <w:t xml:space="preserve">, </w:t>
      </w:r>
      <w:r w:rsidR="00FE208C">
        <w:t>especially given</w:t>
      </w:r>
      <w:r w:rsidR="00E259C9">
        <w:t xml:space="preserve"> references to the</w:t>
      </w:r>
      <w:r w:rsidR="009D35C6">
        <w:t xml:space="preserve"> Appellant having undertaken the role of collecting money once trafficked persons “had arrived in the UK”; (4) </w:t>
      </w:r>
      <w:r w:rsidR="008A6822">
        <w:t xml:space="preserve">failure to identify clearly the </w:t>
      </w:r>
      <w:r w:rsidR="008A6822" w:rsidRPr="008A6822">
        <w:rPr>
          <w:u w:val="single"/>
        </w:rPr>
        <w:t>species</w:t>
      </w:r>
      <w:r w:rsidR="008A6822">
        <w:t xml:space="preserve"> of </w:t>
      </w:r>
      <w:r w:rsidR="002E143D">
        <w:t xml:space="preserve">alleged </w:t>
      </w:r>
      <w:r w:rsidR="008A6822">
        <w:t>criminal offending</w:t>
      </w:r>
      <w:r w:rsidR="002E143D">
        <w:t xml:space="preserve">; </w:t>
      </w:r>
      <w:r w:rsidR="00182C0D">
        <w:t xml:space="preserve">and </w:t>
      </w:r>
      <w:r w:rsidR="002E143D">
        <w:t xml:space="preserve">(5) failure to identify clearly the </w:t>
      </w:r>
      <w:r w:rsidR="002E143D" w:rsidRPr="00244E67">
        <w:rPr>
          <w:u w:val="single"/>
        </w:rPr>
        <w:t>number</w:t>
      </w:r>
      <w:r w:rsidR="002E143D">
        <w:t xml:space="preserve"> of </w:t>
      </w:r>
      <w:r w:rsidR="00425B2E">
        <w:t xml:space="preserve">alleged </w:t>
      </w:r>
      <w:r w:rsidR="002E143D">
        <w:t xml:space="preserve">incidents </w:t>
      </w:r>
      <w:r w:rsidR="004C760B">
        <w:t xml:space="preserve">(occasions) </w:t>
      </w:r>
      <w:r w:rsidR="002E143D">
        <w:t xml:space="preserve">of </w:t>
      </w:r>
      <w:r w:rsidR="00425B2E">
        <w:t xml:space="preserve">each species of </w:t>
      </w:r>
      <w:r w:rsidR="00244E67">
        <w:t>criminal offence</w:t>
      </w:r>
      <w:r w:rsidR="00C82760">
        <w:t>.</w:t>
      </w:r>
      <w:r w:rsidR="00425B2E">
        <w:t xml:space="preserve"> She argues that the </w:t>
      </w:r>
      <w:r w:rsidR="00AD695F">
        <w:t>Appellant arguably does not know the substance of the case against him. She submits that the particulars fail to achieve the purpose as to the invocation and assessment of</w:t>
      </w:r>
      <w:r w:rsidR="00C82760">
        <w:t xml:space="preserve"> potential extradition bars and protections, </w:t>
      </w:r>
      <w:r w:rsidR="00AD695F">
        <w:t>identifying as</w:t>
      </w:r>
      <w:r w:rsidR="00C82760">
        <w:t xml:space="preserve"> potential candidates (a) forum (b) dual criminality and (c) speciality.</w:t>
      </w:r>
    </w:p>
    <w:p w14:paraId="330F676E" w14:textId="4D23823B" w:rsidR="003F1321" w:rsidRPr="003F1321" w:rsidRDefault="00E137E9" w:rsidP="003F1321">
      <w:pPr>
        <w:pStyle w:val="ParaLevel1"/>
        <w:numPr>
          <w:ilvl w:val="0"/>
          <w:numId w:val="0"/>
        </w:numPr>
        <w:rPr>
          <w:u w:val="single"/>
        </w:rPr>
      </w:pPr>
      <w:r>
        <w:rPr>
          <w:u w:val="single"/>
        </w:rPr>
        <w:t>Discussion</w:t>
      </w:r>
    </w:p>
    <w:p w14:paraId="3233F8A9" w14:textId="069FB2FE" w:rsidR="00DF0E5C" w:rsidRDefault="00E137E9" w:rsidP="004F0B70">
      <w:pPr>
        <w:pStyle w:val="ParaLevel1"/>
        <w:tabs>
          <w:tab w:val="left" w:pos="720"/>
        </w:tabs>
      </w:pPr>
      <w:r>
        <w:t>I cannot accept those submissions. In my judgment, this appeal has no realistic prospect of success.</w:t>
      </w:r>
      <w:r w:rsidR="004F0B70">
        <w:t xml:space="preserve"> </w:t>
      </w:r>
      <w:r w:rsidR="007D3250">
        <w:t>The starting point is that t</w:t>
      </w:r>
      <w:r w:rsidR="00D970F9">
        <w:t>here is</w:t>
      </w:r>
      <w:r w:rsidR="002027B6">
        <w:t>, in my judgment,</w:t>
      </w:r>
      <w:r w:rsidR="00D970F9">
        <w:t xml:space="preserve"> no difficulty </w:t>
      </w:r>
      <w:r w:rsidR="002027B6">
        <w:t xml:space="preserve">at all </w:t>
      </w:r>
      <w:r w:rsidR="00D970F9">
        <w:t>in the present case in identifying the</w:t>
      </w:r>
      <w:r w:rsidR="00164B6D">
        <w:t xml:space="preserve"> essential substance of the </w:t>
      </w:r>
      <w:r w:rsidR="00252698">
        <w:t>cases against him. The “offences” are smuggling human beings by seriously endangering their life and doing so within the framework of a criminal organisation; doing so in the case of underaged persons (minors); and (through the same conduct) participating in a conspiracy to smuggle people.</w:t>
      </w:r>
      <w:r w:rsidR="008F0B47">
        <w:t xml:space="preserve"> As to the </w:t>
      </w:r>
      <w:r w:rsidR="00164B6D">
        <w:t>alleged criminal conduct</w:t>
      </w:r>
      <w:r w:rsidR="00F53A95">
        <w:t>, w</w:t>
      </w:r>
      <w:r w:rsidR="00E1431F">
        <w:t xml:space="preserve">hat is being said is </w:t>
      </w:r>
      <w:r w:rsidR="00621EE7">
        <w:t>this. I</w:t>
      </w:r>
      <w:r w:rsidR="002027B6">
        <w:t>ndividuals (</w:t>
      </w:r>
      <w:r w:rsidR="00E1431F">
        <w:t>adult</w:t>
      </w:r>
      <w:r w:rsidR="002027B6">
        <w:t>s</w:t>
      </w:r>
      <w:r w:rsidR="00F53A95">
        <w:t>,</w:t>
      </w:r>
      <w:r w:rsidR="00E1431F">
        <w:t xml:space="preserve"> </w:t>
      </w:r>
      <w:r w:rsidR="00F53A95">
        <w:t xml:space="preserve">but also </w:t>
      </w:r>
      <w:r w:rsidR="00E1431F">
        <w:t>child</w:t>
      </w:r>
      <w:r w:rsidR="002027B6">
        <w:t>ren)</w:t>
      </w:r>
      <w:r w:rsidR="00B778E7">
        <w:t xml:space="preserve"> were being smuggled into the United Kingdom by a gang who facilitated their </w:t>
      </w:r>
      <w:r w:rsidR="00621EE7">
        <w:t xml:space="preserve">perilous </w:t>
      </w:r>
      <w:r w:rsidR="00B778E7">
        <w:t xml:space="preserve">passage hidden in </w:t>
      </w:r>
      <w:r w:rsidR="00F87B8B">
        <w:t xml:space="preserve">lorries, in return for money. </w:t>
      </w:r>
      <w:r w:rsidR="00621EE7">
        <w:t>Those</w:t>
      </w:r>
      <w:r w:rsidR="00F87B8B">
        <w:t xml:space="preserve"> individuals would arrive at Brussels North train station where they would encounter a member of the criminal gang</w:t>
      </w:r>
      <w:r w:rsidR="002C0C32">
        <w:t xml:space="preserve"> who would </w:t>
      </w:r>
      <w:r w:rsidR="00457C4B">
        <w:t>guide them by telling them how to get to the</w:t>
      </w:r>
      <w:r w:rsidR="002C0C32">
        <w:t xml:space="preserve"> </w:t>
      </w:r>
      <w:r w:rsidR="00CC5141">
        <w:t xml:space="preserve">lorry pick-up point or </w:t>
      </w:r>
      <w:r w:rsidR="00457C4B">
        <w:t>accompanying them there</w:t>
      </w:r>
      <w:r w:rsidR="002C0C32">
        <w:t>.</w:t>
      </w:r>
      <w:r w:rsidR="00657FB4">
        <w:t xml:space="preserve"> </w:t>
      </w:r>
      <w:r w:rsidR="00AB59E2">
        <w:t xml:space="preserve">Money was collected. </w:t>
      </w:r>
      <w:r w:rsidR="00CC5141">
        <w:t>The</w:t>
      </w:r>
      <w:r w:rsidR="00657FB4">
        <w:t xml:space="preserve"> Appellant acted as a facilitator</w:t>
      </w:r>
      <w:r w:rsidR="00CC5141">
        <w:t>. He</w:t>
      </w:r>
      <w:r w:rsidR="00657FB4">
        <w:t xml:space="preserve"> encountered individuals at th</w:t>
      </w:r>
      <w:r w:rsidR="000061FE">
        <w:t>e</w:t>
      </w:r>
      <w:r w:rsidR="00657FB4">
        <w:t xml:space="preserve"> train station</w:t>
      </w:r>
      <w:r w:rsidR="00B15FC7">
        <w:t xml:space="preserve"> and guided or accompanied them to the location</w:t>
      </w:r>
      <w:r w:rsidR="000061FE">
        <w:t>. He</w:t>
      </w:r>
      <w:r w:rsidR="00B15FC7">
        <w:t xml:space="preserve"> received payments</w:t>
      </w:r>
      <w:r w:rsidR="000061FE">
        <w:t>. He passed on money collected</w:t>
      </w:r>
      <w:r w:rsidR="00F87F6A">
        <w:t xml:space="preserve"> to the gang ringleader. </w:t>
      </w:r>
      <w:r w:rsidR="000061FE">
        <w:t>M</w:t>
      </w:r>
      <w:r w:rsidR="005E5673">
        <w:t xml:space="preserve">obile phone locational information and intercept evidence </w:t>
      </w:r>
      <w:r w:rsidR="00F10C39">
        <w:t>put him</w:t>
      </w:r>
      <w:r w:rsidR="005E5673">
        <w:t xml:space="preserve"> in contact with the ringleader and </w:t>
      </w:r>
      <w:r w:rsidR="00F10C39">
        <w:t>place him</w:t>
      </w:r>
      <w:r w:rsidR="005E5673">
        <w:t xml:space="preserve"> at Brussels North train station and at the </w:t>
      </w:r>
      <w:r w:rsidR="00F10C39">
        <w:t>pick up point</w:t>
      </w:r>
      <w:r w:rsidR="009E4270">
        <w:t xml:space="preserve">, on </w:t>
      </w:r>
      <w:r w:rsidR="00AB59E2">
        <w:t xml:space="preserve">a series of </w:t>
      </w:r>
      <w:r w:rsidR="009E4270">
        <w:t>identified specific dates</w:t>
      </w:r>
      <w:r w:rsidR="00462EEB">
        <w:t>.</w:t>
      </w:r>
    </w:p>
    <w:p w14:paraId="669A34DC" w14:textId="778B0E23" w:rsidR="00877252" w:rsidRDefault="005E19C8" w:rsidP="00B11818">
      <w:pPr>
        <w:pStyle w:val="ParaLevel1"/>
        <w:tabs>
          <w:tab w:val="left" w:pos="720"/>
        </w:tabs>
      </w:pPr>
      <w:r>
        <w:t>If</w:t>
      </w:r>
      <w:r w:rsidR="00877252">
        <w:t xml:space="preserve"> I focus in on the EAW</w:t>
      </w:r>
      <w:r w:rsidR="009C48BA">
        <w:t xml:space="preserve"> (read as a whole)</w:t>
      </w:r>
      <w:r w:rsidR="00877252">
        <w:t xml:space="preserve"> there is</w:t>
      </w:r>
      <w:r w:rsidR="00D17DB8">
        <w:t xml:space="preserve"> in my judgment</w:t>
      </w:r>
      <w:r w:rsidR="00877252">
        <w:t xml:space="preserve"> </w:t>
      </w:r>
      <w:r w:rsidR="0020673A">
        <w:t>– beyond argument – nothing constituting a</w:t>
      </w:r>
      <w:r w:rsidR="00877252">
        <w:t xml:space="preserve"> “wholesale failure”. </w:t>
      </w:r>
      <w:r>
        <w:t xml:space="preserve">I reach the same view about this EAW as did Chamberlain J about the EAW in </w:t>
      </w:r>
      <w:r w:rsidRPr="009C48BA">
        <w:rPr>
          <w:u w:val="single"/>
        </w:rPr>
        <w:t>Killoran</w:t>
      </w:r>
      <w:r>
        <w:t xml:space="preserve"> (§27)</w:t>
      </w:r>
      <w:r w:rsidR="00F742A3">
        <w:t>. This</w:t>
      </w:r>
      <w:r w:rsidR="008731A8">
        <w:t xml:space="preserve"> EAW is</w:t>
      </w:r>
      <w:r w:rsidR="00877252">
        <w:t xml:space="preserve"> a document in the prescribed form, presented as an EAW, setting out to address the required information (</w:t>
      </w:r>
      <w:r w:rsidR="00877252" w:rsidRPr="00F742A3">
        <w:rPr>
          <w:u w:val="single"/>
        </w:rPr>
        <w:t>Alexander</w:t>
      </w:r>
      <w:r w:rsidR="00877252">
        <w:t xml:space="preserve"> §75). </w:t>
      </w:r>
      <w:r w:rsidR="00F742A3">
        <w:t>I am assisted by w</w:t>
      </w:r>
      <w:r w:rsidR="00297729">
        <w:t xml:space="preserve">orking illustrations. </w:t>
      </w:r>
      <w:r w:rsidR="00877252" w:rsidRPr="00F742A3">
        <w:rPr>
          <w:u w:val="single"/>
        </w:rPr>
        <w:t>M &amp; B</w:t>
      </w:r>
      <w:r w:rsidR="00877252">
        <w:t xml:space="preserve"> </w:t>
      </w:r>
      <w:r w:rsidR="00D61396">
        <w:t>w</w:t>
      </w:r>
      <w:r w:rsidR="002249F0">
        <w:t xml:space="preserve">as a people smuggling </w:t>
      </w:r>
      <w:r w:rsidR="002249F0">
        <w:lastRenderedPageBreak/>
        <w:t xml:space="preserve">case where </w:t>
      </w:r>
      <w:r w:rsidR="00877252">
        <w:t xml:space="preserve">the Divisional court found a “wholesale failure” in an EAW which effectively listed the entirety of a hundred or more offences against a large number of defendants, </w:t>
      </w:r>
      <w:r w:rsidR="008F5140">
        <w:t xml:space="preserve">where some defendants were being accused of some offences, but </w:t>
      </w:r>
      <w:r w:rsidR="00877252">
        <w:t xml:space="preserve">without specifying which of the allegations related to the requested persons: see §§48, 63. </w:t>
      </w:r>
      <w:r w:rsidR="00877252" w:rsidRPr="00F742A3">
        <w:rPr>
          <w:u w:val="single"/>
        </w:rPr>
        <w:t>Avadanei</w:t>
      </w:r>
      <w:r w:rsidR="00877252">
        <w:t xml:space="preserve"> </w:t>
      </w:r>
      <w:r w:rsidR="002249F0">
        <w:t xml:space="preserve">was </w:t>
      </w:r>
      <w:r w:rsidR="00D61396">
        <w:t xml:space="preserve">about </w:t>
      </w:r>
      <w:r w:rsidR="006159B6">
        <w:t xml:space="preserve">organised thefts by members of </w:t>
      </w:r>
      <w:r w:rsidR="002249F0">
        <w:t>a</w:t>
      </w:r>
      <w:r w:rsidR="006159B6">
        <w:t xml:space="preserve"> gang</w:t>
      </w:r>
      <w:r w:rsidR="00D61396">
        <w:t>,</w:t>
      </w:r>
      <w:r w:rsidR="00243292">
        <w:t xml:space="preserve"> </w:t>
      </w:r>
      <w:r w:rsidR="00D61396">
        <w:t xml:space="preserve">where </w:t>
      </w:r>
      <w:r w:rsidR="00877252">
        <w:t xml:space="preserve">Laing J found a “wholesale failure” </w:t>
      </w:r>
      <w:r w:rsidR="00186CFF">
        <w:t xml:space="preserve">(§30) </w:t>
      </w:r>
      <w:r w:rsidR="00877252">
        <w:t xml:space="preserve">in an EAW which was internally contradictory </w:t>
      </w:r>
      <w:r w:rsidR="000A1DA6">
        <w:t>(</w:t>
      </w:r>
      <w:r w:rsidR="00877252">
        <w:t>in referring to 35 offences and then about 30 offences</w:t>
      </w:r>
      <w:r w:rsidR="000A1DA6">
        <w:t>)</w:t>
      </w:r>
      <w:r w:rsidR="00A740EE">
        <w:t xml:space="preserve"> </w:t>
      </w:r>
      <w:r w:rsidR="00877252">
        <w:t xml:space="preserve">and in giving </w:t>
      </w:r>
      <w:r w:rsidR="001177D5">
        <w:t>“</w:t>
      </w:r>
      <w:r w:rsidR="00877252">
        <w:t>none of the details</w:t>
      </w:r>
      <w:r w:rsidR="001177D5">
        <w:t>”</w:t>
      </w:r>
      <w:r w:rsidR="00877252">
        <w:t xml:space="preserve"> required by section 2 about the requested person’s involvement. </w:t>
      </w:r>
      <w:r w:rsidR="001177D5">
        <w:t xml:space="preserve">These cases were </w:t>
      </w:r>
      <w:r w:rsidR="00E63F98">
        <w:t>discussed</w:t>
      </w:r>
      <w:r w:rsidR="001177D5">
        <w:t xml:space="preserve"> in </w:t>
      </w:r>
      <w:r w:rsidR="001177D5" w:rsidRPr="00A569F6">
        <w:rPr>
          <w:u w:val="single"/>
        </w:rPr>
        <w:t>Killoran</w:t>
      </w:r>
      <w:r w:rsidR="001177D5">
        <w:t xml:space="preserve"> at §</w:t>
      </w:r>
      <w:r w:rsidR="00A569F6">
        <w:t xml:space="preserve">25. </w:t>
      </w:r>
      <w:r w:rsidR="00C9698B">
        <w:t>(</w:t>
      </w:r>
      <w:r w:rsidR="00A569F6">
        <w:t xml:space="preserve">I interpose that </w:t>
      </w:r>
      <w:r w:rsidR="00254481">
        <w:t>in the</w:t>
      </w:r>
      <w:r w:rsidR="00B11818">
        <w:t xml:space="preserve"> mail/email scam case of </w:t>
      </w:r>
      <w:r w:rsidRPr="00A569F6">
        <w:rPr>
          <w:u w:val="single"/>
        </w:rPr>
        <w:t>Osu</w:t>
      </w:r>
      <w:r w:rsidR="00877252">
        <w:t xml:space="preserve"> there was a “wholesale failure” </w:t>
      </w:r>
      <w:r w:rsidR="00A569F6">
        <w:t xml:space="preserve">(§15) </w:t>
      </w:r>
      <w:r w:rsidR="00877252">
        <w:t>in an</w:t>
      </w:r>
      <w:r w:rsidR="00877252" w:rsidRPr="007E1768">
        <w:t xml:space="preserve"> accusation EAW</w:t>
      </w:r>
      <w:r w:rsidR="009829AB">
        <w:t>:</w:t>
      </w:r>
      <w:r w:rsidR="00877252" w:rsidRPr="007E1768">
        <w:t xml:space="preserve"> two of the three species of offence </w:t>
      </w:r>
      <w:r w:rsidR="009829AB">
        <w:t>involved “no particulars”</w:t>
      </w:r>
      <w:r w:rsidR="00877252" w:rsidRPr="007E1768">
        <w:t xml:space="preserve">; </w:t>
      </w:r>
      <w:r w:rsidR="00877252">
        <w:t xml:space="preserve">and </w:t>
      </w:r>
      <w:r w:rsidR="00877252" w:rsidRPr="007E1768">
        <w:t>the third was “wholly devoid of the level of detail which would permit the appellant to ascertain what case he would be required to meet on return”</w:t>
      </w:r>
      <w:r w:rsidR="00877252">
        <w:t>.</w:t>
      </w:r>
      <w:r w:rsidR="00C9698B">
        <w:t>)</w:t>
      </w:r>
    </w:p>
    <w:p w14:paraId="272B62DB" w14:textId="5B954596" w:rsidR="00C82760" w:rsidRDefault="00877252" w:rsidP="00EF1030">
      <w:pPr>
        <w:pStyle w:val="ParaLevel1"/>
        <w:tabs>
          <w:tab w:val="left" w:pos="720"/>
        </w:tabs>
      </w:pPr>
      <w:r>
        <w:t>Next, t</w:t>
      </w:r>
      <w:r w:rsidR="00DF0E5C">
        <w:t>here is no difficulty in undertaking the dual criminality ‘transposition’ exercise</w:t>
      </w:r>
      <w:r w:rsidR="00BE0EEF">
        <w:t xml:space="preserve">. That </w:t>
      </w:r>
      <w:r w:rsidR="00C62089">
        <w:t xml:space="preserve">‘transposition’ </w:t>
      </w:r>
      <w:r w:rsidR="00BE0EEF">
        <w:t xml:space="preserve">involves identifying </w:t>
      </w:r>
      <w:r w:rsidR="006C40A4">
        <w:t>each relevant</w:t>
      </w:r>
      <w:r w:rsidR="00BE0EEF">
        <w:t xml:space="preserve"> “species” of offence</w:t>
      </w:r>
      <w:r w:rsidR="003634F2">
        <w:t xml:space="preserve"> and asking whether that “species” would be an offence here</w:t>
      </w:r>
      <w:r w:rsidR="006C40A4">
        <w:t>, as I pointed out in</w:t>
      </w:r>
      <w:r w:rsidR="003634F2">
        <w:t xml:space="preserve"> </w:t>
      </w:r>
      <w:r w:rsidR="00EF1030" w:rsidRPr="00EF1030">
        <w:rPr>
          <w:u w:val="single"/>
        </w:rPr>
        <w:t>Zeka</w:t>
      </w:r>
      <w:r w:rsidR="001B25A2">
        <w:t xml:space="preserve"> §3.</w:t>
      </w:r>
      <w:r w:rsidR="007E797A">
        <w:t xml:space="preserve"> As the </w:t>
      </w:r>
      <w:r w:rsidR="00A856CA">
        <w:t>J</w:t>
      </w:r>
      <w:r w:rsidR="007E797A">
        <w:t xml:space="preserve">udge explained, </w:t>
      </w:r>
      <w:r w:rsidR="00DD4CE1">
        <w:t xml:space="preserve">“the conduct </w:t>
      </w:r>
      <w:r w:rsidR="005D1908">
        <w:t>would amount to conspiring to assist unlawful immigration to a member state, contrary to</w:t>
      </w:r>
      <w:r w:rsidR="007E797A">
        <w:t xml:space="preserve"> section 25 of the </w:t>
      </w:r>
      <w:r w:rsidR="00EF1030">
        <w:t>I</w:t>
      </w:r>
      <w:r w:rsidR="007E797A">
        <w:t xml:space="preserve">mmigration </w:t>
      </w:r>
      <w:r w:rsidR="00EF1030">
        <w:t>A</w:t>
      </w:r>
      <w:r w:rsidR="007E797A">
        <w:t>ct 1971</w:t>
      </w:r>
      <w:r w:rsidR="008B1563">
        <w:t xml:space="preserve"> </w:t>
      </w:r>
      <w:r w:rsidR="00DD4CE1">
        <w:t>and</w:t>
      </w:r>
      <w:r w:rsidR="008B1563">
        <w:t xml:space="preserve"> section 1 of the </w:t>
      </w:r>
      <w:r w:rsidR="00EC7244">
        <w:t>C</w:t>
      </w:r>
      <w:r w:rsidR="008B1563">
        <w:t xml:space="preserve">riminal Law </w:t>
      </w:r>
      <w:r w:rsidR="00EC7244">
        <w:t>A</w:t>
      </w:r>
      <w:r w:rsidR="008B1563">
        <w:t>ct 1977</w:t>
      </w:r>
      <w:r w:rsidR="00DD4CE1">
        <w:t>”</w:t>
      </w:r>
      <w:r w:rsidR="008B1563">
        <w:t>.</w:t>
      </w:r>
    </w:p>
    <w:p w14:paraId="252F046D" w14:textId="4FE42DA6" w:rsidR="008C6457" w:rsidRDefault="00500D46" w:rsidP="00142BDB">
      <w:pPr>
        <w:pStyle w:val="ParaLevel1"/>
        <w:tabs>
          <w:tab w:val="left" w:pos="720"/>
        </w:tabs>
      </w:pPr>
      <w:r>
        <w:t xml:space="preserve">So far as </w:t>
      </w:r>
      <w:r w:rsidR="004D423F">
        <w:t xml:space="preserve">concerns </w:t>
      </w:r>
      <w:r>
        <w:t>the maximum sentence</w:t>
      </w:r>
      <w:r w:rsidR="004D423F">
        <w:t xml:space="preserve">, </w:t>
      </w:r>
      <w:r w:rsidR="00010441">
        <w:t>the focus is on the description in the EAW</w:t>
      </w:r>
      <w:r>
        <w:t xml:space="preserve"> of “15 to 20 years”.</w:t>
      </w:r>
      <w:r w:rsidR="00F15AB3">
        <w:t xml:space="preserve"> </w:t>
      </w:r>
      <w:r w:rsidR="00823F2B">
        <w:t xml:space="preserve">Ms Hill submits that this is a legally deficient ambiguity. </w:t>
      </w:r>
      <w:r w:rsidR="005B225E">
        <w:t xml:space="preserve">The </w:t>
      </w:r>
      <w:r w:rsidR="006B4ABE">
        <w:t>Grounds of Renewal</w:t>
      </w:r>
      <w:r w:rsidR="00591271">
        <w:t xml:space="preserve"> contend that the</w:t>
      </w:r>
      <w:r w:rsidR="001D6FB1">
        <w:t xml:space="preserve"> Judge was wrong not to find it</w:t>
      </w:r>
      <w:r w:rsidR="00C80A42">
        <w:t xml:space="preserve"> “unclear where the figure of 15 or 20 years imprisonment as a maximum sentence has derived from”.</w:t>
      </w:r>
      <w:r w:rsidR="009734BB">
        <w:t xml:space="preserve"> </w:t>
      </w:r>
      <w:r w:rsidR="00F15AB3">
        <w:t>In</w:t>
      </w:r>
      <w:r w:rsidR="00FB5B27">
        <w:t xml:space="preserve"> </w:t>
      </w:r>
      <w:r w:rsidR="00FB5B27" w:rsidRPr="009734BB">
        <w:rPr>
          <w:u w:val="single"/>
        </w:rPr>
        <w:t>Killoran</w:t>
      </w:r>
      <w:r w:rsidR="00FB5B27">
        <w:t xml:space="preserve">, </w:t>
      </w:r>
      <w:r w:rsidR="009B5551">
        <w:t xml:space="preserve">the </w:t>
      </w:r>
      <w:r w:rsidR="002E457A">
        <w:t>District J</w:t>
      </w:r>
      <w:r w:rsidR="009B5551">
        <w:t xml:space="preserve">udge – encouraged by the </w:t>
      </w:r>
      <w:r w:rsidR="005D203A">
        <w:t xml:space="preserve">EAW and the </w:t>
      </w:r>
      <w:r w:rsidR="00587CAD">
        <w:t xml:space="preserve">Respondent – </w:t>
      </w:r>
      <w:r w:rsidR="002E457A">
        <w:t>had</w:t>
      </w:r>
      <w:r w:rsidR="00587CAD">
        <w:t xml:space="preserve"> read this as a 15 year </w:t>
      </w:r>
      <w:r w:rsidR="005D203A">
        <w:t>“</w:t>
      </w:r>
      <w:r w:rsidR="00587CAD">
        <w:t>minimum</w:t>
      </w:r>
      <w:r w:rsidR="005D203A">
        <w:t xml:space="preserve">” </w:t>
      </w:r>
      <w:r w:rsidR="00587CAD">
        <w:t xml:space="preserve">and a 20 year </w:t>
      </w:r>
      <w:r w:rsidR="0024132E">
        <w:t>“</w:t>
      </w:r>
      <w:r w:rsidR="00587CAD">
        <w:t>maximum</w:t>
      </w:r>
      <w:r w:rsidR="0024132E">
        <w:t>”</w:t>
      </w:r>
      <w:r w:rsidR="00587CAD">
        <w:t xml:space="preserve">. </w:t>
      </w:r>
      <w:r w:rsidR="00387F81">
        <w:t xml:space="preserve">That was challenged as being incorrect. </w:t>
      </w:r>
      <w:r w:rsidR="00587CAD">
        <w:t xml:space="preserve">It took a Respondent’s Notice (by </w:t>
      </w:r>
      <w:r w:rsidR="00475C04">
        <w:t>Counsel Mr Ball</w:t>
      </w:r>
      <w:r w:rsidR="00153BB1">
        <w:t>: who also appeared in the present case and drafted the RN here</w:t>
      </w:r>
      <w:r w:rsidR="00475C04">
        <w:t xml:space="preserve">) for the penny to drop: </w:t>
      </w:r>
      <w:r w:rsidR="00475C04" w:rsidRPr="009734BB">
        <w:rPr>
          <w:u w:val="single"/>
        </w:rPr>
        <w:t>Killoran</w:t>
      </w:r>
      <w:r w:rsidR="00475C04">
        <w:t xml:space="preserve"> §</w:t>
      </w:r>
      <w:r w:rsidR="005D203A">
        <w:t>29</w:t>
      </w:r>
      <w:r w:rsidR="003C2E78">
        <w:t xml:space="preserve">. There is a </w:t>
      </w:r>
      <w:r w:rsidR="0024132E">
        <w:t>“</w:t>
      </w:r>
      <w:r w:rsidR="003C2E78">
        <w:t>maximum</w:t>
      </w:r>
      <w:r w:rsidR="0024132E">
        <w:t>”</w:t>
      </w:r>
      <w:r w:rsidR="003C2E78">
        <w:t xml:space="preserve"> of 20 years but legally prescribed features</w:t>
      </w:r>
      <w:r w:rsidR="009F0551">
        <w:t xml:space="preserve"> – like </w:t>
      </w:r>
      <w:r w:rsidR="00173201">
        <w:t>having a young child as</w:t>
      </w:r>
      <w:r w:rsidR="009F0551">
        <w:t xml:space="preserve"> Ms Killoran </w:t>
      </w:r>
      <w:r w:rsidR="00173201">
        <w:t>did</w:t>
      </w:r>
      <w:r w:rsidR="00A36B18">
        <w:t xml:space="preserve"> (§</w:t>
      </w:r>
      <w:r w:rsidR="00173201">
        <w:t>49)</w:t>
      </w:r>
      <w:r w:rsidR="009F0551">
        <w:t xml:space="preserve"> – </w:t>
      </w:r>
      <w:r w:rsidR="00984B34">
        <w:t>lowers</w:t>
      </w:r>
      <w:r w:rsidR="009F0551">
        <w:t xml:space="preserve"> the </w:t>
      </w:r>
      <w:r w:rsidR="0024132E">
        <w:t>“</w:t>
      </w:r>
      <w:r w:rsidR="009F0551">
        <w:t>maximum</w:t>
      </w:r>
      <w:r w:rsidR="0024132E">
        <w:t>”</w:t>
      </w:r>
      <w:r w:rsidR="009F0551">
        <w:t xml:space="preserve"> to 15 years.</w:t>
      </w:r>
      <w:r w:rsidR="00A46118">
        <w:t xml:space="preserve"> </w:t>
      </w:r>
      <w:r w:rsidR="00984B34">
        <w:t>That became clear before Chamberlain J</w:t>
      </w:r>
      <w:r w:rsidR="00331183">
        <w:t xml:space="preserve">. In turn, his judgment makes it clear for the rest of us. This is not a </w:t>
      </w:r>
      <w:r w:rsidR="00E87882">
        <w:t xml:space="preserve">sentencing </w:t>
      </w:r>
      <w:r w:rsidR="00331183">
        <w:t>“range”</w:t>
      </w:r>
      <w:r w:rsidR="00E87882">
        <w:t xml:space="preserve">. There is now no ambiguity. The explanation in </w:t>
      </w:r>
      <w:r w:rsidR="00E87882" w:rsidRPr="00E87882">
        <w:rPr>
          <w:u w:val="single"/>
        </w:rPr>
        <w:t>Killoran</w:t>
      </w:r>
      <w:r w:rsidR="00E87882">
        <w:t xml:space="preserve"> must explain the very same content of the EAW in the present case.</w:t>
      </w:r>
      <w:r w:rsidR="00142BDB">
        <w:t xml:space="preserve"> </w:t>
      </w:r>
      <w:r w:rsidR="00E1308A">
        <w:t xml:space="preserve">I am not prepared to grant permission to appeal on a point </w:t>
      </w:r>
      <w:r w:rsidR="002D6D04">
        <w:t xml:space="preserve">of supposed </w:t>
      </w:r>
      <w:r w:rsidR="00142BDB">
        <w:t xml:space="preserve">ambiguity has (and had) </w:t>
      </w:r>
      <w:r w:rsidR="002D6D04">
        <w:t xml:space="preserve">in fact </w:t>
      </w:r>
      <w:r w:rsidR="00E1308A">
        <w:t xml:space="preserve">decisively been explained </w:t>
      </w:r>
      <w:r w:rsidR="00083258">
        <w:t>in this Court in a parallel case.</w:t>
      </w:r>
      <w:r w:rsidR="00E30F95">
        <w:t xml:space="preserve"> Like – indeed, from – Chamberlain J, I have the illumination </w:t>
      </w:r>
      <w:r w:rsidR="00CE0635">
        <w:t xml:space="preserve">needed, </w:t>
      </w:r>
      <w:r w:rsidR="003E240B">
        <w:t>after which the point evaporates</w:t>
      </w:r>
      <w:r w:rsidR="00D91E3E">
        <w:t>.</w:t>
      </w:r>
    </w:p>
    <w:p w14:paraId="7EC8F0C2" w14:textId="14D7D409" w:rsidR="00F073CF" w:rsidRDefault="00215B2D" w:rsidP="00824720">
      <w:pPr>
        <w:pStyle w:val="ParaLevel1"/>
        <w:tabs>
          <w:tab w:val="left" w:pos="720"/>
        </w:tabs>
      </w:pPr>
      <w:r>
        <w:t>So far as concerns minors,</w:t>
      </w:r>
      <w:r w:rsidR="001215EB">
        <w:t xml:space="preserve"> I cannot accept – even arguably – that duties of</w:t>
      </w:r>
      <w:r w:rsidR="008321D1">
        <w:t xml:space="preserve"> legally adequate particulars required specificity as to which </w:t>
      </w:r>
      <w:r w:rsidR="00824720">
        <w:t>occasions involved children being smuggled onto the lorries.</w:t>
      </w:r>
      <w:r w:rsidR="00305B91">
        <w:t xml:space="preserve"> It is obvious that the case against the </w:t>
      </w:r>
      <w:r w:rsidR="003E240B">
        <w:t>A</w:t>
      </w:r>
      <w:r w:rsidR="00305B91">
        <w:t>ppellant is that insofar as he was involved in smuggling</w:t>
      </w:r>
      <w:r w:rsidR="009B2862">
        <w:t xml:space="preserve"> individuals by facilitating their arrival at the pickup point and concealment in UK bound lorries from that point</w:t>
      </w:r>
      <w:r w:rsidR="00A305F7">
        <w:t xml:space="preserve">, and that into far as those individuals were underage, the more serious offence was being committed. </w:t>
      </w:r>
      <w:r w:rsidR="001C26D1">
        <w:t>The context is important</w:t>
      </w:r>
      <w:r w:rsidR="00FA6145">
        <w:t xml:space="preserve">. No extradition bar or safeguard is undermined. </w:t>
      </w:r>
      <w:r w:rsidR="001C26D1">
        <w:t>At any criminal trial, w</w:t>
      </w:r>
      <w:r w:rsidR="00A305F7">
        <w:t xml:space="preserve">hether and when </w:t>
      </w:r>
      <w:r w:rsidR="008F210D">
        <w:t>minors</w:t>
      </w:r>
      <w:r w:rsidR="00A305F7">
        <w:t xml:space="preserve"> were involved</w:t>
      </w:r>
      <w:r w:rsidR="00D5736E">
        <w:t xml:space="preserve"> </w:t>
      </w:r>
      <w:r w:rsidR="008F210D">
        <w:t>would</w:t>
      </w:r>
      <w:r w:rsidR="00D5736E">
        <w:t xml:space="preserve"> be a matter for evidence. There is no realistic prospect of th</w:t>
      </w:r>
      <w:r w:rsidR="00A51793">
        <w:t>is</w:t>
      </w:r>
      <w:r w:rsidR="00D5736E">
        <w:t xml:space="preserve"> </w:t>
      </w:r>
      <w:r w:rsidR="00FA6145">
        <w:t>C</w:t>
      </w:r>
      <w:r w:rsidR="00D5736E">
        <w:t xml:space="preserve">ourt concluding that there was </w:t>
      </w:r>
      <w:r w:rsidR="008F76CF">
        <w:t xml:space="preserve">or </w:t>
      </w:r>
      <w:r w:rsidR="00D5736E">
        <w:t xml:space="preserve">is a failure of </w:t>
      </w:r>
      <w:r w:rsidR="00A51793">
        <w:t>legally adequate particulars</w:t>
      </w:r>
      <w:r w:rsidR="007A27D3">
        <w:t>,</w:t>
      </w:r>
      <w:r w:rsidR="00CA500D">
        <w:t xml:space="preserve"> bearing in mind that there is no requirement of full and exhaustive particularisation, the object of the EAW process bee</w:t>
      </w:r>
      <w:r w:rsidR="004F280E">
        <w:t>ing</w:t>
      </w:r>
      <w:r w:rsidR="00CA500D">
        <w:t xml:space="preserve"> to remove the complexity and potential for delay in extradition. </w:t>
      </w:r>
      <w:r w:rsidR="0069393A">
        <w:t>By way of footnote,</w:t>
      </w:r>
      <w:r w:rsidR="007A27D3">
        <w:t xml:space="preserve"> </w:t>
      </w:r>
      <w:r w:rsidR="003A2A81">
        <w:t xml:space="preserve">I </w:t>
      </w:r>
      <w:r w:rsidR="0069393A">
        <w:t>note that</w:t>
      </w:r>
      <w:r w:rsidR="00B01A58">
        <w:t xml:space="preserve"> in </w:t>
      </w:r>
      <w:r w:rsidR="00B01A58" w:rsidRPr="003A2A81">
        <w:rPr>
          <w:u w:val="single"/>
        </w:rPr>
        <w:t>Killoran</w:t>
      </w:r>
      <w:r w:rsidR="00B01A58">
        <w:t xml:space="preserve"> </w:t>
      </w:r>
      <w:r w:rsidR="003A2A81">
        <w:t xml:space="preserve">– where </w:t>
      </w:r>
      <w:r w:rsidR="003A2A81">
        <w:lastRenderedPageBreak/>
        <w:t>the same</w:t>
      </w:r>
      <w:r w:rsidR="009C4138">
        <w:t xml:space="preserve"> “offence” was being relied on – nobody</w:t>
      </w:r>
      <w:r w:rsidR="003A2A81">
        <w:t xml:space="preserve"> </w:t>
      </w:r>
      <w:r w:rsidR="007A27D3">
        <w:t xml:space="preserve">evidently </w:t>
      </w:r>
      <w:r w:rsidR="003A2A81">
        <w:t>thought it had to be</w:t>
      </w:r>
      <w:r w:rsidR="00B01A58">
        <w:t xml:space="preserve"> spel</w:t>
      </w:r>
      <w:r w:rsidR="009C4138">
        <w:t>led</w:t>
      </w:r>
      <w:r w:rsidR="00B01A58">
        <w:t xml:space="preserve"> out on which of the relevant dates children were smuggled.</w:t>
      </w:r>
    </w:p>
    <w:p w14:paraId="6EF788A6" w14:textId="184F26D8" w:rsidR="0048748D" w:rsidRDefault="009C4138" w:rsidP="004E11B7">
      <w:pPr>
        <w:pStyle w:val="ParaLevel1"/>
        <w:tabs>
          <w:tab w:val="left" w:pos="720"/>
        </w:tabs>
      </w:pPr>
      <w:r>
        <w:t>Turning to location, the</w:t>
      </w:r>
      <w:r w:rsidR="00EC79AC">
        <w:t xml:space="preserve"> EAW and further information spel</w:t>
      </w:r>
      <w:r w:rsidR="003D4A81">
        <w:t>led</w:t>
      </w:r>
      <w:r w:rsidR="00EC79AC">
        <w:t xml:space="preserve"> out clearly</w:t>
      </w:r>
      <w:r w:rsidR="00A06409">
        <w:t xml:space="preserve"> that the critical locations were Brussels North station and the identified pickup points. </w:t>
      </w:r>
      <w:r w:rsidR="003D4A81">
        <w:t xml:space="preserve">Ms Hill points to the fact that the Judge recorded an acceptance – in the context of his section 10 analysis – of </w:t>
      </w:r>
      <w:r w:rsidR="00864F9C">
        <w:t>a</w:t>
      </w:r>
      <w:r w:rsidR="003D4A81">
        <w:t xml:space="preserve"> </w:t>
      </w:r>
      <w:r w:rsidR="00864F9C">
        <w:t xml:space="preserve">submission by </w:t>
      </w:r>
      <w:r w:rsidR="00153BB1">
        <w:t>Mr Ball</w:t>
      </w:r>
      <w:r w:rsidR="00864F9C">
        <w:t xml:space="preserve"> that </w:t>
      </w:r>
      <w:r w:rsidR="00C00866">
        <w:t xml:space="preserve">“the conduct set out in the EAW and … </w:t>
      </w:r>
      <w:r w:rsidR="00333120">
        <w:t>Further Information</w:t>
      </w:r>
      <w:r w:rsidR="008D5BA0">
        <w:t xml:space="preserve"> establishe</w:t>
      </w:r>
      <w:r w:rsidR="00C00866">
        <w:t>s”</w:t>
      </w:r>
      <w:r w:rsidR="008D5BA0">
        <w:t xml:space="preserve"> that the </w:t>
      </w:r>
      <w:r w:rsidR="00C00866">
        <w:t>A</w:t>
      </w:r>
      <w:r w:rsidR="008D5BA0">
        <w:t xml:space="preserve">ppellant </w:t>
      </w:r>
      <w:r w:rsidR="002C562D">
        <w:t>was being said to have</w:t>
      </w:r>
      <w:r w:rsidR="008D5BA0">
        <w:t xml:space="preserve"> collected </w:t>
      </w:r>
      <w:r w:rsidR="002C562D">
        <w:t xml:space="preserve">money </w:t>
      </w:r>
      <w:r w:rsidR="008D5BA0">
        <w:t>once the individuals</w:t>
      </w:r>
      <w:r w:rsidR="002C562D">
        <w:t xml:space="preserve"> being smuggled “</w:t>
      </w:r>
      <w:r w:rsidR="005577A5">
        <w:t xml:space="preserve">had arrived in the UK”. </w:t>
      </w:r>
      <w:r w:rsidR="00075C5C">
        <w:t>I have noted the</w:t>
      </w:r>
      <w:r w:rsidR="0069393A">
        <w:t xml:space="preserve"> earlier references </w:t>
      </w:r>
      <w:r w:rsidR="00D065DA">
        <w:t xml:space="preserve">in the judgment to </w:t>
      </w:r>
      <w:r w:rsidR="00075C5C">
        <w:t xml:space="preserve">collecting and </w:t>
      </w:r>
      <w:r w:rsidR="00D065DA">
        <w:t>passing money after “the individuals’ UK arrival”</w:t>
      </w:r>
      <w:r w:rsidR="00075C5C">
        <w:t xml:space="preserve"> and “</w:t>
      </w:r>
      <w:r w:rsidR="00A277FF">
        <w:t>once they had arrived in the UK”</w:t>
      </w:r>
      <w:r w:rsidR="00D065DA">
        <w:t xml:space="preserve">. </w:t>
      </w:r>
      <w:r w:rsidR="00333120">
        <w:t xml:space="preserve">I asked Ms Hill whether the </w:t>
      </w:r>
      <w:r w:rsidR="00CE0635">
        <w:t xml:space="preserve">EAW or </w:t>
      </w:r>
      <w:r w:rsidR="00333120">
        <w:t xml:space="preserve">Further Information anywhere says that. </w:t>
      </w:r>
      <w:r w:rsidR="00CE0635">
        <w:t xml:space="preserve">Her answer was that it does not. I agree. </w:t>
      </w:r>
      <w:r w:rsidR="00A404F6">
        <w:t xml:space="preserve">The description of the Appellant travelling to the UK </w:t>
      </w:r>
      <w:r w:rsidR="00A00D7F">
        <w:t xml:space="preserve">– himself “put inside” a lorry – is </w:t>
      </w:r>
      <w:r w:rsidR="00A404F6">
        <w:t xml:space="preserve">on </w:t>
      </w:r>
      <w:r w:rsidR="00B80B8B">
        <w:t>19/20</w:t>
      </w:r>
      <w:r w:rsidR="00A00D7F">
        <w:t xml:space="preserve"> June 2019. </w:t>
      </w:r>
      <w:r w:rsidR="000C5869">
        <w:t xml:space="preserve">It seems </w:t>
      </w:r>
      <w:r w:rsidR="0048748D">
        <w:t xml:space="preserve">obvious that the Appellant cannot be being said to have travelled in all those lorries with all those individuals </w:t>
      </w:r>
      <w:r w:rsidR="00375F39">
        <w:t>to the UK</w:t>
      </w:r>
      <w:r w:rsidR="000C5869">
        <w:t>, only then</w:t>
      </w:r>
      <w:r w:rsidR="00375F39">
        <w:t xml:space="preserve"> to collect money on arrival</w:t>
      </w:r>
      <w:r w:rsidR="000C5869">
        <w:t>, and</w:t>
      </w:r>
      <w:r w:rsidR="00375F39">
        <w:t xml:space="preserve"> </w:t>
      </w:r>
      <w:r w:rsidR="0048748D">
        <w:t xml:space="preserve">somehow </w:t>
      </w:r>
      <w:r w:rsidR="00EE206C">
        <w:t xml:space="preserve">then </w:t>
      </w:r>
      <w:r w:rsidR="00375F39">
        <w:t xml:space="preserve">to have </w:t>
      </w:r>
      <w:r w:rsidR="0048748D">
        <w:t>been back at Brussels North railway station</w:t>
      </w:r>
      <w:r w:rsidR="00EE206C">
        <w:t xml:space="preserve">, </w:t>
      </w:r>
      <w:r w:rsidR="0048748D">
        <w:t>often the next day.</w:t>
      </w:r>
      <w:r w:rsidR="00327188">
        <w:t xml:space="preserve"> </w:t>
      </w:r>
      <w:r w:rsidR="00462907">
        <w:t>Having said all of that, there is in any event no</w:t>
      </w:r>
      <w:r w:rsidR="00024A32">
        <w:t xml:space="preserve"> viable extradition bar or safeguard which has somehow been undermined</w:t>
      </w:r>
      <w:r w:rsidR="00B639B0">
        <w:t xml:space="preserve"> in this respect.</w:t>
      </w:r>
      <w:r w:rsidR="00294426">
        <w:t xml:space="preserve"> Ms Hill suggested that there could be a “forum” argument</w:t>
      </w:r>
      <w:r w:rsidR="00B639B0">
        <w:t xml:space="preserve"> – which could have been advanced based on what was being said </w:t>
      </w:r>
      <w:r w:rsidR="004E11B7">
        <w:t>about an aspect of conduct in the UK – but it is plain that a forum argument could not</w:t>
      </w:r>
      <w:r w:rsidR="00B715BE">
        <w:t xml:space="preserve"> in any event realistically </w:t>
      </w:r>
      <w:r w:rsidR="000657B2">
        <w:t xml:space="preserve">have succeeded. In </w:t>
      </w:r>
      <w:r w:rsidR="000657B2" w:rsidRPr="000657B2">
        <w:rPr>
          <w:u w:val="single"/>
        </w:rPr>
        <w:t>Killoran</w:t>
      </w:r>
      <w:r w:rsidR="000657B2">
        <w:t xml:space="preserve">, an aspect of Ms Killoran’s alleged conduct involved </w:t>
      </w:r>
      <w:r w:rsidR="007B71C2">
        <w:t xml:space="preserve">purchase and </w:t>
      </w:r>
      <w:r w:rsidR="000657B2">
        <w:t xml:space="preserve">supply of vehicles </w:t>
      </w:r>
      <w:r w:rsidR="0085720D">
        <w:t>from the UK (§</w:t>
      </w:r>
      <w:r w:rsidR="007B71C2">
        <w:t>10). No bar arose.</w:t>
      </w:r>
    </w:p>
    <w:p w14:paraId="13A02408" w14:textId="5D344E82" w:rsidR="002A014D" w:rsidRDefault="00310980" w:rsidP="009C25DA">
      <w:pPr>
        <w:pStyle w:val="ParaLevel1"/>
        <w:tabs>
          <w:tab w:val="left" w:pos="720"/>
        </w:tabs>
      </w:pPr>
      <w:r>
        <w:t>I turn to the number of “offences”.</w:t>
      </w:r>
      <w:r w:rsidR="00C777A2">
        <w:t xml:space="preserve"> </w:t>
      </w:r>
      <w:r w:rsidR="007908DC">
        <w:t xml:space="preserve">It is </w:t>
      </w:r>
      <w:r w:rsidR="00B35123">
        <w:t>helpful to</w:t>
      </w:r>
      <w:r w:rsidR="007908DC">
        <w:t xml:space="preserve"> distinguish </w:t>
      </w:r>
      <w:r w:rsidR="00B35123">
        <w:t xml:space="preserve">different </w:t>
      </w:r>
      <w:r w:rsidR="007908DC">
        <w:t xml:space="preserve">“species” of offence – such as is relevant when addressing “dual criminality” – and </w:t>
      </w:r>
      <w:r w:rsidR="00AE4D6E">
        <w:t>“occasions on which it is alleged that the appellant engaged in conduct constituting the offence” (see</w:t>
      </w:r>
      <w:r w:rsidR="007A0A33">
        <w:t xml:space="preserve"> </w:t>
      </w:r>
      <w:r w:rsidR="007A0A33" w:rsidRPr="00271E0F">
        <w:rPr>
          <w:u w:val="single"/>
        </w:rPr>
        <w:t>Killoran</w:t>
      </w:r>
      <w:r w:rsidR="007A0A33">
        <w:t xml:space="preserve"> §23</w:t>
      </w:r>
      <w:r w:rsidR="00AE4D6E">
        <w:t>).</w:t>
      </w:r>
      <w:r w:rsidR="00DB0CA2">
        <w:t xml:space="preserve"> </w:t>
      </w:r>
      <w:r w:rsidR="00C32072">
        <w:t>Here</w:t>
      </w:r>
      <w:r w:rsidR="00DB0CA2">
        <w:t xml:space="preserve">, </w:t>
      </w:r>
      <w:r w:rsidR="0001250A">
        <w:t xml:space="preserve">there are three “species” of offence. </w:t>
      </w:r>
      <w:r w:rsidR="00B60FBC">
        <w:t xml:space="preserve">The Appellant’s argument before the Judge </w:t>
      </w:r>
      <w:r w:rsidR="001D2631">
        <w:t>included that “the EAW did not make clear the species of offences”</w:t>
      </w:r>
      <w:r w:rsidR="00DE3441">
        <w:t xml:space="preserve">, but the Respondent supplied the answer, which the Judge </w:t>
      </w:r>
      <w:r w:rsidR="00822B6C">
        <w:t xml:space="preserve">went on unimpeachably to </w:t>
      </w:r>
      <w:r w:rsidR="00DE3441">
        <w:t>accept</w:t>
      </w:r>
      <w:r w:rsidR="00822B6C">
        <w:t>, that FI2 “</w:t>
      </w:r>
      <w:r w:rsidR="00DE3441">
        <w:t>deals dispositively</w:t>
      </w:r>
      <w:r w:rsidR="00822B6C">
        <w:t>” with this point “</w:t>
      </w:r>
      <w:r w:rsidR="00A66C1A">
        <w:t>as to the number of offences</w:t>
      </w:r>
      <w:r w:rsidR="00822B6C">
        <w:t>” because “</w:t>
      </w:r>
      <w:r w:rsidR="00A66C1A">
        <w:t>it clarifies that he is wanted for three offences”</w:t>
      </w:r>
      <w:r w:rsidR="00822B6C">
        <w:t>.</w:t>
      </w:r>
      <w:r w:rsidR="009C25DA">
        <w:t xml:space="preserve"> That leaves </w:t>
      </w:r>
      <w:r w:rsidR="00B075E8">
        <w:t>“occasions”</w:t>
      </w:r>
      <w:r w:rsidR="009C25DA">
        <w:t>. The short answer is that there are</w:t>
      </w:r>
      <w:r w:rsidR="00786874">
        <w:t xml:space="preserve"> </w:t>
      </w:r>
      <w:r w:rsidR="008B6D14">
        <w:t xml:space="preserve">“precise dates” given in </w:t>
      </w:r>
      <w:r w:rsidR="009C25DA">
        <w:t xml:space="preserve">the </w:t>
      </w:r>
      <w:r w:rsidR="008B6D14">
        <w:t>Further Information</w:t>
      </w:r>
      <w:r w:rsidR="00736232">
        <w:t xml:space="preserve">, as in </w:t>
      </w:r>
      <w:r w:rsidR="00736232" w:rsidRPr="009C25DA">
        <w:rPr>
          <w:u w:val="single"/>
        </w:rPr>
        <w:t>Killoran</w:t>
      </w:r>
      <w:r w:rsidR="00736232">
        <w:t xml:space="preserve"> (§§11, 24).</w:t>
      </w:r>
      <w:r w:rsidR="00FF0EAD">
        <w:t xml:space="preserve"> </w:t>
      </w:r>
      <w:r w:rsidR="0078062A">
        <w:t>That, beyond argument, is plainly legally adequate in</w:t>
      </w:r>
      <w:r w:rsidR="00982714">
        <w:t xml:space="preserve"> this case. </w:t>
      </w:r>
      <w:r w:rsidR="002A014D">
        <w:t xml:space="preserve">Moreover, and as in </w:t>
      </w:r>
      <w:r w:rsidR="002A014D" w:rsidRPr="002A014D">
        <w:rPr>
          <w:u w:val="single"/>
        </w:rPr>
        <w:t>Killoran</w:t>
      </w:r>
      <w:r w:rsidR="002A014D">
        <w:t xml:space="preserve"> (§24): “read as a whole, the material enables the Appellant to assert … speciality protection”.</w:t>
      </w:r>
    </w:p>
    <w:p w14:paraId="34B37E32" w14:textId="6A99623F" w:rsidR="00B5764C" w:rsidRDefault="00FF0EAD" w:rsidP="00F21C79">
      <w:pPr>
        <w:pStyle w:val="ParaLevel1"/>
        <w:tabs>
          <w:tab w:val="left" w:pos="720"/>
        </w:tabs>
      </w:pPr>
      <w:r>
        <w:t xml:space="preserve">In those circumstances, whether and in what circumstances it is </w:t>
      </w:r>
      <w:r w:rsidR="00982714">
        <w:t xml:space="preserve">in fact </w:t>
      </w:r>
      <w:r>
        <w:t xml:space="preserve">necessary to give </w:t>
      </w:r>
      <w:r w:rsidR="00F2254C">
        <w:t xml:space="preserve">precise </w:t>
      </w:r>
      <w:r>
        <w:t xml:space="preserve">dates of </w:t>
      </w:r>
      <w:r w:rsidR="00F2254C">
        <w:t xml:space="preserve">all </w:t>
      </w:r>
      <w:r>
        <w:t>occasions</w:t>
      </w:r>
      <w:r w:rsidR="00A24212">
        <w:t xml:space="preserve"> </w:t>
      </w:r>
      <w:r w:rsidR="00815525">
        <w:t>does not arise</w:t>
      </w:r>
      <w:r w:rsidR="00FC3E3F">
        <w:t xml:space="preserve">. </w:t>
      </w:r>
      <w:r w:rsidR="00EE5923">
        <w:t>I will simply add th</w:t>
      </w:r>
      <w:r w:rsidR="009350F1">
        <w:t>ese observations</w:t>
      </w:r>
      <w:r w:rsidR="00EE5923">
        <w:t xml:space="preserve">. </w:t>
      </w:r>
      <w:r w:rsidR="00A57205">
        <w:t xml:space="preserve">Legally adequate particulars </w:t>
      </w:r>
      <w:r w:rsidR="009350F1">
        <w:t xml:space="preserve">for extradition </w:t>
      </w:r>
      <w:r w:rsidR="00A57205">
        <w:t xml:space="preserve">do not </w:t>
      </w:r>
      <w:r w:rsidR="00405DF6">
        <w:t>require the production of an</w:t>
      </w:r>
      <w:r w:rsidR="00A57205">
        <w:t xml:space="preserve"> </w:t>
      </w:r>
      <w:r w:rsidR="007B51A6">
        <w:t>‘</w:t>
      </w:r>
      <w:r w:rsidR="00A57205">
        <w:t>indictment</w:t>
      </w:r>
      <w:r w:rsidR="007B51A6">
        <w:t>’</w:t>
      </w:r>
      <w:r w:rsidR="00A57205">
        <w:t>, and</w:t>
      </w:r>
      <w:r w:rsidR="00D856AF">
        <w:t xml:space="preserve"> “occasions” can be </w:t>
      </w:r>
      <w:r w:rsidR="00A92DB8">
        <w:t xml:space="preserve">set out in different ways </w:t>
      </w:r>
      <w:r w:rsidR="00405DF6">
        <w:t xml:space="preserve">when </w:t>
      </w:r>
      <w:r w:rsidR="00A92DB8">
        <w:t xml:space="preserve">an </w:t>
      </w:r>
      <w:r w:rsidR="00405DF6">
        <w:t>‘</w:t>
      </w:r>
      <w:r w:rsidR="00A92DB8">
        <w:t>indictment</w:t>
      </w:r>
      <w:r w:rsidR="00405DF6">
        <w:t>’ comes to be drawn up</w:t>
      </w:r>
      <w:r w:rsidR="00A92DB8">
        <w:t xml:space="preserve"> (</w:t>
      </w:r>
      <w:r w:rsidR="00A92DB8" w:rsidRPr="00926422">
        <w:rPr>
          <w:u w:val="single"/>
        </w:rPr>
        <w:t>Killoran</w:t>
      </w:r>
      <w:r w:rsidR="00A92DB8">
        <w:t xml:space="preserve"> §23).</w:t>
      </w:r>
      <w:r w:rsidR="00315FC2">
        <w:t xml:space="preserve"> </w:t>
      </w:r>
      <w:r w:rsidR="00A24212">
        <w:t>In</w:t>
      </w:r>
      <w:r w:rsidR="00A43215">
        <w:t xml:space="preserve"> </w:t>
      </w:r>
      <w:r w:rsidR="00A43215" w:rsidRPr="00926422">
        <w:rPr>
          <w:u w:val="single"/>
        </w:rPr>
        <w:t>Zeka</w:t>
      </w:r>
      <w:r w:rsidR="00151094">
        <w:t xml:space="preserve"> (at §§3-4), </w:t>
      </w:r>
      <w:r w:rsidR="00A43215">
        <w:t xml:space="preserve">I </w:t>
      </w:r>
      <w:r w:rsidR="00151094">
        <w:t>observed</w:t>
      </w:r>
      <w:r w:rsidR="00BD154A">
        <w:t xml:space="preserve"> </w:t>
      </w:r>
      <w:r w:rsidR="00151094">
        <w:t>that</w:t>
      </w:r>
      <w:r w:rsidR="00014022">
        <w:t xml:space="preserve"> </w:t>
      </w:r>
      <w:r w:rsidR="00014022" w:rsidRPr="00926422">
        <w:rPr>
          <w:u w:val="single"/>
        </w:rPr>
        <w:t>Taylor</w:t>
      </w:r>
      <w:r w:rsidR="00014022">
        <w:t xml:space="preserve"> </w:t>
      </w:r>
      <w:r w:rsidR="00315FC2">
        <w:t>– a case of alleged species and occasions of sexual assault</w:t>
      </w:r>
      <w:r w:rsidR="00926422">
        <w:t>s (see §§8-13) d</w:t>
      </w:r>
      <w:r w:rsidR="00151094">
        <w:t>oes</w:t>
      </w:r>
      <w:r w:rsidR="00014022">
        <w:t xml:space="preserve"> not support the contention that the </w:t>
      </w:r>
      <w:r w:rsidR="00FC3E3F">
        <w:t xml:space="preserve">precise </w:t>
      </w:r>
      <w:r w:rsidR="00014022">
        <w:t xml:space="preserve">number of </w:t>
      </w:r>
      <w:r w:rsidR="00FC3E3F">
        <w:t>“</w:t>
      </w:r>
      <w:r w:rsidR="00014022">
        <w:t>occasions</w:t>
      </w:r>
      <w:r w:rsidR="00FC3E3F">
        <w:t>”</w:t>
      </w:r>
      <w:r w:rsidR="00132890">
        <w:t xml:space="preserve"> need</w:t>
      </w:r>
      <w:r w:rsidR="00151094">
        <w:t>s</w:t>
      </w:r>
      <w:r w:rsidR="00132890">
        <w:t xml:space="preserve"> to be specified</w:t>
      </w:r>
      <w:r w:rsidR="00443C27">
        <w:t xml:space="preserve">. </w:t>
      </w:r>
      <w:r w:rsidR="00EE5923">
        <w:t xml:space="preserve">I remain of that view of that case. </w:t>
      </w:r>
      <w:r w:rsidR="00971609">
        <w:t>In</w:t>
      </w:r>
      <w:r w:rsidR="00443C27">
        <w:t xml:space="preserve"> </w:t>
      </w:r>
      <w:r w:rsidR="003477A7" w:rsidRPr="00926422">
        <w:rPr>
          <w:u w:val="single"/>
        </w:rPr>
        <w:t>Ava</w:t>
      </w:r>
      <w:r w:rsidR="001212C1" w:rsidRPr="00926422">
        <w:rPr>
          <w:u w:val="single"/>
        </w:rPr>
        <w:t>danei</w:t>
      </w:r>
      <w:r w:rsidR="00173437">
        <w:t xml:space="preserve">, </w:t>
      </w:r>
      <w:r w:rsidR="00A5515C">
        <w:t>among the vices in the “wholly deficient” EAW was the</w:t>
      </w:r>
      <w:r w:rsidR="00FE18CB">
        <w:t xml:space="preserve"> internal contradiction </w:t>
      </w:r>
      <w:r w:rsidR="00A5515C">
        <w:t xml:space="preserve">between </w:t>
      </w:r>
      <w:r w:rsidR="00971609">
        <w:t>35 “offences” and “about 30 organised thefts”</w:t>
      </w:r>
      <w:r w:rsidR="00173437">
        <w:t xml:space="preserve"> (§30),</w:t>
      </w:r>
      <w:r w:rsidR="004E092B">
        <w:t xml:space="preserve"> and </w:t>
      </w:r>
      <w:r w:rsidR="001212C1">
        <w:t xml:space="preserve">Laing J </w:t>
      </w:r>
      <w:r w:rsidR="00BD154A">
        <w:t>observed</w:t>
      </w:r>
      <w:r w:rsidR="001212C1">
        <w:t xml:space="preserve"> (§31)</w:t>
      </w:r>
      <w:r w:rsidR="002A4DA4">
        <w:t xml:space="preserve"> that she would not have regarded further information </w:t>
      </w:r>
      <w:r w:rsidR="00173437">
        <w:t>as adequate</w:t>
      </w:r>
      <w:r w:rsidR="002A4DA4">
        <w:t xml:space="preserve"> because it was </w:t>
      </w:r>
      <w:r w:rsidR="003875A2">
        <w:t>“</w:t>
      </w:r>
      <w:r w:rsidR="002A4DA4">
        <w:t>still unclear</w:t>
      </w:r>
      <w:r w:rsidR="00A526D8">
        <w:t>” in relation to “</w:t>
      </w:r>
      <w:r w:rsidR="002A4DA4">
        <w:t>how many offences extradition was sought</w:t>
      </w:r>
      <w:r w:rsidR="003875A2">
        <w:t>”</w:t>
      </w:r>
      <w:r w:rsidR="002A4DA4">
        <w:t xml:space="preserve">. </w:t>
      </w:r>
      <w:r w:rsidR="00C9698B">
        <w:t>(</w:t>
      </w:r>
      <w:r w:rsidR="00254481">
        <w:t>I interpose that i</w:t>
      </w:r>
      <w:r w:rsidR="004C5699">
        <w:t xml:space="preserve">n </w:t>
      </w:r>
      <w:r w:rsidR="004C5699" w:rsidRPr="00926422">
        <w:rPr>
          <w:u w:val="single"/>
        </w:rPr>
        <w:t>Osu</w:t>
      </w:r>
      <w:r w:rsidR="000C4E9D">
        <w:t xml:space="preserve">, </w:t>
      </w:r>
      <w:r w:rsidR="004C5699">
        <w:t xml:space="preserve">May J found </w:t>
      </w:r>
      <w:r w:rsidR="00E343AA">
        <w:t xml:space="preserve">particulars to be </w:t>
      </w:r>
      <w:r w:rsidR="00925CD1">
        <w:t>legally inadequate</w:t>
      </w:r>
      <w:r w:rsidR="00C52225">
        <w:t xml:space="preserve"> </w:t>
      </w:r>
      <w:r w:rsidR="00925ADC">
        <w:t xml:space="preserve">where the </w:t>
      </w:r>
      <w:r w:rsidR="00C52225">
        <w:t xml:space="preserve">requested person did not know </w:t>
      </w:r>
      <w:r w:rsidR="006362FE">
        <w:t>whether he face</w:t>
      </w:r>
      <w:r w:rsidR="00D261B6">
        <w:t>d</w:t>
      </w:r>
      <w:r w:rsidR="006362FE">
        <w:t xml:space="preserve"> allegations of </w:t>
      </w:r>
      <w:r w:rsidR="00E55B31">
        <w:t xml:space="preserve">mail/email </w:t>
      </w:r>
      <w:r w:rsidR="00E55B31">
        <w:lastRenderedPageBreak/>
        <w:t xml:space="preserve">scam </w:t>
      </w:r>
      <w:r w:rsidR="006362FE">
        <w:t>conspiracy “in respect of three victims or 55 or somewhere in between” (§15).</w:t>
      </w:r>
      <w:r w:rsidR="00C9698B">
        <w:t>)</w:t>
      </w:r>
      <w:r w:rsidR="006B63AE">
        <w:t xml:space="preserve"> </w:t>
      </w:r>
      <w:r w:rsidR="00345378">
        <w:t>Th</w:t>
      </w:r>
      <w:r w:rsidR="00BB3BFB">
        <w:t>e</w:t>
      </w:r>
      <w:r w:rsidR="00345378">
        <w:t xml:space="preserve"> degree of particularity required as to “occasions”</w:t>
      </w:r>
      <w:r w:rsidR="00DF5873">
        <w:t xml:space="preserve"> </w:t>
      </w:r>
      <w:r w:rsidR="00345378">
        <w:t>st</w:t>
      </w:r>
      <w:r w:rsidR="0075186A">
        <w:t>r</w:t>
      </w:r>
      <w:r w:rsidR="00345378">
        <w:t>ike</w:t>
      </w:r>
      <w:r w:rsidR="00DF5873">
        <w:t>s</w:t>
      </w:r>
      <w:r w:rsidR="00345378">
        <w:t xml:space="preserve"> me as contextual</w:t>
      </w:r>
      <w:r w:rsidR="00BD7A7B">
        <w:t>,</w:t>
      </w:r>
      <w:r w:rsidR="00345378">
        <w:t xml:space="preserve"> and </w:t>
      </w:r>
      <w:r w:rsidR="00076FF6">
        <w:t>inapt for rigid rule</w:t>
      </w:r>
      <w:r w:rsidR="006B63AE">
        <w:t xml:space="preserve">, having regard to the applicable legal principles </w:t>
      </w:r>
      <w:r w:rsidR="00DF5873">
        <w:t>(</w:t>
      </w:r>
      <w:r w:rsidR="00BD7A7B">
        <w:t xml:space="preserve">which I have </w:t>
      </w:r>
      <w:r w:rsidR="006B63AE">
        <w:t>identified earlier</w:t>
      </w:r>
      <w:r w:rsidR="00BD7A7B">
        <w:t xml:space="preserve"> in this judgment</w:t>
      </w:r>
      <w:r w:rsidR="00DF5873">
        <w:t>)</w:t>
      </w:r>
      <w:r w:rsidR="00005E0E">
        <w:t xml:space="preserve"> </w:t>
      </w:r>
      <w:r w:rsidR="00BD7A7B">
        <w:t>including</w:t>
      </w:r>
      <w:r w:rsidR="00DF5873">
        <w:t xml:space="preserve"> </w:t>
      </w:r>
      <w:r w:rsidR="00E05668">
        <w:t xml:space="preserve">as to </w:t>
      </w:r>
      <w:r w:rsidR="00BD7A7B">
        <w:t xml:space="preserve">the purposes of particularisation, </w:t>
      </w:r>
      <w:r w:rsidR="00DD122A">
        <w:t xml:space="preserve">the principle of </w:t>
      </w:r>
      <w:r w:rsidR="00DF5873">
        <w:t>mutual respect</w:t>
      </w:r>
      <w:r w:rsidR="00C72F58">
        <w:t>,</w:t>
      </w:r>
      <w:r w:rsidR="00005E0E">
        <w:t xml:space="preserve"> and the </w:t>
      </w:r>
      <w:r w:rsidR="00DD122A">
        <w:t xml:space="preserve">recognised case-specific </w:t>
      </w:r>
      <w:r w:rsidR="00005E0E">
        <w:t>balance to be struck</w:t>
      </w:r>
      <w:r w:rsidR="006B63AE">
        <w:t>.</w:t>
      </w:r>
      <w:r w:rsidR="00345378">
        <w:t xml:space="preserve"> B</w:t>
      </w:r>
      <w:r w:rsidR="004E44B4">
        <w:t>ut be</w:t>
      </w:r>
      <w:r w:rsidR="00345378">
        <w:t xml:space="preserve"> th</w:t>
      </w:r>
      <w:r w:rsidR="00DD122A">
        <w:t>ose observations as they may</w:t>
      </w:r>
      <w:r w:rsidR="00345378">
        <w:t xml:space="preserve">, in the present case specific dates have been given in Further Information, </w:t>
      </w:r>
      <w:r w:rsidR="00C72F58">
        <w:t xml:space="preserve">just </w:t>
      </w:r>
      <w:r w:rsidR="00345378">
        <w:t xml:space="preserve">as </w:t>
      </w:r>
      <w:r w:rsidR="00C72F58">
        <w:t xml:space="preserve">they were </w:t>
      </w:r>
      <w:r w:rsidR="00345378">
        <w:t xml:space="preserve">in </w:t>
      </w:r>
      <w:r w:rsidR="00345378" w:rsidRPr="00926422">
        <w:rPr>
          <w:u w:val="single"/>
        </w:rPr>
        <w:t>Killoran</w:t>
      </w:r>
      <w:r w:rsidR="00345378">
        <w:t>.</w:t>
      </w:r>
    </w:p>
    <w:p w14:paraId="6FFE8380" w14:textId="18ED7DF8" w:rsidR="002C01DE" w:rsidRPr="002C01DE" w:rsidRDefault="002C01DE" w:rsidP="002C01DE">
      <w:pPr>
        <w:pStyle w:val="ParaLevel1"/>
        <w:numPr>
          <w:ilvl w:val="0"/>
          <w:numId w:val="0"/>
        </w:numPr>
        <w:rPr>
          <w:u w:val="single"/>
        </w:rPr>
      </w:pPr>
      <w:r w:rsidRPr="002C01DE">
        <w:rPr>
          <w:u w:val="single"/>
        </w:rPr>
        <w:t>Conclusion</w:t>
      </w:r>
    </w:p>
    <w:p w14:paraId="10F8BC3F" w14:textId="73EA0432" w:rsidR="002C01DE" w:rsidRDefault="00FE6DEB" w:rsidP="002C01DE">
      <w:pPr>
        <w:pStyle w:val="ParaLevel1"/>
        <w:tabs>
          <w:tab w:val="left" w:pos="720"/>
        </w:tabs>
      </w:pPr>
      <w:r>
        <w:t>In all the circumstances and for these reasons</w:t>
      </w:r>
      <w:r w:rsidR="004E44B4">
        <w:t>,</w:t>
      </w:r>
      <w:r>
        <w:t xml:space="preserve"> the application for permission to appeal is refused.</w:t>
      </w:r>
    </w:p>
    <w:sectPr w:rsidR="002C01D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92FCB" w14:textId="77777777" w:rsidR="00586521" w:rsidRDefault="00586521">
      <w:r>
        <w:separator/>
      </w:r>
    </w:p>
  </w:endnote>
  <w:endnote w:type="continuationSeparator" w:id="0">
    <w:p w14:paraId="61FF3EEF" w14:textId="77777777" w:rsidR="00586521" w:rsidRDefault="00586521">
      <w:r>
        <w:continuationSeparator/>
      </w:r>
    </w:p>
  </w:endnote>
  <w:endnote w:type="continuationNotice" w:id="1">
    <w:p w14:paraId="5A884C8E" w14:textId="77777777" w:rsidR="00586521" w:rsidRDefault="005865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63030" w14:textId="77777777" w:rsidR="00586521" w:rsidRDefault="00586521">
      <w:r>
        <w:separator/>
      </w:r>
    </w:p>
  </w:footnote>
  <w:footnote w:type="continuationSeparator" w:id="0">
    <w:p w14:paraId="0FE4891C" w14:textId="77777777" w:rsidR="00586521" w:rsidRDefault="00586521">
      <w:r>
        <w:continuationSeparator/>
      </w:r>
    </w:p>
  </w:footnote>
  <w:footnote w:type="continuationNotice" w:id="1">
    <w:p w14:paraId="5B06E90E" w14:textId="77777777" w:rsidR="00586521" w:rsidRDefault="005865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4A2C8F" w14:paraId="14B546C0" w14:textId="77777777">
      <w:tc>
        <w:tcPr>
          <w:tcW w:w="4680" w:type="dxa"/>
        </w:tcPr>
        <w:p w14:paraId="6B28D4F1" w14:textId="4267666C" w:rsidR="004A2C8F" w:rsidRDefault="004A2C8F">
          <w:pPr>
            <w:pStyle w:val="Header"/>
            <w:rPr>
              <w:rFonts w:ascii="Times New Roman" w:hAnsi="Times New Roman"/>
              <w:b/>
              <w:sz w:val="16"/>
              <w:u w:val="single"/>
            </w:rPr>
          </w:pPr>
          <w:r>
            <w:rPr>
              <w:rFonts w:ascii="Times New Roman" w:hAnsi="Times New Roman"/>
              <w:b/>
              <w:sz w:val="16"/>
              <w:u w:val="single"/>
            </w:rPr>
            <w:t>THE HON. MR JUSTICE FORDHAM</w:t>
          </w:r>
        </w:p>
        <w:p w14:paraId="187E074E" w14:textId="56EC4624" w:rsidR="004A2C8F" w:rsidRDefault="00255217">
          <w:pPr>
            <w:pStyle w:val="Header"/>
            <w:rPr>
              <w:rFonts w:ascii="Times New Roman" w:hAnsi="Times New Roman"/>
              <w:b/>
              <w:sz w:val="16"/>
              <w:u w:val="single"/>
            </w:rPr>
          </w:pPr>
          <w:r>
            <w:rPr>
              <w:rFonts w:ascii="Times New Roman" w:hAnsi="Times New Roman"/>
              <w:b/>
              <w:sz w:val="16"/>
              <w:u w:val="single"/>
            </w:rPr>
            <w:t>Approved</w:t>
          </w:r>
          <w:r w:rsidR="004A2C8F">
            <w:rPr>
              <w:rFonts w:ascii="Times New Roman" w:hAnsi="Times New Roman"/>
              <w:b/>
              <w:sz w:val="16"/>
              <w:u w:val="single"/>
            </w:rPr>
            <w:t xml:space="preserve"> Judgment</w:t>
          </w:r>
        </w:p>
      </w:tc>
      <w:tc>
        <w:tcPr>
          <w:tcW w:w="4320" w:type="dxa"/>
        </w:tcPr>
        <w:p w14:paraId="35EB0897" w14:textId="2ABB1AA4" w:rsidR="004A2C8F" w:rsidRDefault="004A2C8F">
          <w:pPr>
            <w:pStyle w:val="Header"/>
            <w:jc w:val="right"/>
            <w:rPr>
              <w:rFonts w:ascii="Times New Roman" w:hAnsi="Times New Roman"/>
              <w:sz w:val="16"/>
            </w:rPr>
          </w:pPr>
        </w:p>
      </w:tc>
    </w:tr>
  </w:tbl>
  <w:p w14:paraId="0967E894" w14:textId="77777777" w:rsidR="004A2C8F" w:rsidRDefault="004A2C8F">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E1658"/>
    <w:multiLevelType w:val="hybridMultilevel"/>
    <w:tmpl w:val="AFBE9806"/>
    <w:lvl w:ilvl="0" w:tplc="7B48F12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17256D1"/>
    <w:multiLevelType w:val="hybridMultilevel"/>
    <w:tmpl w:val="417ED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3B7369"/>
    <w:multiLevelType w:val="hybridMultilevel"/>
    <w:tmpl w:val="F5741A00"/>
    <w:lvl w:ilvl="0" w:tplc="E5BE2F7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2E766D2"/>
    <w:multiLevelType w:val="hybridMultilevel"/>
    <w:tmpl w:val="88E2B528"/>
    <w:lvl w:ilvl="0" w:tplc="193C91C6">
      <w:start w:val="1"/>
      <w:numFmt w:val="decimal"/>
      <w:lvlText w:val="%1."/>
      <w:lvlJc w:val="left"/>
      <w:pPr>
        <w:tabs>
          <w:tab w:val="num" w:pos="360"/>
        </w:tabs>
        <w:ind w:left="360" w:hanging="360"/>
      </w:pPr>
      <w:rPr>
        <w:rFonts w:hint="default"/>
        <w:b w:val="0"/>
      </w:rPr>
    </w:lvl>
    <w:lvl w:ilvl="1" w:tplc="870C5174">
      <w:start w:val="1"/>
      <w:numFmt w:val="lowerRoman"/>
      <w:lvlText w:val="%2."/>
      <w:lvlJc w:val="left"/>
      <w:pPr>
        <w:tabs>
          <w:tab w:val="num" w:pos="1440"/>
        </w:tabs>
        <w:ind w:left="1440" w:hanging="720"/>
      </w:pPr>
      <w:rPr>
        <w:rFonts w:hint="default"/>
      </w:rPr>
    </w:lvl>
    <w:lvl w:ilvl="2" w:tplc="459A9D22">
      <w:start w:val="1"/>
      <w:numFmt w:val="lowerLetter"/>
      <w:lvlText w:val="%3."/>
      <w:lvlJc w:val="left"/>
      <w:pPr>
        <w:tabs>
          <w:tab w:val="num" w:pos="1980"/>
        </w:tabs>
        <w:ind w:left="1980" w:hanging="360"/>
      </w:pPr>
      <w:rPr>
        <w:rFonts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4"/>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828"/>
    <w:rsid w:val="00000C04"/>
    <w:rsid w:val="0000230E"/>
    <w:rsid w:val="00002563"/>
    <w:rsid w:val="00005E0E"/>
    <w:rsid w:val="000061FE"/>
    <w:rsid w:val="00007939"/>
    <w:rsid w:val="00010441"/>
    <w:rsid w:val="00011B38"/>
    <w:rsid w:val="00011E95"/>
    <w:rsid w:val="0001250A"/>
    <w:rsid w:val="00012D6D"/>
    <w:rsid w:val="000132D7"/>
    <w:rsid w:val="00014022"/>
    <w:rsid w:val="00016A36"/>
    <w:rsid w:val="000170A8"/>
    <w:rsid w:val="00017961"/>
    <w:rsid w:val="000247FB"/>
    <w:rsid w:val="00024A32"/>
    <w:rsid w:val="00026ED3"/>
    <w:rsid w:val="000352ED"/>
    <w:rsid w:val="00036EF0"/>
    <w:rsid w:val="00037ED7"/>
    <w:rsid w:val="00042224"/>
    <w:rsid w:val="00042960"/>
    <w:rsid w:val="00043864"/>
    <w:rsid w:val="00044687"/>
    <w:rsid w:val="00050104"/>
    <w:rsid w:val="000522E3"/>
    <w:rsid w:val="000563D5"/>
    <w:rsid w:val="000578B4"/>
    <w:rsid w:val="00060A61"/>
    <w:rsid w:val="00061ED5"/>
    <w:rsid w:val="000640F7"/>
    <w:rsid w:val="00064903"/>
    <w:rsid w:val="000657B2"/>
    <w:rsid w:val="00065A0F"/>
    <w:rsid w:val="00066D98"/>
    <w:rsid w:val="00071057"/>
    <w:rsid w:val="000718F8"/>
    <w:rsid w:val="000723A3"/>
    <w:rsid w:val="00074B00"/>
    <w:rsid w:val="00075C5C"/>
    <w:rsid w:val="00076FF6"/>
    <w:rsid w:val="00077164"/>
    <w:rsid w:val="00077A00"/>
    <w:rsid w:val="00083035"/>
    <w:rsid w:val="00083258"/>
    <w:rsid w:val="00083B83"/>
    <w:rsid w:val="00084281"/>
    <w:rsid w:val="00087593"/>
    <w:rsid w:val="00087E2C"/>
    <w:rsid w:val="00087F2B"/>
    <w:rsid w:val="0009042B"/>
    <w:rsid w:val="00092F3E"/>
    <w:rsid w:val="00093670"/>
    <w:rsid w:val="00094C7F"/>
    <w:rsid w:val="00095A53"/>
    <w:rsid w:val="00096316"/>
    <w:rsid w:val="00097525"/>
    <w:rsid w:val="000A0981"/>
    <w:rsid w:val="000A1DA6"/>
    <w:rsid w:val="000A2417"/>
    <w:rsid w:val="000A4402"/>
    <w:rsid w:val="000A6BE5"/>
    <w:rsid w:val="000A7546"/>
    <w:rsid w:val="000A7F12"/>
    <w:rsid w:val="000B2B72"/>
    <w:rsid w:val="000B439D"/>
    <w:rsid w:val="000B522F"/>
    <w:rsid w:val="000B5925"/>
    <w:rsid w:val="000B6C91"/>
    <w:rsid w:val="000B732E"/>
    <w:rsid w:val="000C142A"/>
    <w:rsid w:val="000C2F7A"/>
    <w:rsid w:val="000C3A95"/>
    <w:rsid w:val="000C4E9D"/>
    <w:rsid w:val="000C514E"/>
    <w:rsid w:val="000C5869"/>
    <w:rsid w:val="000C5F3C"/>
    <w:rsid w:val="000C77C9"/>
    <w:rsid w:val="000D0CE9"/>
    <w:rsid w:val="000D0CFD"/>
    <w:rsid w:val="000D33C9"/>
    <w:rsid w:val="000D3D48"/>
    <w:rsid w:val="000E0703"/>
    <w:rsid w:val="000E6DEC"/>
    <w:rsid w:val="000E7BF8"/>
    <w:rsid w:val="000F07B3"/>
    <w:rsid w:val="000F12C6"/>
    <w:rsid w:val="000F1658"/>
    <w:rsid w:val="000F2538"/>
    <w:rsid w:val="000F26AE"/>
    <w:rsid w:val="000F288E"/>
    <w:rsid w:val="000F5E7A"/>
    <w:rsid w:val="000F6A2A"/>
    <w:rsid w:val="000F6CAE"/>
    <w:rsid w:val="000F6CFA"/>
    <w:rsid w:val="000F747B"/>
    <w:rsid w:val="00100860"/>
    <w:rsid w:val="00101E52"/>
    <w:rsid w:val="0010279D"/>
    <w:rsid w:val="00103EB7"/>
    <w:rsid w:val="00104DE1"/>
    <w:rsid w:val="00105661"/>
    <w:rsid w:val="001102B6"/>
    <w:rsid w:val="001112E0"/>
    <w:rsid w:val="0011228F"/>
    <w:rsid w:val="0011275F"/>
    <w:rsid w:val="001151CA"/>
    <w:rsid w:val="00116D62"/>
    <w:rsid w:val="001177D5"/>
    <w:rsid w:val="00120635"/>
    <w:rsid w:val="00120F7A"/>
    <w:rsid w:val="001212C1"/>
    <w:rsid w:val="001215EB"/>
    <w:rsid w:val="00125759"/>
    <w:rsid w:val="001263AF"/>
    <w:rsid w:val="00126523"/>
    <w:rsid w:val="00126A68"/>
    <w:rsid w:val="00132890"/>
    <w:rsid w:val="0013489D"/>
    <w:rsid w:val="00137B35"/>
    <w:rsid w:val="00137F3A"/>
    <w:rsid w:val="00140952"/>
    <w:rsid w:val="00142BDB"/>
    <w:rsid w:val="00143650"/>
    <w:rsid w:val="001469C8"/>
    <w:rsid w:val="00146CA0"/>
    <w:rsid w:val="00150600"/>
    <w:rsid w:val="00151094"/>
    <w:rsid w:val="00153BB1"/>
    <w:rsid w:val="00153E29"/>
    <w:rsid w:val="00153FA6"/>
    <w:rsid w:val="00154116"/>
    <w:rsid w:val="00154514"/>
    <w:rsid w:val="00155A67"/>
    <w:rsid w:val="00155E32"/>
    <w:rsid w:val="00156031"/>
    <w:rsid w:val="00157213"/>
    <w:rsid w:val="001604A4"/>
    <w:rsid w:val="001625B0"/>
    <w:rsid w:val="00164B6D"/>
    <w:rsid w:val="00164DC7"/>
    <w:rsid w:val="001668CC"/>
    <w:rsid w:val="00167343"/>
    <w:rsid w:val="00170A50"/>
    <w:rsid w:val="00171732"/>
    <w:rsid w:val="00171C1B"/>
    <w:rsid w:val="001724F3"/>
    <w:rsid w:val="00173201"/>
    <w:rsid w:val="00173437"/>
    <w:rsid w:val="001738FC"/>
    <w:rsid w:val="00182019"/>
    <w:rsid w:val="00182C0D"/>
    <w:rsid w:val="0018311C"/>
    <w:rsid w:val="00184DC2"/>
    <w:rsid w:val="001859FF"/>
    <w:rsid w:val="00186CFF"/>
    <w:rsid w:val="00187072"/>
    <w:rsid w:val="001911BD"/>
    <w:rsid w:val="001928B7"/>
    <w:rsid w:val="00194802"/>
    <w:rsid w:val="001A0A53"/>
    <w:rsid w:val="001A0F4F"/>
    <w:rsid w:val="001A2DD6"/>
    <w:rsid w:val="001A3E14"/>
    <w:rsid w:val="001A3E8E"/>
    <w:rsid w:val="001A4CB7"/>
    <w:rsid w:val="001A54D9"/>
    <w:rsid w:val="001B04A8"/>
    <w:rsid w:val="001B1D6A"/>
    <w:rsid w:val="001B25A2"/>
    <w:rsid w:val="001B3629"/>
    <w:rsid w:val="001B3829"/>
    <w:rsid w:val="001B54DE"/>
    <w:rsid w:val="001B68AD"/>
    <w:rsid w:val="001B7F84"/>
    <w:rsid w:val="001C0117"/>
    <w:rsid w:val="001C1454"/>
    <w:rsid w:val="001C26D1"/>
    <w:rsid w:val="001C4C81"/>
    <w:rsid w:val="001C725A"/>
    <w:rsid w:val="001C7D4E"/>
    <w:rsid w:val="001D0134"/>
    <w:rsid w:val="001D0433"/>
    <w:rsid w:val="001D180B"/>
    <w:rsid w:val="001D2631"/>
    <w:rsid w:val="001D26A2"/>
    <w:rsid w:val="001D2A4E"/>
    <w:rsid w:val="001D3EF2"/>
    <w:rsid w:val="001D49E1"/>
    <w:rsid w:val="001D6BE2"/>
    <w:rsid w:val="001D6EFF"/>
    <w:rsid w:val="001D6FB1"/>
    <w:rsid w:val="001E26F9"/>
    <w:rsid w:val="001E473D"/>
    <w:rsid w:val="001E5C26"/>
    <w:rsid w:val="001F12FD"/>
    <w:rsid w:val="001F1856"/>
    <w:rsid w:val="001F269E"/>
    <w:rsid w:val="001F2863"/>
    <w:rsid w:val="001F2D11"/>
    <w:rsid w:val="001F3150"/>
    <w:rsid w:val="001F5C23"/>
    <w:rsid w:val="001F784D"/>
    <w:rsid w:val="001F7D5E"/>
    <w:rsid w:val="002027B6"/>
    <w:rsid w:val="0020673A"/>
    <w:rsid w:val="002067ED"/>
    <w:rsid w:val="002114CC"/>
    <w:rsid w:val="00211817"/>
    <w:rsid w:val="00212444"/>
    <w:rsid w:val="002144E2"/>
    <w:rsid w:val="00214DA0"/>
    <w:rsid w:val="00215B2D"/>
    <w:rsid w:val="0021639C"/>
    <w:rsid w:val="00217118"/>
    <w:rsid w:val="002179F8"/>
    <w:rsid w:val="00221987"/>
    <w:rsid w:val="00221AB4"/>
    <w:rsid w:val="0022200C"/>
    <w:rsid w:val="00222715"/>
    <w:rsid w:val="00223630"/>
    <w:rsid w:val="0022368F"/>
    <w:rsid w:val="00224025"/>
    <w:rsid w:val="00224740"/>
    <w:rsid w:val="002249F0"/>
    <w:rsid w:val="002256BA"/>
    <w:rsid w:val="00226100"/>
    <w:rsid w:val="0022654B"/>
    <w:rsid w:val="00226841"/>
    <w:rsid w:val="0022762E"/>
    <w:rsid w:val="00227829"/>
    <w:rsid w:val="002338B6"/>
    <w:rsid w:val="00234793"/>
    <w:rsid w:val="0024017D"/>
    <w:rsid w:val="0024132E"/>
    <w:rsid w:val="00243292"/>
    <w:rsid w:val="00244E67"/>
    <w:rsid w:val="00247177"/>
    <w:rsid w:val="00247382"/>
    <w:rsid w:val="002508B6"/>
    <w:rsid w:val="00252698"/>
    <w:rsid w:val="00253B54"/>
    <w:rsid w:val="00254440"/>
    <w:rsid w:val="00254481"/>
    <w:rsid w:val="00255217"/>
    <w:rsid w:val="00255B10"/>
    <w:rsid w:val="002609B4"/>
    <w:rsid w:val="00260C7E"/>
    <w:rsid w:val="0026323A"/>
    <w:rsid w:val="00263F42"/>
    <w:rsid w:val="00267472"/>
    <w:rsid w:val="00271C1E"/>
    <w:rsid w:val="00271E0F"/>
    <w:rsid w:val="00274687"/>
    <w:rsid w:val="00275AB1"/>
    <w:rsid w:val="002762D6"/>
    <w:rsid w:val="00286BBE"/>
    <w:rsid w:val="00291BAE"/>
    <w:rsid w:val="00292A96"/>
    <w:rsid w:val="00294011"/>
    <w:rsid w:val="00294426"/>
    <w:rsid w:val="00294F3C"/>
    <w:rsid w:val="00296306"/>
    <w:rsid w:val="002967F0"/>
    <w:rsid w:val="00297628"/>
    <w:rsid w:val="00297729"/>
    <w:rsid w:val="00297CA7"/>
    <w:rsid w:val="002A014D"/>
    <w:rsid w:val="002A117D"/>
    <w:rsid w:val="002A19B7"/>
    <w:rsid w:val="002A459B"/>
    <w:rsid w:val="002A4DA4"/>
    <w:rsid w:val="002A4F1A"/>
    <w:rsid w:val="002A7A8E"/>
    <w:rsid w:val="002A7F10"/>
    <w:rsid w:val="002B15B7"/>
    <w:rsid w:val="002B206E"/>
    <w:rsid w:val="002B4217"/>
    <w:rsid w:val="002B43C9"/>
    <w:rsid w:val="002B4837"/>
    <w:rsid w:val="002B5B0E"/>
    <w:rsid w:val="002B789A"/>
    <w:rsid w:val="002C01DE"/>
    <w:rsid w:val="002C0C32"/>
    <w:rsid w:val="002C3319"/>
    <w:rsid w:val="002C562D"/>
    <w:rsid w:val="002D0B0C"/>
    <w:rsid w:val="002D21E0"/>
    <w:rsid w:val="002D2774"/>
    <w:rsid w:val="002D280D"/>
    <w:rsid w:val="002D2B2C"/>
    <w:rsid w:val="002D467D"/>
    <w:rsid w:val="002D6D04"/>
    <w:rsid w:val="002D7310"/>
    <w:rsid w:val="002E143D"/>
    <w:rsid w:val="002E34E8"/>
    <w:rsid w:val="002E457A"/>
    <w:rsid w:val="002E4929"/>
    <w:rsid w:val="002E51F9"/>
    <w:rsid w:val="002E5470"/>
    <w:rsid w:val="002E7B2B"/>
    <w:rsid w:val="002F0BB6"/>
    <w:rsid w:val="002F175F"/>
    <w:rsid w:val="002F3E05"/>
    <w:rsid w:val="002F4FCF"/>
    <w:rsid w:val="002F6ACD"/>
    <w:rsid w:val="002F7FEF"/>
    <w:rsid w:val="00300018"/>
    <w:rsid w:val="00300767"/>
    <w:rsid w:val="00305493"/>
    <w:rsid w:val="00305B91"/>
    <w:rsid w:val="003067D8"/>
    <w:rsid w:val="00310980"/>
    <w:rsid w:val="00311F37"/>
    <w:rsid w:val="00315FC2"/>
    <w:rsid w:val="003173F5"/>
    <w:rsid w:val="003200DF"/>
    <w:rsid w:val="00320B72"/>
    <w:rsid w:val="003211E9"/>
    <w:rsid w:val="00322C8C"/>
    <w:rsid w:val="00322F72"/>
    <w:rsid w:val="00323358"/>
    <w:rsid w:val="003234E4"/>
    <w:rsid w:val="00326BB7"/>
    <w:rsid w:val="00327188"/>
    <w:rsid w:val="003274E4"/>
    <w:rsid w:val="00330132"/>
    <w:rsid w:val="00331183"/>
    <w:rsid w:val="003320F2"/>
    <w:rsid w:val="00333120"/>
    <w:rsid w:val="00334A0E"/>
    <w:rsid w:val="00336514"/>
    <w:rsid w:val="00341841"/>
    <w:rsid w:val="0034242F"/>
    <w:rsid w:val="00345378"/>
    <w:rsid w:val="00345D9E"/>
    <w:rsid w:val="00346783"/>
    <w:rsid w:val="00346C0B"/>
    <w:rsid w:val="00346F61"/>
    <w:rsid w:val="003472C6"/>
    <w:rsid w:val="003477A7"/>
    <w:rsid w:val="00347DF9"/>
    <w:rsid w:val="003528E7"/>
    <w:rsid w:val="00352F9C"/>
    <w:rsid w:val="003546E6"/>
    <w:rsid w:val="00355230"/>
    <w:rsid w:val="00361490"/>
    <w:rsid w:val="00362E28"/>
    <w:rsid w:val="003634F2"/>
    <w:rsid w:val="003647F0"/>
    <w:rsid w:val="003648A2"/>
    <w:rsid w:val="00367A98"/>
    <w:rsid w:val="003745AC"/>
    <w:rsid w:val="00375F39"/>
    <w:rsid w:val="0037602A"/>
    <w:rsid w:val="00381ED2"/>
    <w:rsid w:val="003841A3"/>
    <w:rsid w:val="00386471"/>
    <w:rsid w:val="003875A2"/>
    <w:rsid w:val="00387F81"/>
    <w:rsid w:val="003904D0"/>
    <w:rsid w:val="0039067D"/>
    <w:rsid w:val="003911C1"/>
    <w:rsid w:val="00391490"/>
    <w:rsid w:val="003926C6"/>
    <w:rsid w:val="00392809"/>
    <w:rsid w:val="00393349"/>
    <w:rsid w:val="00393D3B"/>
    <w:rsid w:val="0039438B"/>
    <w:rsid w:val="003954E8"/>
    <w:rsid w:val="003A03BF"/>
    <w:rsid w:val="003A2A81"/>
    <w:rsid w:val="003A74C3"/>
    <w:rsid w:val="003A77DB"/>
    <w:rsid w:val="003B1159"/>
    <w:rsid w:val="003B2B8E"/>
    <w:rsid w:val="003B3672"/>
    <w:rsid w:val="003B54AF"/>
    <w:rsid w:val="003B67BB"/>
    <w:rsid w:val="003B6EF5"/>
    <w:rsid w:val="003B78BB"/>
    <w:rsid w:val="003C0AC3"/>
    <w:rsid w:val="003C184C"/>
    <w:rsid w:val="003C1C6F"/>
    <w:rsid w:val="003C2AB5"/>
    <w:rsid w:val="003C2E78"/>
    <w:rsid w:val="003C2F59"/>
    <w:rsid w:val="003C3F14"/>
    <w:rsid w:val="003C40C0"/>
    <w:rsid w:val="003C5F00"/>
    <w:rsid w:val="003D1169"/>
    <w:rsid w:val="003D1509"/>
    <w:rsid w:val="003D2247"/>
    <w:rsid w:val="003D4828"/>
    <w:rsid w:val="003D4A81"/>
    <w:rsid w:val="003D7D00"/>
    <w:rsid w:val="003E1C46"/>
    <w:rsid w:val="003E2029"/>
    <w:rsid w:val="003E22EA"/>
    <w:rsid w:val="003E240B"/>
    <w:rsid w:val="003E2AB7"/>
    <w:rsid w:val="003E2D6C"/>
    <w:rsid w:val="003E3754"/>
    <w:rsid w:val="003E4919"/>
    <w:rsid w:val="003F1321"/>
    <w:rsid w:val="003F2FD0"/>
    <w:rsid w:val="003F40B1"/>
    <w:rsid w:val="003F69C8"/>
    <w:rsid w:val="00400FE0"/>
    <w:rsid w:val="00401180"/>
    <w:rsid w:val="00401F8E"/>
    <w:rsid w:val="00402858"/>
    <w:rsid w:val="00402ACB"/>
    <w:rsid w:val="004054A3"/>
    <w:rsid w:val="00405DF6"/>
    <w:rsid w:val="00405E46"/>
    <w:rsid w:val="00410559"/>
    <w:rsid w:val="004123C3"/>
    <w:rsid w:val="00413C62"/>
    <w:rsid w:val="004143A2"/>
    <w:rsid w:val="00414B65"/>
    <w:rsid w:val="00415546"/>
    <w:rsid w:val="0041647E"/>
    <w:rsid w:val="00417BEE"/>
    <w:rsid w:val="00420190"/>
    <w:rsid w:val="004246E2"/>
    <w:rsid w:val="0042531A"/>
    <w:rsid w:val="00425B2E"/>
    <w:rsid w:val="004277BE"/>
    <w:rsid w:val="004322D9"/>
    <w:rsid w:val="004323D9"/>
    <w:rsid w:val="00433076"/>
    <w:rsid w:val="004367CC"/>
    <w:rsid w:val="00442613"/>
    <w:rsid w:val="00442B01"/>
    <w:rsid w:val="004436FC"/>
    <w:rsid w:val="00443C27"/>
    <w:rsid w:val="00444302"/>
    <w:rsid w:val="004446A4"/>
    <w:rsid w:val="00445965"/>
    <w:rsid w:val="004468E2"/>
    <w:rsid w:val="00450523"/>
    <w:rsid w:val="004508A9"/>
    <w:rsid w:val="00451DDF"/>
    <w:rsid w:val="0045736F"/>
    <w:rsid w:val="00457977"/>
    <w:rsid w:val="00457C4B"/>
    <w:rsid w:val="00462907"/>
    <w:rsid w:val="00462EEB"/>
    <w:rsid w:val="004635C6"/>
    <w:rsid w:val="00464538"/>
    <w:rsid w:val="00466632"/>
    <w:rsid w:val="004702BA"/>
    <w:rsid w:val="00471899"/>
    <w:rsid w:val="00471BAC"/>
    <w:rsid w:val="00471ECE"/>
    <w:rsid w:val="00472996"/>
    <w:rsid w:val="00472D54"/>
    <w:rsid w:val="00474A53"/>
    <w:rsid w:val="00474CCF"/>
    <w:rsid w:val="00474EE2"/>
    <w:rsid w:val="0047594B"/>
    <w:rsid w:val="00475C04"/>
    <w:rsid w:val="00475C3B"/>
    <w:rsid w:val="00477841"/>
    <w:rsid w:val="00477A31"/>
    <w:rsid w:val="00480371"/>
    <w:rsid w:val="00481261"/>
    <w:rsid w:val="00483971"/>
    <w:rsid w:val="0048480E"/>
    <w:rsid w:val="00484BA8"/>
    <w:rsid w:val="004853F6"/>
    <w:rsid w:val="0048733C"/>
    <w:rsid w:val="004873F4"/>
    <w:rsid w:val="0048748D"/>
    <w:rsid w:val="004908AA"/>
    <w:rsid w:val="004909DC"/>
    <w:rsid w:val="00491201"/>
    <w:rsid w:val="004913CA"/>
    <w:rsid w:val="0049392B"/>
    <w:rsid w:val="00494435"/>
    <w:rsid w:val="00494D00"/>
    <w:rsid w:val="004956F4"/>
    <w:rsid w:val="004A24FB"/>
    <w:rsid w:val="004A2C8F"/>
    <w:rsid w:val="004A44F1"/>
    <w:rsid w:val="004A5632"/>
    <w:rsid w:val="004A5D3B"/>
    <w:rsid w:val="004A5ED7"/>
    <w:rsid w:val="004A62F4"/>
    <w:rsid w:val="004B1A4D"/>
    <w:rsid w:val="004B381C"/>
    <w:rsid w:val="004B5A26"/>
    <w:rsid w:val="004C285F"/>
    <w:rsid w:val="004C2F65"/>
    <w:rsid w:val="004C3145"/>
    <w:rsid w:val="004C5699"/>
    <w:rsid w:val="004C5C5F"/>
    <w:rsid w:val="004C760B"/>
    <w:rsid w:val="004D0065"/>
    <w:rsid w:val="004D423F"/>
    <w:rsid w:val="004D7AC1"/>
    <w:rsid w:val="004E022D"/>
    <w:rsid w:val="004E025C"/>
    <w:rsid w:val="004E092B"/>
    <w:rsid w:val="004E11B7"/>
    <w:rsid w:val="004E3491"/>
    <w:rsid w:val="004E38A5"/>
    <w:rsid w:val="004E44B4"/>
    <w:rsid w:val="004E472D"/>
    <w:rsid w:val="004E676C"/>
    <w:rsid w:val="004F0B70"/>
    <w:rsid w:val="004F1B8C"/>
    <w:rsid w:val="004F280E"/>
    <w:rsid w:val="004F3DCB"/>
    <w:rsid w:val="004F44D0"/>
    <w:rsid w:val="004F4A7A"/>
    <w:rsid w:val="004F5241"/>
    <w:rsid w:val="004F5CDA"/>
    <w:rsid w:val="004F6B5E"/>
    <w:rsid w:val="004F7F0B"/>
    <w:rsid w:val="00500D46"/>
    <w:rsid w:val="005040C4"/>
    <w:rsid w:val="005041EA"/>
    <w:rsid w:val="00504C71"/>
    <w:rsid w:val="00505E91"/>
    <w:rsid w:val="00506D3D"/>
    <w:rsid w:val="00507E1E"/>
    <w:rsid w:val="00511620"/>
    <w:rsid w:val="00511D3F"/>
    <w:rsid w:val="00517B60"/>
    <w:rsid w:val="0052009C"/>
    <w:rsid w:val="00521D31"/>
    <w:rsid w:val="00522187"/>
    <w:rsid w:val="00523C0E"/>
    <w:rsid w:val="00525A3B"/>
    <w:rsid w:val="0053028B"/>
    <w:rsid w:val="005310D8"/>
    <w:rsid w:val="00531BC8"/>
    <w:rsid w:val="00533FF7"/>
    <w:rsid w:val="00534706"/>
    <w:rsid w:val="0054101C"/>
    <w:rsid w:val="00543D92"/>
    <w:rsid w:val="0054546F"/>
    <w:rsid w:val="005510AB"/>
    <w:rsid w:val="00553442"/>
    <w:rsid w:val="005577A5"/>
    <w:rsid w:val="005634A0"/>
    <w:rsid w:val="0056447B"/>
    <w:rsid w:val="00565815"/>
    <w:rsid w:val="00567075"/>
    <w:rsid w:val="005702C1"/>
    <w:rsid w:val="0057297C"/>
    <w:rsid w:val="00572BC7"/>
    <w:rsid w:val="00572DE0"/>
    <w:rsid w:val="005750B1"/>
    <w:rsid w:val="00586234"/>
    <w:rsid w:val="00586521"/>
    <w:rsid w:val="00587CAD"/>
    <w:rsid w:val="00591005"/>
    <w:rsid w:val="00591271"/>
    <w:rsid w:val="00591907"/>
    <w:rsid w:val="00592F83"/>
    <w:rsid w:val="00596FCC"/>
    <w:rsid w:val="00597A06"/>
    <w:rsid w:val="00597D29"/>
    <w:rsid w:val="005A0C3D"/>
    <w:rsid w:val="005A0F49"/>
    <w:rsid w:val="005A21E4"/>
    <w:rsid w:val="005A2A97"/>
    <w:rsid w:val="005A53EB"/>
    <w:rsid w:val="005A7884"/>
    <w:rsid w:val="005B0DC8"/>
    <w:rsid w:val="005B20E7"/>
    <w:rsid w:val="005B225E"/>
    <w:rsid w:val="005B36FA"/>
    <w:rsid w:val="005B3FF9"/>
    <w:rsid w:val="005B51FA"/>
    <w:rsid w:val="005B532C"/>
    <w:rsid w:val="005B5FBD"/>
    <w:rsid w:val="005B66A6"/>
    <w:rsid w:val="005C0B64"/>
    <w:rsid w:val="005C1052"/>
    <w:rsid w:val="005C636A"/>
    <w:rsid w:val="005C6B15"/>
    <w:rsid w:val="005C6E00"/>
    <w:rsid w:val="005C749E"/>
    <w:rsid w:val="005C7AAB"/>
    <w:rsid w:val="005D03F5"/>
    <w:rsid w:val="005D1908"/>
    <w:rsid w:val="005D203A"/>
    <w:rsid w:val="005D2AD6"/>
    <w:rsid w:val="005D59CF"/>
    <w:rsid w:val="005D5DC8"/>
    <w:rsid w:val="005D66F3"/>
    <w:rsid w:val="005D7045"/>
    <w:rsid w:val="005E19C8"/>
    <w:rsid w:val="005E2271"/>
    <w:rsid w:val="005E3183"/>
    <w:rsid w:val="005E33F6"/>
    <w:rsid w:val="005E55A3"/>
    <w:rsid w:val="005E5673"/>
    <w:rsid w:val="005E57C8"/>
    <w:rsid w:val="005E63A1"/>
    <w:rsid w:val="005E74AF"/>
    <w:rsid w:val="005F2A40"/>
    <w:rsid w:val="005F32AA"/>
    <w:rsid w:val="005F363F"/>
    <w:rsid w:val="00602783"/>
    <w:rsid w:val="0060285A"/>
    <w:rsid w:val="006042F8"/>
    <w:rsid w:val="00607426"/>
    <w:rsid w:val="00610143"/>
    <w:rsid w:val="006109FC"/>
    <w:rsid w:val="006132CB"/>
    <w:rsid w:val="0061492A"/>
    <w:rsid w:val="00615415"/>
    <w:rsid w:val="006159B6"/>
    <w:rsid w:val="00617AB2"/>
    <w:rsid w:val="00621EE7"/>
    <w:rsid w:val="00621FE7"/>
    <w:rsid w:val="00622ABA"/>
    <w:rsid w:val="0062300F"/>
    <w:rsid w:val="00623ABD"/>
    <w:rsid w:val="00624ADA"/>
    <w:rsid w:val="006327AF"/>
    <w:rsid w:val="00633676"/>
    <w:rsid w:val="006346FC"/>
    <w:rsid w:val="006362FE"/>
    <w:rsid w:val="006403DE"/>
    <w:rsid w:val="00641488"/>
    <w:rsid w:val="006414C6"/>
    <w:rsid w:val="00642123"/>
    <w:rsid w:val="00650341"/>
    <w:rsid w:val="006509CD"/>
    <w:rsid w:val="00652FFE"/>
    <w:rsid w:val="00653B14"/>
    <w:rsid w:val="0065476B"/>
    <w:rsid w:val="006549D3"/>
    <w:rsid w:val="00657FB4"/>
    <w:rsid w:val="00661719"/>
    <w:rsid w:val="00661FFD"/>
    <w:rsid w:val="0066387A"/>
    <w:rsid w:val="00664284"/>
    <w:rsid w:val="006660EC"/>
    <w:rsid w:val="00666175"/>
    <w:rsid w:val="00670EF6"/>
    <w:rsid w:val="006727F9"/>
    <w:rsid w:val="00675335"/>
    <w:rsid w:val="00676FBC"/>
    <w:rsid w:val="00677B03"/>
    <w:rsid w:val="006805BB"/>
    <w:rsid w:val="00680FC8"/>
    <w:rsid w:val="00690287"/>
    <w:rsid w:val="0069393A"/>
    <w:rsid w:val="00693BB7"/>
    <w:rsid w:val="00694286"/>
    <w:rsid w:val="006A54C3"/>
    <w:rsid w:val="006B2B53"/>
    <w:rsid w:val="006B387B"/>
    <w:rsid w:val="006B4126"/>
    <w:rsid w:val="006B4ABE"/>
    <w:rsid w:val="006B544D"/>
    <w:rsid w:val="006B59B0"/>
    <w:rsid w:val="006B63AE"/>
    <w:rsid w:val="006B7201"/>
    <w:rsid w:val="006C080D"/>
    <w:rsid w:val="006C0DE2"/>
    <w:rsid w:val="006C20EC"/>
    <w:rsid w:val="006C40A4"/>
    <w:rsid w:val="006C58FF"/>
    <w:rsid w:val="006C5F8A"/>
    <w:rsid w:val="006C7EE0"/>
    <w:rsid w:val="006D086B"/>
    <w:rsid w:val="006D0B80"/>
    <w:rsid w:val="006D2559"/>
    <w:rsid w:val="006D4968"/>
    <w:rsid w:val="006D68EC"/>
    <w:rsid w:val="006E1FB5"/>
    <w:rsid w:val="006E50C4"/>
    <w:rsid w:val="006E52A1"/>
    <w:rsid w:val="006F18BF"/>
    <w:rsid w:val="006F2160"/>
    <w:rsid w:val="006F3BCB"/>
    <w:rsid w:val="006F73F8"/>
    <w:rsid w:val="006F7625"/>
    <w:rsid w:val="006F76BE"/>
    <w:rsid w:val="00701092"/>
    <w:rsid w:val="007023BC"/>
    <w:rsid w:val="007051AF"/>
    <w:rsid w:val="007058B4"/>
    <w:rsid w:val="007077B0"/>
    <w:rsid w:val="0071122D"/>
    <w:rsid w:val="0071402D"/>
    <w:rsid w:val="00715DDD"/>
    <w:rsid w:val="0071602B"/>
    <w:rsid w:val="00716F1D"/>
    <w:rsid w:val="00717B62"/>
    <w:rsid w:val="007206A0"/>
    <w:rsid w:val="00721E89"/>
    <w:rsid w:val="0072307C"/>
    <w:rsid w:val="0072503D"/>
    <w:rsid w:val="00730562"/>
    <w:rsid w:val="00731B0B"/>
    <w:rsid w:val="00731EB4"/>
    <w:rsid w:val="00733637"/>
    <w:rsid w:val="00735C90"/>
    <w:rsid w:val="00736232"/>
    <w:rsid w:val="00737727"/>
    <w:rsid w:val="0074269C"/>
    <w:rsid w:val="0074490B"/>
    <w:rsid w:val="00746AD2"/>
    <w:rsid w:val="00746D6F"/>
    <w:rsid w:val="00747B89"/>
    <w:rsid w:val="0075045E"/>
    <w:rsid w:val="00751153"/>
    <w:rsid w:val="0075186A"/>
    <w:rsid w:val="00753474"/>
    <w:rsid w:val="00754E12"/>
    <w:rsid w:val="0075750F"/>
    <w:rsid w:val="00763684"/>
    <w:rsid w:val="00765C00"/>
    <w:rsid w:val="00770076"/>
    <w:rsid w:val="0077077F"/>
    <w:rsid w:val="00773621"/>
    <w:rsid w:val="0077470D"/>
    <w:rsid w:val="00774869"/>
    <w:rsid w:val="00775038"/>
    <w:rsid w:val="007762F9"/>
    <w:rsid w:val="00780524"/>
    <w:rsid w:val="0078062A"/>
    <w:rsid w:val="007815B6"/>
    <w:rsid w:val="007839E7"/>
    <w:rsid w:val="007854A2"/>
    <w:rsid w:val="00785A22"/>
    <w:rsid w:val="00785A58"/>
    <w:rsid w:val="00785F20"/>
    <w:rsid w:val="00786874"/>
    <w:rsid w:val="007870CD"/>
    <w:rsid w:val="007908DC"/>
    <w:rsid w:val="00795250"/>
    <w:rsid w:val="0079642D"/>
    <w:rsid w:val="007968E4"/>
    <w:rsid w:val="007A0A33"/>
    <w:rsid w:val="007A27D3"/>
    <w:rsid w:val="007A6A79"/>
    <w:rsid w:val="007B0668"/>
    <w:rsid w:val="007B2AEB"/>
    <w:rsid w:val="007B51A6"/>
    <w:rsid w:val="007B5EFD"/>
    <w:rsid w:val="007B71C2"/>
    <w:rsid w:val="007B7281"/>
    <w:rsid w:val="007C1245"/>
    <w:rsid w:val="007C1546"/>
    <w:rsid w:val="007C30F6"/>
    <w:rsid w:val="007C32C6"/>
    <w:rsid w:val="007C3AD9"/>
    <w:rsid w:val="007C7484"/>
    <w:rsid w:val="007C786D"/>
    <w:rsid w:val="007D0779"/>
    <w:rsid w:val="007D3250"/>
    <w:rsid w:val="007D3DFF"/>
    <w:rsid w:val="007D4128"/>
    <w:rsid w:val="007D495B"/>
    <w:rsid w:val="007D536A"/>
    <w:rsid w:val="007D5BC8"/>
    <w:rsid w:val="007D709F"/>
    <w:rsid w:val="007E0376"/>
    <w:rsid w:val="007E1768"/>
    <w:rsid w:val="007E338F"/>
    <w:rsid w:val="007E797A"/>
    <w:rsid w:val="007F0399"/>
    <w:rsid w:val="007F07F1"/>
    <w:rsid w:val="007F2962"/>
    <w:rsid w:val="007F3CDF"/>
    <w:rsid w:val="007F72E2"/>
    <w:rsid w:val="007F7707"/>
    <w:rsid w:val="00800AFC"/>
    <w:rsid w:val="00805477"/>
    <w:rsid w:val="0080676C"/>
    <w:rsid w:val="00806A53"/>
    <w:rsid w:val="0081326E"/>
    <w:rsid w:val="0081503C"/>
    <w:rsid w:val="0081503E"/>
    <w:rsid w:val="00815525"/>
    <w:rsid w:val="00817C7D"/>
    <w:rsid w:val="00817C9D"/>
    <w:rsid w:val="0082269C"/>
    <w:rsid w:val="00822B6C"/>
    <w:rsid w:val="008235EE"/>
    <w:rsid w:val="00823F2B"/>
    <w:rsid w:val="0082400B"/>
    <w:rsid w:val="00824720"/>
    <w:rsid w:val="0082480C"/>
    <w:rsid w:val="00824BB3"/>
    <w:rsid w:val="00825E48"/>
    <w:rsid w:val="00827986"/>
    <w:rsid w:val="00827DB5"/>
    <w:rsid w:val="0083051A"/>
    <w:rsid w:val="008321D1"/>
    <w:rsid w:val="00837A27"/>
    <w:rsid w:val="00840978"/>
    <w:rsid w:val="00840F7A"/>
    <w:rsid w:val="00841566"/>
    <w:rsid w:val="00841AB3"/>
    <w:rsid w:val="008444CD"/>
    <w:rsid w:val="00852A53"/>
    <w:rsid w:val="00854E4B"/>
    <w:rsid w:val="0085720D"/>
    <w:rsid w:val="00857B97"/>
    <w:rsid w:val="00861560"/>
    <w:rsid w:val="00861772"/>
    <w:rsid w:val="00863133"/>
    <w:rsid w:val="00864258"/>
    <w:rsid w:val="00864D9C"/>
    <w:rsid w:val="00864F9C"/>
    <w:rsid w:val="00867CAF"/>
    <w:rsid w:val="0087079C"/>
    <w:rsid w:val="00871324"/>
    <w:rsid w:val="00871EE1"/>
    <w:rsid w:val="008731A8"/>
    <w:rsid w:val="008732B6"/>
    <w:rsid w:val="008748F2"/>
    <w:rsid w:val="008752A3"/>
    <w:rsid w:val="008762E3"/>
    <w:rsid w:val="0087679C"/>
    <w:rsid w:val="00876960"/>
    <w:rsid w:val="008771C4"/>
    <w:rsid w:val="00877252"/>
    <w:rsid w:val="008774E2"/>
    <w:rsid w:val="00877C2F"/>
    <w:rsid w:val="008803A1"/>
    <w:rsid w:val="008815E3"/>
    <w:rsid w:val="00884712"/>
    <w:rsid w:val="008847B5"/>
    <w:rsid w:val="008904DA"/>
    <w:rsid w:val="00891B06"/>
    <w:rsid w:val="00892286"/>
    <w:rsid w:val="00892EED"/>
    <w:rsid w:val="00896378"/>
    <w:rsid w:val="008964CF"/>
    <w:rsid w:val="008A150D"/>
    <w:rsid w:val="008A22D9"/>
    <w:rsid w:val="008A3DAD"/>
    <w:rsid w:val="008A3E61"/>
    <w:rsid w:val="008A46ED"/>
    <w:rsid w:val="008A64B7"/>
    <w:rsid w:val="008A6822"/>
    <w:rsid w:val="008A7088"/>
    <w:rsid w:val="008B1563"/>
    <w:rsid w:val="008B236F"/>
    <w:rsid w:val="008B5398"/>
    <w:rsid w:val="008B6D14"/>
    <w:rsid w:val="008B750A"/>
    <w:rsid w:val="008C1DA6"/>
    <w:rsid w:val="008C1EAB"/>
    <w:rsid w:val="008C2113"/>
    <w:rsid w:val="008C2CE7"/>
    <w:rsid w:val="008C4848"/>
    <w:rsid w:val="008C4F27"/>
    <w:rsid w:val="008C6457"/>
    <w:rsid w:val="008C7DEF"/>
    <w:rsid w:val="008D3354"/>
    <w:rsid w:val="008D41D5"/>
    <w:rsid w:val="008D427B"/>
    <w:rsid w:val="008D5BA0"/>
    <w:rsid w:val="008D5E1B"/>
    <w:rsid w:val="008D7546"/>
    <w:rsid w:val="008E046D"/>
    <w:rsid w:val="008E4559"/>
    <w:rsid w:val="008E78DB"/>
    <w:rsid w:val="008F0B47"/>
    <w:rsid w:val="008F210D"/>
    <w:rsid w:val="008F41EA"/>
    <w:rsid w:val="008F4FCB"/>
    <w:rsid w:val="008F5140"/>
    <w:rsid w:val="008F584E"/>
    <w:rsid w:val="008F60C2"/>
    <w:rsid w:val="008F6627"/>
    <w:rsid w:val="008F6D13"/>
    <w:rsid w:val="008F736D"/>
    <w:rsid w:val="008F76CF"/>
    <w:rsid w:val="0090349E"/>
    <w:rsid w:val="0090627F"/>
    <w:rsid w:val="009068B8"/>
    <w:rsid w:val="009110B6"/>
    <w:rsid w:val="009143D6"/>
    <w:rsid w:val="0091440D"/>
    <w:rsid w:val="009144FA"/>
    <w:rsid w:val="00916B05"/>
    <w:rsid w:val="009204CD"/>
    <w:rsid w:val="00920993"/>
    <w:rsid w:val="009217C1"/>
    <w:rsid w:val="00925ADC"/>
    <w:rsid w:val="00925CD1"/>
    <w:rsid w:val="00926422"/>
    <w:rsid w:val="009270AF"/>
    <w:rsid w:val="0093148B"/>
    <w:rsid w:val="009315D3"/>
    <w:rsid w:val="00932684"/>
    <w:rsid w:val="00932974"/>
    <w:rsid w:val="00933827"/>
    <w:rsid w:val="009350F1"/>
    <w:rsid w:val="00935E3C"/>
    <w:rsid w:val="009370D8"/>
    <w:rsid w:val="00941F18"/>
    <w:rsid w:val="0094288D"/>
    <w:rsid w:val="00942CF9"/>
    <w:rsid w:val="00943CFB"/>
    <w:rsid w:val="009454B3"/>
    <w:rsid w:val="0095015D"/>
    <w:rsid w:val="00950781"/>
    <w:rsid w:val="00951D72"/>
    <w:rsid w:val="00952FF2"/>
    <w:rsid w:val="00953904"/>
    <w:rsid w:val="00963B5B"/>
    <w:rsid w:val="00964D67"/>
    <w:rsid w:val="009660EC"/>
    <w:rsid w:val="00967442"/>
    <w:rsid w:val="00967625"/>
    <w:rsid w:val="00967F47"/>
    <w:rsid w:val="00971609"/>
    <w:rsid w:val="0097286B"/>
    <w:rsid w:val="00973184"/>
    <w:rsid w:val="009734BB"/>
    <w:rsid w:val="0097386D"/>
    <w:rsid w:val="0097392F"/>
    <w:rsid w:val="009812EF"/>
    <w:rsid w:val="00982714"/>
    <w:rsid w:val="009829AB"/>
    <w:rsid w:val="00983268"/>
    <w:rsid w:val="00984B34"/>
    <w:rsid w:val="00984BC7"/>
    <w:rsid w:val="00987533"/>
    <w:rsid w:val="00987827"/>
    <w:rsid w:val="00991A44"/>
    <w:rsid w:val="00994699"/>
    <w:rsid w:val="00996426"/>
    <w:rsid w:val="009967F7"/>
    <w:rsid w:val="009A0B02"/>
    <w:rsid w:val="009A0BCE"/>
    <w:rsid w:val="009A0CD2"/>
    <w:rsid w:val="009A14A8"/>
    <w:rsid w:val="009A2B95"/>
    <w:rsid w:val="009A2F97"/>
    <w:rsid w:val="009A2FE9"/>
    <w:rsid w:val="009A567D"/>
    <w:rsid w:val="009A6479"/>
    <w:rsid w:val="009A7185"/>
    <w:rsid w:val="009B0186"/>
    <w:rsid w:val="009B046B"/>
    <w:rsid w:val="009B2862"/>
    <w:rsid w:val="009B3011"/>
    <w:rsid w:val="009B5551"/>
    <w:rsid w:val="009B5FA7"/>
    <w:rsid w:val="009B6B32"/>
    <w:rsid w:val="009C1439"/>
    <w:rsid w:val="009C25DA"/>
    <w:rsid w:val="009C31F2"/>
    <w:rsid w:val="009C3253"/>
    <w:rsid w:val="009C412C"/>
    <w:rsid w:val="009C4138"/>
    <w:rsid w:val="009C48BA"/>
    <w:rsid w:val="009D042C"/>
    <w:rsid w:val="009D05FD"/>
    <w:rsid w:val="009D185D"/>
    <w:rsid w:val="009D1CF5"/>
    <w:rsid w:val="009D211A"/>
    <w:rsid w:val="009D35C6"/>
    <w:rsid w:val="009D3D13"/>
    <w:rsid w:val="009D6EB9"/>
    <w:rsid w:val="009E11FF"/>
    <w:rsid w:val="009E3788"/>
    <w:rsid w:val="009E41D4"/>
    <w:rsid w:val="009E4270"/>
    <w:rsid w:val="009E45EA"/>
    <w:rsid w:val="009E69A1"/>
    <w:rsid w:val="009E6D82"/>
    <w:rsid w:val="009E72AE"/>
    <w:rsid w:val="009E75BC"/>
    <w:rsid w:val="009F029F"/>
    <w:rsid w:val="009F0551"/>
    <w:rsid w:val="009F3A7C"/>
    <w:rsid w:val="009F3C5D"/>
    <w:rsid w:val="009F4034"/>
    <w:rsid w:val="009F43FC"/>
    <w:rsid w:val="009F4D23"/>
    <w:rsid w:val="009F4D41"/>
    <w:rsid w:val="009F7C46"/>
    <w:rsid w:val="00A00D7F"/>
    <w:rsid w:val="00A01A69"/>
    <w:rsid w:val="00A02F3D"/>
    <w:rsid w:val="00A048D4"/>
    <w:rsid w:val="00A052BC"/>
    <w:rsid w:val="00A05CCC"/>
    <w:rsid w:val="00A06409"/>
    <w:rsid w:val="00A07366"/>
    <w:rsid w:val="00A07873"/>
    <w:rsid w:val="00A10766"/>
    <w:rsid w:val="00A11494"/>
    <w:rsid w:val="00A11F64"/>
    <w:rsid w:val="00A137AA"/>
    <w:rsid w:val="00A20936"/>
    <w:rsid w:val="00A20A00"/>
    <w:rsid w:val="00A2160A"/>
    <w:rsid w:val="00A231BF"/>
    <w:rsid w:val="00A24212"/>
    <w:rsid w:val="00A255D4"/>
    <w:rsid w:val="00A25760"/>
    <w:rsid w:val="00A2638F"/>
    <w:rsid w:val="00A26A6A"/>
    <w:rsid w:val="00A277FF"/>
    <w:rsid w:val="00A27DCA"/>
    <w:rsid w:val="00A3006B"/>
    <w:rsid w:val="00A305F7"/>
    <w:rsid w:val="00A30862"/>
    <w:rsid w:val="00A3109C"/>
    <w:rsid w:val="00A31D5B"/>
    <w:rsid w:val="00A32F11"/>
    <w:rsid w:val="00A35386"/>
    <w:rsid w:val="00A359B9"/>
    <w:rsid w:val="00A36390"/>
    <w:rsid w:val="00A36B18"/>
    <w:rsid w:val="00A37DF9"/>
    <w:rsid w:val="00A404F6"/>
    <w:rsid w:val="00A43215"/>
    <w:rsid w:val="00A436A6"/>
    <w:rsid w:val="00A447E4"/>
    <w:rsid w:val="00A46118"/>
    <w:rsid w:val="00A503D8"/>
    <w:rsid w:val="00A51793"/>
    <w:rsid w:val="00A526D8"/>
    <w:rsid w:val="00A52A00"/>
    <w:rsid w:val="00A5515C"/>
    <w:rsid w:val="00A569F6"/>
    <w:rsid w:val="00A57205"/>
    <w:rsid w:val="00A57F95"/>
    <w:rsid w:val="00A60553"/>
    <w:rsid w:val="00A625DA"/>
    <w:rsid w:val="00A62E40"/>
    <w:rsid w:val="00A634F4"/>
    <w:rsid w:val="00A63CE3"/>
    <w:rsid w:val="00A66C1A"/>
    <w:rsid w:val="00A6730B"/>
    <w:rsid w:val="00A71381"/>
    <w:rsid w:val="00A713C5"/>
    <w:rsid w:val="00A740EE"/>
    <w:rsid w:val="00A74128"/>
    <w:rsid w:val="00A76440"/>
    <w:rsid w:val="00A80F20"/>
    <w:rsid w:val="00A830C7"/>
    <w:rsid w:val="00A856CA"/>
    <w:rsid w:val="00A9016B"/>
    <w:rsid w:val="00A90A97"/>
    <w:rsid w:val="00A90BEC"/>
    <w:rsid w:val="00A92DB8"/>
    <w:rsid w:val="00A96783"/>
    <w:rsid w:val="00A96DB2"/>
    <w:rsid w:val="00A972C0"/>
    <w:rsid w:val="00AA0E99"/>
    <w:rsid w:val="00AA32E6"/>
    <w:rsid w:val="00AA4E31"/>
    <w:rsid w:val="00AA5A25"/>
    <w:rsid w:val="00AA6F21"/>
    <w:rsid w:val="00AA735D"/>
    <w:rsid w:val="00AA7A4D"/>
    <w:rsid w:val="00AB1132"/>
    <w:rsid w:val="00AB116B"/>
    <w:rsid w:val="00AB29E3"/>
    <w:rsid w:val="00AB3946"/>
    <w:rsid w:val="00AB4547"/>
    <w:rsid w:val="00AB4A52"/>
    <w:rsid w:val="00AB59E2"/>
    <w:rsid w:val="00AB5A87"/>
    <w:rsid w:val="00AB5CCF"/>
    <w:rsid w:val="00AB6070"/>
    <w:rsid w:val="00AB6510"/>
    <w:rsid w:val="00AB70A8"/>
    <w:rsid w:val="00AB723E"/>
    <w:rsid w:val="00AB750B"/>
    <w:rsid w:val="00AB75AD"/>
    <w:rsid w:val="00AB7933"/>
    <w:rsid w:val="00AC06DE"/>
    <w:rsid w:val="00AC0C2F"/>
    <w:rsid w:val="00AC25E5"/>
    <w:rsid w:val="00AC36C3"/>
    <w:rsid w:val="00AC4913"/>
    <w:rsid w:val="00AC4E78"/>
    <w:rsid w:val="00AC5FFE"/>
    <w:rsid w:val="00AC71CF"/>
    <w:rsid w:val="00AC78AC"/>
    <w:rsid w:val="00AD2BF0"/>
    <w:rsid w:val="00AD695F"/>
    <w:rsid w:val="00AE235C"/>
    <w:rsid w:val="00AE4D6E"/>
    <w:rsid w:val="00AF04CB"/>
    <w:rsid w:val="00AF1AEA"/>
    <w:rsid w:val="00AF568E"/>
    <w:rsid w:val="00B00240"/>
    <w:rsid w:val="00B00A31"/>
    <w:rsid w:val="00B01A58"/>
    <w:rsid w:val="00B047D6"/>
    <w:rsid w:val="00B075E8"/>
    <w:rsid w:val="00B07FBA"/>
    <w:rsid w:val="00B11749"/>
    <w:rsid w:val="00B11818"/>
    <w:rsid w:val="00B12DEC"/>
    <w:rsid w:val="00B1315F"/>
    <w:rsid w:val="00B1433A"/>
    <w:rsid w:val="00B14DF5"/>
    <w:rsid w:val="00B15FC7"/>
    <w:rsid w:val="00B1616E"/>
    <w:rsid w:val="00B205D3"/>
    <w:rsid w:val="00B2170E"/>
    <w:rsid w:val="00B229C3"/>
    <w:rsid w:val="00B23624"/>
    <w:rsid w:val="00B330BB"/>
    <w:rsid w:val="00B3349C"/>
    <w:rsid w:val="00B3484D"/>
    <w:rsid w:val="00B35123"/>
    <w:rsid w:val="00B366C0"/>
    <w:rsid w:val="00B36A63"/>
    <w:rsid w:val="00B4060F"/>
    <w:rsid w:val="00B41734"/>
    <w:rsid w:val="00B42CBC"/>
    <w:rsid w:val="00B44D2E"/>
    <w:rsid w:val="00B45F36"/>
    <w:rsid w:val="00B47D08"/>
    <w:rsid w:val="00B50320"/>
    <w:rsid w:val="00B51BE0"/>
    <w:rsid w:val="00B523C5"/>
    <w:rsid w:val="00B547C3"/>
    <w:rsid w:val="00B54D99"/>
    <w:rsid w:val="00B5629D"/>
    <w:rsid w:val="00B56EEE"/>
    <w:rsid w:val="00B5764C"/>
    <w:rsid w:val="00B60872"/>
    <w:rsid w:val="00B60FBC"/>
    <w:rsid w:val="00B61E60"/>
    <w:rsid w:val="00B62651"/>
    <w:rsid w:val="00B639B0"/>
    <w:rsid w:val="00B64B64"/>
    <w:rsid w:val="00B64C84"/>
    <w:rsid w:val="00B6500C"/>
    <w:rsid w:val="00B6542B"/>
    <w:rsid w:val="00B67050"/>
    <w:rsid w:val="00B710E4"/>
    <w:rsid w:val="00B715BE"/>
    <w:rsid w:val="00B756E5"/>
    <w:rsid w:val="00B778E7"/>
    <w:rsid w:val="00B80825"/>
    <w:rsid w:val="00B80918"/>
    <w:rsid w:val="00B80B8B"/>
    <w:rsid w:val="00B81561"/>
    <w:rsid w:val="00B8392D"/>
    <w:rsid w:val="00B846ED"/>
    <w:rsid w:val="00B84E0E"/>
    <w:rsid w:val="00B84FEB"/>
    <w:rsid w:val="00B85F87"/>
    <w:rsid w:val="00B86CE4"/>
    <w:rsid w:val="00B92864"/>
    <w:rsid w:val="00B954E6"/>
    <w:rsid w:val="00B95F06"/>
    <w:rsid w:val="00B9652D"/>
    <w:rsid w:val="00B96787"/>
    <w:rsid w:val="00B971AE"/>
    <w:rsid w:val="00B973B7"/>
    <w:rsid w:val="00BA0573"/>
    <w:rsid w:val="00BA169D"/>
    <w:rsid w:val="00BA18A6"/>
    <w:rsid w:val="00BA1DD0"/>
    <w:rsid w:val="00BA3D93"/>
    <w:rsid w:val="00BA4022"/>
    <w:rsid w:val="00BA71FD"/>
    <w:rsid w:val="00BB0890"/>
    <w:rsid w:val="00BB1138"/>
    <w:rsid w:val="00BB36E4"/>
    <w:rsid w:val="00BB3BFB"/>
    <w:rsid w:val="00BB56DC"/>
    <w:rsid w:val="00BB6D24"/>
    <w:rsid w:val="00BC0F06"/>
    <w:rsid w:val="00BC433F"/>
    <w:rsid w:val="00BC67FD"/>
    <w:rsid w:val="00BD0BDF"/>
    <w:rsid w:val="00BD154A"/>
    <w:rsid w:val="00BD1DB8"/>
    <w:rsid w:val="00BD2CCC"/>
    <w:rsid w:val="00BD380B"/>
    <w:rsid w:val="00BD5603"/>
    <w:rsid w:val="00BD7A7B"/>
    <w:rsid w:val="00BE0331"/>
    <w:rsid w:val="00BE0EEF"/>
    <w:rsid w:val="00BE178D"/>
    <w:rsid w:val="00BE1F35"/>
    <w:rsid w:val="00BE30C8"/>
    <w:rsid w:val="00BE3EA7"/>
    <w:rsid w:val="00BE6714"/>
    <w:rsid w:val="00BF135A"/>
    <w:rsid w:val="00BF55DB"/>
    <w:rsid w:val="00C00067"/>
    <w:rsid w:val="00C00866"/>
    <w:rsid w:val="00C01BD4"/>
    <w:rsid w:val="00C02A97"/>
    <w:rsid w:val="00C0441D"/>
    <w:rsid w:val="00C05E8F"/>
    <w:rsid w:val="00C0684C"/>
    <w:rsid w:val="00C07116"/>
    <w:rsid w:val="00C07747"/>
    <w:rsid w:val="00C10E6D"/>
    <w:rsid w:val="00C13593"/>
    <w:rsid w:val="00C13FDB"/>
    <w:rsid w:val="00C14CC4"/>
    <w:rsid w:val="00C159E6"/>
    <w:rsid w:val="00C16B40"/>
    <w:rsid w:val="00C21756"/>
    <w:rsid w:val="00C21FAE"/>
    <w:rsid w:val="00C223A2"/>
    <w:rsid w:val="00C22EED"/>
    <w:rsid w:val="00C265B3"/>
    <w:rsid w:val="00C26C58"/>
    <w:rsid w:val="00C32072"/>
    <w:rsid w:val="00C33B68"/>
    <w:rsid w:val="00C33EC4"/>
    <w:rsid w:val="00C36E77"/>
    <w:rsid w:val="00C37A77"/>
    <w:rsid w:val="00C40456"/>
    <w:rsid w:val="00C40E87"/>
    <w:rsid w:val="00C4360D"/>
    <w:rsid w:val="00C44FD2"/>
    <w:rsid w:val="00C46A67"/>
    <w:rsid w:val="00C46B1E"/>
    <w:rsid w:val="00C52225"/>
    <w:rsid w:val="00C53373"/>
    <w:rsid w:val="00C53D1E"/>
    <w:rsid w:val="00C54460"/>
    <w:rsid w:val="00C54F40"/>
    <w:rsid w:val="00C57CFE"/>
    <w:rsid w:val="00C62089"/>
    <w:rsid w:val="00C63FE0"/>
    <w:rsid w:val="00C64D31"/>
    <w:rsid w:val="00C6503E"/>
    <w:rsid w:val="00C72F58"/>
    <w:rsid w:val="00C74486"/>
    <w:rsid w:val="00C74616"/>
    <w:rsid w:val="00C75906"/>
    <w:rsid w:val="00C76800"/>
    <w:rsid w:val="00C76F84"/>
    <w:rsid w:val="00C777A2"/>
    <w:rsid w:val="00C779A1"/>
    <w:rsid w:val="00C80319"/>
    <w:rsid w:val="00C80596"/>
    <w:rsid w:val="00C80A42"/>
    <w:rsid w:val="00C8172F"/>
    <w:rsid w:val="00C8216F"/>
    <w:rsid w:val="00C822EA"/>
    <w:rsid w:val="00C823C8"/>
    <w:rsid w:val="00C82760"/>
    <w:rsid w:val="00C82F84"/>
    <w:rsid w:val="00C83462"/>
    <w:rsid w:val="00C876A4"/>
    <w:rsid w:val="00C90F94"/>
    <w:rsid w:val="00C933DD"/>
    <w:rsid w:val="00C94D06"/>
    <w:rsid w:val="00C963C8"/>
    <w:rsid w:val="00C9698B"/>
    <w:rsid w:val="00C96AA1"/>
    <w:rsid w:val="00C96BAB"/>
    <w:rsid w:val="00CA500D"/>
    <w:rsid w:val="00CA50C9"/>
    <w:rsid w:val="00CA5148"/>
    <w:rsid w:val="00CA592C"/>
    <w:rsid w:val="00CA651D"/>
    <w:rsid w:val="00CA75B0"/>
    <w:rsid w:val="00CB01CB"/>
    <w:rsid w:val="00CB1FDE"/>
    <w:rsid w:val="00CB2045"/>
    <w:rsid w:val="00CB2153"/>
    <w:rsid w:val="00CB345C"/>
    <w:rsid w:val="00CB417E"/>
    <w:rsid w:val="00CB4784"/>
    <w:rsid w:val="00CB578E"/>
    <w:rsid w:val="00CB7F64"/>
    <w:rsid w:val="00CC09EF"/>
    <w:rsid w:val="00CC1745"/>
    <w:rsid w:val="00CC2AF3"/>
    <w:rsid w:val="00CC3A18"/>
    <w:rsid w:val="00CC4F30"/>
    <w:rsid w:val="00CC5141"/>
    <w:rsid w:val="00CC5E86"/>
    <w:rsid w:val="00CD3A65"/>
    <w:rsid w:val="00CD4266"/>
    <w:rsid w:val="00CD461D"/>
    <w:rsid w:val="00CD4AF4"/>
    <w:rsid w:val="00CD7F74"/>
    <w:rsid w:val="00CE0635"/>
    <w:rsid w:val="00CE2768"/>
    <w:rsid w:val="00CE3DA9"/>
    <w:rsid w:val="00CF069F"/>
    <w:rsid w:val="00CF193F"/>
    <w:rsid w:val="00CF66C8"/>
    <w:rsid w:val="00CF6FD5"/>
    <w:rsid w:val="00D034BD"/>
    <w:rsid w:val="00D04B7B"/>
    <w:rsid w:val="00D05893"/>
    <w:rsid w:val="00D05B46"/>
    <w:rsid w:val="00D0618A"/>
    <w:rsid w:val="00D0618B"/>
    <w:rsid w:val="00D063D1"/>
    <w:rsid w:val="00D065DA"/>
    <w:rsid w:val="00D15E8B"/>
    <w:rsid w:val="00D170C1"/>
    <w:rsid w:val="00D17DB8"/>
    <w:rsid w:val="00D20431"/>
    <w:rsid w:val="00D209C2"/>
    <w:rsid w:val="00D22405"/>
    <w:rsid w:val="00D261B6"/>
    <w:rsid w:val="00D27419"/>
    <w:rsid w:val="00D31E79"/>
    <w:rsid w:val="00D35262"/>
    <w:rsid w:val="00D35F13"/>
    <w:rsid w:val="00D36F11"/>
    <w:rsid w:val="00D379BC"/>
    <w:rsid w:val="00D401E0"/>
    <w:rsid w:val="00D40519"/>
    <w:rsid w:val="00D41707"/>
    <w:rsid w:val="00D42836"/>
    <w:rsid w:val="00D438AF"/>
    <w:rsid w:val="00D44C9E"/>
    <w:rsid w:val="00D47B4F"/>
    <w:rsid w:val="00D50A8D"/>
    <w:rsid w:val="00D52512"/>
    <w:rsid w:val="00D52B63"/>
    <w:rsid w:val="00D5736E"/>
    <w:rsid w:val="00D574C4"/>
    <w:rsid w:val="00D60AF6"/>
    <w:rsid w:val="00D61041"/>
    <w:rsid w:val="00D61396"/>
    <w:rsid w:val="00D620C6"/>
    <w:rsid w:val="00D6241C"/>
    <w:rsid w:val="00D62A1E"/>
    <w:rsid w:val="00D6697A"/>
    <w:rsid w:val="00D73A1C"/>
    <w:rsid w:val="00D73C5A"/>
    <w:rsid w:val="00D74083"/>
    <w:rsid w:val="00D75468"/>
    <w:rsid w:val="00D7694D"/>
    <w:rsid w:val="00D77028"/>
    <w:rsid w:val="00D856AF"/>
    <w:rsid w:val="00D91E3E"/>
    <w:rsid w:val="00D92AED"/>
    <w:rsid w:val="00D955B9"/>
    <w:rsid w:val="00D970F9"/>
    <w:rsid w:val="00DA29FD"/>
    <w:rsid w:val="00DA2AF8"/>
    <w:rsid w:val="00DA6740"/>
    <w:rsid w:val="00DA68D5"/>
    <w:rsid w:val="00DB080B"/>
    <w:rsid w:val="00DB0CA2"/>
    <w:rsid w:val="00DB0CCA"/>
    <w:rsid w:val="00DB24BF"/>
    <w:rsid w:val="00DB45F1"/>
    <w:rsid w:val="00DB4CF7"/>
    <w:rsid w:val="00DB6EE5"/>
    <w:rsid w:val="00DC5D8E"/>
    <w:rsid w:val="00DC68B4"/>
    <w:rsid w:val="00DC6B1D"/>
    <w:rsid w:val="00DC7788"/>
    <w:rsid w:val="00DD122A"/>
    <w:rsid w:val="00DD23A7"/>
    <w:rsid w:val="00DD2BA9"/>
    <w:rsid w:val="00DD4CE1"/>
    <w:rsid w:val="00DE01B2"/>
    <w:rsid w:val="00DE047B"/>
    <w:rsid w:val="00DE0C05"/>
    <w:rsid w:val="00DE23EA"/>
    <w:rsid w:val="00DE3441"/>
    <w:rsid w:val="00DE40B0"/>
    <w:rsid w:val="00DE45B6"/>
    <w:rsid w:val="00DE4CDA"/>
    <w:rsid w:val="00DE5C4A"/>
    <w:rsid w:val="00DE6F6A"/>
    <w:rsid w:val="00DE761F"/>
    <w:rsid w:val="00DF0E5C"/>
    <w:rsid w:val="00DF35FA"/>
    <w:rsid w:val="00DF5873"/>
    <w:rsid w:val="00E01C96"/>
    <w:rsid w:val="00E0505A"/>
    <w:rsid w:val="00E05100"/>
    <w:rsid w:val="00E05218"/>
    <w:rsid w:val="00E05668"/>
    <w:rsid w:val="00E05949"/>
    <w:rsid w:val="00E05EB5"/>
    <w:rsid w:val="00E06E2F"/>
    <w:rsid w:val="00E070CB"/>
    <w:rsid w:val="00E10849"/>
    <w:rsid w:val="00E10F32"/>
    <w:rsid w:val="00E11520"/>
    <w:rsid w:val="00E1308A"/>
    <w:rsid w:val="00E137E9"/>
    <w:rsid w:val="00E1431F"/>
    <w:rsid w:val="00E14F01"/>
    <w:rsid w:val="00E15233"/>
    <w:rsid w:val="00E15FF7"/>
    <w:rsid w:val="00E17ADC"/>
    <w:rsid w:val="00E20D90"/>
    <w:rsid w:val="00E22754"/>
    <w:rsid w:val="00E2437D"/>
    <w:rsid w:val="00E24404"/>
    <w:rsid w:val="00E259C9"/>
    <w:rsid w:val="00E27F9C"/>
    <w:rsid w:val="00E30763"/>
    <w:rsid w:val="00E30CCE"/>
    <w:rsid w:val="00E30F95"/>
    <w:rsid w:val="00E321D7"/>
    <w:rsid w:val="00E343AA"/>
    <w:rsid w:val="00E3568F"/>
    <w:rsid w:val="00E44DA8"/>
    <w:rsid w:val="00E504BE"/>
    <w:rsid w:val="00E50AB3"/>
    <w:rsid w:val="00E51BF4"/>
    <w:rsid w:val="00E53964"/>
    <w:rsid w:val="00E5416F"/>
    <w:rsid w:val="00E55961"/>
    <w:rsid w:val="00E55B31"/>
    <w:rsid w:val="00E55F6E"/>
    <w:rsid w:val="00E576B1"/>
    <w:rsid w:val="00E60C1B"/>
    <w:rsid w:val="00E60CBA"/>
    <w:rsid w:val="00E612A8"/>
    <w:rsid w:val="00E6346E"/>
    <w:rsid w:val="00E63F98"/>
    <w:rsid w:val="00E64650"/>
    <w:rsid w:val="00E65DA6"/>
    <w:rsid w:val="00E65E38"/>
    <w:rsid w:val="00E66809"/>
    <w:rsid w:val="00E736F8"/>
    <w:rsid w:val="00E73884"/>
    <w:rsid w:val="00E7539B"/>
    <w:rsid w:val="00E75CD5"/>
    <w:rsid w:val="00E7646A"/>
    <w:rsid w:val="00E811F3"/>
    <w:rsid w:val="00E81EE2"/>
    <w:rsid w:val="00E8202C"/>
    <w:rsid w:val="00E8253F"/>
    <w:rsid w:val="00E850E7"/>
    <w:rsid w:val="00E86250"/>
    <w:rsid w:val="00E87181"/>
    <w:rsid w:val="00E87305"/>
    <w:rsid w:val="00E87882"/>
    <w:rsid w:val="00E92179"/>
    <w:rsid w:val="00E93B6F"/>
    <w:rsid w:val="00EA5DCF"/>
    <w:rsid w:val="00EB2586"/>
    <w:rsid w:val="00EB4010"/>
    <w:rsid w:val="00EB4111"/>
    <w:rsid w:val="00EB5642"/>
    <w:rsid w:val="00EB5E0B"/>
    <w:rsid w:val="00EB6CE2"/>
    <w:rsid w:val="00EB741D"/>
    <w:rsid w:val="00EB7F4F"/>
    <w:rsid w:val="00EC08D9"/>
    <w:rsid w:val="00EC129C"/>
    <w:rsid w:val="00EC2994"/>
    <w:rsid w:val="00EC7244"/>
    <w:rsid w:val="00EC79AC"/>
    <w:rsid w:val="00EC7E54"/>
    <w:rsid w:val="00ED09F7"/>
    <w:rsid w:val="00ED105E"/>
    <w:rsid w:val="00ED1213"/>
    <w:rsid w:val="00ED6113"/>
    <w:rsid w:val="00ED696D"/>
    <w:rsid w:val="00ED7CEA"/>
    <w:rsid w:val="00EE1372"/>
    <w:rsid w:val="00EE15F6"/>
    <w:rsid w:val="00EE206C"/>
    <w:rsid w:val="00EE2E0B"/>
    <w:rsid w:val="00EE56EB"/>
    <w:rsid w:val="00EE5923"/>
    <w:rsid w:val="00EE5ED6"/>
    <w:rsid w:val="00EF07DF"/>
    <w:rsid w:val="00EF1030"/>
    <w:rsid w:val="00EF32BF"/>
    <w:rsid w:val="00EF451B"/>
    <w:rsid w:val="00EF5BC1"/>
    <w:rsid w:val="00EF71DE"/>
    <w:rsid w:val="00F01698"/>
    <w:rsid w:val="00F02501"/>
    <w:rsid w:val="00F02B18"/>
    <w:rsid w:val="00F0448B"/>
    <w:rsid w:val="00F05A4E"/>
    <w:rsid w:val="00F062E4"/>
    <w:rsid w:val="00F073CF"/>
    <w:rsid w:val="00F1073E"/>
    <w:rsid w:val="00F10C39"/>
    <w:rsid w:val="00F11736"/>
    <w:rsid w:val="00F12193"/>
    <w:rsid w:val="00F12D56"/>
    <w:rsid w:val="00F135DB"/>
    <w:rsid w:val="00F142B6"/>
    <w:rsid w:val="00F14D6F"/>
    <w:rsid w:val="00F15AB3"/>
    <w:rsid w:val="00F1705A"/>
    <w:rsid w:val="00F172F2"/>
    <w:rsid w:val="00F17810"/>
    <w:rsid w:val="00F17F14"/>
    <w:rsid w:val="00F20070"/>
    <w:rsid w:val="00F20C7E"/>
    <w:rsid w:val="00F2101E"/>
    <w:rsid w:val="00F21026"/>
    <w:rsid w:val="00F21BB8"/>
    <w:rsid w:val="00F2254C"/>
    <w:rsid w:val="00F2291B"/>
    <w:rsid w:val="00F231FB"/>
    <w:rsid w:val="00F250F6"/>
    <w:rsid w:val="00F25EDA"/>
    <w:rsid w:val="00F26CF7"/>
    <w:rsid w:val="00F27358"/>
    <w:rsid w:val="00F313FE"/>
    <w:rsid w:val="00F34FD9"/>
    <w:rsid w:val="00F3687C"/>
    <w:rsid w:val="00F36932"/>
    <w:rsid w:val="00F41C00"/>
    <w:rsid w:val="00F426A7"/>
    <w:rsid w:val="00F45969"/>
    <w:rsid w:val="00F45D54"/>
    <w:rsid w:val="00F46587"/>
    <w:rsid w:val="00F47294"/>
    <w:rsid w:val="00F47E8C"/>
    <w:rsid w:val="00F5022D"/>
    <w:rsid w:val="00F512F2"/>
    <w:rsid w:val="00F516C0"/>
    <w:rsid w:val="00F53A95"/>
    <w:rsid w:val="00F53E05"/>
    <w:rsid w:val="00F5651F"/>
    <w:rsid w:val="00F56C01"/>
    <w:rsid w:val="00F57939"/>
    <w:rsid w:val="00F65430"/>
    <w:rsid w:val="00F66D86"/>
    <w:rsid w:val="00F66E1D"/>
    <w:rsid w:val="00F70887"/>
    <w:rsid w:val="00F71EC5"/>
    <w:rsid w:val="00F742A3"/>
    <w:rsid w:val="00F775E9"/>
    <w:rsid w:val="00F80687"/>
    <w:rsid w:val="00F8157A"/>
    <w:rsid w:val="00F83859"/>
    <w:rsid w:val="00F8414C"/>
    <w:rsid w:val="00F85893"/>
    <w:rsid w:val="00F85A57"/>
    <w:rsid w:val="00F863DC"/>
    <w:rsid w:val="00F86C90"/>
    <w:rsid w:val="00F87B8B"/>
    <w:rsid w:val="00F87F6A"/>
    <w:rsid w:val="00F917D9"/>
    <w:rsid w:val="00F92445"/>
    <w:rsid w:val="00F93D00"/>
    <w:rsid w:val="00F94B04"/>
    <w:rsid w:val="00FA031B"/>
    <w:rsid w:val="00FA248A"/>
    <w:rsid w:val="00FA3490"/>
    <w:rsid w:val="00FA6145"/>
    <w:rsid w:val="00FA6750"/>
    <w:rsid w:val="00FA6A77"/>
    <w:rsid w:val="00FA76C5"/>
    <w:rsid w:val="00FB05BD"/>
    <w:rsid w:val="00FB0850"/>
    <w:rsid w:val="00FB4782"/>
    <w:rsid w:val="00FB5B27"/>
    <w:rsid w:val="00FB65E6"/>
    <w:rsid w:val="00FB716A"/>
    <w:rsid w:val="00FC029C"/>
    <w:rsid w:val="00FC0625"/>
    <w:rsid w:val="00FC0952"/>
    <w:rsid w:val="00FC1D1D"/>
    <w:rsid w:val="00FC2A1A"/>
    <w:rsid w:val="00FC3996"/>
    <w:rsid w:val="00FC3E3F"/>
    <w:rsid w:val="00FC4715"/>
    <w:rsid w:val="00FC4AA5"/>
    <w:rsid w:val="00FC5B93"/>
    <w:rsid w:val="00FD0059"/>
    <w:rsid w:val="00FD0319"/>
    <w:rsid w:val="00FD0A9C"/>
    <w:rsid w:val="00FD16E4"/>
    <w:rsid w:val="00FD25E4"/>
    <w:rsid w:val="00FD4B31"/>
    <w:rsid w:val="00FE18CB"/>
    <w:rsid w:val="00FE208C"/>
    <w:rsid w:val="00FE3E09"/>
    <w:rsid w:val="00FE3E82"/>
    <w:rsid w:val="00FE606A"/>
    <w:rsid w:val="00FE63DC"/>
    <w:rsid w:val="00FE6DEB"/>
    <w:rsid w:val="00FF0E2E"/>
    <w:rsid w:val="00FF0EAD"/>
    <w:rsid w:val="00FF1E96"/>
    <w:rsid w:val="00FF1F5C"/>
    <w:rsid w:val="00FF1FE5"/>
    <w:rsid w:val="00FF3057"/>
    <w:rsid w:val="00FF41C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8FE5"/>
  <w15:chartTrackingRefBased/>
  <w15:docId w15:val="{2010CCB2-A8B4-4723-AF5C-F9C1D723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28"/>
    <w:pPr>
      <w:spacing w:after="0"/>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rsid w:val="003D4828"/>
    <w:pPr>
      <w:jc w:val="center"/>
    </w:pPr>
    <w:rPr>
      <w:b/>
      <w:sz w:val="36"/>
      <w:szCs w:val="20"/>
    </w:rPr>
  </w:style>
  <w:style w:type="paragraph" w:customStyle="1" w:styleId="CoverMain">
    <w:name w:val="CoverMain"/>
    <w:basedOn w:val="Normal"/>
    <w:rsid w:val="003D482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3D4828"/>
    <w:pPr>
      <w:jc w:val="right"/>
    </w:pPr>
    <w:rPr>
      <w:szCs w:val="20"/>
      <w:u w:val="single"/>
    </w:rPr>
  </w:style>
  <w:style w:type="paragraph" w:customStyle="1" w:styleId="ParaHeading">
    <w:name w:val="ParaHeading"/>
    <w:basedOn w:val="Normal"/>
    <w:next w:val="ParaLevel1"/>
    <w:rsid w:val="003D4828"/>
    <w:pPr>
      <w:keepNext/>
      <w:spacing w:before="240" w:after="240"/>
    </w:pPr>
    <w:rPr>
      <w:szCs w:val="20"/>
    </w:rPr>
  </w:style>
  <w:style w:type="paragraph" w:customStyle="1" w:styleId="ParaLevel1">
    <w:name w:val="ParaLevel1"/>
    <w:basedOn w:val="Normal"/>
    <w:rsid w:val="003D4828"/>
    <w:pPr>
      <w:numPr>
        <w:numId w:val="2"/>
      </w:numPr>
      <w:suppressAutoHyphens/>
      <w:spacing w:before="240" w:after="240"/>
      <w:jc w:val="both"/>
      <w:outlineLvl w:val="0"/>
    </w:pPr>
    <w:rPr>
      <w:szCs w:val="20"/>
    </w:rPr>
  </w:style>
  <w:style w:type="paragraph" w:customStyle="1" w:styleId="ParaLevel2">
    <w:name w:val="ParaLevel2"/>
    <w:basedOn w:val="Normal"/>
    <w:rsid w:val="003D4828"/>
    <w:pPr>
      <w:numPr>
        <w:ilvl w:val="1"/>
        <w:numId w:val="2"/>
      </w:numPr>
      <w:suppressAutoHyphens/>
      <w:spacing w:before="240" w:after="240"/>
      <w:jc w:val="both"/>
      <w:outlineLvl w:val="1"/>
    </w:pPr>
    <w:rPr>
      <w:szCs w:val="20"/>
    </w:rPr>
  </w:style>
  <w:style w:type="paragraph" w:customStyle="1" w:styleId="ParaLevel3">
    <w:name w:val="ParaLevel3"/>
    <w:basedOn w:val="Normal"/>
    <w:rsid w:val="003D4828"/>
    <w:pPr>
      <w:numPr>
        <w:ilvl w:val="2"/>
        <w:numId w:val="2"/>
      </w:numPr>
      <w:suppressAutoHyphens/>
      <w:spacing w:before="240" w:after="240"/>
      <w:jc w:val="both"/>
      <w:outlineLvl w:val="2"/>
    </w:pPr>
    <w:rPr>
      <w:szCs w:val="20"/>
    </w:rPr>
  </w:style>
  <w:style w:type="paragraph" w:customStyle="1" w:styleId="ParaLevel4">
    <w:name w:val="ParaLevel4"/>
    <w:basedOn w:val="Normal"/>
    <w:rsid w:val="003D4828"/>
    <w:pPr>
      <w:numPr>
        <w:ilvl w:val="3"/>
        <w:numId w:val="2"/>
      </w:numPr>
      <w:suppressAutoHyphens/>
      <w:spacing w:before="240" w:after="240"/>
      <w:jc w:val="both"/>
      <w:outlineLvl w:val="3"/>
    </w:pPr>
    <w:rPr>
      <w:szCs w:val="20"/>
    </w:rPr>
  </w:style>
  <w:style w:type="paragraph" w:customStyle="1" w:styleId="ParaLevel5">
    <w:name w:val="ParaLevel5"/>
    <w:basedOn w:val="Normal"/>
    <w:rsid w:val="003D4828"/>
    <w:pPr>
      <w:numPr>
        <w:ilvl w:val="4"/>
        <w:numId w:val="2"/>
      </w:numPr>
      <w:suppressAutoHyphens/>
      <w:spacing w:before="240" w:after="240"/>
      <w:jc w:val="both"/>
      <w:outlineLvl w:val="4"/>
    </w:pPr>
    <w:rPr>
      <w:szCs w:val="20"/>
    </w:rPr>
  </w:style>
  <w:style w:type="paragraph" w:customStyle="1" w:styleId="ParaLevel6">
    <w:name w:val="ParaLevel6"/>
    <w:basedOn w:val="Normal"/>
    <w:rsid w:val="003D4828"/>
    <w:pPr>
      <w:numPr>
        <w:ilvl w:val="5"/>
        <w:numId w:val="2"/>
      </w:numPr>
      <w:suppressAutoHyphens/>
      <w:spacing w:before="240" w:after="240"/>
      <w:jc w:val="both"/>
      <w:outlineLvl w:val="5"/>
    </w:pPr>
    <w:rPr>
      <w:szCs w:val="20"/>
    </w:rPr>
  </w:style>
  <w:style w:type="paragraph" w:customStyle="1" w:styleId="ParaLevel7">
    <w:name w:val="ParaLevel7"/>
    <w:basedOn w:val="Normal"/>
    <w:rsid w:val="003D4828"/>
    <w:pPr>
      <w:numPr>
        <w:ilvl w:val="6"/>
        <w:numId w:val="2"/>
      </w:numPr>
      <w:suppressAutoHyphens/>
      <w:spacing w:before="240" w:after="240"/>
      <w:jc w:val="both"/>
      <w:outlineLvl w:val="6"/>
    </w:pPr>
    <w:rPr>
      <w:szCs w:val="20"/>
    </w:rPr>
  </w:style>
  <w:style w:type="paragraph" w:customStyle="1" w:styleId="ParaLevel8">
    <w:name w:val="ParaLevel8"/>
    <w:basedOn w:val="Normal"/>
    <w:rsid w:val="003D4828"/>
    <w:pPr>
      <w:numPr>
        <w:ilvl w:val="7"/>
        <w:numId w:val="2"/>
      </w:numPr>
      <w:suppressAutoHyphens/>
      <w:spacing w:before="240" w:after="240"/>
      <w:jc w:val="both"/>
      <w:outlineLvl w:val="7"/>
    </w:pPr>
    <w:rPr>
      <w:szCs w:val="20"/>
    </w:rPr>
  </w:style>
  <w:style w:type="paragraph" w:customStyle="1" w:styleId="ParaLevel9">
    <w:name w:val="ParaLevel9"/>
    <w:basedOn w:val="Normal"/>
    <w:rsid w:val="003D4828"/>
    <w:pPr>
      <w:numPr>
        <w:ilvl w:val="8"/>
        <w:numId w:val="2"/>
      </w:numPr>
      <w:suppressAutoHyphens/>
      <w:spacing w:before="240" w:after="240"/>
      <w:jc w:val="both"/>
      <w:outlineLvl w:val="8"/>
    </w:pPr>
    <w:rPr>
      <w:szCs w:val="20"/>
    </w:rPr>
  </w:style>
  <w:style w:type="paragraph" w:styleId="Header">
    <w:name w:val="header"/>
    <w:basedOn w:val="Normal"/>
    <w:link w:val="HeaderChar"/>
    <w:rsid w:val="003D4828"/>
    <w:pPr>
      <w:tabs>
        <w:tab w:val="center" w:pos="4153"/>
        <w:tab w:val="right" w:pos="8306"/>
      </w:tabs>
    </w:pPr>
    <w:rPr>
      <w:rFonts w:ascii="Univers (W1)" w:hAnsi="Univers (W1)"/>
      <w:szCs w:val="20"/>
    </w:rPr>
  </w:style>
  <w:style w:type="character" w:customStyle="1" w:styleId="HeaderChar">
    <w:name w:val="Header Char"/>
    <w:basedOn w:val="DefaultParagraphFont"/>
    <w:link w:val="Header"/>
    <w:rsid w:val="003D4828"/>
    <w:rPr>
      <w:rFonts w:ascii="Univers (W1)" w:eastAsia="Times New Roman" w:hAnsi="Univers (W1)" w:cs="Times New Roman"/>
      <w:sz w:val="24"/>
      <w:szCs w:val="20"/>
    </w:rPr>
  </w:style>
  <w:style w:type="paragraph" w:styleId="Footer">
    <w:name w:val="footer"/>
    <w:basedOn w:val="Normal"/>
    <w:link w:val="FooterChar"/>
    <w:rsid w:val="003D4828"/>
    <w:pPr>
      <w:tabs>
        <w:tab w:val="center" w:pos="4153"/>
        <w:tab w:val="right" w:pos="8306"/>
      </w:tabs>
    </w:pPr>
    <w:rPr>
      <w:rFonts w:ascii="Univers (W1)" w:hAnsi="Univers (W1)"/>
      <w:szCs w:val="20"/>
    </w:rPr>
  </w:style>
  <w:style w:type="character" w:customStyle="1" w:styleId="FooterChar">
    <w:name w:val="Footer Char"/>
    <w:basedOn w:val="DefaultParagraphFont"/>
    <w:link w:val="Footer"/>
    <w:rsid w:val="003D4828"/>
    <w:rPr>
      <w:rFonts w:ascii="Univers (W1)" w:eastAsia="Times New Roman" w:hAnsi="Univers (W1)" w:cs="Times New Roman"/>
      <w:sz w:val="24"/>
      <w:szCs w:val="20"/>
    </w:rPr>
  </w:style>
  <w:style w:type="paragraph" w:styleId="ListParagraph">
    <w:name w:val="List Paragraph"/>
    <w:basedOn w:val="Normal"/>
    <w:link w:val="ListParagraphChar"/>
    <w:uiPriority w:val="34"/>
    <w:qFormat/>
    <w:rsid w:val="00336514"/>
    <w:pPr>
      <w:ind w:left="720"/>
      <w:contextualSpacing/>
    </w:pPr>
    <w:rPr>
      <w:rFonts w:asciiTheme="minorHAnsi" w:eastAsiaTheme="minorEastAsia" w:hAnsiTheme="minorHAnsi" w:cstheme="minorBidi"/>
    </w:rPr>
  </w:style>
  <w:style w:type="character" w:customStyle="1" w:styleId="ListParagraphChar">
    <w:name w:val="List Paragraph Char"/>
    <w:basedOn w:val="DefaultParagraphFont"/>
    <w:link w:val="ListParagraph"/>
    <w:uiPriority w:val="34"/>
    <w:rsid w:val="00336514"/>
    <w:rPr>
      <w:rFonts w:eastAsiaTheme="minorEastAsia"/>
      <w:sz w:val="24"/>
      <w:szCs w:val="24"/>
    </w:rPr>
  </w:style>
  <w:style w:type="character" w:styleId="Hyperlink">
    <w:name w:val="Hyperlink"/>
    <w:basedOn w:val="DefaultParagraphFont"/>
    <w:uiPriority w:val="99"/>
    <w:unhideWhenUsed/>
    <w:rsid w:val="00336514"/>
    <w:rPr>
      <w:color w:val="0000FF"/>
      <w:u w:val="single"/>
    </w:rPr>
  </w:style>
  <w:style w:type="paragraph" w:styleId="BalloonText">
    <w:name w:val="Balloon Text"/>
    <w:basedOn w:val="Normal"/>
    <w:link w:val="BalloonTextChar"/>
    <w:uiPriority w:val="99"/>
    <w:semiHidden/>
    <w:unhideWhenUsed/>
    <w:rsid w:val="006D68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8E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031371">
      <w:bodyDiv w:val="1"/>
      <w:marLeft w:val="0"/>
      <w:marRight w:val="0"/>
      <w:marTop w:val="0"/>
      <w:marBottom w:val="0"/>
      <w:divBdr>
        <w:top w:val="none" w:sz="0" w:space="0" w:color="auto"/>
        <w:left w:val="none" w:sz="0" w:space="0" w:color="auto"/>
        <w:bottom w:val="none" w:sz="0" w:space="0" w:color="auto"/>
        <w:right w:val="none" w:sz="0" w:space="0" w:color="auto"/>
      </w:divBdr>
    </w:div>
    <w:div w:id="15346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F143B8D2AF24E978F225A7E357CF0" ma:contentTypeVersion="12" ma:contentTypeDescription="Create a new document." ma:contentTypeScope="" ma:versionID="0fb9fe2faed822f629104cc4cf626833">
  <xsd:schema xmlns:xsd="http://www.w3.org/2001/XMLSchema" xmlns:xs="http://www.w3.org/2001/XMLSchema" xmlns:p="http://schemas.microsoft.com/office/2006/metadata/properties" xmlns:ns3="756a533f-64ee-4a42-bd8b-402ea837b85a" xmlns:ns4="4ce6905d-268e-40f0-8b0b-c0d1a78c436a" targetNamespace="http://schemas.microsoft.com/office/2006/metadata/properties" ma:root="true" ma:fieldsID="8178d7d3fed6e5e699609ab0994ac0ed" ns3:_="" ns4:_="">
    <xsd:import namespace="756a533f-64ee-4a42-bd8b-402ea837b85a"/>
    <xsd:import namespace="4ce6905d-268e-40f0-8b0b-c0d1a78c43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a533f-64ee-4a42-bd8b-402ea837b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6905d-268e-40f0-8b0b-c0d1a78c436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F1834-A021-458E-974B-DDAE6159F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a533f-64ee-4a42-bd8b-402ea837b85a"/>
    <ds:schemaRef ds:uri="4ce6905d-268e-40f0-8b0b-c0d1a78c4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A7783-31EC-4045-BBFB-854640CED857}">
  <ds:schemaRefs>
    <ds:schemaRef ds:uri="http://schemas.microsoft.com/sharepoint/v3/contenttype/forms"/>
  </ds:schemaRefs>
</ds:datastoreItem>
</file>

<file path=customXml/itemProps3.xml><?xml version="1.0" encoding="utf-8"?>
<ds:datastoreItem xmlns:ds="http://schemas.openxmlformats.org/officeDocument/2006/customXml" ds:itemID="{3D1ADA3B-3263-442B-84FA-000FEBAE6D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Links>
    <vt:vector size="6" baseType="variant">
      <vt:variant>
        <vt:i4>3538953</vt:i4>
      </vt:variant>
      <vt:variant>
        <vt:i4>0</vt:i4>
      </vt:variant>
      <vt:variant>
        <vt:i4>0</vt:i4>
      </vt:variant>
      <vt:variant>
        <vt:i4>5</vt:i4>
      </vt:variant>
      <vt:variant>
        <vt:lpwstr>mailto:Jessica.Turner@Justice.gov.uk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Hedderick, Nina</dc:creator>
  <cp:keywords/>
  <dc:description/>
  <cp:lastModifiedBy>Turner, Jessica</cp:lastModifiedBy>
  <cp:revision>3</cp:revision>
  <dcterms:created xsi:type="dcterms:W3CDTF">2022-09-16T12:55:00Z</dcterms:created>
  <dcterms:modified xsi:type="dcterms:W3CDTF">2022-09-16T13:02:00Z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0x0101004CEF143B8D2AF24E978F225A7E357CF0</vt:lpwstr>
  </property>
</Properties>
</file>