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EA818" w14:textId="25BEB0B7" w:rsidR="005E2342" w:rsidRDefault="002E5EC6" w:rsidP="00050581">
      <w:pPr>
        <w:jc w:val="center"/>
      </w:pPr>
      <w:r>
        <w:pict w14:anchorId="600ED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75.75pt">
            <v:imagedata r:id="rId7" o:title="crest"/>
          </v:shape>
        </w:pict>
      </w:r>
    </w:p>
    <w:p w14:paraId="5CBA15A4" w14:textId="77777777" w:rsidR="00050581" w:rsidRDefault="00050581">
      <w:pPr>
        <w:jc w:val="center"/>
      </w:pPr>
    </w:p>
    <w:p w14:paraId="34C37B62" w14:textId="3DA811C5" w:rsidR="005E2342" w:rsidRDefault="005E2342">
      <w:pPr>
        <w:pStyle w:val="CoverText"/>
        <w:jc w:val="left"/>
        <w:rPr>
          <w:bCs/>
          <w:sz w:val="20"/>
          <w:u w:val="none"/>
        </w:rPr>
      </w:pPr>
      <w:r>
        <w:rPr>
          <w:bCs/>
        </w:rPr>
        <w:t xml:space="preserve">Neutral Citation Number: </w:t>
      </w:r>
      <w:r w:rsidR="000979DA">
        <w:rPr>
          <w:bCs/>
        </w:rPr>
        <w:t xml:space="preserve">[2022] </w:t>
      </w:r>
      <w:proofErr w:type="spellStart"/>
      <w:r w:rsidR="000979DA">
        <w:rPr>
          <w:bCs/>
        </w:rPr>
        <w:t>EWHC</w:t>
      </w:r>
      <w:proofErr w:type="spellEnd"/>
      <w:r w:rsidR="000979DA">
        <w:rPr>
          <w:bCs/>
        </w:rPr>
        <w:t xml:space="preserve"> 3114 (Admin)</w:t>
      </w:r>
      <w:r>
        <w:rPr>
          <w:bCs/>
        </w:rPr>
        <w:br/>
      </w:r>
    </w:p>
    <w:p w14:paraId="4A613033" w14:textId="4D02476E" w:rsidR="005E2342" w:rsidRDefault="005E2342">
      <w:pPr>
        <w:pStyle w:val="CoverText"/>
        <w:rPr>
          <w:b/>
          <w:spacing w:val="-3"/>
        </w:rPr>
      </w:pPr>
      <w:r>
        <w:t xml:space="preserve">Case No: </w:t>
      </w:r>
      <w:r w:rsidR="006801BA">
        <w:t>CO/0653/2012</w:t>
      </w:r>
    </w:p>
    <w:p w14:paraId="0D82E6F4"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71E2CA9F" w14:textId="5302889F" w:rsidR="00672A9A" w:rsidRDefault="00672A9A">
      <w:pPr>
        <w:suppressAutoHyphens/>
        <w:rPr>
          <w:b/>
          <w:spacing w:val="-3"/>
          <w:u w:val="single"/>
        </w:rPr>
      </w:pPr>
      <w:r>
        <w:rPr>
          <w:b/>
          <w:spacing w:val="-3"/>
          <w:u w:val="single"/>
        </w:rPr>
        <w:t>KING’S BENCH DIVISION</w:t>
      </w:r>
    </w:p>
    <w:p w14:paraId="24842781" w14:textId="77777777" w:rsidR="005E2342" w:rsidRDefault="00672A9A">
      <w:pPr>
        <w:suppressAutoHyphens/>
        <w:rPr>
          <w:b/>
          <w:spacing w:val="-3"/>
          <w:u w:val="single"/>
        </w:rPr>
      </w:pPr>
      <w:r>
        <w:rPr>
          <w:b/>
          <w:spacing w:val="-3"/>
          <w:u w:val="single"/>
        </w:rPr>
        <w:t>ADMINISTRATIVE COURT</w:t>
      </w:r>
    </w:p>
    <w:p w14:paraId="7CEC4F82" w14:textId="77777777" w:rsidR="005E2342" w:rsidRDefault="005E2342">
      <w:pPr>
        <w:suppressAutoHyphens/>
        <w:rPr>
          <w:b/>
          <w:spacing w:val="-3"/>
          <w:u w:val="single"/>
        </w:rPr>
      </w:pPr>
    </w:p>
    <w:p w14:paraId="10B331A7" w14:textId="77777777" w:rsidR="005E2342" w:rsidRDefault="005E2342">
      <w:pPr>
        <w:pStyle w:val="CoverText"/>
      </w:pPr>
      <w:r>
        <w:t>Royal Courts of Justice</w:t>
      </w:r>
    </w:p>
    <w:p w14:paraId="45849E39" w14:textId="77777777" w:rsidR="005E2342" w:rsidRDefault="005E2342">
      <w:pPr>
        <w:pStyle w:val="CoverText"/>
      </w:pPr>
      <w:r>
        <w:t>Strand, London, WC2A 2LL</w:t>
      </w:r>
    </w:p>
    <w:p w14:paraId="0BB6C049" w14:textId="77777777" w:rsidR="005E2342" w:rsidRDefault="005E2342">
      <w:pPr>
        <w:suppressAutoHyphens/>
        <w:jc w:val="right"/>
        <w:rPr>
          <w:spacing w:val="-3"/>
          <w:u w:val="single"/>
        </w:rPr>
      </w:pPr>
    </w:p>
    <w:p w14:paraId="7CFB603F" w14:textId="6EEDDB66" w:rsidR="005E2342" w:rsidRDefault="005E2342">
      <w:pPr>
        <w:pStyle w:val="CoverText"/>
        <w:rPr>
          <w:b/>
        </w:rPr>
      </w:pPr>
      <w:r>
        <w:t xml:space="preserve">Date: </w:t>
      </w:r>
      <w:r w:rsidR="006801BA">
        <w:t>14/12/2022</w:t>
      </w:r>
    </w:p>
    <w:p w14:paraId="52A845C6" w14:textId="77777777" w:rsidR="005E2342" w:rsidRDefault="005E2342">
      <w:pPr>
        <w:suppressAutoHyphens/>
        <w:rPr>
          <w:spacing w:val="-3"/>
        </w:rPr>
      </w:pPr>
    </w:p>
    <w:p w14:paraId="1C89A48F" w14:textId="77777777" w:rsidR="005E2342" w:rsidRDefault="005E2342">
      <w:pPr>
        <w:suppressAutoHyphens/>
        <w:jc w:val="center"/>
        <w:rPr>
          <w:spacing w:val="-3"/>
        </w:rPr>
      </w:pPr>
      <w:proofErr w:type="gramStart"/>
      <w:r>
        <w:rPr>
          <w:b/>
          <w:spacing w:val="-3"/>
        </w:rPr>
        <w:t>Before</w:t>
      </w:r>
      <w:r>
        <w:rPr>
          <w:spacing w:val="-3"/>
        </w:rPr>
        <w:t xml:space="preserve"> :</w:t>
      </w:r>
      <w:proofErr w:type="gramEnd"/>
    </w:p>
    <w:p w14:paraId="677ABD71" w14:textId="77777777" w:rsidR="005E2342" w:rsidRDefault="005E2342">
      <w:pPr>
        <w:suppressAutoHyphens/>
        <w:jc w:val="center"/>
        <w:rPr>
          <w:spacing w:val="-3"/>
        </w:rPr>
      </w:pPr>
    </w:p>
    <w:p w14:paraId="6AC27A6E" w14:textId="6CDA02FE" w:rsidR="005E2342" w:rsidRDefault="00672A9A">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MR JUSTICE JULIAN KNOWLES</w:t>
      </w:r>
    </w:p>
    <w:p w14:paraId="41DFBAC2" w14:textId="77777777" w:rsidR="005E2342" w:rsidRDefault="005E2342">
      <w:pPr>
        <w:suppressAutoHyphens/>
        <w:jc w:val="center"/>
        <w:rPr>
          <w:spacing w:val="-3"/>
        </w:rPr>
      </w:pPr>
      <w:r>
        <w:rPr>
          <w:spacing w:val="-3"/>
        </w:rPr>
        <w:t>- - - - - - - - - - - - - - - - - - - - -</w:t>
      </w:r>
    </w:p>
    <w:p w14:paraId="3F0C746D" w14:textId="77777777" w:rsidR="005E2342" w:rsidRDefault="005E2342">
      <w:pPr>
        <w:suppressAutoHyphens/>
        <w:jc w:val="center"/>
        <w:rPr>
          <w:b/>
          <w:spacing w:val="-3"/>
        </w:rPr>
      </w:pPr>
      <w:proofErr w:type="gramStart"/>
      <w:r>
        <w:rPr>
          <w:b/>
          <w:spacing w:val="-3"/>
        </w:rPr>
        <w:t>Between :</w:t>
      </w:r>
      <w:proofErr w:type="gramEnd"/>
    </w:p>
    <w:p w14:paraId="5BDB4C2B"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5E2342" w14:paraId="0003E259" w14:textId="77777777">
        <w:trPr>
          <w:jc w:val="center"/>
        </w:trPr>
        <w:tc>
          <w:tcPr>
            <w:tcW w:w="1701" w:type="dxa"/>
          </w:tcPr>
          <w:p w14:paraId="0705EDE8" w14:textId="77777777" w:rsidR="005E2342" w:rsidRDefault="005E2342">
            <w:pPr>
              <w:suppressAutoHyphens/>
              <w:rPr>
                <w:b/>
                <w:spacing w:val="-3"/>
              </w:rPr>
            </w:pPr>
          </w:p>
        </w:tc>
        <w:tc>
          <w:tcPr>
            <w:tcW w:w="5333" w:type="dxa"/>
          </w:tcPr>
          <w:p w14:paraId="31AEDEED" w14:textId="77777777" w:rsidR="005E2342" w:rsidRDefault="005E2342">
            <w:pPr>
              <w:suppressAutoHyphens/>
              <w:jc w:val="center"/>
              <w:rPr>
                <w:b/>
                <w:spacing w:val="-3"/>
              </w:rPr>
            </w:pPr>
          </w:p>
          <w:p w14:paraId="0984A06C" w14:textId="6CC18A23" w:rsidR="00672A9A" w:rsidRDefault="00672A9A">
            <w:pPr>
              <w:suppressAutoHyphens/>
              <w:jc w:val="center"/>
              <w:rPr>
                <w:b/>
                <w:spacing w:val="-3"/>
              </w:rPr>
            </w:pPr>
            <w:r>
              <w:rPr>
                <w:b/>
                <w:spacing w:val="-3"/>
              </w:rPr>
              <w:t>ANTONIA ILIA</w:t>
            </w:r>
          </w:p>
        </w:tc>
        <w:tc>
          <w:tcPr>
            <w:tcW w:w="1707" w:type="dxa"/>
          </w:tcPr>
          <w:p w14:paraId="334EE740" w14:textId="77777777" w:rsidR="00672A9A" w:rsidRDefault="00672A9A">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400AF91F" w14:textId="0A4C7C72" w:rsidR="005E2342" w:rsidRDefault="00672A9A">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 xml:space="preserve">Applicant </w:t>
            </w:r>
          </w:p>
        </w:tc>
      </w:tr>
      <w:tr w:rsidR="005E2342" w14:paraId="1A300394" w14:textId="77777777">
        <w:trPr>
          <w:jc w:val="center"/>
        </w:trPr>
        <w:tc>
          <w:tcPr>
            <w:tcW w:w="1701" w:type="dxa"/>
          </w:tcPr>
          <w:p w14:paraId="300F19C5" w14:textId="77777777" w:rsidR="005E2342" w:rsidRDefault="005E2342">
            <w:pPr>
              <w:suppressAutoHyphens/>
              <w:rPr>
                <w:b/>
                <w:spacing w:val="-3"/>
              </w:rPr>
            </w:pPr>
          </w:p>
        </w:tc>
        <w:tc>
          <w:tcPr>
            <w:tcW w:w="5333" w:type="dxa"/>
          </w:tcPr>
          <w:p w14:paraId="6508271A" w14:textId="77777777" w:rsidR="00672A9A" w:rsidRDefault="00672A9A">
            <w:pPr>
              <w:suppressAutoHyphens/>
              <w:jc w:val="center"/>
              <w:rPr>
                <w:b/>
                <w:spacing w:val="-3"/>
              </w:rPr>
            </w:pPr>
          </w:p>
          <w:p w14:paraId="4E5C5F34" w14:textId="560DA88E" w:rsidR="005E2342" w:rsidRDefault="005E2342">
            <w:pPr>
              <w:suppressAutoHyphens/>
              <w:jc w:val="center"/>
              <w:rPr>
                <w:b/>
                <w:spacing w:val="-3"/>
              </w:rPr>
            </w:pPr>
            <w:r>
              <w:rPr>
                <w:b/>
                <w:spacing w:val="-3"/>
              </w:rPr>
              <w:t>- and -</w:t>
            </w:r>
          </w:p>
        </w:tc>
        <w:tc>
          <w:tcPr>
            <w:tcW w:w="1707" w:type="dxa"/>
          </w:tcPr>
          <w:p w14:paraId="48BD1DE0"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65E9473E" w14:textId="77777777">
        <w:trPr>
          <w:jc w:val="center"/>
        </w:trPr>
        <w:tc>
          <w:tcPr>
            <w:tcW w:w="1701" w:type="dxa"/>
          </w:tcPr>
          <w:p w14:paraId="3F05F924" w14:textId="77777777" w:rsidR="005E2342" w:rsidRDefault="005E2342">
            <w:pPr>
              <w:suppressAutoHyphens/>
              <w:rPr>
                <w:b/>
                <w:spacing w:val="-3"/>
              </w:rPr>
            </w:pPr>
          </w:p>
        </w:tc>
        <w:tc>
          <w:tcPr>
            <w:tcW w:w="5333" w:type="dxa"/>
          </w:tcPr>
          <w:p w14:paraId="28D87C10" w14:textId="77777777" w:rsidR="00672A9A" w:rsidRPr="00863F17" w:rsidRDefault="00672A9A" w:rsidP="00672A9A">
            <w:pPr>
              <w:spacing w:line="276" w:lineRule="auto"/>
              <w:ind w:right="95"/>
              <w:jc w:val="center"/>
              <w:rPr>
                <w:b/>
              </w:rPr>
            </w:pPr>
          </w:p>
          <w:p w14:paraId="141C32B4" w14:textId="77777777" w:rsidR="00672A9A" w:rsidRPr="00863F17" w:rsidRDefault="00672A9A" w:rsidP="00672A9A">
            <w:pPr>
              <w:spacing w:line="276" w:lineRule="auto"/>
              <w:ind w:right="95"/>
              <w:jc w:val="center"/>
              <w:rPr>
                <w:b/>
              </w:rPr>
            </w:pPr>
            <w:r w:rsidRPr="00863F17">
              <w:rPr>
                <w:b/>
              </w:rPr>
              <w:t>APPEAL COURT IN ATHENS, GREECE</w:t>
            </w:r>
          </w:p>
          <w:p w14:paraId="6333B2A4" w14:textId="032FB178" w:rsidR="005E2342" w:rsidRDefault="005E2342">
            <w:pPr>
              <w:suppressAutoHyphens/>
              <w:jc w:val="center"/>
              <w:rPr>
                <w:b/>
                <w:spacing w:val="-3"/>
              </w:rPr>
            </w:pPr>
          </w:p>
        </w:tc>
        <w:tc>
          <w:tcPr>
            <w:tcW w:w="1707" w:type="dxa"/>
          </w:tcPr>
          <w:p w14:paraId="5E9EB9D8" w14:textId="77777777" w:rsidR="00672A9A" w:rsidRDefault="00672A9A">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5159323E" w14:textId="04D0F048" w:rsidR="005E2342" w:rsidRDefault="00672A9A">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Respondent</w:t>
            </w:r>
          </w:p>
        </w:tc>
      </w:tr>
    </w:tbl>
    <w:p w14:paraId="415F03BE" w14:textId="77777777" w:rsidR="005E2342" w:rsidRDefault="005E2342">
      <w:pPr>
        <w:suppressAutoHyphens/>
        <w:rPr>
          <w:b/>
          <w:spacing w:val="-3"/>
        </w:rPr>
      </w:pPr>
    </w:p>
    <w:p w14:paraId="751F7147" w14:textId="77777777" w:rsidR="005E2342" w:rsidRDefault="005E2342">
      <w:pPr>
        <w:suppressAutoHyphens/>
        <w:jc w:val="center"/>
        <w:rPr>
          <w:spacing w:val="-3"/>
        </w:rPr>
      </w:pPr>
      <w:r>
        <w:rPr>
          <w:spacing w:val="-3"/>
        </w:rPr>
        <w:t>- - - - - - - - - - - - - - - - - - - - -</w:t>
      </w:r>
    </w:p>
    <w:p w14:paraId="5249A827" w14:textId="77777777" w:rsidR="005E2342" w:rsidRDefault="005E2342">
      <w:pPr>
        <w:suppressAutoHyphens/>
        <w:jc w:val="center"/>
        <w:rPr>
          <w:spacing w:val="-3"/>
        </w:rPr>
      </w:pPr>
      <w:r>
        <w:rPr>
          <w:spacing w:val="-3"/>
        </w:rPr>
        <w:t>- - - - - - - - - - - - - - - - - - - - -</w:t>
      </w:r>
    </w:p>
    <w:p w14:paraId="6EC4C7A4" w14:textId="77777777" w:rsidR="005E2342" w:rsidRDefault="005E2342">
      <w:pPr>
        <w:suppressAutoHyphens/>
        <w:jc w:val="center"/>
        <w:rPr>
          <w:spacing w:val="-3"/>
        </w:rPr>
      </w:pPr>
    </w:p>
    <w:p w14:paraId="0E2BD8DD" w14:textId="69B349F0" w:rsidR="005E2342" w:rsidRDefault="00672A9A">
      <w:pPr>
        <w:suppressAutoHyphens/>
        <w:jc w:val="center"/>
        <w:rPr>
          <w:b/>
          <w:spacing w:val="-3"/>
        </w:rPr>
      </w:pPr>
      <w:proofErr w:type="spellStart"/>
      <w:r>
        <w:rPr>
          <w:b/>
          <w:spacing w:val="-3"/>
        </w:rPr>
        <w:t>Muthupandi</w:t>
      </w:r>
      <w:proofErr w:type="spellEnd"/>
      <w:r>
        <w:rPr>
          <w:b/>
          <w:spacing w:val="-3"/>
        </w:rPr>
        <w:t xml:space="preserve"> Ganesan </w:t>
      </w:r>
      <w:r w:rsidR="005E2342">
        <w:rPr>
          <w:bCs/>
          <w:spacing w:val="-3"/>
        </w:rPr>
        <w:t>(instructed by</w:t>
      </w:r>
      <w:r w:rsidR="00A56676">
        <w:rPr>
          <w:b/>
          <w:spacing w:val="-3"/>
        </w:rPr>
        <w:t xml:space="preserve"> </w:t>
      </w:r>
      <w:proofErr w:type="spellStart"/>
      <w:r w:rsidR="00A56676">
        <w:rPr>
          <w:b/>
          <w:spacing w:val="-3"/>
        </w:rPr>
        <w:t>Mordi</w:t>
      </w:r>
      <w:proofErr w:type="spellEnd"/>
      <w:r w:rsidR="00A56676">
        <w:rPr>
          <w:b/>
          <w:spacing w:val="-3"/>
        </w:rPr>
        <w:t xml:space="preserve"> &amp; Co</w:t>
      </w:r>
      <w:r w:rsidR="005E2342">
        <w:rPr>
          <w:bCs/>
          <w:spacing w:val="-3"/>
        </w:rPr>
        <w:t>) for the</w:t>
      </w:r>
      <w:r w:rsidR="005E2342">
        <w:rPr>
          <w:spacing w:val="-3"/>
        </w:rPr>
        <w:t xml:space="preserve"> </w:t>
      </w:r>
      <w:r>
        <w:rPr>
          <w:b/>
          <w:bCs/>
          <w:spacing w:val="-3"/>
        </w:rPr>
        <w:t>Applicant</w:t>
      </w:r>
    </w:p>
    <w:p w14:paraId="432B5A8C" w14:textId="4728CEF8" w:rsidR="005E2342" w:rsidRDefault="00672A9A">
      <w:pPr>
        <w:suppressAutoHyphens/>
        <w:jc w:val="center"/>
        <w:rPr>
          <w:bCs/>
          <w:spacing w:val="-3"/>
        </w:rPr>
      </w:pPr>
      <w:r>
        <w:rPr>
          <w:b/>
          <w:spacing w:val="-3"/>
        </w:rPr>
        <w:t>James Stansfeld and Robbie Stern</w:t>
      </w:r>
      <w:r w:rsidR="005E2342">
        <w:rPr>
          <w:bCs/>
          <w:spacing w:val="-3"/>
        </w:rPr>
        <w:t xml:space="preserve"> (instructed by</w:t>
      </w:r>
      <w:r>
        <w:rPr>
          <w:bCs/>
          <w:spacing w:val="-3"/>
        </w:rPr>
        <w:t xml:space="preserve"> </w:t>
      </w:r>
      <w:r>
        <w:rPr>
          <w:b/>
          <w:spacing w:val="-3"/>
        </w:rPr>
        <w:t>CPS</w:t>
      </w:r>
      <w:r w:rsidR="005E2342">
        <w:rPr>
          <w:bCs/>
          <w:spacing w:val="-3"/>
        </w:rPr>
        <w:t xml:space="preserve">) for the </w:t>
      </w:r>
      <w:r>
        <w:rPr>
          <w:b/>
          <w:spacing w:val="-3"/>
        </w:rPr>
        <w:t>Respondent</w:t>
      </w:r>
    </w:p>
    <w:p w14:paraId="713D728A" w14:textId="77777777" w:rsidR="005E2342" w:rsidRDefault="005E2342">
      <w:pPr>
        <w:suppressAutoHyphens/>
        <w:jc w:val="center"/>
        <w:rPr>
          <w:b/>
          <w:spacing w:val="-3"/>
        </w:rPr>
      </w:pPr>
    </w:p>
    <w:p w14:paraId="5D60157D" w14:textId="6561E2BC" w:rsidR="005E2342" w:rsidRDefault="005E2342">
      <w:pPr>
        <w:suppressAutoHyphens/>
        <w:jc w:val="center"/>
        <w:rPr>
          <w:spacing w:val="-3"/>
        </w:rPr>
      </w:pPr>
      <w:r>
        <w:rPr>
          <w:spacing w:val="-3"/>
        </w:rPr>
        <w:t xml:space="preserve">Hearing dates: </w:t>
      </w:r>
      <w:r w:rsidR="00672A9A" w:rsidRPr="00672A9A">
        <w:rPr>
          <w:b/>
          <w:bCs/>
          <w:spacing w:val="-3"/>
        </w:rPr>
        <w:t>22 November 2022</w:t>
      </w:r>
    </w:p>
    <w:p w14:paraId="4A2531E7" w14:textId="77777777" w:rsidR="005E2342" w:rsidRDefault="005E2342">
      <w:pPr>
        <w:suppressAutoHyphens/>
        <w:jc w:val="center"/>
        <w:rPr>
          <w:spacing w:val="-3"/>
        </w:rPr>
      </w:pPr>
      <w:r>
        <w:rPr>
          <w:spacing w:val="-3"/>
        </w:rPr>
        <w:t>- - - - - - - - - - - - - - - - - - - - -</w:t>
      </w:r>
    </w:p>
    <w:p w14:paraId="0FF84E6D" w14:textId="36C6B6C3" w:rsidR="005E2342" w:rsidRDefault="00050581" w:rsidP="00050581">
      <w:pPr>
        <w:pStyle w:val="CoverDesc"/>
      </w:pPr>
      <w:r>
        <w:t>Approved Judgment</w:t>
      </w:r>
    </w:p>
    <w:p w14:paraId="6F19B227" w14:textId="77777777" w:rsidR="00050581" w:rsidRDefault="00050581" w:rsidP="00050581">
      <w:pPr>
        <w:jc w:val="center"/>
      </w:pPr>
      <w:r>
        <w:t xml:space="preserve"> </w:t>
      </w:r>
    </w:p>
    <w:p w14:paraId="3A5E9917" w14:textId="1C853AC9" w:rsidR="00050581" w:rsidRDefault="00050581" w:rsidP="00050581">
      <w:pPr>
        <w:jc w:val="center"/>
      </w:pPr>
      <w:r>
        <w:t xml:space="preserve">This judgment was handed down remotely at 10.30am on </w:t>
      </w:r>
      <w:r w:rsidR="003C3191">
        <w:t>14 December 2022</w:t>
      </w:r>
      <w:r>
        <w:t xml:space="preserve"> by circulation to the parties or their representatives by e-mail and by release to the National Archives.</w:t>
      </w:r>
    </w:p>
    <w:p w14:paraId="2CA5B6CC" w14:textId="77777777" w:rsidR="00050581" w:rsidRDefault="00050581" w:rsidP="00050581">
      <w:pPr>
        <w:jc w:val="center"/>
      </w:pPr>
    </w:p>
    <w:p w14:paraId="171191F7" w14:textId="77777777" w:rsidR="00050581" w:rsidRDefault="00050581" w:rsidP="00050581">
      <w:pPr>
        <w:jc w:val="center"/>
      </w:pPr>
      <w:r>
        <w:t>.............................</w:t>
      </w:r>
    </w:p>
    <w:p w14:paraId="2530E85F" w14:textId="77777777" w:rsidR="00050581" w:rsidRDefault="00050581" w:rsidP="00050581">
      <w:pPr>
        <w:jc w:val="center"/>
      </w:pPr>
    </w:p>
    <w:p w14:paraId="005E39D3" w14:textId="18197F2F" w:rsidR="00050581" w:rsidRPr="00050581" w:rsidRDefault="00050581" w:rsidP="00050581">
      <w:pPr>
        <w:jc w:val="center"/>
      </w:pPr>
    </w:p>
    <w:p w14:paraId="43E56777" w14:textId="77777777" w:rsidR="005E2342" w:rsidRDefault="005E2342">
      <w:pPr>
        <w:pStyle w:val="CoverDesc"/>
        <w:rPr>
          <w:sz w:val="24"/>
        </w:rPr>
      </w:pPr>
    </w:p>
    <w:p w14:paraId="09188D8D" w14:textId="77777777" w:rsidR="005E2342" w:rsidRDefault="005E2342" w:rsidP="00672A9A"/>
    <w:p w14:paraId="0DFB05AF" w14:textId="77777777" w:rsidR="005E2342" w:rsidRDefault="005E2342" w:rsidP="00672A9A">
      <w:pPr>
        <w:sectPr w:rsidR="005E2342">
          <w:footerReference w:type="default" r:id="rId8"/>
          <w:pgSz w:w="11909" w:h="16834" w:code="9"/>
          <w:pgMar w:top="720" w:right="1440" w:bottom="720" w:left="1440" w:header="720" w:footer="720" w:gutter="0"/>
          <w:pgNumType w:start="1"/>
          <w:cols w:space="720"/>
        </w:sectPr>
      </w:pPr>
    </w:p>
    <w:p w14:paraId="7215CB89" w14:textId="71BD6F9B" w:rsidR="005E2342" w:rsidRDefault="00672A9A" w:rsidP="00672A9A">
      <w:r>
        <w:rPr>
          <w:b/>
        </w:rPr>
        <w:lastRenderedPageBreak/>
        <w:t>Mr Justice Julian Knowles</w:t>
      </w:r>
      <w:r w:rsidR="005E2342">
        <w:rPr>
          <w:b/>
        </w:rPr>
        <w:t>:</w:t>
      </w:r>
      <w:r w:rsidR="005E2342">
        <w:t xml:space="preserve"> </w:t>
      </w:r>
    </w:p>
    <w:p w14:paraId="0B6F8EB7" w14:textId="77777777" w:rsidR="00672A9A" w:rsidRDefault="00672A9A" w:rsidP="00672A9A"/>
    <w:p w14:paraId="64677672" w14:textId="5543B34F" w:rsidR="00672A9A" w:rsidRPr="00672A9A" w:rsidRDefault="00672A9A" w:rsidP="00672A9A">
      <w:pPr>
        <w:rPr>
          <w:b/>
          <w:bCs/>
        </w:rPr>
      </w:pPr>
      <w:r w:rsidRPr="00672A9A">
        <w:rPr>
          <w:b/>
          <w:bCs/>
        </w:rPr>
        <w:t xml:space="preserve">Introduction </w:t>
      </w:r>
    </w:p>
    <w:p w14:paraId="492E331E" w14:textId="77777777" w:rsidR="005E2342" w:rsidRDefault="005E2342" w:rsidP="00672A9A">
      <w:pPr>
        <w:pStyle w:val="ParaHeading"/>
        <w:spacing w:before="0" w:after="0"/>
        <w:sectPr w:rsidR="005E2342">
          <w:headerReference w:type="default" r:id="rId9"/>
          <w:footerReference w:type="default" r:id="rId10"/>
          <w:pgSz w:w="11909" w:h="16834" w:code="9"/>
          <w:pgMar w:top="1440" w:right="1440" w:bottom="1440" w:left="1440" w:header="709" w:footer="709" w:gutter="0"/>
          <w:cols w:space="720"/>
          <w:formProt w:val="0"/>
        </w:sectPr>
      </w:pPr>
    </w:p>
    <w:p w14:paraId="340ADDDA" w14:textId="77777777" w:rsidR="00672A9A" w:rsidRPr="0070423F" w:rsidRDefault="00672A9A" w:rsidP="00050581">
      <w:pPr>
        <w:pStyle w:val="ParaLevel1"/>
        <w:numPr>
          <w:ilvl w:val="0"/>
          <w:numId w:val="0"/>
        </w:numPr>
        <w:spacing w:before="0" w:after="0"/>
        <w:ind w:left="720"/>
        <w:rPr>
          <w:szCs w:val="24"/>
        </w:rPr>
      </w:pPr>
    </w:p>
    <w:p w14:paraId="0C6BD28E" w14:textId="6853D655" w:rsidR="005E2342" w:rsidRDefault="00672A9A" w:rsidP="00050581">
      <w:pPr>
        <w:pStyle w:val="ParaLevel1"/>
        <w:spacing w:before="0" w:after="0"/>
        <w:rPr>
          <w:szCs w:val="24"/>
        </w:rPr>
      </w:pPr>
      <w:r w:rsidRPr="0070423F">
        <w:rPr>
          <w:szCs w:val="24"/>
        </w:rPr>
        <w:t>This is an application to re-open an extradition appeal, pursuant to Crim PR r 50.27.  This provides:</w:t>
      </w:r>
    </w:p>
    <w:p w14:paraId="73527143" w14:textId="60865986" w:rsidR="000E70D3" w:rsidRDefault="000E70D3" w:rsidP="00050581">
      <w:pPr>
        <w:pStyle w:val="ParaLevel1"/>
        <w:numPr>
          <w:ilvl w:val="0"/>
          <w:numId w:val="0"/>
        </w:numPr>
        <w:spacing w:before="0" w:after="0"/>
        <w:ind w:left="720"/>
        <w:rPr>
          <w:szCs w:val="24"/>
        </w:rPr>
      </w:pPr>
    </w:p>
    <w:p w14:paraId="3CEC10D6" w14:textId="77777777" w:rsidR="000E70D3" w:rsidRPr="0070423F" w:rsidRDefault="000E70D3" w:rsidP="00050581">
      <w:pPr>
        <w:pStyle w:val="N1legal"/>
        <w:spacing w:before="0" w:line="240" w:lineRule="auto"/>
        <w:ind w:left="1701" w:right="938" w:firstLine="0"/>
        <w:rPr>
          <w:sz w:val="24"/>
          <w:szCs w:val="24"/>
        </w:rPr>
      </w:pPr>
      <w:r w:rsidRPr="0070423F">
        <w:rPr>
          <w:sz w:val="24"/>
          <w:szCs w:val="24"/>
        </w:rPr>
        <w:t>“</w:t>
      </w:r>
      <w:r w:rsidRPr="0070423F">
        <w:rPr>
          <w:bCs/>
          <w:sz w:val="24"/>
          <w:szCs w:val="24"/>
        </w:rPr>
        <w:fldChar w:fldCharType="begin"/>
      </w:r>
      <w:r w:rsidRPr="0070423F">
        <w:rPr>
          <w:bCs/>
          <w:sz w:val="24"/>
          <w:szCs w:val="24"/>
        </w:rPr>
        <w:instrText xml:space="preserve"> LISTNUM LegalDefault \l 2 </w:instrText>
      </w:r>
      <w:r w:rsidRPr="0070423F">
        <w:rPr>
          <w:bCs/>
          <w:sz w:val="24"/>
          <w:szCs w:val="24"/>
        </w:rPr>
        <w:fldChar w:fldCharType="end"/>
      </w:r>
      <w:r w:rsidRPr="0070423F">
        <w:rPr>
          <w:sz w:val="24"/>
          <w:szCs w:val="24"/>
        </w:rPr>
        <w:t>—</w:t>
      </w:r>
      <w:r w:rsidRPr="0070423F">
        <w:rPr>
          <w:sz w:val="24"/>
          <w:szCs w:val="24"/>
        </w:rPr>
        <w:fldChar w:fldCharType="begin"/>
      </w:r>
      <w:r w:rsidRPr="0070423F">
        <w:rPr>
          <w:sz w:val="24"/>
          <w:szCs w:val="24"/>
        </w:rPr>
        <w:instrText xml:space="preserve"> LISTNUM "SEQ1" \l 2 \s 1 </w:instrText>
      </w:r>
      <w:r w:rsidRPr="0070423F">
        <w:rPr>
          <w:sz w:val="24"/>
          <w:szCs w:val="24"/>
        </w:rPr>
        <w:fldChar w:fldCharType="end"/>
      </w:r>
      <w:r w:rsidRPr="0070423F">
        <w:rPr>
          <w:sz w:val="24"/>
          <w:szCs w:val="24"/>
        </w:rPr>
        <w:t> This rule applies where a party wants the High Court to reopen a decision of that court which determines an appeal or an application for permission to appeal.</w:t>
      </w:r>
    </w:p>
    <w:p w14:paraId="474EC70C" w14:textId="77777777" w:rsidR="000E70D3" w:rsidRPr="0070423F" w:rsidRDefault="000E70D3" w:rsidP="00050581">
      <w:pPr>
        <w:pStyle w:val="N2"/>
        <w:spacing w:line="240" w:lineRule="auto"/>
        <w:ind w:left="1701" w:right="938" w:firstLine="0"/>
        <w:rPr>
          <w:sz w:val="24"/>
          <w:szCs w:val="24"/>
        </w:rPr>
      </w:pPr>
      <w:r w:rsidRPr="0070423F">
        <w:rPr>
          <w:sz w:val="24"/>
          <w:szCs w:val="24"/>
        </w:rPr>
        <w:t>Such a party must—</w:t>
      </w:r>
    </w:p>
    <w:p w14:paraId="3436E104" w14:textId="77777777" w:rsidR="000E70D3" w:rsidRPr="0070423F" w:rsidRDefault="000E70D3" w:rsidP="00050581">
      <w:pPr>
        <w:pStyle w:val="N3"/>
        <w:spacing w:line="240" w:lineRule="auto"/>
        <w:ind w:left="1701" w:right="938" w:firstLine="0"/>
        <w:rPr>
          <w:sz w:val="24"/>
          <w:szCs w:val="24"/>
        </w:rPr>
      </w:pPr>
      <w:r w:rsidRPr="0070423F">
        <w:rPr>
          <w:sz w:val="24"/>
          <w:szCs w:val="24"/>
        </w:rPr>
        <w:t>apply in writing for permission to reopen that decision, as soon as practicable after becoming aware of the grounds for doing so; and</w:t>
      </w:r>
    </w:p>
    <w:p w14:paraId="38631F22" w14:textId="77777777" w:rsidR="000E70D3" w:rsidRPr="0070423F" w:rsidRDefault="000E70D3" w:rsidP="00050581">
      <w:pPr>
        <w:pStyle w:val="N3"/>
        <w:spacing w:line="240" w:lineRule="auto"/>
        <w:ind w:left="1701" w:right="938" w:firstLine="0"/>
        <w:rPr>
          <w:sz w:val="24"/>
          <w:szCs w:val="24"/>
        </w:rPr>
      </w:pPr>
      <w:r w:rsidRPr="0070423F">
        <w:rPr>
          <w:sz w:val="24"/>
          <w:szCs w:val="24"/>
        </w:rPr>
        <w:t>serve the application on the High Court officer and every other party.</w:t>
      </w:r>
    </w:p>
    <w:p w14:paraId="4DAE3C88" w14:textId="77777777" w:rsidR="000E70D3" w:rsidRPr="0070423F" w:rsidRDefault="000E70D3" w:rsidP="00050581">
      <w:pPr>
        <w:pStyle w:val="N2"/>
        <w:spacing w:line="240" w:lineRule="auto"/>
        <w:ind w:left="1701" w:right="938" w:firstLine="0"/>
        <w:rPr>
          <w:sz w:val="24"/>
          <w:szCs w:val="24"/>
        </w:rPr>
      </w:pPr>
      <w:r w:rsidRPr="0070423F">
        <w:rPr>
          <w:sz w:val="24"/>
          <w:szCs w:val="24"/>
        </w:rPr>
        <w:t>The application must—</w:t>
      </w:r>
    </w:p>
    <w:p w14:paraId="30551DCD" w14:textId="77777777" w:rsidR="000E70D3" w:rsidRPr="0070423F" w:rsidRDefault="000E70D3" w:rsidP="00050581">
      <w:pPr>
        <w:pStyle w:val="N3"/>
        <w:spacing w:line="240" w:lineRule="auto"/>
        <w:ind w:left="1701" w:right="938" w:firstLine="0"/>
        <w:rPr>
          <w:sz w:val="24"/>
          <w:szCs w:val="24"/>
        </w:rPr>
      </w:pPr>
      <w:r w:rsidRPr="0070423F">
        <w:rPr>
          <w:sz w:val="24"/>
          <w:szCs w:val="24"/>
        </w:rPr>
        <w:t>specify the decision which the applicant wants the court to reopen; and</w:t>
      </w:r>
    </w:p>
    <w:p w14:paraId="4C6506A2" w14:textId="77777777" w:rsidR="000E70D3" w:rsidRPr="0070423F" w:rsidRDefault="000E70D3" w:rsidP="00050581">
      <w:pPr>
        <w:pStyle w:val="N3"/>
        <w:spacing w:line="240" w:lineRule="auto"/>
        <w:ind w:left="1701" w:right="938" w:firstLine="0"/>
        <w:rPr>
          <w:sz w:val="24"/>
          <w:szCs w:val="24"/>
        </w:rPr>
      </w:pPr>
      <w:r w:rsidRPr="0070423F">
        <w:rPr>
          <w:sz w:val="24"/>
          <w:szCs w:val="24"/>
        </w:rPr>
        <w:t>give reasons why—</w:t>
      </w:r>
    </w:p>
    <w:p w14:paraId="5ABC416D" w14:textId="77777777" w:rsidR="000E70D3" w:rsidRPr="0070423F" w:rsidRDefault="000E70D3" w:rsidP="00050581">
      <w:pPr>
        <w:pStyle w:val="N4"/>
        <w:numPr>
          <w:ilvl w:val="0"/>
          <w:numId w:val="0"/>
        </w:numPr>
        <w:spacing w:line="240" w:lineRule="auto"/>
        <w:ind w:left="1701" w:right="938"/>
        <w:rPr>
          <w:sz w:val="24"/>
          <w:szCs w:val="24"/>
        </w:rPr>
      </w:pPr>
      <w:r w:rsidRPr="0070423F">
        <w:rPr>
          <w:sz w:val="24"/>
          <w:szCs w:val="24"/>
        </w:rPr>
        <w:t xml:space="preserve">(i) it is necessary for the court to reopen that decision </w:t>
      </w:r>
      <w:proofErr w:type="gramStart"/>
      <w:r w:rsidRPr="0070423F">
        <w:rPr>
          <w:sz w:val="24"/>
          <w:szCs w:val="24"/>
        </w:rPr>
        <w:t>in order to</w:t>
      </w:r>
      <w:proofErr w:type="gramEnd"/>
      <w:r w:rsidRPr="0070423F">
        <w:rPr>
          <w:sz w:val="24"/>
          <w:szCs w:val="24"/>
        </w:rPr>
        <w:t xml:space="preserve"> avoid real injustice,</w:t>
      </w:r>
    </w:p>
    <w:p w14:paraId="0326E4DE" w14:textId="77777777" w:rsidR="000E70D3" w:rsidRPr="0070423F" w:rsidRDefault="000E70D3" w:rsidP="00050581">
      <w:pPr>
        <w:pStyle w:val="N4"/>
        <w:numPr>
          <w:ilvl w:val="0"/>
          <w:numId w:val="0"/>
        </w:numPr>
        <w:spacing w:line="240" w:lineRule="auto"/>
        <w:ind w:left="1701" w:right="938"/>
        <w:rPr>
          <w:sz w:val="24"/>
          <w:szCs w:val="24"/>
        </w:rPr>
      </w:pPr>
      <w:r w:rsidRPr="0070423F">
        <w:rPr>
          <w:sz w:val="24"/>
          <w:szCs w:val="24"/>
        </w:rPr>
        <w:t>(ii) the circumstances are exceptional and make it appropriate to reopen the decision, and</w:t>
      </w:r>
    </w:p>
    <w:p w14:paraId="0626CC34" w14:textId="77777777" w:rsidR="000E70D3" w:rsidRDefault="000E70D3" w:rsidP="00050581">
      <w:pPr>
        <w:pStyle w:val="N4"/>
        <w:numPr>
          <w:ilvl w:val="0"/>
          <w:numId w:val="0"/>
        </w:numPr>
        <w:spacing w:line="240" w:lineRule="auto"/>
        <w:ind w:left="1701" w:right="938"/>
        <w:rPr>
          <w:sz w:val="24"/>
          <w:szCs w:val="24"/>
        </w:rPr>
      </w:pPr>
      <w:r w:rsidRPr="0070423F">
        <w:rPr>
          <w:sz w:val="24"/>
          <w:szCs w:val="24"/>
        </w:rPr>
        <w:t>(iii) there is no alternative effective remedy.</w:t>
      </w:r>
    </w:p>
    <w:p w14:paraId="1974992C" w14:textId="77777777" w:rsidR="000E70D3" w:rsidRPr="0070423F" w:rsidRDefault="000E70D3" w:rsidP="00050581">
      <w:pPr>
        <w:pStyle w:val="N4"/>
        <w:numPr>
          <w:ilvl w:val="0"/>
          <w:numId w:val="0"/>
        </w:numPr>
        <w:spacing w:line="240" w:lineRule="auto"/>
        <w:ind w:left="1701" w:right="938"/>
        <w:rPr>
          <w:sz w:val="24"/>
          <w:szCs w:val="24"/>
        </w:rPr>
      </w:pPr>
    </w:p>
    <w:p w14:paraId="1A356145" w14:textId="03137CDC" w:rsidR="000E70D3" w:rsidRPr="000E70D3" w:rsidRDefault="000E70D3" w:rsidP="00050581">
      <w:pPr>
        <w:pStyle w:val="N2"/>
        <w:spacing w:before="0" w:line="240" w:lineRule="auto"/>
        <w:ind w:left="1701" w:right="938" w:firstLine="0"/>
        <w:rPr>
          <w:sz w:val="24"/>
          <w:szCs w:val="24"/>
        </w:rPr>
      </w:pPr>
      <w:r w:rsidRPr="0070423F">
        <w:rPr>
          <w:sz w:val="24"/>
          <w:szCs w:val="24"/>
        </w:rPr>
        <w:t>The court must not give permission to reopen a decision unless each other party has had an opportunity to make representations.”</w:t>
      </w:r>
    </w:p>
    <w:p w14:paraId="6179E02C" w14:textId="4F121871" w:rsidR="005C7B88" w:rsidRDefault="000E70D3" w:rsidP="00050581">
      <w:pPr>
        <w:pStyle w:val="ParaLevel1"/>
      </w:pPr>
      <w:r w:rsidRPr="0070423F">
        <w:t>This case has a lengthy history.  The Applicant’s extradition to Greece was ordered as long ago as</w:t>
      </w:r>
      <w:r>
        <w:t xml:space="preserve"> 2012.  Since </w:t>
      </w:r>
      <w:proofErr w:type="gramStart"/>
      <w:r>
        <w:t>then</w:t>
      </w:r>
      <w:proofErr w:type="gramEnd"/>
      <w:r>
        <w:t xml:space="preserve"> there have been two </w:t>
      </w:r>
      <w:r w:rsidR="009D24AD">
        <w:t xml:space="preserve">substantive </w:t>
      </w:r>
      <w:r>
        <w:t>hearings in the Divisional Court (in 2014</w:t>
      </w:r>
      <w:r w:rsidR="00875066">
        <w:t xml:space="preserve"> (Rafferty LJ and Underhill LJ)</w:t>
      </w:r>
      <w:r>
        <w:t xml:space="preserve"> and 2015</w:t>
      </w:r>
      <w:r w:rsidR="00875066">
        <w:t xml:space="preserve"> (Aikens LJ and Nicol J), reported a</w:t>
      </w:r>
      <w:r w:rsidR="004E0721">
        <w:t xml:space="preserve">t </w:t>
      </w:r>
      <w:r w:rsidR="004E0721" w:rsidRPr="004E0721">
        <w:t xml:space="preserve">[2014] </w:t>
      </w:r>
      <w:proofErr w:type="spellStart"/>
      <w:r w:rsidR="004E0721" w:rsidRPr="004E0721">
        <w:t>EWHC</w:t>
      </w:r>
      <w:proofErr w:type="spellEnd"/>
      <w:r w:rsidR="004E0721" w:rsidRPr="004E0721">
        <w:t xml:space="preserve"> 2372 (Admin)</w:t>
      </w:r>
      <w:r w:rsidR="004E0721">
        <w:t xml:space="preserve"> and</w:t>
      </w:r>
      <w:r w:rsidR="00875066">
        <w:t xml:space="preserve"> </w:t>
      </w:r>
      <w:r w:rsidR="00875066" w:rsidRPr="00875066">
        <w:t xml:space="preserve">[2015] </w:t>
      </w:r>
      <w:proofErr w:type="spellStart"/>
      <w:r w:rsidR="00875066" w:rsidRPr="00875066">
        <w:t>EWHC</w:t>
      </w:r>
      <w:proofErr w:type="spellEnd"/>
      <w:r w:rsidR="00875066" w:rsidRPr="00875066">
        <w:t xml:space="preserve"> 547 (Admin)</w:t>
      </w:r>
      <w:r w:rsidR="00BF26B2">
        <w:t xml:space="preserve"> respectively</w:t>
      </w:r>
      <w:r>
        <w:t>), and one application to re-open the appeal in 2019</w:t>
      </w:r>
      <w:r w:rsidR="004E0721">
        <w:t>, which was refused on the papers by Nicol J</w:t>
      </w:r>
      <w:r>
        <w:t>.</w:t>
      </w:r>
      <w:r w:rsidR="00905BBF">
        <w:t xml:space="preserve">  </w:t>
      </w:r>
      <w:r w:rsidR="005C7B88">
        <w:t xml:space="preserve">  This is therefore the second application to re-open the extradition appeal. </w:t>
      </w:r>
      <w:r w:rsidR="00275A97">
        <w:t xml:space="preserve"> </w:t>
      </w:r>
    </w:p>
    <w:p w14:paraId="38499FDB" w14:textId="5E00D861" w:rsidR="00B44599" w:rsidRDefault="00275A97" w:rsidP="00050581">
      <w:pPr>
        <w:pStyle w:val="ParaLevel1"/>
      </w:pPr>
      <w:r>
        <w:t xml:space="preserve">I </w:t>
      </w:r>
      <w:r w:rsidR="007F00C9">
        <w:t xml:space="preserve">will refer to the two Divisional Court judgments as ‘the First Judgment’ and ‘the Second Judgment’ respectively. </w:t>
      </w:r>
    </w:p>
    <w:p w14:paraId="53FF7971" w14:textId="13C7CAA8" w:rsidR="006133D4" w:rsidRDefault="006133D4" w:rsidP="00050581">
      <w:pPr>
        <w:pStyle w:val="ParaLevel1"/>
      </w:pPr>
      <w:r>
        <w:t>For the full history of the extradition proceedings</w:t>
      </w:r>
      <w:r w:rsidR="00CC2D67">
        <w:t xml:space="preserve"> up until </w:t>
      </w:r>
      <w:r w:rsidR="008B0AC2">
        <w:t>March 2015 (when the Second Judgment was handed down)</w:t>
      </w:r>
      <w:r>
        <w:t xml:space="preserve">, </w:t>
      </w:r>
      <w:r w:rsidR="007004B5">
        <w:t xml:space="preserve">including the numerous delays and interlocutory hearings, </w:t>
      </w:r>
      <w:r>
        <w:t>the reader is referred to th</w:t>
      </w:r>
      <w:r w:rsidR="00D12DBD">
        <w:t>o</w:t>
      </w:r>
      <w:r>
        <w:t>se two decisions.</w:t>
      </w:r>
    </w:p>
    <w:p w14:paraId="64954CC1" w14:textId="5BD76D9C" w:rsidR="008E0824" w:rsidRDefault="00905BBF" w:rsidP="00050581">
      <w:pPr>
        <w:pStyle w:val="ParaLevel1"/>
      </w:pPr>
      <w:r>
        <w:t xml:space="preserve">There have also been parallel asylum proceedings.  Asylum was refused by the Secretary of State, and the Applicant’s appeal to the First-tier Tribunal was refused, as was an appeal to the Upper Tribunal.  There is currently an application for permission </w:t>
      </w:r>
      <w:r>
        <w:lastRenderedPageBreak/>
        <w:t>to appeal</w:t>
      </w:r>
      <w:r w:rsidR="008E0824">
        <w:t xml:space="preserve"> to the Court of Appeal</w:t>
      </w:r>
      <w:r>
        <w:t xml:space="preserve"> </w:t>
      </w:r>
      <w:r w:rsidR="008E0824">
        <w:t>before that Tribunal</w:t>
      </w:r>
      <w:r w:rsidR="00B44599">
        <w:t>,</w:t>
      </w:r>
      <w:r w:rsidR="009D53F1">
        <w:t xml:space="preserve"> which was lodged earlier this month</w:t>
      </w:r>
      <w:r w:rsidR="00BB4FDB">
        <w:t>.</w:t>
      </w:r>
    </w:p>
    <w:p w14:paraId="0208DD94" w14:textId="77777777" w:rsidR="007A38E9" w:rsidRDefault="00CB2887" w:rsidP="00050581">
      <w:pPr>
        <w:pStyle w:val="ParaLevel1"/>
      </w:pPr>
      <w:r>
        <w:t>The App</w:t>
      </w:r>
      <w:r w:rsidR="009911CB">
        <w:t xml:space="preserve">licant </w:t>
      </w:r>
      <w:r>
        <w:t>was</w:t>
      </w:r>
      <w:r w:rsidR="00A20406">
        <w:t>,</w:t>
      </w:r>
      <w:r>
        <w:t xml:space="preserve"> until her dismissal for misconduct in July 2005</w:t>
      </w:r>
      <w:r w:rsidR="00A20406">
        <w:t>,</w:t>
      </w:r>
      <w:r>
        <w:t xml:space="preserve"> a </w:t>
      </w:r>
      <w:r w:rsidR="00A20406">
        <w:t>j</w:t>
      </w:r>
      <w:r>
        <w:t>udge of the First Instance Court in Athens. A few days before her dismissal she came to this country and settled under a false identity. She was arrested at her home in Sussex on 15 May 2011.</w:t>
      </w:r>
      <w:r w:rsidR="004E7F9D">
        <w:t xml:space="preserve"> </w:t>
      </w:r>
    </w:p>
    <w:p w14:paraId="7B39FD57" w14:textId="7334E083" w:rsidR="00963F01" w:rsidRDefault="009911CB" w:rsidP="00050581">
      <w:pPr>
        <w:pStyle w:val="ParaLevel1"/>
      </w:pPr>
      <w:r>
        <w:t xml:space="preserve">Taking matters shortly, the Applicant’s extradition was originally </w:t>
      </w:r>
      <w:bookmarkStart w:id="0" w:name="para1"/>
      <w:r>
        <w:t>concerned with five European arrest warrants (</w:t>
      </w:r>
      <w:proofErr w:type="spellStart"/>
      <w:r>
        <w:t>EAWs</w:t>
      </w:r>
      <w:proofErr w:type="spellEnd"/>
      <w:r>
        <w:t xml:space="preserve">) issued by the Greek judicial authorities (being the public prosecutors in Athens and Piraeus). </w:t>
      </w:r>
      <w:bookmarkEnd w:id="0"/>
      <w:r w:rsidR="004E7F9D">
        <w:t xml:space="preserve"> </w:t>
      </w:r>
      <w:proofErr w:type="spellStart"/>
      <w:r w:rsidR="00C8491D">
        <w:t>EAWs</w:t>
      </w:r>
      <w:proofErr w:type="spellEnd"/>
      <w:r w:rsidR="00C8491D">
        <w:t xml:space="preserve"> 1-</w:t>
      </w:r>
      <w:proofErr w:type="gramStart"/>
      <w:r w:rsidR="00C8491D">
        <w:t xml:space="preserve">4 </w:t>
      </w:r>
      <w:r w:rsidR="00963F01" w:rsidRPr="00863F17">
        <w:t xml:space="preserve"> relat</w:t>
      </w:r>
      <w:r w:rsidR="00C8491D">
        <w:t>ed</w:t>
      </w:r>
      <w:proofErr w:type="gramEnd"/>
      <w:r w:rsidR="00963F01" w:rsidRPr="00863F17">
        <w:t xml:space="preserve"> to alleged misconduct in the Applicant’s role as a judge, for which she was sentenced in her absence to varying terms of imprisonment. EAW5 contained accusation and conviction elements, relating</w:t>
      </w:r>
      <w:r w:rsidR="00C81D35">
        <w:t xml:space="preserve"> to</w:t>
      </w:r>
      <w:r w:rsidR="00963F01" w:rsidRPr="00863F17">
        <w:t xml:space="preserve"> a series of offences over the period 2000–2004</w:t>
      </w:r>
      <w:r w:rsidR="00E64929">
        <w:t>,</w:t>
      </w:r>
      <w:r w:rsidR="00963F01" w:rsidRPr="00863F17">
        <w:t xml:space="preserve"> in which the Applicant was said to have corruptly abused her position as a judge and otherwise acted improperly. </w:t>
      </w:r>
    </w:p>
    <w:p w14:paraId="095EBC5A" w14:textId="30781ADB" w:rsidR="002C0808" w:rsidRDefault="00C8491D" w:rsidP="00050581">
      <w:pPr>
        <w:pStyle w:val="ParaLevel1"/>
      </w:pPr>
      <w:r>
        <w:t xml:space="preserve">Extradition was ordered by District Judge Purdy at </w:t>
      </w:r>
      <w:r w:rsidR="00963F01" w:rsidRPr="00C8491D">
        <w:t>Westminster Magistrates’ Court on 16 January 2012</w:t>
      </w:r>
      <w:r w:rsidR="00671872">
        <w:t>.</w:t>
      </w:r>
      <w:r w:rsidR="00963F01" w:rsidRPr="00C8491D">
        <w:t xml:space="preserve"> </w:t>
      </w:r>
    </w:p>
    <w:p w14:paraId="45F7A49D" w14:textId="77777777" w:rsidR="005B59B7" w:rsidRDefault="00671872" w:rsidP="00050581">
      <w:pPr>
        <w:pStyle w:val="ParaLevel1"/>
      </w:pPr>
      <w:r>
        <w:t xml:space="preserve">The Applicant appealed, and </w:t>
      </w:r>
      <w:r w:rsidR="002C0808">
        <w:t xml:space="preserve">Rafferty and Underhill </w:t>
      </w:r>
      <w:proofErr w:type="spellStart"/>
      <w:r w:rsidR="002C0808">
        <w:t>LJJ</w:t>
      </w:r>
      <w:proofErr w:type="spellEnd"/>
      <w:r w:rsidR="002C0808">
        <w:t xml:space="preserve"> gave judgment </w:t>
      </w:r>
      <w:r w:rsidR="00B25800">
        <w:t>on 14 Ju</w:t>
      </w:r>
      <w:r>
        <w:t>ne</w:t>
      </w:r>
      <w:r w:rsidR="00B25800">
        <w:t xml:space="preserve"> 2014. </w:t>
      </w:r>
    </w:p>
    <w:p w14:paraId="59906949" w14:textId="77777777" w:rsidR="000910B2" w:rsidRDefault="00963F01" w:rsidP="00050581">
      <w:pPr>
        <w:pStyle w:val="ParaLevel1"/>
      </w:pPr>
      <w:r w:rsidRPr="00671872">
        <w:t>As recorded in that judgment</w:t>
      </w:r>
      <w:r w:rsidR="001143B2">
        <w:t xml:space="preserve"> at</w:t>
      </w:r>
      <w:r w:rsidRPr="00671872">
        <w:t xml:space="preserve"> </w:t>
      </w:r>
      <w:r w:rsidR="00671872">
        <w:t>[</w:t>
      </w:r>
      <w:r w:rsidRPr="00671872">
        <w:t>13</w:t>
      </w:r>
      <w:r w:rsidR="00671872">
        <w:t>]</w:t>
      </w:r>
      <w:r w:rsidRPr="00671872">
        <w:t>, during the appeal proceedings</w:t>
      </w:r>
      <w:r w:rsidR="00A450EA">
        <w:t>,</w:t>
      </w:r>
      <w:r w:rsidRPr="00671872">
        <w:t xml:space="preserve"> and shortly prior to the judgment</w:t>
      </w:r>
      <w:r w:rsidR="00A450EA">
        <w:t>,</w:t>
      </w:r>
      <w:r w:rsidRPr="00671872">
        <w:t xml:space="preserve"> the four conviction </w:t>
      </w:r>
      <w:proofErr w:type="spellStart"/>
      <w:r w:rsidRPr="00671872">
        <w:t>EAWs</w:t>
      </w:r>
      <w:proofErr w:type="spellEnd"/>
      <w:r w:rsidRPr="00671872">
        <w:t xml:space="preserve"> were withdrawn and the order of the </w:t>
      </w:r>
      <w:r w:rsidR="000D4284">
        <w:t>district judge</w:t>
      </w:r>
      <w:r w:rsidRPr="00671872">
        <w:t xml:space="preserve"> in relation to those </w:t>
      </w:r>
      <w:proofErr w:type="spellStart"/>
      <w:r w:rsidRPr="00671872">
        <w:t>EAWs</w:t>
      </w:r>
      <w:proofErr w:type="spellEnd"/>
      <w:r w:rsidRPr="00671872">
        <w:t xml:space="preserve"> was quashed. That left the Court to consider the Applicant’s appeal under EAW5 only</w:t>
      </w:r>
      <w:bookmarkStart w:id="1" w:name="_Int_Lx54pQCh"/>
      <w:r w:rsidRPr="00671872">
        <w:t xml:space="preserve">. </w:t>
      </w:r>
      <w:bookmarkEnd w:id="1"/>
    </w:p>
    <w:p w14:paraId="6FEDABE9" w14:textId="63EFF8C9" w:rsidR="000E3DC4" w:rsidRDefault="00963F01" w:rsidP="00050581">
      <w:pPr>
        <w:pStyle w:val="ParaLevel1"/>
      </w:pPr>
      <w:r w:rsidRPr="00671872">
        <w:t xml:space="preserve">The Court allowed the Applicant’s appeal against twelve </w:t>
      </w:r>
      <w:r w:rsidR="00F84085">
        <w:t>‘</w:t>
      </w:r>
      <w:r w:rsidRPr="00671872">
        <w:t>breach of duty</w:t>
      </w:r>
      <w:r w:rsidR="00F84085">
        <w:t>’</w:t>
      </w:r>
      <w:r w:rsidRPr="00671872">
        <w:t xml:space="preserve"> offences </w:t>
      </w:r>
      <w:r w:rsidR="000910B2">
        <w:t xml:space="preserve">in that warrant </w:t>
      </w:r>
      <w:r w:rsidRPr="00671872">
        <w:t>on the ground that they were not extradition offences under s</w:t>
      </w:r>
      <w:r w:rsidR="00F84085">
        <w:t xml:space="preserve"> </w:t>
      </w:r>
      <w:r w:rsidRPr="00671872">
        <w:t>10 and s</w:t>
      </w:r>
      <w:r w:rsidR="00F84085">
        <w:t xml:space="preserve"> </w:t>
      </w:r>
      <w:r w:rsidRPr="00671872">
        <w:t>65</w:t>
      </w:r>
      <w:r w:rsidR="00F84085">
        <w:t xml:space="preserve"> of the Extradition Act 2003 (</w:t>
      </w:r>
      <w:r w:rsidRPr="00671872">
        <w:t>EA 2003</w:t>
      </w:r>
      <w:r w:rsidR="00F84085">
        <w:t>)</w:t>
      </w:r>
      <w:r w:rsidRPr="00671872">
        <w:t>. The Court dismissed all the remaining grounds of appeal</w:t>
      </w:r>
      <w:r w:rsidR="00037EC9">
        <w:t>,</w:t>
      </w:r>
      <w:r w:rsidRPr="00671872">
        <w:t xml:space="preserve"> save for two</w:t>
      </w:r>
      <w:r w:rsidR="00037EC9">
        <w:t>,</w:t>
      </w:r>
      <w:r w:rsidRPr="00671872">
        <w:t xml:space="preserve"> which were left undecided: (</w:t>
      </w:r>
      <w:r w:rsidR="000D4284">
        <w:t>a</w:t>
      </w:r>
      <w:r w:rsidRPr="00671872">
        <w:t>) whether the conditions in the prison in which the Applicant would be detained were so poor</w:t>
      </w:r>
      <w:r w:rsidR="002C6669">
        <w:t>/overcrowded</w:t>
      </w:r>
      <w:r w:rsidRPr="00671872">
        <w:t xml:space="preserve"> that extradition would be contrary to her rights under Article 3 of the European Convention on Human Rights </w:t>
      </w:r>
      <w:r w:rsidR="000D4284">
        <w:t>(ECHR)</w:t>
      </w:r>
      <w:r w:rsidRPr="00671872">
        <w:t xml:space="preserve">; </w:t>
      </w:r>
      <w:r w:rsidR="002A6831">
        <w:t xml:space="preserve">and </w:t>
      </w:r>
      <w:r w:rsidRPr="00671872">
        <w:t>(</w:t>
      </w:r>
      <w:r w:rsidR="005B59B7">
        <w:t>b</w:t>
      </w:r>
      <w:r w:rsidRPr="00671872">
        <w:t xml:space="preserve">) whether (in relation to the conviction part of </w:t>
      </w:r>
      <w:proofErr w:type="spellStart"/>
      <w:r w:rsidRPr="00671872">
        <w:t>EAW</w:t>
      </w:r>
      <w:proofErr w:type="spellEnd"/>
      <w:r w:rsidRPr="00671872">
        <w:t xml:space="preserve"> 5) extradition would constitute a disproportionate interference with the Applicant’s rights under Article 8</w:t>
      </w:r>
      <w:r w:rsidR="007E1C5F">
        <w:t xml:space="preserve"> of the</w:t>
      </w:r>
      <w:r w:rsidRPr="00671872">
        <w:t xml:space="preserve"> ECHR</w:t>
      </w:r>
      <w:r w:rsidR="000D4284">
        <w:t>, having regard to the short sentence of imprisonment</w:t>
      </w:r>
      <w:r w:rsidR="00F63430">
        <w:t xml:space="preserve"> (24 days)</w:t>
      </w:r>
      <w:r w:rsidR="000D4284">
        <w:t xml:space="preserve"> </w:t>
      </w:r>
      <w:r w:rsidR="000E3DC4">
        <w:t xml:space="preserve">to which the Applicant would be subject </w:t>
      </w:r>
      <w:r w:rsidR="007E1C5F">
        <w:t xml:space="preserve">for the conviction offences </w:t>
      </w:r>
      <w:r w:rsidR="000E3DC4">
        <w:t>following the ‘falling away’ of a number of offences</w:t>
      </w:r>
      <w:r w:rsidR="00F63430">
        <w:t xml:space="preserve"> and having regard to other periods which served to be deducted</w:t>
      </w:r>
      <w:r w:rsidR="005E7366">
        <w:t xml:space="preserve"> from the original sentence</w:t>
      </w:r>
      <w:r w:rsidR="00F63430">
        <w:t xml:space="preserve"> (see at </w:t>
      </w:r>
      <w:r w:rsidR="00AF6D83">
        <w:t>[38] and the Second Judgment, [7]).</w:t>
      </w:r>
    </w:p>
    <w:p w14:paraId="7F7196C3" w14:textId="05EA64C7" w:rsidR="009B5679" w:rsidRDefault="00D370BA" w:rsidP="00050581">
      <w:pPr>
        <w:pStyle w:val="ParaLevel1"/>
      </w:pPr>
      <w:r>
        <w:t xml:space="preserve">In the Second Judgment, </w:t>
      </w:r>
      <w:r w:rsidR="00E21CF2">
        <w:t>o</w:t>
      </w:r>
      <w:r w:rsidR="00963F01" w:rsidRPr="00E21CF2">
        <w:t>n 6 March 2015,</w:t>
      </w:r>
      <w:r w:rsidR="00E21CF2">
        <w:t xml:space="preserve"> Aikens LJ and Nicol J </w:t>
      </w:r>
      <w:r w:rsidR="00963F01" w:rsidRPr="00E21CF2">
        <w:t xml:space="preserve">gave judgment on the remaining issues, having heard live expert evidence and full argument on Article 3 ECHR. </w:t>
      </w:r>
      <w:r w:rsidR="001D32FA">
        <w:t>T</w:t>
      </w:r>
      <w:r w:rsidR="00963F01" w:rsidRPr="00E21CF2">
        <w:t>he Court was satisfied that there were no substantial grounds for concluding that there was a real risk that the Applicant’s Article 3 ECHR rights would be infringed</w:t>
      </w:r>
      <w:r w:rsidR="00695FAE">
        <w:t xml:space="preserve">.  </w:t>
      </w:r>
      <w:r w:rsidR="000876C0">
        <w:t>That was principally because t</w:t>
      </w:r>
      <w:r w:rsidR="00695FAE">
        <w:t xml:space="preserve">here was an assurance from Greece that if she were to be extradited, she would be </w:t>
      </w:r>
      <w:bookmarkStart w:id="2" w:name="para10"/>
      <w:r w:rsidR="00695FAE">
        <w:t xml:space="preserve">detained in the New Branch of the Independent Women's Prison Establishment at </w:t>
      </w:r>
      <w:proofErr w:type="spellStart"/>
      <w:r w:rsidR="00695FAE">
        <w:t>Korydallos</w:t>
      </w:r>
      <w:bookmarkEnd w:id="2"/>
      <w:proofErr w:type="spellEnd"/>
      <w:r w:rsidR="002A6831">
        <w:t>.</w:t>
      </w:r>
      <w:r w:rsidR="00695FAE">
        <w:t xml:space="preserve"> </w:t>
      </w:r>
    </w:p>
    <w:p w14:paraId="297BF833" w14:textId="7411FA07" w:rsidR="00963F01" w:rsidRDefault="00963F01" w:rsidP="00050581">
      <w:pPr>
        <w:pStyle w:val="ParaLevel1"/>
      </w:pPr>
      <w:r w:rsidRPr="00E21CF2">
        <w:lastRenderedPageBreak/>
        <w:t xml:space="preserve">As to Article 8 </w:t>
      </w:r>
      <w:proofErr w:type="spellStart"/>
      <w:r w:rsidRPr="00E21CF2">
        <w:t>ECHCR</w:t>
      </w:r>
      <w:proofErr w:type="spellEnd"/>
      <w:r w:rsidRPr="00E21CF2">
        <w:t xml:space="preserve">, the Court noted that </w:t>
      </w:r>
      <w:r w:rsidR="005A5C06" w:rsidRPr="005A5C06">
        <w:t>‘</w:t>
      </w:r>
      <w:r w:rsidRPr="005A5C06">
        <w:t xml:space="preserve">there is no family life to consider nor are there any interests of minor children to </w:t>
      </w:r>
      <w:proofErr w:type="gramStart"/>
      <w:r w:rsidRPr="005A5C06">
        <w:t>take into account</w:t>
      </w:r>
      <w:proofErr w:type="gramEnd"/>
      <w:r w:rsidR="005A5C06">
        <w:t>’</w:t>
      </w:r>
      <w:r w:rsidR="00BA5A6B">
        <w:t xml:space="preserve"> ([73]-[76])</w:t>
      </w:r>
      <w:r w:rsidRPr="00E21CF2">
        <w:t xml:space="preserve">. The appeal was </w:t>
      </w:r>
      <w:r w:rsidR="005A5C06">
        <w:t xml:space="preserve">therefore </w:t>
      </w:r>
      <w:r w:rsidRPr="00E21CF2">
        <w:t xml:space="preserve">dismissed on both grounds. </w:t>
      </w:r>
    </w:p>
    <w:p w14:paraId="70B1D454" w14:textId="6186E8AD" w:rsidR="00634426" w:rsidRDefault="007F1427" w:rsidP="00050581">
      <w:pPr>
        <w:pStyle w:val="ParaLevel1"/>
      </w:pPr>
      <w:r>
        <w:t>As I have said, t</w:t>
      </w:r>
      <w:r w:rsidR="00634426">
        <w:t xml:space="preserve">he First and Second Judgments set out in </w:t>
      </w:r>
      <w:proofErr w:type="gramStart"/>
      <w:r w:rsidR="00634426">
        <w:t>great detail</w:t>
      </w:r>
      <w:proofErr w:type="gramEnd"/>
      <w:r w:rsidR="00634426">
        <w:t xml:space="preserve"> the delays in the extradition process which, even then, had occurred.   I need not point out that one of the princip</w:t>
      </w:r>
      <w:r w:rsidR="00206454">
        <w:t>a</w:t>
      </w:r>
      <w:r w:rsidR="00634426">
        <w:t xml:space="preserve">l purposes of the </w:t>
      </w:r>
      <w:proofErr w:type="spellStart"/>
      <w:r w:rsidR="00634426">
        <w:t>EAW</w:t>
      </w:r>
      <w:proofErr w:type="spellEnd"/>
      <w:r w:rsidR="00634426">
        <w:t xml:space="preserve"> scheme was to reduce the delays which had be</w:t>
      </w:r>
      <w:r w:rsidR="00CC2238">
        <w:t>de</w:t>
      </w:r>
      <w:r w:rsidR="00634426">
        <w:t xml:space="preserve">villed previous extradition regimes, even in relation to EU states which </w:t>
      </w:r>
      <w:r w:rsidR="00206454">
        <w:t>are</w:t>
      </w:r>
      <w:r w:rsidR="00634426">
        <w:t xml:space="preserve"> also signatories to the ECHR (like Greece). </w:t>
      </w:r>
    </w:p>
    <w:p w14:paraId="4C24DF7D" w14:textId="3C7A08B7" w:rsidR="00317FAB" w:rsidRDefault="00EF49F2" w:rsidP="00050581">
      <w:pPr>
        <w:pStyle w:val="ParaLevel1"/>
      </w:pPr>
      <w:r>
        <w:t xml:space="preserve">The Appellant was due to be extradited in December 2016 </w:t>
      </w:r>
      <w:r w:rsidR="008621AB">
        <w:t>(the immigration proceedings then having ended)</w:t>
      </w:r>
      <w:r w:rsidR="00634426">
        <w:t>,</w:t>
      </w:r>
      <w:r w:rsidR="008621AB">
        <w:t xml:space="preserve"> </w:t>
      </w:r>
      <w:r>
        <w:t xml:space="preserve">but </w:t>
      </w:r>
      <w:r w:rsidR="00634426">
        <w:t xml:space="preserve">she </w:t>
      </w:r>
      <w:r w:rsidR="00963F01" w:rsidRPr="00EF49F2">
        <w:t xml:space="preserve">failed to attend the agreed meeting point with Sussex Police. When contacted by police officers, the Applicant </w:t>
      </w:r>
      <w:r w:rsidR="0027607C">
        <w:t xml:space="preserve">claimed </w:t>
      </w:r>
      <w:r w:rsidR="00963F01" w:rsidRPr="00EF49F2">
        <w:t xml:space="preserve">that she was sick, unable to travel and that she had obtained a sick note from her doctor. </w:t>
      </w:r>
      <w:r>
        <w:t xml:space="preserve"> There were then proceedings in the </w:t>
      </w:r>
      <w:r w:rsidR="002A6831">
        <w:t>magistrates’</w:t>
      </w:r>
      <w:r>
        <w:t xml:space="preserve"> court about whether she was too ill to travel</w:t>
      </w:r>
      <w:r w:rsidR="0027607C">
        <w:t xml:space="preserve">.  Her claim was apparently not backed up by her doctor, </w:t>
      </w:r>
      <w:r w:rsidR="00323819">
        <w:t xml:space="preserve">who had refused to sign a sick note to that effect. </w:t>
      </w:r>
      <w:r w:rsidR="00963F01" w:rsidRPr="00323819">
        <w:t xml:space="preserve">The </w:t>
      </w:r>
      <w:r w:rsidR="00323819">
        <w:t>d</w:t>
      </w:r>
      <w:r w:rsidR="00963F01" w:rsidRPr="00323819">
        <w:t xml:space="preserve">istrict </w:t>
      </w:r>
      <w:r w:rsidR="00323819">
        <w:t>j</w:t>
      </w:r>
      <w:r w:rsidR="00963F01" w:rsidRPr="00323819">
        <w:t xml:space="preserve">udge said he could not be certain of the </w:t>
      </w:r>
      <w:proofErr w:type="gramStart"/>
      <w:r w:rsidR="00963F01" w:rsidRPr="00323819">
        <w:t>position</w:t>
      </w:r>
      <w:r w:rsidR="00EC377B">
        <w:t>,</w:t>
      </w:r>
      <w:r w:rsidR="00963F01" w:rsidRPr="00323819">
        <w:t xml:space="preserve"> but</w:t>
      </w:r>
      <w:proofErr w:type="gramEnd"/>
      <w:r w:rsidR="00963F01" w:rsidRPr="00323819">
        <w:t xml:space="preserve"> gave a strong warning to the Applicant that there </w:t>
      </w:r>
      <w:r w:rsidR="00EC377B">
        <w:t xml:space="preserve">should </w:t>
      </w:r>
      <w:r w:rsidR="00963F01" w:rsidRPr="00323819">
        <w:t xml:space="preserve">be no further sick notes or attempts to avoid extradition. </w:t>
      </w:r>
    </w:p>
    <w:p w14:paraId="1878CA4D" w14:textId="623F08C4" w:rsidR="008D10CF" w:rsidRDefault="00963F01" w:rsidP="00050581">
      <w:pPr>
        <w:pStyle w:val="ParaLevel1"/>
      </w:pPr>
      <w:r w:rsidRPr="00317FAB">
        <w:t xml:space="preserve">The next date for removal was 19 January 2017. On this date, the Applicant obtained a note from the doctor at Heathrow </w:t>
      </w:r>
      <w:r w:rsidR="008D10CF">
        <w:t>A</w:t>
      </w:r>
      <w:r w:rsidRPr="00317FAB">
        <w:t xml:space="preserve">irport who deemed her unfit to fly after she claimed she was suffering from vertigo. In the interim, the Applicant lodged an application for judicial review of the decision to extradite her (this was refused) and, </w:t>
      </w:r>
      <w:r w:rsidR="00E478F0">
        <w:t>as I understand it</w:t>
      </w:r>
      <w:r w:rsidRPr="00317FAB">
        <w:t xml:space="preserve">, she made an application to re-open </w:t>
      </w:r>
      <w:r w:rsidR="0027607C">
        <w:t xml:space="preserve">the </w:t>
      </w:r>
      <w:r w:rsidRPr="00317FAB">
        <w:t>immigration proceedings.</w:t>
      </w:r>
    </w:p>
    <w:p w14:paraId="2C88E97B" w14:textId="6493A32C" w:rsidR="0040659E" w:rsidRDefault="00963F01" w:rsidP="00050581">
      <w:pPr>
        <w:pStyle w:val="ParaLevel1"/>
      </w:pPr>
      <w:r w:rsidRPr="008D10CF">
        <w:t xml:space="preserve">On 12 July 2019, the Applicant made </w:t>
      </w:r>
      <w:r w:rsidR="00E478F0">
        <w:t>her</w:t>
      </w:r>
      <w:r w:rsidRPr="008D10CF">
        <w:t xml:space="preserve"> first attempt to reopen the extradition appeal. That application was advanced on the basis </w:t>
      </w:r>
      <w:r w:rsidR="00EC377B">
        <w:t xml:space="preserve">that </w:t>
      </w:r>
      <w:r w:rsidRPr="008D10CF">
        <w:t xml:space="preserve">a new Greek Penal Code had come into force on 1 July 2019, changing the conduct for which her extradition was sought (on the accusation part of </w:t>
      </w:r>
      <w:proofErr w:type="spellStart"/>
      <w:r w:rsidRPr="008D10CF">
        <w:t>EAW</w:t>
      </w:r>
      <w:proofErr w:type="spellEnd"/>
      <w:r w:rsidRPr="008D10CF">
        <w:t xml:space="preserve"> 5) from </w:t>
      </w:r>
      <w:r w:rsidR="008D10CF">
        <w:t>‘</w:t>
      </w:r>
      <w:r w:rsidRPr="008D10CF">
        <w:t>felony</w:t>
      </w:r>
      <w:r w:rsidR="008D10CF">
        <w:t>’</w:t>
      </w:r>
      <w:r w:rsidRPr="008D10CF">
        <w:t xml:space="preserve"> offences to </w:t>
      </w:r>
      <w:r w:rsidR="008D10CF">
        <w:t>‘</w:t>
      </w:r>
      <w:r w:rsidRPr="008D10CF">
        <w:t>misdemeanour</w:t>
      </w:r>
      <w:r w:rsidR="008D10CF">
        <w:t>’</w:t>
      </w:r>
      <w:r w:rsidRPr="008D10CF">
        <w:t xml:space="preserve"> offences. She submitted that this reform rendered the offences time barred, such that she could no longer be prosecuted for those offences. In the circumstances, she submitted that it would be disproportionate to extradite her to serve 2</w:t>
      </w:r>
      <w:r w:rsidR="0040659E">
        <w:t>4</w:t>
      </w:r>
      <w:r w:rsidRPr="008D10CF">
        <w:t xml:space="preserve"> </w:t>
      </w:r>
      <w:r w:rsidR="0040659E">
        <w:t xml:space="preserve">or so </w:t>
      </w:r>
      <w:r w:rsidRPr="008D10CF">
        <w:t xml:space="preserve">days on the conviction matter. </w:t>
      </w:r>
    </w:p>
    <w:p w14:paraId="4F2421FE" w14:textId="15811938" w:rsidR="005D2231" w:rsidRDefault="00963F01" w:rsidP="00050581">
      <w:pPr>
        <w:pStyle w:val="ParaLevel1"/>
      </w:pPr>
      <w:r w:rsidRPr="0040659E">
        <w:t xml:space="preserve">A written response to the application (dated 8 August 2019) was provided by the </w:t>
      </w:r>
      <w:r w:rsidR="00E478F0">
        <w:t xml:space="preserve">Respondent </w:t>
      </w:r>
      <w:r w:rsidRPr="0040659E">
        <w:t xml:space="preserve">and </w:t>
      </w:r>
      <w:r w:rsidR="00E478F0">
        <w:t xml:space="preserve">was </w:t>
      </w:r>
      <w:r w:rsidRPr="0040659E">
        <w:t>supported by Further Information (</w:t>
      </w:r>
      <w:r w:rsidR="00E478F0">
        <w:t>FI</w:t>
      </w:r>
      <w:r w:rsidRPr="0040659E">
        <w:t xml:space="preserve">). The FI confirmed that the introduction of the new Penal Code; however, the Penal Code had only partial effect on the conduct contained in the </w:t>
      </w:r>
      <w:proofErr w:type="spellStart"/>
      <w:r w:rsidRPr="0040659E">
        <w:t>EAW</w:t>
      </w:r>
      <w:proofErr w:type="spellEnd"/>
      <w:r w:rsidRPr="0040659E">
        <w:t xml:space="preserve">. All but one of the accusation offences were now time barred, having been transformed into </w:t>
      </w:r>
      <w:r w:rsidR="009020E8">
        <w:t>‘</w:t>
      </w:r>
      <w:proofErr w:type="gramStart"/>
      <w:r w:rsidRPr="0040659E">
        <w:t>misdemeanours</w:t>
      </w:r>
      <w:bookmarkStart w:id="3" w:name="_Int_tS16ZCVy"/>
      <w:r w:rsidR="009020E8">
        <w:t>’</w:t>
      </w:r>
      <w:proofErr w:type="gramEnd"/>
      <w:r w:rsidRPr="0040659E">
        <w:t>.</w:t>
      </w:r>
      <w:bookmarkEnd w:id="3"/>
      <w:r w:rsidRPr="0040659E">
        <w:t xml:space="preserve"> However, the Applicant could still be prosecuted for the one offence unaffected by the changes, the offence of money laundering. As to the conviction matter of </w:t>
      </w:r>
      <w:r w:rsidR="005D2231">
        <w:t xml:space="preserve">(originally) </w:t>
      </w:r>
      <w:r w:rsidRPr="0040659E">
        <w:t xml:space="preserve">80 months, whilst this was also impacted by the new Penal Code, it did not become time barred until 12 November 2019. At the time of the application, </w:t>
      </w:r>
      <w:r w:rsidR="008577E5">
        <w:t xml:space="preserve">therefore, </w:t>
      </w:r>
      <w:r w:rsidRPr="0040659E">
        <w:t xml:space="preserve">the Applicant still had to serve the remaining </w:t>
      </w:r>
      <w:r w:rsidR="00230B16">
        <w:t xml:space="preserve">24 </w:t>
      </w:r>
      <w:r w:rsidRPr="0040659E">
        <w:t>days of that sentence</w:t>
      </w:r>
      <w:r w:rsidR="008577E5">
        <w:t xml:space="preserve"> and would be liable to serve any sentence on the one outstanding accusation matter in the event she </w:t>
      </w:r>
      <w:proofErr w:type="gramStart"/>
      <w:r w:rsidR="008577E5">
        <w:t>were</w:t>
      </w:r>
      <w:proofErr w:type="gramEnd"/>
      <w:r w:rsidR="008577E5">
        <w:t xml:space="preserve"> convicted of it. </w:t>
      </w:r>
    </w:p>
    <w:p w14:paraId="2D531781" w14:textId="66B63DCA" w:rsidR="00D90CD2" w:rsidRDefault="00963F01" w:rsidP="00050581">
      <w:pPr>
        <w:pStyle w:val="ParaLevel1"/>
      </w:pPr>
      <w:r w:rsidRPr="005D2231">
        <w:t>The application</w:t>
      </w:r>
      <w:r w:rsidR="005D2231">
        <w:t xml:space="preserve"> to re-open</w:t>
      </w:r>
      <w:r w:rsidRPr="005D2231">
        <w:t xml:space="preserve"> was refused by Nicol J</w:t>
      </w:r>
      <w:r w:rsidR="00397ABD">
        <w:t xml:space="preserve"> on 12 August 2019</w:t>
      </w:r>
      <w:r w:rsidR="00130CAC">
        <w:t xml:space="preserve"> on the papers</w:t>
      </w:r>
      <w:r w:rsidR="00397ABD">
        <w:t xml:space="preserve">.  He </w:t>
      </w:r>
      <w:r w:rsidR="0013383E">
        <w:t xml:space="preserve">held </w:t>
      </w:r>
      <w:r w:rsidRPr="005D2231">
        <w:t>that the one outstanding</w:t>
      </w:r>
      <w:r w:rsidR="0013383E">
        <w:t xml:space="preserve"> accusation</w:t>
      </w:r>
      <w:r w:rsidRPr="005D2231">
        <w:t xml:space="preserve"> matter was serious and could potentially lead to a further custodial penalty</w:t>
      </w:r>
      <w:r w:rsidR="00A05E7C">
        <w:t xml:space="preserve"> in addition to the outstanding 24 days.</w:t>
      </w:r>
      <w:r w:rsidRPr="005D2231">
        <w:t xml:space="preserve"> In any event,</w:t>
      </w:r>
      <w:r w:rsidR="00130CAC">
        <w:t xml:space="preserve"> </w:t>
      </w:r>
      <w:r w:rsidR="00130CAC">
        <w:lastRenderedPageBreak/>
        <w:t xml:space="preserve">he </w:t>
      </w:r>
      <w:r w:rsidRPr="005D2231">
        <w:t>did not consider</w:t>
      </w:r>
      <w:r w:rsidR="00130CAC">
        <w:t xml:space="preserve"> that</w:t>
      </w:r>
      <w:r w:rsidRPr="005D2231">
        <w:t xml:space="preserve"> the impact of the new Penal Code amounted to </w:t>
      </w:r>
      <w:r w:rsidR="00CF052D">
        <w:t>‘</w:t>
      </w:r>
      <w:r w:rsidRPr="00CF052D">
        <w:rPr>
          <w:iCs/>
        </w:rPr>
        <w:t>real injustice</w:t>
      </w:r>
      <w:r w:rsidR="00CF052D">
        <w:rPr>
          <w:iCs/>
        </w:rPr>
        <w:t>’</w:t>
      </w:r>
      <w:r w:rsidRPr="005D2231">
        <w:t xml:space="preserve"> or </w:t>
      </w:r>
      <w:r w:rsidR="00CF052D" w:rsidRPr="00CF052D">
        <w:rPr>
          <w:i/>
          <w:iCs/>
        </w:rPr>
        <w:t>‘</w:t>
      </w:r>
      <w:r w:rsidRPr="00CF052D">
        <w:t>exceptional circumstance</w:t>
      </w:r>
      <w:r w:rsidR="00CF052D" w:rsidRPr="00CF052D">
        <w:t>s</w:t>
      </w:r>
      <w:r w:rsidR="00CF052D">
        <w:t>’</w:t>
      </w:r>
      <w:r w:rsidRPr="005D2231">
        <w:t xml:space="preserve"> within the meaning of Crim</w:t>
      </w:r>
      <w:r w:rsidR="00B759E8">
        <w:t xml:space="preserve"> </w:t>
      </w:r>
      <w:r w:rsidRPr="005D2231">
        <w:t>PR r</w:t>
      </w:r>
      <w:r w:rsidR="00B759E8">
        <w:t xml:space="preserve"> </w:t>
      </w:r>
      <w:r w:rsidRPr="005D2231">
        <w:t xml:space="preserve">50.27. </w:t>
      </w:r>
      <w:r w:rsidR="00230B16">
        <w:t xml:space="preserve"> </w:t>
      </w:r>
    </w:p>
    <w:p w14:paraId="1374E5CC" w14:textId="77777777" w:rsidR="00A24D69" w:rsidRDefault="00963F01" w:rsidP="00050581">
      <w:pPr>
        <w:pStyle w:val="ParaLevel1"/>
      </w:pPr>
      <w:r w:rsidRPr="005D2231">
        <w:t xml:space="preserve">The </w:t>
      </w:r>
      <w:r w:rsidR="00B759E8">
        <w:t>o</w:t>
      </w:r>
      <w:r w:rsidRPr="005D2231">
        <w:t xml:space="preserve">rder for the Applicant’s extradition therefore still stood, although her removal remained barred until the conclusion of her immigration proceedings. </w:t>
      </w:r>
    </w:p>
    <w:p w14:paraId="1CEF8C58" w14:textId="6FAD287F" w:rsidR="008A3B42" w:rsidRDefault="00963F01" w:rsidP="00050581">
      <w:pPr>
        <w:pStyle w:val="ParaLevel1"/>
      </w:pPr>
      <w:r w:rsidRPr="00A24D69">
        <w:t xml:space="preserve">According to the Applicant, on 28 June 2021, the First-tier Tribunal refused </w:t>
      </w:r>
      <w:r w:rsidR="00A05E7C">
        <w:t xml:space="preserve">her </w:t>
      </w:r>
      <w:r w:rsidRPr="00A24D69">
        <w:t>asylum claim. On 19 October</w:t>
      </w:r>
      <w:r w:rsidR="00A67E78">
        <w:t xml:space="preserve"> 2021</w:t>
      </w:r>
      <w:r w:rsidRPr="00A24D69">
        <w:t xml:space="preserve">, </w:t>
      </w:r>
      <w:r w:rsidR="00A67E78">
        <w:t xml:space="preserve">she </w:t>
      </w:r>
      <w:r w:rsidRPr="00A24D69">
        <w:t xml:space="preserve">was granted permission to appeal to the Upper Tribunal. On 21 September 2022, the Upper Tribunal refused </w:t>
      </w:r>
      <w:r w:rsidR="00B04424">
        <w:t>her appeal.</w:t>
      </w:r>
      <w:r w:rsidR="00A24D69">
        <w:t xml:space="preserve">  As I have said, there is an outstanding out-of-time application for permission to appeal</w:t>
      </w:r>
      <w:r w:rsidR="00B04424">
        <w:t xml:space="preserve"> to the Court of Appeal which is currently under consideration by the Upper Tribunal</w:t>
      </w:r>
      <w:r w:rsidR="008A3B42">
        <w:t>.</w:t>
      </w:r>
    </w:p>
    <w:p w14:paraId="562DEE76" w14:textId="480CA4A2" w:rsidR="00A45F01" w:rsidRDefault="008A3B42" w:rsidP="00050581">
      <w:pPr>
        <w:pStyle w:val="ParaLevel1"/>
      </w:pPr>
      <w:r>
        <w:t>At the beginning of this month</w:t>
      </w:r>
      <w:r w:rsidR="00300F89">
        <w:t xml:space="preserve"> (November 2022)</w:t>
      </w:r>
      <w:r>
        <w:t xml:space="preserve">, moves were again afoot to finally extradite the Applicant to Greece. On 4 November 2022, the </w:t>
      </w:r>
      <w:proofErr w:type="spellStart"/>
      <w:r>
        <w:t>NCA</w:t>
      </w:r>
      <w:proofErr w:type="spellEnd"/>
      <w:r>
        <w:t xml:space="preserve"> applied for a direction to extend the required period for extradition pursuant to s 36(3)(b) of the E</w:t>
      </w:r>
      <w:r w:rsidR="00A45F01">
        <w:t xml:space="preserve">A 2003. </w:t>
      </w:r>
      <w:r>
        <w:t xml:space="preserve">The application was granted by the court on </w:t>
      </w:r>
      <w:r w:rsidR="00A45F01">
        <w:t xml:space="preserve">7 November 2022. </w:t>
      </w:r>
    </w:p>
    <w:p w14:paraId="6CCEA71D" w14:textId="60F770DE" w:rsidR="00E4064C" w:rsidRDefault="008A3B42" w:rsidP="00050581">
      <w:pPr>
        <w:pStyle w:val="ParaLevel1"/>
      </w:pPr>
      <w:r>
        <w:t>The s</w:t>
      </w:r>
      <w:r w:rsidR="00A45F01">
        <w:t xml:space="preserve"> </w:t>
      </w:r>
      <w:r>
        <w:t xml:space="preserve">36 order was served on the </w:t>
      </w:r>
      <w:r w:rsidR="00A45F01">
        <w:t>A</w:t>
      </w:r>
      <w:r>
        <w:t>pp</w:t>
      </w:r>
      <w:r w:rsidR="00A45F01">
        <w:t xml:space="preserve">licant’s </w:t>
      </w:r>
      <w:r>
        <w:t>solicitors.  On the same day, th</w:t>
      </w:r>
      <w:r w:rsidR="00A67F25">
        <w:t>ose</w:t>
      </w:r>
      <w:r>
        <w:t xml:space="preserve"> solicitors notified the court</w:t>
      </w:r>
      <w:r w:rsidR="00A45F01">
        <w:t xml:space="preserve"> in correspondence</w:t>
      </w:r>
      <w:r>
        <w:t xml:space="preserve"> that they intend</w:t>
      </w:r>
      <w:r w:rsidR="00A45F01">
        <w:t>ed</w:t>
      </w:r>
      <w:r>
        <w:t xml:space="preserve"> to make an application to reopen</w:t>
      </w:r>
      <w:r w:rsidR="00A45F01">
        <w:t xml:space="preserve"> the extradition appeal.  </w:t>
      </w:r>
      <w:r>
        <w:t>On 9</w:t>
      </w:r>
      <w:r w:rsidR="00A45F01">
        <w:t xml:space="preserve"> November 2022</w:t>
      </w:r>
      <w:r>
        <w:t xml:space="preserve">, the court made it clear that a formal application </w:t>
      </w:r>
      <w:r w:rsidR="00A67F25">
        <w:t xml:space="preserve">would have to be </w:t>
      </w:r>
      <w:r>
        <w:t>made to reopen</w:t>
      </w:r>
      <w:r w:rsidR="00A67F25">
        <w:t xml:space="preserve"> the appeal</w:t>
      </w:r>
      <w:r>
        <w:t xml:space="preserve"> and stay removal, </w:t>
      </w:r>
      <w:r w:rsidR="00A67F25">
        <w:t xml:space="preserve">and that </w:t>
      </w:r>
      <w:r>
        <w:t xml:space="preserve">it </w:t>
      </w:r>
      <w:r w:rsidR="00E4064C">
        <w:t>was</w:t>
      </w:r>
      <w:r>
        <w:t xml:space="preserve"> not sufficient to put the court </w:t>
      </w:r>
      <w:r w:rsidR="00E4064C">
        <w:t xml:space="preserve">informally </w:t>
      </w:r>
      <w:r>
        <w:t xml:space="preserve">on notice. </w:t>
      </w:r>
    </w:p>
    <w:p w14:paraId="05CDEA99" w14:textId="0ACEE3CE" w:rsidR="00A24D69" w:rsidRDefault="00E4064C" w:rsidP="00050581">
      <w:pPr>
        <w:pStyle w:val="ParaLevel1"/>
      </w:pPr>
      <w:r>
        <w:t>Because of a lack of clarity about whether, given the immigration proceedings, the Applicant could in fact be removed, or whether it was prevented by s 39, the matter was put before me as ‘</w:t>
      </w:r>
      <w:proofErr w:type="spellStart"/>
      <w:r>
        <w:t>immediates</w:t>
      </w:r>
      <w:proofErr w:type="spellEnd"/>
      <w:r>
        <w:t xml:space="preserve"> judge’ on </w:t>
      </w:r>
      <w:r w:rsidR="00217AB8">
        <w:t xml:space="preserve">11 November 2022. </w:t>
      </w:r>
      <w:r w:rsidR="004A3ADC">
        <w:t>I ordered a hearing at which all parties should attend</w:t>
      </w:r>
      <w:r w:rsidR="00D73ABE">
        <w:t>,</w:t>
      </w:r>
      <w:r w:rsidR="004A3ADC">
        <w:t xml:space="preserve"> so </w:t>
      </w:r>
      <w:r w:rsidR="00D73ABE">
        <w:t xml:space="preserve">that </w:t>
      </w:r>
      <w:r w:rsidR="004A3ADC">
        <w:t>some clarity could be brought</w:t>
      </w:r>
      <w:r w:rsidR="00D73ABE">
        <w:t xml:space="preserve"> to the situation</w:t>
      </w:r>
      <w:r w:rsidR="007A374E">
        <w:t>,</w:t>
      </w:r>
      <w:r w:rsidR="00217AB8">
        <w:t xml:space="preserve"> and </w:t>
      </w:r>
      <w:r w:rsidR="007A374E">
        <w:t xml:space="preserve">I </w:t>
      </w:r>
      <w:r w:rsidR="00217AB8">
        <w:t>gave other directions should the Applicant intend to apply to re-open the appeal.</w:t>
      </w:r>
      <w:r w:rsidR="004A3ADC">
        <w:t xml:space="preserve">  Shortly afterwards, the Applicant filed </w:t>
      </w:r>
      <w:r w:rsidR="00217AB8">
        <w:t xml:space="preserve">this second </w:t>
      </w:r>
      <w:r w:rsidR="004A3ADC">
        <w:t>application to re-open the extradition appeal</w:t>
      </w:r>
      <w:r w:rsidR="00FD368C">
        <w:t xml:space="preserve">, to which the Respondent replied. </w:t>
      </w:r>
    </w:p>
    <w:p w14:paraId="10E7F8FF" w14:textId="7D0D5B46" w:rsidR="005E63C6" w:rsidRDefault="005E63C6" w:rsidP="00050581">
      <w:pPr>
        <w:pStyle w:val="ParaLevel1"/>
        <w:spacing w:before="0" w:after="0"/>
      </w:pPr>
      <w:r>
        <w:t>According to Further Information from Greece dated 21 November 2022, the Applicant was sentenced to 13 years imprisonment for the outstanding matter on 8 February 20</w:t>
      </w:r>
      <w:r w:rsidR="00D73ABE">
        <w:t>2</w:t>
      </w:r>
      <w:r>
        <w:t>2</w:t>
      </w:r>
      <w:r w:rsidR="004E2D29">
        <w:t xml:space="preserve">, </w:t>
      </w:r>
      <w:proofErr w:type="spellStart"/>
      <w:r w:rsidR="004E2D29">
        <w:t>ie</w:t>
      </w:r>
      <w:proofErr w:type="spellEnd"/>
      <w:r w:rsidR="004E2D29">
        <w:t xml:space="preserve">, the matter which had originally been an accusation matter. </w:t>
      </w:r>
      <w:r>
        <w:t xml:space="preserve"> </w:t>
      </w:r>
      <w:r w:rsidR="00342911">
        <w:t>This related to money laundering.</w:t>
      </w:r>
      <w:r>
        <w:t xml:space="preserve"> </w:t>
      </w:r>
      <w:r w:rsidR="00342911">
        <w:t>The FI</w:t>
      </w:r>
      <w:r>
        <w:t xml:space="preserve"> state</w:t>
      </w:r>
      <w:r w:rsidR="00342911">
        <w:t>d</w:t>
      </w:r>
      <w:r>
        <w:t>:</w:t>
      </w:r>
    </w:p>
    <w:p w14:paraId="2E47F60D" w14:textId="77777777" w:rsidR="005E63C6" w:rsidRPr="005E63C6" w:rsidRDefault="005E63C6" w:rsidP="00050581">
      <w:pPr>
        <w:pStyle w:val="ParaLevel1"/>
        <w:numPr>
          <w:ilvl w:val="0"/>
          <w:numId w:val="0"/>
        </w:numPr>
        <w:spacing w:before="0" w:after="0"/>
        <w:ind w:left="1701" w:right="938"/>
      </w:pPr>
    </w:p>
    <w:p w14:paraId="19B71908" w14:textId="77777777" w:rsidR="005E63C6" w:rsidRPr="005E63C6" w:rsidRDefault="005E63C6" w:rsidP="00050581">
      <w:pPr>
        <w:pStyle w:val="ParaLevel1"/>
        <w:numPr>
          <w:ilvl w:val="0"/>
          <w:numId w:val="0"/>
        </w:numPr>
        <w:spacing w:before="0" w:after="0"/>
        <w:ind w:left="1701" w:right="938"/>
      </w:pPr>
      <w:r w:rsidRPr="005E63C6">
        <w:t xml:space="preserve">“In respect of judgment no. 4519/20-10-2008, Ms. ILIA has been convicted for the offences related to the said judgment, in thirteen (13) years of custodial sentence by virtue of judgment no. 252/2022 dated 08-02-2022 of the Five-Member Appeal Court of Athens, which was rendered following an appeal lodged against the decision no. 1312/2020 dated 06-03-2020 rendered by the First (A’) Three-Member Appeal Court of Athens for felonies. </w:t>
      </w:r>
    </w:p>
    <w:p w14:paraId="20480640" w14:textId="77777777" w:rsidR="005E63C6" w:rsidRPr="005E63C6" w:rsidRDefault="005E63C6" w:rsidP="00050581">
      <w:pPr>
        <w:pStyle w:val="ParaLevel1"/>
        <w:numPr>
          <w:ilvl w:val="0"/>
          <w:numId w:val="0"/>
        </w:numPr>
        <w:spacing w:before="0" w:after="0"/>
        <w:ind w:left="1701" w:right="938"/>
      </w:pPr>
    </w:p>
    <w:p w14:paraId="06247D86" w14:textId="6159C87D" w:rsidR="005E63C6" w:rsidRPr="005E63C6" w:rsidRDefault="005E63C6" w:rsidP="00050581">
      <w:pPr>
        <w:pStyle w:val="ParaLevel1"/>
        <w:numPr>
          <w:ilvl w:val="0"/>
          <w:numId w:val="0"/>
        </w:numPr>
        <w:spacing w:before="0" w:after="0"/>
        <w:ind w:left="1701" w:right="938"/>
      </w:pPr>
      <w:r w:rsidRPr="005E63C6">
        <w:t xml:space="preserve">Ms. ILIA was informed that the trial would take place. Consequently, she appointed lawyer Mr </w:t>
      </w:r>
      <w:proofErr w:type="spellStart"/>
      <w:r w:rsidRPr="005E63C6">
        <w:t>loannis</w:t>
      </w:r>
      <w:proofErr w:type="spellEnd"/>
      <w:r w:rsidRPr="005E63C6">
        <w:t xml:space="preserve"> </w:t>
      </w:r>
      <w:proofErr w:type="spellStart"/>
      <w:r w:rsidRPr="005E63C6">
        <w:t>GIATRAS</w:t>
      </w:r>
      <w:proofErr w:type="spellEnd"/>
      <w:r w:rsidRPr="005E63C6">
        <w:t xml:space="preserve"> by a special power of attorney document issued on 21-01-2019 and signed by her at the Consular Office of Greece in London. Her lawyer represented and defended her during the trial hearing.”</w:t>
      </w:r>
    </w:p>
    <w:p w14:paraId="4D298F4D" w14:textId="534879FA" w:rsidR="00FD368C" w:rsidRDefault="00730E2C" w:rsidP="00050581">
      <w:pPr>
        <w:pStyle w:val="ParaLevel1"/>
      </w:pPr>
      <w:r>
        <w:lastRenderedPageBreak/>
        <w:t xml:space="preserve">Hence, the matter which was still an accusation matter when Nicol J </w:t>
      </w:r>
      <w:r w:rsidR="00D164B1">
        <w:t xml:space="preserve">last </w:t>
      </w:r>
      <w:r>
        <w:t>considered the case in 2019</w:t>
      </w:r>
      <w:r w:rsidR="00D164B1">
        <w:t>,</w:t>
      </w:r>
      <w:r>
        <w:t xml:space="preserve"> has now become a conviction matter</w:t>
      </w:r>
      <w:r w:rsidR="00D164B1">
        <w:t xml:space="preserve"> with a lengthy period of imprisonment to serve</w:t>
      </w:r>
      <w:r>
        <w:t xml:space="preserve">. </w:t>
      </w:r>
    </w:p>
    <w:p w14:paraId="479B9F8E" w14:textId="6F7BDD86" w:rsidR="008C4FFB" w:rsidRDefault="008C4FFB" w:rsidP="00050581">
      <w:pPr>
        <w:pStyle w:val="ParaLevel1"/>
        <w:numPr>
          <w:ilvl w:val="0"/>
          <w:numId w:val="0"/>
        </w:numPr>
        <w:rPr>
          <w:b/>
          <w:bCs/>
        </w:rPr>
      </w:pPr>
      <w:r w:rsidRPr="008C4FFB">
        <w:rPr>
          <w:b/>
          <w:bCs/>
        </w:rPr>
        <w:t>Submissions</w:t>
      </w:r>
    </w:p>
    <w:p w14:paraId="7DEE5EDA" w14:textId="0FB1E1AC" w:rsidR="008C4FFB" w:rsidRDefault="00B72345" w:rsidP="00050581">
      <w:pPr>
        <w:pStyle w:val="ParaLevel1"/>
      </w:pPr>
      <w:r>
        <w:t>On behalf of the Applicant, Mr Ganesan (for whose submissions I am grateful)</w:t>
      </w:r>
      <w:r w:rsidR="00AE6329">
        <w:t xml:space="preserve"> advanced two principal bases on which he said the appeal should be re-opened: (a) the fact that, as he submitted, the Applicant had now been convicted in her absence</w:t>
      </w:r>
      <w:r w:rsidR="00C23BD8">
        <w:t xml:space="preserve">. </w:t>
      </w:r>
      <w:r w:rsidR="00B82D1E">
        <w:t xml:space="preserve"> He said this was unfair, and a breach of Article 6 of the ECHR. </w:t>
      </w:r>
      <w:r w:rsidR="00C23BD8">
        <w:t xml:space="preserve"> He </w:t>
      </w:r>
      <w:r w:rsidR="00B82D1E">
        <w:t xml:space="preserve">also </w:t>
      </w:r>
      <w:r w:rsidR="00C23BD8">
        <w:t>relied on s 20 of the EA 2003</w:t>
      </w:r>
      <w:r w:rsidR="00A43DDA">
        <w:t xml:space="preserve">. </w:t>
      </w:r>
      <w:r w:rsidR="000408E0">
        <w:t xml:space="preserve">  He also said there had been an abuse of process because the Greek authorities had not notified the English authorities (presumably the CPS) of this development</w:t>
      </w:r>
      <w:r w:rsidR="00933A0F">
        <w:t>; and (b)</w:t>
      </w:r>
      <w:r w:rsidR="000408E0">
        <w:t xml:space="preserve"> </w:t>
      </w:r>
      <w:r w:rsidR="00933A0F">
        <w:t>h</w:t>
      </w:r>
      <w:r w:rsidR="00EB043B">
        <w:t xml:space="preserve">e also relied on expert evidence </w:t>
      </w:r>
      <w:r w:rsidR="00933A0F">
        <w:t xml:space="preserve">concerning prison conditions and said it showed a real risk of a violation of Article 3 </w:t>
      </w:r>
      <w:r w:rsidR="00B36044">
        <w:t>through overcrowding, including at the prison where the assurance indicated the Applicant would be detained if extradited.</w:t>
      </w:r>
      <w:r w:rsidR="00B13414">
        <w:t xml:space="preserve">  Other points made in writing (but not substantively developed orally in any depth) relate to specialty and the Applicant’s mental health</w:t>
      </w:r>
    </w:p>
    <w:p w14:paraId="2AF94118" w14:textId="189EB973" w:rsidR="00047BD6" w:rsidRPr="00047BD6" w:rsidRDefault="001D19A8" w:rsidP="00050581">
      <w:pPr>
        <w:pStyle w:val="ParaLevel1"/>
      </w:pPr>
      <w:r>
        <w:t>On behalf of the Respondent, Mr Stansfeld submitted that</w:t>
      </w:r>
      <w:r w:rsidR="0065247A">
        <w:t xml:space="preserve">: (a) the </w:t>
      </w:r>
      <w:r w:rsidR="00BA7100">
        <w:t xml:space="preserve">Applicant was represented by a lawyer at her trial, and so was not ‘absent’: </w:t>
      </w:r>
      <w:proofErr w:type="spellStart"/>
      <w:r w:rsidR="00BA7100">
        <w:rPr>
          <w:i/>
          <w:iCs/>
        </w:rPr>
        <w:t>Cretu</w:t>
      </w:r>
      <w:proofErr w:type="spellEnd"/>
      <w:r w:rsidR="00BA7100">
        <w:rPr>
          <w:i/>
          <w:iCs/>
        </w:rPr>
        <w:t xml:space="preserve"> v </w:t>
      </w:r>
      <w:r w:rsidR="00DB13CB" w:rsidRPr="00DB13CB">
        <w:rPr>
          <w:i/>
          <w:iCs/>
          <w:szCs w:val="24"/>
        </w:rPr>
        <w:t>Local Court of Suceava, Romania</w:t>
      </w:r>
      <w:r w:rsidR="00DB13CB" w:rsidRPr="00DB13CB">
        <w:rPr>
          <w:szCs w:val="24"/>
        </w:rPr>
        <w:t xml:space="preserve"> [2016] 1 WLR 3344, [34(iii)]</w:t>
      </w:r>
      <w:r w:rsidR="00DB13CB">
        <w:rPr>
          <w:szCs w:val="24"/>
        </w:rPr>
        <w:t>; (b) the new evidence about prison conditions did not establish any risk of an Article 3 violation, and in any event the very high threshold in CPR r 50.</w:t>
      </w:r>
      <w:r w:rsidR="00047BD6">
        <w:rPr>
          <w:szCs w:val="24"/>
        </w:rPr>
        <w:t xml:space="preserve">27 was not satisfied. </w:t>
      </w:r>
    </w:p>
    <w:p w14:paraId="5F76A2F4" w14:textId="2A9FFA8D" w:rsidR="00047BD6" w:rsidRDefault="00047BD6" w:rsidP="00050581">
      <w:pPr>
        <w:pStyle w:val="ParaLevel1"/>
        <w:numPr>
          <w:ilvl w:val="0"/>
          <w:numId w:val="0"/>
        </w:numPr>
        <w:rPr>
          <w:b/>
          <w:bCs/>
          <w:szCs w:val="24"/>
        </w:rPr>
      </w:pPr>
      <w:r w:rsidRPr="00047BD6">
        <w:rPr>
          <w:b/>
          <w:bCs/>
          <w:szCs w:val="24"/>
        </w:rPr>
        <w:t>Discussion</w:t>
      </w:r>
    </w:p>
    <w:p w14:paraId="565BAB91" w14:textId="2BC731F1" w:rsidR="00047BD6" w:rsidRDefault="0059127A" w:rsidP="00050581">
      <w:pPr>
        <w:pStyle w:val="ParaLevel1"/>
      </w:pPr>
      <w:r>
        <w:t xml:space="preserve">In the written submissions an issue was canvassed about whether the Applicant was liable (subject to this application) to be removed, or whether </w:t>
      </w:r>
      <w:r w:rsidR="006C5123">
        <w:t xml:space="preserve">her </w:t>
      </w:r>
      <w:r>
        <w:t xml:space="preserve">extradition was barred by s 39 of the EA 2003 by reason of </w:t>
      </w:r>
      <w:r w:rsidR="00866B95">
        <w:t>her outstanding application to the Upper Tribunal for permission to appeal in the asylum proceedings.</w:t>
      </w:r>
      <w:r w:rsidR="00052861">
        <w:t xml:space="preserve">  In general terms, s 39 </w:t>
      </w:r>
      <w:r w:rsidR="008B3F37">
        <w:t xml:space="preserve">provides where an extradition order has been made, but a person has claimed asylum, </w:t>
      </w:r>
      <w:r w:rsidR="008D3BE6">
        <w:t xml:space="preserve">the person must </w:t>
      </w:r>
      <w:r w:rsidR="00FD2A35">
        <w:t xml:space="preserve">not </w:t>
      </w:r>
      <w:r w:rsidR="008D3BE6">
        <w:t xml:space="preserve">be extradited before the asylum claim has been ‘finally determined’. </w:t>
      </w:r>
    </w:p>
    <w:p w14:paraId="6400EDA6" w14:textId="3EEF5FFC" w:rsidR="008D3BE6" w:rsidRDefault="006C5123" w:rsidP="00050581">
      <w:pPr>
        <w:pStyle w:val="ParaLevel1"/>
      </w:pPr>
      <w:r>
        <w:t xml:space="preserve">Mr </w:t>
      </w:r>
      <w:proofErr w:type="spellStart"/>
      <w:r>
        <w:t>Stansfeld’s</w:t>
      </w:r>
      <w:proofErr w:type="spellEnd"/>
      <w:r>
        <w:t xml:space="preserve"> position, on behalf of the Respondent</w:t>
      </w:r>
      <w:r w:rsidR="00FD2A35">
        <w:t>,</w:t>
      </w:r>
      <w:r>
        <w:t xml:space="preserve"> is that</w:t>
      </w:r>
      <w:r w:rsidR="00FD2A35">
        <w:t xml:space="preserve"> the Applicant’s</w:t>
      </w:r>
      <w:r>
        <w:t xml:space="preserve"> asylum </w:t>
      </w:r>
      <w:r w:rsidR="000E1E6B">
        <w:t>claim</w:t>
      </w:r>
      <w:r>
        <w:t xml:space="preserve"> has indeed been ‘finally determined’</w:t>
      </w:r>
      <w:r w:rsidR="005D3299">
        <w:t>, notwithstanding</w:t>
      </w:r>
      <w:r w:rsidR="000E1E6B">
        <w:t xml:space="preserve"> her</w:t>
      </w:r>
      <w:r w:rsidR="005D3299">
        <w:t xml:space="preserve"> outstanding</w:t>
      </w:r>
      <w:r w:rsidR="000E1E6B">
        <w:t xml:space="preserve"> permission</w:t>
      </w:r>
      <w:r w:rsidR="005D3299">
        <w:t xml:space="preserve"> application,</w:t>
      </w:r>
      <w:r>
        <w:t xml:space="preserve"> and therefore that if this extradition application fails</w:t>
      </w:r>
      <w:r w:rsidR="005D3299">
        <w:t>,</w:t>
      </w:r>
      <w:r>
        <w:t xml:space="preserve"> there is no bar to</w:t>
      </w:r>
      <w:r w:rsidR="005D3299">
        <w:t xml:space="preserve"> her</w:t>
      </w:r>
      <w:r>
        <w:t xml:space="preserve"> extradition.   However, it appears that the </w:t>
      </w:r>
      <w:proofErr w:type="spellStart"/>
      <w:r>
        <w:t>NCA</w:t>
      </w:r>
      <w:proofErr w:type="spellEnd"/>
      <w:r>
        <w:t>, which is responsible for</w:t>
      </w:r>
      <w:r w:rsidR="0083244F">
        <w:t xml:space="preserve"> arranging </w:t>
      </w:r>
      <w:r>
        <w:t>removals, takes a different view</w:t>
      </w:r>
      <w:r w:rsidR="002A3908">
        <w:t>, and considers that</w:t>
      </w:r>
      <w:r w:rsidR="00C368C4">
        <w:t xml:space="preserve"> her</w:t>
      </w:r>
      <w:r w:rsidR="002A3908">
        <w:t xml:space="preserve"> extradition </w:t>
      </w:r>
      <w:r w:rsidR="002A3908" w:rsidRPr="00C368C4">
        <w:rPr>
          <w:i/>
          <w:iCs/>
        </w:rPr>
        <w:t>is</w:t>
      </w:r>
      <w:r w:rsidR="002A3908">
        <w:t xml:space="preserve"> currently barred by s 39</w:t>
      </w:r>
      <w:r w:rsidR="000E1E6B">
        <w:t xml:space="preserve"> unless and until the Upper Tribunal </w:t>
      </w:r>
      <w:r w:rsidR="00B40EDA">
        <w:t xml:space="preserve">(and, if permission is granted, the Court of Appeal) </w:t>
      </w:r>
      <w:r w:rsidR="000E1E6B">
        <w:t>rules</w:t>
      </w:r>
      <w:r w:rsidR="002A3908">
        <w:t>.</w:t>
      </w:r>
      <w:r>
        <w:t xml:space="preserve"> </w:t>
      </w:r>
    </w:p>
    <w:p w14:paraId="2B7368BB" w14:textId="7B4097B3" w:rsidR="008B4CCE" w:rsidRDefault="00B10092" w:rsidP="00050581">
      <w:pPr>
        <w:pStyle w:val="ParaLevel1"/>
      </w:pPr>
      <w:r>
        <w:t xml:space="preserve">It seems to me that this issue will need to be determined, if it </w:t>
      </w:r>
      <w:r w:rsidR="0083244F">
        <w:t xml:space="preserve">does </w:t>
      </w:r>
      <w:r w:rsidR="00E544E2">
        <w:t xml:space="preserve">ever </w:t>
      </w:r>
      <w:r>
        <w:t xml:space="preserve">need to be, </w:t>
      </w:r>
      <w:r w:rsidR="003C3977">
        <w:t xml:space="preserve">should the extradition proceedings conclude and should </w:t>
      </w:r>
      <w:r>
        <w:t xml:space="preserve">the </w:t>
      </w:r>
      <w:proofErr w:type="spellStart"/>
      <w:r>
        <w:t>NCA</w:t>
      </w:r>
      <w:proofErr w:type="spellEnd"/>
      <w:r>
        <w:t xml:space="preserve"> make removal arrangements before the Upper Tribunal</w:t>
      </w:r>
      <w:r w:rsidR="002A3908">
        <w:t xml:space="preserve"> has </w:t>
      </w:r>
      <w:r>
        <w:t>decide</w:t>
      </w:r>
      <w:r w:rsidR="002A3908">
        <w:t>d</w:t>
      </w:r>
      <w:r>
        <w:t xml:space="preserve"> the Applicant’s application</w:t>
      </w:r>
      <w:r w:rsidR="002A3908">
        <w:t xml:space="preserve"> for permission</w:t>
      </w:r>
      <w:r w:rsidR="003C3977">
        <w:t xml:space="preserve"> (or </w:t>
      </w:r>
      <w:r w:rsidR="0008422F">
        <w:t xml:space="preserve">before </w:t>
      </w:r>
      <w:r w:rsidR="003C3977">
        <w:t>the immigration proceedings</w:t>
      </w:r>
      <w:r w:rsidR="0008422F">
        <w:t xml:space="preserve"> have</w:t>
      </w:r>
      <w:r w:rsidR="003C3977">
        <w:t xml:space="preserve"> otherwise come to an e</w:t>
      </w:r>
      <w:r w:rsidR="0008422F">
        <w:t>n</w:t>
      </w:r>
      <w:r w:rsidR="003C3977">
        <w:t>d)</w:t>
      </w:r>
      <w:r>
        <w:t xml:space="preserve">. I decline to </w:t>
      </w:r>
      <w:r w:rsidR="00E544E2">
        <w:t xml:space="preserve">decide what, </w:t>
      </w:r>
      <w:proofErr w:type="gramStart"/>
      <w:r w:rsidR="00E544E2">
        <w:t>at the moment</w:t>
      </w:r>
      <w:proofErr w:type="gramEnd"/>
      <w:r w:rsidR="00E544E2">
        <w:t>, is an academic issue</w:t>
      </w:r>
      <w:r w:rsidR="008B4CCE">
        <w:t xml:space="preserve">, given the </w:t>
      </w:r>
      <w:proofErr w:type="spellStart"/>
      <w:r w:rsidR="008B4CCE">
        <w:t>NCA’s</w:t>
      </w:r>
      <w:proofErr w:type="spellEnd"/>
      <w:r w:rsidR="008B4CCE">
        <w:t xml:space="preserve"> stance.  </w:t>
      </w:r>
    </w:p>
    <w:p w14:paraId="116956AB" w14:textId="40507AE8" w:rsidR="00DA229F" w:rsidRDefault="004A6013" w:rsidP="00050581">
      <w:pPr>
        <w:pStyle w:val="ParaLevel1"/>
      </w:pPr>
      <w:r>
        <w:t xml:space="preserve">Turning to the merits of the application before me, </w:t>
      </w:r>
      <w:r w:rsidR="00172CA6">
        <w:t>I</w:t>
      </w:r>
      <w:r w:rsidR="00DA229F">
        <w:t xml:space="preserve"> begin by observing that it is well-recognised </w:t>
      </w:r>
      <w:r w:rsidR="00172CA6">
        <w:t xml:space="preserve">that the remedy provided for in Crim PR r 50.27 is only to be </w:t>
      </w:r>
      <w:r w:rsidR="00A37A06">
        <w:t>rarely</w:t>
      </w:r>
      <w:r w:rsidR="00A2569A">
        <w:t>,</w:t>
      </w:r>
      <w:r w:rsidR="00A37A06">
        <w:t xml:space="preserve"> or </w:t>
      </w:r>
      <w:r w:rsidR="00172CA6">
        <w:t>sparingly</w:t>
      </w:r>
      <w:r w:rsidR="00A2569A" w:rsidRPr="002A67C4">
        <w:t>,</w:t>
      </w:r>
      <w:r w:rsidR="00172CA6" w:rsidRPr="002A67C4">
        <w:t xml:space="preserve"> exercised</w:t>
      </w:r>
      <w:r w:rsidR="00705CD3" w:rsidRPr="002A67C4">
        <w:t>:</w:t>
      </w:r>
      <w:r w:rsidR="00963F01" w:rsidRPr="002A67C4">
        <w:t xml:space="preserve"> </w:t>
      </w:r>
      <w:r w:rsidR="00963F01" w:rsidRPr="002A67C4">
        <w:rPr>
          <w:i/>
        </w:rPr>
        <w:t xml:space="preserve">Taylor v </w:t>
      </w:r>
      <w:proofErr w:type="spellStart"/>
      <w:r w:rsidR="00963F01" w:rsidRPr="002A67C4">
        <w:rPr>
          <w:i/>
        </w:rPr>
        <w:t>HMP</w:t>
      </w:r>
      <w:proofErr w:type="spellEnd"/>
      <w:r w:rsidR="00963F01" w:rsidRPr="002A67C4">
        <w:rPr>
          <w:i/>
        </w:rPr>
        <w:t xml:space="preserve"> Wandsworth</w:t>
      </w:r>
      <w:r w:rsidR="00E337F0">
        <w:rPr>
          <w:i/>
        </w:rPr>
        <w:t xml:space="preserve"> and others</w:t>
      </w:r>
      <w:r w:rsidR="00963F01" w:rsidRPr="002A67C4">
        <w:t xml:space="preserve"> [2009] </w:t>
      </w:r>
      <w:proofErr w:type="spellStart"/>
      <w:r w:rsidR="00963F01" w:rsidRPr="002A67C4">
        <w:t>EWHC</w:t>
      </w:r>
      <w:proofErr w:type="spellEnd"/>
      <w:r w:rsidR="00963F01" w:rsidRPr="002A67C4">
        <w:t xml:space="preserve"> 1020 </w:t>
      </w:r>
      <w:r w:rsidR="00963F01" w:rsidRPr="002A67C4">
        <w:lastRenderedPageBreak/>
        <w:t>(Admin)</w:t>
      </w:r>
      <w:r w:rsidR="00836633">
        <w:t>, [30].</w:t>
      </w:r>
      <w:r w:rsidR="00963F01" w:rsidRPr="002A67C4">
        <w:t xml:space="preserve"> </w:t>
      </w:r>
      <w:r w:rsidR="00DC66FD" w:rsidRPr="002A67C4">
        <w:t xml:space="preserve">There needs to be ‘truly exceptional circumstances’: </w:t>
      </w:r>
      <w:r w:rsidR="004D28EF" w:rsidRPr="002A67C4">
        <w:t xml:space="preserve"> </w:t>
      </w:r>
      <w:proofErr w:type="spellStart"/>
      <w:r w:rsidR="004D28EF" w:rsidRPr="002A67C4">
        <w:rPr>
          <w:i/>
          <w:iCs/>
        </w:rPr>
        <w:t>Gawryluk</w:t>
      </w:r>
      <w:proofErr w:type="spellEnd"/>
      <w:r w:rsidR="004D28EF" w:rsidRPr="002A67C4">
        <w:rPr>
          <w:i/>
          <w:iCs/>
        </w:rPr>
        <w:t xml:space="preserve"> v District Court of </w:t>
      </w:r>
      <w:proofErr w:type="spellStart"/>
      <w:r w:rsidR="004D28EF" w:rsidRPr="002A67C4">
        <w:rPr>
          <w:i/>
          <w:iCs/>
        </w:rPr>
        <w:t>Lomza</w:t>
      </w:r>
      <w:proofErr w:type="spellEnd"/>
      <w:r w:rsidR="004D28EF" w:rsidRPr="002A67C4">
        <w:rPr>
          <w:i/>
          <w:iCs/>
        </w:rPr>
        <w:t xml:space="preserve"> and Bial</w:t>
      </w:r>
      <w:r w:rsidR="005707B1" w:rsidRPr="002A67C4">
        <w:rPr>
          <w:i/>
          <w:iCs/>
        </w:rPr>
        <w:t>ystok (Poland)</w:t>
      </w:r>
      <w:r w:rsidR="005707B1" w:rsidRPr="002A67C4">
        <w:t xml:space="preserve"> </w:t>
      </w:r>
      <w:r w:rsidR="002A67C4" w:rsidRPr="002A67C4">
        <w:t xml:space="preserve">[2020] </w:t>
      </w:r>
      <w:proofErr w:type="spellStart"/>
      <w:r w:rsidR="002A67C4" w:rsidRPr="002A67C4">
        <w:t>EWHC</w:t>
      </w:r>
      <w:proofErr w:type="spellEnd"/>
      <w:r w:rsidR="002A67C4" w:rsidRPr="002A67C4">
        <w:t xml:space="preserve"> 3679 (Admin)</w:t>
      </w:r>
      <w:r w:rsidR="002A67C4">
        <w:t>, [</w:t>
      </w:r>
      <w:r w:rsidR="002F624C">
        <w:t xml:space="preserve">15].  </w:t>
      </w:r>
      <w:r w:rsidR="00DA229F">
        <w:t xml:space="preserve">  The policy reason for this restrictive approach is the need for finality in litigation</w:t>
      </w:r>
      <w:r w:rsidR="00B37BFF">
        <w:t xml:space="preserve"> (and especially in extradition cases)</w:t>
      </w:r>
      <w:r w:rsidR="00DA229F">
        <w:t xml:space="preserve">. </w:t>
      </w:r>
      <w:r w:rsidR="002F624C">
        <w:t xml:space="preserve"> </w:t>
      </w:r>
    </w:p>
    <w:p w14:paraId="41AF7C5E" w14:textId="362B41FA" w:rsidR="00963F01" w:rsidRPr="00863F17" w:rsidRDefault="00963F01" w:rsidP="00050581">
      <w:pPr>
        <w:pStyle w:val="ParaLevel1"/>
      </w:pPr>
      <w:r w:rsidRPr="00705CD3">
        <w:t xml:space="preserve">In </w:t>
      </w:r>
      <w:r w:rsidR="002F624C" w:rsidRPr="002F624C">
        <w:rPr>
          <w:i/>
          <w:iCs/>
        </w:rPr>
        <w:t>Government of the</w:t>
      </w:r>
      <w:r w:rsidR="002F624C">
        <w:t xml:space="preserve"> </w:t>
      </w:r>
      <w:r w:rsidRPr="002F624C">
        <w:rPr>
          <w:i/>
        </w:rPr>
        <w:t>United States v Bowen</w:t>
      </w:r>
      <w:r w:rsidRPr="00705CD3">
        <w:t xml:space="preserve"> [2015] </w:t>
      </w:r>
      <w:proofErr w:type="spellStart"/>
      <w:r w:rsidRPr="00705CD3">
        <w:t>EWHC</w:t>
      </w:r>
      <w:proofErr w:type="spellEnd"/>
      <w:r w:rsidRPr="00705CD3">
        <w:t xml:space="preserve"> 1873 (Admin), Burnett LJ (as he then was) emphasised the narrow scope of Crim PR r. 17.27, the relevant precursor provision. In particular, he held that: </w:t>
      </w:r>
    </w:p>
    <w:p w14:paraId="0442ECB5" w14:textId="15EE6A6B" w:rsidR="00963F01" w:rsidRPr="002F624C" w:rsidRDefault="00963F01" w:rsidP="00050581">
      <w:pPr>
        <w:ind w:left="1701" w:right="938"/>
        <w:jc w:val="both"/>
        <w:rPr>
          <w:iCs/>
        </w:rPr>
      </w:pPr>
      <w:r w:rsidRPr="002F624C">
        <w:rPr>
          <w:iCs/>
        </w:rPr>
        <w:t xml:space="preserve">“9. … The </w:t>
      </w:r>
      <w:bookmarkStart w:id="4" w:name="_Int_6UrJ4yWd"/>
      <w:r w:rsidRPr="002F624C">
        <w:rPr>
          <w:iCs/>
        </w:rPr>
        <w:t>jurisdiction</w:t>
      </w:r>
      <w:bookmarkEnd w:id="4"/>
      <w:r w:rsidRPr="002F624C">
        <w:rPr>
          <w:iCs/>
        </w:rPr>
        <w:t xml:space="preserve"> is not designed to allow a disappointed party to the appeal to reconsider his arguments, material and evidence and come back to the court to have another go. Furthermore, we would emphasise the importance of finality in extradition cases by noting the observations of Lord Thomas in </w:t>
      </w:r>
      <w:r w:rsidRPr="002F624C">
        <w:rPr>
          <w:i/>
        </w:rPr>
        <w:t>Abu Hamza v Government of the United States</w:t>
      </w:r>
      <w:r w:rsidRPr="002F624C">
        <w:rPr>
          <w:iCs/>
        </w:rPr>
        <w:t xml:space="preserve"> [2012] </w:t>
      </w:r>
      <w:proofErr w:type="spellStart"/>
      <w:r w:rsidRPr="002F624C">
        <w:rPr>
          <w:iCs/>
        </w:rPr>
        <w:t>EWHC</w:t>
      </w:r>
      <w:proofErr w:type="spellEnd"/>
      <w:r w:rsidRPr="002F624C">
        <w:rPr>
          <w:iCs/>
        </w:rPr>
        <w:t xml:space="preserve"> 2736 (Admin) at [21] and [22], namely that there is an overwhelming public interest in both the proper functioning of extradition arrangements and in honouring extradition treaties, as well as there being an equally high importance in the finality of litigation. Finality of litigation is particularly important in extradition cases: ‘because of the public interest in an efficient process, the need to adhere to international obligations and to avoid a recurrence of the delays which have so disfigured the extradition process in the past and to which successive appeals over time can subject it</w:t>
      </w:r>
      <w:r w:rsidR="00445A7C">
        <w:rPr>
          <w:iCs/>
        </w:rPr>
        <w:t>’.”</w:t>
      </w:r>
      <w:r w:rsidRPr="002F624C">
        <w:rPr>
          <w:iCs/>
        </w:rPr>
        <w:t xml:space="preserve"> </w:t>
      </w:r>
    </w:p>
    <w:p w14:paraId="167F84F8" w14:textId="77777777" w:rsidR="00963F01" w:rsidRPr="00863F17" w:rsidRDefault="00963F01" w:rsidP="00050581">
      <w:pPr>
        <w:jc w:val="both"/>
      </w:pPr>
    </w:p>
    <w:p w14:paraId="351CCDD3" w14:textId="66E439DF" w:rsidR="00963F01" w:rsidRPr="00863F17" w:rsidRDefault="00963F01" w:rsidP="00050581">
      <w:pPr>
        <w:pStyle w:val="ParaLevel1"/>
        <w:spacing w:before="0" w:after="0"/>
      </w:pPr>
      <w:r w:rsidRPr="00863F17">
        <w:t xml:space="preserve">In </w:t>
      </w:r>
      <w:proofErr w:type="spellStart"/>
      <w:r w:rsidRPr="00D33052">
        <w:rPr>
          <w:i/>
        </w:rPr>
        <w:t>Seprey-Hozo</w:t>
      </w:r>
      <w:proofErr w:type="spellEnd"/>
      <w:r w:rsidRPr="00D33052">
        <w:rPr>
          <w:i/>
        </w:rPr>
        <w:t xml:space="preserve"> v Law Court of </w:t>
      </w:r>
      <w:proofErr w:type="spellStart"/>
      <w:r w:rsidRPr="00D33052">
        <w:rPr>
          <w:i/>
        </w:rPr>
        <w:t>Miercurea</w:t>
      </w:r>
      <w:proofErr w:type="spellEnd"/>
      <w:r w:rsidRPr="00D33052">
        <w:rPr>
          <w:i/>
        </w:rPr>
        <w:t xml:space="preserve"> </w:t>
      </w:r>
      <w:proofErr w:type="spellStart"/>
      <w:r w:rsidRPr="00D33052">
        <w:rPr>
          <w:i/>
        </w:rPr>
        <w:t>Ciuc</w:t>
      </w:r>
      <w:proofErr w:type="spellEnd"/>
      <w:r w:rsidRPr="00D33052">
        <w:rPr>
          <w:i/>
        </w:rPr>
        <w:t>, Romania</w:t>
      </w:r>
      <w:r w:rsidRPr="00863F17">
        <w:t xml:space="preserve"> [2016] 4 WLR 181, Cranston J (applying </w:t>
      </w:r>
      <w:r w:rsidRPr="00EA03BC">
        <w:rPr>
          <w:i/>
        </w:rPr>
        <w:t>Bowen</w:t>
      </w:r>
      <w:r w:rsidRPr="00863F17">
        <w:t xml:space="preserve">) clarified that proof of </w:t>
      </w:r>
      <w:r w:rsidR="00644A3F">
        <w:t>‘</w:t>
      </w:r>
      <w:r w:rsidRPr="00863F17">
        <w:t>injustice</w:t>
      </w:r>
      <w:r w:rsidR="00644A3F">
        <w:t>’</w:t>
      </w:r>
      <w:r w:rsidRPr="00863F17">
        <w:t xml:space="preserve"> is not in itself sufficient to reopen an appeal. What is required is a nexus between reopening the appeal and the prevention of that injustice: </w:t>
      </w:r>
    </w:p>
    <w:p w14:paraId="2D10E62E" w14:textId="77777777" w:rsidR="00963F01" w:rsidRPr="00863F17" w:rsidRDefault="00963F01" w:rsidP="00050581">
      <w:pPr>
        <w:jc w:val="both"/>
      </w:pPr>
    </w:p>
    <w:p w14:paraId="0B99C41C" w14:textId="6287E531" w:rsidR="005629FA" w:rsidRPr="00F175BA" w:rsidRDefault="00963F01" w:rsidP="00050581">
      <w:pPr>
        <w:ind w:left="1701" w:right="938"/>
        <w:jc w:val="both"/>
        <w:rPr>
          <w:iCs/>
          <w:shd w:val="clear" w:color="auto" w:fill="FFFFFF"/>
        </w:rPr>
      </w:pPr>
      <w:r w:rsidRPr="00644A3F">
        <w:rPr>
          <w:iCs/>
          <w:shd w:val="clear" w:color="auto" w:fill="FFFFFF"/>
        </w:rPr>
        <w:t xml:space="preserve">“20. Just assume that an extradited appellant, who has exhausted all appeals in this </w:t>
      </w:r>
      <w:bookmarkStart w:id="5" w:name="_Int_NfHtD8zI"/>
      <w:r w:rsidRPr="00644A3F">
        <w:rPr>
          <w:iCs/>
          <w:shd w:val="clear" w:color="auto" w:fill="FFFFFF"/>
        </w:rPr>
        <w:t>jurisdiction</w:t>
      </w:r>
      <w:bookmarkEnd w:id="5"/>
      <w:r w:rsidRPr="00644A3F">
        <w:rPr>
          <w:iCs/>
          <w:shd w:val="clear" w:color="auto" w:fill="FFFFFF"/>
        </w:rPr>
        <w:t xml:space="preserve">, is unquestionably being held in prison conditions violating Article 3 and that is in breach of an assurance given by the authorities in the requesting state. I can well accept that would be a real injustice. However, </w:t>
      </w:r>
      <w:proofErr w:type="spellStart"/>
      <w:r w:rsidRPr="00644A3F">
        <w:rPr>
          <w:iCs/>
          <w:shd w:val="clear" w:color="auto" w:fill="FFFFFF"/>
        </w:rPr>
        <w:t>CrPR</w:t>
      </w:r>
      <w:proofErr w:type="spellEnd"/>
      <w:r w:rsidRPr="00644A3F">
        <w:rPr>
          <w:iCs/>
          <w:shd w:val="clear" w:color="auto" w:fill="FFFFFF"/>
        </w:rPr>
        <w:t xml:space="preserve"> 50.27(3)(b) requires not only that there be a real injustice as a consideration to reopening an extradition appeal, but that it is necessary for the court to reopen the appeal </w:t>
      </w:r>
      <w:bookmarkStart w:id="6" w:name="_Int_17UHnA6g"/>
      <w:proofErr w:type="gramStart"/>
      <w:r w:rsidRPr="00644A3F">
        <w:rPr>
          <w:rStyle w:val="coitalic"/>
          <w:iCs/>
          <w:bdr w:val="none" w:sz="0" w:space="0" w:color="auto" w:frame="1"/>
          <w:shd w:val="clear" w:color="auto" w:fill="FFFFFF"/>
        </w:rPr>
        <w:t>in order to</w:t>
      </w:r>
      <w:bookmarkEnd w:id="6"/>
      <w:proofErr w:type="gramEnd"/>
      <w:r w:rsidRPr="00644A3F">
        <w:rPr>
          <w:rStyle w:val="coitalic"/>
          <w:iCs/>
          <w:bdr w:val="none" w:sz="0" w:space="0" w:color="auto" w:frame="1"/>
          <w:shd w:val="clear" w:color="auto" w:fill="FFFFFF"/>
        </w:rPr>
        <w:t xml:space="preserve"> avoid</w:t>
      </w:r>
      <w:r w:rsidRPr="00644A3F">
        <w:rPr>
          <w:iCs/>
          <w:shd w:val="clear" w:color="auto" w:fill="FFFFFF"/>
        </w:rPr>
        <w:t xml:space="preserve"> a real injustice. To my mind that requires consideration of whether </w:t>
      </w:r>
      <w:bookmarkStart w:id="7" w:name="_Hlk119645697"/>
      <w:r w:rsidRPr="00644A3F">
        <w:rPr>
          <w:iCs/>
          <w:shd w:val="clear" w:color="auto" w:fill="FFFFFF"/>
        </w:rPr>
        <w:t xml:space="preserve">reopening the appeal will provide a practical remedy </w:t>
      </w:r>
      <w:bookmarkEnd w:id="7"/>
      <w:r w:rsidRPr="00644A3F">
        <w:rPr>
          <w:iCs/>
          <w:shd w:val="clear" w:color="auto" w:fill="FFFFFF"/>
        </w:rPr>
        <w:t>for the injustice in that appellant's case.”</w:t>
      </w:r>
    </w:p>
    <w:p w14:paraId="134E8402" w14:textId="0EECAB0B" w:rsidR="00DA20A6" w:rsidRDefault="00F175BA" w:rsidP="00050581">
      <w:pPr>
        <w:pStyle w:val="ParaLevel1"/>
      </w:pPr>
      <w:r w:rsidRPr="001151E5">
        <w:t>It seems to me that t</w:t>
      </w:r>
      <w:r w:rsidR="005629FA" w:rsidRPr="001151E5">
        <w:t>he Applicant has not come close to surmounting the high threshold for reopening the appeal established by the</w:t>
      </w:r>
      <w:r w:rsidR="007D64B3">
        <w:t>se</w:t>
      </w:r>
      <w:r w:rsidR="005629FA" w:rsidRPr="001151E5">
        <w:t xml:space="preserve"> authorities</w:t>
      </w:r>
      <w:r w:rsidR="007D64B3">
        <w:t>.</w:t>
      </w:r>
      <w:r w:rsidR="005629FA" w:rsidRPr="001151E5">
        <w:t xml:space="preserve"> The </w:t>
      </w:r>
      <w:r w:rsidR="004A6013">
        <w:t>a</w:t>
      </w:r>
      <w:r w:rsidR="005629FA" w:rsidRPr="001151E5">
        <w:t xml:space="preserve">pplication fails to demonstrate either that reopening the appeal is </w:t>
      </w:r>
      <w:r w:rsidR="001151E5" w:rsidRPr="001151E5">
        <w:t>‘</w:t>
      </w:r>
      <w:r w:rsidR="005629FA" w:rsidRPr="001151E5">
        <w:t>necessary to avoid real injustice</w:t>
      </w:r>
      <w:r w:rsidR="001151E5" w:rsidRPr="001151E5">
        <w:t>’</w:t>
      </w:r>
      <w:r w:rsidR="005629FA" w:rsidRPr="001151E5">
        <w:t xml:space="preserve"> or that the circumstances are </w:t>
      </w:r>
      <w:r w:rsidR="001151E5" w:rsidRPr="001151E5">
        <w:t>‘</w:t>
      </w:r>
      <w:r w:rsidR="005629FA" w:rsidRPr="001151E5">
        <w:t>exceptional and make it appropriate to reopen the decision</w:t>
      </w:r>
      <w:bookmarkStart w:id="8" w:name="_Int_Pj1R3RAi"/>
      <w:r w:rsidR="001151E5" w:rsidRPr="001151E5">
        <w:t>’</w:t>
      </w:r>
      <w:r w:rsidR="005629FA" w:rsidRPr="001151E5">
        <w:t>.</w:t>
      </w:r>
      <w:bookmarkEnd w:id="8"/>
    </w:p>
    <w:p w14:paraId="5C693D99" w14:textId="3CA84146" w:rsidR="002348CF" w:rsidRPr="002A6831" w:rsidRDefault="00DA20A6" w:rsidP="00050581">
      <w:pPr>
        <w:pStyle w:val="ParaLevel1"/>
      </w:pPr>
      <w:r w:rsidRPr="002A6831">
        <w:t>I also accept as a general point that t</w:t>
      </w:r>
      <w:r w:rsidR="005629FA" w:rsidRPr="002A6831">
        <w:t xml:space="preserve">he Applicant’s attempt to reopen her appeal at this stage should be approached with considerable caution. </w:t>
      </w:r>
      <w:r w:rsidRPr="002A6831">
        <w:t xml:space="preserve"> I note that </w:t>
      </w:r>
      <w:r w:rsidR="005629FA" w:rsidRPr="002A6831">
        <w:t xml:space="preserve">in her original </w:t>
      </w:r>
      <w:r w:rsidR="005629FA" w:rsidRPr="002A6831">
        <w:lastRenderedPageBreak/>
        <w:t xml:space="preserve">extradition hearing, the </w:t>
      </w:r>
      <w:r w:rsidRPr="002A6831">
        <w:t>d</w:t>
      </w:r>
      <w:r w:rsidR="005629FA" w:rsidRPr="002A6831">
        <w:t xml:space="preserve">istrict </w:t>
      </w:r>
      <w:r w:rsidRPr="002A6831">
        <w:t>j</w:t>
      </w:r>
      <w:r w:rsidR="005629FA" w:rsidRPr="002A6831">
        <w:t xml:space="preserve">udge held that the Applicant’s evidence displayed </w:t>
      </w:r>
      <w:r w:rsidRPr="002A6831">
        <w:t>‘</w:t>
      </w:r>
      <w:r w:rsidR="005629FA" w:rsidRPr="002A6831">
        <w:t>a high degree of manipulation</w:t>
      </w:r>
      <w:bookmarkStart w:id="9" w:name="_Int_GAVVDqTd"/>
      <w:r w:rsidRPr="002A6831">
        <w:t>’</w:t>
      </w:r>
      <w:r w:rsidR="005629FA" w:rsidRPr="002A6831">
        <w:t>,</w:t>
      </w:r>
      <w:bookmarkEnd w:id="9"/>
      <w:r w:rsidR="005629FA" w:rsidRPr="002A6831">
        <w:t xml:space="preserve"> also refusing to accept that she had </w:t>
      </w:r>
      <w:r w:rsidR="002E2AEA" w:rsidRPr="002A6831">
        <w:t>‘</w:t>
      </w:r>
      <w:r w:rsidR="005629FA" w:rsidRPr="002A6831">
        <w:t>a rational fear of reprisal from Greek Government, judicial or business interests</w:t>
      </w:r>
      <w:bookmarkStart w:id="10" w:name="_Int_Wqe7NvZ9"/>
      <w:r w:rsidR="002E2AEA" w:rsidRPr="002A6831">
        <w:t>’</w:t>
      </w:r>
      <w:r w:rsidR="005629FA" w:rsidRPr="002A6831">
        <w:t>.</w:t>
      </w:r>
      <w:bookmarkEnd w:id="10"/>
      <w:r w:rsidR="005629FA" w:rsidRPr="002A6831">
        <w:t xml:space="preserve"> Those findings were recorded in the </w:t>
      </w:r>
      <w:r w:rsidR="009F3108" w:rsidRPr="002A6831">
        <w:t>F</w:t>
      </w:r>
      <w:r w:rsidR="005629FA" w:rsidRPr="002A6831">
        <w:t xml:space="preserve">irst </w:t>
      </w:r>
      <w:r w:rsidR="009F3108" w:rsidRPr="002A6831">
        <w:t>J</w:t>
      </w:r>
      <w:r w:rsidR="005629FA" w:rsidRPr="002A6831">
        <w:t xml:space="preserve">udgment (at </w:t>
      </w:r>
      <w:r w:rsidR="009F3108" w:rsidRPr="002A6831">
        <w:t>[</w:t>
      </w:r>
      <w:r w:rsidR="005629FA" w:rsidRPr="002A6831">
        <w:t>7</w:t>
      </w:r>
      <w:r w:rsidR="009F3108" w:rsidRPr="002A6831">
        <w:t>8]</w:t>
      </w:r>
      <w:r w:rsidR="005629FA" w:rsidRPr="002A6831">
        <w:t>)</w:t>
      </w:r>
      <w:r w:rsidR="00457626" w:rsidRPr="002A6831">
        <w:t xml:space="preserve">. The Court was </w:t>
      </w:r>
      <w:r w:rsidR="005629FA" w:rsidRPr="002A6831">
        <w:t>unpersuaded by the Applicant’s case on extraneous considerations</w:t>
      </w:r>
      <w:r w:rsidR="00457626" w:rsidRPr="002A6831">
        <w:t>, saying</w:t>
      </w:r>
      <w:r w:rsidR="00FC5848" w:rsidRPr="002A6831">
        <w:t>,</w:t>
      </w:r>
      <w:r w:rsidR="00011DD0" w:rsidRPr="002A6831">
        <w:t xml:space="preserve"> </w:t>
      </w:r>
      <w:r w:rsidR="005765DB" w:rsidRPr="002A6831">
        <w:t>‘</w:t>
      </w:r>
      <w:r w:rsidR="005629FA" w:rsidRPr="002A6831">
        <w:t>there is nothing about the terms of the charges themselves, or the subsequent history of the proceedings, that suggests a political motivation on the part of the prosecutor or that the charges have been fabricated</w:t>
      </w:r>
      <w:r w:rsidR="005765DB" w:rsidRPr="002A6831">
        <w:t>’</w:t>
      </w:r>
      <w:r w:rsidR="005629FA" w:rsidRPr="002A6831">
        <w:t xml:space="preserve"> (at </w:t>
      </w:r>
      <w:r w:rsidR="005765DB" w:rsidRPr="002A6831">
        <w:t>[</w:t>
      </w:r>
      <w:r w:rsidR="005629FA" w:rsidRPr="002A6831">
        <w:t>77</w:t>
      </w:r>
      <w:r w:rsidR="005765DB" w:rsidRPr="002A6831">
        <w:t>]</w:t>
      </w:r>
      <w:r w:rsidR="005629FA" w:rsidRPr="002A6831">
        <w:t>)</w:t>
      </w:r>
      <w:r w:rsidR="005629FA" w:rsidRPr="002A6831">
        <w:rPr>
          <w:i/>
          <w:iCs/>
        </w:rPr>
        <w:t xml:space="preserve">; </w:t>
      </w:r>
      <w:r w:rsidR="005629FA" w:rsidRPr="002A6831">
        <w:t xml:space="preserve">and </w:t>
      </w:r>
      <w:r w:rsidR="00FC5848" w:rsidRPr="002A6831">
        <w:t xml:space="preserve">as to </w:t>
      </w:r>
      <w:r w:rsidR="005629FA" w:rsidRPr="002A6831">
        <w:t xml:space="preserve">fair trial rights: </w:t>
      </w:r>
      <w:r w:rsidR="005765DB" w:rsidRPr="002A6831">
        <w:rPr>
          <w:i/>
        </w:rPr>
        <w:t>‘</w:t>
      </w:r>
      <w:r w:rsidR="005629FA" w:rsidRPr="002A6831">
        <w:rPr>
          <w:iCs/>
        </w:rPr>
        <w:t>[t]here is no reliable evidence that the Court of Appeal in Athens will not hear the Appellant's case fairly and impartially</w:t>
      </w:r>
      <w:r w:rsidR="005765DB" w:rsidRPr="002A6831">
        <w:t>’</w:t>
      </w:r>
      <w:r w:rsidR="005629FA" w:rsidRPr="002A6831">
        <w:rPr>
          <w:i/>
          <w:iCs/>
        </w:rPr>
        <w:t xml:space="preserve"> </w:t>
      </w:r>
      <w:r w:rsidR="005629FA" w:rsidRPr="002A6831">
        <w:t>(</w:t>
      </w:r>
      <w:r w:rsidR="005765DB" w:rsidRPr="002A6831">
        <w:t>[</w:t>
      </w:r>
      <w:r w:rsidR="005629FA" w:rsidRPr="002A6831">
        <w:t>80</w:t>
      </w:r>
      <w:r w:rsidR="005765DB" w:rsidRPr="002A6831">
        <w:t>]</w:t>
      </w:r>
      <w:r w:rsidR="005629FA" w:rsidRPr="002A6831">
        <w:t>).</w:t>
      </w:r>
      <w:r w:rsidR="005765DB" w:rsidRPr="002A6831">
        <w:t xml:space="preserve">   There was also the App</w:t>
      </w:r>
      <w:r w:rsidR="00506B56" w:rsidRPr="002A6831">
        <w:t>licant’s failed attempt to persuade a doctor to provide a sick note so she could avoid extradition</w:t>
      </w:r>
      <w:r w:rsidR="005B30C6" w:rsidRPr="002A6831">
        <w:t>.</w:t>
      </w:r>
      <w:r w:rsidR="00506B56" w:rsidRPr="002A6831">
        <w:t xml:space="preserve"> </w:t>
      </w:r>
    </w:p>
    <w:p w14:paraId="75031497" w14:textId="0E589971" w:rsidR="00963F01" w:rsidRDefault="00665A2F" w:rsidP="00050581">
      <w:pPr>
        <w:pStyle w:val="ParaLevel1"/>
      </w:pPr>
      <w:r>
        <w:t xml:space="preserve">There is nothing in the Applicant’s </w:t>
      </w:r>
      <w:r w:rsidR="00506B56">
        <w:t xml:space="preserve">first </w:t>
      </w:r>
      <w:r>
        <w:t>point that matters have somehow changed because she now stands convicted of the matter which was formerly an accusation matter</w:t>
      </w:r>
      <w:r w:rsidR="00114C4F">
        <w:t xml:space="preserve"> as of February 2022</w:t>
      </w:r>
      <w:r>
        <w:t xml:space="preserve">.  </w:t>
      </w:r>
      <w:r w:rsidR="00BA2264">
        <w:t>Even though she herself was physically absent, s</w:t>
      </w:r>
      <w:r>
        <w:t xml:space="preserve">he was not absent from her trial as a matter of law, because she was represented by a lawyer acting on her instructions, as the </w:t>
      </w:r>
      <w:r w:rsidR="00C1674F">
        <w:t xml:space="preserve">recent Further Information from Greece makes clear. </w:t>
      </w:r>
      <w:r w:rsidR="00BA42BC">
        <w:t xml:space="preserve"> </w:t>
      </w:r>
      <w:r w:rsidR="00BA2264">
        <w:t xml:space="preserve">The matter is put beyond doubt by </w:t>
      </w:r>
      <w:proofErr w:type="spellStart"/>
      <w:r w:rsidR="00341139" w:rsidRPr="00341139">
        <w:rPr>
          <w:i/>
          <w:iCs/>
        </w:rPr>
        <w:t>Cretu</w:t>
      </w:r>
      <w:proofErr w:type="spellEnd"/>
      <w:r w:rsidR="00341139">
        <w:t>, [34(iii)],</w:t>
      </w:r>
      <w:r w:rsidR="00BA2264">
        <w:t xml:space="preserve"> where</w:t>
      </w:r>
      <w:r w:rsidR="00341139">
        <w:t xml:space="preserve"> Burnett LJ said:</w:t>
      </w:r>
    </w:p>
    <w:p w14:paraId="615D7857" w14:textId="2BE9555F" w:rsidR="00341139" w:rsidRDefault="00341139" w:rsidP="00050581">
      <w:pPr>
        <w:pStyle w:val="ParaLevel1"/>
        <w:numPr>
          <w:ilvl w:val="0"/>
          <w:numId w:val="0"/>
        </w:numPr>
        <w:ind w:left="1701" w:right="938"/>
      </w:pPr>
      <w:r>
        <w:t>“</w:t>
      </w:r>
      <w:r w:rsidR="001E10C1">
        <w:t>(iii) An accused who has instructed (‘mandated’) a lawyer to represent him in the trial is not, for the purposes of section 20, absent from his trial, however he may have become aware of it;”</w:t>
      </w:r>
    </w:p>
    <w:p w14:paraId="1FC57EB6" w14:textId="1317AA64" w:rsidR="00BA42BC" w:rsidRDefault="00BA42BC" w:rsidP="00050581">
      <w:pPr>
        <w:pStyle w:val="ParaLevel1"/>
      </w:pPr>
      <w:r>
        <w:t xml:space="preserve">The Applicant said her lawyer did not actively participate.  That may be so, but that is between her and him.  I do not know what his instructions were.  The fact is she was represented. </w:t>
      </w:r>
      <w:r w:rsidR="00114C4F">
        <w:t xml:space="preserve">  There is also the point, having regard to the question of injustice in Crim PR r </w:t>
      </w:r>
      <w:r w:rsidR="00155183">
        <w:t xml:space="preserve">50.27, that the Applicant has waited nine months, and </w:t>
      </w:r>
      <w:r w:rsidR="002E5EC6">
        <w:t xml:space="preserve">until </w:t>
      </w:r>
      <w:r w:rsidR="00155183">
        <w:t xml:space="preserve">virtually the eve of extradition, before seeking to re-open </w:t>
      </w:r>
      <w:proofErr w:type="gramStart"/>
      <w:r w:rsidR="00155183">
        <w:t>on the basis of</w:t>
      </w:r>
      <w:proofErr w:type="gramEnd"/>
      <w:r w:rsidR="00155183">
        <w:t xml:space="preserve"> her conviction.  There is no good reason for that delay. </w:t>
      </w:r>
      <w:r w:rsidR="003907CA">
        <w:t xml:space="preserve">  I am tempted to conclude, as Mr Stansfeld submitted, that the matter was deliberately held back until the final moment </w:t>
      </w:r>
      <w:proofErr w:type="gramStart"/>
      <w:r w:rsidR="003907CA">
        <w:t>so as to</w:t>
      </w:r>
      <w:proofErr w:type="gramEnd"/>
      <w:r w:rsidR="003907CA">
        <w:t xml:space="preserve"> frustrate extradition (again).  </w:t>
      </w:r>
    </w:p>
    <w:p w14:paraId="4FE1CAEB" w14:textId="32AE695A" w:rsidR="0022001F" w:rsidRDefault="00214556" w:rsidP="00050581">
      <w:pPr>
        <w:pStyle w:val="ParaLevel1"/>
      </w:pPr>
      <w:r>
        <w:t xml:space="preserve">For the avoidance of doubt, whilst I was writing this judgment, </w:t>
      </w:r>
      <w:r w:rsidR="0090578A">
        <w:t xml:space="preserve">the Applicant’s solicitors sent a </w:t>
      </w:r>
      <w:r w:rsidR="002827E4">
        <w:t>translation of the decision of the five</w:t>
      </w:r>
      <w:r w:rsidR="0022001F">
        <w:t>-member</w:t>
      </w:r>
      <w:r w:rsidR="002E5EC6">
        <w:t xml:space="preserve"> Athens</w:t>
      </w:r>
      <w:r w:rsidR="0022001F">
        <w:t xml:space="preserve"> Court of Appeal of 8 February 2022 with an email saying, ‘The Appellant states that the translated document is said to highlight the inaccuracy of the further information supplied by the Greek Authorities on the 21</w:t>
      </w:r>
      <w:r w:rsidR="0022001F" w:rsidRPr="0022001F">
        <w:rPr>
          <w:vertAlign w:val="superscript"/>
        </w:rPr>
        <w:t>st</w:t>
      </w:r>
      <w:r w:rsidR="0022001F">
        <w:t xml:space="preserve"> November 2022 in respect of the s</w:t>
      </w:r>
      <w:r w:rsidR="009B0831">
        <w:t xml:space="preserve"> </w:t>
      </w:r>
      <w:r w:rsidR="0022001F">
        <w:t xml:space="preserve">20 Extradition Act.’  The document says that the </w:t>
      </w:r>
      <w:r w:rsidR="00BD4F44">
        <w:t>App</w:t>
      </w:r>
      <w:r w:rsidR="00313A82">
        <w:t>licant</w:t>
      </w:r>
      <w:r w:rsidR="00BD4F44">
        <w:t xml:space="preserve"> was represented by a lawyer</w:t>
      </w:r>
      <w:r w:rsidR="009B0831">
        <w:t xml:space="preserve"> on the five judge appeal</w:t>
      </w:r>
      <w:r w:rsidR="00BD4F44">
        <w:t xml:space="preserve">, Mr </w:t>
      </w:r>
      <w:proofErr w:type="spellStart"/>
      <w:r w:rsidR="00BD4F44">
        <w:t>Ioannis</w:t>
      </w:r>
      <w:proofErr w:type="spellEnd"/>
      <w:r w:rsidR="00BD4F44">
        <w:t xml:space="preserve"> </w:t>
      </w:r>
      <w:proofErr w:type="spellStart"/>
      <w:r w:rsidR="00BD4F44">
        <w:t>Giatras</w:t>
      </w:r>
      <w:proofErr w:type="spellEnd"/>
      <w:r w:rsidR="00BD4F44">
        <w:t xml:space="preserve">, who said he would represent the Applicant and ‘when the request was rejected, </w:t>
      </w:r>
      <w:r w:rsidR="00EC1F10">
        <w:t>he resigned of the defence duties.’  I cannot readily see why or how this is inconsistent with the Further Information</w:t>
      </w:r>
      <w:r w:rsidR="001E267E">
        <w:t xml:space="preserve">.   </w:t>
      </w:r>
      <w:r w:rsidR="00BD4F44">
        <w:t xml:space="preserve"> </w:t>
      </w:r>
    </w:p>
    <w:p w14:paraId="69C4E7C9" w14:textId="402677D7" w:rsidR="002701B5" w:rsidRPr="002701B5" w:rsidRDefault="0077125A" w:rsidP="00050581">
      <w:pPr>
        <w:pStyle w:val="ParaLevel1"/>
      </w:pPr>
      <w:r>
        <w:t xml:space="preserve">Mr Ganesan tried to frame this argument in </w:t>
      </w:r>
      <w:r w:rsidR="00210AE7">
        <w:t xml:space="preserve">the </w:t>
      </w:r>
      <w:r>
        <w:t>alternative as an abuse of process argument, but with respect to him, this takes the case no further.</w:t>
      </w:r>
      <w:r w:rsidR="00916316">
        <w:t xml:space="preserve">  There is no abuse of process here</w:t>
      </w:r>
      <w:r w:rsidR="008E5A6D">
        <w:t xml:space="preserve"> and there was no real attempt</w:t>
      </w:r>
      <w:r w:rsidR="00210AE7">
        <w:t xml:space="preserve"> by the Applicant</w:t>
      </w:r>
      <w:r w:rsidR="008E5A6D">
        <w:t xml:space="preserve">, as the authorities require, to specifically particularise what the alleged abuse was. </w:t>
      </w:r>
      <w:r w:rsidR="00465B34">
        <w:t>An issuing judicial authority is not required to provide a running commentary on the prosecution process</w:t>
      </w:r>
      <w:r w:rsidR="00210AE7">
        <w:t xml:space="preserve"> to the executing judicial authority</w:t>
      </w:r>
      <w:r w:rsidR="002B312F">
        <w:t xml:space="preserve">, save </w:t>
      </w:r>
      <w:r w:rsidR="00210AE7">
        <w:t xml:space="preserve">perhaps </w:t>
      </w:r>
      <w:r w:rsidR="002B312F">
        <w:t xml:space="preserve">where the </w:t>
      </w:r>
      <w:proofErr w:type="spellStart"/>
      <w:r w:rsidR="002B312F">
        <w:t>EAW</w:t>
      </w:r>
      <w:proofErr w:type="spellEnd"/>
      <w:r w:rsidR="002B312F">
        <w:t xml:space="preserve"> is withdrawn or otherwise falls away</w:t>
      </w:r>
      <w:r w:rsidR="00210AE7">
        <w:t>,</w:t>
      </w:r>
      <w:r w:rsidR="002B312F">
        <w:t xml:space="preserve"> </w:t>
      </w:r>
      <w:proofErr w:type="gramStart"/>
      <w:r w:rsidR="002B312F">
        <w:t>so as to</w:t>
      </w:r>
      <w:proofErr w:type="gramEnd"/>
      <w:r w:rsidR="002B312F">
        <w:t xml:space="preserve"> remove the basis for extradition entirely.   That is not the case here. </w:t>
      </w:r>
    </w:p>
    <w:p w14:paraId="59116AC6" w14:textId="5EF676B0" w:rsidR="009059E8" w:rsidRDefault="002701B5" w:rsidP="00050581">
      <w:pPr>
        <w:pStyle w:val="ParaLevel1"/>
      </w:pPr>
      <w:r>
        <w:lastRenderedPageBreak/>
        <w:t xml:space="preserve">Any </w:t>
      </w:r>
      <w:r w:rsidRPr="00863F17">
        <w:t xml:space="preserve">reliance on </w:t>
      </w:r>
      <w:proofErr w:type="spellStart"/>
      <w:r w:rsidRPr="002701B5">
        <w:rPr>
          <w:i/>
          <w:iCs/>
        </w:rPr>
        <w:t>Zakrzewski</w:t>
      </w:r>
      <w:proofErr w:type="spellEnd"/>
      <w:r w:rsidRPr="002701B5">
        <w:rPr>
          <w:i/>
          <w:iCs/>
        </w:rPr>
        <w:t xml:space="preserve"> v Polish Issuing Judicial Authority</w:t>
      </w:r>
      <w:r>
        <w:t xml:space="preserve"> </w:t>
      </w:r>
      <w:r w:rsidRPr="00863F17">
        <w:t>[2013] 1 WLR 324 does not assist</w:t>
      </w:r>
      <w:r>
        <w:t xml:space="preserve"> the A</w:t>
      </w:r>
      <w:r w:rsidRPr="00863F17">
        <w:t xml:space="preserve">pplicant. That judgment concerns the steps a </w:t>
      </w:r>
      <w:r>
        <w:t>j</w:t>
      </w:r>
      <w:r w:rsidRPr="00863F17">
        <w:t xml:space="preserve">udicial </w:t>
      </w:r>
      <w:r>
        <w:t>a</w:t>
      </w:r>
      <w:r w:rsidRPr="00863F17">
        <w:t xml:space="preserve">uthority should take during </w:t>
      </w:r>
      <w:r w:rsidRPr="00863F17">
        <w:rPr>
          <w:i/>
          <w:iCs/>
        </w:rPr>
        <w:t>extant</w:t>
      </w:r>
      <w:r w:rsidRPr="00863F17">
        <w:t xml:space="preserve"> proceedings to ensure that a warrant remains </w:t>
      </w:r>
      <w:bookmarkStart w:id="11" w:name="_Int_ysV9XW1j"/>
      <w:proofErr w:type="gramStart"/>
      <w:r w:rsidRPr="00863F17">
        <w:t>accurate</w:t>
      </w:r>
      <w:bookmarkEnd w:id="11"/>
      <w:proofErr w:type="gramEnd"/>
      <w:r w:rsidRPr="00863F17">
        <w:t xml:space="preserve"> and extradition is ordered on the correct basis. Further, the remedy, a residual abuse of process </w:t>
      </w:r>
      <w:bookmarkStart w:id="12" w:name="_Int_cGQvKeWU"/>
      <w:r w:rsidRPr="00863F17">
        <w:t>jurisdiction</w:t>
      </w:r>
      <w:bookmarkEnd w:id="12"/>
      <w:r w:rsidRPr="00863F17">
        <w:t xml:space="preserve">, only arises where </w:t>
      </w:r>
      <w:r w:rsidR="00EF217B" w:rsidRPr="00EF217B">
        <w:t>‘</w:t>
      </w:r>
      <w:r w:rsidRPr="00EF217B">
        <w:t xml:space="preserve">the error or omission </w:t>
      </w:r>
      <w:r w:rsidR="002A6831">
        <w:t xml:space="preserve">is </w:t>
      </w:r>
      <w:r w:rsidRPr="00EF217B">
        <w:t>material to the operation of the statutory scheme</w:t>
      </w:r>
      <w:r w:rsidR="002A6831">
        <w:t>’</w:t>
      </w:r>
      <w:r w:rsidRPr="00863F17">
        <w:t>. The Applicant has not demonstrated any such materiality</w:t>
      </w:r>
      <w:r w:rsidR="00EF217B">
        <w:t>. When she was convicted in February 2022 the extradition proceedings had come to an end</w:t>
      </w:r>
      <w:r w:rsidR="00557CE6">
        <w:t>.</w:t>
      </w:r>
    </w:p>
    <w:p w14:paraId="59E0E0C0" w14:textId="348EDA07" w:rsidR="0049458D" w:rsidRDefault="00557CE6" w:rsidP="00050581">
      <w:pPr>
        <w:pStyle w:val="ParaLevel1"/>
      </w:pPr>
      <w:r>
        <w:t>In relation to prison conditions,</w:t>
      </w:r>
      <w:r w:rsidR="00340338">
        <w:t xml:space="preserve"> it seems to me, as Mr Stansfeld submitted, that t</w:t>
      </w:r>
      <w:r w:rsidR="00782465" w:rsidRPr="00863F17">
        <w:t>he starting point in considering this issue is the</w:t>
      </w:r>
      <w:r w:rsidR="00340338">
        <w:t xml:space="preserve"> Second Judgment </w:t>
      </w:r>
      <w:r w:rsidR="00782465" w:rsidRPr="00863F17">
        <w:t xml:space="preserve">of Aikens LJ and Nicol J </w:t>
      </w:r>
      <w:r w:rsidR="00340338">
        <w:t xml:space="preserve">on </w:t>
      </w:r>
      <w:r w:rsidR="00782465" w:rsidRPr="00863F17">
        <w:t xml:space="preserve">6 March 2015. That judgment records at </w:t>
      </w:r>
      <w:r w:rsidR="0049458D">
        <w:t>[</w:t>
      </w:r>
      <w:r w:rsidR="00782465" w:rsidRPr="00863F17">
        <w:t>24</w:t>
      </w:r>
      <w:r w:rsidR="0049458D">
        <w:t>]</w:t>
      </w:r>
      <w:r w:rsidR="00782465" w:rsidRPr="00863F17">
        <w:t xml:space="preserve">, </w:t>
      </w:r>
      <w:r w:rsidR="0049458D">
        <w:t>[</w:t>
      </w:r>
      <w:r w:rsidR="00782465" w:rsidRPr="00863F17">
        <w:t>27</w:t>
      </w:r>
      <w:r w:rsidR="0049458D">
        <w:t>]</w:t>
      </w:r>
      <w:r w:rsidR="00782465" w:rsidRPr="00863F17">
        <w:t xml:space="preserve"> and </w:t>
      </w:r>
      <w:r w:rsidR="0049458D">
        <w:t>[</w:t>
      </w:r>
      <w:r w:rsidR="00782465" w:rsidRPr="00863F17">
        <w:t>57</w:t>
      </w:r>
      <w:r w:rsidR="0049458D">
        <w:t>]</w:t>
      </w:r>
      <w:r w:rsidR="00782465" w:rsidRPr="00863F17">
        <w:t xml:space="preserve"> the assurance and information provided to the Court about the detention of the Applicant</w:t>
      </w:r>
      <w:r w:rsidR="0049458D">
        <w:t>,</w:t>
      </w:r>
      <w:r w:rsidR="00782465" w:rsidRPr="00863F17">
        <w:t xml:space="preserve"> which was </w:t>
      </w:r>
      <w:bookmarkStart w:id="13" w:name="_Int_BvN5EQl2"/>
      <w:r w:rsidR="00782465" w:rsidRPr="00863F17">
        <w:t>ultimately accepted</w:t>
      </w:r>
      <w:bookmarkEnd w:id="13"/>
      <w:r w:rsidR="00782465" w:rsidRPr="00863F17">
        <w:t xml:space="preserve"> by the Court, which heard live evidence from Professors </w:t>
      </w:r>
      <w:proofErr w:type="spellStart"/>
      <w:r w:rsidR="00782465" w:rsidRPr="00863F17">
        <w:t>Tsitelikis</w:t>
      </w:r>
      <w:proofErr w:type="spellEnd"/>
      <w:r w:rsidR="00782465" w:rsidRPr="00863F17">
        <w:t xml:space="preserve"> and Koulouris on behalf of the Applicant. </w:t>
      </w:r>
    </w:p>
    <w:p w14:paraId="7AB0334E" w14:textId="28E6CFD9" w:rsidR="00170BF7" w:rsidRDefault="00782465" w:rsidP="00050581">
      <w:pPr>
        <w:pStyle w:val="ParaLevel1"/>
      </w:pPr>
      <w:r w:rsidRPr="00863F17">
        <w:t xml:space="preserve">The application to reopen on this ground is predicated upon changes to the Greek penal estate and developments in respect of </w:t>
      </w:r>
      <w:proofErr w:type="spellStart"/>
      <w:r w:rsidRPr="00863F17">
        <w:t>Korydallos</w:t>
      </w:r>
      <w:proofErr w:type="spellEnd"/>
      <w:r w:rsidRPr="00863F17">
        <w:t xml:space="preserve"> </w:t>
      </w:r>
      <w:r w:rsidR="00170BF7">
        <w:t>P</w:t>
      </w:r>
      <w:r w:rsidRPr="00863F17">
        <w:t xml:space="preserve">rison. </w:t>
      </w:r>
      <w:r w:rsidR="00170BF7">
        <w:t xml:space="preserve">The Respondent accepts </w:t>
      </w:r>
      <w:r w:rsidRPr="00863F17">
        <w:t xml:space="preserve">that following the dismissal of the Applicant’s appeal, the Divisional Court in </w:t>
      </w:r>
      <w:proofErr w:type="spellStart"/>
      <w:r w:rsidRPr="0049458D">
        <w:rPr>
          <w:i/>
        </w:rPr>
        <w:t>Marku</w:t>
      </w:r>
      <w:proofErr w:type="spellEnd"/>
      <w:r w:rsidRPr="0049458D">
        <w:rPr>
          <w:i/>
        </w:rPr>
        <w:t xml:space="preserve"> v </w:t>
      </w:r>
      <w:proofErr w:type="spellStart"/>
      <w:r w:rsidRPr="0049458D">
        <w:rPr>
          <w:i/>
        </w:rPr>
        <w:t>Nafplion</w:t>
      </w:r>
      <w:proofErr w:type="spellEnd"/>
      <w:r w:rsidRPr="0049458D">
        <w:rPr>
          <w:i/>
        </w:rPr>
        <w:t xml:space="preserve"> Court of Appeal, Greece</w:t>
      </w:r>
      <w:r w:rsidRPr="00863F17">
        <w:t xml:space="preserve"> [2016] </w:t>
      </w:r>
      <w:proofErr w:type="spellStart"/>
      <w:r w:rsidRPr="00863F17">
        <w:t>EWHC</w:t>
      </w:r>
      <w:proofErr w:type="spellEnd"/>
      <w:r w:rsidRPr="00863F17">
        <w:t xml:space="preserve"> 1801 (Admin), found that </w:t>
      </w:r>
      <w:proofErr w:type="spellStart"/>
      <w:r w:rsidRPr="00863F17">
        <w:t>Korydallos</w:t>
      </w:r>
      <w:proofErr w:type="spellEnd"/>
      <w:r w:rsidRPr="00863F17">
        <w:t xml:space="preserve"> </w:t>
      </w:r>
      <w:r w:rsidR="00E36197" w:rsidRPr="00E36197">
        <w:rPr>
          <w:bCs/>
          <w:i/>
          <w:iCs/>
        </w:rPr>
        <w:t>M</w:t>
      </w:r>
      <w:r w:rsidRPr="00E36197">
        <w:rPr>
          <w:bCs/>
          <w:i/>
          <w:iCs/>
        </w:rPr>
        <w:t>en’s</w:t>
      </w:r>
      <w:r w:rsidRPr="00863F17">
        <w:t xml:space="preserve"> </w:t>
      </w:r>
      <w:r w:rsidR="00170BF7">
        <w:t>P</w:t>
      </w:r>
      <w:r w:rsidRPr="00863F17">
        <w:t xml:space="preserve">rison gave rise to a real risk of an </w:t>
      </w:r>
      <w:bookmarkStart w:id="14" w:name="_Int_IdYLBPwf"/>
      <w:proofErr w:type="gramStart"/>
      <w:r w:rsidRPr="00863F17">
        <w:t>Article</w:t>
      </w:r>
      <w:bookmarkEnd w:id="14"/>
      <w:proofErr w:type="gramEnd"/>
      <w:r w:rsidRPr="00863F17">
        <w:t xml:space="preserve"> 3 violation because of the overcrowding, understaffing and consequential risk of violence. The Court did not consider the women’s prison.</w:t>
      </w:r>
      <w:r w:rsidR="00AA26CC">
        <w:t xml:space="preserve">  In his </w:t>
      </w:r>
      <w:r w:rsidR="004B2490">
        <w:t xml:space="preserve">new </w:t>
      </w:r>
      <w:r w:rsidR="00AA26CC">
        <w:t>report for this application</w:t>
      </w:r>
      <w:r w:rsidR="009B7491">
        <w:t>,</w:t>
      </w:r>
      <w:r w:rsidR="00AA26CC">
        <w:t xml:space="preserve"> Professor Koulouris does deal with the women’s prison</w:t>
      </w:r>
      <w:r w:rsidR="006E57E4" w:rsidRPr="006E57E4">
        <w:t xml:space="preserve"> </w:t>
      </w:r>
      <w:r w:rsidR="006E57E4">
        <w:t>(</w:t>
      </w:r>
      <w:proofErr w:type="spellStart"/>
      <w:r w:rsidR="006E57E4" w:rsidRPr="00863F17">
        <w:t>Korydallos</w:t>
      </w:r>
      <w:proofErr w:type="spellEnd"/>
      <w:r w:rsidR="003A237F">
        <w:t xml:space="preserve"> II</w:t>
      </w:r>
      <w:r w:rsidR="006E57E4">
        <w:t>)</w:t>
      </w:r>
      <w:r w:rsidR="003A237F">
        <w:t xml:space="preserve">. </w:t>
      </w:r>
      <w:r w:rsidRPr="00863F17">
        <w:t xml:space="preserve"> </w:t>
      </w:r>
    </w:p>
    <w:p w14:paraId="7C38D5CD" w14:textId="36809F87" w:rsidR="00782465" w:rsidRPr="00470403" w:rsidRDefault="00782465" w:rsidP="00050581">
      <w:pPr>
        <w:pStyle w:val="ParaLevel1"/>
      </w:pPr>
      <w:r w:rsidRPr="00170BF7">
        <w:rPr>
          <w:bCs/>
        </w:rPr>
        <w:t>The Applicant has not identified any court decision since th</w:t>
      </w:r>
      <w:r w:rsidR="00EB1156">
        <w:rPr>
          <w:bCs/>
        </w:rPr>
        <w:t>e Second Judgment</w:t>
      </w:r>
      <w:r w:rsidRPr="00170BF7">
        <w:rPr>
          <w:bCs/>
        </w:rPr>
        <w:t>, in which there has been a court finding that th</w:t>
      </w:r>
      <w:r w:rsidR="004B2490">
        <w:rPr>
          <w:bCs/>
        </w:rPr>
        <w:t xml:space="preserve">at prison </w:t>
      </w:r>
      <w:r w:rsidRPr="00170BF7">
        <w:rPr>
          <w:bCs/>
        </w:rPr>
        <w:t xml:space="preserve">gives rise to </w:t>
      </w:r>
      <w:r w:rsidR="004B2490">
        <w:rPr>
          <w:bCs/>
        </w:rPr>
        <w:t xml:space="preserve">the risk of </w:t>
      </w:r>
      <w:r w:rsidRPr="00170BF7">
        <w:rPr>
          <w:bCs/>
        </w:rPr>
        <w:t xml:space="preserve">an </w:t>
      </w:r>
      <w:proofErr w:type="gramStart"/>
      <w:r w:rsidR="00470403">
        <w:rPr>
          <w:bCs/>
        </w:rPr>
        <w:t>A</w:t>
      </w:r>
      <w:r w:rsidRPr="00170BF7">
        <w:rPr>
          <w:bCs/>
        </w:rPr>
        <w:t>rticle</w:t>
      </w:r>
      <w:proofErr w:type="gramEnd"/>
      <w:r w:rsidRPr="00170BF7">
        <w:rPr>
          <w:bCs/>
        </w:rPr>
        <w:t xml:space="preserve"> 3 violation. </w:t>
      </w:r>
    </w:p>
    <w:p w14:paraId="47C262B6" w14:textId="41AFF274" w:rsidR="00E36197" w:rsidRDefault="00782465" w:rsidP="00050581">
      <w:pPr>
        <w:pStyle w:val="ParaLevel1"/>
        <w:rPr>
          <w:b/>
        </w:rPr>
      </w:pPr>
      <w:r w:rsidRPr="00863F17">
        <w:rPr>
          <w:bCs/>
        </w:rPr>
        <w:t xml:space="preserve">Further, </w:t>
      </w:r>
      <w:r w:rsidR="00470403">
        <w:rPr>
          <w:bCs/>
        </w:rPr>
        <w:t xml:space="preserve">it seems to me that </w:t>
      </w:r>
      <w:r w:rsidRPr="00863F17">
        <w:rPr>
          <w:bCs/>
        </w:rPr>
        <w:t xml:space="preserve">the new report of Professor Koulouris, dated 17 November 2022, does not provide a basis for concluding that the position has deteriorated in respect of that prison such that there are exceptional circumstances that justify reopening the appeal, or that absent reopening the appeal the </w:t>
      </w:r>
      <w:r w:rsidR="00470403">
        <w:rPr>
          <w:bCs/>
        </w:rPr>
        <w:t>A</w:t>
      </w:r>
      <w:r w:rsidRPr="00863F17">
        <w:rPr>
          <w:bCs/>
        </w:rPr>
        <w:t xml:space="preserve">pplicant would suffer a real injustice. </w:t>
      </w:r>
    </w:p>
    <w:p w14:paraId="201B03D2" w14:textId="71E23C45" w:rsidR="000E1A29" w:rsidRDefault="00E36197" w:rsidP="00050581">
      <w:pPr>
        <w:pStyle w:val="ParaLevel1"/>
        <w:rPr>
          <w:b/>
        </w:rPr>
      </w:pPr>
      <w:r w:rsidRPr="00E36197">
        <w:rPr>
          <w:bCs/>
        </w:rPr>
        <w:t>Even</w:t>
      </w:r>
      <w:r>
        <w:rPr>
          <w:b/>
        </w:rPr>
        <w:t xml:space="preserve"> </w:t>
      </w:r>
      <w:r>
        <w:rPr>
          <w:bCs/>
        </w:rPr>
        <w:t>a</w:t>
      </w:r>
      <w:r w:rsidR="00782465" w:rsidRPr="00E36197">
        <w:rPr>
          <w:bCs/>
        </w:rPr>
        <w:t xml:space="preserve">ssuming, for present purposes only, that Professor Koulouris is correct to calculate at </w:t>
      </w:r>
      <w:r w:rsidR="000E1ECE">
        <w:rPr>
          <w:bCs/>
        </w:rPr>
        <w:t>[</w:t>
      </w:r>
      <w:r w:rsidR="00782465" w:rsidRPr="00E36197">
        <w:rPr>
          <w:bCs/>
        </w:rPr>
        <w:t>52</w:t>
      </w:r>
      <w:r w:rsidR="000E1ECE">
        <w:rPr>
          <w:bCs/>
        </w:rPr>
        <w:t>]</w:t>
      </w:r>
      <w:r w:rsidR="00782465" w:rsidRPr="00E36197">
        <w:rPr>
          <w:bCs/>
        </w:rPr>
        <w:t xml:space="preserve"> that the overall space for women within the cells is 585</w:t>
      </w:r>
      <w:r w:rsidR="002A6831" w:rsidRPr="00E36197">
        <w:rPr>
          <w:bCs/>
        </w:rPr>
        <w:t>m</w:t>
      </w:r>
      <w:r w:rsidR="002A6831" w:rsidRPr="00531C58">
        <w:rPr>
          <w:bCs/>
          <w:vertAlign w:val="superscript"/>
        </w:rPr>
        <w:t>2</w:t>
      </w:r>
      <w:r w:rsidR="00782465" w:rsidRPr="00E36197">
        <w:rPr>
          <w:bCs/>
        </w:rPr>
        <w:t>, and there are 126 spaces for women, that equates to 4.64m</w:t>
      </w:r>
      <w:r w:rsidR="00531C58" w:rsidRPr="00531C58">
        <w:rPr>
          <w:bCs/>
          <w:vertAlign w:val="superscript"/>
        </w:rPr>
        <w:t>2</w:t>
      </w:r>
      <w:r w:rsidR="00782465" w:rsidRPr="00E36197">
        <w:rPr>
          <w:bCs/>
        </w:rPr>
        <w:t xml:space="preserve"> of personal space per woman. Thus, even if the prison reaches the highest overcrowding identified in Professor Koulouris’ Table 4 of 186 prisoners, the average space would be 3.1</w:t>
      </w:r>
      <w:r w:rsidR="00F5388E">
        <w:rPr>
          <w:bCs/>
        </w:rPr>
        <w:t>m</w:t>
      </w:r>
      <w:r w:rsidR="00077329" w:rsidRPr="00077329">
        <w:rPr>
          <w:bCs/>
          <w:vertAlign w:val="superscript"/>
        </w:rPr>
        <w:t>2</w:t>
      </w:r>
      <w:r w:rsidR="00782465" w:rsidRPr="00E36197">
        <w:rPr>
          <w:bCs/>
        </w:rPr>
        <w:t xml:space="preserve"> of personal space, still just above the threshold in </w:t>
      </w:r>
      <w:proofErr w:type="spellStart"/>
      <w:r w:rsidR="00782465" w:rsidRPr="00E36197">
        <w:rPr>
          <w:i/>
          <w:color w:val="000000"/>
        </w:rPr>
        <w:t>Muršić</w:t>
      </w:r>
      <w:proofErr w:type="spellEnd"/>
      <w:r w:rsidR="00782465" w:rsidRPr="00E36197">
        <w:rPr>
          <w:i/>
          <w:color w:val="000000"/>
        </w:rPr>
        <w:t xml:space="preserve"> v Croatia</w:t>
      </w:r>
      <w:r w:rsidR="00782465" w:rsidRPr="00E36197">
        <w:rPr>
          <w:color w:val="000000"/>
        </w:rPr>
        <w:t xml:space="preserve">, (7334/13, 20 October 2016, ECtHR </w:t>
      </w:r>
      <w:r w:rsidR="00531C58">
        <w:rPr>
          <w:color w:val="000000"/>
        </w:rPr>
        <w:t>(</w:t>
      </w:r>
      <w:r w:rsidR="00782465" w:rsidRPr="00E36197">
        <w:rPr>
          <w:color w:val="000000"/>
        </w:rPr>
        <w:t>GC</w:t>
      </w:r>
      <w:r w:rsidR="00531C58">
        <w:rPr>
          <w:color w:val="000000"/>
        </w:rPr>
        <w:t>)</w:t>
      </w:r>
      <w:r w:rsidR="00782465" w:rsidRPr="00E36197">
        <w:rPr>
          <w:color w:val="000000"/>
        </w:rPr>
        <w:t>)</w:t>
      </w:r>
      <w:r w:rsidR="008D3376">
        <w:rPr>
          <w:color w:val="000000"/>
        </w:rPr>
        <w:t xml:space="preserve"> and</w:t>
      </w:r>
      <w:r w:rsidR="008D3376" w:rsidRPr="008D3376">
        <w:rPr>
          <w:color w:val="000000"/>
          <w:szCs w:val="24"/>
        </w:rPr>
        <w:t xml:space="preserve"> </w:t>
      </w:r>
      <w:proofErr w:type="spellStart"/>
      <w:r w:rsidR="008704A2" w:rsidRPr="008704A2">
        <w:rPr>
          <w:i/>
          <w:iCs/>
          <w:color w:val="000000"/>
          <w:szCs w:val="24"/>
        </w:rPr>
        <w:t>Grecu</w:t>
      </w:r>
      <w:proofErr w:type="spellEnd"/>
      <w:r w:rsidR="008704A2" w:rsidRPr="008704A2">
        <w:rPr>
          <w:i/>
          <w:iCs/>
          <w:color w:val="000000"/>
          <w:szCs w:val="24"/>
        </w:rPr>
        <w:t xml:space="preserve"> v </w:t>
      </w:r>
      <w:proofErr w:type="spellStart"/>
      <w:r w:rsidR="008704A2" w:rsidRPr="008704A2">
        <w:rPr>
          <w:i/>
          <w:iCs/>
          <w:szCs w:val="24"/>
        </w:rPr>
        <w:t>Cornetu</w:t>
      </w:r>
      <w:proofErr w:type="spellEnd"/>
      <w:r w:rsidR="008704A2" w:rsidRPr="008704A2">
        <w:rPr>
          <w:i/>
          <w:iCs/>
          <w:szCs w:val="24"/>
        </w:rPr>
        <w:t xml:space="preserve"> Court (Romania)</w:t>
      </w:r>
      <w:r w:rsidR="008704A2">
        <w:rPr>
          <w:szCs w:val="24"/>
        </w:rPr>
        <w:t xml:space="preserve"> </w:t>
      </w:r>
      <w:r w:rsidR="0029261E" w:rsidRPr="0029261E">
        <w:t xml:space="preserve">[2017] </w:t>
      </w:r>
      <w:proofErr w:type="spellStart"/>
      <w:r w:rsidR="0029261E" w:rsidRPr="0029261E">
        <w:t>EWHC</w:t>
      </w:r>
      <w:proofErr w:type="spellEnd"/>
      <w:r w:rsidR="0029261E" w:rsidRPr="0029261E">
        <w:t xml:space="preserve"> 1427 (Admin)</w:t>
      </w:r>
      <w:r w:rsidR="0029261E">
        <w:t xml:space="preserve">.  </w:t>
      </w:r>
    </w:p>
    <w:p w14:paraId="709719F3" w14:textId="6FEF2CC8" w:rsidR="001D3213" w:rsidRDefault="00782465" w:rsidP="00050581">
      <w:pPr>
        <w:pStyle w:val="ParaLevel1"/>
        <w:rPr>
          <w:b/>
        </w:rPr>
      </w:pPr>
      <w:r w:rsidRPr="000E1A29">
        <w:rPr>
          <w:bCs/>
        </w:rPr>
        <w:t xml:space="preserve">In any event, and </w:t>
      </w:r>
      <w:r w:rsidR="000E1A29">
        <w:rPr>
          <w:bCs/>
        </w:rPr>
        <w:t xml:space="preserve">I think </w:t>
      </w:r>
      <w:r w:rsidRPr="000E1A29">
        <w:rPr>
          <w:bCs/>
        </w:rPr>
        <w:t xml:space="preserve">contrary to the impression given by Professor Koulouris in the bold font at </w:t>
      </w:r>
      <w:r w:rsidR="000E1A29">
        <w:rPr>
          <w:bCs/>
        </w:rPr>
        <w:t>p</w:t>
      </w:r>
      <w:r w:rsidRPr="000E1A29">
        <w:rPr>
          <w:bCs/>
        </w:rPr>
        <w:t>46, the figures in Table 4 include men and transgender women</w:t>
      </w:r>
      <w:r w:rsidR="00050581">
        <w:rPr>
          <w:bCs/>
        </w:rPr>
        <w:t>;</w:t>
      </w:r>
      <w:r w:rsidRPr="000E1A29">
        <w:rPr>
          <w:bCs/>
        </w:rPr>
        <w:t xml:space="preserve"> thus, </w:t>
      </w:r>
      <w:r w:rsidR="00050581">
        <w:rPr>
          <w:bCs/>
        </w:rPr>
        <w:t xml:space="preserve">the </w:t>
      </w:r>
      <w:r w:rsidRPr="000E1A29">
        <w:rPr>
          <w:bCs/>
        </w:rPr>
        <w:t xml:space="preserve">capacity figure for the whole area of this prison must be considered, identified at </w:t>
      </w:r>
      <w:r w:rsidR="00077329">
        <w:rPr>
          <w:bCs/>
        </w:rPr>
        <w:t>[</w:t>
      </w:r>
      <w:r w:rsidRPr="000E1A29">
        <w:rPr>
          <w:bCs/>
        </w:rPr>
        <w:t>52</w:t>
      </w:r>
      <w:r w:rsidR="00077329">
        <w:rPr>
          <w:bCs/>
        </w:rPr>
        <w:t>]</w:t>
      </w:r>
      <w:r w:rsidRPr="000E1A29">
        <w:rPr>
          <w:bCs/>
        </w:rPr>
        <w:t xml:space="preserve"> of his report</w:t>
      </w:r>
      <w:r w:rsidR="00F5388E">
        <w:rPr>
          <w:bCs/>
        </w:rPr>
        <w:t xml:space="preserve"> a</w:t>
      </w:r>
      <w:r w:rsidR="002A6831">
        <w:rPr>
          <w:bCs/>
        </w:rPr>
        <w:t>s</w:t>
      </w:r>
      <w:r w:rsidRPr="000E1A29">
        <w:rPr>
          <w:bCs/>
        </w:rPr>
        <w:t xml:space="preserve"> 849.23</w:t>
      </w:r>
      <w:r w:rsidR="00F5388E">
        <w:rPr>
          <w:bCs/>
        </w:rPr>
        <w:t>m</w:t>
      </w:r>
      <w:r w:rsidR="00077329" w:rsidRPr="00077329">
        <w:rPr>
          <w:bCs/>
          <w:vertAlign w:val="superscript"/>
        </w:rPr>
        <w:t>2</w:t>
      </w:r>
      <w:r w:rsidRPr="000E1A29">
        <w:rPr>
          <w:bCs/>
        </w:rPr>
        <w:t>, with a capacity of 174 prisoners. Thus, in July 2022 with 186 prisoners detained across the prison, the average space per prisoner was 4.5m</w:t>
      </w:r>
      <w:r w:rsidR="00F5388E" w:rsidRPr="00F5388E">
        <w:rPr>
          <w:bCs/>
          <w:vertAlign w:val="superscript"/>
        </w:rPr>
        <w:t>2</w:t>
      </w:r>
      <w:r w:rsidRPr="000E1A29">
        <w:rPr>
          <w:bCs/>
        </w:rPr>
        <w:t xml:space="preserve">. </w:t>
      </w:r>
    </w:p>
    <w:p w14:paraId="17D35F61" w14:textId="14D8C09D" w:rsidR="00266FF4" w:rsidRDefault="00782465" w:rsidP="00050581">
      <w:pPr>
        <w:pStyle w:val="ParaLevel1"/>
        <w:rPr>
          <w:b/>
        </w:rPr>
      </w:pPr>
      <w:r w:rsidRPr="001D3213">
        <w:rPr>
          <w:bCs/>
        </w:rPr>
        <w:lastRenderedPageBreak/>
        <w:t>Whilst Professor Koulouris raises the possibility that on certain days due to an influx of prisoners, space in a cell may drop below the 3</w:t>
      </w:r>
      <w:r w:rsidR="002A6831" w:rsidRPr="00E36197">
        <w:rPr>
          <w:bCs/>
        </w:rPr>
        <w:t>m</w:t>
      </w:r>
      <w:r w:rsidR="002A6831" w:rsidRPr="00531C58">
        <w:rPr>
          <w:bCs/>
          <w:vertAlign w:val="superscript"/>
        </w:rPr>
        <w:t>2</w:t>
      </w:r>
      <w:r w:rsidR="002A6831" w:rsidRPr="00E36197">
        <w:rPr>
          <w:bCs/>
        </w:rPr>
        <w:t xml:space="preserve"> </w:t>
      </w:r>
      <w:r w:rsidRPr="001D3213">
        <w:rPr>
          <w:bCs/>
        </w:rPr>
        <w:t xml:space="preserve">threshold, there is nothing that indicates that that is either long term or a permanent issue. The Divisional Court in the Applicant’s case placed weight on the fact that under the regime inmates are outside their cells for most of the day (see </w:t>
      </w:r>
      <w:r w:rsidR="001D3213">
        <w:rPr>
          <w:bCs/>
        </w:rPr>
        <w:t>[</w:t>
      </w:r>
      <w:r w:rsidRPr="001D3213">
        <w:rPr>
          <w:bCs/>
        </w:rPr>
        <w:t>68</w:t>
      </w:r>
      <w:r w:rsidR="001D3213">
        <w:rPr>
          <w:bCs/>
        </w:rPr>
        <w:t>]</w:t>
      </w:r>
      <w:r w:rsidRPr="001D3213">
        <w:rPr>
          <w:bCs/>
        </w:rPr>
        <w:t>). In</w:t>
      </w:r>
      <w:r w:rsidRPr="001D3213">
        <w:rPr>
          <w:i/>
          <w:color w:val="000000"/>
        </w:rPr>
        <w:t xml:space="preserve"> </w:t>
      </w:r>
      <w:proofErr w:type="spellStart"/>
      <w:r w:rsidRPr="001D3213">
        <w:rPr>
          <w:i/>
          <w:color w:val="000000"/>
        </w:rPr>
        <w:t>Muršić</w:t>
      </w:r>
      <w:proofErr w:type="spellEnd"/>
      <w:r w:rsidRPr="001D3213">
        <w:rPr>
          <w:iCs/>
          <w:color w:val="000000"/>
        </w:rPr>
        <w:t xml:space="preserve">, the Court accepted that short and minor reductions in the available space can rebut any presumption of an </w:t>
      </w:r>
      <w:proofErr w:type="gramStart"/>
      <w:r w:rsidR="001D3213">
        <w:rPr>
          <w:iCs/>
          <w:color w:val="000000"/>
        </w:rPr>
        <w:t>A</w:t>
      </w:r>
      <w:r w:rsidRPr="001D3213">
        <w:rPr>
          <w:iCs/>
          <w:color w:val="000000"/>
        </w:rPr>
        <w:t>rticle</w:t>
      </w:r>
      <w:proofErr w:type="gramEnd"/>
      <w:r w:rsidRPr="001D3213">
        <w:rPr>
          <w:iCs/>
          <w:color w:val="000000"/>
        </w:rPr>
        <w:t xml:space="preserve"> 3 violation, as can time spent outside the cells. </w:t>
      </w:r>
    </w:p>
    <w:p w14:paraId="69685129" w14:textId="77777777" w:rsidR="00266FF4" w:rsidRDefault="00782465" w:rsidP="00050581">
      <w:pPr>
        <w:pStyle w:val="ParaLevel1"/>
        <w:rPr>
          <w:b/>
        </w:rPr>
      </w:pPr>
      <w:r w:rsidRPr="00266FF4">
        <w:rPr>
          <w:bCs/>
        </w:rPr>
        <w:t xml:space="preserve">Further, whilst Professor Koulouris raises concerns about the sufficiency of the staffing, there is no suggestion that the prison is lawless or violent or the staff do not have sufficient control, such as to give rise to an article 3 violation. </w:t>
      </w:r>
    </w:p>
    <w:p w14:paraId="133B69F0" w14:textId="7D2E443F" w:rsidR="00782465" w:rsidRPr="003410B1" w:rsidRDefault="00782465" w:rsidP="00050581">
      <w:pPr>
        <w:pStyle w:val="ParaLevel1"/>
        <w:rPr>
          <w:b/>
        </w:rPr>
      </w:pPr>
      <w:r w:rsidRPr="00266FF4">
        <w:rPr>
          <w:bCs/>
        </w:rPr>
        <w:t xml:space="preserve">For these reasons, the Applicant has failed to demonstrate that she faces a real injustice, or there are exceptional circumstances that justify reopening her appeal to enable her to re-litigate the issue under </w:t>
      </w:r>
      <w:r w:rsidR="00EB6D33">
        <w:rPr>
          <w:bCs/>
        </w:rPr>
        <w:t>A</w:t>
      </w:r>
      <w:r w:rsidRPr="00266FF4">
        <w:rPr>
          <w:bCs/>
        </w:rPr>
        <w:t xml:space="preserve">rticle 3 ECHR. </w:t>
      </w:r>
    </w:p>
    <w:p w14:paraId="72FD16C6" w14:textId="7295F939" w:rsidR="003410B1" w:rsidRPr="00EB6D33" w:rsidRDefault="003410B1" w:rsidP="00050581">
      <w:pPr>
        <w:pStyle w:val="ParaLevel1"/>
        <w:rPr>
          <w:b/>
        </w:rPr>
      </w:pPr>
      <w:r>
        <w:rPr>
          <w:bCs/>
        </w:rPr>
        <w:t xml:space="preserve">I can deal briefly with other points. </w:t>
      </w:r>
    </w:p>
    <w:p w14:paraId="177F6D6A" w14:textId="2C7E2629" w:rsidR="00EB6D33" w:rsidRPr="003A04FC" w:rsidRDefault="00EB6D33" w:rsidP="00050581">
      <w:pPr>
        <w:pStyle w:val="ParaLevel1"/>
        <w:rPr>
          <w:b/>
        </w:rPr>
      </w:pPr>
      <w:r>
        <w:rPr>
          <w:bCs/>
        </w:rPr>
        <w:t>In relation to Article 8</w:t>
      </w:r>
      <w:r w:rsidR="003F6A89">
        <w:rPr>
          <w:bCs/>
        </w:rPr>
        <w:t>, there is nothing in this point for the reasons given in the Second Judgment, which remain valid.  The time that has passed since extradition was ordered was down to the Applicant, who has sought to delay extradition for as long as possible</w:t>
      </w:r>
      <w:r w:rsidR="00247003">
        <w:rPr>
          <w:bCs/>
        </w:rPr>
        <w:t xml:space="preserve"> including by running, unsuccessfully, parallel asylum proceedings</w:t>
      </w:r>
      <w:r w:rsidR="003F6A89">
        <w:rPr>
          <w:bCs/>
        </w:rPr>
        <w:t xml:space="preserve">.  </w:t>
      </w:r>
    </w:p>
    <w:p w14:paraId="4BD71304" w14:textId="61898C36" w:rsidR="00FB2183" w:rsidRDefault="003A04FC" w:rsidP="00050581">
      <w:pPr>
        <w:pStyle w:val="ParaLevel1"/>
      </w:pPr>
      <w:r>
        <w:t>I accept as a general proposition that delay can weigh in the Arti</w:t>
      </w:r>
      <w:r w:rsidR="00FA72AF">
        <w:t xml:space="preserve">cle 8 </w:t>
      </w:r>
      <w:r>
        <w:t>balance</w:t>
      </w:r>
      <w:r w:rsidR="000979DA">
        <w:t>.</w:t>
      </w:r>
      <w:r>
        <w:t xml:space="preserve">  </w:t>
      </w:r>
      <w:r w:rsidRPr="00863F17">
        <w:t>However, th</w:t>
      </w:r>
      <w:r w:rsidR="00364225">
        <w:t xml:space="preserve">at general proposition has little or </w:t>
      </w:r>
      <w:r w:rsidRPr="00863F17">
        <w:t xml:space="preserve">no application in circumstances where </w:t>
      </w:r>
      <w:r w:rsidRPr="00863F17">
        <w:rPr>
          <w:i/>
        </w:rPr>
        <w:t xml:space="preserve">extradition has been ordered. </w:t>
      </w:r>
      <w:r w:rsidR="00416293">
        <w:t>In</w:t>
      </w:r>
      <w:r w:rsidRPr="00863F17">
        <w:t xml:space="preserve"> delay cases</w:t>
      </w:r>
      <w:r w:rsidR="00416293">
        <w:t>,</w:t>
      </w:r>
      <w:r w:rsidRPr="00863F17">
        <w:t xml:space="preserve"> where extradition is in the balance, the diminution of public interest reflects the fact that the prosecuting agencies have shown a lack of urgency in bringing the requested person to justice (cf. </w:t>
      </w:r>
      <w:r w:rsidRPr="00416293">
        <w:rPr>
          <w:i/>
        </w:rPr>
        <w:t>H</w:t>
      </w:r>
      <w:r w:rsidR="00416293">
        <w:rPr>
          <w:i/>
        </w:rPr>
        <w:t>(</w:t>
      </w:r>
      <w:r w:rsidRPr="00416293">
        <w:rPr>
          <w:i/>
        </w:rPr>
        <w:t>H</w:t>
      </w:r>
      <w:r w:rsidR="00416293">
        <w:rPr>
          <w:i/>
        </w:rPr>
        <w:t>)</w:t>
      </w:r>
      <w:r w:rsidR="00817145">
        <w:rPr>
          <w:i/>
        </w:rPr>
        <w:t xml:space="preserve"> </w:t>
      </w:r>
      <w:r w:rsidR="00817145">
        <w:rPr>
          <w:i/>
          <w:iCs/>
        </w:rPr>
        <w:t>H(H) v Italy</w:t>
      </w:r>
      <w:r w:rsidR="00817145">
        <w:t xml:space="preserve"> </w:t>
      </w:r>
      <w:r w:rsidR="00817145">
        <w:rPr>
          <w:i/>
          <w:iCs/>
        </w:rPr>
        <w:t>Deputy Prosecutor of the Italian Republic, Genoa</w:t>
      </w:r>
      <w:r w:rsidR="00817145">
        <w:t xml:space="preserve"> </w:t>
      </w:r>
      <w:r w:rsidR="00817145" w:rsidRPr="00817145">
        <w:t xml:space="preserve">[2013] 1 AC </w:t>
      </w:r>
      <w:proofErr w:type="gramStart"/>
      <w:r w:rsidR="00817145" w:rsidRPr="00817145">
        <w:t>338</w:t>
      </w:r>
      <w:r w:rsidR="00817145">
        <w:t>;</w:t>
      </w:r>
      <w:proofErr w:type="gramEnd"/>
      <w:r w:rsidR="00817145">
        <w:t xml:space="preserve"> </w:t>
      </w:r>
      <w:r w:rsidRPr="00863F17">
        <w:t xml:space="preserve">at </w:t>
      </w:r>
      <w:r w:rsidR="00416293">
        <w:t>[</w:t>
      </w:r>
      <w:r w:rsidRPr="00863F17">
        <w:t>46</w:t>
      </w:r>
      <w:r w:rsidR="00416293">
        <w:t>]</w:t>
      </w:r>
      <w:r w:rsidRPr="00863F17">
        <w:t xml:space="preserve"> </w:t>
      </w:r>
      <w:r w:rsidRPr="00863F17">
        <w:rPr>
          <w:i/>
        </w:rPr>
        <w:t xml:space="preserve">per </w:t>
      </w:r>
      <w:r w:rsidRPr="00863F17">
        <w:t xml:space="preserve">Lady Hale and </w:t>
      </w:r>
      <w:r w:rsidR="00416293">
        <w:t>[</w:t>
      </w:r>
      <w:r w:rsidRPr="00863F17">
        <w:t>91</w:t>
      </w:r>
      <w:r w:rsidR="00416293">
        <w:t>]</w:t>
      </w:r>
      <w:r w:rsidRPr="00863F17">
        <w:t xml:space="preserve"> </w:t>
      </w:r>
      <w:r w:rsidRPr="00863F17">
        <w:rPr>
          <w:i/>
        </w:rPr>
        <w:t xml:space="preserve">per </w:t>
      </w:r>
      <w:r w:rsidRPr="00863F17">
        <w:t xml:space="preserve">Lord Hope). That is clearly not on all fours with the case like the present, where the prosecuting authorities have acted </w:t>
      </w:r>
      <w:bookmarkStart w:id="15" w:name="_Int_YkBpECyK"/>
      <w:proofErr w:type="gramStart"/>
      <w:r w:rsidRPr="00863F17">
        <w:t>diligently</w:t>
      </w:r>
      <w:bookmarkEnd w:id="15"/>
      <w:proofErr w:type="gramEnd"/>
      <w:r w:rsidRPr="00863F17">
        <w:t xml:space="preserve"> and removal is then delayed due to the workings of the asylum process</w:t>
      </w:r>
      <w:r w:rsidR="009A69FD">
        <w:t xml:space="preserve"> at the instigation of the Applicant</w:t>
      </w:r>
      <w:r w:rsidRPr="00863F17">
        <w:t xml:space="preserve">. </w:t>
      </w:r>
    </w:p>
    <w:p w14:paraId="1766E0D2" w14:textId="23A6E9FF" w:rsidR="00782465" w:rsidRDefault="00FB2183" w:rsidP="00050581">
      <w:pPr>
        <w:pStyle w:val="ParaLevel1"/>
      </w:pPr>
      <w:r>
        <w:t xml:space="preserve">There is nothing, either, in the specialty point.    Article </w:t>
      </w:r>
      <w:r w:rsidR="005C4587">
        <w:t xml:space="preserve">27 of the </w:t>
      </w:r>
      <w:proofErr w:type="spellStart"/>
      <w:r w:rsidR="005C4587">
        <w:t>EAW</w:t>
      </w:r>
      <w:proofErr w:type="spellEnd"/>
      <w:r w:rsidR="005C4587">
        <w:t xml:space="preserve"> Framework Decision contains speciality protection</w:t>
      </w:r>
      <w:r w:rsidR="00E93987">
        <w:t xml:space="preserve"> which will serve to protect the Applicant.</w:t>
      </w:r>
    </w:p>
    <w:p w14:paraId="253C7F90" w14:textId="77777777" w:rsidR="001B6382" w:rsidRDefault="005C4587" w:rsidP="00050581">
      <w:pPr>
        <w:pStyle w:val="ParaLevel1"/>
      </w:pPr>
      <w:r>
        <w:t xml:space="preserve">Finally, the Applicant’s suggested mental health problems do not come close to establishing oppression under </w:t>
      </w:r>
      <w:r w:rsidR="00953422">
        <w:t xml:space="preserve">s 25 of the EA 2003 </w:t>
      </w:r>
      <w:proofErr w:type="gramStart"/>
      <w:r w:rsidR="00953422">
        <w:t>so as to</w:t>
      </w:r>
      <w:proofErr w:type="gramEnd"/>
      <w:r w:rsidR="00953422">
        <w:t xml:space="preserve"> prevent or delay extradition. </w:t>
      </w:r>
      <w:r w:rsidR="00E93987">
        <w:t xml:space="preserve">   It is to be presumed that Greece will be able to </w:t>
      </w:r>
      <w:r w:rsidR="00BC1AC2">
        <w:t>provide her with any medical treatment she requires</w:t>
      </w:r>
      <w:r w:rsidR="00611133">
        <w:t>,</w:t>
      </w:r>
      <w:r w:rsidR="00BC1AC2">
        <w:t xml:space="preserve"> and I am sure that her resourceful lawyers will ensure</w:t>
      </w:r>
      <w:r w:rsidR="00611133">
        <w:t xml:space="preserve"> that</w:t>
      </w:r>
      <w:r w:rsidR="00BC1AC2">
        <w:t xml:space="preserve"> her medical records go with her to Greece. </w:t>
      </w:r>
    </w:p>
    <w:p w14:paraId="287DE3F6" w14:textId="02C66C7F" w:rsidR="001B6382" w:rsidRPr="00863F17" w:rsidRDefault="00CD24CD" w:rsidP="00050581">
      <w:pPr>
        <w:pStyle w:val="ParaLevel1"/>
      </w:pPr>
      <w:r>
        <w:t>Overall, this application is in part a repetition of matters which have already been raised.</w:t>
      </w:r>
      <w:r w:rsidR="005C727D">
        <w:t xml:space="preserve">  </w:t>
      </w:r>
      <w:r w:rsidR="00963F01" w:rsidRPr="00863F17">
        <w:t xml:space="preserve">She has once already unsuccessfully attempted to avail herself of the Court’s </w:t>
      </w:r>
      <w:bookmarkStart w:id="16" w:name="_Int_JDIbYKoS"/>
      <w:r w:rsidR="00963F01" w:rsidRPr="00863F17">
        <w:t>jurisdiction</w:t>
      </w:r>
      <w:bookmarkEnd w:id="16"/>
      <w:r w:rsidR="00963F01" w:rsidRPr="00863F17">
        <w:t xml:space="preserve"> to reopen. Even where elements of her application relate to more recent developments (for example, her conviction in absence in 2020), it is notable that she has waited until the likely exhaustion of her asylum claim to challenge the outcome of her extradition proceedings. </w:t>
      </w:r>
      <w:r w:rsidR="001B6382">
        <w:t xml:space="preserve">  I note what Ouseley J said about the interplay between extradition and asylum </w:t>
      </w:r>
      <w:r w:rsidR="001B6382" w:rsidRPr="00863F17">
        <w:t xml:space="preserve">in </w:t>
      </w:r>
      <w:r w:rsidR="001B6382" w:rsidRPr="001B6382">
        <w:rPr>
          <w:i/>
        </w:rPr>
        <w:t>R (</w:t>
      </w:r>
      <w:proofErr w:type="spellStart"/>
      <w:r w:rsidR="001B6382" w:rsidRPr="001B6382">
        <w:rPr>
          <w:i/>
        </w:rPr>
        <w:t>Troitino</w:t>
      </w:r>
      <w:proofErr w:type="spellEnd"/>
      <w:r w:rsidR="001B6382" w:rsidRPr="001B6382">
        <w:rPr>
          <w:i/>
        </w:rPr>
        <w:t xml:space="preserve">) v National Crime Agency </w:t>
      </w:r>
      <w:r w:rsidR="001B6382" w:rsidRPr="00863F17">
        <w:t xml:space="preserve">[2017] </w:t>
      </w:r>
      <w:proofErr w:type="spellStart"/>
      <w:r w:rsidR="001B6382" w:rsidRPr="00863F17">
        <w:t>EWHC</w:t>
      </w:r>
      <w:proofErr w:type="spellEnd"/>
      <w:r w:rsidR="001B6382" w:rsidRPr="00863F17">
        <w:t xml:space="preserve"> 931 (Admin):</w:t>
      </w:r>
    </w:p>
    <w:p w14:paraId="009F2BAA" w14:textId="0519C640" w:rsidR="001B6382" w:rsidRPr="001B6382" w:rsidRDefault="001B6382" w:rsidP="00050581">
      <w:pPr>
        <w:ind w:left="1701" w:right="938"/>
        <w:jc w:val="both"/>
        <w:rPr>
          <w:iCs/>
        </w:rPr>
      </w:pPr>
      <w:r w:rsidRPr="001B6382">
        <w:rPr>
          <w:iCs/>
        </w:rPr>
        <w:lastRenderedPageBreak/>
        <w:t xml:space="preserve">“56. Any contention by a claimant that a document or action rejected by the </w:t>
      </w:r>
      <w:proofErr w:type="spellStart"/>
      <w:r w:rsidRPr="001B6382">
        <w:rPr>
          <w:iCs/>
        </w:rPr>
        <w:t>SSHD</w:t>
      </w:r>
      <w:proofErr w:type="spellEnd"/>
      <w:r w:rsidRPr="001B6382">
        <w:rPr>
          <w:iCs/>
        </w:rPr>
        <w:t xml:space="preserve"> as constituting an asylum claim must be tested and resolved swiftly, if there is an extradition background and not left to languish in uncertainty in the appeal process, whether for tactical purposes or not. The Magistrate’' Court and Divisional Court must be kept fully informed as to the precise position with any actual or </w:t>
      </w:r>
      <w:bookmarkStart w:id="17" w:name="_Int_TYCYOuG8"/>
      <w:r w:rsidRPr="001B6382">
        <w:rPr>
          <w:iCs/>
        </w:rPr>
        <w:t>purported asylum</w:t>
      </w:r>
      <w:bookmarkEnd w:id="17"/>
      <w:r w:rsidRPr="001B6382">
        <w:rPr>
          <w:iCs/>
        </w:rPr>
        <w:t xml:space="preserve"> claim. The human rights bars in ss21 and 21A, and the extraneous consideration bar in s13 of the 2003 Act should be fully presented and resolved in the extradition proceedings. They should not be reserved for any asylum claim nor should the extradition proceedings be adjourned to await the outcome of the asylum proceedings, unless </w:t>
      </w:r>
      <w:bookmarkStart w:id="18" w:name="_Int_LrZpds8X"/>
      <w:r w:rsidRPr="001B6382">
        <w:rPr>
          <w:iCs/>
        </w:rPr>
        <w:t>very good</w:t>
      </w:r>
      <w:bookmarkEnd w:id="18"/>
      <w:r w:rsidRPr="001B6382">
        <w:rPr>
          <w:iCs/>
        </w:rPr>
        <w:t xml:space="preserve"> reason to the contrary is shown. </w:t>
      </w:r>
    </w:p>
    <w:p w14:paraId="755ABD52" w14:textId="77777777" w:rsidR="001B6382" w:rsidRPr="001B6382" w:rsidRDefault="001B6382" w:rsidP="00050581">
      <w:pPr>
        <w:ind w:left="1701" w:right="938"/>
        <w:jc w:val="both"/>
        <w:rPr>
          <w:iCs/>
        </w:rPr>
      </w:pPr>
    </w:p>
    <w:p w14:paraId="564A89A6" w14:textId="6B8CE718" w:rsidR="00963F01" w:rsidRDefault="001B6382" w:rsidP="00050581">
      <w:pPr>
        <w:ind w:left="1701" w:right="938"/>
        <w:jc w:val="both"/>
        <w:rPr>
          <w:iCs/>
        </w:rPr>
      </w:pPr>
      <w:r w:rsidRPr="001B6382">
        <w:rPr>
          <w:iCs/>
        </w:rPr>
        <w:t xml:space="preserve">57. The extradition courts and the </w:t>
      </w:r>
      <w:proofErr w:type="spellStart"/>
      <w:r w:rsidRPr="001B6382">
        <w:rPr>
          <w:iCs/>
        </w:rPr>
        <w:t>FtT</w:t>
      </w:r>
      <w:proofErr w:type="spellEnd"/>
      <w:r w:rsidRPr="001B6382">
        <w:rPr>
          <w:iCs/>
        </w:rPr>
        <w:t xml:space="preserve"> and UTIAC should be astute to prevent any abuse of their procedures. Where the human rights issues have been resolved in the extradition proceedings, or where no bars were raised, it is difficult to see on what basis those issues should be reconsidered, let alone determined differently, in </w:t>
      </w:r>
      <w:proofErr w:type="spellStart"/>
      <w:r w:rsidRPr="001B6382">
        <w:rPr>
          <w:iCs/>
        </w:rPr>
        <w:t>FtT</w:t>
      </w:r>
      <w:proofErr w:type="spellEnd"/>
      <w:r w:rsidRPr="001B6382">
        <w:rPr>
          <w:iCs/>
        </w:rPr>
        <w:t xml:space="preserve"> or UTIAC proceedings, or why, if the human rights basis for an asylum claim has been disposed of in extradition proceedings, the empty husk of an asylum claim should not be disposed of rapidly by the Tribunal [emphasis added].</w:t>
      </w:r>
      <w:r>
        <w:rPr>
          <w:iCs/>
        </w:rPr>
        <w:t>”</w:t>
      </w:r>
      <w:r w:rsidRPr="001B6382">
        <w:rPr>
          <w:iCs/>
        </w:rPr>
        <w:t xml:space="preserve"> </w:t>
      </w:r>
    </w:p>
    <w:p w14:paraId="42C76152" w14:textId="2CB2FE8F" w:rsidR="00BB50A8" w:rsidRDefault="00BB50A8" w:rsidP="00050581">
      <w:pPr>
        <w:ind w:left="1701" w:right="938"/>
        <w:jc w:val="both"/>
      </w:pPr>
    </w:p>
    <w:p w14:paraId="69DC71B0" w14:textId="7A52CAF9" w:rsidR="00BB50A8" w:rsidRPr="00BB50A8" w:rsidRDefault="00BB50A8" w:rsidP="00050581">
      <w:pPr>
        <w:ind w:left="1701" w:right="938" w:hanging="1701"/>
        <w:jc w:val="both"/>
        <w:rPr>
          <w:b/>
          <w:bCs/>
        </w:rPr>
      </w:pPr>
      <w:r w:rsidRPr="00BB50A8">
        <w:rPr>
          <w:b/>
          <w:bCs/>
        </w:rPr>
        <w:t>Conclusion</w:t>
      </w:r>
    </w:p>
    <w:p w14:paraId="760EEEAA" w14:textId="72970643" w:rsidR="00E93987" w:rsidRPr="00863F17" w:rsidRDefault="004E1755" w:rsidP="00050581">
      <w:pPr>
        <w:pStyle w:val="ParaLevel1"/>
      </w:pPr>
      <w:r>
        <w:t>I consider that this present application is</w:t>
      </w:r>
      <w:r w:rsidR="00BB50A8">
        <w:t xml:space="preserve"> simply</w:t>
      </w:r>
      <w:r>
        <w:t xml:space="preserve"> another attempt by the Applicant to frustrate the extradition order made a decade ago. </w:t>
      </w:r>
      <w:r w:rsidR="009B7491">
        <w:t xml:space="preserve">  It comes nowhere near meeting the necessary high threshold. </w:t>
      </w:r>
      <w:r w:rsidR="00E93987">
        <w:t xml:space="preserve">This application is accordingly refused. </w:t>
      </w:r>
    </w:p>
    <w:p w14:paraId="4DBC9738" w14:textId="0813F255" w:rsidR="00963F01" w:rsidRPr="00863F17" w:rsidRDefault="00963F01" w:rsidP="00050581">
      <w:pPr>
        <w:jc w:val="both"/>
      </w:pPr>
      <w:r w:rsidRPr="00863F17">
        <w:t xml:space="preserve"> </w:t>
      </w:r>
    </w:p>
    <w:sectPr w:rsidR="00963F01" w:rsidRPr="00863F17" w:rsidSect="00050581">
      <w:type w:val="continuous"/>
      <w:pgSz w:w="11909" w:h="16834"/>
      <w:pgMar w:top="1440" w:right="1440" w:bottom="1440" w:left="1440" w:header="709"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EC3E5" w14:textId="77777777" w:rsidR="00EF3319" w:rsidRDefault="00EF3319">
      <w:r>
        <w:separator/>
      </w:r>
    </w:p>
  </w:endnote>
  <w:endnote w:type="continuationSeparator" w:id="0">
    <w:p w14:paraId="42CAB238" w14:textId="77777777" w:rsidR="00EF3319" w:rsidRDefault="00EF3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869C3" w14:textId="77777777" w:rsidR="005E2342" w:rsidRDefault="005E2342">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3A83F" w14:textId="2905F897" w:rsidR="005E2342" w:rsidRPr="00050581" w:rsidRDefault="005E2342" w:rsidP="00050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88B6B" w14:textId="77777777" w:rsidR="00EF3319" w:rsidRDefault="00EF3319">
      <w:r>
        <w:separator/>
      </w:r>
    </w:p>
  </w:footnote>
  <w:footnote w:type="continuationSeparator" w:id="0">
    <w:p w14:paraId="740DDC6F" w14:textId="77777777" w:rsidR="00EF3319" w:rsidRDefault="00EF3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1FE56" w14:textId="77777777" w:rsidR="005E2342" w:rsidRPr="003C3191" w:rsidRDefault="005E2342" w:rsidP="003C31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1" w15:restartNumberingAfterBreak="0">
    <w:nsid w:val="0F3E752F"/>
    <w:multiLevelType w:val="hybridMultilevel"/>
    <w:tmpl w:val="132C075A"/>
    <w:lvl w:ilvl="0" w:tplc="B0D8F816">
      <w:start w:val="1"/>
      <w:numFmt w:val="lowerLetter"/>
      <w:lvlText w:val="(%1)"/>
      <w:lvlJc w:val="left"/>
      <w:pPr>
        <w:ind w:left="1095" w:hanging="375"/>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0B35D54"/>
    <w:multiLevelType w:val="hybridMultilevel"/>
    <w:tmpl w:val="9C3A0150"/>
    <w:lvl w:ilvl="0" w:tplc="9314C9A6">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C5445C7"/>
    <w:multiLevelType w:val="hybridMultilevel"/>
    <w:tmpl w:val="D63673B8"/>
    <w:lvl w:ilvl="0" w:tplc="F4A87916">
      <w:start w:val="1"/>
      <w:numFmt w:val="lowerLetter"/>
      <w:lvlText w:val="(%1)"/>
      <w:lvlJc w:val="left"/>
      <w:pPr>
        <w:ind w:left="1095" w:hanging="375"/>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9DF472C"/>
    <w:multiLevelType w:val="hybridMultilevel"/>
    <w:tmpl w:val="70D06F06"/>
    <w:lvl w:ilvl="0" w:tplc="C15213F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52D63F6"/>
    <w:multiLevelType w:val="hybridMultilevel"/>
    <w:tmpl w:val="1CC631B0"/>
    <w:lvl w:ilvl="0" w:tplc="947E5360">
      <w:start w:val="1"/>
      <w:numFmt w:val="decimal"/>
      <w:lvlText w:val="%1."/>
      <w:lvlJc w:val="left"/>
      <w:pPr>
        <w:ind w:left="360" w:hanging="360"/>
      </w:pPr>
      <w:rPr>
        <w:rFonts w:hint="default"/>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7" w15:restartNumberingAfterBreak="0">
    <w:nsid w:val="62603678"/>
    <w:multiLevelType w:val="hybridMultilevel"/>
    <w:tmpl w:val="6610F1F8"/>
    <w:lvl w:ilvl="0" w:tplc="7DB2AFE4">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2CE42E1"/>
    <w:multiLevelType w:val="multilevel"/>
    <w:tmpl w:val="812860B8"/>
    <w:lvl w:ilvl="0">
      <w:start w:val="1"/>
      <w:numFmt w:val="decimal"/>
      <w:lvlRestart w:val="0"/>
      <w:pStyle w:val="N1"/>
      <w:suff w:val="nothing"/>
      <w:lvlText w:val="%1."/>
      <w:lvlJc w:val="left"/>
      <w:pPr>
        <w:tabs>
          <w:tab w:val="num" w:pos="360"/>
        </w:tabs>
        <w:ind w:left="0" w:firstLine="170"/>
      </w:pPr>
      <w:rPr>
        <w:b w:val="0"/>
        <w:bCs/>
      </w:rPr>
    </w:lvl>
    <w:lvl w:ilvl="1">
      <w:start w:val="1"/>
      <w:numFmt w:val="decimal"/>
      <w:pStyle w:val="N2"/>
      <w:suff w:val="space"/>
      <w:lvlText w:val="(%2)"/>
      <w:lvlJc w:val="left"/>
      <w:pPr>
        <w:tabs>
          <w:tab w:val="num" w:pos="720"/>
        </w:tabs>
        <w:ind w:left="0" w:firstLine="170"/>
      </w:pPr>
    </w:lvl>
    <w:lvl w:ilvl="2">
      <w:start w:val="1"/>
      <w:numFmt w:val="lowerLetter"/>
      <w:pStyle w:val="N3"/>
      <w:lvlText w:val="(%3)"/>
      <w:lvlJc w:val="left"/>
      <w:pPr>
        <w:tabs>
          <w:tab w:val="num" w:pos="737"/>
        </w:tabs>
        <w:ind w:left="737" w:hanging="397"/>
      </w:pPr>
    </w:lvl>
    <w:lvl w:ilvl="3">
      <w:start w:val="1"/>
      <w:numFmt w:val="lowerRoman"/>
      <w:pStyle w:val="N4"/>
      <w:lvlText w:val="(%4)"/>
      <w:lvlJc w:val="right"/>
      <w:pPr>
        <w:tabs>
          <w:tab w:val="num" w:pos="1134"/>
        </w:tabs>
        <w:ind w:left="1134" w:hanging="113"/>
      </w:pPr>
    </w:lvl>
    <w:lvl w:ilvl="4">
      <w:start w:val="1"/>
      <w:numFmt w:val="lowerLetter"/>
      <w:pStyle w:val="N5"/>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6"/>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2"/>
    </w:lvlOverride>
  </w:num>
  <w:num w:numId="13">
    <w:abstractNumId w:val="5"/>
  </w:num>
  <w:num w:numId="14">
    <w:abstractNumId w:val="2"/>
  </w:num>
  <w:num w:numId="15">
    <w:abstractNumId w:val="7"/>
  </w:num>
  <w:num w:numId="16">
    <w:abstractNumId w:val="4"/>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2A9A"/>
    <w:rsid w:val="00011DD0"/>
    <w:rsid w:val="00037EC9"/>
    <w:rsid w:val="000408E0"/>
    <w:rsid w:val="00047BD6"/>
    <w:rsid w:val="00050581"/>
    <w:rsid w:val="00052861"/>
    <w:rsid w:val="00077329"/>
    <w:rsid w:val="0008422F"/>
    <w:rsid w:val="000876C0"/>
    <w:rsid w:val="000910B2"/>
    <w:rsid w:val="000979DA"/>
    <w:rsid w:val="000A6825"/>
    <w:rsid w:val="000D4284"/>
    <w:rsid w:val="000E1A29"/>
    <w:rsid w:val="000E1E6B"/>
    <w:rsid w:val="000E1ECE"/>
    <w:rsid w:val="000E3DC4"/>
    <w:rsid w:val="000E70D3"/>
    <w:rsid w:val="001143B2"/>
    <w:rsid w:val="00114C4F"/>
    <w:rsid w:val="001151E5"/>
    <w:rsid w:val="00130CAC"/>
    <w:rsid w:val="0013383E"/>
    <w:rsid w:val="00155183"/>
    <w:rsid w:val="00170BF7"/>
    <w:rsid w:val="00172CA6"/>
    <w:rsid w:val="00175714"/>
    <w:rsid w:val="0018752E"/>
    <w:rsid w:val="001B6382"/>
    <w:rsid w:val="001D19A8"/>
    <w:rsid w:val="001D3213"/>
    <w:rsid w:val="001D32FA"/>
    <w:rsid w:val="001E1039"/>
    <w:rsid w:val="001E10C1"/>
    <w:rsid w:val="001E267E"/>
    <w:rsid w:val="00206454"/>
    <w:rsid w:val="00210AE7"/>
    <w:rsid w:val="00214556"/>
    <w:rsid w:val="00217AB8"/>
    <w:rsid w:val="0022001F"/>
    <w:rsid w:val="00230B16"/>
    <w:rsid w:val="002348CF"/>
    <w:rsid w:val="00247003"/>
    <w:rsid w:val="00266FF4"/>
    <w:rsid w:val="002701B5"/>
    <w:rsid w:val="00275A97"/>
    <w:rsid w:val="0027607C"/>
    <w:rsid w:val="002827E4"/>
    <w:rsid w:val="0029261E"/>
    <w:rsid w:val="002A3908"/>
    <w:rsid w:val="002A67C4"/>
    <w:rsid w:val="002A6831"/>
    <w:rsid w:val="002B312F"/>
    <w:rsid w:val="002C0808"/>
    <w:rsid w:val="002C6669"/>
    <w:rsid w:val="002E2AEA"/>
    <w:rsid w:val="002E5EC6"/>
    <w:rsid w:val="002F624C"/>
    <w:rsid w:val="00300F89"/>
    <w:rsid w:val="00302937"/>
    <w:rsid w:val="00313A82"/>
    <w:rsid w:val="00317FAB"/>
    <w:rsid w:val="00323819"/>
    <w:rsid w:val="00335575"/>
    <w:rsid w:val="00337662"/>
    <w:rsid w:val="00340338"/>
    <w:rsid w:val="003410B1"/>
    <w:rsid w:val="00341139"/>
    <w:rsid w:val="00342911"/>
    <w:rsid w:val="00364225"/>
    <w:rsid w:val="003665B0"/>
    <w:rsid w:val="003907CA"/>
    <w:rsid w:val="00397ABD"/>
    <w:rsid w:val="003A04FC"/>
    <w:rsid w:val="003A237F"/>
    <w:rsid w:val="003C3191"/>
    <w:rsid w:val="003C3977"/>
    <w:rsid w:val="003D3460"/>
    <w:rsid w:val="003F6A89"/>
    <w:rsid w:val="0040659E"/>
    <w:rsid w:val="00416293"/>
    <w:rsid w:val="00445A7C"/>
    <w:rsid w:val="00457626"/>
    <w:rsid w:val="00465B34"/>
    <w:rsid w:val="00470403"/>
    <w:rsid w:val="0049458D"/>
    <w:rsid w:val="004A3ADC"/>
    <w:rsid w:val="004A4048"/>
    <w:rsid w:val="004A6013"/>
    <w:rsid w:val="004B2490"/>
    <w:rsid w:val="004D28EF"/>
    <w:rsid w:val="004E0721"/>
    <w:rsid w:val="004E1755"/>
    <w:rsid w:val="004E2D29"/>
    <w:rsid w:val="004E7F9D"/>
    <w:rsid w:val="00505B8A"/>
    <w:rsid w:val="00506B56"/>
    <w:rsid w:val="0051071D"/>
    <w:rsid w:val="00531C58"/>
    <w:rsid w:val="00557CE6"/>
    <w:rsid w:val="005629FA"/>
    <w:rsid w:val="005707B1"/>
    <w:rsid w:val="005765DB"/>
    <w:rsid w:val="0059127A"/>
    <w:rsid w:val="005A5C06"/>
    <w:rsid w:val="005B30C6"/>
    <w:rsid w:val="005B59B7"/>
    <w:rsid w:val="005C4587"/>
    <w:rsid w:val="005C727D"/>
    <w:rsid w:val="005C7B88"/>
    <w:rsid w:val="005D2231"/>
    <w:rsid w:val="005D3299"/>
    <w:rsid w:val="005E2342"/>
    <w:rsid w:val="005E63C6"/>
    <w:rsid w:val="005E7366"/>
    <w:rsid w:val="005F5857"/>
    <w:rsid w:val="00611133"/>
    <w:rsid w:val="006133D4"/>
    <w:rsid w:val="00617F6D"/>
    <w:rsid w:val="00634426"/>
    <w:rsid w:val="00644A3F"/>
    <w:rsid w:val="0065247A"/>
    <w:rsid w:val="0065470D"/>
    <w:rsid w:val="00665A2F"/>
    <w:rsid w:val="00671872"/>
    <w:rsid w:val="00672A9A"/>
    <w:rsid w:val="006801BA"/>
    <w:rsid w:val="00687048"/>
    <w:rsid w:val="00695FAE"/>
    <w:rsid w:val="006C5123"/>
    <w:rsid w:val="006E57E4"/>
    <w:rsid w:val="006F3A23"/>
    <w:rsid w:val="007004B5"/>
    <w:rsid w:val="007007C1"/>
    <w:rsid w:val="0070423F"/>
    <w:rsid w:val="00705CD3"/>
    <w:rsid w:val="00726B90"/>
    <w:rsid w:val="00730E2C"/>
    <w:rsid w:val="0077125A"/>
    <w:rsid w:val="00782465"/>
    <w:rsid w:val="007A374E"/>
    <w:rsid w:val="007A38E9"/>
    <w:rsid w:val="007D64B3"/>
    <w:rsid w:val="007E1C5F"/>
    <w:rsid w:val="007F00C9"/>
    <w:rsid w:val="007F1427"/>
    <w:rsid w:val="00817145"/>
    <w:rsid w:val="0083244F"/>
    <w:rsid w:val="00836633"/>
    <w:rsid w:val="008500C7"/>
    <w:rsid w:val="008577E5"/>
    <w:rsid w:val="008621AB"/>
    <w:rsid w:val="00866B95"/>
    <w:rsid w:val="008704A2"/>
    <w:rsid w:val="00875066"/>
    <w:rsid w:val="008A3B42"/>
    <w:rsid w:val="008B0AC2"/>
    <w:rsid w:val="008B3F37"/>
    <w:rsid w:val="008B4CCE"/>
    <w:rsid w:val="008C4FFB"/>
    <w:rsid w:val="008D10CF"/>
    <w:rsid w:val="008D3376"/>
    <w:rsid w:val="008D3BE6"/>
    <w:rsid w:val="008E0824"/>
    <w:rsid w:val="008E5A6D"/>
    <w:rsid w:val="009020E8"/>
    <w:rsid w:val="0090578A"/>
    <w:rsid w:val="009059E8"/>
    <w:rsid w:val="00905BBF"/>
    <w:rsid w:val="00916316"/>
    <w:rsid w:val="009250E3"/>
    <w:rsid w:val="00933A0F"/>
    <w:rsid w:val="00953422"/>
    <w:rsid w:val="00963F01"/>
    <w:rsid w:val="009911CB"/>
    <w:rsid w:val="009A69FD"/>
    <w:rsid w:val="009B0831"/>
    <w:rsid w:val="009B5679"/>
    <w:rsid w:val="009B7491"/>
    <w:rsid w:val="009D24AD"/>
    <w:rsid w:val="009D53F1"/>
    <w:rsid w:val="009F2C94"/>
    <w:rsid w:val="009F3108"/>
    <w:rsid w:val="00A05E7C"/>
    <w:rsid w:val="00A20406"/>
    <w:rsid w:val="00A24D69"/>
    <w:rsid w:val="00A2569A"/>
    <w:rsid w:val="00A37A06"/>
    <w:rsid w:val="00A43DDA"/>
    <w:rsid w:val="00A450EA"/>
    <w:rsid w:val="00A45F01"/>
    <w:rsid w:val="00A47A9C"/>
    <w:rsid w:val="00A56676"/>
    <w:rsid w:val="00A67E78"/>
    <w:rsid w:val="00A67F25"/>
    <w:rsid w:val="00A9653C"/>
    <w:rsid w:val="00AA26CC"/>
    <w:rsid w:val="00AC3492"/>
    <w:rsid w:val="00AC59B5"/>
    <w:rsid w:val="00AE6329"/>
    <w:rsid w:val="00AF6D83"/>
    <w:rsid w:val="00B04424"/>
    <w:rsid w:val="00B10092"/>
    <w:rsid w:val="00B13414"/>
    <w:rsid w:val="00B25800"/>
    <w:rsid w:val="00B36044"/>
    <w:rsid w:val="00B37BFF"/>
    <w:rsid w:val="00B40EDA"/>
    <w:rsid w:val="00B44599"/>
    <w:rsid w:val="00B52C0B"/>
    <w:rsid w:val="00B72345"/>
    <w:rsid w:val="00B759E8"/>
    <w:rsid w:val="00B82D1E"/>
    <w:rsid w:val="00BA2264"/>
    <w:rsid w:val="00BA42BC"/>
    <w:rsid w:val="00BA5A6B"/>
    <w:rsid w:val="00BA7100"/>
    <w:rsid w:val="00BB4FDB"/>
    <w:rsid w:val="00BB50A8"/>
    <w:rsid w:val="00BB700C"/>
    <w:rsid w:val="00BC1AC2"/>
    <w:rsid w:val="00BD4F44"/>
    <w:rsid w:val="00BF26B2"/>
    <w:rsid w:val="00C1674F"/>
    <w:rsid w:val="00C23BD8"/>
    <w:rsid w:val="00C368C4"/>
    <w:rsid w:val="00C678ED"/>
    <w:rsid w:val="00C813DC"/>
    <w:rsid w:val="00C81D35"/>
    <w:rsid w:val="00C8491D"/>
    <w:rsid w:val="00CA66C1"/>
    <w:rsid w:val="00CB2887"/>
    <w:rsid w:val="00CC2238"/>
    <w:rsid w:val="00CC2D67"/>
    <w:rsid w:val="00CD24CD"/>
    <w:rsid w:val="00CF052D"/>
    <w:rsid w:val="00D054ED"/>
    <w:rsid w:val="00D12DBD"/>
    <w:rsid w:val="00D12F42"/>
    <w:rsid w:val="00D164B1"/>
    <w:rsid w:val="00D33052"/>
    <w:rsid w:val="00D370BA"/>
    <w:rsid w:val="00D73ABE"/>
    <w:rsid w:val="00D90CD2"/>
    <w:rsid w:val="00DA20A6"/>
    <w:rsid w:val="00DA229F"/>
    <w:rsid w:val="00DB13CB"/>
    <w:rsid w:val="00DB6482"/>
    <w:rsid w:val="00DC66FD"/>
    <w:rsid w:val="00DD6A55"/>
    <w:rsid w:val="00DE4E3B"/>
    <w:rsid w:val="00E15390"/>
    <w:rsid w:val="00E21CF2"/>
    <w:rsid w:val="00E337F0"/>
    <w:rsid w:val="00E36197"/>
    <w:rsid w:val="00E4064C"/>
    <w:rsid w:val="00E478F0"/>
    <w:rsid w:val="00E544E2"/>
    <w:rsid w:val="00E64929"/>
    <w:rsid w:val="00E65DD7"/>
    <w:rsid w:val="00E93987"/>
    <w:rsid w:val="00EA03BC"/>
    <w:rsid w:val="00EB043B"/>
    <w:rsid w:val="00EB1156"/>
    <w:rsid w:val="00EB6D33"/>
    <w:rsid w:val="00EC03D0"/>
    <w:rsid w:val="00EC1F10"/>
    <w:rsid w:val="00EC377B"/>
    <w:rsid w:val="00EF217B"/>
    <w:rsid w:val="00EF3319"/>
    <w:rsid w:val="00EF49F2"/>
    <w:rsid w:val="00F175BA"/>
    <w:rsid w:val="00F33CA0"/>
    <w:rsid w:val="00F5388E"/>
    <w:rsid w:val="00F63430"/>
    <w:rsid w:val="00F84085"/>
    <w:rsid w:val="00FA72AF"/>
    <w:rsid w:val="00FB2183"/>
    <w:rsid w:val="00FC1DB3"/>
    <w:rsid w:val="00FC5848"/>
    <w:rsid w:val="00FD2A35"/>
    <w:rsid w:val="00FD368C"/>
    <w:rsid w:val="00FE5F7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41F7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9"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1"/>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963F01"/>
    <w:pPr>
      <w:spacing w:line="360" w:lineRule="auto"/>
      <w:outlineLvl w:val="1"/>
    </w:pPr>
    <w:rPr>
      <w:rFonts w:ascii="Book Antiqua" w:eastAsia="Calibri" w:hAnsi="Book Antiqua"/>
      <w:b/>
      <w:bCs/>
      <w:sz w:val="22"/>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pPr>
    <w:rPr>
      <w:szCs w:val="20"/>
    </w:rPr>
  </w:style>
  <w:style w:type="paragraph" w:customStyle="1" w:styleId="ParaLevel1">
    <w:name w:val="ParaLevel1"/>
    <w:basedOn w:val="Normal"/>
    <w:pPr>
      <w:numPr>
        <w:numId w:val="1"/>
      </w:numPr>
      <w:suppressAutoHyphens/>
      <w:spacing w:before="240" w:after="240"/>
      <w:jc w:val="both"/>
      <w:outlineLvl w:val="0"/>
    </w:pPr>
    <w:rPr>
      <w:szCs w:val="20"/>
    </w:rPr>
  </w:style>
  <w:style w:type="paragraph" w:customStyle="1" w:styleId="ParaLevel2">
    <w:name w:val="ParaLevel2"/>
    <w:basedOn w:val="Normal"/>
    <w:pPr>
      <w:numPr>
        <w:ilvl w:val="1"/>
        <w:numId w:val="2"/>
      </w:numPr>
      <w:suppressAutoHyphens/>
      <w:spacing w:before="240" w:after="240"/>
      <w:jc w:val="both"/>
      <w:outlineLvl w:val="1"/>
    </w:pPr>
    <w:rPr>
      <w:szCs w:val="20"/>
    </w:rPr>
  </w:style>
  <w:style w:type="paragraph" w:customStyle="1" w:styleId="ParaLevel3">
    <w:name w:val="ParaLevel3"/>
    <w:basedOn w:val="Normal"/>
    <w:pPr>
      <w:numPr>
        <w:ilvl w:val="2"/>
        <w:numId w:val="3"/>
      </w:numPr>
      <w:suppressAutoHyphens/>
      <w:spacing w:before="240" w:after="240"/>
      <w:jc w:val="both"/>
      <w:outlineLvl w:val="2"/>
    </w:pPr>
    <w:rPr>
      <w:szCs w:val="20"/>
    </w:rPr>
  </w:style>
  <w:style w:type="paragraph" w:customStyle="1" w:styleId="ParaLevel4">
    <w:name w:val="ParaLevel4"/>
    <w:basedOn w:val="Normal"/>
    <w:pPr>
      <w:numPr>
        <w:ilvl w:val="3"/>
        <w:numId w:val="4"/>
      </w:numPr>
      <w:tabs>
        <w:tab w:val="clear" w:pos="3207"/>
        <w:tab w:val="num" w:pos="2836"/>
      </w:tabs>
      <w:suppressAutoHyphens/>
      <w:spacing w:before="240" w:after="240"/>
      <w:jc w:val="both"/>
      <w:outlineLvl w:val="3"/>
    </w:pPr>
    <w:rPr>
      <w:szCs w:val="20"/>
    </w:rPr>
  </w:style>
  <w:style w:type="paragraph" w:customStyle="1" w:styleId="ParaLevel5">
    <w:name w:val="ParaLevel5"/>
    <w:basedOn w:val="Normal"/>
    <w:pPr>
      <w:numPr>
        <w:ilvl w:val="4"/>
        <w:numId w:val="5"/>
      </w:numPr>
      <w:suppressAutoHyphens/>
      <w:spacing w:before="240" w:after="240"/>
      <w:jc w:val="both"/>
      <w:outlineLvl w:val="4"/>
    </w:pPr>
    <w:rPr>
      <w:szCs w:val="20"/>
    </w:rPr>
  </w:style>
  <w:style w:type="paragraph" w:customStyle="1" w:styleId="ParaLevel6">
    <w:name w:val="ParaLevel6"/>
    <w:basedOn w:val="Normal"/>
    <w:pPr>
      <w:numPr>
        <w:ilvl w:val="5"/>
        <w:numId w:val="6"/>
      </w:numPr>
      <w:tabs>
        <w:tab w:val="clear" w:pos="4625"/>
        <w:tab w:val="num" w:pos="4254"/>
      </w:tabs>
      <w:suppressAutoHyphens/>
      <w:spacing w:before="240" w:after="240"/>
      <w:jc w:val="both"/>
      <w:outlineLvl w:val="5"/>
    </w:pPr>
    <w:rPr>
      <w:szCs w:val="20"/>
    </w:rPr>
  </w:style>
  <w:style w:type="paragraph" w:customStyle="1" w:styleId="ParaLevel7">
    <w:name w:val="ParaLevel7"/>
    <w:basedOn w:val="Normal"/>
    <w:pPr>
      <w:numPr>
        <w:ilvl w:val="6"/>
        <w:numId w:val="7"/>
      </w:numPr>
      <w:suppressAutoHyphens/>
      <w:spacing w:before="240" w:after="240"/>
      <w:jc w:val="both"/>
      <w:outlineLvl w:val="6"/>
    </w:pPr>
    <w:rPr>
      <w:szCs w:val="20"/>
    </w:rPr>
  </w:style>
  <w:style w:type="paragraph" w:customStyle="1" w:styleId="ParaLevel8">
    <w:name w:val="ParaLevel8"/>
    <w:basedOn w:val="Normal"/>
    <w:pPr>
      <w:numPr>
        <w:ilvl w:val="7"/>
        <w:numId w:val="8"/>
      </w:numPr>
      <w:tabs>
        <w:tab w:val="clear" w:pos="6043"/>
        <w:tab w:val="num" w:pos="5672"/>
      </w:tabs>
      <w:suppressAutoHyphens/>
      <w:spacing w:before="240" w:after="240"/>
      <w:jc w:val="both"/>
      <w:outlineLvl w:val="7"/>
    </w:pPr>
    <w:rPr>
      <w:szCs w:val="20"/>
    </w:rPr>
  </w:style>
  <w:style w:type="paragraph" w:customStyle="1" w:styleId="ParaLevel9">
    <w:name w:val="ParaLevel9"/>
    <w:basedOn w:val="Normal"/>
    <w:pPr>
      <w:numPr>
        <w:ilvl w:val="8"/>
        <w:numId w:val="9"/>
      </w:numPr>
      <w:suppressAutoHyphens/>
      <w:spacing w:before="240" w:after="240"/>
      <w:jc w:val="both"/>
      <w:outlineLvl w:val="8"/>
    </w:pPr>
    <w:rPr>
      <w:szCs w:val="20"/>
    </w:rPr>
  </w:style>
  <w:style w:type="paragraph" w:customStyle="1" w:styleId="ParaNoNumber">
    <w:name w:val="ParaNoNumber"/>
    <w:basedOn w:val="Normal"/>
    <w:next w:val="ParaLevel1"/>
    <w:pPr>
      <w:spacing w:before="240" w:after="240"/>
      <w:jc w:val="both"/>
    </w:pPr>
    <w:rPr>
      <w:szCs w:val="20"/>
    </w:rPr>
  </w:style>
  <w:style w:type="paragraph" w:styleId="Quote">
    <w:name w:val="Quote"/>
    <w:basedOn w:val="Normal"/>
    <w:next w:val="ParaLevel1"/>
    <w:qFormat/>
    <w:pPr>
      <w:spacing w:after="240"/>
      <w:ind w:left="1440" w:right="144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customStyle="1" w:styleId="N1">
    <w:name w:val="N1"/>
    <w:basedOn w:val="Normal"/>
    <w:rsid w:val="00672A9A"/>
    <w:pPr>
      <w:numPr>
        <w:numId w:val="11"/>
      </w:numPr>
      <w:spacing w:before="160" w:line="220" w:lineRule="atLeast"/>
      <w:jc w:val="both"/>
    </w:pPr>
    <w:rPr>
      <w:sz w:val="21"/>
      <w:szCs w:val="20"/>
    </w:rPr>
  </w:style>
  <w:style w:type="paragraph" w:customStyle="1" w:styleId="eMailBlock">
    <w:name w:val="eMailBlock"/>
    <w:basedOn w:val="Title"/>
    <w:rPr>
      <w:sz w:val="26"/>
    </w:rPr>
  </w:style>
  <w:style w:type="paragraph" w:customStyle="1" w:styleId="N2">
    <w:name w:val="N2"/>
    <w:basedOn w:val="N1"/>
    <w:link w:val="N2Char"/>
    <w:rsid w:val="00672A9A"/>
    <w:pPr>
      <w:numPr>
        <w:ilvl w:val="1"/>
      </w:numPr>
      <w:spacing w:before="80"/>
    </w:pPr>
  </w:style>
  <w:style w:type="character" w:customStyle="1" w:styleId="N2Char">
    <w:name w:val="N2 Char"/>
    <w:link w:val="N2"/>
    <w:rsid w:val="00672A9A"/>
    <w:rPr>
      <w:sz w:val="21"/>
      <w:lang w:eastAsia="en-US"/>
    </w:rPr>
  </w:style>
  <w:style w:type="paragraph" w:customStyle="1" w:styleId="N3">
    <w:name w:val="N3"/>
    <w:basedOn w:val="N2"/>
    <w:link w:val="N3Char"/>
    <w:rsid w:val="00672A9A"/>
    <w:pPr>
      <w:numPr>
        <w:ilvl w:val="2"/>
      </w:numPr>
    </w:pPr>
  </w:style>
  <w:style w:type="character" w:customStyle="1" w:styleId="N3Char">
    <w:name w:val="N3 Char"/>
    <w:link w:val="N3"/>
    <w:rsid w:val="00672A9A"/>
    <w:rPr>
      <w:sz w:val="21"/>
      <w:lang w:eastAsia="en-US"/>
    </w:rPr>
  </w:style>
  <w:style w:type="paragraph" w:customStyle="1" w:styleId="N1legal">
    <w:name w:val="N1legal"/>
    <w:basedOn w:val="Normal"/>
    <w:rsid w:val="00672A9A"/>
    <w:pPr>
      <w:spacing w:before="160" w:line="220" w:lineRule="atLeast"/>
      <w:ind w:firstLine="170"/>
      <w:jc w:val="both"/>
    </w:pPr>
    <w:rPr>
      <w:sz w:val="21"/>
      <w:szCs w:val="20"/>
    </w:rPr>
  </w:style>
  <w:style w:type="paragraph" w:customStyle="1" w:styleId="N4">
    <w:name w:val="N4"/>
    <w:basedOn w:val="N3"/>
    <w:link w:val="N4Char"/>
    <w:rsid w:val="00672A9A"/>
    <w:pPr>
      <w:numPr>
        <w:ilvl w:val="3"/>
      </w:numPr>
    </w:pPr>
  </w:style>
  <w:style w:type="character" w:customStyle="1" w:styleId="N4Char">
    <w:name w:val="N4 Char"/>
    <w:link w:val="N4"/>
    <w:rsid w:val="00672A9A"/>
    <w:rPr>
      <w:sz w:val="21"/>
      <w:lang w:eastAsia="en-US"/>
    </w:rPr>
  </w:style>
  <w:style w:type="paragraph" w:customStyle="1" w:styleId="N5">
    <w:name w:val="N5"/>
    <w:basedOn w:val="N4"/>
    <w:rsid w:val="00672A9A"/>
    <w:pPr>
      <w:numPr>
        <w:ilvl w:val="4"/>
      </w:numPr>
    </w:pPr>
  </w:style>
  <w:style w:type="character" w:customStyle="1" w:styleId="Heading2Char">
    <w:name w:val="Heading 2 Char"/>
    <w:link w:val="Heading2"/>
    <w:uiPriority w:val="9"/>
    <w:rsid w:val="00963F01"/>
    <w:rPr>
      <w:rFonts w:ascii="Book Antiqua" w:eastAsia="Calibri" w:hAnsi="Book Antiqua"/>
      <w:b/>
      <w:bCs/>
      <w:sz w:val="22"/>
      <w:szCs w:val="24"/>
      <w:lang w:eastAsia="en-US"/>
    </w:rPr>
  </w:style>
  <w:style w:type="paragraph" w:styleId="ListParagraph">
    <w:name w:val="List Paragraph"/>
    <w:basedOn w:val="Normal"/>
    <w:uiPriority w:val="99"/>
    <w:qFormat/>
    <w:rsid w:val="00963F01"/>
    <w:pPr>
      <w:ind w:left="720"/>
      <w:contextualSpacing/>
    </w:pPr>
    <w:rPr>
      <w:rFonts w:ascii="Book Antiqua" w:eastAsia="Calibri" w:hAnsi="Book Antiqua"/>
      <w:sz w:val="22"/>
    </w:rPr>
  </w:style>
  <w:style w:type="character" w:customStyle="1" w:styleId="Heading1Char">
    <w:name w:val="Heading 1 Char"/>
    <w:link w:val="Heading1"/>
    <w:uiPriority w:val="1"/>
    <w:rsid w:val="00963F01"/>
    <w:rPr>
      <w:rFonts w:ascii="Arial" w:hAnsi="Arial" w:cs="Arial"/>
      <w:b/>
      <w:bCs/>
      <w:kern w:val="32"/>
      <w:sz w:val="32"/>
      <w:szCs w:val="32"/>
      <w:lang w:eastAsia="en-US"/>
    </w:rPr>
  </w:style>
  <w:style w:type="character" w:customStyle="1" w:styleId="Heading3Char">
    <w:name w:val="Heading 3 Char"/>
    <w:link w:val="Heading3"/>
    <w:uiPriority w:val="9"/>
    <w:rsid w:val="00963F01"/>
    <w:rPr>
      <w:rFonts w:ascii="Arial" w:hAnsi="Arial" w:cs="Arial"/>
      <w:b/>
      <w:bCs/>
      <w:sz w:val="26"/>
      <w:szCs w:val="26"/>
      <w:lang w:eastAsia="en-US"/>
    </w:rPr>
  </w:style>
  <w:style w:type="paragraph" w:styleId="FootnoteText">
    <w:name w:val="footnote text"/>
    <w:basedOn w:val="Normal"/>
    <w:link w:val="FootnoteTextChar"/>
    <w:uiPriority w:val="99"/>
    <w:unhideWhenUsed/>
    <w:rsid w:val="00963F01"/>
    <w:rPr>
      <w:rFonts w:ascii="Book Antiqua" w:eastAsia="Calibri" w:hAnsi="Book Antiqua"/>
      <w:sz w:val="20"/>
      <w:szCs w:val="20"/>
    </w:rPr>
  </w:style>
  <w:style w:type="character" w:customStyle="1" w:styleId="FootnoteTextChar">
    <w:name w:val="Footnote Text Char"/>
    <w:link w:val="FootnoteText"/>
    <w:uiPriority w:val="99"/>
    <w:rsid w:val="00963F01"/>
    <w:rPr>
      <w:rFonts w:ascii="Book Antiqua" w:eastAsia="Calibri" w:hAnsi="Book Antiqua"/>
      <w:lang w:eastAsia="en-US"/>
    </w:rPr>
  </w:style>
  <w:style w:type="character" w:styleId="FootnoteReference">
    <w:name w:val="footnote reference"/>
    <w:uiPriority w:val="99"/>
    <w:unhideWhenUsed/>
    <w:rsid w:val="00963F01"/>
    <w:rPr>
      <w:vertAlign w:val="superscript"/>
    </w:rPr>
  </w:style>
  <w:style w:type="character" w:customStyle="1" w:styleId="coitalic">
    <w:name w:val="co_italic"/>
    <w:basedOn w:val="DefaultParagraphFont"/>
    <w:rsid w:val="00963F01"/>
  </w:style>
  <w:style w:type="paragraph" w:customStyle="1" w:styleId="xmsonormal">
    <w:name w:val="x_msonormal"/>
    <w:basedOn w:val="Normal"/>
    <w:rsid w:val="008A3B42"/>
    <w:pPr>
      <w:spacing w:before="100" w:beforeAutospacing="1" w:after="100" w:afterAutospacing="1"/>
    </w:pPr>
    <w:rPr>
      <w:lang w:eastAsia="en-GB"/>
    </w:rPr>
  </w:style>
  <w:style w:type="character" w:styleId="Hyperlink">
    <w:name w:val="Hyperlink"/>
    <w:uiPriority w:val="99"/>
    <w:unhideWhenUsed/>
    <w:rsid w:val="008171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902057">
      <w:bodyDiv w:val="1"/>
      <w:marLeft w:val="0"/>
      <w:marRight w:val="0"/>
      <w:marTop w:val="0"/>
      <w:marBottom w:val="0"/>
      <w:divBdr>
        <w:top w:val="none" w:sz="0" w:space="0" w:color="auto"/>
        <w:left w:val="none" w:sz="0" w:space="0" w:color="auto"/>
        <w:bottom w:val="none" w:sz="0" w:space="0" w:color="auto"/>
        <w:right w:val="none" w:sz="0" w:space="0" w:color="auto"/>
      </w:divBdr>
    </w:div>
    <w:div w:id="112226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4563</Words>
  <Characters>26011</Characters>
  <Application>Microsoft Office Word</Application>
  <DocSecurity>0</DocSecurity>
  <Lines>216</Lines>
  <Paragraphs>61</Paragraphs>
  <ScaleCrop>false</ScaleCrop>
  <Company/>
  <LinksUpToDate>false</LinksUpToDate>
  <CharactersWithSpaces>30513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2022-12-13T10:23:00Z</dcterms:created>
  <dcterms:modified xsi:type="dcterms:W3CDTF">2022-12-13T10:23:00Z</dcterms:modified>
</cp:coreProperties>
</file>