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60CCB" w14:textId="77777777" w:rsidR="008B2884" w:rsidRPr="001D1D3C" w:rsidRDefault="008E0E65" w:rsidP="008B2884">
      <w:r w:rsidRPr="001D1D3C">
        <w:rPr>
          <w:noProof/>
          <w:lang w:eastAsia="en-GB"/>
        </w:rPr>
        <w:drawing>
          <wp:anchor distT="0" distB="0" distL="114300" distR="114300" simplePos="0" relativeHeight="251662336" behindDoc="0" locked="0" layoutInCell="1" allowOverlap="1" wp14:anchorId="54399436" wp14:editId="3FF7CF88">
            <wp:simplePos x="0" y="0"/>
            <wp:positionH relativeFrom="margin">
              <wp:align>center</wp:align>
            </wp:positionH>
            <wp:positionV relativeFrom="margin">
              <wp:align>top</wp:align>
            </wp:positionV>
            <wp:extent cx="1047600" cy="9144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0476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55821E" w14:textId="77777777" w:rsidR="008B2884" w:rsidRPr="001D1D3C" w:rsidRDefault="008B2884" w:rsidP="008B2884"/>
    <w:p w14:paraId="006D7F7C" w14:textId="77777777" w:rsidR="008B2884" w:rsidRPr="001D1D3C" w:rsidRDefault="008B2884" w:rsidP="008B2884"/>
    <w:p w14:paraId="03C06F93" w14:textId="77777777" w:rsidR="008B2884" w:rsidRPr="001D1D3C" w:rsidRDefault="008B2884" w:rsidP="008B2884"/>
    <w:p w14:paraId="0884FE5F" w14:textId="77777777" w:rsidR="008B2884" w:rsidRPr="001D1D3C" w:rsidRDefault="008B2884" w:rsidP="008B2884"/>
    <w:p w14:paraId="711F48AD" w14:textId="77777777" w:rsidR="008B2884" w:rsidRPr="001D1D3C" w:rsidRDefault="008B2884" w:rsidP="008B2884">
      <w:pPr>
        <w:jc w:val="left"/>
      </w:pPr>
    </w:p>
    <w:p w14:paraId="5833FE54" w14:textId="3CBB548D" w:rsidR="008B2884" w:rsidRDefault="008B2884" w:rsidP="008B2884">
      <w:pPr>
        <w:jc w:val="left"/>
      </w:pPr>
      <w:r w:rsidRPr="008B2884">
        <w:t xml:space="preserve">Neutral </w:t>
      </w:r>
      <w:r w:rsidR="00F1730C">
        <w:t>C</w:t>
      </w:r>
      <w:r w:rsidRPr="008B2884">
        <w:t>itation: [202</w:t>
      </w:r>
      <w:r w:rsidR="003A722B">
        <w:t>3</w:t>
      </w:r>
      <w:r w:rsidRPr="008B2884">
        <w:t xml:space="preserve">] UKFTT </w:t>
      </w:r>
      <w:r w:rsidR="008F5F47" w:rsidRPr="008F5F47">
        <w:t xml:space="preserve">00045 </w:t>
      </w:r>
      <w:r w:rsidRPr="008B2884">
        <w:t>(TC)</w:t>
      </w:r>
    </w:p>
    <w:p w14:paraId="5DB0B4B4" w14:textId="6FDFE88D" w:rsidR="008B2884" w:rsidRPr="008B2884" w:rsidRDefault="008B2884" w:rsidP="008B2884">
      <w:pPr>
        <w:jc w:val="right"/>
      </w:pPr>
      <w:r w:rsidRPr="008B2884">
        <w:t>Case Number: TC</w:t>
      </w:r>
      <w:r w:rsidR="003A722B">
        <w:t>08694</w:t>
      </w:r>
    </w:p>
    <w:p w14:paraId="5F115593" w14:textId="77777777" w:rsidR="008B2884" w:rsidRDefault="008B2884" w:rsidP="008B2884">
      <w:pPr>
        <w:jc w:val="left"/>
        <w:rPr>
          <w:b/>
          <w:bCs/>
        </w:rPr>
      </w:pPr>
      <w:r w:rsidRPr="008B2884">
        <w:rPr>
          <w:b/>
          <w:bCs/>
        </w:rPr>
        <w:t>FIRST-TIER TRIBUNAL</w:t>
      </w:r>
    </w:p>
    <w:p w14:paraId="370CCFBB" w14:textId="77777777" w:rsidR="008B2884" w:rsidRPr="008B2884" w:rsidRDefault="008B2884" w:rsidP="008B2884">
      <w:pPr>
        <w:jc w:val="left"/>
        <w:rPr>
          <w:b/>
          <w:bCs/>
        </w:rPr>
      </w:pPr>
      <w:r w:rsidRPr="008B2884">
        <w:rPr>
          <w:b/>
          <w:bCs/>
        </w:rPr>
        <w:t>TAX CHAMBER</w:t>
      </w:r>
    </w:p>
    <w:p w14:paraId="0189FEEC" w14:textId="77777777" w:rsidR="008B2884" w:rsidRDefault="00F1730C" w:rsidP="006135FF">
      <w:pPr>
        <w:ind w:left="4395"/>
        <w:jc w:val="right"/>
      </w:pPr>
      <w:r>
        <w:t>B</w:t>
      </w:r>
      <w:r w:rsidR="00386D5D">
        <w:t>y remote video hearing</w:t>
      </w:r>
    </w:p>
    <w:p w14:paraId="260549E0" w14:textId="77777777" w:rsidR="008B2884" w:rsidRDefault="008B2884" w:rsidP="008B2884">
      <w:pPr>
        <w:jc w:val="right"/>
      </w:pPr>
    </w:p>
    <w:p w14:paraId="1098CBB0" w14:textId="0ED78B1E" w:rsidR="003A722B" w:rsidRDefault="00386D5D" w:rsidP="008B2884">
      <w:pPr>
        <w:jc w:val="right"/>
      </w:pPr>
      <w:r>
        <w:t>Appeal reference: TC/2021/00667</w:t>
      </w:r>
    </w:p>
    <w:p w14:paraId="33EFDB50" w14:textId="2207641F" w:rsidR="008B2884" w:rsidRDefault="00386D5D" w:rsidP="008B2884">
      <w:pPr>
        <w:jc w:val="right"/>
      </w:pPr>
      <w:r>
        <w:t>TC/2021/00879</w:t>
      </w:r>
    </w:p>
    <w:p w14:paraId="13BD4F3D" w14:textId="77777777" w:rsidR="006135FF" w:rsidRPr="008B2884" w:rsidRDefault="006135FF" w:rsidP="008B2884">
      <w:pPr>
        <w:jc w:val="right"/>
      </w:pPr>
    </w:p>
    <w:p w14:paraId="609597B6" w14:textId="77777777" w:rsidR="008B2884" w:rsidRPr="00EB7FFB" w:rsidRDefault="00515789" w:rsidP="008B2884">
      <w:pPr>
        <w:rPr>
          <w:i/>
          <w:iCs/>
          <w:color w:val="000000" w:themeColor="text1"/>
        </w:rPr>
      </w:pPr>
      <w:r>
        <w:rPr>
          <w:i/>
          <w:iCs/>
          <w:color w:val="000000" w:themeColor="text1"/>
        </w:rPr>
        <w:t xml:space="preserve">EXCISE DUTY – hardship applications – security not payment – whether </w:t>
      </w:r>
      <w:proofErr w:type="spellStart"/>
      <w:r>
        <w:rPr>
          <w:i/>
          <w:iCs/>
          <w:color w:val="000000" w:themeColor="text1"/>
        </w:rPr>
        <w:t>Ferrazzini</w:t>
      </w:r>
      <w:proofErr w:type="spellEnd"/>
      <w:r>
        <w:rPr>
          <w:i/>
          <w:iCs/>
          <w:color w:val="000000" w:themeColor="text1"/>
        </w:rPr>
        <w:t xml:space="preserve"> binding – yes – Article 6 not in point – applications refused</w:t>
      </w:r>
    </w:p>
    <w:p w14:paraId="65E9FA51" w14:textId="77777777" w:rsidR="008B2884" w:rsidRDefault="008B2884" w:rsidP="008B2884">
      <w:pPr>
        <w:jc w:val="right"/>
      </w:pPr>
    </w:p>
    <w:p w14:paraId="5C34EBD0" w14:textId="77777777" w:rsidR="008B2884" w:rsidRDefault="008B2884" w:rsidP="008B2884">
      <w:pPr>
        <w:jc w:val="center"/>
        <w:rPr>
          <w:b/>
          <w:bCs/>
        </w:rPr>
      </w:pPr>
    </w:p>
    <w:p w14:paraId="75476419" w14:textId="77777777" w:rsidR="008B2884" w:rsidRDefault="008B2884" w:rsidP="00EF7019">
      <w:pPr>
        <w:ind w:left="4395"/>
        <w:jc w:val="right"/>
        <w:rPr>
          <w:b/>
          <w:bCs/>
        </w:rPr>
      </w:pPr>
      <w:r>
        <w:rPr>
          <w:b/>
          <w:bCs/>
        </w:rPr>
        <w:t>Heard on</w:t>
      </w:r>
      <w:r w:rsidR="000C049A">
        <w:rPr>
          <w:b/>
          <w:bCs/>
        </w:rPr>
        <w:t>:</w:t>
      </w:r>
      <w:r>
        <w:rPr>
          <w:b/>
          <w:bCs/>
        </w:rPr>
        <w:t xml:space="preserve"> </w:t>
      </w:r>
      <w:r w:rsidR="00386D5D">
        <w:t>19 October 2022</w:t>
      </w:r>
    </w:p>
    <w:p w14:paraId="4ED8159B" w14:textId="4B2A2CE5" w:rsidR="008B2884" w:rsidRDefault="008B2884" w:rsidP="008B2884">
      <w:pPr>
        <w:jc w:val="right"/>
      </w:pPr>
      <w:r>
        <w:rPr>
          <w:b/>
          <w:bCs/>
        </w:rPr>
        <w:t xml:space="preserve">Judgment </w:t>
      </w:r>
      <w:r w:rsidR="000D1009">
        <w:rPr>
          <w:b/>
          <w:bCs/>
        </w:rPr>
        <w:t>date</w:t>
      </w:r>
      <w:r>
        <w:rPr>
          <w:b/>
          <w:bCs/>
        </w:rPr>
        <w:t xml:space="preserve">: </w:t>
      </w:r>
      <w:r w:rsidR="003A722B">
        <w:t>12 January 2023</w:t>
      </w:r>
    </w:p>
    <w:p w14:paraId="52C1C555" w14:textId="77777777" w:rsidR="008B2884" w:rsidRDefault="008B2884" w:rsidP="008B2884">
      <w:pPr>
        <w:jc w:val="center"/>
      </w:pPr>
    </w:p>
    <w:p w14:paraId="6EBC288A" w14:textId="77777777" w:rsidR="008B2884" w:rsidRDefault="008B2884" w:rsidP="008B2884">
      <w:pPr>
        <w:jc w:val="center"/>
        <w:rPr>
          <w:b/>
          <w:bCs/>
        </w:rPr>
      </w:pPr>
    </w:p>
    <w:p w14:paraId="436C2E18" w14:textId="77777777" w:rsidR="008B2884" w:rsidRDefault="008B2884" w:rsidP="008B2884">
      <w:pPr>
        <w:jc w:val="center"/>
        <w:rPr>
          <w:b/>
          <w:bCs/>
        </w:rPr>
      </w:pPr>
      <w:r>
        <w:rPr>
          <w:b/>
          <w:bCs/>
        </w:rPr>
        <w:t>Before</w:t>
      </w:r>
    </w:p>
    <w:p w14:paraId="28312137" w14:textId="77777777" w:rsidR="008B2884" w:rsidRPr="008B2884" w:rsidRDefault="008B2884" w:rsidP="008B2884">
      <w:pPr>
        <w:jc w:val="center"/>
        <w:rPr>
          <w:b/>
          <w:bCs/>
        </w:rPr>
      </w:pPr>
    </w:p>
    <w:p w14:paraId="7FD4144B" w14:textId="77777777" w:rsidR="008B2884" w:rsidRPr="008B2884" w:rsidRDefault="008B2884" w:rsidP="008B2884">
      <w:pPr>
        <w:jc w:val="center"/>
        <w:rPr>
          <w:b/>
          <w:bCs/>
        </w:rPr>
      </w:pPr>
      <w:r w:rsidRPr="008B2884">
        <w:rPr>
          <w:b/>
          <w:bCs/>
        </w:rPr>
        <w:t xml:space="preserve">TRIBUNAL JUDGE </w:t>
      </w:r>
      <w:r w:rsidR="00386D5D">
        <w:rPr>
          <w:b/>
          <w:bCs/>
        </w:rPr>
        <w:t xml:space="preserve">ANNE SCOTT </w:t>
      </w:r>
    </w:p>
    <w:p w14:paraId="061B6EDF" w14:textId="77777777" w:rsidR="008B2884" w:rsidRDefault="008B2884" w:rsidP="008B2884">
      <w:pPr>
        <w:jc w:val="center"/>
      </w:pPr>
    </w:p>
    <w:p w14:paraId="65790A98" w14:textId="77777777" w:rsidR="002C0A0E" w:rsidRDefault="008B2884" w:rsidP="008B2884">
      <w:pPr>
        <w:jc w:val="center"/>
        <w:rPr>
          <w:b/>
        </w:rPr>
      </w:pPr>
      <w:r>
        <w:rPr>
          <w:b/>
        </w:rPr>
        <w:t>Between</w:t>
      </w:r>
    </w:p>
    <w:p w14:paraId="6F986227" w14:textId="77777777" w:rsidR="008B2884" w:rsidRDefault="008B2884" w:rsidP="008B2884">
      <w:pPr>
        <w:jc w:val="center"/>
        <w:rPr>
          <w:b/>
        </w:rPr>
      </w:pPr>
    </w:p>
    <w:p w14:paraId="43FA5273" w14:textId="77777777" w:rsidR="008B2884" w:rsidRDefault="00386D5D" w:rsidP="008B2884">
      <w:pPr>
        <w:jc w:val="center"/>
      </w:pPr>
      <w:r>
        <w:rPr>
          <w:b/>
        </w:rPr>
        <w:t xml:space="preserve">RELIABLE SHIPPING </w:t>
      </w:r>
      <w:r w:rsidR="00DF0AF9">
        <w:rPr>
          <w:b/>
        </w:rPr>
        <w:t>LIMITED</w:t>
      </w:r>
    </w:p>
    <w:p w14:paraId="7539EF59" w14:textId="77777777" w:rsidR="008B2884" w:rsidRDefault="008B2884" w:rsidP="008B2884">
      <w:pPr>
        <w:jc w:val="right"/>
        <w:rPr>
          <w:b/>
        </w:rPr>
      </w:pPr>
      <w:r>
        <w:rPr>
          <w:b/>
        </w:rPr>
        <w:t>Appellant</w:t>
      </w:r>
    </w:p>
    <w:p w14:paraId="4AA026E9" w14:textId="77777777" w:rsidR="008B2884" w:rsidRDefault="008B2884" w:rsidP="008B2884">
      <w:pPr>
        <w:jc w:val="center"/>
        <w:rPr>
          <w:b/>
        </w:rPr>
      </w:pPr>
      <w:r>
        <w:rPr>
          <w:b/>
        </w:rPr>
        <w:t>and</w:t>
      </w:r>
    </w:p>
    <w:p w14:paraId="7D01A2F7" w14:textId="77777777" w:rsidR="008B2884" w:rsidRDefault="008B2884" w:rsidP="008B2884">
      <w:pPr>
        <w:jc w:val="center"/>
        <w:rPr>
          <w:b/>
        </w:rPr>
      </w:pPr>
    </w:p>
    <w:p w14:paraId="42D5D444" w14:textId="77777777" w:rsidR="008B2884" w:rsidRDefault="008B2884" w:rsidP="008B2884">
      <w:pPr>
        <w:jc w:val="center"/>
        <w:rPr>
          <w:b/>
        </w:rPr>
      </w:pPr>
      <w:r w:rsidRPr="008B2884">
        <w:rPr>
          <w:b/>
        </w:rPr>
        <w:t>THE COMMISSIONERS FOR H</w:t>
      </w:r>
      <w:r w:rsidR="005A5E04">
        <w:rPr>
          <w:b/>
        </w:rPr>
        <w:t>IS</w:t>
      </w:r>
      <w:r w:rsidRPr="008B2884">
        <w:rPr>
          <w:b/>
        </w:rPr>
        <w:t xml:space="preserve"> MAJESTY’S REVENUE AND CUSTOMS</w:t>
      </w:r>
    </w:p>
    <w:p w14:paraId="203D1C55" w14:textId="77777777" w:rsidR="008B2884" w:rsidRDefault="008B2884" w:rsidP="008B2884">
      <w:pPr>
        <w:jc w:val="right"/>
        <w:rPr>
          <w:b/>
        </w:rPr>
      </w:pPr>
      <w:r>
        <w:rPr>
          <w:b/>
        </w:rPr>
        <w:t>Respondents</w:t>
      </w:r>
    </w:p>
    <w:p w14:paraId="6374A45F" w14:textId="77777777" w:rsidR="002C0A0E" w:rsidRPr="002C0A0E" w:rsidRDefault="002C0A0E" w:rsidP="008B7307">
      <w:pPr>
        <w:jc w:val="left"/>
        <w:rPr>
          <w:b/>
        </w:rPr>
      </w:pPr>
    </w:p>
    <w:p w14:paraId="0CD2B2E5" w14:textId="77777777" w:rsidR="00157CBD" w:rsidRPr="008B2884" w:rsidRDefault="008B2884" w:rsidP="00157CBD">
      <w:pPr>
        <w:rPr>
          <w:b/>
          <w:u w:val="single"/>
        </w:rPr>
      </w:pPr>
      <w:r w:rsidRPr="008B2884">
        <w:rPr>
          <w:b/>
          <w:u w:val="single"/>
        </w:rPr>
        <w:t>Representation:</w:t>
      </w:r>
    </w:p>
    <w:p w14:paraId="0A25C1A1" w14:textId="77777777" w:rsidR="008B2884" w:rsidRDefault="008B2884" w:rsidP="00157CBD">
      <w:pPr>
        <w:rPr>
          <w:b/>
        </w:rPr>
      </w:pPr>
    </w:p>
    <w:p w14:paraId="6581E712" w14:textId="77777777" w:rsidR="00630D17" w:rsidRDefault="008B2884" w:rsidP="00630D17">
      <w:pPr>
        <w:tabs>
          <w:tab w:val="left" w:pos="2410"/>
        </w:tabs>
        <w:ind w:left="2268" w:hanging="2268"/>
        <w:rPr>
          <w:bCs/>
        </w:rPr>
      </w:pPr>
      <w:r w:rsidRPr="00F1730C">
        <w:rPr>
          <w:bCs/>
        </w:rPr>
        <w:t>F</w:t>
      </w:r>
      <w:r w:rsidR="00157CBD" w:rsidRPr="00F1730C">
        <w:rPr>
          <w:bCs/>
        </w:rPr>
        <w:t>or the Appellant</w:t>
      </w:r>
      <w:r w:rsidRPr="00F1730C">
        <w:rPr>
          <w:bCs/>
        </w:rPr>
        <w:t>:</w:t>
      </w:r>
      <w:r w:rsidRPr="00F1730C">
        <w:rPr>
          <w:bCs/>
        </w:rPr>
        <w:tab/>
      </w:r>
      <w:r w:rsidR="003E47DD">
        <w:rPr>
          <w:bCs/>
        </w:rPr>
        <w:t xml:space="preserve">Josh </w:t>
      </w:r>
      <w:proofErr w:type="spellStart"/>
      <w:r w:rsidR="003E47DD">
        <w:rPr>
          <w:bCs/>
        </w:rPr>
        <w:t>Hitchins</w:t>
      </w:r>
      <w:proofErr w:type="spellEnd"/>
      <w:r w:rsidR="003E47DD">
        <w:rPr>
          <w:bCs/>
        </w:rPr>
        <w:t>, of counsel, instructed by Rogers &amp; Norton, Solicitors</w:t>
      </w:r>
    </w:p>
    <w:p w14:paraId="438A9679" w14:textId="77777777" w:rsidR="00630D17" w:rsidRDefault="00630D17" w:rsidP="00630D17">
      <w:pPr>
        <w:tabs>
          <w:tab w:val="left" w:pos="2410"/>
        </w:tabs>
        <w:ind w:left="2268" w:hanging="2268"/>
        <w:rPr>
          <w:bCs/>
        </w:rPr>
      </w:pPr>
    </w:p>
    <w:p w14:paraId="36BB803E" w14:textId="77777777" w:rsidR="00157CBD" w:rsidRPr="00F1730C" w:rsidRDefault="000C049A" w:rsidP="00630D17">
      <w:pPr>
        <w:tabs>
          <w:tab w:val="left" w:pos="2410"/>
        </w:tabs>
        <w:ind w:left="2268" w:hanging="2268"/>
        <w:rPr>
          <w:bCs/>
        </w:rPr>
      </w:pPr>
      <w:r>
        <w:rPr>
          <w:bCs/>
        </w:rPr>
        <w:t>F</w:t>
      </w:r>
      <w:r w:rsidR="008B2884" w:rsidRPr="00F1730C">
        <w:rPr>
          <w:bCs/>
        </w:rPr>
        <w:t>or the Respondents:</w:t>
      </w:r>
      <w:r w:rsidR="00157CBD" w:rsidRPr="00F1730C">
        <w:rPr>
          <w:bCs/>
        </w:rPr>
        <w:t xml:space="preserve"> </w:t>
      </w:r>
      <w:r w:rsidR="008B2884" w:rsidRPr="00F1730C">
        <w:rPr>
          <w:bCs/>
        </w:rPr>
        <w:tab/>
      </w:r>
      <w:r w:rsidR="003E47DD">
        <w:rPr>
          <w:bCs/>
        </w:rPr>
        <w:t>Ross Bir</w:t>
      </w:r>
      <w:r w:rsidR="00004112">
        <w:rPr>
          <w:bCs/>
        </w:rPr>
        <w:t>k</w:t>
      </w:r>
      <w:r w:rsidR="003E47DD">
        <w:rPr>
          <w:bCs/>
        </w:rPr>
        <w:t xml:space="preserve">beck </w:t>
      </w:r>
      <w:r w:rsidR="008B2884" w:rsidRPr="00F1730C">
        <w:rPr>
          <w:bCs/>
        </w:rPr>
        <w:t xml:space="preserve">of </w:t>
      </w:r>
      <w:r w:rsidR="0000203A" w:rsidRPr="00F1730C">
        <w:rPr>
          <w:bCs/>
        </w:rPr>
        <w:t xml:space="preserve">counsel, </w:t>
      </w:r>
      <w:r w:rsidR="00157CBD" w:rsidRPr="00F1730C">
        <w:rPr>
          <w:bCs/>
        </w:rPr>
        <w:t>instructed by the General Counsel and Solicitor to HM Revenue and Customs</w:t>
      </w:r>
    </w:p>
    <w:p w14:paraId="52338DA9" w14:textId="77777777" w:rsidR="00CD5D96" w:rsidRDefault="00CD5D96" w:rsidP="00157CBD"/>
    <w:p w14:paraId="1ECE5CA5" w14:textId="77777777" w:rsidR="001965D5" w:rsidRDefault="001965D5" w:rsidP="00157CBD">
      <w:pPr>
        <w:sectPr w:rsidR="001965D5" w:rsidSect="00033334">
          <w:headerReference w:type="even" r:id="rId12"/>
          <w:headerReference w:type="default" r:id="rId13"/>
          <w:footerReference w:type="even" r:id="rId14"/>
          <w:footerReference w:type="default" r:id="rId15"/>
          <w:headerReference w:type="first" r:id="rId16"/>
          <w:footerReference w:type="first" r:id="rId17"/>
          <w:pgSz w:w="11906" w:h="16838"/>
          <w:pgMar w:top="568" w:right="1440" w:bottom="1440" w:left="1440" w:header="708" w:footer="708" w:gutter="0"/>
          <w:cols w:space="708"/>
          <w:docGrid w:linePitch="360"/>
        </w:sectPr>
      </w:pPr>
    </w:p>
    <w:p w14:paraId="6DC4EE05" w14:textId="77777777" w:rsidR="001965D5" w:rsidRPr="00F937EA" w:rsidRDefault="001965D5" w:rsidP="00F937EA">
      <w:pPr>
        <w:jc w:val="center"/>
        <w:rPr>
          <w:b/>
        </w:rPr>
      </w:pPr>
      <w:r w:rsidRPr="00F937EA">
        <w:rPr>
          <w:b/>
        </w:rPr>
        <w:lastRenderedPageBreak/>
        <w:t>DECISION</w:t>
      </w:r>
    </w:p>
    <w:p w14:paraId="36EC2BFB" w14:textId="77777777" w:rsidR="008B2884" w:rsidRDefault="00231EFC" w:rsidP="00F937EA">
      <w:pPr>
        <w:pStyle w:val="Taxheading1"/>
      </w:pPr>
      <w:r w:rsidRPr="00F937EA">
        <w:t>Introduction</w:t>
      </w:r>
    </w:p>
    <w:p w14:paraId="1D6000E5" w14:textId="77777777" w:rsidR="008B2884" w:rsidRDefault="00386D5D" w:rsidP="008639FF">
      <w:pPr>
        <w:pStyle w:val="Taxbodytext1"/>
      </w:pPr>
      <w:r>
        <w:t>The appeal in TC/2021/00667 relates to a</w:t>
      </w:r>
      <w:r w:rsidR="00515789">
        <w:t>n</w:t>
      </w:r>
      <w:r>
        <w:t xml:space="preserve"> assessment in the sum of £184,280.73 issued by Officer </w:t>
      </w:r>
      <w:proofErr w:type="spellStart"/>
      <w:r>
        <w:t>Sel</w:t>
      </w:r>
      <w:r w:rsidR="00B2310A">
        <w:t>ant</w:t>
      </w:r>
      <w:proofErr w:type="spellEnd"/>
      <w:r w:rsidR="00B2310A">
        <w:t xml:space="preserve"> on 4 September 2020.  The appeal in TC/2021/00879 relates to a</w:t>
      </w:r>
      <w:r w:rsidR="00515789">
        <w:t>n</w:t>
      </w:r>
      <w:r w:rsidR="00B2310A">
        <w:t xml:space="preserve"> assessment in the sum of £136,250.27 issued by Officer </w:t>
      </w:r>
      <w:proofErr w:type="spellStart"/>
      <w:r w:rsidR="00B2310A">
        <w:t>Selant</w:t>
      </w:r>
      <w:proofErr w:type="spellEnd"/>
      <w:r w:rsidR="00B2310A">
        <w:t xml:space="preserve"> on 5 September 2020.  The total amount subject to hardship considerations is therefore £320,531.50.</w:t>
      </w:r>
    </w:p>
    <w:p w14:paraId="070F1A53" w14:textId="77777777" w:rsidR="007F4807" w:rsidRDefault="00B2310A" w:rsidP="008B2884">
      <w:pPr>
        <w:pStyle w:val="Taxbodytext1"/>
      </w:pPr>
      <w:r>
        <w:t>The general rule in the Finance Act 1994 is that an appellant who wishes to bring an appeal against a</w:t>
      </w:r>
      <w:r w:rsidR="00515789">
        <w:t>n</w:t>
      </w:r>
      <w:r>
        <w:t xml:space="preserve"> assessment </w:t>
      </w:r>
      <w:r w:rsidR="008639FF">
        <w:t xml:space="preserve">issued under section 12 Finance Act 1994 (“FA94”) </w:t>
      </w:r>
      <w:r>
        <w:t>must pay or deposit the amount of the assessment with HMRC</w:t>
      </w:r>
      <w:r w:rsidR="007F4807">
        <w:t xml:space="preserve">. If not, HMRC have the power to issue a certificate stating either that they have received adequate security from the appellant or </w:t>
      </w:r>
      <w:r w:rsidR="00EB6285">
        <w:t>that on the grounds of potential hardship a lesser level</w:t>
      </w:r>
      <w:r w:rsidR="006D4127">
        <w:t xml:space="preserve"> of</w:t>
      </w:r>
      <w:r w:rsidR="00EB6285">
        <w:t>, or no, security suffices</w:t>
      </w:r>
      <w:r w:rsidR="007F4807">
        <w:t>. I</w:t>
      </w:r>
      <w:r w:rsidR="00EB6285">
        <w:t>f no such certificate is issued by HMRC an appellant can apply to the Tribunal to decide whether HMRC should not have refused to grant such a certificate and that a reasonable level of security, if any</w:t>
      </w:r>
      <w:r w:rsidR="006D4127">
        <w:t>,</w:t>
      </w:r>
      <w:r w:rsidR="00EB6285">
        <w:t xml:space="preserve"> has been given.</w:t>
      </w:r>
      <w:r w:rsidR="007F4807">
        <w:t xml:space="preserve"> </w:t>
      </w:r>
      <w:r>
        <w:t xml:space="preserve">  </w:t>
      </w:r>
    </w:p>
    <w:p w14:paraId="6971A06A" w14:textId="77777777" w:rsidR="00B2310A" w:rsidRDefault="00B2310A" w:rsidP="008B2884">
      <w:pPr>
        <w:pStyle w:val="Taxbodytext1"/>
      </w:pPr>
      <w:r>
        <w:t xml:space="preserve">In this appeal the appellant has </w:t>
      </w:r>
      <w:r w:rsidR="00EB6285">
        <w:t xml:space="preserve">simply </w:t>
      </w:r>
      <w:r>
        <w:t xml:space="preserve">told HMRC that payment of the </w:t>
      </w:r>
      <w:r w:rsidR="00EB6285">
        <w:t>duty</w:t>
      </w:r>
      <w:r>
        <w:t xml:space="preserve"> to HMRC would cause it hardship.  HMRC were not persuaded by the information provided by the appellant and have not accepted the appellant’s position.  The appellant now appeals to the Tribunal.</w:t>
      </w:r>
    </w:p>
    <w:p w14:paraId="47240089" w14:textId="77777777" w:rsidR="007A6147" w:rsidRDefault="009E1F89" w:rsidP="00E57B2A">
      <w:pPr>
        <w:pStyle w:val="Taxbodytext1"/>
      </w:pPr>
      <w:r w:rsidRPr="003B26B2">
        <w:t>With the consent of the parties, the hearing was conducted by video link using the Tribunal’s video hearing system.  A face-to-face hearing was not held because of the difficulty of ensuring the safety of all participants.  The documents to which I was referred comp</w:t>
      </w:r>
      <w:r>
        <w:t xml:space="preserve">rised a Bundle consisting of </w:t>
      </w:r>
      <w:r w:rsidR="003E47DD">
        <w:t>518</w:t>
      </w:r>
      <w:r w:rsidRPr="003B26B2">
        <w:t xml:space="preserve"> pages.</w:t>
      </w:r>
      <w:r w:rsidR="003E47DD">
        <w:t xml:space="preserve">  I also had an A</w:t>
      </w:r>
      <w:r>
        <w:t xml:space="preserve">uthorities Bundle extending to 78 pages.  The appellant had </w:t>
      </w:r>
      <w:r w:rsidR="003E47DD">
        <w:t xml:space="preserve">also </w:t>
      </w:r>
      <w:r>
        <w:t xml:space="preserve">lodged </w:t>
      </w:r>
      <w:r w:rsidR="003E47DD">
        <w:t>a Profit and Loss account and a letter from a Licensed Insolvency Practitioner</w:t>
      </w:r>
      <w:r>
        <w:t xml:space="preserve">. </w:t>
      </w:r>
    </w:p>
    <w:p w14:paraId="4B35758A" w14:textId="77777777" w:rsidR="009E1F89" w:rsidRDefault="007A6147" w:rsidP="00E57B2A">
      <w:pPr>
        <w:pStyle w:val="Taxbodytext1"/>
      </w:pPr>
      <w:r>
        <w:t xml:space="preserve">I heard evidence from Mr </w:t>
      </w:r>
      <w:proofErr w:type="spellStart"/>
      <w:r>
        <w:t>Mingwei</w:t>
      </w:r>
      <w:proofErr w:type="spellEnd"/>
      <w:r>
        <w:t xml:space="preserve"> Chi for the appellant</w:t>
      </w:r>
      <w:r w:rsidR="008639FF">
        <w:t>.</w:t>
      </w:r>
      <w:r>
        <w:t xml:space="preserve">  </w:t>
      </w:r>
      <w:r w:rsidR="009E1F89">
        <w:t xml:space="preserve"> </w:t>
      </w:r>
    </w:p>
    <w:p w14:paraId="5CEB0CF1" w14:textId="77777777" w:rsidR="00F66762" w:rsidRDefault="009E1F89" w:rsidP="009E1F89">
      <w:pPr>
        <w:pStyle w:val="Taxbodytext1"/>
      </w:pPr>
      <w:r w:rsidRPr="00E961D4">
        <w:t>Prior notice of the hearing had been published on the gov.uk website, with information about how representatives of the media or members of the public could apply to join the hearing remotely in order to observe the proceedings.  As such, the hearing was held in public.</w:t>
      </w:r>
    </w:p>
    <w:p w14:paraId="405C6346" w14:textId="77777777" w:rsidR="00CF2860" w:rsidRDefault="0004363E" w:rsidP="00CF2860">
      <w:pPr>
        <w:pStyle w:val="Taxheading2"/>
      </w:pPr>
      <w:r>
        <w:t>Preliminary i</w:t>
      </w:r>
      <w:r w:rsidR="00CF2860">
        <w:t>ssue</w:t>
      </w:r>
    </w:p>
    <w:p w14:paraId="33595995" w14:textId="77777777" w:rsidR="002A2419" w:rsidRDefault="002A2419" w:rsidP="002A2419">
      <w:pPr>
        <w:pStyle w:val="Taxbodytext1"/>
      </w:pPr>
      <w:r>
        <w:t>Since no Skeleton Arguments had been lodged an unheralded argument arose as to the distinction between the wording in section 84(3) Value Added Tax Act 1994 (“VATA”) an</w:t>
      </w:r>
      <w:r w:rsidR="008639FF">
        <w:t>d section 16(3) FA94</w:t>
      </w:r>
      <w:r>
        <w:t xml:space="preserve">.  </w:t>
      </w:r>
    </w:p>
    <w:p w14:paraId="05CE8B37" w14:textId="77777777" w:rsidR="002A2419" w:rsidRDefault="002A2419" w:rsidP="002A2419">
      <w:pPr>
        <w:pStyle w:val="Taxbodytext1"/>
      </w:pPr>
      <w:r>
        <w:t>There was an equally unheralded argument advanced on section 3 Human Rights Act 1998</w:t>
      </w:r>
      <w:r w:rsidR="008639FF">
        <w:t xml:space="preserve"> (“HRA”)</w:t>
      </w:r>
      <w:r>
        <w:t xml:space="preserve">.  In those circumstances, having due regard to Rule 2 of the Tribunal Procedure (First-tier Tribunal) (Tax Chamber) Rules 2009 (as amended) ("the Rules") I asked both counsel if they would wish to lodge written submissions on those matters.  </w:t>
      </w:r>
    </w:p>
    <w:p w14:paraId="5FBF678A" w14:textId="77777777" w:rsidR="00B27EBA" w:rsidRDefault="002A2419" w:rsidP="00BD67E2">
      <w:pPr>
        <w:pStyle w:val="Taxbodytext1"/>
      </w:pPr>
      <w:r>
        <w:t xml:space="preserve">I therefore issued Directions of consent.  When issuing those Directions I pointed out to the parties that both had relied on the First-tier Tribunal (“FTT”) decision in </w:t>
      </w:r>
      <w:proofErr w:type="spellStart"/>
      <w:r>
        <w:rPr>
          <w:i/>
        </w:rPr>
        <w:t>Elbrook</w:t>
      </w:r>
      <w:proofErr w:type="spellEnd"/>
      <w:r>
        <w:rPr>
          <w:i/>
        </w:rPr>
        <w:t xml:space="preserve"> (Cash &amp; Carry) Limited</w:t>
      </w:r>
      <w:r>
        <w:t xml:space="preserve"> whereas I would also always look at the decision in the Upper Tribunal which is cited at 2017 UKUT 181 (TCC). </w:t>
      </w:r>
      <w:r w:rsidR="00BD67E2">
        <w:t xml:space="preserve">I pointed out that I agreed with Judge Poole in </w:t>
      </w:r>
      <w:r w:rsidR="00BD67E2">
        <w:rPr>
          <w:i/>
        </w:rPr>
        <w:t>NT ADA Limited v HMRC</w:t>
      </w:r>
      <w:r w:rsidR="00BD67E2">
        <w:t xml:space="preserve"> [2019] UKFTT 0333 (TC) (“NT”) where he set out a review of the relevant case</w:t>
      </w:r>
      <w:r>
        <w:t xml:space="preserve"> </w:t>
      </w:r>
      <w:r w:rsidR="00BD67E2">
        <w:t>law</w:t>
      </w:r>
      <w:r w:rsidR="008639FF">
        <w:t xml:space="preserve"> in relation to VAT and hardship</w:t>
      </w:r>
      <w:r w:rsidR="00BD67E2">
        <w:t>.</w:t>
      </w:r>
    </w:p>
    <w:p w14:paraId="4CF3F991" w14:textId="77777777" w:rsidR="00BD67E2" w:rsidRDefault="00BD67E2" w:rsidP="00BD67E2">
      <w:pPr>
        <w:pStyle w:val="Taxbodytext1"/>
      </w:pPr>
      <w:r>
        <w:t>Lastly, I pointed out to the parties that the two Review C</w:t>
      </w:r>
      <w:r w:rsidR="00FF23C8">
        <w:t>onc</w:t>
      </w:r>
      <w:r>
        <w:t>lusion Letters indicate that the Post C</w:t>
      </w:r>
      <w:r w:rsidR="00FF23C8">
        <w:t>l</w:t>
      </w:r>
      <w:r>
        <w:t xml:space="preserve">earance Demand </w:t>
      </w:r>
      <w:r w:rsidR="00FF23C8">
        <w:t xml:space="preserve">Notes </w:t>
      </w:r>
      <w:r w:rsidR="006972C8">
        <w:t xml:space="preserve">(“PCDNs”) </w:t>
      </w:r>
      <w:r w:rsidR="00FF23C8">
        <w:t>include in their totals both Customs Duty and Import VAT.</w:t>
      </w:r>
      <w:r w:rsidR="008639FF">
        <w:t xml:space="preserve">  In fact the Customs D</w:t>
      </w:r>
      <w:r w:rsidR="00105B1F">
        <w:t>uty charged is in the sums of £107</w:t>
      </w:r>
      <w:r w:rsidR="008639FF">
        <w:t>,206.32 and £18,805.21 and the I</w:t>
      </w:r>
      <w:r w:rsidR="00105B1F">
        <w:t>mport VAT is in the sums of £77,074.41 and £117,445.06.</w:t>
      </w:r>
    </w:p>
    <w:p w14:paraId="46BA00C0" w14:textId="77777777" w:rsidR="00CF2860" w:rsidRDefault="002A2419" w:rsidP="002A2419">
      <w:pPr>
        <w:pStyle w:val="Taxbodytext1"/>
      </w:pPr>
      <w:r>
        <w:lastRenderedPageBreak/>
        <w:t>The appellant’s submissions extending to 24 pages were lodged on 30 October 2022.  HMRC’s submissions in response</w:t>
      </w:r>
      <w:r w:rsidR="00FF23C8">
        <w:t>,</w:t>
      </w:r>
      <w:r>
        <w:t xml:space="preserve"> extending to 13 pages</w:t>
      </w:r>
      <w:r w:rsidR="00FF23C8">
        <w:t>,</w:t>
      </w:r>
      <w:r>
        <w:t xml:space="preserve"> were lodged on 17 November 2022.</w:t>
      </w:r>
    </w:p>
    <w:p w14:paraId="68BB8DC1" w14:textId="77777777" w:rsidR="003653F6" w:rsidRDefault="003653F6" w:rsidP="003653F6">
      <w:pPr>
        <w:pStyle w:val="Taxheading2"/>
      </w:pPr>
      <w:r>
        <w:t>Background</w:t>
      </w:r>
    </w:p>
    <w:p w14:paraId="7E3A144E" w14:textId="77777777" w:rsidR="003653F6" w:rsidRDefault="003653F6" w:rsidP="003653F6">
      <w:pPr>
        <w:pStyle w:val="Taxbodytext1"/>
      </w:pPr>
      <w:r>
        <w:t xml:space="preserve">The facts are not in dispute. </w:t>
      </w:r>
    </w:p>
    <w:p w14:paraId="1529E375" w14:textId="77777777" w:rsidR="003653F6" w:rsidRDefault="003653F6" w:rsidP="003653F6">
      <w:pPr>
        <w:pStyle w:val="Taxbodytext1"/>
      </w:pPr>
      <w:r>
        <w:t xml:space="preserve">Mr </w:t>
      </w:r>
      <w:proofErr w:type="spellStart"/>
      <w:r>
        <w:t>Mingwei</w:t>
      </w:r>
      <w:proofErr w:type="spellEnd"/>
      <w:r>
        <w:t xml:space="preserve"> Chi is the sole director and shareholder of the appellant. </w:t>
      </w:r>
    </w:p>
    <w:p w14:paraId="0307C15F" w14:textId="77777777" w:rsidR="003653F6" w:rsidRDefault="003653F6" w:rsidP="003653F6">
      <w:pPr>
        <w:pStyle w:val="Taxbodytext1"/>
      </w:pPr>
      <w:r>
        <w:t>On 12 August 2020, HMRC issued a decision letter to the effect that</w:t>
      </w:r>
      <w:r w:rsidR="006972C8">
        <w:t xml:space="preserve"> a PCDN</w:t>
      </w:r>
      <w:r>
        <w:t xml:space="preserve"> in the sum of £184,280.73 comprising Customs Duty of £107,206.32 and Import VAT of £77,074.41 would be issued. The basis for the decision was that following two separate assurance visits on 5 November 20</w:t>
      </w:r>
      <w:r w:rsidR="006D4127">
        <w:t>19</w:t>
      </w:r>
      <w:r>
        <w:t xml:space="preserve"> and 22 November 2019 it had been established that 155 items covering 60 import entries have been undervalued. A customs debt was therefore deemed to have arisen. On 4 September 2020 the PCDN was issued.</w:t>
      </w:r>
    </w:p>
    <w:p w14:paraId="5B920006" w14:textId="77777777" w:rsidR="003653F6" w:rsidRDefault="003653F6" w:rsidP="003653F6">
      <w:pPr>
        <w:pStyle w:val="Taxbodytext1"/>
      </w:pPr>
      <w:r>
        <w:t>On 21 August 2020</w:t>
      </w:r>
      <w:r w:rsidR="0004363E">
        <w:t>,</w:t>
      </w:r>
      <w:r>
        <w:t xml:space="preserve"> HMRC issued a decision letter </w:t>
      </w:r>
      <w:r w:rsidR="008639FF">
        <w:t xml:space="preserve">to the effect </w:t>
      </w:r>
      <w:r>
        <w:t xml:space="preserve">that </w:t>
      </w:r>
      <w:r w:rsidR="008639FF">
        <w:t xml:space="preserve">a </w:t>
      </w:r>
      <w:r>
        <w:t>PCDN in the sum of £136,250.27 comprising Customs Duty of £18,805.21 and Import VAT of £117,445.06 would be issued. The officer had identified 86 import</w:t>
      </w:r>
      <w:r w:rsidR="008639FF">
        <w:t>s between 10 October 2017 and 7 </w:t>
      </w:r>
      <w:r>
        <w:t>November 2017 which did not meet the conditions for Onward Supply Relief. Of those entries 52 were further identified as being classified to incorrect commodity codes. A customs debt was therefore deemed to have arisen. On 4 September 2020 the PCDN was issued.</w:t>
      </w:r>
    </w:p>
    <w:p w14:paraId="0B17CDF6" w14:textId="77777777" w:rsidR="003653F6" w:rsidRDefault="003653F6" w:rsidP="003653F6">
      <w:pPr>
        <w:pStyle w:val="Taxbodytext1"/>
      </w:pPr>
      <w:r>
        <w:t>The Review Conclusion letters upheld both PCDNs</w:t>
      </w:r>
      <w:r w:rsidR="008639FF">
        <w:t xml:space="preserve"> and therefore the assessments</w:t>
      </w:r>
      <w:r>
        <w:t>.</w:t>
      </w:r>
    </w:p>
    <w:p w14:paraId="2B451070" w14:textId="77777777" w:rsidR="003653F6" w:rsidRDefault="003653F6" w:rsidP="003653F6">
      <w:pPr>
        <w:pStyle w:val="Taxbodytext1"/>
      </w:pPr>
      <w:r>
        <w:t>In the two Notices of Appeal dated 22 February and 11 March 2021 respectively, the appellant indicated that it “is not in a position to pay the sum claimed and cannot obtain a loan, it could (would) lead to insolvency”.</w:t>
      </w:r>
    </w:p>
    <w:p w14:paraId="139469C3" w14:textId="77777777" w:rsidR="003653F6" w:rsidRDefault="003653F6" w:rsidP="003653F6">
      <w:pPr>
        <w:pStyle w:val="Taxbodytext1"/>
      </w:pPr>
      <w:r>
        <w:t>On 27 April 2021, the appellant’s representative wrote to HMRC with an application for hardship. That letter argued that:-</w:t>
      </w:r>
    </w:p>
    <w:p w14:paraId="3FAA25D9" w14:textId="77777777" w:rsidR="003653F6" w:rsidRDefault="003653F6" w:rsidP="00515789">
      <w:pPr>
        <w:pStyle w:val="Taxbodytext3"/>
        <w:tabs>
          <w:tab w:val="clear" w:pos="1701"/>
          <w:tab w:val="left" w:pos="993"/>
        </w:tabs>
        <w:ind w:left="567"/>
      </w:pPr>
      <w:r>
        <w:t>“…at first sight, our client’s bank balance lo</w:t>
      </w:r>
      <w:r w:rsidR="006972C8">
        <w:t>oks healthy”</w:t>
      </w:r>
      <w:r>
        <w:t>. The bank balance was</w:t>
      </w:r>
      <w:r w:rsidR="006972C8">
        <w:t xml:space="preserve"> stated to be </w:t>
      </w:r>
      <w:r>
        <w:t xml:space="preserve">£997,000. That </w:t>
      </w:r>
      <w:r w:rsidR="006972C8">
        <w:t>was said to have</w:t>
      </w:r>
      <w:r>
        <w:t xml:space="preserve"> been reduced by payments of approximately £45,000 for wages and £90,000 to HMRC.</w:t>
      </w:r>
    </w:p>
    <w:p w14:paraId="7D7ABEA9" w14:textId="77777777" w:rsidR="003653F6" w:rsidRDefault="0004363E" w:rsidP="00515789">
      <w:pPr>
        <w:pStyle w:val="Taxbodytext3"/>
        <w:tabs>
          <w:tab w:val="clear" w:pos="1701"/>
          <w:tab w:val="left" w:pos="993"/>
        </w:tabs>
        <w:ind w:left="567"/>
      </w:pPr>
      <w:r>
        <w:t>T</w:t>
      </w:r>
      <w:r w:rsidR="003653F6">
        <w:t>he owner had not paid himself dividends because of the pandemic.</w:t>
      </w:r>
    </w:p>
    <w:p w14:paraId="68F14883" w14:textId="77777777" w:rsidR="003653F6" w:rsidRDefault="003653F6" w:rsidP="00515789">
      <w:pPr>
        <w:pStyle w:val="Taxbodytext3"/>
        <w:tabs>
          <w:tab w:val="clear" w:pos="1701"/>
          <w:tab w:val="left" w:pos="993"/>
        </w:tabs>
        <w:ind w:left="567"/>
      </w:pPr>
      <w:r>
        <w:t>£100,000 was ring fenced for clients’ deposits.</w:t>
      </w:r>
    </w:p>
    <w:p w14:paraId="0B77B1D2" w14:textId="77777777" w:rsidR="003653F6" w:rsidRDefault="003653F6" w:rsidP="00515789">
      <w:pPr>
        <w:pStyle w:val="Taxbodytext3"/>
        <w:tabs>
          <w:tab w:val="clear" w:pos="1701"/>
          <w:tab w:val="left" w:pos="993"/>
        </w:tabs>
        <w:ind w:left="567"/>
      </w:pPr>
      <w:r>
        <w:t>The warehous</w:t>
      </w:r>
      <w:r w:rsidR="006972C8">
        <w:t>e lease cost</w:t>
      </w:r>
      <w:r w:rsidR="006D4127">
        <w:t>s</w:t>
      </w:r>
      <w:r w:rsidR="006972C8">
        <w:t xml:space="preserve"> £51,000 quarterly.</w:t>
      </w:r>
    </w:p>
    <w:p w14:paraId="09ED6BCE" w14:textId="77777777" w:rsidR="003653F6" w:rsidRDefault="0004363E" w:rsidP="00515789">
      <w:pPr>
        <w:pStyle w:val="Taxbodytext3"/>
        <w:tabs>
          <w:tab w:val="clear" w:pos="1701"/>
          <w:tab w:val="left" w:pos="993"/>
        </w:tabs>
        <w:ind w:left="567"/>
      </w:pPr>
      <w:r>
        <w:t>T</w:t>
      </w:r>
      <w:r w:rsidR="003653F6">
        <w:t>he business required a minimum cash flow of £700,000</w:t>
      </w:r>
      <w:r w:rsidR="006972C8">
        <w:t>.</w:t>
      </w:r>
    </w:p>
    <w:p w14:paraId="744D7F3F" w14:textId="77777777" w:rsidR="003653F6" w:rsidRDefault="0004363E" w:rsidP="00515789">
      <w:pPr>
        <w:pStyle w:val="Taxbodytext3"/>
        <w:tabs>
          <w:tab w:val="clear" w:pos="1701"/>
          <w:tab w:val="left" w:pos="993"/>
        </w:tabs>
        <w:ind w:left="567"/>
      </w:pPr>
      <w:r>
        <w:t>T</w:t>
      </w:r>
      <w:r w:rsidR="003653F6">
        <w:t xml:space="preserve">he owner of the </w:t>
      </w:r>
      <w:r w:rsidR="006972C8">
        <w:t>appellant</w:t>
      </w:r>
      <w:r w:rsidR="003653F6">
        <w:t xml:space="preserve"> had to comply with a court order to pay his ex-wife £500,000 with a payment of £160,000 being due on 1 May 2021.</w:t>
      </w:r>
    </w:p>
    <w:p w14:paraId="5C1783AE" w14:textId="77777777" w:rsidR="003653F6" w:rsidRDefault="003653F6" w:rsidP="003653F6">
      <w:pPr>
        <w:pStyle w:val="Taxbodytext3"/>
        <w:numPr>
          <w:ilvl w:val="0"/>
          <w:numId w:val="0"/>
        </w:numPr>
      </w:pPr>
      <w:r>
        <w:t xml:space="preserve">The owner of the </w:t>
      </w:r>
      <w:r w:rsidR="006972C8">
        <w:t>appellant</w:t>
      </w:r>
      <w:r>
        <w:t xml:space="preserve"> had no assets and could not secure a loan.</w:t>
      </w:r>
    </w:p>
    <w:p w14:paraId="0D23845A" w14:textId="77777777" w:rsidR="00BC1DBC" w:rsidRDefault="00BC1DBC" w:rsidP="00BC1DBC">
      <w:pPr>
        <w:pStyle w:val="Taxbodytext1"/>
      </w:pPr>
      <w:r>
        <w:t>HMRC responded asking for more information by 11 June 2021. The appellant’s solicitor asked for an extension of time.</w:t>
      </w:r>
    </w:p>
    <w:p w14:paraId="269937E1" w14:textId="77777777" w:rsidR="003653F6" w:rsidRDefault="003653F6" w:rsidP="003653F6">
      <w:pPr>
        <w:pStyle w:val="Taxbodytext1"/>
      </w:pPr>
      <w:r>
        <w:t xml:space="preserve">On 8 July 2021, the </w:t>
      </w:r>
      <w:r w:rsidR="006D4127">
        <w:t xml:space="preserve">appellant’s </w:t>
      </w:r>
      <w:r>
        <w:t xml:space="preserve">solicitors wrote to </w:t>
      </w:r>
      <w:r w:rsidR="006972C8">
        <w:t>HMRC stating that they enclosed</w:t>
      </w:r>
      <w:r>
        <w:t>:-</w:t>
      </w:r>
    </w:p>
    <w:p w14:paraId="5F017BA4" w14:textId="77777777" w:rsidR="003653F6" w:rsidRDefault="003653F6" w:rsidP="00515789">
      <w:pPr>
        <w:pStyle w:val="Taxbodytext3"/>
        <w:tabs>
          <w:tab w:val="clear" w:pos="1701"/>
          <w:tab w:val="left" w:pos="993"/>
        </w:tabs>
        <w:ind w:left="567"/>
      </w:pPr>
      <w:r>
        <w:t>Management reports for January to March 2021. The net profit for the year to date as at March 2021 (being the year-end) was £866,386.35. The unvouched cash flow forecast for July 2012 to June 2022 projected cumulative losses.</w:t>
      </w:r>
    </w:p>
    <w:p w14:paraId="56F138AA" w14:textId="77777777" w:rsidR="003653F6" w:rsidRDefault="003653F6" w:rsidP="00515789">
      <w:pPr>
        <w:pStyle w:val="Taxbodytext3"/>
        <w:tabs>
          <w:tab w:val="clear" w:pos="1701"/>
          <w:tab w:val="left" w:pos="993"/>
        </w:tabs>
        <w:ind w:left="567"/>
      </w:pPr>
      <w:r>
        <w:t>Bank statements that were stated to be for May and June 2021</w:t>
      </w:r>
      <w:r w:rsidR="008639FF">
        <w:t xml:space="preserve"> </w:t>
      </w:r>
      <w:r>
        <w:t xml:space="preserve">but were in fact for April and May 2021. The credit balance as at 28 May 2021 was £1,122,008.06. Without doing a detailed analysis, I observe that the balance fluctuated but appears never to have dipped below approximately £755,170.86 but it was consistently </w:t>
      </w:r>
      <w:r w:rsidR="008639FF">
        <w:t>significantly</w:t>
      </w:r>
      <w:r>
        <w:t xml:space="preserve"> higher than that. The solicitors pointed out that the balance included a total of £260,000 of client deposits.</w:t>
      </w:r>
    </w:p>
    <w:p w14:paraId="7F17B5C9" w14:textId="77777777" w:rsidR="003653F6" w:rsidRDefault="003653F6" w:rsidP="00515789">
      <w:pPr>
        <w:pStyle w:val="Taxbodytext3"/>
        <w:tabs>
          <w:tab w:val="clear" w:pos="1701"/>
          <w:tab w:val="left" w:pos="993"/>
        </w:tabs>
        <w:ind w:left="567"/>
      </w:pPr>
      <w:r>
        <w:t>Details of the proposed sale of a flat owned by the appellant which would release equity of approximately £170,000.</w:t>
      </w:r>
    </w:p>
    <w:p w14:paraId="4BA5CCAA" w14:textId="77777777" w:rsidR="003653F6" w:rsidRDefault="003653F6" w:rsidP="00515789">
      <w:pPr>
        <w:pStyle w:val="Taxbodytext3"/>
        <w:tabs>
          <w:tab w:val="clear" w:pos="1701"/>
          <w:tab w:val="left" w:pos="993"/>
        </w:tabs>
        <w:ind w:left="567"/>
      </w:pPr>
      <w:r>
        <w:t>The warehouse lease agreement which had two years to run with a quarterly rental payment of £55,000.</w:t>
      </w:r>
    </w:p>
    <w:p w14:paraId="32A97E49" w14:textId="77777777" w:rsidR="003653F6" w:rsidRDefault="003653F6" w:rsidP="00515789">
      <w:pPr>
        <w:pStyle w:val="Taxbodytext3"/>
        <w:tabs>
          <w:tab w:val="clear" w:pos="1701"/>
          <w:tab w:val="left" w:pos="993"/>
        </w:tabs>
        <w:ind w:left="567"/>
      </w:pPr>
      <w:r>
        <w:t>A copy of a court order from the Family Court dated 24 January 2020 whereby M</w:t>
      </w:r>
      <w:r w:rsidR="0004363E">
        <w:t>r </w:t>
      </w:r>
      <w:r>
        <w:t>Chi had to make various payments.</w:t>
      </w:r>
    </w:p>
    <w:p w14:paraId="2B5E78E8" w14:textId="77777777" w:rsidR="003653F6" w:rsidRDefault="003653F6" w:rsidP="00515789">
      <w:pPr>
        <w:pStyle w:val="Taxbodytext3"/>
        <w:tabs>
          <w:tab w:val="clear" w:pos="1701"/>
          <w:tab w:val="left" w:pos="993"/>
        </w:tabs>
        <w:ind w:left="567"/>
      </w:pPr>
      <w:r>
        <w:t xml:space="preserve">Miscellaneous documentation.  </w:t>
      </w:r>
    </w:p>
    <w:p w14:paraId="62513392" w14:textId="77777777" w:rsidR="003653F6" w:rsidRDefault="003653F6" w:rsidP="003653F6">
      <w:pPr>
        <w:pStyle w:val="Taxbodytext1"/>
      </w:pPr>
      <w:r>
        <w:t>On 28 July 2021, HMRC responded pointing out in particular that the cash flow forecast showed only outflows and no inward payments. H</w:t>
      </w:r>
      <w:r w:rsidR="00BC1DBC">
        <w:t xml:space="preserve">MRC asked for other information to be provided </w:t>
      </w:r>
      <w:r w:rsidR="006972C8">
        <w:t xml:space="preserve">by </w:t>
      </w:r>
      <w:r w:rsidR="00BC1DBC">
        <w:t xml:space="preserve">28 August 2021 and </w:t>
      </w:r>
      <w:r w:rsidR="006972C8">
        <w:t xml:space="preserve">on </w:t>
      </w:r>
      <w:r w:rsidR="00BC1DBC">
        <w:t xml:space="preserve">23 August 2021 a further extension of time was sought by the solicitors. </w:t>
      </w:r>
    </w:p>
    <w:p w14:paraId="60345954" w14:textId="77777777" w:rsidR="003653F6" w:rsidRDefault="00BC1DBC" w:rsidP="003653F6">
      <w:pPr>
        <w:pStyle w:val="Taxbodytext1"/>
      </w:pPr>
      <w:r>
        <w:t>O</w:t>
      </w:r>
      <w:r w:rsidR="00436486">
        <w:t xml:space="preserve">n 9 September 2021, </w:t>
      </w:r>
      <w:r w:rsidR="003653F6">
        <w:t>the appellant’s solicitors provided some information</w:t>
      </w:r>
      <w:r w:rsidR="00436486">
        <w:t>. They</w:t>
      </w:r>
      <w:r w:rsidR="003653F6">
        <w:t xml:space="preserve"> argued that HMRC should look “further than the attached papers” and take into account Covid and the </w:t>
      </w:r>
      <w:r w:rsidR="006972C8">
        <w:t xml:space="preserve">then </w:t>
      </w:r>
      <w:r w:rsidR="003653F6">
        <w:t>business environment.</w:t>
      </w:r>
    </w:p>
    <w:p w14:paraId="5353DDEE" w14:textId="77777777" w:rsidR="003653F6" w:rsidRDefault="003653F6" w:rsidP="003653F6">
      <w:pPr>
        <w:pStyle w:val="Taxbodytext1"/>
      </w:pPr>
      <w:r>
        <w:t xml:space="preserve">On 21 October 2021, HMRC wrote to the appellant confirming that in accordance with Articles 44-45 of the Union Customs Code (“UCC”) and </w:t>
      </w:r>
      <w:r w:rsidR="00436486">
        <w:t xml:space="preserve">the </w:t>
      </w:r>
      <w:r w:rsidR="006972C8">
        <w:t>FA94</w:t>
      </w:r>
      <w:r>
        <w:t>, HMRC had made a decision not to allow the application for hardship in relation to the total assessments of £320,531.50.  The basis for the refusal was as follows:-</w:t>
      </w:r>
    </w:p>
    <w:p w14:paraId="5375DB50" w14:textId="77777777" w:rsidR="003653F6" w:rsidRDefault="003653F6" w:rsidP="00515789">
      <w:pPr>
        <w:pStyle w:val="Taxbodytext3"/>
        <w:tabs>
          <w:tab w:val="clear" w:pos="1701"/>
          <w:tab w:val="left" w:pos="993"/>
        </w:tabs>
        <w:ind w:left="567"/>
      </w:pPr>
      <w:r>
        <w:t>Until at least 27 August 2021 the appellant continued to hold cash reserves</w:t>
      </w:r>
      <w:r w:rsidR="00436486">
        <w:t xml:space="preserve"> of £887,371</w:t>
      </w:r>
      <w:r>
        <w:t xml:space="preserve"> that were signif</w:t>
      </w:r>
      <w:r w:rsidR="00436486">
        <w:t>icantly in excess of the debt</w:t>
      </w:r>
      <w:r>
        <w:t>.  That balance was after £200,000 of cash was transferred out of the account on 26 August 2021 and no explanation had been provided about that transfer.</w:t>
      </w:r>
    </w:p>
    <w:p w14:paraId="6B6B5C75" w14:textId="77777777" w:rsidR="003653F6" w:rsidRDefault="003653F6" w:rsidP="00515789">
      <w:pPr>
        <w:pStyle w:val="Taxbodytext3"/>
        <w:tabs>
          <w:tab w:val="clear" w:pos="1701"/>
          <w:tab w:val="left" w:pos="993"/>
        </w:tabs>
        <w:ind w:left="567"/>
      </w:pPr>
      <w:r>
        <w:t>A transfer on 29 April 2021 appeared to be related to a divorce liability and HMRC wished an explanation as to why that should happen when there was an application for hardship.</w:t>
      </w:r>
    </w:p>
    <w:p w14:paraId="10C6F0E3" w14:textId="77777777" w:rsidR="003653F6" w:rsidRDefault="003653F6" w:rsidP="00515789">
      <w:pPr>
        <w:pStyle w:val="Taxbodytext3"/>
        <w:tabs>
          <w:tab w:val="clear" w:pos="1701"/>
          <w:tab w:val="left" w:pos="993"/>
        </w:tabs>
        <w:ind w:left="567"/>
      </w:pPr>
      <w:r>
        <w:t>It had been argued for the appellant that £260,000 of the cash held by the appellant represented deposits paid by customers but the underlying de</w:t>
      </w:r>
      <w:r w:rsidR="006D4127">
        <w:t>tails and contractual terms had</w:t>
      </w:r>
      <w:r>
        <w:t xml:space="preserve"> not been provided.  Even if those deposits were ring fenced the remaining cash reserves would have been £627,371 which was significantly in excess of the customs debt.</w:t>
      </w:r>
    </w:p>
    <w:p w14:paraId="3B13FC06" w14:textId="77777777" w:rsidR="003653F6" w:rsidRDefault="003653F6" w:rsidP="00515789">
      <w:pPr>
        <w:pStyle w:val="Taxbodytext3"/>
        <w:tabs>
          <w:tab w:val="left" w:pos="993"/>
        </w:tabs>
        <w:ind w:left="567"/>
      </w:pPr>
      <w:r>
        <w:t>The cash flow forecast indicated that the lowest expected cash bala</w:t>
      </w:r>
      <w:r w:rsidR="00436486">
        <w:t>nce across the forecast period wa</w:t>
      </w:r>
      <w:r>
        <w:t>s £819,854 at 30 September 2021 which, again, was significantly in excess of the customs debt.</w:t>
      </w:r>
    </w:p>
    <w:p w14:paraId="08B83791" w14:textId="77777777" w:rsidR="003653F6" w:rsidRDefault="003653F6" w:rsidP="00515789">
      <w:pPr>
        <w:pStyle w:val="Taxbodytext3"/>
        <w:tabs>
          <w:tab w:val="clear" w:pos="1701"/>
          <w:tab w:val="left" w:pos="993"/>
        </w:tabs>
        <w:ind w:left="567"/>
      </w:pPr>
      <w:r>
        <w:t>The appellant’s representative had simply stated that “in order to pay its monthly liabilities it needs a minimum cash flow of £700,000”. That statement was completely unvouched.</w:t>
      </w:r>
    </w:p>
    <w:p w14:paraId="1E3870CC" w14:textId="77777777" w:rsidR="003653F6" w:rsidRDefault="003653F6" w:rsidP="00515789">
      <w:pPr>
        <w:pStyle w:val="Taxbodytext3"/>
        <w:tabs>
          <w:tab w:val="clear" w:pos="1701"/>
          <w:tab w:val="left" w:pos="993"/>
        </w:tabs>
        <w:ind w:left="567"/>
      </w:pPr>
      <w:r>
        <w:t>No details or documentation had been provided in respect of a secured loan facility in the sum of £120,000.</w:t>
      </w:r>
    </w:p>
    <w:p w14:paraId="764C01A5" w14:textId="77777777" w:rsidR="003653F6" w:rsidRDefault="003653F6" w:rsidP="00515789">
      <w:pPr>
        <w:pStyle w:val="Taxbodytext3"/>
        <w:tabs>
          <w:tab w:val="clear" w:pos="1701"/>
          <w:tab w:val="left" w:pos="993"/>
        </w:tabs>
        <w:ind w:left="567"/>
      </w:pPr>
      <w:r>
        <w:t xml:space="preserve">The appellant’s cash balance was predicted to be £888,319 on 30 April 2022.  If dividends of £160,000 were paid by the appellant then cash would reduce to £728,319 which exceeded the </w:t>
      </w:r>
      <w:r w:rsidR="00436486">
        <w:t>customs debt</w:t>
      </w:r>
      <w:r>
        <w:t>.</w:t>
      </w:r>
    </w:p>
    <w:p w14:paraId="5CE81857" w14:textId="77777777" w:rsidR="001B5F89" w:rsidRDefault="00B70874" w:rsidP="003653F6">
      <w:pPr>
        <w:pStyle w:val="Taxbodytext1"/>
      </w:pPr>
      <w:r>
        <w:t xml:space="preserve">On 25 October 2021, the appellant’s solicitors emailed HMRC asking if a charge against one of the appellant’s properties would be acceptable as security and on 3 November 2021, HMRC responded stating that HMRC would accept </w:t>
      </w:r>
      <w:r w:rsidR="00EA5CF6">
        <w:t>a guarantee and explained the process.</w:t>
      </w:r>
    </w:p>
    <w:p w14:paraId="4EFAB61E" w14:textId="77777777" w:rsidR="00FC23A5" w:rsidRDefault="00EA5CF6" w:rsidP="003653F6">
      <w:pPr>
        <w:pStyle w:val="Taxbodytext1"/>
      </w:pPr>
      <w:r>
        <w:t xml:space="preserve">On 2 December 2021, the solicitors emailed offering a charge on a property by way of guarantee and stated that they would draft the documentation. On </w:t>
      </w:r>
      <w:r w:rsidR="00436486">
        <w:t xml:space="preserve">7 </w:t>
      </w:r>
      <w:r>
        <w:t xml:space="preserve">January 2022, HMRC responded </w:t>
      </w:r>
      <w:r w:rsidR="00436486">
        <w:t xml:space="preserve">enclosing the relevant </w:t>
      </w:r>
      <w:r w:rsidR="00FC23A5">
        <w:t>form for completion</w:t>
      </w:r>
      <w:r>
        <w:t xml:space="preserve">. </w:t>
      </w:r>
      <w:r w:rsidR="00FC23A5">
        <w:t>On 13 January 2022, the solicitor</w:t>
      </w:r>
      <w:r w:rsidR="006D4127">
        <w:t>s</w:t>
      </w:r>
      <w:r w:rsidR="00FC23A5">
        <w:t xml:space="preserve"> indicated that they did not understand the need for a financial institution to be involved and HMRC responded that day explaining the process and the need for legally binding documentation. HMRC asked for sight of the charge described by the solicitors. </w:t>
      </w:r>
    </w:p>
    <w:p w14:paraId="0329880D" w14:textId="77777777" w:rsidR="00B70874" w:rsidRDefault="00FC23A5" w:rsidP="00FC23A5">
      <w:pPr>
        <w:pStyle w:val="Taxbodytext1"/>
      </w:pPr>
      <w:r>
        <w:t>There is no further correspondence in the Bundle until</w:t>
      </w:r>
      <w:r w:rsidR="00515789">
        <w:t>,</w:t>
      </w:r>
      <w:r>
        <w:t xml:space="preserve"> o</w:t>
      </w:r>
      <w:r w:rsidR="00B70874">
        <w:t>n 5 August 2022, the appellant’s solicitor</w:t>
      </w:r>
      <w:r w:rsidR="006D4127">
        <w:t>s</w:t>
      </w:r>
      <w:r w:rsidR="00B70874">
        <w:t xml:space="preserve"> wrote to HMRC simply stating:-“A deed will not be possible nor will a Charge on property”.  They undertook to provide an update on the financial position by the end of the month. </w:t>
      </w:r>
      <w:r w:rsidR="00EA5CF6">
        <w:t xml:space="preserve">In the interim the </w:t>
      </w:r>
      <w:r w:rsidR="00A25184">
        <w:t>flat owned by the appellant</w:t>
      </w:r>
      <w:r w:rsidR="00EA5CF6">
        <w:t xml:space="preserve"> had </w:t>
      </w:r>
      <w:r w:rsidR="00A25184">
        <w:t xml:space="preserve">apparently </w:t>
      </w:r>
      <w:r w:rsidR="00EA5CF6">
        <w:t xml:space="preserve">been sold and the proceeds paid to Mr Chi who </w:t>
      </w:r>
      <w:r w:rsidR="00A25184">
        <w:t xml:space="preserve">had </w:t>
      </w:r>
      <w:r w:rsidR="00EA5CF6">
        <w:t xml:space="preserve">paid his ex-wife. </w:t>
      </w:r>
    </w:p>
    <w:p w14:paraId="6B550475" w14:textId="77777777" w:rsidR="003653F6" w:rsidRDefault="003653F6" w:rsidP="003653F6">
      <w:pPr>
        <w:pStyle w:val="Taxbodytext1"/>
      </w:pPr>
      <w:r>
        <w:t xml:space="preserve">On 14 October 2022, the appellant’s </w:t>
      </w:r>
      <w:r w:rsidR="00A25184">
        <w:t>solicitor</w:t>
      </w:r>
      <w:r>
        <w:t xml:space="preserve"> lodged with the Tribunal a witness statement from </w:t>
      </w:r>
      <w:r w:rsidR="006D4127">
        <w:t>Mr Chi</w:t>
      </w:r>
      <w:r>
        <w:t xml:space="preserve"> dated 12 October 2022 with supporting documentation.  Some of that documentation included the correspondence and documentation referred to above.  The more recent information included:-</w:t>
      </w:r>
    </w:p>
    <w:p w14:paraId="3798DD04" w14:textId="77777777" w:rsidR="003653F6" w:rsidRDefault="003653F6" w:rsidP="003653F6">
      <w:pPr>
        <w:pStyle w:val="Taxbodytext3"/>
        <w:tabs>
          <w:tab w:val="clear" w:pos="1701"/>
          <w:tab w:val="left" w:pos="993"/>
        </w:tabs>
        <w:ind w:left="567"/>
      </w:pPr>
      <w:r>
        <w:t>A decision from the Crown Court at Chelmsford dated 26 September 2022 in relation to a conviction in the Magistrates Court on 7 July 2022 for an employer breach of general duty to an employee.  The outcome was a fine of £400,000 to be paid at £80,000 within two months from 23 September 2022 and then £80,000 by 1 October each year until settled.  In addition there were costs of £6,336.83 to be paid by 7 January 2023.</w:t>
      </w:r>
    </w:p>
    <w:p w14:paraId="7E63AB34" w14:textId="77777777" w:rsidR="003653F6" w:rsidRDefault="003653F6" w:rsidP="003653F6">
      <w:pPr>
        <w:pStyle w:val="Taxbodytext3"/>
        <w:tabs>
          <w:tab w:val="clear" w:pos="1701"/>
          <w:tab w:val="left" w:pos="993"/>
        </w:tabs>
        <w:ind w:left="567"/>
      </w:pPr>
      <w:r>
        <w:t>A certificate from the appellant’s accountants stating that the appellant’s turnover had decreased from £7.8 million in 2021 to £6.7 million in the year to 31 March 2022.  The turnover for the five months from April 2022 to August 2022 was approximately £1.5 million and rising fuel prices were an issue.</w:t>
      </w:r>
    </w:p>
    <w:p w14:paraId="50ABF867" w14:textId="77777777" w:rsidR="003653F6" w:rsidRDefault="003653F6" w:rsidP="003653F6">
      <w:pPr>
        <w:pStyle w:val="Taxbodytext3"/>
        <w:tabs>
          <w:tab w:val="clear" w:pos="1701"/>
          <w:tab w:val="left" w:pos="993"/>
        </w:tabs>
        <w:ind w:left="567"/>
      </w:pPr>
      <w:r>
        <w:t>Bank statements for the period 1 September 2022 to 28 September 2022.  An email chain dated July 2022 relating to a refund of a deposit of £158,092.55.</w:t>
      </w:r>
    </w:p>
    <w:p w14:paraId="706573D6" w14:textId="77777777" w:rsidR="00515789" w:rsidRDefault="003653F6" w:rsidP="003653F6">
      <w:pPr>
        <w:pStyle w:val="Taxbodytext3"/>
        <w:tabs>
          <w:tab w:val="clear" w:pos="1701"/>
          <w:tab w:val="left" w:pos="993"/>
        </w:tabs>
        <w:ind w:left="567"/>
      </w:pPr>
      <w:r>
        <w:t xml:space="preserve">As at 11 October 2022, the balance in the appellant’s bank was </w:t>
      </w:r>
      <w:r w:rsidR="00A25184">
        <w:t xml:space="preserve">stated to be </w:t>
      </w:r>
      <w:r>
        <w:t>approximately £360,000 and that was the minimum required to operate and pay the £80,000 referred to above.</w:t>
      </w:r>
    </w:p>
    <w:p w14:paraId="7F19D292" w14:textId="77777777" w:rsidR="00515789" w:rsidRDefault="003653F6" w:rsidP="00515789">
      <w:pPr>
        <w:pStyle w:val="Taxbodytext3"/>
        <w:tabs>
          <w:tab w:val="clear" w:pos="1701"/>
          <w:tab w:val="left" w:pos="993"/>
        </w:tabs>
        <w:ind w:left="567"/>
      </w:pPr>
      <w:r>
        <w:t xml:space="preserve"> The appellant needed to budget for legal fees of £60,000.  </w:t>
      </w:r>
    </w:p>
    <w:p w14:paraId="1CB038BB" w14:textId="77777777" w:rsidR="003653F6" w:rsidRDefault="003653F6" w:rsidP="00515789">
      <w:pPr>
        <w:pStyle w:val="Taxbodytext3"/>
        <w:numPr>
          <w:ilvl w:val="2"/>
          <w:numId w:val="17"/>
        </w:numPr>
        <w:tabs>
          <w:tab w:val="clear" w:pos="1701"/>
          <w:tab w:val="left" w:pos="993"/>
        </w:tabs>
        <w:ind w:left="567"/>
      </w:pPr>
      <w:r>
        <w:t>The appellant was taking advice on insolvency.</w:t>
      </w:r>
    </w:p>
    <w:p w14:paraId="2F7D23FE" w14:textId="77777777" w:rsidR="003653F6" w:rsidRDefault="003653F6" w:rsidP="003653F6">
      <w:pPr>
        <w:pStyle w:val="Taxbodytext1"/>
      </w:pPr>
      <w:r>
        <w:t xml:space="preserve">A letter dated 17 October 2022 from a firm of insolvency practitioners was lodged by the solicitors stating that they might be giving the appellant unspecified insolvency advice.  </w:t>
      </w:r>
    </w:p>
    <w:p w14:paraId="6EDA9ABE" w14:textId="77777777" w:rsidR="003653F6" w:rsidRPr="009E1F89" w:rsidRDefault="003653F6" w:rsidP="003653F6">
      <w:pPr>
        <w:pStyle w:val="Taxbodytext1"/>
        <w:numPr>
          <w:ilvl w:val="0"/>
          <w:numId w:val="0"/>
        </w:numPr>
        <w:rPr>
          <w:b/>
        </w:rPr>
      </w:pPr>
      <w:r>
        <w:rPr>
          <w:b/>
        </w:rPr>
        <w:t>HMRC’s submissions</w:t>
      </w:r>
    </w:p>
    <w:p w14:paraId="536F5233" w14:textId="77777777" w:rsidR="003653F6" w:rsidRDefault="003653F6" w:rsidP="003653F6">
      <w:pPr>
        <w:pStyle w:val="Taxbodytext1"/>
      </w:pPr>
      <w:r>
        <w:t>HMRC have maintained their position opposing hardship.  They argued that the war in Ukraine, the rising cost of fuel and Covid-19 were not relevant concerns.</w:t>
      </w:r>
    </w:p>
    <w:p w14:paraId="70B14D02" w14:textId="77777777" w:rsidR="003653F6" w:rsidRDefault="003653F6" w:rsidP="003653F6">
      <w:pPr>
        <w:pStyle w:val="Taxbodytext1"/>
      </w:pPr>
      <w:r>
        <w:t xml:space="preserve">The issue for the Tribunal is to determine whether HMRC’s hardship decision was reasonable in the light of the information provided. </w:t>
      </w:r>
      <w:r w:rsidR="0004363E">
        <w:t>Section 16(3) FA94 applies and s</w:t>
      </w:r>
      <w:r>
        <w:t xml:space="preserve">ection 84 VATA does not. </w:t>
      </w:r>
    </w:p>
    <w:p w14:paraId="5CE447CD" w14:textId="77777777" w:rsidR="003653F6" w:rsidRDefault="003653F6" w:rsidP="003653F6">
      <w:pPr>
        <w:pStyle w:val="Taxbodytext1"/>
      </w:pPr>
      <w:r>
        <w:t>Therefore</w:t>
      </w:r>
      <w:r w:rsidR="00515789">
        <w:t>,</w:t>
      </w:r>
      <w:r>
        <w:t xml:space="preserve"> what HMRC describe as the </w:t>
      </w:r>
      <w:proofErr w:type="spellStart"/>
      <w:r w:rsidRPr="00F75354">
        <w:rPr>
          <w:i/>
        </w:rPr>
        <w:t>Elbrook</w:t>
      </w:r>
      <w:proofErr w:type="spellEnd"/>
      <w:r>
        <w:t xml:space="preserve"> </w:t>
      </w:r>
      <w:r w:rsidRPr="00F75354">
        <w:t>Principles</w:t>
      </w:r>
      <w:r>
        <w:t xml:space="preserve">, an expression that I adopt, insofar as they concern the timing of the assessment, do not apply to section 16 FA94. The hardship test must be applied at the time that HMRC assessed the hardship application and not as at the date of the hearing. </w:t>
      </w:r>
      <w:r w:rsidR="00515789">
        <w:t xml:space="preserve">HMRC </w:t>
      </w:r>
      <w:r w:rsidR="00A25184">
        <w:t xml:space="preserve">would have considered </w:t>
      </w:r>
      <w:r w:rsidR="00515789">
        <w:t xml:space="preserve">the provisions of </w:t>
      </w:r>
      <w:r w:rsidR="00A25184">
        <w:t>security.</w:t>
      </w:r>
    </w:p>
    <w:p w14:paraId="3CA369E6" w14:textId="77777777" w:rsidR="003653F6" w:rsidRDefault="003653F6" w:rsidP="003653F6">
      <w:pPr>
        <w:pStyle w:val="Taxbodytext1"/>
      </w:pPr>
      <w:r>
        <w:t>Mr Birkbeck maintained his position that the appellant was still in a position to pay the customs debt but chose not to do so. HMRC would have considered any new vouched informa</w:t>
      </w:r>
      <w:r w:rsidR="0004363E">
        <w:t>tion at any stage up until the T</w:t>
      </w:r>
      <w:r>
        <w:t xml:space="preserve">ribunal hearing. </w:t>
      </w:r>
    </w:p>
    <w:p w14:paraId="64228201" w14:textId="77777777" w:rsidR="003653F6" w:rsidRDefault="003653F6" w:rsidP="003653F6">
      <w:pPr>
        <w:pStyle w:val="Taxbodytext1"/>
      </w:pPr>
      <w:r>
        <w:t xml:space="preserve">Mr Chi’s priority had been payments to his ex-wife (by extracting dividends from the appellant) and meeting other commitments. There was a lack of specificity about a number of the financial issues. There was not clarity about the treatment of deposits. There had been healthy cash balances shown in </w:t>
      </w:r>
      <w:r w:rsidR="000A1C97">
        <w:t xml:space="preserve">all </w:t>
      </w:r>
      <w:r>
        <w:t>the bank statem</w:t>
      </w:r>
      <w:r w:rsidR="0004363E">
        <w:t xml:space="preserve">ents that had been provided, </w:t>
      </w:r>
      <w:r>
        <w:t xml:space="preserve">albeit the appellant </w:t>
      </w:r>
      <w:r w:rsidR="0081533C">
        <w:t xml:space="preserve">had </w:t>
      </w:r>
      <w:r w:rsidR="000A1C97">
        <w:t>not chosen to produce</w:t>
      </w:r>
      <w:r>
        <w:t xml:space="preserve"> the bank statements.</w:t>
      </w:r>
      <w:r w:rsidR="0035751C">
        <w:t xml:space="preserve"> There were unexplained depletions in the bank account. </w:t>
      </w:r>
    </w:p>
    <w:p w14:paraId="1AE25E52" w14:textId="77777777" w:rsidR="003653F6" w:rsidRDefault="003653F6" w:rsidP="003653F6">
      <w:pPr>
        <w:pStyle w:val="Taxheading2"/>
      </w:pPr>
      <w:r>
        <w:t>The appellant’s submissions</w:t>
      </w:r>
    </w:p>
    <w:p w14:paraId="79493039" w14:textId="77777777" w:rsidR="003653F6" w:rsidRDefault="003653F6" w:rsidP="003653F6">
      <w:pPr>
        <w:pStyle w:val="Taxbodytext1"/>
      </w:pPr>
      <w:r>
        <w:t>The appellant’s case can be summarised as:-</w:t>
      </w:r>
    </w:p>
    <w:p w14:paraId="07CC0301" w14:textId="77777777" w:rsidR="003653F6" w:rsidRDefault="003653F6" w:rsidP="000A1C97">
      <w:pPr>
        <w:pStyle w:val="Taxbodytext3"/>
        <w:tabs>
          <w:tab w:val="clear" w:pos="1701"/>
          <w:tab w:val="left" w:pos="993"/>
        </w:tabs>
        <w:ind w:left="567"/>
      </w:pPr>
      <w:r>
        <w:t>Article 6 European Convention on Human Rights (“EHCR”) applies to the proceedings,</w:t>
      </w:r>
    </w:p>
    <w:p w14:paraId="389C006D" w14:textId="77777777" w:rsidR="003653F6" w:rsidRDefault="003653F6" w:rsidP="000A1C97">
      <w:pPr>
        <w:pStyle w:val="Taxbodytext3"/>
        <w:tabs>
          <w:tab w:val="clear" w:pos="1701"/>
          <w:tab w:val="left" w:pos="993"/>
        </w:tabs>
        <w:ind w:left="567"/>
      </w:pPr>
      <w:r>
        <w:t>Section 3 HRA, read with Article 6.1 EHCR requires a construction of section 16 FA94 which focuses on the appellant’s position at the date of the hearing as opposed to when HMRC made the decision not to issue a hardship certificate.</w:t>
      </w:r>
    </w:p>
    <w:p w14:paraId="53C91EE0" w14:textId="77777777" w:rsidR="003653F6" w:rsidRDefault="003653F6" w:rsidP="000A1C97">
      <w:pPr>
        <w:pStyle w:val="Taxbodytext3"/>
        <w:tabs>
          <w:tab w:val="clear" w:pos="1701"/>
          <w:tab w:val="left" w:pos="993"/>
        </w:tabs>
        <w:ind w:left="567"/>
      </w:pPr>
      <w:r>
        <w:t xml:space="preserve">In the alternative, the Supreme Court’s decision in </w:t>
      </w:r>
      <w:r>
        <w:rPr>
          <w:i/>
        </w:rPr>
        <w:t>R(</w:t>
      </w:r>
      <w:proofErr w:type="spellStart"/>
      <w:r>
        <w:rPr>
          <w:i/>
        </w:rPr>
        <w:t>oao</w:t>
      </w:r>
      <w:proofErr w:type="spellEnd"/>
      <w:r>
        <w:rPr>
          <w:i/>
        </w:rPr>
        <w:t xml:space="preserve"> Unison) v Lord Chancellor</w:t>
      </w:r>
      <w:r w:rsidR="00A25184">
        <w:t xml:space="preserve"> </w:t>
      </w:r>
      <w:r>
        <w:t xml:space="preserve">[2017] UKSC 51  </w:t>
      </w:r>
      <w:r w:rsidR="00A25184">
        <w:t xml:space="preserve">(“Unison”) </w:t>
      </w:r>
      <w:r>
        <w:t xml:space="preserve">compels the same construction. </w:t>
      </w:r>
    </w:p>
    <w:p w14:paraId="65B269F0" w14:textId="77777777" w:rsidR="003653F6" w:rsidRDefault="003653F6" w:rsidP="000A1C97">
      <w:pPr>
        <w:pStyle w:val="Taxbodytext3"/>
        <w:tabs>
          <w:tab w:val="clear" w:pos="1701"/>
          <w:tab w:val="left" w:pos="993"/>
        </w:tabs>
        <w:ind w:left="567"/>
      </w:pPr>
      <w:r>
        <w:t>Even if the EHCR has no bearing upon the construction of section 16 FA94, the normal rules of statutory construction militate for the construction relied upon by the appellant.</w:t>
      </w:r>
    </w:p>
    <w:p w14:paraId="089711FA" w14:textId="77777777" w:rsidR="00B2310A" w:rsidRDefault="00B2310A" w:rsidP="00B2310A">
      <w:pPr>
        <w:pStyle w:val="Taxheading2"/>
      </w:pPr>
      <w:r>
        <w:t>The L</w:t>
      </w:r>
      <w:r w:rsidR="00FE5C65">
        <w:t>egislation</w:t>
      </w:r>
    </w:p>
    <w:p w14:paraId="26996BFA" w14:textId="77777777" w:rsidR="00CD27DB" w:rsidRPr="00CD27DB" w:rsidRDefault="00CD27DB" w:rsidP="00CD27DB">
      <w:pPr>
        <w:pStyle w:val="Taxheading3"/>
      </w:pPr>
      <w:r>
        <w:t>VATA</w:t>
      </w:r>
    </w:p>
    <w:p w14:paraId="66D02C96" w14:textId="77777777" w:rsidR="00CD27DB" w:rsidRPr="00CD27DB" w:rsidRDefault="00CD27DB" w:rsidP="00DF0AF9">
      <w:pPr>
        <w:pStyle w:val="Taxbodytext1"/>
      </w:pPr>
      <w:r>
        <w:t>In so far as material</w:t>
      </w:r>
      <w:r w:rsidR="0004363E">
        <w:t>,</w:t>
      </w:r>
      <w:r>
        <w:t xml:space="preserve"> section 1 and section 16 VATA read:-</w:t>
      </w:r>
    </w:p>
    <w:p w14:paraId="5B4B5D5E" w14:textId="77777777" w:rsidR="00FF23C8" w:rsidRDefault="00CD27DB" w:rsidP="00CD27DB">
      <w:pPr>
        <w:pStyle w:val="Taxbodytext1"/>
        <w:numPr>
          <w:ilvl w:val="0"/>
          <w:numId w:val="0"/>
        </w:numPr>
      </w:pPr>
      <w:r>
        <w:rPr>
          <w:b/>
        </w:rPr>
        <w:t>“</w:t>
      </w:r>
      <w:r w:rsidR="00E640B4">
        <w:rPr>
          <w:b/>
        </w:rPr>
        <w:t xml:space="preserve">1  </w:t>
      </w:r>
      <w:r w:rsidR="00D62B4F">
        <w:rPr>
          <w:b/>
        </w:rPr>
        <w:t>Value Added Tax</w:t>
      </w:r>
    </w:p>
    <w:p w14:paraId="7549C80C" w14:textId="77777777" w:rsidR="00D62B4F" w:rsidRDefault="00D62B4F" w:rsidP="00D62B4F">
      <w:pPr>
        <w:pStyle w:val="Taxbodytext2"/>
        <w:tabs>
          <w:tab w:val="clear" w:pos="1134"/>
          <w:tab w:val="left" w:pos="993"/>
        </w:tabs>
        <w:ind w:left="567"/>
      </w:pPr>
      <w:r>
        <w:t>…</w:t>
      </w:r>
    </w:p>
    <w:p w14:paraId="2A8C5997" w14:textId="77777777" w:rsidR="00D62B4F" w:rsidRDefault="00D62B4F" w:rsidP="00D62B4F">
      <w:pPr>
        <w:pStyle w:val="Taxbodytext2"/>
        <w:numPr>
          <w:ilvl w:val="0"/>
          <w:numId w:val="0"/>
        </w:numPr>
        <w:tabs>
          <w:tab w:val="clear" w:pos="1134"/>
          <w:tab w:val="left" w:pos="993"/>
        </w:tabs>
        <w:ind w:left="567"/>
      </w:pPr>
      <w:r>
        <w:t>(4)</w:t>
      </w:r>
      <w:r>
        <w:tab/>
        <w:t>VAT on the importation of goods into the United Kingdom shall be charged and payable as if it were import duty</w:t>
      </w:r>
      <w:r w:rsidR="00E640B4">
        <w:t>.</w:t>
      </w:r>
    </w:p>
    <w:p w14:paraId="6555B89D" w14:textId="77777777" w:rsidR="00E640B4" w:rsidRDefault="00E640B4" w:rsidP="00D62B4F">
      <w:pPr>
        <w:pStyle w:val="Taxbodytext2"/>
        <w:numPr>
          <w:ilvl w:val="0"/>
          <w:numId w:val="0"/>
        </w:numPr>
        <w:tabs>
          <w:tab w:val="clear" w:pos="1134"/>
          <w:tab w:val="left" w:pos="993"/>
        </w:tabs>
        <w:ind w:left="567"/>
      </w:pPr>
      <w:r>
        <w:t>…</w:t>
      </w:r>
    </w:p>
    <w:p w14:paraId="2498592C" w14:textId="77777777" w:rsidR="00E640B4" w:rsidRDefault="00E640B4" w:rsidP="00D62B4F">
      <w:pPr>
        <w:pStyle w:val="Taxbodytext2"/>
        <w:numPr>
          <w:ilvl w:val="0"/>
          <w:numId w:val="0"/>
        </w:numPr>
        <w:tabs>
          <w:tab w:val="clear" w:pos="1134"/>
          <w:tab w:val="left" w:pos="993"/>
        </w:tabs>
        <w:ind w:left="567"/>
        <w:rPr>
          <w:b/>
        </w:rPr>
      </w:pPr>
      <w:r>
        <w:rPr>
          <w:b/>
        </w:rPr>
        <w:t>16 Application of customs enactments</w:t>
      </w:r>
    </w:p>
    <w:p w14:paraId="03A1A350" w14:textId="77777777" w:rsidR="00E640B4" w:rsidRDefault="00E640B4" w:rsidP="00E640B4">
      <w:pPr>
        <w:pStyle w:val="Taxbodytext2"/>
        <w:numPr>
          <w:ilvl w:val="1"/>
          <w:numId w:val="14"/>
        </w:numPr>
        <w:tabs>
          <w:tab w:val="clear" w:pos="1134"/>
          <w:tab w:val="left" w:pos="993"/>
        </w:tabs>
        <w:ind w:left="567"/>
      </w:pPr>
      <w:r>
        <w:t>The provision made by or under</w:t>
      </w:r>
    </w:p>
    <w:p w14:paraId="6B02DB9F" w14:textId="77777777" w:rsidR="00E640B4" w:rsidRDefault="00E640B4" w:rsidP="00E640B4">
      <w:pPr>
        <w:pStyle w:val="Taxbodytext3"/>
        <w:tabs>
          <w:tab w:val="clear" w:pos="1701"/>
          <w:tab w:val="left" w:pos="1418"/>
        </w:tabs>
        <w:ind w:left="993"/>
      </w:pPr>
      <w:r>
        <w:t>the Customs and Excise Acts 1979 (as defined in the Management Act), and</w:t>
      </w:r>
    </w:p>
    <w:p w14:paraId="67B05F5E" w14:textId="77777777" w:rsidR="00E640B4" w:rsidRDefault="00E640B4" w:rsidP="00E640B4">
      <w:pPr>
        <w:pStyle w:val="Taxbodytext3"/>
        <w:tabs>
          <w:tab w:val="clear" w:pos="1701"/>
          <w:tab w:val="left" w:pos="1418"/>
        </w:tabs>
        <w:ind w:left="993"/>
      </w:pPr>
      <w:r>
        <w:t>the other enactments for the time being having effect generally in relation to duties of customs and excise charged by reference to the importation of goods into the United Kingdom,</w:t>
      </w:r>
    </w:p>
    <w:p w14:paraId="744775AF" w14:textId="77777777" w:rsidR="00E640B4" w:rsidRDefault="00E640B4" w:rsidP="00E640B4">
      <w:pPr>
        <w:pStyle w:val="Taxbodytext3"/>
        <w:numPr>
          <w:ilvl w:val="0"/>
          <w:numId w:val="0"/>
        </w:numPr>
        <w:tabs>
          <w:tab w:val="clear" w:pos="1701"/>
          <w:tab w:val="left" w:pos="1418"/>
        </w:tabs>
        <w:ind w:left="567"/>
      </w:pPr>
      <w:r>
        <w:t xml:space="preserve">apply (so far as relevant) in relation to any VAT chargeable on the importation of goods into the United Kingdom as they apply in relation to any duty of customs or excise. </w:t>
      </w:r>
    </w:p>
    <w:p w14:paraId="747AA0EC" w14:textId="77777777" w:rsidR="00E640B4" w:rsidRDefault="00E640B4" w:rsidP="00E640B4">
      <w:pPr>
        <w:pStyle w:val="Taxbodytext2"/>
        <w:tabs>
          <w:tab w:val="clear" w:pos="1134"/>
          <w:tab w:val="left" w:pos="993"/>
        </w:tabs>
        <w:ind w:left="567"/>
      </w:pPr>
      <w:r>
        <w:t>The provision made by section 1(4) for VAT on the importation of goods to be charged and payable as if it were import duty is to be taken as applying, in relation to any VAT chargeable on the importation of the goods, the provision made by or under Part 1 of TCTA 2018.</w:t>
      </w:r>
    </w:p>
    <w:p w14:paraId="1F7C82BC" w14:textId="77777777" w:rsidR="00E640B4" w:rsidRDefault="00E640B4" w:rsidP="00E640B4">
      <w:pPr>
        <w:pStyle w:val="Taxbodytext2"/>
        <w:tabs>
          <w:tab w:val="clear" w:pos="1134"/>
          <w:tab w:val="left" w:pos="993"/>
        </w:tabs>
        <w:ind w:left="567"/>
      </w:pPr>
      <w:r>
        <w:t>The Commissioners may by regulations</w:t>
      </w:r>
    </w:p>
    <w:p w14:paraId="06B029A9" w14:textId="77777777" w:rsidR="00E640B4" w:rsidRDefault="00E640B4" w:rsidP="00E640B4">
      <w:pPr>
        <w:pStyle w:val="Taxbodytext3"/>
        <w:tabs>
          <w:tab w:val="clear" w:pos="1701"/>
          <w:tab w:val="left" w:pos="1418"/>
        </w:tabs>
        <w:ind w:left="993"/>
      </w:pPr>
      <w:r>
        <w:t xml:space="preserve">provide </w:t>
      </w:r>
      <w:r w:rsidR="009D7695">
        <w:t>for exceptions from the effect of subsection (1) or (2), or</w:t>
      </w:r>
    </w:p>
    <w:p w14:paraId="2F3AF730" w14:textId="77777777" w:rsidR="009D7695" w:rsidRDefault="009D7695" w:rsidP="00E640B4">
      <w:pPr>
        <w:pStyle w:val="Taxbodytext3"/>
        <w:tabs>
          <w:tab w:val="clear" w:pos="1701"/>
          <w:tab w:val="left" w:pos="1418"/>
        </w:tabs>
        <w:ind w:left="993"/>
      </w:pPr>
      <w:r>
        <w:t>provide for the provision mentioned in subsection (1) or (2) to have effect with modifications specified in the regulations.</w:t>
      </w:r>
    </w:p>
    <w:p w14:paraId="0429A829" w14:textId="77777777" w:rsidR="009D7695" w:rsidRDefault="009D7695" w:rsidP="009D7695">
      <w:pPr>
        <w:pStyle w:val="Taxbodytext2"/>
        <w:tabs>
          <w:tab w:val="clear" w:pos="1134"/>
          <w:tab w:val="left" w:pos="993"/>
        </w:tabs>
        <w:ind w:left="567"/>
      </w:pPr>
      <w:r>
        <w:t>Subsections (1) and (2) do not apply so far as the context otherwise requires.”</w:t>
      </w:r>
    </w:p>
    <w:p w14:paraId="4D24D774" w14:textId="77777777" w:rsidR="00CA4C80" w:rsidRPr="00DF0AF9" w:rsidRDefault="00CA4C80" w:rsidP="00CA4C80">
      <w:pPr>
        <w:pStyle w:val="Taxbodytext1"/>
      </w:pPr>
      <w:r>
        <w:t>I will revert to the poin</w:t>
      </w:r>
      <w:r w:rsidR="00970500">
        <w:t xml:space="preserve">t, </w:t>
      </w:r>
      <w:r>
        <w:t xml:space="preserve">but it had been argued in the course of the hearing that there was no case law on the interpretation of section 16(3) and Mr Birkbeck argued then, as he did in the written submissions, that the only relevant case law related to section 84 VATA where the wording is similar but not identical. </w:t>
      </w:r>
    </w:p>
    <w:p w14:paraId="196A5D93" w14:textId="77777777" w:rsidR="00CA4C80" w:rsidRDefault="00CA4C80" w:rsidP="00CA4C80">
      <w:pPr>
        <w:pStyle w:val="Taxbodytext1"/>
      </w:pPr>
      <w:r>
        <w:t>The material provisions insofar as relevant in section 84 VATA read:-</w:t>
      </w:r>
    </w:p>
    <w:p w14:paraId="2094A17A" w14:textId="77777777" w:rsidR="00CA4C80" w:rsidRDefault="00CA4C80" w:rsidP="00CA4C80">
      <w:pPr>
        <w:pStyle w:val="Taxbodytext1"/>
        <w:numPr>
          <w:ilvl w:val="0"/>
          <w:numId w:val="0"/>
        </w:numPr>
        <w:ind w:left="567" w:hanging="567"/>
      </w:pPr>
      <w:r>
        <w:tab/>
        <w:t>“(3A) Subject to subsections (3B) and (3C), where the appeal is against an assessment which is a recovery assessment for the purposes of this subsection, or against the amount of such an assessment, it shall not be entertained unless the amount notified by the assessment has been paid or deposited with HMRC.</w:t>
      </w:r>
    </w:p>
    <w:p w14:paraId="01038D55" w14:textId="77777777" w:rsidR="00CA4C80" w:rsidRDefault="00CA4C80" w:rsidP="00CA4C80">
      <w:pPr>
        <w:pStyle w:val="Taxbodytext1"/>
        <w:numPr>
          <w:ilvl w:val="0"/>
          <w:numId w:val="0"/>
        </w:numPr>
        <w:ind w:left="567" w:hanging="567"/>
      </w:pPr>
      <w:r>
        <w:tab/>
        <w:t>(3B)  In a case where the a</w:t>
      </w:r>
      <w:r w:rsidR="0004363E">
        <w:t>mount determined to be payable a</w:t>
      </w:r>
      <w:r>
        <w:t>s VAT or the amount notified by the recovery assessment has not been paid or deposited, an appeal shall be entertained if –</w:t>
      </w:r>
    </w:p>
    <w:p w14:paraId="0051985A" w14:textId="77777777" w:rsidR="00CA4C80" w:rsidRDefault="00CA4C80" w:rsidP="0004363E">
      <w:pPr>
        <w:pStyle w:val="Taxbodytext3"/>
        <w:tabs>
          <w:tab w:val="clear" w:pos="1701"/>
          <w:tab w:val="left" w:pos="1418"/>
        </w:tabs>
        <w:ind w:left="993"/>
      </w:pPr>
      <w:r>
        <w:t>HMRC are satisfied (on the application of the appellant), or</w:t>
      </w:r>
    </w:p>
    <w:p w14:paraId="554E5716" w14:textId="77777777" w:rsidR="00CA4C80" w:rsidRDefault="00CA4C80" w:rsidP="0004363E">
      <w:pPr>
        <w:pStyle w:val="Taxbodytext3"/>
        <w:tabs>
          <w:tab w:val="clear" w:pos="1701"/>
          <w:tab w:val="left" w:pos="1418"/>
        </w:tabs>
        <w:ind w:left="993"/>
      </w:pPr>
      <w:r>
        <w:t>The tribunal decides (HMRC not being so satisfied and on the application of the appellant),</w:t>
      </w:r>
    </w:p>
    <w:p w14:paraId="396FDAA5" w14:textId="77777777" w:rsidR="00CA4C80" w:rsidRDefault="0004363E" w:rsidP="00CA4C80">
      <w:pPr>
        <w:pStyle w:val="Taxbodytext3"/>
        <w:numPr>
          <w:ilvl w:val="0"/>
          <w:numId w:val="0"/>
        </w:numPr>
        <w:tabs>
          <w:tab w:val="clear" w:pos="1701"/>
          <w:tab w:val="left" w:pos="993"/>
        </w:tabs>
        <w:ind w:left="567"/>
      </w:pPr>
      <w:r>
        <w:t>t</w:t>
      </w:r>
      <w:r w:rsidR="00CA4C80">
        <w:t xml:space="preserve">hat the requirement to pay or deposit the amount determined </w:t>
      </w:r>
      <w:r w:rsidR="00CA4C80" w:rsidRPr="00113309">
        <w:rPr>
          <w:u w:val="single"/>
        </w:rPr>
        <w:t>would cause</w:t>
      </w:r>
      <w:r w:rsidR="00CA4C80">
        <w:t xml:space="preserve"> the appellant to suffer hardship”. (emphasis added)</w:t>
      </w:r>
    </w:p>
    <w:p w14:paraId="1323AC62" w14:textId="77777777" w:rsidR="00E256E2" w:rsidRDefault="00CD27DB" w:rsidP="00970500">
      <w:pPr>
        <w:pStyle w:val="Taxheading3"/>
      </w:pPr>
      <w:r>
        <w:t>FA94</w:t>
      </w:r>
    </w:p>
    <w:p w14:paraId="5A98E72B" w14:textId="77777777" w:rsidR="00DF0AF9" w:rsidRDefault="00F75354" w:rsidP="00DF0AF9">
      <w:pPr>
        <w:pStyle w:val="Taxbodytext1"/>
      </w:pPr>
      <w:r>
        <w:t xml:space="preserve">Section 16(3) FA94 </w:t>
      </w:r>
      <w:r w:rsidR="00DF0AF9">
        <w:t>reads:-</w:t>
      </w:r>
    </w:p>
    <w:p w14:paraId="36E945F9" w14:textId="77777777" w:rsidR="00DF0AF9" w:rsidRDefault="00CF2860" w:rsidP="00DF0AF9">
      <w:pPr>
        <w:pStyle w:val="Taxbodytext1"/>
        <w:numPr>
          <w:ilvl w:val="0"/>
          <w:numId w:val="0"/>
        </w:numPr>
        <w:tabs>
          <w:tab w:val="left" w:pos="993"/>
        </w:tabs>
        <w:ind w:left="567" w:hanging="567"/>
      </w:pPr>
      <w:r>
        <w:tab/>
        <w:t>“(3)</w:t>
      </w:r>
      <w:r>
        <w:tab/>
      </w:r>
      <w:r w:rsidR="00DF0AF9">
        <w:t>An appeal which relates to a relevant decision falling within any of paragraphs (a) to (h) of section 13A(2), or which relates to a decision on a review of any such relevant decision, shall not be entertained if the amount of relevant duty which HMRC have determined to be payable in relation to that decision has not been paid</w:t>
      </w:r>
      <w:r>
        <w:t xml:space="preserve"> or deposited with them unless-</w:t>
      </w:r>
    </w:p>
    <w:p w14:paraId="2E2E23C5" w14:textId="77777777" w:rsidR="00DF0AF9" w:rsidRDefault="00DF0AF9" w:rsidP="009D7695">
      <w:pPr>
        <w:pStyle w:val="Taxbodytext3"/>
        <w:tabs>
          <w:tab w:val="clear" w:pos="1701"/>
          <w:tab w:val="left" w:pos="1418"/>
        </w:tabs>
        <w:ind w:left="993"/>
      </w:pPr>
      <w:r>
        <w:t>the Commissioners have, on the application of the appellant, issued a certificate stating either-</w:t>
      </w:r>
    </w:p>
    <w:p w14:paraId="3B1F0CE4" w14:textId="77777777" w:rsidR="00DF0AF9" w:rsidRDefault="00DF0AF9" w:rsidP="009D7695">
      <w:pPr>
        <w:pStyle w:val="Taxbodytext4"/>
        <w:tabs>
          <w:tab w:val="clear" w:pos="2268"/>
          <w:tab w:val="left" w:pos="1843"/>
        </w:tabs>
        <w:ind w:left="1418"/>
      </w:pPr>
      <w:r>
        <w:t>that such security as appears to them to be adequate has been given to them for the payment of that amount; or</w:t>
      </w:r>
    </w:p>
    <w:p w14:paraId="313E55E1" w14:textId="77777777" w:rsidR="00DF0AF9" w:rsidRDefault="00DF0AF9" w:rsidP="009D7695">
      <w:pPr>
        <w:pStyle w:val="Taxbodytext4"/>
        <w:tabs>
          <w:tab w:val="clear" w:pos="2268"/>
          <w:tab w:val="left" w:pos="1843"/>
        </w:tabs>
        <w:ind w:left="1418"/>
      </w:pPr>
      <w:r>
        <w:t>that, on the grounds of the hardship that would otherwise be suffered by the appellant, they either do not require the giving of security for the payment of that amount or have accepted such lesser security as they consider appropriate;</w:t>
      </w:r>
    </w:p>
    <w:p w14:paraId="3F71646B" w14:textId="77777777" w:rsidR="00DF0AF9" w:rsidRDefault="00DF0AF9" w:rsidP="0099221D">
      <w:pPr>
        <w:pStyle w:val="Taxbodytext4"/>
        <w:numPr>
          <w:ilvl w:val="0"/>
          <w:numId w:val="0"/>
        </w:numPr>
        <w:ind w:firstLine="993"/>
      </w:pPr>
      <w:r>
        <w:t>or</w:t>
      </w:r>
    </w:p>
    <w:p w14:paraId="7C2621E0" w14:textId="77777777" w:rsidR="00DF0AF9" w:rsidRDefault="00DF0AF9" w:rsidP="009D7695">
      <w:pPr>
        <w:pStyle w:val="Taxbodytext3"/>
        <w:tabs>
          <w:tab w:val="clear" w:pos="1701"/>
          <w:tab w:val="left" w:pos="1418"/>
        </w:tabs>
        <w:ind w:left="993"/>
      </w:pPr>
      <w:r>
        <w:t xml:space="preserve">the Tribunal to which the appeal is made decide that the Commissioners </w:t>
      </w:r>
      <w:r w:rsidRPr="00907D0F">
        <w:rPr>
          <w:u w:val="single"/>
        </w:rPr>
        <w:t>should not have refused</w:t>
      </w:r>
      <w:r>
        <w:t xml:space="preserve"> to issue a certificate under paragraph (a) above and are satisfied that such </w:t>
      </w:r>
      <w:r w:rsidRPr="00A15747">
        <w:rPr>
          <w:u w:val="single"/>
        </w:rPr>
        <w:t>security</w:t>
      </w:r>
      <w:r>
        <w:t xml:space="preserve"> (if any) as it would have been reasonable for the Commissioners to accept in the circumstances has been given to the Commissioners.”  (emphasis added)</w:t>
      </w:r>
      <w:r w:rsidR="00CD27DB">
        <w:t>.</w:t>
      </w:r>
    </w:p>
    <w:p w14:paraId="5DEE99BD" w14:textId="77777777" w:rsidR="00CD27DB" w:rsidRDefault="00FE5C65" w:rsidP="00FE5C65">
      <w:pPr>
        <w:pStyle w:val="Taxbodytext1"/>
      </w:pPr>
      <w:r>
        <w:t>Section 13A(2)(b) is relevant for the purposes of this appeal and reads:-</w:t>
      </w:r>
    </w:p>
    <w:p w14:paraId="258CE22B" w14:textId="77777777" w:rsidR="00FE5C65" w:rsidRDefault="0004363E" w:rsidP="00876B88">
      <w:pPr>
        <w:pStyle w:val="Taxbodytext1"/>
        <w:numPr>
          <w:ilvl w:val="0"/>
          <w:numId w:val="0"/>
        </w:numPr>
        <w:ind w:left="567" w:hanging="567"/>
      </w:pPr>
      <w:r>
        <w:tab/>
        <w:t>“</w:t>
      </w:r>
      <w:r w:rsidR="00FE5C65">
        <w:t>(b) so much of any decision by HMRC that a person is liable to any duty of excise, or as to the amount of his liability, as is contained in any asse</w:t>
      </w:r>
      <w:r>
        <w:t>ssment under section 12 above;”.</w:t>
      </w:r>
    </w:p>
    <w:p w14:paraId="28CD64CA" w14:textId="77777777" w:rsidR="00FE5C65" w:rsidRDefault="00FE5C65" w:rsidP="00FE5C65">
      <w:pPr>
        <w:pStyle w:val="Taxbodytext1"/>
      </w:pPr>
      <w:r>
        <w:t xml:space="preserve"> Section 12(1A) is the relevant part of that section and reads:-</w:t>
      </w:r>
    </w:p>
    <w:p w14:paraId="6AA052B3" w14:textId="77777777" w:rsidR="00FE5C65" w:rsidRDefault="00FE5C65" w:rsidP="00FE5C65">
      <w:pPr>
        <w:pStyle w:val="Taxbodytext1"/>
        <w:numPr>
          <w:ilvl w:val="0"/>
          <w:numId w:val="0"/>
        </w:numPr>
      </w:pPr>
      <w:r>
        <w:t xml:space="preserve"> </w:t>
      </w:r>
      <w:r w:rsidR="0004363E">
        <w:tab/>
      </w:r>
      <w:r>
        <w:t>“(1A) Subject to subsection (4) below, where it appears to the Commissioners</w:t>
      </w:r>
      <w:r w:rsidR="0004363E">
        <w:t>:</w:t>
      </w:r>
    </w:p>
    <w:p w14:paraId="23919B82" w14:textId="77777777" w:rsidR="00FE5C65" w:rsidRDefault="00FE5C65" w:rsidP="00FE5C65">
      <w:pPr>
        <w:pStyle w:val="Taxbodytext1"/>
        <w:numPr>
          <w:ilvl w:val="0"/>
          <w:numId w:val="0"/>
        </w:numPr>
        <w:ind w:left="567" w:hanging="567"/>
      </w:pPr>
      <w:r>
        <w:tab/>
        <w:t xml:space="preserve">(a) that any person is a person from whom any amount has become due in respect of any duty of excise; and </w:t>
      </w:r>
    </w:p>
    <w:p w14:paraId="24079515" w14:textId="77777777" w:rsidR="00FE5C65" w:rsidRDefault="00FE5C65" w:rsidP="00FE5C65">
      <w:pPr>
        <w:pStyle w:val="Taxbodytext1"/>
        <w:numPr>
          <w:ilvl w:val="0"/>
          <w:numId w:val="0"/>
        </w:numPr>
      </w:pPr>
      <w:r>
        <w:tab/>
        <w:t>(b) at the amount due can be ascertained by the Commissioners,</w:t>
      </w:r>
    </w:p>
    <w:p w14:paraId="51EF0BB6" w14:textId="77777777" w:rsidR="00FE5C65" w:rsidRDefault="0004363E" w:rsidP="0004363E">
      <w:pPr>
        <w:pStyle w:val="Taxbodytext1"/>
        <w:numPr>
          <w:ilvl w:val="0"/>
          <w:numId w:val="0"/>
        </w:numPr>
        <w:ind w:left="567" w:hanging="567"/>
      </w:pPr>
      <w:r>
        <w:tab/>
      </w:r>
      <w:r w:rsidR="00FE5C65">
        <w:t xml:space="preserve">the Commissioners may assess the amount of duty due from that person and notify that amount to that person or his representative.” </w:t>
      </w:r>
    </w:p>
    <w:p w14:paraId="5AA13116" w14:textId="77777777" w:rsidR="00CA4C80" w:rsidRDefault="00FE5C65" w:rsidP="00FE5C65">
      <w:pPr>
        <w:pStyle w:val="Taxbodytext1"/>
      </w:pPr>
      <w:r>
        <w:t xml:space="preserve"> Subsection (4) </w:t>
      </w:r>
      <w:r w:rsidR="00CA4C80">
        <w:t>reads</w:t>
      </w:r>
      <w:r>
        <w:t>:</w:t>
      </w:r>
      <w:r w:rsidR="00CA4C80">
        <w:t>-</w:t>
      </w:r>
    </w:p>
    <w:p w14:paraId="74E50F60" w14:textId="77777777" w:rsidR="00CA4C80" w:rsidRDefault="00FE5C65" w:rsidP="00CA4C80">
      <w:pPr>
        <w:pStyle w:val="Taxbodytext1"/>
        <w:numPr>
          <w:ilvl w:val="0"/>
          <w:numId w:val="0"/>
        </w:numPr>
        <w:ind w:left="567"/>
      </w:pPr>
      <w:r>
        <w:t xml:space="preserve"> “(4) An assessment of the amount of any duty of excise due from any person shall not be made under this section at any time after whichever is the earlier of the fol</w:t>
      </w:r>
      <w:r w:rsidR="00CA4C80">
        <w:t xml:space="preserve">lowing times, that is to say— </w:t>
      </w:r>
    </w:p>
    <w:p w14:paraId="128BD5C8" w14:textId="77777777" w:rsidR="00CA4C80" w:rsidRDefault="00FE5C65" w:rsidP="00CA4C80">
      <w:pPr>
        <w:pStyle w:val="Taxbodytext1"/>
        <w:numPr>
          <w:ilvl w:val="0"/>
          <w:numId w:val="0"/>
        </w:numPr>
        <w:ind w:left="567"/>
      </w:pPr>
      <w:r>
        <w:t xml:space="preserve"> … </w:t>
      </w:r>
    </w:p>
    <w:p w14:paraId="19950F88" w14:textId="77777777" w:rsidR="00CA4C80" w:rsidRDefault="00FE5C65" w:rsidP="00CA4C80">
      <w:pPr>
        <w:pStyle w:val="Taxbodytext1"/>
        <w:numPr>
          <w:ilvl w:val="0"/>
          <w:numId w:val="0"/>
        </w:numPr>
        <w:ind w:left="567"/>
      </w:pPr>
      <w:r>
        <w:t xml:space="preserve">(b) the end of the period of one year beginning with the day on which evidence of facts, sufficient in the opinion of the Commissioners to justify the making of the assessment, comes to their knowledge; </w:t>
      </w:r>
    </w:p>
    <w:p w14:paraId="06819EE4" w14:textId="77777777" w:rsidR="00FE5C65" w:rsidRDefault="00FE5C65" w:rsidP="00CA4C80">
      <w:pPr>
        <w:pStyle w:val="Taxbodytext1"/>
        <w:numPr>
          <w:ilvl w:val="0"/>
          <w:numId w:val="0"/>
        </w:numPr>
        <w:ind w:left="567"/>
      </w:pPr>
      <w:r>
        <w:t>but this subsection shall be without prejudice, where further evidence comes to the knowledge of the Commissioners at any time after the making of an assessment under this section, to the making of a further assessment within the period applicable by virtue of this subsection in relation to that further assessment.”</w:t>
      </w:r>
    </w:p>
    <w:p w14:paraId="35B93312" w14:textId="77777777" w:rsidR="003653F6" w:rsidRDefault="003653F6" w:rsidP="003653F6">
      <w:pPr>
        <w:pStyle w:val="Taxheading2"/>
      </w:pPr>
      <w:r>
        <w:t>Discussion</w:t>
      </w:r>
    </w:p>
    <w:p w14:paraId="1CE913C1" w14:textId="77777777" w:rsidR="001B5F89" w:rsidRDefault="001B5F89" w:rsidP="001B5F89">
      <w:pPr>
        <w:pStyle w:val="Taxheading3"/>
      </w:pPr>
      <w:r>
        <w:t>Mr Chi’s evidence</w:t>
      </w:r>
    </w:p>
    <w:p w14:paraId="34A7A144" w14:textId="77777777" w:rsidR="001B5F89" w:rsidRDefault="001B5F89" w:rsidP="001B5F89">
      <w:pPr>
        <w:pStyle w:val="Taxbodytext1"/>
      </w:pPr>
      <w:r>
        <w:t>Firstly, Mr Birkbeck was correct in arguing that there was a distinct lack of transparency in the evidence from Mr Chi. His evidence on the deposits can best be described as opaque. In his witness statement it was stated, again, that there were two deposits of £100,000 and £160,000</w:t>
      </w:r>
      <w:r w:rsidR="0004363E">
        <w:t>,</w:t>
      </w:r>
      <w:r>
        <w:t xml:space="preserve"> the latter of which had been repaid. When he was taken to the bank statements</w:t>
      </w:r>
      <w:r w:rsidR="0081533C">
        <w:t>,</w:t>
      </w:r>
      <w:r>
        <w:t xml:space="preserve"> the deposits</w:t>
      </w:r>
      <w:r w:rsidR="00A15747">
        <w:t xml:space="preserve"> in the sums stated</w:t>
      </w:r>
      <w:r>
        <w:t xml:space="preserve"> could not be identified. He then conceded that the “deposit” would not be “an exact amount”. Then he conceded that it would have included “other things” which remained unspecified. </w:t>
      </w:r>
    </w:p>
    <w:p w14:paraId="1DE2727D" w14:textId="77777777" w:rsidR="001B5F89" w:rsidRDefault="001B5F89" w:rsidP="001B5F89">
      <w:pPr>
        <w:pStyle w:val="Taxbodytext1"/>
      </w:pPr>
      <w:r>
        <w:t>He also conceded that the full amount had not been refunded.</w:t>
      </w:r>
    </w:p>
    <w:p w14:paraId="134EF583" w14:textId="77777777" w:rsidR="001B5F89" w:rsidRDefault="001B5F89" w:rsidP="001B5F89">
      <w:pPr>
        <w:pStyle w:val="Taxbodytext1"/>
      </w:pPr>
      <w:r>
        <w:t xml:space="preserve">He was very vague as to why it had been argued that cash in hand was needed </w:t>
      </w:r>
      <w:r w:rsidR="0081533C">
        <w:t>at</w:t>
      </w:r>
      <w:r>
        <w:t xml:space="preserve"> a minimum of £700,000 and later it was £360,000. </w:t>
      </w:r>
      <w:r w:rsidR="00F01EA3">
        <w:t>Beyond explaining that trading conditions had changed, a</w:t>
      </w:r>
      <w:r>
        <w:t xml:space="preserve">ll he could say </w:t>
      </w:r>
      <w:r w:rsidR="00F01EA3">
        <w:t xml:space="preserve">in regard to the larger figure </w:t>
      </w:r>
      <w:r>
        <w:t>was that he wanted to “prepare for a worst case scenario”.</w:t>
      </w:r>
    </w:p>
    <w:p w14:paraId="572D5CBC" w14:textId="77777777" w:rsidR="001B5F89" w:rsidRDefault="001B5F89" w:rsidP="001B5F89">
      <w:pPr>
        <w:pStyle w:val="Taxbodytext1"/>
      </w:pPr>
      <w:r>
        <w:t>He explained that he had needed to sell the property held by the appellant in order to make a payment to his ex-wife.</w:t>
      </w:r>
    </w:p>
    <w:p w14:paraId="024B7057" w14:textId="77777777" w:rsidR="001B5F89" w:rsidRDefault="001B5F89" w:rsidP="001B5F89">
      <w:pPr>
        <w:pStyle w:val="Taxbodytext1"/>
      </w:pPr>
      <w:r>
        <w:t xml:space="preserve">He argued that he had only provided HMRC with what his solicitor had told him to provide; hence there were limited bank </w:t>
      </w:r>
      <w:r w:rsidR="00F01EA3">
        <w:t>statements</w:t>
      </w:r>
      <w:r>
        <w:t xml:space="preserve">. </w:t>
      </w:r>
    </w:p>
    <w:p w14:paraId="23217D7E" w14:textId="77777777" w:rsidR="001B5F89" w:rsidRDefault="001B5F89" w:rsidP="001B5F89">
      <w:pPr>
        <w:pStyle w:val="Taxbodytext1"/>
      </w:pPr>
      <w:r>
        <w:t>He confirmed that ultimately no security had been offered to HMRC.</w:t>
      </w:r>
    </w:p>
    <w:p w14:paraId="56D813FB" w14:textId="77777777" w:rsidR="000A1C97" w:rsidRDefault="000A1C97" w:rsidP="000A1C97">
      <w:pPr>
        <w:pStyle w:val="Taxbodytext1"/>
      </w:pPr>
      <w:r>
        <w:t xml:space="preserve">Lastly, Mr Chi argued that he did what he did on the basis of professional advice but that does not avail him. There is absolutely no evidence that the diversion of funds from the appellant was done on the basis of any advice let alone professional advice. </w:t>
      </w:r>
    </w:p>
    <w:p w14:paraId="3A83606C" w14:textId="77777777" w:rsidR="000A1C97" w:rsidRDefault="000A1C97" w:rsidP="000A1C97">
      <w:pPr>
        <w:pStyle w:val="Taxbodytext1"/>
        <w:numPr>
          <w:ilvl w:val="0"/>
          <w:numId w:val="17"/>
        </w:numPr>
      </w:pPr>
      <w:r>
        <w:t>He has not established that there was any deficiency at all in the advice he has received but even were</w:t>
      </w:r>
      <w:r w:rsidR="0004363E">
        <w:t xml:space="preserve"> he</w:t>
      </w:r>
      <w:r>
        <w:t xml:space="preserve"> to have done so I simply draw attention to the decision of the Upper Tribunal in </w:t>
      </w:r>
      <w:r w:rsidRPr="00B254CA">
        <w:rPr>
          <w:i/>
        </w:rPr>
        <w:t>HMRC v</w:t>
      </w:r>
      <w:r>
        <w:t xml:space="preserve"> </w:t>
      </w:r>
      <w:proofErr w:type="spellStart"/>
      <w:r>
        <w:rPr>
          <w:i/>
        </w:rPr>
        <w:t>Katib</w:t>
      </w:r>
      <w:proofErr w:type="spellEnd"/>
      <w:r>
        <w:rPr>
          <w:i/>
        </w:rPr>
        <w:t xml:space="preserve"> </w:t>
      </w:r>
      <w:r>
        <w:t>[2019] UKUT 189 (TC).</w:t>
      </w:r>
    </w:p>
    <w:p w14:paraId="5D16D9B6" w14:textId="77777777" w:rsidR="00D64A13" w:rsidRDefault="00D64A13" w:rsidP="00D64A13">
      <w:pPr>
        <w:pStyle w:val="Taxheading3"/>
      </w:pPr>
      <w:r>
        <w:t>The law</w:t>
      </w:r>
    </w:p>
    <w:p w14:paraId="50AB0A16" w14:textId="77777777" w:rsidR="001B5F89" w:rsidRDefault="00D64A13" w:rsidP="001B5F89">
      <w:pPr>
        <w:pStyle w:val="Taxbodytext1"/>
      </w:pPr>
      <w:r>
        <w:t>As I have pointed out at paragraph</w:t>
      </w:r>
      <w:r w:rsidR="004463F0">
        <w:t>s</w:t>
      </w:r>
      <w:r>
        <w:t xml:space="preserve"> </w:t>
      </w:r>
      <w:r w:rsidR="000A1C97">
        <w:t>34</w:t>
      </w:r>
      <w:r w:rsidR="004463F0">
        <w:t xml:space="preserve"> and 8, it had been argued by both parties that there was no case law on the interpretation of section 16 FA94 and both parties had relied on VAT cases. </w:t>
      </w:r>
    </w:p>
    <w:p w14:paraId="4CAEC835" w14:textId="77777777" w:rsidR="004463F0" w:rsidRDefault="004463F0" w:rsidP="004463F0">
      <w:pPr>
        <w:pStyle w:val="Taxbodytext1"/>
      </w:pPr>
      <w:r>
        <w:t xml:space="preserve">As I have indicated, I told the parties that I agreed with Judge Poole in </w:t>
      </w:r>
      <w:r>
        <w:rPr>
          <w:i/>
        </w:rPr>
        <w:t xml:space="preserve">NT </w:t>
      </w:r>
      <w:r>
        <w:t>where he set out a review of the relevant case law in relation to VAT and hardship. In his written submissions Mr Birkbeck cited it.  That decision is not binding on me but</w:t>
      </w:r>
      <w:r w:rsidR="004E4549">
        <w:t xml:space="preserve"> it sets out the </w:t>
      </w:r>
      <w:proofErr w:type="spellStart"/>
      <w:r w:rsidR="004E4549">
        <w:rPr>
          <w:i/>
        </w:rPr>
        <w:t>Elbrook</w:t>
      </w:r>
      <w:proofErr w:type="spellEnd"/>
      <w:r w:rsidR="004E4549">
        <w:rPr>
          <w:i/>
        </w:rPr>
        <w:t xml:space="preserve"> </w:t>
      </w:r>
      <w:r w:rsidR="004E4549">
        <w:t>Principles</w:t>
      </w:r>
      <w:r w:rsidR="0081533C">
        <w:t xml:space="preserve"> </w:t>
      </w:r>
      <w:r w:rsidR="004E4549">
        <w:t>and</w:t>
      </w:r>
      <w:r>
        <w:t xml:space="preserve"> I agree with that review and adopt it and set </w:t>
      </w:r>
      <w:r w:rsidR="00251D97">
        <w:t xml:space="preserve">it </w:t>
      </w:r>
      <w:r>
        <w:t>out as follows:-</w:t>
      </w:r>
    </w:p>
    <w:p w14:paraId="68436767" w14:textId="77777777" w:rsidR="004463F0" w:rsidRDefault="004463F0" w:rsidP="004463F0">
      <w:pPr>
        <w:pStyle w:val="Taxbodytext1"/>
        <w:numPr>
          <w:ilvl w:val="0"/>
          <w:numId w:val="0"/>
        </w:numPr>
        <w:ind w:left="567" w:hanging="567"/>
      </w:pPr>
      <w:r>
        <w:tab/>
        <w:t xml:space="preserve">“33. In </w:t>
      </w:r>
      <w:r>
        <w:rPr>
          <w:i/>
        </w:rPr>
        <w:t xml:space="preserve">HMRC v </w:t>
      </w:r>
      <w:proofErr w:type="spellStart"/>
      <w:r>
        <w:rPr>
          <w:i/>
        </w:rPr>
        <w:t>Elbrook</w:t>
      </w:r>
      <w:proofErr w:type="spellEnd"/>
      <w:r>
        <w:rPr>
          <w:i/>
        </w:rPr>
        <w:t xml:space="preserve"> (Cash &amp; Carry) Limited</w:t>
      </w:r>
      <w:r>
        <w:t xml:space="preserve"> [2017] UKUT 181 (TCC) at [16] to [31], the Upper Tribunal recently provided a useful review of the legal principles in this area.  From it, I derive the following points (references are to paragraphs in the Upper Tribunal’s decision):</w:t>
      </w:r>
    </w:p>
    <w:p w14:paraId="7CE2C590" w14:textId="77777777" w:rsidR="004463F0" w:rsidRDefault="004463F0" w:rsidP="004463F0">
      <w:pPr>
        <w:pStyle w:val="Taxbodytext2"/>
        <w:tabs>
          <w:tab w:val="clear" w:pos="1134"/>
          <w:tab w:val="left" w:pos="993"/>
        </w:tabs>
        <w:ind w:left="567"/>
      </w:pPr>
      <w:r>
        <w:t>The purpose of the provisions is to strike a balance between the abuse of the appeals mechanism by employing it to delay paying disputed tax and the stricture of having to pay or deposit the disputed sum as the price of entering the appeal process; the relief afforded by the ‘hardship’ provision should not be applied so as to operate as a fetter on the right of appeal</w:t>
      </w:r>
      <w:r w:rsidR="0004363E">
        <w:t xml:space="preserve"> </w:t>
      </w:r>
      <w:r>
        <w:t>([19]).</w:t>
      </w:r>
    </w:p>
    <w:p w14:paraId="22C21BC7" w14:textId="77777777" w:rsidR="004463F0" w:rsidRDefault="004463F0" w:rsidP="004463F0">
      <w:pPr>
        <w:pStyle w:val="Taxbodytext2"/>
        <w:tabs>
          <w:tab w:val="clear" w:pos="1134"/>
          <w:tab w:val="left" w:pos="993"/>
        </w:tabs>
        <w:ind w:left="567"/>
      </w:pPr>
      <w:r>
        <w:t>The Tribunal should not concern itself with the merits of the underlying appeal ([20]).</w:t>
      </w:r>
    </w:p>
    <w:p w14:paraId="0BB05B84" w14:textId="77777777" w:rsidR="004463F0" w:rsidRDefault="004463F0" w:rsidP="004463F0">
      <w:pPr>
        <w:pStyle w:val="Taxbodytext2"/>
        <w:tabs>
          <w:tab w:val="clear" w:pos="1134"/>
          <w:tab w:val="left" w:pos="993"/>
        </w:tabs>
        <w:ind w:left="567"/>
      </w:pPr>
      <w:r>
        <w:t>The test is an ‘all or nothing’ one, in which it is not relevant that the appellant might be able to pay or deposit some amount less than the whole disputed sum ([31]).</w:t>
      </w:r>
    </w:p>
    <w:p w14:paraId="07B38F9A" w14:textId="77777777" w:rsidR="004463F0" w:rsidRDefault="004463F0" w:rsidP="004463F0">
      <w:pPr>
        <w:pStyle w:val="Taxbodytext2"/>
        <w:tabs>
          <w:tab w:val="clear" w:pos="1134"/>
          <w:tab w:val="left" w:pos="993"/>
        </w:tabs>
        <w:ind w:left="567"/>
      </w:pPr>
      <w:r>
        <w:t>The test is to be applied to the position at the date of the hearing ([26]).  This means that the Tribunal should not ‘speculate as to what might become available to the appellant in the future’ ([22] &amp; [26]).  It should focus on ‘immediately or readily available resources ([21]).</w:t>
      </w:r>
    </w:p>
    <w:p w14:paraId="0E98C6B6" w14:textId="77777777" w:rsidR="004463F0" w:rsidRDefault="004463F0" w:rsidP="004463F0">
      <w:pPr>
        <w:pStyle w:val="Taxbodytext2"/>
        <w:tabs>
          <w:tab w:val="clear" w:pos="1134"/>
          <w:tab w:val="left" w:pos="993"/>
        </w:tabs>
        <w:ind w:left="567"/>
      </w:pPr>
      <w:r>
        <w:t>The fact that the appellant may have the necessary cash or other readily available resources may not be determinative, if hardship would result from using it (or them) in paying the disputed sum ([22]).</w:t>
      </w:r>
    </w:p>
    <w:p w14:paraId="160BFDB3" w14:textId="77777777" w:rsidR="004463F0" w:rsidRDefault="004463F0" w:rsidP="004463F0">
      <w:pPr>
        <w:pStyle w:val="Taxbodytext2"/>
        <w:tabs>
          <w:tab w:val="clear" w:pos="1134"/>
          <w:tab w:val="left" w:pos="993"/>
        </w:tabs>
        <w:ind w:left="567"/>
      </w:pPr>
      <w:r>
        <w:t>Available borrowing resources may be considered, but generally only from existing sources, e.g. unused facilities or new facilities immediately available with minimal formality ([23]).</w:t>
      </w:r>
    </w:p>
    <w:p w14:paraId="65107DBD" w14:textId="77777777" w:rsidR="004463F0" w:rsidRDefault="004463F0" w:rsidP="004463F0">
      <w:pPr>
        <w:pStyle w:val="Taxbodytext2"/>
        <w:tabs>
          <w:tab w:val="clear" w:pos="1134"/>
          <w:tab w:val="left" w:pos="993"/>
        </w:tabs>
        <w:ind w:left="567"/>
      </w:pPr>
      <w:r>
        <w:t>Potentially available borrowing from new sources, for example if the appellant owns property capable as acting as security for a new loan, will only exceptionally be considered as ‘immediately or readily available’, for example where arrangements for borrowing are at an advanced stage</w:t>
      </w:r>
      <w:r w:rsidR="0004363E">
        <w:t xml:space="preserve"> </w:t>
      </w:r>
      <w:r>
        <w:t>([24]).</w:t>
      </w:r>
    </w:p>
    <w:p w14:paraId="44B4A0F7" w14:textId="77777777" w:rsidR="004463F0" w:rsidRDefault="004463F0" w:rsidP="004463F0">
      <w:pPr>
        <w:pStyle w:val="Taxbodytext2"/>
        <w:tabs>
          <w:tab w:val="clear" w:pos="1134"/>
          <w:tab w:val="left" w:pos="993"/>
        </w:tabs>
        <w:ind w:left="567"/>
      </w:pPr>
      <w:r>
        <w:t>The potential sale, outside the ordinary course of business, of assets properly purchased for the purposes of the appellant’s business, might cause hardship even if the assets are not currently being used in the business ([25]).</w:t>
      </w:r>
    </w:p>
    <w:p w14:paraId="608FED62" w14:textId="77777777" w:rsidR="004463F0" w:rsidRDefault="004463F0" w:rsidP="004463F0">
      <w:pPr>
        <w:pStyle w:val="Taxbodytext2"/>
        <w:tabs>
          <w:tab w:val="clear" w:pos="1134"/>
          <w:tab w:val="left" w:pos="993"/>
        </w:tabs>
        <w:ind w:left="567"/>
      </w:pPr>
      <w:r>
        <w:t>There is no hard and fast rule that ‘regard can never be had to the resources of connected (but legally independent) entities where … there is common control and the evidence suggests a free flow of resources to meet the needs or requirements of any one entity at the expense of the other or others of them from time to time’ ([25]).</w:t>
      </w:r>
    </w:p>
    <w:p w14:paraId="0C92B7A6" w14:textId="77777777" w:rsidR="004463F0" w:rsidRDefault="004463F0" w:rsidP="004463F0">
      <w:pPr>
        <w:pStyle w:val="Taxbodytext2"/>
        <w:tabs>
          <w:tab w:val="clear" w:pos="1134"/>
          <w:tab w:val="left" w:pos="993"/>
        </w:tabs>
        <w:ind w:left="567"/>
      </w:pPr>
      <w:r>
        <w:t>Although the test is to be applied by reference to the circumstances at the date of the hearing (see [33(4)] above), that does not mean that events leading up to that time are necessarily ignored.  The Tribunal can take into account ‘whether the appellant is himself responsible for putting himself in a position where he cannot pay … and that would include by delaying the hearing so that at the time of the hearing he cannot pay … without hardship’ ([27]), endorsed at [28]). The basis for this is that the ‘real cause’ of the appellant’s inability to pay without hardship may be his own prior actions.</w:t>
      </w:r>
    </w:p>
    <w:p w14:paraId="739C161F" w14:textId="77777777" w:rsidR="004463F0" w:rsidRDefault="004463F0" w:rsidP="004463F0">
      <w:pPr>
        <w:pStyle w:val="Taxbodytext2"/>
        <w:tabs>
          <w:tab w:val="clear" w:pos="1134"/>
          <w:tab w:val="left" w:pos="993"/>
        </w:tabs>
        <w:ind w:left="567"/>
      </w:pPr>
      <w:r>
        <w:t>The Tribunal should make its assessment on the basis of the most up-to-date available information.  The burden lies on the appellant to establish hardship, so it is normally incumbent on the appellant to adduce the necessary evidence to satisfy the Tribunal ([29]).  Absence of contemporaneous accounting evidence may justify the Tribunal in placing little, if any, weight on an oral assertion that the appellant is unable to afford to pay.</w:t>
      </w:r>
    </w:p>
    <w:p w14:paraId="460993A7" w14:textId="77777777" w:rsidR="004463F0" w:rsidRDefault="004463F0" w:rsidP="004463F0">
      <w:pPr>
        <w:pStyle w:val="Taxbodytext2"/>
        <w:tabs>
          <w:tab w:val="clear" w:pos="1134"/>
          <w:tab w:val="left" w:pos="993"/>
        </w:tabs>
        <w:ind w:left="567"/>
      </w:pPr>
      <w:r>
        <w:t>Within the above parameters, the decision of the Tribunal is a value judgment on the basis of the evidence before it ([16]).”</w:t>
      </w:r>
    </w:p>
    <w:p w14:paraId="78725930" w14:textId="77777777" w:rsidR="004463F0" w:rsidRDefault="004463F0" w:rsidP="004463F0">
      <w:pPr>
        <w:pStyle w:val="Taxbodytext1"/>
      </w:pPr>
      <w:r>
        <w:t xml:space="preserve">In addition, I quote in full these two paragraphs from the decision of the Upper Tribunal in </w:t>
      </w:r>
      <w:proofErr w:type="spellStart"/>
      <w:r>
        <w:rPr>
          <w:i/>
        </w:rPr>
        <w:t>Elbrook</w:t>
      </w:r>
      <w:proofErr w:type="spellEnd"/>
      <w:r w:rsidR="004E4549">
        <w:rPr>
          <w:i/>
        </w:rPr>
        <w:t>:-</w:t>
      </w:r>
    </w:p>
    <w:p w14:paraId="55D47960" w14:textId="77777777" w:rsidR="004463F0" w:rsidRDefault="004463F0" w:rsidP="004463F0">
      <w:pPr>
        <w:pStyle w:val="Taxbodytext1"/>
        <w:numPr>
          <w:ilvl w:val="0"/>
          <w:numId w:val="0"/>
        </w:numPr>
        <w:ind w:left="567" w:hanging="567"/>
      </w:pPr>
      <w:r>
        <w:tab/>
        <w:t xml:space="preserve">“21. In the same passage in </w:t>
      </w:r>
      <w:proofErr w:type="spellStart"/>
      <w:r>
        <w:rPr>
          <w:i/>
        </w:rPr>
        <w:t>ToTel</w:t>
      </w:r>
      <w:proofErr w:type="spellEnd"/>
      <w:r>
        <w:rPr>
          <w:i/>
        </w:rPr>
        <w:t xml:space="preserve"> 1</w:t>
      </w:r>
      <w:r>
        <w:t xml:space="preserve">, Simon J also approved two further principles derived from a decision of the VAT and Duties Tribunal, </w:t>
      </w:r>
      <w:r>
        <w:rPr>
          <w:i/>
        </w:rPr>
        <w:t>Seymour Limousines Limited v Revenue and Customs Commissioners</w:t>
      </w:r>
      <w:r>
        <w:t xml:space="preserve"> [2009] UKVAT V20966.  He said:</w:t>
      </w:r>
    </w:p>
    <w:p w14:paraId="53414A4A" w14:textId="77777777" w:rsidR="004463F0" w:rsidRDefault="004463F0" w:rsidP="004463F0">
      <w:pPr>
        <w:pStyle w:val="Taxbodytext1"/>
        <w:numPr>
          <w:ilvl w:val="0"/>
          <w:numId w:val="0"/>
        </w:numPr>
        <w:tabs>
          <w:tab w:val="clear" w:pos="567"/>
          <w:tab w:val="left" w:pos="993"/>
        </w:tabs>
        <w:ind w:left="993" w:hanging="567"/>
      </w:pPr>
      <w:r>
        <w:tab/>
        <w:t>‘…</w:t>
      </w:r>
    </w:p>
    <w:p w14:paraId="0ACBE0BD" w14:textId="77777777" w:rsidR="004463F0" w:rsidRDefault="004463F0" w:rsidP="004463F0">
      <w:pPr>
        <w:pStyle w:val="Taxbodytext1"/>
        <w:numPr>
          <w:ilvl w:val="0"/>
          <w:numId w:val="0"/>
        </w:numPr>
        <w:tabs>
          <w:tab w:val="clear" w:pos="567"/>
          <w:tab w:val="left" w:pos="993"/>
        </w:tabs>
        <w:ind w:left="993" w:hanging="567"/>
      </w:pPr>
      <w:r>
        <w:tab/>
        <w:t xml:space="preserve">ii)    The test is one of capacity to pay without financial hardship, and must be applied in a way which complies with the principle of proportionality in order to comply with Community law, see </w:t>
      </w:r>
      <w:r>
        <w:rPr>
          <w:i/>
        </w:rPr>
        <w:t>Seymour Limousines Ltd</w:t>
      </w:r>
      <w:r>
        <w:t xml:space="preserve"> (above) at [57].</w:t>
      </w:r>
    </w:p>
    <w:p w14:paraId="4A795CB2" w14:textId="77777777" w:rsidR="004463F0" w:rsidRDefault="004463F0" w:rsidP="004463F0">
      <w:pPr>
        <w:pStyle w:val="Taxbodytext1"/>
        <w:numPr>
          <w:ilvl w:val="0"/>
          <w:numId w:val="0"/>
        </w:numPr>
        <w:tabs>
          <w:tab w:val="clear" w:pos="567"/>
          <w:tab w:val="left" w:pos="993"/>
        </w:tabs>
        <w:ind w:left="993" w:hanging="567"/>
      </w:pPr>
      <w:r>
        <w:tab/>
        <w:t xml:space="preserve">iii)   The hardship enquiry should be directed to the ability of an appellant to pay from resources which are immediately or readily available.  It should not involve a lengthy investigation of assets and liabilities, and an ability to pay in the future, see </w:t>
      </w:r>
      <w:r w:rsidR="00CB03C1">
        <w:rPr>
          <w:i/>
        </w:rPr>
        <w:t>Seymour Limousines</w:t>
      </w:r>
      <w:r>
        <w:rPr>
          <w:i/>
        </w:rPr>
        <w:t xml:space="preserve"> Ltd</w:t>
      </w:r>
      <w:r>
        <w:t xml:space="preserve"> (above) at [58].  This is a reflection of the broader principle that the issue of hardship ought to be capable of prompt resolution on readily available material.’</w:t>
      </w:r>
    </w:p>
    <w:p w14:paraId="2CE5EEAF" w14:textId="77777777" w:rsidR="004463F0" w:rsidRDefault="004463F0" w:rsidP="004463F0">
      <w:pPr>
        <w:pStyle w:val="Taxbodytext1"/>
        <w:numPr>
          <w:ilvl w:val="0"/>
          <w:numId w:val="0"/>
        </w:numPr>
        <w:ind w:left="567" w:hanging="567"/>
      </w:pPr>
      <w:r>
        <w:tab/>
        <w:t xml:space="preserve">22.   Whether resources are immediately or readily available to pay the tax without hardship is a value judgment.  The test is not simply of capacity to pay, but capacity to pay without financial hardship.  Thus, the mere existence of cash or other readily realisable resources will not necessarily suffice, if the employment of those resources in paying the disputed cash would have consequences that would cause financial hardship.  The </w:t>
      </w:r>
      <w:r w:rsidR="0004363E">
        <w:t xml:space="preserve">requirement that the resources </w:t>
      </w:r>
      <w:r>
        <w:t xml:space="preserve">be immediately or readily available is a reflection of the structure of s 84(3B), which looks to the existing financial position of the appellant, and does not require enquiry as to possible future action or any potential resources that might become available in the future (see </w:t>
      </w:r>
      <w:proofErr w:type="spellStart"/>
      <w:r>
        <w:rPr>
          <w:i/>
        </w:rPr>
        <w:t>Buyco</w:t>
      </w:r>
      <w:proofErr w:type="spellEnd"/>
      <w:r>
        <w:rPr>
          <w:i/>
        </w:rPr>
        <w:t xml:space="preserve"> Limited and </w:t>
      </w:r>
      <w:proofErr w:type="spellStart"/>
      <w:r>
        <w:rPr>
          <w:i/>
        </w:rPr>
        <w:t>Sellco</w:t>
      </w:r>
      <w:proofErr w:type="spellEnd"/>
      <w:r>
        <w:rPr>
          <w:i/>
        </w:rPr>
        <w:t xml:space="preserve"> Limited v Revenue and Customs Commissioners</w:t>
      </w:r>
      <w:r>
        <w:t xml:space="preserve"> [2006] UKVAT V19752, at [8].”</w:t>
      </w:r>
    </w:p>
    <w:p w14:paraId="0C027722" w14:textId="77777777" w:rsidR="004463F0" w:rsidRDefault="004463F0" w:rsidP="004463F0">
      <w:pPr>
        <w:pStyle w:val="Taxbodytext1"/>
        <w:numPr>
          <w:ilvl w:val="0"/>
          <w:numId w:val="0"/>
        </w:numPr>
      </w:pPr>
      <w:r>
        <w:t xml:space="preserve">The </w:t>
      </w:r>
      <w:proofErr w:type="spellStart"/>
      <w:r w:rsidRPr="00105B1F">
        <w:rPr>
          <w:i/>
        </w:rPr>
        <w:t>T</w:t>
      </w:r>
      <w:r>
        <w:rPr>
          <w:i/>
        </w:rPr>
        <w:t>oT</w:t>
      </w:r>
      <w:r w:rsidRPr="00105B1F">
        <w:rPr>
          <w:i/>
        </w:rPr>
        <w:t>el</w:t>
      </w:r>
      <w:proofErr w:type="spellEnd"/>
      <w:r w:rsidRPr="00105B1F">
        <w:rPr>
          <w:i/>
        </w:rPr>
        <w:t xml:space="preserve"> 1</w:t>
      </w:r>
      <w:r>
        <w:t xml:space="preserve"> referred to above is in fact the Court of Appeal in </w:t>
      </w:r>
      <w:r w:rsidRPr="00105B1F">
        <w:rPr>
          <w:i/>
        </w:rPr>
        <w:t>R</w:t>
      </w:r>
      <w:r>
        <w:t xml:space="preserve"> (on the application of </w:t>
      </w:r>
      <w:proofErr w:type="spellStart"/>
      <w:r w:rsidRPr="00105B1F">
        <w:rPr>
          <w:i/>
        </w:rPr>
        <w:t>T</w:t>
      </w:r>
      <w:r>
        <w:rPr>
          <w:i/>
        </w:rPr>
        <w:t>oT</w:t>
      </w:r>
      <w:r w:rsidRPr="00105B1F">
        <w:rPr>
          <w:i/>
        </w:rPr>
        <w:t>el</w:t>
      </w:r>
      <w:proofErr w:type="spellEnd"/>
      <w:r>
        <w:rPr>
          <w:i/>
        </w:rPr>
        <w:t xml:space="preserve"> Limited</w:t>
      </w:r>
      <w:r>
        <w:t xml:space="preserve">) v </w:t>
      </w:r>
      <w:r>
        <w:rPr>
          <w:i/>
        </w:rPr>
        <w:t>First-tier Tribunal (Tax Chamber) and Another</w:t>
      </w:r>
      <w:r>
        <w:t xml:space="preserve"> [2011] EWHC 652.</w:t>
      </w:r>
    </w:p>
    <w:p w14:paraId="55A118BC" w14:textId="77777777" w:rsidR="004463F0" w:rsidRDefault="00251D97" w:rsidP="001B5F89">
      <w:pPr>
        <w:pStyle w:val="Taxbodytext1"/>
      </w:pPr>
      <w:r>
        <w:t>I have</w:t>
      </w:r>
      <w:r w:rsidR="00F01EA3">
        <w:t xml:space="preserve"> set out </w:t>
      </w:r>
      <w:r w:rsidR="004E4549">
        <w:t xml:space="preserve">the </w:t>
      </w:r>
      <w:proofErr w:type="spellStart"/>
      <w:r w:rsidR="004E4549">
        <w:rPr>
          <w:i/>
        </w:rPr>
        <w:t>Elbrook</w:t>
      </w:r>
      <w:proofErr w:type="spellEnd"/>
      <w:r w:rsidR="004E4549">
        <w:rPr>
          <w:i/>
        </w:rPr>
        <w:t xml:space="preserve"> </w:t>
      </w:r>
      <w:r w:rsidR="004E4549">
        <w:t xml:space="preserve">Principles </w:t>
      </w:r>
      <w:r>
        <w:t xml:space="preserve">for completeness and because Mr </w:t>
      </w:r>
      <w:proofErr w:type="spellStart"/>
      <w:r>
        <w:t>Hitchins</w:t>
      </w:r>
      <w:proofErr w:type="spellEnd"/>
      <w:r>
        <w:t xml:space="preserve"> argues </w:t>
      </w:r>
      <w:r w:rsidR="0092234D">
        <w:t xml:space="preserve">that </w:t>
      </w:r>
      <w:r>
        <w:t>section 84 VATA applies to the Import VAT element of the assessments.</w:t>
      </w:r>
    </w:p>
    <w:p w14:paraId="203EC5C8" w14:textId="77777777" w:rsidR="004E4549" w:rsidRDefault="00251D97" w:rsidP="001B5F89">
      <w:pPr>
        <w:pStyle w:val="Taxbodytext1"/>
      </w:pPr>
      <w:r>
        <w:t xml:space="preserve">I disagree with him and agree with </w:t>
      </w:r>
      <w:r w:rsidR="0004363E">
        <w:t>Mr Birkbeck that the impact of s</w:t>
      </w:r>
      <w:r>
        <w:t xml:space="preserve">ections 1 and 16 VATA is that </w:t>
      </w:r>
      <w:r w:rsidR="0092234D">
        <w:t>an appeal against Import VAT is treated as a</w:t>
      </w:r>
      <w:r w:rsidR="000A1C97">
        <w:t>n excise</w:t>
      </w:r>
      <w:r w:rsidR="0092234D">
        <w:t xml:space="preserve"> duty appeal and not an appeal against a VAT assessment. Therefore section 84 VATA is of no application. </w:t>
      </w:r>
    </w:p>
    <w:p w14:paraId="23364933" w14:textId="77777777" w:rsidR="00747A3C" w:rsidRDefault="00747A3C" w:rsidP="00747A3C">
      <w:pPr>
        <w:pStyle w:val="Taxbodytext1"/>
      </w:pPr>
      <w:r>
        <w:t xml:space="preserve">That is also because, as a matter of fact, the appeals are against assessments to which paragraph (b) of section 13A(2) FA94 applies, namely </w:t>
      </w:r>
      <w:r w:rsidR="00D21482">
        <w:t>they are</w:t>
      </w:r>
      <w:r>
        <w:t xml:space="preserve"> assessment</w:t>
      </w:r>
      <w:r w:rsidR="00D21482">
        <w:t>s</w:t>
      </w:r>
      <w:r>
        <w:t xml:space="preserve"> under section 12 FA94 in respect of excise duty.</w:t>
      </w:r>
    </w:p>
    <w:p w14:paraId="74A2DE33" w14:textId="77777777" w:rsidR="00251D97" w:rsidRDefault="0092234D" w:rsidP="001B5F89">
      <w:pPr>
        <w:pStyle w:val="Taxbodytext1"/>
      </w:pPr>
      <w:r>
        <w:t xml:space="preserve">The decisions </w:t>
      </w:r>
      <w:r w:rsidR="004E4549">
        <w:t xml:space="preserve">that are the subject matter of these appeals </w:t>
      </w:r>
      <w:r w:rsidR="00D21482">
        <w:t xml:space="preserve">are </w:t>
      </w:r>
      <w:r>
        <w:t xml:space="preserve">not decisions in terms of VATA. </w:t>
      </w:r>
    </w:p>
    <w:p w14:paraId="27333EF8" w14:textId="77777777" w:rsidR="0092234D" w:rsidRDefault="00747A3C" w:rsidP="001B5F89">
      <w:pPr>
        <w:pStyle w:val="Taxbodytext1"/>
      </w:pPr>
      <w:r>
        <w:t>I</w:t>
      </w:r>
      <w:r w:rsidR="0092234D">
        <w:t xml:space="preserve"> note </w:t>
      </w:r>
      <w:r>
        <w:t xml:space="preserve">and accept </w:t>
      </w:r>
      <w:r w:rsidR="0092234D">
        <w:t xml:space="preserve">Mr Birkbeck’s arguments to the effect that </w:t>
      </w:r>
      <w:r w:rsidR="001D724F">
        <w:t xml:space="preserve">the </w:t>
      </w:r>
      <w:proofErr w:type="spellStart"/>
      <w:r w:rsidR="001D724F">
        <w:rPr>
          <w:i/>
        </w:rPr>
        <w:t>Elbrook</w:t>
      </w:r>
      <w:proofErr w:type="spellEnd"/>
      <w:r w:rsidR="001D724F">
        <w:rPr>
          <w:i/>
        </w:rPr>
        <w:t xml:space="preserve"> </w:t>
      </w:r>
      <w:r w:rsidR="001D724F">
        <w:t xml:space="preserve">Principles are not binding in relation to section 16(3) FA94, and they are certainly not, </w:t>
      </w:r>
      <w:r>
        <w:t xml:space="preserve">but, as he argues </w:t>
      </w:r>
      <w:r w:rsidR="001D724F">
        <w:t xml:space="preserve">insofar as hardship is concerned, they broadly apply. </w:t>
      </w:r>
    </w:p>
    <w:p w14:paraId="74036E0E" w14:textId="77777777" w:rsidR="001D724F" w:rsidRDefault="001D724F" w:rsidP="001B5F89">
      <w:pPr>
        <w:pStyle w:val="Taxbodytext1"/>
      </w:pPr>
      <w:r>
        <w:t xml:space="preserve">He argues that section 84 VATA makes it clear </w:t>
      </w:r>
      <w:r w:rsidR="000A1C97">
        <w:t>that the T</w:t>
      </w:r>
      <w:r>
        <w:t xml:space="preserve">ribunal must decide whether </w:t>
      </w:r>
      <w:r>
        <w:rPr>
          <w:u w:val="single"/>
        </w:rPr>
        <w:t>paying</w:t>
      </w:r>
      <w:r w:rsidRPr="001D724F">
        <w:t xml:space="preserve"> (my emphasis) would cause</w:t>
      </w:r>
      <w:r>
        <w:t xml:space="preserve"> hardship whereas the focus of section 16(3) FA 94 is solely to review the decision of HMRC and deci</w:t>
      </w:r>
      <w:r w:rsidR="00747A3C">
        <w:t>de whether it was reasonable. To</w:t>
      </w:r>
      <w:r>
        <w:t xml:space="preserve"> </w:t>
      </w:r>
      <w:r w:rsidR="00D21482">
        <w:t>some</w:t>
      </w:r>
      <w:r>
        <w:t xml:space="preserve"> extent he is correct.</w:t>
      </w:r>
      <w:r w:rsidR="00D21482">
        <w:t xml:space="preserve"> </w:t>
      </w:r>
    </w:p>
    <w:p w14:paraId="42A2179B" w14:textId="77777777" w:rsidR="001D724F" w:rsidRDefault="001D724F" w:rsidP="001B5F89">
      <w:pPr>
        <w:pStyle w:val="Taxbodytext1"/>
      </w:pPr>
      <w:r>
        <w:t>However, I must look at the language of section 16</w:t>
      </w:r>
      <w:r w:rsidR="00747A3C">
        <w:t xml:space="preserve"> FA94</w:t>
      </w:r>
      <w:r>
        <w:t xml:space="preserve">. </w:t>
      </w:r>
      <w:r w:rsidR="00D21482">
        <w:t>In the absence of payment (hence my emphasis</w:t>
      </w:r>
      <w:r w:rsidR="007A488B">
        <w:t xml:space="preserve"> in the previous paragraph</w:t>
      </w:r>
      <w:r w:rsidR="00D21482">
        <w:t>) the issue is whether HMRC’s decision not to issue a certificate in relation to security or the lack thereof is reasonable.</w:t>
      </w:r>
    </w:p>
    <w:p w14:paraId="5F706D59" w14:textId="77777777" w:rsidR="001D724F" w:rsidRDefault="00D251F0" w:rsidP="001B5F89">
      <w:pPr>
        <w:pStyle w:val="Taxbodytext1"/>
      </w:pPr>
      <w:r>
        <w:t>I am afraid that when writing this decision, I found that b</w:t>
      </w:r>
      <w:r w:rsidR="001D724F">
        <w:t>oth parties are incorrect in stating that there is no jurisprudence in relation to section 16</w:t>
      </w:r>
      <w:r w:rsidR="00747A3C">
        <w:t xml:space="preserve"> FA94</w:t>
      </w:r>
      <w:r w:rsidR="001D724F">
        <w:t xml:space="preserve">. </w:t>
      </w:r>
    </w:p>
    <w:p w14:paraId="771FD994" w14:textId="77777777" w:rsidR="00D251F0" w:rsidRDefault="00D251F0" w:rsidP="001B5F89">
      <w:pPr>
        <w:pStyle w:val="Taxbodytext1"/>
      </w:pPr>
      <w:r>
        <w:t xml:space="preserve">Judge Falk, as </w:t>
      </w:r>
      <w:r w:rsidR="004E4549">
        <w:t>she t</w:t>
      </w:r>
      <w:r>
        <w:t>hen was, and Mr Williams</w:t>
      </w:r>
      <w:r w:rsidR="004E4549">
        <w:t>,</w:t>
      </w:r>
      <w:r>
        <w:t xml:space="preserve"> in </w:t>
      </w:r>
      <w:proofErr w:type="spellStart"/>
      <w:r>
        <w:rPr>
          <w:i/>
        </w:rPr>
        <w:t>Sintra</w:t>
      </w:r>
      <w:proofErr w:type="spellEnd"/>
      <w:r>
        <w:rPr>
          <w:i/>
        </w:rPr>
        <w:t xml:space="preserve"> Global Inc v HMRC</w:t>
      </w:r>
      <w:r w:rsidR="004E4549">
        <w:rPr>
          <w:i/>
        </w:rPr>
        <w:t xml:space="preserve"> </w:t>
      </w:r>
      <w:r>
        <w:t>[2016] UKFTT 726 (TC)</w:t>
      </w:r>
      <w:r w:rsidR="004E4549">
        <w:t xml:space="preserve"> (“</w:t>
      </w:r>
      <w:proofErr w:type="spellStart"/>
      <w:r w:rsidR="004E4549">
        <w:t>Sintra</w:t>
      </w:r>
      <w:proofErr w:type="spellEnd"/>
      <w:r w:rsidR="004E4549">
        <w:t>”)</w:t>
      </w:r>
      <w:r>
        <w:t xml:space="preserve"> which was a case dealing with both VAT (in the sense of conventional VAT assessments) and excise duty in terms of FA94 assessments, set out at paragraphs 11 and 12 the authorities in relation to VAT and hardship. That included the </w:t>
      </w:r>
      <w:proofErr w:type="spellStart"/>
      <w:r>
        <w:rPr>
          <w:i/>
        </w:rPr>
        <w:t>Elbrook</w:t>
      </w:r>
      <w:proofErr w:type="spellEnd"/>
      <w:r>
        <w:rPr>
          <w:i/>
        </w:rPr>
        <w:t xml:space="preserve"> </w:t>
      </w:r>
      <w:r w:rsidRPr="00CD38A0">
        <w:t>Principles</w:t>
      </w:r>
      <w:r>
        <w:rPr>
          <w:i/>
        </w:rPr>
        <w:t xml:space="preserve">. </w:t>
      </w:r>
      <w:r>
        <w:t xml:space="preserve"> </w:t>
      </w:r>
    </w:p>
    <w:p w14:paraId="1BEAF256" w14:textId="77777777" w:rsidR="00CD38A0" w:rsidRDefault="00CD38A0" w:rsidP="001B5F89">
      <w:pPr>
        <w:pStyle w:val="Taxbodytext1"/>
      </w:pPr>
      <w:r>
        <w:t>However, and in my view entirely accurately, at paragraph 13 they stated:-</w:t>
      </w:r>
    </w:p>
    <w:p w14:paraId="1F5F928E" w14:textId="77777777" w:rsidR="00CD38A0" w:rsidRDefault="00CD38A0" w:rsidP="00CD38A0">
      <w:pPr>
        <w:pStyle w:val="Taxbodytext1"/>
        <w:numPr>
          <w:ilvl w:val="0"/>
          <w:numId w:val="0"/>
        </w:numPr>
        <w:ind w:left="567"/>
      </w:pPr>
      <w:r>
        <w:t xml:space="preserve">“13. The test for excise duty purposes is somewhat different. The main relevant cases are </w:t>
      </w:r>
      <w:r w:rsidRPr="00CD38A0">
        <w:rPr>
          <w:i/>
        </w:rPr>
        <w:t>Commissioners of Customs and Excise v Mitsui &amp; Co Plc and H.T. Walker</w:t>
      </w:r>
      <w:r>
        <w:t xml:space="preserve"> [2000] 1 C.M.L.R 85 and, at the First-tier Tribunal level, </w:t>
      </w:r>
      <w:r w:rsidRPr="00CD38A0">
        <w:rPr>
          <w:i/>
        </w:rPr>
        <w:t>John Cozens v HMRC</w:t>
      </w:r>
      <w:r>
        <w:t xml:space="preserve"> [2012] UKFTT 228 (TC) and </w:t>
      </w:r>
      <w:proofErr w:type="spellStart"/>
      <w:r w:rsidRPr="00CD38A0">
        <w:rPr>
          <w:i/>
        </w:rPr>
        <w:t>Tradium</w:t>
      </w:r>
      <w:proofErr w:type="spellEnd"/>
      <w:r w:rsidRPr="00CD38A0">
        <w:rPr>
          <w:i/>
        </w:rPr>
        <w:t xml:space="preserve"> Limited v HMRC</w:t>
      </w:r>
      <w:r>
        <w:t xml:space="preserve"> [2012] UKFTT 421 (TC). The key distinguishing features are that the excise duty test is not “all or nothing”, so criterion (6) in </w:t>
      </w:r>
      <w:proofErr w:type="spellStart"/>
      <w:r w:rsidRPr="00CD38A0">
        <w:rPr>
          <w:i/>
        </w:rPr>
        <w:t>Elbrook</w:t>
      </w:r>
      <w:proofErr w:type="spellEnd"/>
      <w:r>
        <w:t xml:space="preserve"> does not apply, and </w:t>
      </w:r>
      <w:r w:rsidRPr="00CD38A0">
        <w:rPr>
          <w:b/>
        </w:rPr>
        <w:t>the focus is on the question of security, not paymen</w:t>
      </w:r>
      <w:r>
        <w:t xml:space="preserve">t. As explained in </w:t>
      </w:r>
      <w:r w:rsidRPr="00CD38A0">
        <w:rPr>
          <w:i/>
        </w:rPr>
        <w:t>Mitsui</w:t>
      </w:r>
      <w:r>
        <w:t xml:space="preserve"> at [9], the Commissioners are both entitled and bound to require security in lieu of immediate payment, subject to hardship being established.” (Emphasis added)</w:t>
      </w:r>
    </w:p>
    <w:p w14:paraId="308605BD" w14:textId="77777777" w:rsidR="00CD38A0" w:rsidRDefault="00CD38A0" w:rsidP="00CD38A0">
      <w:pPr>
        <w:pStyle w:val="Taxbodytext1"/>
      </w:pPr>
      <w:r>
        <w:t>They went on to add that the burden of proof lies with the appellant. I agree.</w:t>
      </w:r>
    </w:p>
    <w:p w14:paraId="2096E753" w14:textId="77777777" w:rsidR="00CD38A0" w:rsidRPr="001B5F89" w:rsidRDefault="00DF28E6" w:rsidP="00CD38A0">
      <w:pPr>
        <w:pStyle w:val="Taxbodytext1"/>
      </w:pPr>
      <w:proofErr w:type="spellStart"/>
      <w:r w:rsidRPr="00DF28E6">
        <w:rPr>
          <w:i/>
        </w:rPr>
        <w:t>Sintra</w:t>
      </w:r>
      <w:proofErr w:type="spellEnd"/>
      <w:r w:rsidR="00CD38A0">
        <w:t xml:space="preserve"> is not binding upon me but I agree entirely. The focus is on security and </w:t>
      </w:r>
      <w:r w:rsidR="004718FB">
        <w:t xml:space="preserve">not on ability to pay at any stage. </w:t>
      </w:r>
    </w:p>
    <w:p w14:paraId="58350F73" w14:textId="77777777" w:rsidR="00876B88" w:rsidRDefault="00E256E2" w:rsidP="00E256E2">
      <w:pPr>
        <w:pStyle w:val="Taxbodytext1"/>
      </w:pPr>
      <w:r>
        <w:t xml:space="preserve">The first point to make </w:t>
      </w:r>
      <w:r w:rsidR="00C23C9C">
        <w:t>about the HMRC decision on hardship is that it</w:t>
      </w:r>
      <w:r>
        <w:t xml:space="preserve"> inaccurately refers to section 3 FA</w:t>
      </w:r>
      <w:r w:rsidR="00C23C9C">
        <w:t xml:space="preserve">94 </w:t>
      </w:r>
      <w:r>
        <w:t xml:space="preserve">whereas the quotation </w:t>
      </w:r>
      <w:r w:rsidR="001B5F89">
        <w:t xml:space="preserve">utilised </w:t>
      </w:r>
      <w:r>
        <w:t>is from section 16(3)</w:t>
      </w:r>
      <w:r w:rsidR="00C23C9C">
        <w:t xml:space="preserve"> </w:t>
      </w:r>
      <w:r>
        <w:t>FA94.</w:t>
      </w:r>
      <w:r w:rsidR="00C23C9C">
        <w:t xml:space="preserve"> The reference should </w:t>
      </w:r>
      <w:r w:rsidR="001B5F89">
        <w:t xml:space="preserve">therefore </w:t>
      </w:r>
      <w:r w:rsidR="00C23C9C">
        <w:t xml:space="preserve">have been to the latter. </w:t>
      </w:r>
    </w:p>
    <w:p w14:paraId="069EA6BE" w14:textId="77777777" w:rsidR="001B5F89" w:rsidRDefault="00E256E2" w:rsidP="00E256E2">
      <w:pPr>
        <w:pStyle w:val="Taxbodytext1"/>
      </w:pPr>
      <w:r>
        <w:t xml:space="preserve">The second is that </w:t>
      </w:r>
      <w:r w:rsidR="00C23C9C">
        <w:t>the decision, in that context, stated that</w:t>
      </w:r>
      <w:r w:rsidR="001B5F89">
        <w:t>:-</w:t>
      </w:r>
    </w:p>
    <w:p w14:paraId="0F6F7316" w14:textId="77777777" w:rsidR="00E256E2" w:rsidRDefault="00C23C9C" w:rsidP="001B5F89">
      <w:pPr>
        <w:pStyle w:val="Taxbodytext1"/>
        <w:numPr>
          <w:ilvl w:val="0"/>
          <w:numId w:val="0"/>
        </w:numPr>
        <w:ind w:left="567"/>
      </w:pPr>
      <w:r>
        <w:t xml:space="preserve"> “..it has not been demonstrated that [the appellant] would suffer hardship should it be required to settle the debt in question, this is on the basis that the cash reserves held (both currently and as forecast) would be sufficient to enable [the appellant] to settle the debt.</w:t>
      </w:r>
      <w:r w:rsidR="001B5F89">
        <w:t>”</w:t>
      </w:r>
    </w:p>
    <w:p w14:paraId="419EBEFA" w14:textId="77777777" w:rsidR="00CD38A0" w:rsidRDefault="00CD38A0" w:rsidP="00CD38A0">
      <w:pPr>
        <w:pStyle w:val="Taxbodytext1"/>
      </w:pPr>
      <w:r>
        <w:t xml:space="preserve">HMRC were focussing, as </w:t>
      </w:r>
      <w:r w:rsidR="00D21482">
        <w:t xml:space="preserve">they </w:t>
      </w:r>
      <w:r>
        <w:t xml:space="preserve">did </w:t>
      </w:r>
      <w:r w:rsidR="00D21482">
        <w:t xml:space="preserve">in </w:t>
      </w:r>
      <w:r w:rsidR="0069016A">
        <w:t>the submissions and cross-</w:t>
      </w:r>
      <w:r>
        <w:t xml:space="preserve">examination, on payment. </w:t>
      </w:r>
    </w:p>
    <w:p w14:paraId="02114834" w14:textId="77777777" w:rsidR="004718FB" w:rsidRDefault="004718FB" w:rsidP="00CD38A0">
      <w:pPr>
        <w:pStyle w:val="Taxbodytext1"/>
      </w:pPr>
      <w:r>
        <w:t>Judge Falk faced the same issue and found at paragraph 58 that:-</w:t>
      </w:r>
    </w:p>
    <w:p w14:paraId="6C0B9C06" w14:textId="77777777" w:rsidR="004718FB" w:rsidRDefault="004718FB" w:rsidP="004718FB">
      <w:pPr>
        <w:pStyle w:val="Taxbodytext1"/>
        <w:numPr>
          <w:ilvl w:val="0"/>
          <w:numId w:val="0"/>
        </w:numPr>
        <w:ind w:left="567"/>
      </w:pPr>
      <w:r>
        <w:t>“58. We have also considered the differences between the VAT and excise duty hardship rules. We accept that HMRC has refused the appellant’s hardship applications on grounds that referred only to not paying or depositing the (full) amount, and that their decision did not expressly refer to the provision of security for all or part of the amount as contemplated for excise duty purposes. However, we do not think that that affects our jurisdiction to determine the matter under s 16(3)(b) FA 1994, and Mr Brown did not argue otherwise. The appellant also did not offer any security at all, so must be treated as having asked that no security should be required. We find that it is not the case that it would have been re</w:t>
      </w:r>
      <w:r w:rsidR="004727F3">
        <w:t>asonable in the circumstances</w:t>
      </w:r>
      <w:r>
        <w:t xml:space="preserve"> for the Commissioners to accept no security, and therefore the appellant has not satisfied the test in s 16(3)(b).”</w:t>
      </w:r>
    </w:p>
    <w:p w14:paraId="146D87AC" w14:textId="77777777" w:rsidR="007A488B" w:rsidRDefault="004718FB" w:rsidP="004718FB">
      <w:pPr>
        <w:pStyle w:val="Taxbodytext1"/>
      </w:pPr>
      <w:r>
        <w:t xml:space="preserve">I agree with her. The wording in section 16 is very clear (see </w:t>
      </w:r>
      <w:r w:rsidR="007A488B">
        <w:t>paragraph 38</w:t>
      </w:r>
      <w:r w:rsidR="004727F3">
        <w:t xml:space="preserve"> above). </w:t>
      </w:r>
    </w:p>
    <w:p w14:paraId="48FA94D8" w14:textId="77777777" w:rsidR="004718FB" w:rsidRDefault="004727F3" w:rsidP="004718FB">
      <w:pPr>
        <w:pStyle w:val="Taxbodytext1"/>
      </w:pPr>
      <w:r>
        <w:t xml:space="preserve">Judge Thomas and Ms Dean in </w:t>
      </w:r>
      <w:r w:rsidRPr="004727F3">
        <w:rPr>
          <w:i/>
        </w:rPr>
        <w:t>E v HMRC</w:t>
      </w:r>
      <w:r>
        <w:t xml:space="preserve"> [2017] UKFTT 348 (TC) at paragraph 45</w:t>
      </w:r>
      <w:r w:rsidR="007A488B">
        <w:t>,</w:t>
      </w:r>
      <w:r>
        <w:t xml:space="preserve"> in relat</w:t>
      </w:r>
      <w:r w:rsidR="00CB03C1">
        <w:t>i</w:t>
      </w:r>
      <w:r>
        <w:t>on to hardship for VAT and duty</w:t>
      </w:r>
      <w:r w:rsidR="007A488B">
        <w:t xml:space="preserve"> stated</w:t>
      </w:r>
      <w:r>
        <w:t>:-</w:t>
      </w:r>
    </w:p>
    <w:p w14:paraId="502D079F" w14:textId="77777777" w:rsidR="004727F3" w:rsidRDefault="004727F3" w:rsidP="004727F3">
      <w:pPr>
        <w:pStyle w:val="Taxbodytext1"/>
        <w:numPr>
          <w:ilvl w:val="0"/>
          <w:numId w:val="0"/>
        </w:numPr>
        <w:ind w:left="567"/>
      </w:pPr>
      <w:r>
        <w:t>“45. There are some obvious differences. VAT is a tax, not a duty. (And equally excise duty is a duty, not a tax, a point that has escaped HMRC’s hardship specialists and Solicitor’s Office – hence the plethora of “(sic)” above). And for excise duty (and any other duty to which s 16 FA 1994 applies) the</w:t>
      </w:r>
      <w:r w:rsidR="00930DBA">
        <w:t xml:space="preserve"> question is not whether the </w:t>
      </w:r>
      <w:r>
        <w:t>duty does not need to be paid on the grounds that to pay it would cause hardship but whether the person assessed should give security for the duty due or whether security should not be required because of the hardship it would cause to give it.”</w:t>
      </w:r>
    </w:p>
    <w:p w14:paraId="6A8A40D7" w14:textId="77777777" w:rsidR="00930DBA" w:rsidRDefault="00930DBA" w:rsidP="00930DBA">
      <w:pPr>
        <w:pStyle w:val="Taxbodytext1"/>
        <w:numPr>
          <w:ilvl w:val="0"/>
          <w:numId w:val="0"/>
        </w:numPr>
      </w:pPr>
      <w:r>
        <w:t>That is entirely correct.</w:t>
      </w:r>
    </w:p>
    <w:p w14:paraId="54E66F64" w14:textId="77777777" w:rsidR="00384C1F" w:rsidRDefault="00384C1F" w:rsidP="00384C1F">
      <w:pPr>
        <w:pStyle w:val="Taxbodytext1"/>
      </w:pPr>
      <w:r>
        <w:t>The simple problem for the appellant</w:t>
      </w:r>
      <w:r w:rsidR="007A488B">
        <w:t xml:space="preserve"> is</w:t>
      </w:r>
      <w:r>
        <w:t xml:space="preserve"> that the focus has been on ability to pay and the timing of any such payment and not whether the appellant should have given security</w:t>
      </w:r>
      <w:r w:rsidR="005071B4">
        <w:t xml:space="preserve"> or a reasoned argument supported by evidence as to why that</w:t>
      </w:r>
      <w:r w:rsidR="00930DBA">
        <w:t>, in any sum,</w:t>
      </w:r>
      <w:r w:rsidR="005071B4">
        <w:t xml:space="preserve"> </w:t>
      </w:r>
      <w:r w:rsidR="00930DBA">
        <w:t>would cause hardship</w:t>
      </w:r>
      <w:r>
        <w:t xml:space="preserve">. </w:t>
      </w:r>
    </w:p>
    <w:p w14:paraId="274C2FC3" w14:textId="77777777" w:rsidR="00384C1F" w:rsidRDefault="00384C1F" w:rsidP="00384C1F">
      <w:pPr>
        <w:pStyle w:val="Taxbodytext1"/>
      </w:pPr>
      <w:r>
        <w:t>The simple facts are that HMRC were prepared to consider security and offered a lengthy window within which that could have been provided. The appellant just did not do so.</w:t>
      </w:r>
    </w:p>
    <w:p w14:paraId="30D11CEA" w14:textId="77777777" w:rsidR="00BB6950" w:rsidRDefault="00384C1F" w:rsidP="0068177D">
      <w:pPr>
        <w:pStyle w:val="Taxbodytext1"/>
      </w:pPr>
      <w:r>
        <w:t xml:space="preserve">Furthermore, </w:t>
      </w:r>
      <w:r w:rsidR="00BB6950">
        <w:t xml:space="preserve">I find that the appellant deliberately released funds to Mr Chi, whether </w:t>
      </w:r>
      <w:r w:rsidR="00930DBA">
        <w:t>by way of dividend or otherwise</w:t>
      </w:r>
      <w:r w:rsidR="00BB6950">
        <w:t>, and there was a significant delay in furnishing information that was incomplete (</w:t>
      </w:r>
      <w:proofErr w:type="spellStart"/>
      <w:r w:rsidR="00BB6950">
        <w:t>eg</w:t>
      </w:r>
      <w:proofErr w:type="spellEnd"/>
      <w:r w:rsidR="00BB6950">
        <w:t xml:space="preserve"> bank statements) and in the case of the contemporaneous accounting information it </w:t>
      </w:r>
      <w:r w:rsidR="005071B4">
        <w:t xml:space="preserve">was </w:t>
      </w:r>
      <w:r w:rsidR="00BB6950">
        <w:t>lacki</w:t>
      </w:r>
      <w:r w:rsidR="000666CB">
        <w:t xml:space="preserve">ng </w:t>
      </w:r>
      <w:r w:rsidR="00BB6950">
        <w:t>in relevant specification. The bland statement that £700,000 was required for cash flow was almost entirely unvouched.</w:t>
      </w:r>
      <w:r w:rsidR="000666CB">
        <w:t xml:space="preserve"> The information about deposits was vague and unsupported by documentation. </w:t>
      </w:r>
    </w:p>
    <w:p w14:paraId="614F0503" w14:textId="77777777" w:rsidR="007A488B" w:rsidRDefault="007A488B" w:rsidP="0068177D">
      <w:pPr>
        <w:pStyle w:val="Taxbodytext1"/>
      </w:pPr>
      <w:r>
        <w:t>There is a signal lack of material evidence.</w:t>
      </w:r>
    </w:p>
    <w:p w14:paraId="2F803349" w14:textId="77777777" w:rsidR="00384C1F" w:rsidRDefault="005D4543" w:rsidP="0068177D">
      <w:pPr>
        <w:pStyle w:val="Taxbodytext1"/>
      </w:pPr>
      <w:r>
        <w:t xml:space="preserve">In </w:t>
      </w:r>
      <w:r w:rsidR="00384C1F">
        <w:t>t</w:t>
      </w:r>
      <w:r w:rsidR="000B6601">
        <w:t xml:space="preserve">hese circumstances, </w:t>
      </w:r>
      <w:r w:rsidR="00384C1F">
        <w:t xml:space="preserve">the appellant has not established why security would have caused hardship had it been required. </w:t>
      </w:r>
      <w:r w:rsidR="000B6601">
        <w:t xml:space="preserve">No real or credible explanation was given as to why no security or charge would be given. The appellant elected not to offer security. </w:t>
      </w:r>
      <w:r w:rsidR="00930DBA">
        <w:t>The appellant has not identified what level of security, if any, would cause hardship and why.</w:t>
      </w:r>
    </w:p>
    <w:p w14:paraId="643C4046" w14:textId="77777777" w:rsidR="00384C1F" w:rsidRDefault="00384C1F" w:rsidP="00384C1F">
      <w:pPr>
        <w:pStyle w:val="Taxbodytext1"/>
      </w:pPr>
      <w:r>
        <w:t>I</w:t>
      </w:r>
      <w:r w:rsidR="00BB6950">
        <w:t xml:space="preserve"> find </w:t>
      </w:r>
      <w:r w:rsidR="000B6601">
        <w:t>that it is not the case that it would have been reasonable in the circumstances for HMRC to accept no security, and therefore the appellant has not satisfied the test in s</w:t>
      </w:r>
      <w:r w:rsidR="0069016A">
        <w:t>ection </w:t>
      </w:r>
      <w:r w:rsidR="000B6601">
        <w:t>16(3)(b).</w:t>
      </w:r>
    </w:p>
    <w:p w14:paraId="767AA594" w14:textId="77777777" w:rsidR="000B6601" w:rsidRDefault="000B6601" w:rsidP="00384C1F">
      <w:pPr>
        <w:pStyle w:val="Taxbodytext1"/>
      </w:pPr>
      <w:r>
        <w:t>For those reasons alone the application</w:t>
      </w:r>
      <w:r w:rsidR="00930DBA">
        <w:t>s</w:t>
      </w:r>
      <w:r>
        <w:t xml:space="preserve"> </w:t>
      </w:r>
      <w:r w:rsidR="00930DBA">
        <w:t>are</w:t>
      </w:r>
      <w:r>
        <w:t xml:space="preserve"> dismissed. </w:t>
      </w:r>
    </w:p>
    <w:p w14:paraId="5A2F0B09" w14:textId="77777777" w:rsidR="000B6601" w:rsidRPr="00876B88" w:rsidRDefault="000B6601" w:rsidP="00384C1F">
      <w:pPr>
        <w:pStyle w:val="Taxbodytext1"/>
      </w:pPr>
      <w:r>
        <w:t>However, in case I am wrong, and for completeness, I consider some of the other arguments advanced.</w:t>
      </w:r>
    </w:p>
    <w:p w14:paraId="59C7443D" w14:textId="77777777" w:rsidR="00E57B2A" w:rsidRPr="00E57B2A" w:rsidRDefault="00E57B2A" w:rsidP="00E57B2A">
      <w:pPr>
        <w:pStyle w:val="Taxbodytext1"/>
        <w:numPr>
          <w:ilvl w:val="0"/>
          <w:numId w:val="0"/>
        </w:numPr>
        <w:rPr>
          <w:b/>
        </w:rPr>
      </w:pPr>
      <w:r w:rsidRPr="00E57B2A">
        <w:rPr>
          <w:b/>
        </w:rPr>
        <w:t>Article 6</w:t>
      </w:r>
      <w:r w:rsidR="004D079B">
        <w:rPr>
          <w:b/>
        </w:rPr>
        <w:t xml:space="preserve"> read with </w:t>
      </w:r>
      <w:r w:rsidR="005071B4">
        <w:rPr>
          <w:b/>
        </w:rPr>
        <w:t>the provisions of the</w:t>
      </w:r>
      <w:r w:rsidR="004D079B">
        <w:rPr>
          <w:b/>
        </w:rPr>
        <w:t xml:space="preserve"> HRA</w:t>
      </w:r>
    </w:p>
    <w:p w14:paraId="4C91CE8C" w14:textId="77777777" w:rsidR="00925621" w:rsidRDefault="00D67185" w:rsidP="00E57B2A">
      <w:pPr>
        <w:pStyle w:val="Taxbodytext1"/>
      </w:pPr>
      <w:r>
        <w:t xml:space="preserve">Both parties referred to </w:t>
      </w:r>
      <w:proofErr w:type="spellStart"/>
      <w:r>
        <w:rPr>
          <w:i/>
        </w:rPr>
        <w:t>Ferrazzini</w:t>
      </w:r>
      <w:proofErr w:type="spellEnd"/>
      <w:r>
        <w:rPr>
          <w:i/>
        </w:rPr>
        <w:t xml:space="preserve"> v Italy</w:t>
      </w:r>
      <w:r>
        <w:t xml:space="preserve"> [</w:t>
      </w:r>
      <w:r w:rsidR="00925621">
        <w:t xml:space="preserve">2001] STC 1314 </w:t>
      </w:r>
      <w:r w:rsidR="007A488B">
        <w:t>(“</w:t>
      </w:r>
      <w:proofErr w:type="spellStart"/>
      <w:r w:rsidR="007A488B">
        <w:t>Ferrazzini</w:t>
      </w:r>
      <w:proofErr w:type="spellEnd"/>
      <w:r w:rsidR="007A488B">
        <w:t>”)</w:t>
      </w:r>
      <w:r w:rsidR="0069016A">
        <w:t xml:space="preserve"> </w:t>
      </w:r>
      <w:r w:rsidR="00925621">
        <w:t xml:space="preserve">where the European Court of Human Rights (“ECHR”) held that tax disputes fell outside the scope of civil rights and obligations because tax was a public law matter. </w:t>
      </w:r>
    </w:p>
    <w:p w14:paraId="10ADAA67" w14:textId="77777777" w:rsidR="00925621" w:rsidRDefault="001271BE" w:rsidP="00E57B2A">
      <w:pPr>
        <w:pStyle w:val="Taxbodytext1"/>
      </w:pPr>
      <w:r>
        <w:t xml:space="preserve">Mr </w:t>
      </w:r>
      <w:proofErr w:type="spellStart"/>
      <w:r>
        <w:t>Hitchins</w:t>
      </w:r>
      <w:proofErr w:type="spellEnd"/>
      <w:r>
        <w:t xml:space="preserve"> urged me to find that the interpretation adopted in </w:t>
      </w:r>
      <w:proofErr w:type="spellStart"/>
      <w:r>
        <w:rPr>
          <w:i/>
        </w:rPr>
        <w:t>Ferrazzini</w:t>
      </w:r>
      <w:proofErr w:type="spellEnd"/>
      <w:r>
        <w:rPr>
          <w:i/>
        </w:rPr>
        <w:t xml:space="preserve"> </w:t>
      </w:r>
      <w:r w:rsidRPr="001271BE">
        <w:t>leads</w:t>
      </w:r>
      <w:r>
        <w:t xml:space="preserve"> to results that are harsh and absurd and should not apply to section 16 FA94 because it is irrational in a UK context and can be distinguished.</w:t>
      </w:r>
    </w:p>
    <w:p w14:paraId="716EE737" w14:textId="77777777" w:rsidR="004D079B" w:rsidRDefault="001271BE" w:rsidP="004D079B">
      <w:pPr>
        <w:pStyle w:val="Taxbodytext1"/>
      </w:pPr>
      <w:r>
        <w:t xml:space="preserve">He pointed out that Judge Mosedale, in </w:t>
      </w:r>
      <w:r>
        <w:rPr>
          <w:i/>
        </w:rPr>
        <w:t>K W Hadleigh Limited v HMRC</w:t>
      </w:r>
      <w:r w:rsidR="004D079B">
        <w:rPr>
          <w:i/>
        </w:rPr>
        <w:t xml:space="preserve"> </w:t>
      </w:r>
      <w:r>
        <w:t>[2014] UKFTT 336 (T</w:t>
      </w:r>
      <w:r w:rsidR="004D079B">
        <w:t>C</w:t>
      </w:r>
      <w:r>
        <w:t xml:space="preserve">) </w:t>
      </w:r>
      <w:r w:rsidR="004D079B">
        <w:t>had described the rationale in</w:t>
      </w:r>
      <w:r w:rsidR="004D079B" w:rsidRPr="004D079B">
        <w:rPr>
          <w:i/>
        </w:rPr>
        <w:t xml:space="preserve"> </w:t>
      </w:r>
      <w:proofErr w:type="spellStart"/>
      <w:r w:rsidR="004D079B" w:rsidRPr="004D079B">
        <w:rPr>
          <w:i/>
        </w:rPr>
        <w:t>Ferrazzini</w:t>
      </w:r>
      <w:proofErr w:type="spellEnd"/>
      <w:r w:rsidR="004D079B">
        <w:t xml:space="preserve"> as “very difficult to understand”, and she did. </w:t>
      </w:r>
      <w:r>
        <w:rPr>
          <w:i/>
        </w:rPr>
        <w:t xml:space="preserve"> </w:t>
      </w:r>
      <w:r w:rsidR="004D079B">
        <w:t>However, she went on t</w:t>
      </w:r>
      <w:r w:rsidR="00C27812">
        <w:t>o apply it and pointed out that</w:t>
      </w:r>
      <w:r w:rsidR="004D079B">
        <w:t>:</w:t>
      </w:r>
      <w:r w:rsidR="00C27812">
        <w:t>-</w:t>
      </w:r>
    </w:p>
    <w:p w14:paraId="46A912DB" w14:textId="77777777" w:rsidR="004D079B" w:rsidRDefault="004D079B" w:rsidP="0057284B">
      <w:pPr>
        <w:pStyle w:val="Taxbodytext1"/>
        <w:numPr>
          <w:ilvl w:val="0"/>
          <w:numId w:val="0"/>
        </w:numPr>
        <w:ind w:left="567"/>
      </w:pPr>
      <w:r>
        <w:t>“26…I am bound to apply it: this is because s 2 Human Rights Act requires me to take account of any relevant judgment of the ECHR.</w:t>
      </w:r>
    </w:p>
    <w:p w14:paraId="5F45285C" w14:textId="77777777" w:rsidR="004D079B" w:rsidRPr="00E57B2A" w:rsidRDefault="004D079B" w:rsidP="0057284B">
      <w:pPr>
        <w:pStyle w:val="Taxbodytext1"/>
        <w:numPr>
          <w:ilvl w:val="0"/>
          <w:numId w:val="0"/>
        </w:numPr>
        <w:ind w:left="567"/>
      </w:pPr>
      <w:r>
        <w:t xml:space="preserve">27. </w:t>
      </w:r>
      <w:r w:rsidR="0057284B">
        <w:t xml:space="preserve"> The effect of </w:t>
      </w:r>
      <w:proofErr w:type="spellStart"/>
      <w:r w:rsidR="0057284B" w:rsidRPr="00C27812">
        <w:rPr>
          <w:i/>
        </w:rPr>
        <w:t>Ferrazzini</w:t>
      </w:r>
      <w:proofErr w:type="spellEnd"/>
      <w:r w:rsidR="0057284B">
        <w:t xml:space="preserve"> is that the Convention does not guarantee a fair trial in a tax dispute. Therefore, s 3 HRA cannot require a strained reading to be given to s 83(1)(</w:t>
      </w:r>
      <w:proofErr w:type="spellStart"/>
      <w:r w:rsidR="0057284B">
        <w:t>zc</w:t>
      </w:r>
      <w:proofErr w:type="spellEnd"/>
      <w:r w:rsidR="0057284B">
        <w:t>) in order to give the appellant a right to a hearing of his challenge to the legality of Regulation 25A.</w:t>
      </w:r>
      <w:r>
        <w:t>”</w:t>
      </w:r>
    </w:p>
    <w:p w14:paraId="7B2A323A" w14:textId="77777777" w:rsidR="001271BE" w:rsidRDefault="0057284B" w:rsidP="0057284B">
      <w:pPr>
        <w:pStyle w:val="Taxbodytext1"/>
        <w:numPr>
          <w:ilvl w:val="0"/>
          <w:numId w:val="0"/>
        </w:numPr>
      </w:pPr>
      <w:r>
        <w:t>That is dealing with different legislation, as</w:t>
      </w:r>
      <w:r w:rsidR="00C27812">
        <w:t>,</w:t>
      </w:r>
      <w:r>
        <w:t xml:space="preserve"> of course, was the case in </w:t>
      </w:r>
      <w:proofErr w:type="spellStart"/>
      <w:r>
        <w:rPr>
          <w:i/>
        </w:rPr>
        <w:t>Ferrazzini</w:t>
      </w:r>
      <w:proofErr w:type="spellEnd"/>
      <w:r>
        <w:rPr>
          <w:i/>
        </w:rPr>
        <w:t xml:space="preserve"> </w:t>
      </w:r>
      <w:r w:rsidRPr="0057284B">
        <w:t xml:space="preserve">and </w:t>
      </w:r>
      <w:r>
        <w:t xml:space="preserve">the various cases where </w:t>
      </w:r>
      <w:proofErr w:type="spellStart"/>
      <w:r>
        <w:rPr>
          <w:i/>
        </w:rPr>
        <w:t>Ferrazzini</w:t>
      </w:r>
      <w:proofErr w:type="spellEnd"/>
      <w:r>
        <w:rPr>
          <w:i/>
        </w:rPr>
        <w:t xml:space="preserve"> </w:t>
      </w:r>
      <w:r>
        <w:t>has been applied</w:t>
      </w:r>
      <w:r w:rsidR="0021732F">
        <w:t xml:space="preserve">, or not, </w:t>
      </w:r>
      <w:r>
        <w:t xml:space="preserve">in this </w:t>
      </w:r>
      <w:r w:rsidR="0021732F">
        <w:t>jurisdiction</w:t>
      </w:r>
      <w:r>
        <w:t xml:space="preserve">. </w:t>
      </w:r>
    </w:p>
    <w:p w14:paraId="1CD5CEFD" w14:textId="77777777" w:rsidR="0057284B" w:rsidRDefault="0057284B" w:rsidP="0057284B">
      <w:pPr>
        <w:pStyle w:val="Taxbodytext1"/>
      </w:pPr>
      <w:r>
        <w:t xml:space="preserve">Mr </w:t>
      </w:r>
      <w:proofErr w:type="spellStart"/>
      <w:r>
        <w:t>Hitchin</w:t>
      </w:r>
      <w:r w:rsidR="0069016A">
        <w:t>s</w:t>
      </w:r>
      <w:proofErr w:type="spellEnd"/>
      <w:r>
        <w:t xml:space="preserve"> argues that Judge Mosedale was “simply wron</w:t>
      </w:r>
      <w:r w:rsidR="00CB03C1">
        <w:t>g” as the T</w:t>
      </w:r>
      <w:r>
        <w:t xml:space="preserve">ribunal is not bound by </w:t>
      </w:r>
      <w:proofErr w:type="spellStart"/>
      <w:r>
        <w:rPr>
          <w:i/>
        </w:rPr>
        <w:t>Ferrazzini</w:t>
      </w:r>
      <w:proofErr w:type="spellEnd"/>
      <w:r>
        <w:rPr>
          <w:i/>
        </w:rPr>
        <w:t xml:space="preserve"> </w:t>
      </w:r>
      <w:r w:rsidRPr="0057284B">
        <w:t>but must simply</w:t>
      </w:r>
      <w:r>
        <w:rPr>
          <w:i/>
        </w:rPr>
        <w:t xml:space="preserve"> </w:t>
      </w:r>
      <w:r w:rsidR="00CB03C1">
        <w:t>have regard to it. The T</w:t>
      </w:r>
      <w:r>
        <w:t xml:space="preserve">ribunal should rather </w:t>
      </w:r>
      <w:r w:rsidR="001C0237">
        <w:t xml:space="preserve">consider whether there is a “clear and constant line of Strasbourg authorities” </w:t>
      </w:r>
      <w:r w:rsidR="00C27812">
        <w:t xml:space="preserve">diluting it </w:t>
      </w:r>
      <w:r w:rsidR="001C0237">
        <w:t>but he had already conceded that:-</w:t>
      </w:r>
    </w:p>
    <w:p w14:paraId="51727363" w14:textId="77777777" w:rsidR="001C0237" w:rsidRDefault="001C0237" w:rsidP="001C0237">
      <w:pPr>
        <w:pStyle w:val="Taxbodytext1"/>
        <w:numPr>
          <w:ilvl w:val="0"/>
          <w:numId w:val="0"/>
        </w:numPr>
        <w:ind w:left="567"/>
      </w:pPr>
      <w:r>
        <w:t xml:space="preserve">“Whilst </w:t>
      </w:r>
      <w:proofErr w:type="spellStart"/>
      <w:r w:rsidRPr="001C0237">
        <w:rPr>
          <w:i/>
        </w:rPr>
        <w:t>Ferrazzinni</w:t>
      </w:r>
      <w:proofErr w:type="spellEnd"/>
      <w:r>
        <w:t xml:space="preserve"> has been referred to subsequently in ECtHR judgments, it has not been subject to any comprehensive or meaningful analysis by the Strasbourg Court in subsequent decisions.”</w:t>
      </w:r>
    </w:p>
    <w:p w14:paraId="2EC16EA3" w14:textId="77777777" w:rsidR="001C0237" w:rsidRDefault="00876591" w:rsidP="001C0237">
      <w:pPr>
        <w:pStyle w:val="Taxbodytext1"/>
      </w:pPr>
      <w:r>
        <w:t xml:space="preserve">I am afraid that I was wholly unpersuaded by his argument that I should follow </w:t>
      </w:r>
      <w:r w:rsidR="00CB03C1">
        <w:t xml:space="preserve">the </w:t>
      </w:r>
      <w:r>
        <w:t xml:space="preserve">decision in </w:t>
      </w:r>
      <w:r>
        <w:rPr>
          <w:i/>
        </w:rPr>
        <w:t xml:space="preserve">Ali (t/a </w:t>
      </w:r>
      <w:proofErr w:type="spellStart"/>
      <w:r>
        <w:rPr>
          <w:i/>
        </w:rPr>
        <w:t>Shapla</w:t>
      </w:r>
      <w:proofErr w:type="spellEnd"/>
      <w:r>
        <w:rPr>
          <w:i/>
        </w:rPr>
        <w:t xml:space="preserve"> Tandoori Restaurant) v CEC</w:t>
      </w:r>
      <w:r w:rsidR="00F83B19">
        <w:rPr>
          <w:i/>
        </w:rPr>
        <w:t xml:space="preserve"> </w:t>
      </w:r>
      <w:r>
        <w:t>[2002</w:t>
      </w:r>
      <w:r w:rsidR="0069016A">
        <w:t>]</w:t>
      </w:r>
      <w:r>
        <w:t xml:space="preserve"> S.T.I. 1675 at paragraphs 25 and 26 which concluded that </w:t>
      </w:r>
      <w:proofErr w:type="spellStart"/>
      <w:r>
        <w:rPr>
          <w:i/>
        </w:rPr>
        <w:t>Ferrazzinni</w:t>
      </w:r>
      <w:proofErr w:type="spellEnd"/>
      <w:r>
        <w:rPr>
          <w:i/>
        </w:rPr>
        <w:t xml:space="preserve"> “</w:t>
      </w:r>
      <w:r w:rsidR="00F83B19">
        <w:t>i</w:t>
      </w:r>
      <w:r>
        <w:t xml:space="preserve">s </w:t>
      </w:r>
      <w:r w:rsidRPr="00876591">
        <w:t xml:space="preserve">not applicable </w:t>
      </w:r>
      <w:r>
        <w:t>in the UK, at least as far as rights and obligations relating to VAT are concerned”</w:t>
      </w:r>
      <w:r w:rsidR="00F83B19">
        <w:t>.</w:t>
      </w:r>
    </w:p>
    <w:p w14:paraId="4DBE3C9B" w14:textId="77777777" w:rsidR="007D21E3" w:rsidRDefault="00876591" w:rsidP="001C0237">
      <w:pPr>
        <w:pStyle w:val="Taxbodytext1"/>
      </w:pPr>
      <w:r>
        <w:t>Firstly</w:t>
      </w:r>
      <w:r w:rsidR="007A488B">
        <w:t xml:space="preserve">, for the reasons set out, </w:t>
      </w:r>
      <w:r>
        <w:t xml:space="preserve">I find that I am dealing with </w:t>
      </w:r>
      <w:r w:rsidR="007A488B">
        <w:t xml:space="preserve">excise duty </w:t>
      </w:r>
      <w:r>
        <w:t xml:space="preserve">assessments </w:t>
      </w:r>
      <w:r w:rsidR="000D038B">
        <w:t xml:space="preserve">and </w:t>
      </w:r>
      <w:r>
        <w:t>not VAT</w:t>
      </w:r>
      <w:r w:rsidR="007D21E3">
        <w:t xml:space="preserve">. </w:t>
      </w:r>
    </w:p>
    <w:p w14:paraId="1627D489" w14:textId="77777777" w:rsidR="00876591" w:rsidRDefault="007D21E3" w:rsidP="001C0237">
      <w:pPr>
        <w:pStyle w:val="Taxbodytext1"/>
      </w:pPr>
      <w:r>
        <w:t>Second</w:t>
      </w:r>
      <w:r w:rsidR="00876591">
        <w:t xml:space="preserve">ly, </w:t>
      </w:r>
      <w:r>
        <w:t xml:space="preserve">and far more pertinently I am bound by the High Court in </w:t>
      </w:r>
      <w:r w:rsidRPr="007D21E3">
        <w:rPr>
          <w:i/>
        </w:rPr>
        <w:t>R(</w:t>
      </w:r>
      <w:proofErr w:type="spellStart"/>
      <w:r w:rsidRPr="007D21E3">
        <w:rPr>
          <w:i/>
        </w:rPr>
        <w:t>oao</w:t>
      </w:r>
      <w:proofErr w:type="spellEnd"/>
      <w:r w:rsidRPr="007D21E3">
        <w:rPr>
          <w:i/>
        </w:rPr>
        <w:t xml:space="preserve"> </w:t>
      </w:r>
      <w:proofErr w:type="spellStart"/>
      <w:r w:rsidRPr="007D21E3">
        <w:rPr>
          <w:i/>
        </w:rPr>
        <w:t>ToTel</w:t>
      </w:r>
      <w:proofErr w:type="spellEnd"/>
      <w:r w:rsidRPr="007D21E3">
        <w:rPr>
          <w:i/>
        </w:rPr>
        <w:t xml:space="preserve"> Limited)</w:t>
      </w:r>
      <w:r>
        <w:t xml:space="preserve"> </w:t>
      </w:r>
      <w:r>
        <w:rPr>
          <w:i/>
        </w:rPr>
        <w:t>v the FTT</w:t>
      </w:r>
      <w:r w:rsidR="000D038B">
        <w:rPr>
          <w:i/>
        </w:rPr>
        <w:t xml:space="preserve"> and a</w:t>
      </w:r>
      <w:r>
        <w:rPr>
          <w:i/>
        </w:rPr>
        <w:t>nother</w:t>
      </w:r>
      <w:r w:rsidR="0069016A">
        <w:t xml:space="preserve"> </w:t>
      </w:r>
      <w:r>
        <w:t>[2011] EWHC 652</w:t>
      </w:r>
      <w:r w:rsidR="000D038B">
        <w:t xml:space="preserve"> where Mr Justice Simon, having referred to those two paragraphs stated that:-</w:t>
      </w:r>
    </w:p>
    <w:p w14:paraId="11115786" w14:textId="77777777" w:rsidR="000D038B" w:rsidRDefault="000D038B" w:rsidP="000D038B">
      <w:pPr>
        <w:pStyle w:val="ParaLevel1"/>
        <w:numPr>
          <w:ilvl w:val="0"/>
          <w:numId w:val="0"/>
        </w:numPr>
        <w:ind w:left="720"/>
      </w:pPr>
      <w:r>
        <w:t xml:space="preserve">“130…In </w:t>
      </w:r>
      <w:proofErr w:type="spellStart"/>
      <w:r w:rsidRPr="00E15CC1">
        <w:rPr>
          <w:i/>
        </w:rPr>
        <w:t>Jussila</w:t>
      </w:r>
      <w:proofErr w:type="spellEnd"/>
      <w:r w:rsidRPr="00E15CC1">
        <w:rPr>
          <w:i/>
        </w:rPr>
        <w:t xml:space="preserve"> v Finland</w:t>
      </w:r>
      <w:r>
        <w:t xml:space="preserve"> (2006) (A/73053/01) the Court at [29], and by 13 votes to 4, made clear its views about the impact of the civil aspect of Article 6 in relation to taxes. </w:t>
      </w:r>
    </w:p>
    <w:p w14:paraId="61577BA8" w14:textId="77777777" w:rsidR="000D038B" w:rsidRDefault="000D038B" w:rsidP="000D038B">
      <w:pPr>
        <w:pStyle w:val="Quote"/>
        <w:ind w:left="1134"/>
      </w:pPr>
      <w:r>
        <w:t xml:space="preserve">The assessment of tax and the imposition of surcharges fall outside the scope of Article 6 under its civil head (see </w:t>
      </w:r>
      <w:proofErr w:type="spellStart"/>
      <w:r w:rsidRPr="00E15CC1">
        <w:rPr>
          <w:i/>
        </w:rPr>
        <w:t>Ferrazzini</w:t>
      </w:r>
      <w:proofErr w:type="spellEnd"/>
      <w:r w:rsidRPr="00E15CC1">
        <w:rPr>
          <w:i/>
        </w:rPr>
        <w:t xml:space="preserve"> v. Italy</w:t>
      </w:r>
      <w:r>
        <w:t xml:space="preserve"> ...  §29).</w:t>
      </w:r>
    </w:p>
    <w:p w14:paraId="742FBCE9" w14:textId="77777777" w:rsidR="000D038B" w:rsidRDefault="007A488B" w:rsidP="007A488B">
      <w:pPr>
        <w:pStyle w:val="Taxbodytext1"/>
        <w:numPr>
          <w:ilvl w:val="0"/>
          <w:numId w:val="0"/>
        </w:numPr>
        <w:ind w:left="567"/>
      </w:pPr>
      <w:r>
        <w:t xml:space="preserve">131.  </w:t>
      </w:r>
      <w:r w:rsidR="000D038B">
        <w:t xml:space="preserve">In my view this provides the ‘clear and common jurisprudence of the European Court of Human Rights’ which should be followed in the absence of special circumstances, see Lord </w:t>
      </w:r>
      <w:proofErr w:type="spellStart"/>
      <w:r w:rsidR="000D038B">
        <w:t>Slynn</w:t>
      </w:r>
      <w:proofErr w:type="spellEnd"/>
      <w:r w:rsidR="000D038B">
        <w:t xml:space="preserve"> at [26] in </w:t>
      </w:r>
      <w:r w:rsidR="000D038B" w:rsidRPr="000D038B">
        <w:rPr>
          <w:i/>
        </w:rPr>
        <w:t>R v. Alconbury Developments Ltd) v. Secretary of State for the Environment, Transport and the Regions</w:t>
      </w:r>
      <w:r w:rsidR="000D038B">
        <w:t xml:space="preserve"> [2002] 2 AC 295. The view of both the framers of the European Convention on Human Rights and the European Court of Human Rights is that tax disputes are excluded from the civil aspect of Article 6.1 save in egregious cases.</w:t>
      </w:r>
      <w:r w:rsidR="007A4F96">
        <w:t>”</w:t>
      </w:r>
    </w:p>
    <w:p w14:paraId="666F3186" w14:textId="77777777" w:rsidR="00181887" w:rsidRDefault="007A4F96" w:rsidP="007A488B">
      <w:pPr>
        <w:pStyle w:val="Taxbodytext1"/>
      </w:pPr>
      <w:r>
        <w:t xml:space="preserve">Both parties referred to </w:t>
      </w:r>
      <w:r>
        <w:rPr>
          <w:i/>
        </w:rPr>
        <w:t>R(</w:t>
      </w:r>
      <w:proofErr w:type="spellStart"/>
      <w:r>
        <w:rPr>
          <w:i/>
        </w:rPr>
        <w:t>oao</w:t>
      </w:r>
      <w:proofErr w:type="spellEnd"/>
      <w:r>
        <w:rPr>
          <w:i/>
        </w:rPr>
        <w:t xml:space="preserve"> APVCO 19 Ltd) v HMRC</w:t>
      </w:r>
      <w:r>
        <w:t xml:space="preserve"> [2015</w:t>
      </w:r>
      <w:r w:rsidR="00A65A5A">
        <w:t>]</w:t>
      </w:r>
      <w:r>
        <w:t xml:space="preserve"> EWCA </w:t>
      </w:r>
      <w:proofErr w:type="spellStart"/>
      <w:r>
        <w:t>Civ</w:t>
      </w:r>
      <w:proofErr w:type="spellEnd"/>
      <w:r>
        <w:t xml:space="preserve"> 648 but for different reasons. Mr </w:t>
      </w:r>
      <w:proofErr w:type="spellStart"/>
      <w:r>
        <w:t>Hitchin</w:t>
      </w:r>
      <w:r w:rsidR="006F4A30">
        <w:t>s</w:t>
      </w:r>
      <w:proofErr w:type="spellEnd"/>
      <w:r w:rsidR="00C518D3">
        <w:t>’</w:t>
      </w:r>
      <w:r w:rsidR="006F4A30">
        <w:t xml:space="preserve"> primary argument was that it could be distinguished on its own case specific facts and the fact that the court had found that </w:t>
      </w:r>
      <w:r w:rsidR="00C518D3">
        <w:t xml:space="preserve">Article </w:t>
      </w:r>
      <w:r w:rsidR="00A65A5A">
        <w:t>6 was not engaged. Mr </w:t>
      </w:r>
      <w:r w:rsidR="00C518D3">
        <w:t>Bir</w:t>
      </w:r>
      <w:r w:rsidR="00C27812">
        <w:t>k</w:t>
      </w:r>
      <w:r w:rsidR="00C518D3">
        <w:t xml:space="preserve">beck </w:t>
      </w:r>
      <w:r w:rsidR="00181887">
        <w:t>rightly</w:t>
      </w:r>
      <w:r w:rsidR="00C518D3">
        <w:t xml:space="preserve"> said that the quotation </w:t>
      </w:r>
      <w:r w:rsidR="00B65202">
        <w:t xml:space="preserve">(from paragraph 68) </w:t>
      </w:r>
      <w:r w:rsidR="00C518D3">
        <w:t xml:space="preserve">relied upon by Mr </w:t>
      </w:r>
      <w:proofErr w:type="spellStart"/>
      <w:r w:rsidR="00C518D3">
        <w:t>Hitchins</w:t>
      </w:r>
      <w:proofErr w:type="spellEnd"/>
      <w:r w:rsidR="00C518D3">
        <w:t xml:space="preserve"> stating that “in this case” had to be read in context. </w:t>
      </w:r>
    </w:p>
    <w:p w14:paraId="52CBDDAF" w14:textId="77777777" w:rsidR="00181887" w:rsidRDefault="00B65202" w:rsidP="00A65A5A">
      <w:pPr>
        <w:pStyle w:val="Taxbodytext1"/>
      </w:pPr>
      <w:r>
        <w:t xml:space="preserve">The rest of the paragraph makes it clear that the </w:t>
      </w:r>
      <w:r w:rsidR="00181887">
        <w:t>judge had been:-</w:t>
      </w:r>
    </w:p>
    <w:p w14:paraId="72047403" w14:textId="77777777" w:rsidR="007A4F96" w:rsidRPr="00181887" w:rsidRDefault="00B65202" w:rsidP="00181887">
      <w:pPr>
        <w:pStyle w:val="Taxbodytext1"/>
        <w:numPr>
          <w:ilvl w:val="0"/>
          <w:numId w:val="0"/>
        </w:numPr>
        <w:ind w:left="567"/>
      </w:pPr>
      <w:r>
        <w:t>“right to place primary reliance on…</w:t>
      </w:r>
      <w:proofErr w:type="spellStart"/>
      <w:r>
        <w:rPr>
          <w:i/>
        </w:rPr>
        <w:t>F</w:t>
      </w:r>
      <w:r w:rsidR="00F83B19">
        <w:rPr>
          <w:i/>
        </w:rPr>
        <w:t>errazzin</w:t>
      </w:r>
      <w:r>
        <w:rPr>
          <w:i/>
        </w:rPr>
        <w:t>i</w:t>
      </w:r>
      <w:proofErr w:type="spellEnd"/>
      <w:r w:rsidRPr="00B65202">
        <w:t>, where it was made clear …that the concept of ‘civil rights and obligations’ in article 6 is an au</w:t>
      </w:r>
      <w:r>
        <w:t>tonomous one, and that….</w:t>
      </w:r>
      <w:r w:rsidR="00A65A5A">
        <w:t xml:space="preserve"> ‘</w:t>
      </w:r>
      <w:r>
        <w:t xml:space="preserve">tax disputes </w:t>
      </w:r>
      <w:r w:rsidR="00181887">
        <w:t xml:space="preserve">fall outside the scope of civil rights and obligations, despite the pecuniary effects which they produce for the taxpayer’”. </w:t>
      </w:r>
    </w:p>
    <w:p w14:paraId="2FE39771" w14:textId="77777777" w:rsidR="000D038B" w:rsidRDefault="00181887" w:rsidP="00181887">
      <w:pPr>
        <w:pStyle w:val="Taxbodytext1"/>
      </w:pPr>
      <w:r>
        <w:t>Mr Bir</w:t>
      </w:r>
      <w:r w:rsidR="00A037A7">
        <w:t>k</w:t>
      </w:r>
      <w:r>
        <w:t xml:space="preserve">beck also relied upon </w:t>
      </w:r>
      <w:r>
        <w:rPr>
          <w:i/>
        </w:rPr>
        <w:t>R(</w:t>
      </w:r>
      <w:proofErr w:type="spellStart"/>
      <w:r>
        <w:rPr>
          <w:i/>
        </w:rPr>
        <w:t>oao</w:t>
      </w:r>
      <w:proofErr w:type="spellEnd"/>
      <w:r>
        <w:rPr>
          <w:i/>
        </w:rPr>
        <w:t xml:space="preserve"> Rowe) </w:t>
      </w:r>
      <w:r w:rsidR="0038259C">
        <w:rPr>
          <w:i/>
        </w:rPr>
        <w:t>and Another v HMRC</w:t>
      </w:r>
      <w:r w:rsidR="0038259C">
        <w:t xml:space="preserve"> [2017]</w:t>
      </w:r>
      <w:r w:rsidR="00A65A5A">
        <w:t xml:space="preserve"> </w:t>
      </w:r>
      <w:r w:rsidR="0038259C">
        <w:t xml:space="preserve">EWCA </w:t>
      </w:r>
      <w:proofErr w:type="spellStart"/>
      <w:r w:rsidR="0038259C">
        <w:t>Civ</w:t>
      </w:r>
      <w:proofErr w:type="spellEnd"/>
      <w:r w:rsidR="0038259C">
        <w:t xml:space="preserve"> 2105 where Lady Justice Arden, as she then was, </w:t>
      </w:r>
      <w:r w:rsidR="00F83B19">
        <w:t>made it explicit</w:t>
      </w:r>
      <w:r w:rsidR="00634460">
        <w:t xml:space="preserve"> in relation to a different tax but the principle is the same,</w:t>
      </w:r>
      <w:r w:rsidR="00F83B19">
        <w:t xml:space="preserve"> at paragraphs 151 and 152 citing paragraph 29 of </w:t>
      </w:r>
      <w:proofErr w:type="spellStart"/>
      <w:r w:rsidR="00F83B19" w:rsidRPr="00634460">
        <w:rPr>
          <w:i/>
        </w:rPr>
        <w:t>Ferrazzini</w:t>
      </w:r>
      <w:proofErr w:type="spellEnd"/>
      <w:r w:rsidR="00F83B19" w:rsidRPr="00634460">
        <w:rPr>
          <w:i/>
        </w:rPr>
        <w:t xml:space="preserve"> </w:t>
      </w:r>
      <w:r w:rsidR="00803A25">
        <w:t xml:space="preserve">that </w:t>
      </w:r>
      <w:r w:rsidR="00F83B19">
        <w:t>advance payment of tax is not a sanction for non-payment of tax</w:t>
      </w:r>
      <w:r w:rsidR="00634460">
        <w:t>, Articl</w:t>
      </w:r>
      <w:r w:rsidR="000B6601">
        <w:t>e</w:t>
      </w:r>
      <w:r w:rsidR="00634460">
        <w:t xml:space="preserve"> 6 is not engaged and judicial review is the relevant protection.</w:t>
      </w:r>
    </w:p>
    <w:p w14:paraId="4935A9BC" w14:textId="77777777" w:rsidR="00634460" w:rsidRDefault="00634460" w:rsidP="00181887">
      <w:pPr>
        <w:pStyle w:val="Taxbodytext1"/>
      </w:pPr>
      <w:r>
        <w:t xml:space="preserve">In fact in this case the protection is the review of the </w:t>
      </w:r>
      <w:r w:rsidR="00100DA4">
        <w:t xml:space="preserve">decision </w:t>
      </w:r>
      <w:r>
        <w:t xml:space="preserve">by this Tribunal in terms of section 16 FA94. </w:t>
      </w:r>
    </w:p>
    <w:p w14:paraId="2ABD696A" w14:textId="77777777" w:rsidR="00880163" w:rsidRDefault="00803A25" w:rsidP="00181887">
      <w:pPr>
        <w:pStyle w:val="Taxbodytext1"/>
      </w:pPr>
      <w:r>
        <w:t xml:space="preserve">Lastly, </w:t>
      </w:r>
      <w:r w:rsidR="00642737">
        <w:t xml:space="preserve">whilst I do understand the various reservations expressed about </w:t>
      </w:r>
      <w:proofErr w:type="spellStart"/>
      <w:r w:rsidR="00642737">
        <w:rPr>
          <w:i/>
        </w:rPr>
        <w:t>Ferrazzini</w:t>
      </w:r>
      <w:proofErr w:type="spellEnd"/>
      <w:r w:rsidR="00642737">
        <w:rPr>
          <w:i/>
        </w:rPr>
        <w:t xml:space="preserve">, </w:t>
      </w:r>
      <w:r w:rsidR="00642737">
        <w:t xml:space="preserve">I was not referred to </w:t>
      </w:r>
      <w:proofErr w:type="spellStart"/>
      <w:r w:rsidR="00FF417F">
        <w:rPr>
          <w:i/>
        </w:rPr>
        <w:t>Walapu</w:t>
      </w:r>
      <w:proofErr w:type="spellEnd"/>
      <w:r w:rsidR="00880163">
        <w:rPr>
          <w:i/>
        </w:rPr>
        <w:t xml:space="preserve"> </w:t>
      </w:r>
      <w:r w:rsidR="00880163" w:rsidRPr="00880163">
        <w:rPr>
          <w:i/>
        </w:rPr>
        <w:t>v HMRC</w:t>
      </w:r>
      <w:r w:rsidR="00880163">
        <w:t xml:space="preserve"> [2016] EWHC 658 (Admin)</w:t>
      </w:r>
      <w:r w:rsidR="00FF417F" w:rsidRPr="00880163">
        <w:t xml:space="preserve"> </w:t>
      </w:r>
      <w:r w:rsidR="00FF417F">
        <w:t xml:space="preserve">at paragraph 105 where </w:t>
      </w:r>
      <w:r w:rsidR="00880163">
        <w:t xml:space="preserve">Mr Justice Green </w:t>
      </w:r>
      <w:r w:rsidR="00FF417F">
        <w:t>stated that although</w:t>
      </w:r>
      <w:r w:rsidR="00880163">
        <w:t xml:space="preserve"> </w:t>
      </w:r>
      <w:proofErr w:type="spellStart"/>
      <w:r w:rsidR="00880163">
        <w:rPr>
          <w:i/>
        </w:rPr>
        <w:t>Ferrazzini</w:t>
      </w:r>
      <w:proofErr w:type="spellEnd"/>
      <w:r w:rsidR="00FF417F">
        <w:t xml:space="preserve"> is considered with “some caution” by the domestic courts, “Nonetheless </w:t>
      </w:r>
      <w:proofErr w:type="spellStart"/>
      <w:r w:rsidR="00FF417F">
        <w:rPr>
          <w:i/>
        </w:rPr>
        <w:t>Ferrazzinni</w:t>
      </w:r>
      <w:proofErr w:type="spellEnd"/>
      <w:r w:rsidR="00FF417F">
        <w:t xml:space="preserve"> is still treated as sta</w:t>
      </w:r>
      <w:r w:rsidR="00A56F9E">
        <w:t>t</w:t>
      </w:r>
      <w:r w:rsidR="00FF417F">
        <w:t xml:space="preserve">ing the law” </w:t>
      </w:r>
      <w:r w:rsidR="00880163">
        <w:t>and is “routinely endorsed by the Strasbourg Court</w:t>
      </w:r>
      <w:r w:rsidR="005F16C6">
        <w:t>”</w:t>
      </w:r>
      <w:r w:rsidR="00880163">
        <w:t>.</w:t>
      </w:r>
    </w:p>
    <w:p w14:paraId="3F81D25D" w14:textId="77777777" w:rsidR="000B6601" w:rsidRDefault="00880163" w:rsidP="00181887">
      <w:pPr>
        <w:pStyle w:val="Taxbodytext1"/>
      </w:pPr>
      <w:r>
        <w:t xml:space="preserve">Accordingly, notwithstanding Mr </w:t>
      </w:r>
      <w:proofErr w:type="spellStart"/>
      <w:r>
        <w:t>Hitchins</w:t>
      </w:r>
      <w:proofErr w:type="spellEnd"/>
      <w:r w:rsidR="00A56F9E">
        <w:t>’</w:t>
      </w:r>
      <w:r w:rsidR="00CB03C1">
        <w:t xml:space="preserve"> sometimes ingenious </w:t>
      </w:r>
      <w:r>
        <w:t xml:space="preserve">arguments I am bound by </w:t>
      </w:r>
      <w:proofErr w:type="spellStart"/>
      <w:r>
        <w:rPr>
          <w:i/>
        </w:rPr>
        <w:t>Ferrazzini</w:t>
      </w:r>
      <w:proofErr w:type="spellEnd"/>
      <w:r>
        <w:t>; Article 6 is not engaged</w:t>
      </w:r>
      <w:r w:rsidR="00A56F9E">
        <w:t xml:space="preserve"> </w:t>
      </w:r>
      <w:r w:rsidR="001C3096">
        <w:t>and therefore</w:t>
      </w:r>
      <w:r w:rsidR="0069016A">
        <w:t>,</w:t>
      </w:r>
      <w:r w:rsidR="001C3096">
        <w:t xml:space="preserve"> nor is section 3 of the HRA. S</w:t>
      </w:r>
      <w:r w:rsidR="00A56F9E">
        <w:t>ection 16 FA94 should be construed in accordance with the usual principles of statutory construction.</w:t>
      </w:r>
    </w:p>
    <w:p w14:paraId="726FFEDE" w14:textId="77777777" w:rsidR="001C3096" w:rsidRDefault="001C3096" w:rsidP="001C3096">
      <w:pPr>
        <w:pStyle w:val="Taxheading3"/>
      </w:pPr>
      <w:r>
        <w:t>What facts and when?</w:t>
      </w:r>
    </w:p>
    <w:p w14:paraId="4D91769F" w14:textId="77777777" w:rsidR="001C3096" w:rsidRDefault="001C3096" w:rsidP="001C3096">
      <w:pPr>
        <w:pStyle w:val="Taxbodytext1"/>
      </w:pPr>
      <w:r>
        <w:t xml:space="preserve">Mr </w:t>
      </w:r>
      <w:proofErr w:type="spellStart"/>
      <w:r>
        <w:t>Hitchins</w:t>
      </w:r>
      <w:proofErr w:type="spellEnd"/>
      <w:r>
        <w:t xml:space="preserve"> argued that when looking at hardship the Tribunal had to ascertain the mischief that section 16 FA94 was designed to remedy.  He argued that the purpose of the hardship provision was the same, both for VAT and customs duty, and that therefore the case law relating to section 84 VATA was relevant for customs duty.  Accordingly, I should look at the facts as </w:t>
      </w:r>
      <w:r w:rsidR="00CB03C1">
        <w:t>at</w:t>
      </w:r>
      <w:r>
        <w:t xml:space="preserve"> the date of the hearing.</w:t>
      </w:r>
    </w:p>
    <w:p w14:paraId="608081DC" w14:textId="77777777" w:rsidR="001C3096" w:rsidRDefault="001C3096" w:rsidP="001C3096">
      <w:pPr>
        <w:pStyle w:val="Taxbodytext1"/>
      </w:pPr>
      <w:r>
        <w:t xml:space="preserve">Mr Birkbeck took the opposite view and argued that it was very clear from the wording in the two different legislative provisions that Parliament had had different purposes in mind and I should look at the position as </w:t>
      </w:r>
      <w:r w:rsidR="0069016A">
        <w:t xml:space="preserve">at </w:t>
      </w:r>
      <w:r>
        <w:t xml:space="preserve">October 2021. He conceded that paragraph 26 of </w:t>
      </w:r>
      <w:proofErr w:type="spellStart"/>
      <w:r w:rsidRPr="001C3096">
        <w:rPr>
          <w:i/>
        </w:rPr>
        <w:t>Elbrook</w:t>
      </w:r>
      <w:proofErr w:type="spellEnd"/>
      <w:r>
        <w:t xml:space="preserve"> makes it quite clear that the use of the words “would cause” in section 84 VATA mean that the normal rule would be that hardship has to be assessed as at the date of the hearing.  However, he argued that those words do not oc</w:t>
      </w:r>
      <w:r w:rsidR="005F16C6">
        <w:t>cur in section 16 FA</w:t>
      </w:r>
      <w:r>
        <w:t>94.  Rather, the purpose</w:t>
      </w:r>
      <w:r w:rsidR="0069016A">
        <w:t xml:space="preserve"> of Parliament was to give the T</w:t>
      </w:r>
      <w:r>
        <w:t>ribunal jurisdiction to review HMRC’s decision</w:t>
      </w:r>
      <w:r w:rsidR="005F16C6">
        <w:t xml:space="preserve"> only</w:t>
      </w:r>
      <w:r>
        <w:t>.  Section 16 has to be read as a whole and it can be seen by the following provision at section 16(4) in relation to ancillary matters, that that is the clear intention.</w:t>
      </w:r>
    </w:p>
    <w:p w14:paraId="3D02B56E" w14:textId="77777777" w:rsidR="005E58C0" w:rsidRDefault="005E58C0" w:rsidP="00181887">
      <w:pPr>
        <w:pStyle w:val="Taxbodytext1"/>
      </w:pPr>
      <w:r>
        <w:t xml:space="preserve">A lot of time and print has been absorbed in arguing about whether the decision </w:t>
      </w:r>
      <w:r w:rsidR="001958C0">
        <w:t>on hardship should be considered on the basis of the facts at the time of HMRC’s decision or as at the date of the hearing. I have not found HMRC’s arguments that I am constrained to looking only at the position as at 21 October 202</w:t>
      </w:r>
      <w:r w:rsidR="001C3096">
        <w:t>1 persuasive</w:t>
      </w:r>
      <w:r w:rsidR="001958C0">
        <w:t xml:space="preserve">. </w:t>
      </w:r>
    </w:p>
    <w:p w14:paraId="2BF71501" w14:textId="77777777" w:rsidR="001958C0" w:rsidRDefault="001958C0" w:rsidP="00181887">
      <w:pPr>
        <w:pStyle w:val="Taxbodytext1"/>
      </w:pPr>
      <w:r>
        <w:t xml:space="preserve">I </w:t>
      </w:r>
      <w:r w:rsidR="00100DA4">
        <w:t xml:space="preserve">observe, </w:t>
      </w:r>
      <w:r>
        <w:t xml:space="preserve">and of course I am </w:t>
      </w:r>
      <w:r w:rsidR="005648B5">
        <w:t xml:space="preserve">not </w:t>
      </w:r>
      <w:r>
        <w:t>bo</w:t>
      </w:r>
      <w:r w:rsidR="005648B5">
        <w:t xml:space="preserve">und by </w:t>
      </w:r>
      <w:r>
        <w:t>either</w:t>
      </w:r>
      <w:r w:rsidR="00100DA4">
        <w:t xml:space="preserve"> decision</w:t>
      </w:r>
      <w:r>
        <w:t xml:space="preserve">, that Judge Berner in </w:t>
      </w:r>
      <w:r>
        <w:rPr>
          <w:i/>
        </w:rPr>
        <w:t>Cozens</w:t>
      </w:r>
      <w:r>
        <w:t xml:space="preserve"> decided that the application should be determined on the basis of the material available at the time of the hearing</w:t>
      </w:r>
      <w:r w:rsidR="00100DA4">
        <w:t xml:space="preserve">, as did Judge Mosedale in </w:t>
      </w:r>
      <w:proofErr w:type="spellStart"/>
      <w:r w:rsidR="00100DA4">
        <w:rPr>
          <w:i/>
        </w:rPr>
        <w:t>Tradium</w:t>
      </w:r>
      <w:proofErr w:type="spellEnd"/>
      <w:r w:rsidR="00100DA4">
        <w:rPr>
          <w:i/>
        </w:rPr>
        <w:t xml:space="preserve">. </w:t>
      </w:r>
      <w:r w:rsidR="00100DA4" w:rsidRPr="00100DA4">
        <w:t xml:space="preserve">(For both references see paragraph </w:t>
      </w:r>
      <w:r w:rsidR="005F16C6">
        <w:t>61</w:t>
      </w:r>
      <w:r w:rsidR="00100DA4">
        <w:t xml:space="preserve"> above.)</w:t>
      </w:r>
    </w:p>
    <w:p w14:paraId="40ED8B40" w14:textId="77777777" w:rsidR="00100DA4" w:rsidRDefault="005648B5" w:rsidP="00181887">
      <w:pPr>
        <w:pStyle w:val="Taxbodytext1"/>
      </w:pPr>
      <w:r>
        <w:t>In this case, the appeal</w:t>
      </w:r>
      <w:r w:rsidR="009568A0">
        <w:t>s</w:t>
      </w:r>
      <w:r>
        <w:t xml:space="preserve"> in terms of section 16 FA94 followed review</w:t>
      </w:r>
      <w:r w:rsidR="009568A0">
        <w:t>s</w:t>
      </w:r>
      <w:r w:rsidR="0069016A">
        <w:t xml:space="preserve"> in terms of section </w:t>
      </w:r>
      <w:r>
        <w:t>15 FA94 and</w:t>
      </w:r>
      <w:r w:rsidR="005F16C6">
        <w:t>,</w:t>
      </w:r>
      <w:r w:rsidR="00A65A5A">
        <w:t xml:space="preserve"> although that</w:t>
      </w:r>
      <w:r>
        <w:t xml:space="preserve"> decision deals with section 16(4) FA94</w:t>
      </w:r>
      <w:r w:rsidR="005F16C6">
        <w:t>,</w:t>
      </w:r>
      <w:r>
        <w:t xml:space="preserve"> the following statement by Judges Herrington and Richards in </w:t>
      </w:r>
      <w:r>
        <w:rPr>
          <w:i/>
        </w:rPr>
        <w:t xml:space="preserve">Grzegorz </w:t>
      </w:r>
      <w:proofErr w:type="spellStart"/>
      <w:r>
        <w:rPr>
          <w:i/>
        </w:rPr>
        <w:t>Sczcepania</w:t>
      </w:r>
      <w:r w:rsidR="0068177D">
        <w:rPr>
          <w:i/>
        </w:rPr>
        <w:t>k</w:t>
      </w:r>
      <w:proofErr w:type="spellEnd"/>
      <w:r>
        <w:rPr>
          <w:i/>
        </w:rPr>
        <w:t xml:space="preserve"> t/a </w:t>
      </w:r>
      <w:proofErr w:type="spellStart"/>
      <w:r>
        <w:rPr>
          <w:i/>
        </w:rPr>
        <w:t>Phu</w:t>
      </w:r>
      <w:proofErr w:type="spellEnd"/>
      <w:r>
        <w:rPr>
          <w:i/>
        </w:rPr>
        <w:t xml:space="preserve"> Greg-Car</w:t>
      </w:r>
      <w:r w:rsidR="0069016A">
        <w:rPr>
          <w:i/>
        </w:rPr>
        <w:t xml:space="preserve"> </w:t>
      </w:r>
      <w:r>
        <w:t xml:space="preserve">[2019] UKUT 295 (TCC) is in point since my task is to decide whether </w:t>
      </w:r>
      <w:r w:rsidR="0068177D">
        <w:t>or not HMRC’s decision was unreasonable:-</w:t>
      </w:r>
    </w:p>
    <w:p w14:paraId="7403DF74" w14:textId="77777777" w:rsidR="005648B5" w:rsidRDefault="005648B5" w:rsidP="00A65A5A">
      <w:pPr>
        <w:pStyle w:val="Taxbodytext1"/>
        <w:numPr>
          <w:ilvl w:val="0"/>
          <w:numId w:val="0"/>
        </w:numPr>
        <w:ind w:left="567"/>
      </w:pPr>
      <w:r>
        <w:t>“</w:t>
      </w:r>
      <w:r w:rsidR="0068177D">
        <w:t>5.</w:t>
      </w:r>
      <w:r w:rsidR="0068177D" w:rsidRPr="0068177D">
        <w:t xml:space="preserve"> </w:t>
      </w:r>
      <w:r w:rsidR="0068177D">
        <w:t>It follows from s16(1) that the Appellant’s appeal to the FTT was against the Respondent’s ‘decision on a review under section 15’…</w:t>
      </w:r>
      <w:r w:rsidR="0068177D" w:rsidRPr="0068177D">
        <w:t xml:space="preserve"> </w:t>
      </w:r>
      <w:r w:rsidR="0068177D">
        <w:t>Accordingly, the FTT could only interfere with the Respondent’s decision if was satisfied that the Respondent could not reasonably have arrived at that decision…</w:t>
      </w:r>
    </w:p>
    <w:p w14:paraId="53A050BD" w14:textId="77777777" w:rsidR="0068177D" w:rsidRDefault="0068177D" w:rsidP="00A65A5A">
      <w:pPr>
        <w:pStyle w:val="Taxbodytext1"/>
        <w:numPr>
          <w:ilvl w:val="0"/>
          <w:numId w:val="0"/>
        </w:numPr>
        <w:ind w:left="567"/>
      </w:pPr>
      <w:r>
        <w:t xml:space="preserve">6. </w:t>
      </w:r>
      <w:r w:rsidR="00A65A5A">
        <w:t xml:space="preserve"> </w:t>
      </w:r>
      <w:r>
        <w:t>However, the limitation of the FTT’s powers is subject to an important qualification. In deciding whether the Respondent’s decision was unreasonable, the FTT is not bound by the factual determinations that the Respondent made. Nor is the FTT limited to a consideration of evidence that was before the Respondent’s decision</w:t>
      </w:r>
      <w:r w:rsidR="005F16C6">
        <w:t xml:space="preserve"> </w:t>
      </w:r>
      <w:r>
        <w:t xml:space="preserve">maker. It was, therefore, open to the Appellant to produce evidence that was not before the Respondent when it made its review decision and invite the FTT to reach factual conclusions different from those that the Respondent reached in its review. Moreover, the Appellant was entitled to argue that, in the light of those different factual conclusions, the Respondent’s decision was unreasonable. The Court of Appeal recently endorsed that proposition in </w:t>
      </w:r>
      <w:r w:rsidRPr="0068177D">
        <w:rPr>
          <w:i/>
        </w:rPr>
        <w:t>The Commissioners for Her Majesty’s Revenue &amp; Customs v Behzad Fuels (UK) Ltd</w:t>
      </w:r>
      <w:r>
        <w:t xml:space="preserve"> [2019] EWCA </w:t>
      </w:r>
      <w:proofErr w:type="spellStart"/>
      <w:r>
        <w:t>Civ</w:t>
      </w:r>
      <w:proofErr w:type="spellEnd"/>
      <w:r>
        <w:t xml:space="preserve"> 319…”</w:t>
      </w:r>
      <w:r w:rsidR="00A65A5A">
        <w:t>.</w:t>
      </w:r>
    </w:p>
    <w:p w14:paraId="48463634" w14:textId="77777777" w:rsidR="0068177D" w:rsidRDefault="0068177D" w:rsidP="0068177D">
      <w:pPr>
        <w:pStyle w:val="Taxbodytext1"/>
      </w:pPr>
      <w:r>
        <w:t>I consider that it is at least</w:t>
      </w:r>
      <w:r w:rsidR="00A65A5A">
        <w:t>,</w:t>
      </w:r>
      <w:r>
        <w:t xml:space="preserve"> strongly arguable that I should look at the facts as at the date of the hearing. However, I do not require to decide the point since the onus of proof lies with the appellant</w:t>
      </w:r>
      <w:r w:rsidR="000666CB">
        <w:t xml:space="preserve"> and tha</w:t>
      </w:r>
      <w:r w:rsidR="00A65A5A">
        <w:t>t has not been discharged.</w:t>
      </w:r>
    </w:p>
    <w:p w14:paraId="489A5709" w14:textId="77777777" w:rsidR="009568A0" w:rsidRDefault="009568A0" w:rsidP="0068177D">
      <w:pPr>
        <w:pStyle w:val="Taxbodytext1"/>
      </w:pPr>
      <w:r>
        <w:t>In October 2021, t</w:t>
      </w:r>
      <w:r w:rsidR="0068177D">
        <w:t>he appellant ha</w:t>
      </w:r>
      <w:r>
        <w:t>d</w:t>
      </w:r>
      <w:r w:rsidR="0068177D">
        <w:t xml:space="preserve"> </w:t>
      </w:r>
      <w:r w:rsidR="000666CB">
        <w:t>not and</w:t>
      </w:r>
      <w:r>
        <w:t xml:space="preserve"> </w:t>
      </w:r>
      <w:r w:rsidR="000666CB">
        <w:t xml:space="preserve">does not </w:t>
      </w:r>
      <w:r>
        <w:t xml:space="preserve">now </w:t>
      </w:r>
      <w:r w:rsidR="000666CB">
        <w:t xml:space="preserve">offer security. Is that reasonable? Neither in October 2021 nor at the hearing did the appellant produce anything like the type or level of </w:t>
      </w:r>
      <w:r w:rsidR="00A65A5A">
        <w:t xml:space="preserve">material </w:t>
      </w:r>
      <w:r>
        <w:t>evidence that would be required to persuade me that HMRC should be satisfied with no security.</w:t>
      </w:r>
      <w:r w:rsidR="000666CB">
        <w:t xml:space="preserve"> </w:t>
      </w:r>
    </w:p>
    <w:p w14:paraId="6409CE8E" w14:textId="77777777" w:rsidR="00B449EE" w:rsidRDefault="005F16C6" w:rsidP="009568A0">
      <w:pPr>
        <w:pStyle w:val="Taxbodytext1"/>
      </w:pPr>
      <w:r>
        <w:t>Mr Chi</w:t>
      </w:r>
      <w:r w:rsidR="000666CB">
        <w:t xml:space="preserve"> was a vague and evasive witness.</w:t>
      </w:r>
      <w:r w:rsidR="009568A0">
        <w:t xml:space="preserve"> The correspondence shows repeated failures to explain movements in the bank account. There are numerous problems with the evidence or perhaps I should say the lack of relevant evidence </w:t>
      </w:r>
      <w:r w:rsidR="000D6240">
        <w:t>a</w:t>
      </w:r>
      <w:r w:rsidR="000666CB">
        <w:t>s I have pointed out at paragraph</w:t>
      </w:r>
      <w:r w:rsidR="005071B4">
        <w:t xml:space="preserve">s </w:t>
      </w:r>
      <w:r>
        <w:t xml:space="preserve">71 and </w:t>
      </w:r>
      <w:r w:rsidR="005071B4">
        <w:t xml:space="preserve"> 72</w:t>
      </w:r>
      <w:r w:rsidR="000D6240">
        <w:t xml:space="preserve">. What is clear is that the appellant has deliberately paid out large sums of money in preference to prioritising its obligations. </w:t>
      </w:r>
    </w:p>
    <w:p w14:paraId="67461911" w14:textId="77777777" w:rsidR="000D6240" w:rsidRDefault="00CB03C1" w:rsidP="009568A0">
      <w:pPr>
        <w:pStyle w:val="Taxbodytext1"/>
      </w:pPr>
      <w:r>
        <w:t>What I do find</w:t>
      </w:r>
      <w:r w:rsidR="00B449EE">
        <w:t xml:space="preserve"> as fact is that to</w:t>
      </w:r>
      <w:r w:rsidR="000D6240">
        <w:t xml:space="preserve"> the extent that the appellant cann</w:t>
      </w:r>
      <w:r w:rsidR="00B449EE">
        <w:t xml:space="preserve">ot find security </w:t>
      </w:r>
      <w:r w:rsidR="005F16C6">
        <w:t>t</w:t>
      </w:r>
      <w:r w:rsidR="00B449EE">
        <w:t>h</w:t>
      </w:r>
      <w:r w:rsidR="000D6240">
        <w:t xml:space="preserve">e appellant has been responsible for putting itself </w:t>
      </w:r>
      <w:r w:rsidR="00B449EE">
        <w:t xml:space="preserve">in a position that it is unable to do so and that there have also been long delays. The inability to find any, or some, level of security has been caused by the appellant’s actions (see point 10 of the </w:t>
      </w:r>
      <w:proofErr w:type="spellStart"/>
      <w:r w:rsidR="00B449EE">
        <w:rPr>
          <w:i/>
        </w:rPr>
        <w:t>Elbrook</w:t>
      </w:r>
      <w:proofErr w:type="spellEnd"/>
      <w:r w:rsidR="00B449EE">
        <w:rPr>
          <w:i/>
        </w:rPr>
        <w:t xml:space="preserve"> </w:t>
      </w:r>
      <w:r w:rsidR="00B449EE">
        <w:t xml:space="preserve">Principles).  </w:t>
      </w:r>
      <w:r w:rsidR="000D6240">
        <w:t xml:space="preserve"> </w:t>
      </w:r>
    </w:p>
    <w:p w14:paraId="073C8835" w14:textId="77777777" w:rsidR="0068177D" w:rsidRDefault="005071B4" w:rsidP="009568A0">
      <w:pPr>
        <w:pStyle w:val="Taxbodytext1"/>
      </w:pPr>
      <w:r>
        <w:t>I am unable to find as facts reasons why there should be no security. There are simply largely unsupported assertions and it is trite law that that is not evidence.</w:t>
      </w:r>
    </w:p>
    <w:p w14:paraId="3842035D" w14:textId="77777777" w:rsidR="000D6240" w:rsidRDefault="000D6240" w:rsidP="009568A0">
      <w:pPr>
        <w:pStyle w:val="Taxbodytext1"/>
      </w:pPr>
      <w:r>
        <w:t>For those reasons the applications fail.</w:t>
      </w:r>
    </w:p>
    <w:p w14:paraId="5787E3C5" w14:textId="77777777" w:rsidR="000D6240" w:rsidRDefault="000D6240" w:rsidP="000D6240">
      <w:pPr>
        <w:pStyle w:val="Taxheading3"/>
      </w:pPr>
      <w:r>
        <w:t xml:space="preserve">Unison </w:t>
      </w:r>
    </w:p>
    <w:p w14:paraId="1339E65E" w14:textId="77777777" w:rsidR="000D6240" w:rsidRDefault="00A04FC8" w:rsidP="000D6240">
      <w:pPr>
        <w:pStyle w:val="Taxbodytext1"/>
      </w:pPr>
      <w:r>
        <w:t>The alternative argument for the appellant is that ac</w:t>
      </w:r>
      <w:r w:rsidR="00BF6D42">
        <w:t>cess</w:t>
      </w:r>
      <w:r w:rsidR="00E46591">
        <w:t xml:space="preserve"> to justice is being denied. That is predicated on the basis that </w:t>
      </w:r>
      <w:r w:rsidR="00BF6D42">
        <w:t>the appellant cannot progress the appeals</w:t>
      </w:r>
      <w:r w:rsidR="00E46591">
        <w:t xml:space="preserve"> if the duty is not paid or an appropriate level of security is not provided. </w:t>
      </w:r>
      <w:r w:rsidR="00BF6D42">
        <w:t xml:space="preserve"> </w:t>
      </w:r>
      <w:r w:rsidR="00E46591">
        <w:t xml:space="preserve">I do not accept that as it </w:t>
      </w:r>
      <w:r w:rsidR="0069016A">
        <w:t xml:space="preserve">is </w:t>
      </w:r>
      <w:r w:rsidR="00BF6D42">
        <w:t xml:space="preserve">Parliament’s explicit intention that </w:t>
      </w:r>
      <w:r w:rsidR="00BF6D42" w:rsidRPr="00A159D6">
        <w:rPr>
          <w:u w:val="single"/>
        </w:rPr>
        <w:t>unless</w:t>
      </w:r>
      <w:r w:rsidR="00BF6D42">
        <w:t xml:space="preserve"> hardship is accepted or established then the duty must be paid </w:t>
      </w:r>
      <w:r w:rsidR="00BC17A6">
        <w:t xml:space="preserve">or a security provided </w:t>
      </w:r>
      <w:r w:rsidR="00BF6D42">
        <w:t>if an appeal is to proceed.</w:t>
      </w:r>
    </w:p>
    <w:p w14:paraId="2F4769E8" w14:textId="77777777" w:rsidR="00BF6D42" w:rsidRDefault="00BF6D42" w:rsidP="000D6240">
      <w:pPr>
        <w:pStyle w:val="Taxbodytext1"/>
      </w:pPr>
      <w:r>
        <w:t xml:space="preserve">In </w:t>
      </w:r>
      <w:r>
        <w:rPr>
          <w:i/>
        </w:rPr>
        <w:t>U</w:t>
      </w:r>
      <w:r w:rsidR="00016BE1">
        <w:rPr>
          <w:i/>
        </w:rPr>
        <w:t>nis</w:t>
      </w:r>
      <w:r>
        <w:rPr>
          <w:i/>
        </w:rPr>
        <w:t xml:space="preserve">on </w:t>
      </w:r>
      <w:r>
        <w:t>at paragraph 80 Lord H</w:t>
      </w:r>
      <w:r w:rsidR="00016BE1">
        <w:t>odge made it explicit that:</w:t>
      </w:r>
      <w:r>
        <w:t>-</w:t>
      </w:r>
    </w:p>
    <w:p w14:paraId="61B6C73D" w14:textId="77777777" w:rsidR="00BF6D42" w:rsidRDefault="00BF6D42" w:rsidP="00BF6D42">
      <w:pPr>
        <w:pStyle w:val="Taxbodytext1"/>
        <w:numPr>
          <w:ilvl w:val="0"/>
          <w:numId w:val="0"/>
        </w:numPr>
        <w:ind w:left="426" w:hanging="426"/>
      </w:pPr>
      <w:r>
        <w:tab/>
        <w:t>“Even where a statutory power authorises an intrusion upon the right of access to the courts, it is interpreted as authorising only such a degree of intrusion as is reasonably necessary to fulfil the objective of the provision in question</w:t>
      </w:r>
      <w:r w:rsidR="00016BE1">
        <w:t>….That depended on whether an objective need for such a rule….could be demonstrated…”</w:t>
      </w:r>
      <w:r w:rsidR="00BC17A6">
        <w:t>.</w:t>
      </w:r>
    </w:p>
    <w:p w14:paraId="3C0666D2" w14:textId="77777777" w:rsidR="00BC17A6" w:rsidRDefault="00BC17A6" w:rsidP="00AF5F7B">
      <w:pPr>
        <w:pStyle w:val="Taxbodytext1"/>
      </w:pPr>
      <w:r>
        <w:t xml:space="preserve">The legislation does not unfairly or improperly exclude access to justice. </w:t>
      </w:r>
      <w:r w:rsidR="00AF5F7B">
        <w:t xml:space="preserve">If there is no hardship the duty would be paid or security at some level provided. If hardship is established then the duty need not be paid and </w:t>
      </w:r>
      <w:r w:rsidR="00A159D6">
        <w:t xml:space="preserve">either </w:t>
      </w:r>
      <w:r w:rsidR="00AF5F7B">
        <w:t xml:space="preserve">some or no security provided. That does not impede access to justice.  </w:t>
      </w:r>
    </w:p>
    <w:p w14:paraId="5CA36333" w14:textId="77777777" w:rsidR="00B254CA" w:rsidRDefault="00016BE1" w:rsidP="00016BE1">
      <w:pPr>
        <w:pStyle w:val="Taxbodytext1"/>
      </w:pPr>
      <w:r>
        <w:t xml:space="preserve">The </w:t>
      </w:r>
      <w:r w:rsidR="00A159D6">
        <w:t xml:space="preserve">further </w:t>
      </w:r>
      <w:r>
        <w:t xml:space="preserve">clear objective of the legislation is to ensure that </w:t>
      </w:r>
      <w:r w:rsidR="0069016A">
        <w:t>the taxpayer can appeal to the T</w:t>
      </w:r>
      <w:r>
        <w:t xml:space="preserve">ribunal, as the appellant has done. The appellant had the right to furnish more and better information. </w:t>
      </w:r>
      <w:r w:rsidR="00B254CA">
        <w:t>As I have explained that has not happened but t</w:t>
      </w:r>
      <w:r>
        <w:t>he appellant</w:t>
      </w:r>
      <w:r w:rsidR="00B254CA">
        <w:t xml:space="preserve"> had the right to do so.</w:t>
      </w:r>
    </w:p>
    <w:p w14:paraId="03217E5D" w14:textId="77777777" w:rsidR="0041444D" w:rsidRDefault="0041444D" w:rsidP="0041444D">
      <w:pPr>
        <w:pStyle w:val="Taxbodytext1"/>
      </w:pPr>
      <w:r>
        <w:t>These appeals are in terms of FA94, the assessments are in terms thereof, the provisions of section 16 are clear and do not require a strained interpretation for any reason.</w:t>
      </w:r>
    </w:p>
    <w:p w14:paraId="36F9594D" w14:textId="77777777" w:rsidR="0041444D" w:rsidRDefault="0041444D" w:rsidP="0041444D">
      <w:pPr>
        <w:pStyle w:val="Taxheading2"/>
      </w:pPr>
      <w:r>
        <w:t>Decision</w:t>
      </w:r>
    </w:p>
    <w:p w14:paraId="16E3BC90" w14:textId="77777777" w:rsidR="00A159D6" w:rsidRDefault="00A159D6" w:rsidP="00A159D6">
      <w:pPr>
        <w:pStyle w:val="Taxbodytext1"/>
      </w:pPr>
      <w:r>
        <w:t>I have weighed in the balance all of the factors that have been brought to my attention.  Sadly, there has been very limited focus on the onus of proof and the need for relevant, credible material evidence about hardship in the context of the provision of security or not.</w:t>
      </w:r>
    </w:p>
    <w:p w14:paraId="39C5A5C6" w14:textId="77777777" w:rsidR="0041444D" w:rsidRPr="0041444D" w:rsidRDefault="0041444D" w:rsidP="0041444D">
      <w:pPr>
        <w:pStyle w:val="Taxbodytext1"/>
      </w:pPr>
      <w:r>
        <w:t>For all these reasons the applications are refused.</w:t>
      </w:r>
    </w:p>
    <w:p w14:paraId="6E755F04" w14:textId="77777777" w:rsidR="001025F2" w:rsidRDefault="001025F2" w:rsidP="00F937EA">
      <w:pPr>
        <w:pStyle w:val="Taxheading1"/>
      </w:pPr>
      <w:r>
        <w:t>Right to apply for permission to appeal</w:t>
      </w:r>
    </w:p>
    <w:p w14:paraId="27CAFE3D" w14:textId="77777777" w:rsidR="001D7E8A" w:rsidRDefault="001D7E8A" w:rsidP="00576A9F">
      <w:pPr>
        <w:pStyle w:val="Taxbodytext1"/>
      </w:pPr>
      <w:r>
        <w:t>This document contains full findings of fact and reasons for the decision.</w:t>
      </w:r>
      <w:r w:rsidR="001025F2">
        <w:t xml:space="preserve"> </w:t>
      </w:r>
      <w:r>
        <w:t xml:space="preserve"> Any party dissatisfied with this decision has a right to apply for permission to appeal against it </w:t>
      </w:r>
      <w:r w:rsidRPr="00C0475D">
        <w:t>pursuant</w:t>
      </w:r>
      <w:r>
        <w:t xml:space="preserve"> to Rule 39 of the Tribunal Procedure (First-tier Tribunal) (Tax Chamber) Rules 2009.  The application must be received by this </w:t>
      </w:r>
      <w:r w:rsidRPr="00BB47C7">
        <w:t>Tribunal</w:t>
      </w:r>
      <w:r>
        <w:t xml:space="preserve"> not later than 56 days after this decision is sent to that party.  The parties are referred to “Guidance to accompany a Decision from the First-tier Tribunal (Tax Chamber)” which accompanies and forms part of this decision notice.</w:t>
      </w:r>
    </w:p>
    <w:p w14:paraId="31881F49" w14:textId="77777777" w:rsidR="001D7E8A" w:rsidRDefault="001D7E8A" w:rsidP="00576A9F">
      <w:pPr>
        <w:pStyle w:val="Taxbodytext1"/>
        <w:numPr>
          <w:ilvl w:val="0"/>
          <w:numId w:val="0"/>
        </w:numPr>
      </w:pPr>
    </w:p>
    <w:p w14:paraId="4E25050A" w14:textId="77777777" w:rsidR="00CC2235" w:rsidRPr="00CC2235" w:rsidRDefault="00CC2235" w:rsidP="00576A9F">
      <w:pPr>
        <w:pStyle w:val="Taxbodytext1"/>
        <w:numPr>
          <w:ilvl w:val="0"/>
          <w:numId w:val="0"/>
        </w:numPr>
      </w:pPr>
    </w:p>
    <w:p w14:paraId="7D3F4272" w14:textId="77777777" w:rsidR="007F20E0" w:rsidRPr="00576A9F" w:rsidRDefault="009E1F89" w:rsidP="007F20E0">
      <w:pPr>
        <w:jc w:val="center"/>
        <w:rPr>
          <w:b/>
        </w:rPr>
      </w:pPr>
      <w:r>
        <w:rPr>
          <w:b/>
        </w:rPr>
        <w:t>ANNE SCOTT</w:t>
      </w:r>
    </w:p>
    <w:p w14:paraId="7EE50C3E" w14:textId="77777777" w:rsidR="007F20E0" w:rsidRDefault="007F20E0" w:rsidP="007F20E0">
      <w:pPr>
        <w:jc w:val="center"/>
        <w:rPr>
          <w:b/>
        </w:rPr>
      </w:pPr>
      <w:r>
        <w:rPr>
          <w:b/>
        </w:rPr>
        <w:t>TRIBUNAL JUDGE</w:t>
      </w:r>
    </w:p>
    <w:p w14:paraId="3413980A" w14:textId="77777777" w:rsidR="00467608" w:rsidRDefault="00467608" w:rsidP="007F20E0">
      <w:pPr>
        <w:jc w:val="center"/>
        <w:rPr>
          <w:b/>
        </w:rPr>
      </w:pPr>
    </w:p>
    <w:p w14:paraId="6EBC98AA" w14:textId="6EBAE6D6" w:rsidR="007F20E0" w:rsidRPr="007F20E0" w:rsidRDefault="007F20E0" w:rsidP="007F20E0">
      <w:pPr>
        <w:jc w:val="center"/>
        <w:rPr>
          <w:b/>
        </w:rPr>
      </w:pPr>
      <w:r>
        <w:rPr>
          <w:b/>
        </w:rPr>
        <w:t>R</w:t>
      </w:r>
      <w:r w:rsidR="00C73668">
        <w:rPr>
          <w:b/>
        </w:rPr>
        <w:t>elease date</w:t>
      </w:r>
      <w:r>
        <w:rPr>
          <w:b/>
        </w:rPr>
        <w:t>:</w:t>
      </w:r>
      <w:r w:rsidR="009E1F89">
        <w:rPr>
          <w:b/>
        </w:rPr>
        <w:t xml:space="preserve"> </w:t>
      </w:r>
      <w:r w:rsidR="003A722B">
        <w:rPr>
          <w:b/>
        </w:rPr>
        <w:t>12</w:t>
      </w:r>
      <w:r w:rsidR="003A722B" w:rsidRPr="003A722B">
        <w:rPr>
          <w:b/>
          <w:vertAlign w:val="superscript"/>
        </w:rPr>
        <w:t>th</w:t>
      </w:r>
      <w:r w:rsidR="003A722B">
        <w:rPr>
          <w:b/>
        </w:rPr>
        <w:t xml:space="preserve"> </w:t>
      </w:r>
      <w:r w:rsidR="0099221D">
        <w:rPr>
          <w:b/>
        </w:rPr>
        <w:t>January 2023</w:t>
      </w:r>
    </w:p>
    <w:sectPr w:rsidR="007F20E0" w:rsidRPr="007F20E0" w:rsidSect="00CD5D96">
      <w:headerReference w:type="default" r:id="rId18"/>
      <w:footerReference w:type="default" r:id="rId19"/>
      <w:pgSz w:w="11906" w:h="16838" w:code="9"/>
      <w:pgMar w:top="1276"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F6737" w14:textId="77777777" w:rsidR="00E03D56" w:rsidRDefault="00E03D56" w:rsidP="00D72FDC">
      <w:pPr>
        <w:spacing w:after="0"/>
      </w:pPr>
      <w:r>
        <w:separator/>
      </w:r>
    </w:p>
  </w:endnote>
  <w:endnote w:type="continuationSeparator" w:id="0">
    <w:p w14:paraId="72515FB1" w14:textId="77777777" w:rsidR="00E03D56" w:rsidRDefault="00E03D56" w:rsidP="00D72F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287E6" w14:textId="77777777" w:rsidR="0068177D" w:rsidRDefault="006817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45F37" w14:textId="77777777" w:rsidR="0068177D" w:rsidRDefault="006817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2A5FB" w14:textId="77777777" w:rsidR="0068177D" w:rsidRDefault="006817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805755"/>
      <w:docPartObj>
        <w:docPartGallery w:val="Page Numbers (Bottom of Page)"/>
        <w:docPartUnique/>
      </w:docPartObj>
    </w:sdtPr>
    <w:sdtEndPr>
      <w:rPr>
        <w:noProof/>
      </w:rPr>
    </w:sdtEndPr>
    <w:sdtContent>
      <w:p w14:paraId="3E5C3AF1" w14:textId="77777777" w:rsidR="0068177D" w:rsidRDefault="0068177D">
        <w:pPr>
          <w:pStyle w:val="Footer"/>
          <w:jc w:val="center"/>
        </w:pPr>
        <w:r>
          <w:fldChar w:fldCharType="begin"/>
        </w:r>
        <w:r>
          <w:instrText xml:space="preserve"> PAGE   \* MERGEFORMAT </w:instrText>
        </w:r>
        <w:r>
          <w:fldChar w:fldCharType="separate"/>
        </w:r>
        <w:r w:rsidR="0069016A">
          <w:rPr>
            <w:noProof/>
          </w:rPr>
          <w:t>14</w:t>
        </w:r>
        <w:r>
          <w:rPr>
            <w:noProof/>
          </w:rPr>
          <w:fldChar w:fldCharType="end"/>
        </w:r>
      </w:p>
    </w:sdtContent>
  </w:sdt>
  <w:p w14:paraId="734E1646" w14:textId="77777777" w:rsidR="0068177D" w:rsidRDefault="00681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DBDF3" w14:textId="77777777" w:rsidR="00E03D56" w:rsidRDefault="00E03D56" w:rsidP="00D72FDC">
      <w:pPr>
        <w:spacing w:after="0"/>
      </w:pPr>
      <w:r>
        <w:separator/>
      </w:r>
    </w:p>
  </w:footnote>
  <w:footnote w:type="continuationSeparator" w:id="0">
    <w:p w14:paraId="70715904" w14:textId="77777777" w:rsidR="00E03D56" w:rsidRDefault="00E03D56" w:rsidP="00D72F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2A288" w14:textId="77777777" w:rsidR="0068177D" w:rsidRDefault="006817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945F6" w14:textId="77777777" w:rsidR="0068177D" w:rsidRDefault="006817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0AF07" w14:textId="77777777" w:rsidR="0068177D" w:rsidRDefault="006817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CA411" w14:textId="77777777" w:rsidR="0068177D" w:rsidRDefault="006817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76499"/>
    <w:multiLevelType w:val="multilevel"/>
    <w:tmpl w:val="812ABF66"/>
    <w:lvl w:ilvl="0">
      <w:start w:val="1"/>
      <w:numFmt w:val="decimal"/>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 w15:restartNumberingAfterBreak="0">
    <w:nsid w:val="15EE0151"/>
    <w:multiLevelType w:val="multilevel"/>
    <w:tmpl w:val="97422F8C"/>
    <w:lvl w:ilvl="0">
      <w:start w:val="1"/>
      <w:numFmt w:val="decimal"/>
      <w:lvlText w:val="%1"/>
      <w:lvlJc w:val="left"/>
      <w:pPr>
        <w:tabs>
          <w:tab w:val="num" w:pos="357"/>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AA150C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4632852"/>
    <w:multiLevelType w:val="multilevel"/>
    <w:tmpl w:val="812ABF66"/>
    <w:lvl w:ilvl="0">
      <w:start w:val="1"/>
      <w:numFmt w:val="decimal"/>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4" w15:restartNumberingAfterBreak="0">
    <w:nsid w:val="3595597B"/>
    <w:multiLevelType w:val="multilevel"/>
    <w:tmpl w:val="E6803844"/>
    <w:lvl w:ilvl="0">
      <w:start w:val="1"/>
      <w:numFmt w:val="decimal"/>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none"/>
      <w:lvlText w:val="(A)"/>
      <w:lvlJc w:val="left"/>
      <w:pPr>
        <w:ind w:left="2880" w:firstLine="0"/>
      </w:pPr>
      <w:rPr>
        <w:rFonts w:hint="default"/>
      </w:rPr>
    </w:lvl>
    <w:lvl w:ilvl="5">
      <w:start w:val="1"/>
      <w:numFmt w:val="none"/>
      <w:lvlRestart w:val="0"/>
      <w:lvlText w:val="(I)"/>
      <w:lvlJc w:val="righ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right"/>
      <w:pPr>
        <w:ind w:left="5760" w:firstLine="0"/>
      </w:pPr>
      <w:rPr>
        <w:rFonts w:hint="default"/>
      </w:rPr>
    </w:lvl>
  </w:abstractNum>
  <w:abstractNum w:abstractNumId="5" w15:restartNumberingAfterBreak="0">
    <w:nsid w:val="43596D6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42862BA"/>
    <w:multiLevelType w:val="multilevel"/>
    <w:tmpl w:val="4DFACF44"/>
    <w:lvl w:ilvl="0">
      <w:start w:val="1"/>
      <w:numFmt w:val="decimal"/>
      <w:pStyle w:val="Taxbodytext1"/>
      <w:lvlText w:val="%1."/>
      <w:lvlJc w:val="left"/>
      <w:pPr>
        <w:ind w:left="0" w:firstLine="0"/>
      </w:pPr>
      <w:rPr>
        <w:rFonts w:hint="default"/>
      </w:rPr>
    </w:lvl>
    <w:lvl w:ilvl="1">
      <w:start w:val="1"/>
      <w:numFmt w:val="decimal"/>
      <w:pStyle w:val="Taxbodytext2"/>
      <w:lvlText w:val="(%2)"/>
      <w:lvlJc w:val="left"/>
      <w:pPr>
        <w:ind w:left="720" w:firstLine="0"/>
      </w:pPr>
      <w:rPr>
        <w:rFonts w:hint="default"/>
      </w:rPr>
    </w:lvl>
    <w:lvl w:ilvl="2">
      <w:start w:val="1"/>
      <w:numFmt w:val="lowerLetter"/>
      <w:pStyle w:val="Taxbodytext3"/>
      <w:lvlText w:val="(%3)"/>
      <w:lvlJc w:val="left"/>
      <w:pPr>
        <w:ind w:left="1440" w:firstLine="0"/>
      </w:pPr>
      <w:rPr>
        <w:rFonts w:hint="default"/>
      </w:rPr>
    </w:lvl>
    <w:lvl w:ilvl="3">
      <w:start w:val="1"/>
      <w:numFmt w:val="lowerRoman"/>
      <w:pStyle w:val="Taxbodytext4"/>
      <w:lvlText w:val="(%4)"/>
      <w:lvlJc w:val="left"/>
      <w:pPr>
        <w:ind w:left="2160" w:firstLine="0"/>
      </w:pPr>
      <w:rPr>
        <w:rFonts w:hint="default"/>
      </w:rPr>
    </w:lvl>
    <w:lvl w:ilvl="4">
      <w:start w:val="1"/>
      <w:numFmt w:val="upperLetter"/>
      <w:pStyle w:val="Taxbodytext5"/>
      <w:lvlText w:val="(%5)"/>
      <w:lvlJc w:val="left"/>
      <w:pPr>
        <w:ind w:left="2880" w:firstLine="0"/>
      </w:pPr>
      <w:rPr>
        <w:rFonts w:hint="default"/>
      </w:rPr>
    </w:lvl>
    <w:lvl w:ilvl="5">
      <w:start w:val="1"/>
      <w:numFmt w:val="upperRoman"/>
      <w:lvlText w:val="(%6)"/>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right"/>
      <w:pPr>
        <w:ind w:left="5760" w:firstLine="0"/>
      </w:pPr>
      <w:rPr>
        <w:rFonts w:hint="default"/>
      </w:rPr>
    </w:lvl>
  </w:abstractNum>
  <w:abstractNum w:abstractNumId="7" w15:restartNumberingAfterBreak="0">
    <w:nsid w:val="4CB045C4"/>
    <w:multiLevelType w:val="multilevel"/>
    <w:tmpl w:val="3A44A272"/>
    <w:lvl w:ilvl="0">
      <w:start w:val="1"/>
      <w:numFmt w:val="decimal"/>
      <w:lvlText w:val="%1."/>
      <w:lvlJc w:val="left"/>
      <w:pPr>
        <w:tabs>
          <w:tab w:val="num" w:pos="360"/>
        </w:tabs>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1080" w:firstLine="0"/>
      </w:pPr>
      <w:rPr>
        <w:rFonts w:hint="default"/>
      </w:rPr>
    </w:lvl>
    <w:lvl w:ilvl="2">
      <w:start w:val="1"/>
      <w:numFmt w:val="lowerLetter"/>
      <w:lvlText w:val="(%3)"/>
      <w:lvlJc w:val="left"/>
      <w:pPr>
        <w:tabs>
          <w:tab w:val="num" w:pos="2520"/>
        </w:tabs>
        <w:ind w:left="2160" w:firstLine="0"/>
      </w:pPr>
      <w:rPr>
        <w:rFonts w:hint="default"/>
      </w:rPr>
    </w:lvl>
    <w:lvl w:ilvl="3">
      <w:start w:val="1"/>
      <w:numFmt w:val="lowerLetter"/>
      <w:lvlText w:val="(%4)"/>
      <w:lvlJc w:val="left"/>
      <w:pPr>
        <w:tabs>
          <w:tab w:val="num" w:pos="4320"/>
        </w:tabs>
        <w:ind w:left="4320" w:hanging="720"/>
      </w:pPr>
      <w:rPr>
        <w:rFonts w:hint="default"/>
      </w:rPr>
    </w:lvl>
    <w:lvl w:ilvl="4">
      <w:start w:val="1"/>
      <w:numFmt w:val="lowerRoman"/>
      <w:lvlText w:val="(%5)"/>
      <w:lvlJc w:val="left"/>
      <w:pPr>
        <w:tabs>
          <w:tab w:val="num" w:pos="5040"/>
        </w:tabs>
        <w:ind w:left="5040" w:hanging="720"/>
      </w:pPr>
      <w:rPr>
        <w:rFonts w:hint="default"/>
      </w:rPr>
    </w:lvl>
    <w:lvl w:ilvl="5">
      <w:start w:val="1"/>
      <w:numFmt w:val="lowerRoman"/>
      <w:lvlText w:val="(%6)"/>
      <w:lvlJc w:val="left"/>
      <w:pPr>
        <w:tabs>
          <w:tab w:val="num" w:pos="360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8" w15:restartNumberingAfterBreak="0">
    <w:nsid w:val="5D8B673D"/>
    <w:multiLevelType w:val="multilevel"/>
    <w:tmpl w:val="11C4F680"/>
    <w:lvl w:ilvl="0">
      <w:start w:val="1"/>
      <w:numFmt w:val="decimal"/>
      <w:lvlText w:val="%1."/>
      <w:lvlJc w:val="left"/>
      <w:pPr>
        <w:ind w:left="0" w:firstLine="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9" w15:restartNumberingAfterBreak="0">
    <w:nsid w:val="61C6254F"/>
    <w:multiLevelType w:val="hybridMultilevel"/>
    <w:tmpl w:val="4D2AC5B6"/>
    <w:lvl w:ilvl="0" w:tplc="78282B2C">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15:restartNumberingAfterBreak="0">
    <w:nsid w:val="73640DCD"/>
    <w:multiLevelType w:val="multilevel"/>
    <w:tmpl w:val="235E237C"/>
    <w:lvl w:ilvl="0">
      <w:start w:val="1"/>
      <w:numFmt w:val="decimal"/>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none"/>
      <w:lvlText w:val="(A)"/>
      <w:lvlJc w:val="left"/>
      <w:pPr>
        <w:ind w:left="2880" w:firstLine="0"/>
      </w:pPr>
      <w:rPr>
        <w:rFonts w:hint="default"/>
      </w:rPr>
    </w:lvl>
    <w:lvl w:ilvl="5">
      <w:start w:val="1"/>
      <w:numFmt w:val="none"/>
      <w:lvlRestart w:val="0"/>
      <w:lvlText w:val="(I)"/>
      <w:lvlJc w:val="righ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right"/>
      <w:pPr>
        <w:ind w:left="5760" w:firstLine="0"/>
      </w:pPr>
      <w:rPr>
        <w:rFonts w:hint="default"/>
      </w:rPr>
    </w:lvl>
  </w:abstractNum>
  <w:abstractNum w:abstractNumId="11"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3207"/>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625"/>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6043"/>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5"/>
  </w:num>
  <w:num w:numId="2">
    <w:abstractNumId w:val="1"/>
  </w:num>
  <w:num w:numId="3">
    <w:abstractNumId w:val="8"/>
  </w:num>
  <w:num w:numId="4">
    <w:abstractNumId w:val="7"/>
  </w:num>
  <w:num w:numId="5">
    <w:abstractNumId w:val="2"/>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6"/>
  </w:num>
  <w:num w:numId="9">
    <w:abstractNumId w:val="0"/>
  </w:num>
  <w:num w:numId="10">
    <w:abstractNumId w:val="4"/>
  </w:num>
  <w:num w:numId="11">
    <w:abstractNumId w:val="10"/>
  </w:num>
  <w:num w:numId="12">
    <w:abstractNumId w:val="9"/>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6"/>
  </w:num>
  <w:num w:numId="17">
    <w:abstractNumId w:val="6"/>
  </w:num>
  <w:num w:numId="18">
    <w:abstractNumId w:val="6"/>
    <w:lvlOverride w:ilvl="0">
      <w:startOverride w:val="8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18EEAB3-80C9-4632-8A62-DDF3505F3C4F}"/>
    <w:docVar w:name="dgnword-eventsink" w:val="457102928"/>
  </w:docVars>
  <w:rsids>
    <w:rsidRoot w:val="00386D5D"/>
    <w:rsid w:val="0000203A"/>
    <w:rsid w:val="00004112"/>
    <w:rsid w:val="00016BE1"/>
    <w:rsid w:val="00017341"/>
    <w:rsid w:val="00033334"/>
    <w:rsid w:val="0004363E"/>
    <w:rsid w:val="0005016A"/>
    <w:rsid w:val="00055A13"/>
    <w:rsid w:val="000666CB"/>
    <w:rsid w:val="000A1C97"/>
    <w:rsid w:val="000B6601"/>
    <w:rsid w:val="000C049A"/>
    <w:rsid w:val="000D038B"/>
    <w:rsid w:val="000D1009"/>
    <w:rsid w:val="000D6240"/>
    <w:rsid w:val="00100DA4"/>
    <w:rsid w:val="001025F2"/>
    <w:rsid w:val="00105B1F"/>
    <w:rsid w:val="00113309"/>
    <w:rsid w:val="00122CF0"/>
    <w:rsid w:val="001271BE"/>
    <w:rsid w:val="00130D91"/>
    <w:rsid w:val="0014338B"/>
    <w:rsid w:val="00151ED1"/>
    <w:rsid w:val="00154E7E"/>
    <w:rsid w:val="00156AD2"/>
    <w:rsid w:val="00157CBD"/>
    <w:rsid w:val="00181887"/>
    <w:rsid w:val="001958C0"/>
    <w:rsid w:val="001965D5"/>
    <w:rsid w:val="001B5F4B"/>
    <w:rsid w:val="001B5F89"/>
    <w:rsid w:val="001C0237"/>
    <w:rsid w:val="001C3096"/>
    <w:rsid w:val="001D1D3C"/>
    <w:rsid w:val="001D724F"/>
    <w:rsid w:val="001D7E8A"/>
    <w:rsid w:val="001E5051"/>
    <w:rsid w:val="0021732F"/>
    <w:rsid w:val="002310C4"/>
    <w:rsid w:val="00231EFC"/>
    <w:rsid w:val="00251D97"/>
    <w:rsid w:val="00265761"/>
    <w:rsid w:val="00291BDC"/>
    <w:rsid w:val="002A20EF"/>
    <w:rsid w:val="002A2419"/>
    <w:rsid w:val="002C0A0E"/>
    <w:rsid w:val="002E1A53"/>
    <w:rsid w:val="00345420"/>
    <w:rsid w:val="0035751C"/>
    <w:rsid w:val="003653F6"/>
    <w:rsid w:val="0037263E"/>
    <w:rsid w:val="00372D22"/>
    <w:rsid w:val="0038259C"/>
    <w:rsid w:val="00383087"/>
    <w:rsid w:val="00384C1F"/>
    <w:rsid w:val="00386D5D"/>
    <w:rsid w:val="003909D7"/>
    <w:rsid w:val="003A722B"/>
    <w:rsid w:val="003C7604"/>
    <w:rsid w:val="003E2833"/>
    <w:rsid w:val="003E3462"/>
    <w:rsid w:val="003E47DD"/>
    <w:rsid w:val="0041444D"/>
    <w:rsid w:val="00424444"/>
    <w:rsid w:val="00436486"/>
    <w:rsid w:val="004463F0"/>
    <w:rsid w:val="004558DC"/>
    <w:rsid w:val="00463397"/>
    <w:rsid w:val="00467608"/>
    <w:rsid w:val="00467C2B"/>
    <w:rsid w:val="004718FB"/>
    <w:rsid w:val="004727F3"/>
    <w:rsid w:val="004850FD"/>
    <w:rsid w:val="00490A26"/>
    <w:rsid w:val="004919AA"/>
    <w:rsid w:val="004B08DC"/>
    <w:rsid w:val="004C1AAE"/>
    <w:rsid w:val="004D067A"/>
    <w:rsid w:val="004D079B"/>
    <w:rsid w:val="004E4549"/>
    <w:rsid w:val="005071B4"/>
    <w:rsid w:val="00515789"/>
    <w:rsid w:val="00543FB1"/>
    <w:rsid w:val="00555D5C"/>
    <w:rsid w:val="005648B5"/>
    <w:rsid w:val="0057284B"/>
    <w:rsid w:val="00573413"/>
    <w:rsid w:val="00576A9F"/>
    <w:rsid w:val="00580EBE"/>
    <w:rsid w:val="00583958"/>
    <w:rsid w:val="00595A12"/>
    <w:rsid w:val="005A5E04"/>
    <w:rsid w:val="005B7AEF"/>
    <w:rsid w:val="005D4543"/>
    <w:rsid w:val="005E58C0"/>
    <w:rsid w:val="005F16C6"/>
    <w:rsid w:val="005F641E"/>
    <w:rsid w:val="006135FF"/>
    <w:rsid w:val="00630D17"/>
    <w:rsid w:val="00634460"/>
    <w:rsid w:val="00642737"/>
    <w:rsid w:val="006437E5"/>
    <w:rsid w:val="00644904"/>
    <w:rsid w:val="006468FC"/>
    <w:rsid w:val="00657289"/>
    <w:rsid w:val="00673E68"/>
    <w:rsid w:val="0068177D"/>
    <w:rsid w:val="0069016A"/>
    <w:rsid w:val="006972C8"/>
    <w:rsid w:val="006C1F64"/>
    <w:rsid w:val="006D4127"/>
    <w:rsid w:val="006F4A30"/>
    <w:rsid w:val="006F7D27"/>
    <w:rsid w:val="00715980"/>
    <w:rsid w:val="007173DF"/>
    <w:rsid w:val="00747A3C"/>
    <w:rsid w:val="007537F9"/>
    <w:rsid w:val="007820AF"/>
    <w:rsid w:val="00782A30"/>
    <w:rsid w:val="00794688"/>
    <w:rsid w:val="00794B4C"/>
    <w:rsid w:val="007A488B"/>
    <w:rsid w:val="007A4F96"/>
    <w:rsid w:val="007A6147"/>
    <w:rsid w:val="007B778E"/>
    <w:rsid w:val="007D0DAE"/>
    <w:rsid w:val="007D21E3"/>
    <w:rsid w:val="007E4F74"/>
    <w:rsid w:val="007F20E0"/>
    <w:rsid w:val="007F4807"/>
    <w:rsid w:val="007F5E67"/>
    <w:rsid w:val="00803A25"/>
    <w:rsid w:val="008073F7"/>
    <w:rsid w:val="0081533C"/>
    <w:rsid w:val="008216EF"/>
    <w:rsid w:val="00827252"/>
    <w:rsid w:val="008639FF"/>
    <w:rsid w:val="00873BF5"/>
    <w:rsid w:val="00875CF8"/>
    <w:rsid w:val="00876591"/>
    <w:rsid w:val="00876B88"/>
    <w:rsid w:val="00880163"/>
    <w:rsid w:val="008B2884"/>
    <w:rsid w:val="008B7307"/>
    <w:rsid w:val="008C469D"/>
    <w:rsid w:val="008D258A"/>
    <w:rsid w:val="008D5106"/>
    <w:rsid w:val="008E0E65"/>
    <w:rsid w:val="008F5F47"/>
    <w:rsid w:val="00900CD9"/>
    <w:rsid w:val="00907D0F"/>
    <w:rsid w:val="00911548"/>
    <w:rsid w:val="00920FB1"/>
    <w:rsid w:val="0092107C"/>
    <w:rsid w:val="0092234D"/>
    <w:rsid w:val="00925621"/>
    <w:rsid w:val="00930DBA"/>
    <w:rsid w:val="00937332"/>
    <w:rsid w:val="009568A0"/>
    <w:rsid w:val="009631F2"/>
    <w:rsid w:val="00970500"/>
    <w:rsid w:val="0099221D"/>
    <w:rsid w:val="009974E5"/>
    <w:rsid w:val="009A09BA"/>
    <w:rsid w:val="009D3331"/>
    <w:rsid w:val="009D7695"/>
    <w:rsid w:val="009E1481"/>
    <w:rsid w:val="009E1F89"/>
    <w:rsid w:val="009E36A6"/>
    <w:rsid w:val="00A037A7"/>
    <w:rsid w:val="00A04FC8"/>
    <w:rsid w:val="00A15747"/>
    <w:rsid w:val="00A159D6"/>
    <w:rsid w:val="00A25184"/>
    <w:rsid w:val="00A44CA9"/>
    <w:rsid w:val="00A56F9E"/>
    <w:rsid w:val="00A65A5A"/>
    <w:rsid w:val="00A711E3"/>
    <w:rsid w:val="00A80B8A"/>
    <w:rsid w:val="00A96C85"/>
    <w:rsid w:val="00AE74E9"/>
    <w:rsid w:val="00AF5F7B"/>
    <w:rsid w:val="00B2310A"/>
    <w:rsid w:val="00B254CA"/>
    <w:rsid w:val="00B27EBA"/>
    <w:rsid w:val="00B449EE"/>
    <w:rsid w:val="00B65202"/>
    <w:rsid w:val="00B70874"/>
    <w:rsid w:val="00B81C78"/>
    <w:rsid w:val="00B904D2"/>
    <w:rsid w:val="00B94C00"/>
    <w:rsid w:val="00BB47C7"/>
    <w:rsid w:val="00BB6950"/>
    <w:rsid w:val="00BC17A6"/>
    <w:rsid w:val="00BC1DBC"/>
    <w:rsid w:val="00BD67E2"/>
    <w:rsid w:val="00BF6D42"/>
    <w:rsid w:val="00C13904"/>
    <w:rsid w:val="00C21A3C"/>
    <w:rsid w:val="00C23C9C"/>
    <w:rsid w:val="00C27812"/>
    <w:rsid w:val="00C32BA9"/>
    <w:rsid w:val="00C518D3"/>
    <w:rsid w:val="00C73668"/>
    <w:rsid w:val="00C75884"/>
    <w:rsid w:val="00CA4C80"/>
    <w:rsid w:val="00CB03C1"/>
    <w:rsid w:val="00CC140D"/>
    <w:rsid w:val="00CC2235"/>
    <w:rsid w:val="00CD27DB"/>
    <w:rsid w:val="00CD38A0"/>
    <w:rsid w:val="00CD5D96"/>
    <w:rsid w:val="00CF2860"/>
    <w:rsid w:val="00CF3651"/>
    <w:rsid w:val="00D21482"/>
    <w:rsid w:val="00D251F0"/>
    <w:rsid w:val="00D62B4F"/>
    <w:rsid w:val="00D64A13"/>
    <w:rsid w:val="00D67185"/>
    <w:rsid w:val="00D72FDC"/>
    <w:rsid w:val="00D96C23"/>
    <w:rsid w:val="00DC3001"/>
    <w:rsid w:val="00DD5015"/>
    <w:rsid w:val="00DE7765"/>
    <w:rsid w:val="00DF0AF9"/>
    <w:rsid w:val="00DF28E6"/>
    <w:rsid w:val="00DF4BDF"/>
    <w:rsid w:val="00E03D56"/>
    <w:rsid w:val="00E16FA3"/>
    <w:rsid w:val="00E20ED3"/>
    <w:rsid w:val="00E256E2"/>
    <w:rsid w:val="00E46591"/>
    <w:rsid w:val="00E46D0F"/>
    <w:rsid w:val="00E57B2A"/>
    <w:rsid w:val="00E640B4"/>
    <w:rsid w:val="00EA365F"/>
    <w:rsid w:val="00EA5CF6"/>
    <w:rsid w:val="00EB6285"/>
    <w:rsid w:val="00EB7FFB"/>
    <w:rsid w:val="00ED1211"/>
    <w:rsid w:val="00EF53E6"/>
    <w:rsid w:val="00EF7019"/>
    <w:rsid w:val="00F01EA3"/>
    <w:rsid w:val="00F05032"/>
    <w:rsid w:val="00F1730C"/>
    <w:rsid w:val="00F246C3"/>
    <w:rsid w:val="00F36FD1"/>
    <w:rsid w:val="00F478CC"/>
    <w:rsid w:val="00F66762"/>
    <w:rsid w:val="00F75354"/>
    <w:rsid w:val="00F76F56"/>
    <w:rsid w:val="00F83B19"/>
    <w:rsid w:val="00F937EA"/>
    <w:rsid w:val="00FC23A5"/>
    <w:rsid w:val="00FD687F"/>
    <w:rsid w:val="00FE5C65"/>
    <w:rsid w:val="00FF23C8"/>
    <w:rsid w:val="00FF417F"/>
    <w:rsid w:val="00FF7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EEBC96"/>
  <w15:chartTrackingRefBased/>
  <w15:docId w15:val="{2580CB6E-3EF8-4431-A7BD-DC9BC44BC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57CBD"/>
    <w:pPr>
      <w:spacing w:after="240" w:line="240" w:lineRule="auto"/>
      <w:contextualSpacing/>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2FDC"/>
    <w:pPr>
      <w:tabs>
        <w:tab w:val="center" w:pos="4513"/>
        <w:tab w:val="right" w:pos="9026"/>
      </w:tabs>
      <w:spacing w:after="0"/>
    </w:pPr>
  </w:style>
  <w:style w:type="character" w:customStyle="1" w:styleId="HeaderChar">
    <w:name w:val="Header Char"/>
    <w:basedOn w:val="DefaultParagraphFont"/>
    <w:link w:val="Header"/>
    <w:uiPriority w:val="99"/>
    <w:rsid w:val="00D72FDC"/>
    <w:rPr>
      <w:rFonts w:ascii="Times New Roman" w:hAnsi="Times New Roman"/>
      <w:sz w:val="24"/>
    </w:rPr>
  </w:style>
  <w:style w:type="paragraph" w:styleId="Footer">
    <w:name w:val="footer"/>
    <w:basedOn w:val="Normal"/>
    <w:link w:val="FooterChar"/>
    <w:uiPriority w:val="99"/>
    <w:unhideWhenUsed/>
    <w:rsid w:val="00D72FDC"/>
    <w:pPr>
      <w:tabs>
        <w:tab w:val="center" w:pos="4513"/>
        <w:tab w:val="right" w:pos="9026"/>
      </w:tabs>
      <w:spacing w:after="0"/>
    </w:pPr>
  </w:style>
  <w:style w:type="character" w:customStyle="1" w:styleId="FooterChar">
    <w:name w:val="Footer Char"/>
    <w:basedOn w:val="DefaultParagraphFont"/>
    <w:link w:val="Footer"/>
    <w:uiPriority w:val="99"/>
    <w:rsid w:val="00D72FDC"/>
    <w:rPr>
      <w:rFonts w:ascii="Times New Roman" w:hAnsi="Times New Roman"/>
      <w:sz w:val="24"/>
    </w:rPr>
  </w:style>
  <w:style w:type="paragraph" w:customStyle="1" w:styleId="Taxheading1">
    <w:name w:val="Tax heading 1"/>
    <w:basedOn w:val="Normal"/>
    <w:next w:val="Taxbodytext1"/>
    <w:link w:val="Taxheading1Char"/>
    <w:qFormat/>
    <w:rsid w:val="00F937EA"/>
    <w:pPr>
      <w:keepNext/>
      <w:spacing w:after="60"/>
      <w:contextualSpacing w:val="0"/>
      <w:outlineLvl w:val="1"/>
    </w:pPr>
    <w:rPr>
      <w:b/>
      <w:smallCaps/>
      <w:sz w:val="22"/>
    </w:rPr>
  </w:style>
  <w:style w:type="character" w:customStyle="1" w:styleId="Taxheading1Char">
    <w:name w:val="Tax heading 1 Char"/>
    <w:basedOn w:val="DefaultParagraphFont"/>
    <w:link w:val="Taxheading1"/>
    <w:rsid w:val="00F937EA"/>
    <w:rPr>
      <w:rFonts w:ascii="Times New Roman" w:hAnsi="Times New Roman"/>
      <w:b/>
      <w:smallCaps/>
    </w:rPr>
  </w:style>
  <w:style w:type="paragraph" w:customStyle="1" w:styleId="Taxbodytext1">
    <w:name w:val="Tax body text 1"/>
    <w:link w:val="Taxbodytext1Char"/>
    <w:qFormat/>
    <w:rsid w:val="004850FD"/>
    <w:pPr>
      <w:numPr>
        <w:numId w:val="16"/>
      </w:numPr>
      <w:tabs>
        <w:tab w:val="left" w:pos="567"/>
      </w:tabs>
      <w:spacing w:after="120" w:line="240" w:lineRule="auto"/>
      <w:jc w:val="both"/>
    </w:pPr>
    <w:rPr>
      <w:rFonts w:ascii="Times New Roman" w:hAnsi="Times New Roman"/>
      <w:sz w:val="24"/>
    </w:rPr>
  </w:style>
  <w:style w:type="character" w:customStyle="1" w:styleId="Taxbodytext1Char">
    <w:name w:val="Tax body text 1 Char"/>
    <w:basedOn w:val="DefaultParagraphFont"/>
    <w:link w:val="Taxbodytext1"/>
    <w:rsid w:val="00794B4C"/>
    <w:rPr>
      <w:rFonts w:ascii="Times New Roman" w:hAnsi="Times New Roman"/>
      <w:b w:val="0"/>
      <w:sz w:val="24"/>
    </w:rPr>
  </w:style>
  <w:style w:type="paragraph" w:customStyle="1" w:styleId="Taxbodytext2">
    <w:name w:val="Tax body text 2"/>
    <w:basedOn w:val="Taxbodytext1"/>
    <w:link w:val="Taxbodytext2Char"/>
    <w:qFormat/>
    <w:rsid w:val="00900CD9"/>
    <w:pPr>
      <w:numPr>
        <w:ilvl w:val="1"/>
      </w:numPr>
      <w:tabs>
        <w:tab w:val="clear" w:pos="567"/>
        <w:tab w:val="left" w:pos="1134"/>
      </w:tabs>
    </w:pPr>
  </w:style>
  <w:style w:type="paragraph" w:customStyle="1" w:styleId="Taxbodytext3">
    <w:name w:val="Tax body text 3"/>
    <w:basedOn w:val="Taxbodytext2"/>
    <w:link w:val="Taxbodytext3Char"/>
    <w:qFormat/>
    <w:rsid w:val="00900CD9"/>
    <w:pPr>
      <w:numPr>
        <w:ilvl w:val="2"/>
      </w:numPr>
      <w:tabs>
        <w:tab w:val="clear" w:pos="1134"/>
        <w:tab w:val="left" w:pos="1701"/>
      </w:tabs>
    </w:pPr>
  </w:style>
  <w:style w:type="character" w:customStyle="1" w:styleId="Taxbodytext2Char">
    <w:name w:val="Tax body text 2 Char"/>
    <w:basedOn w:val="Taxbodytext1Char"/>
    <w:link w:val="Taxbodytext2"/>
    <w:rsid w:val="00900CD9"/>
    <w:rPr>
      <w:rFonts w:ascii="Times New Roman" w:hAnsi="Times New Roman"/>
      <w:b w:val="0"/>
      <w:sz w:val="24"/>
    </w:rPr>
  </w:style>
  <w:style w:type="paragraph" w:customStyle="1" w:styleId="Taxbodytext4">
    <w:name w:val="Tax body text 4"/>
    <w:basedOn w:val="Taxbodytext3"/>
    <w:link w:val="Taxbodytext4Char"/>
    <w:qFormat/>
    <w:rsid w:val="00900CD9"/>
    <w:pPr>
      <w:numPr>
        <w:ilvl w:val="3"/>
      </w:numPr>
      <w:tabs>
        <w:tab w:val="clear" w:pos="1701"/>
        <w:tab w:val="left" w:pos="2268"/>
      </w:tabs>
    </w:pPr>
  </w:style>
  <w:style w:type="character" w:customStyle="1" w:styleId="Taxbodytext3Char">
    <w:name w:val="Tax body text 3 Char"/>
    <w:basedOn w:val="Taxbodytext2Char"/>
    <w:link w:val="Taxbodytext3"/>
    <w:rsid w:val="00900CD9"/>
    <w:rPr>
      <w:rFonts w:ascii="Times New Roman" w:hAnsi="Times New Roman"/>
      <w:b w:val="0"/>
      <w:sz w:val="24"/>
    </w:rPr>
  </w:style>
  <w:style w:type="paragraph" w:customStyle="1" w:styleId="Taxheading2">
    <w:name w:val="Tax heading 2"/>
    <w:basedOn w:val="Taxheading1"/>
    <w:next w:val="Taxbodytext1"/>
    <w:link w:val="Taxheading2Char"/>
    <w:qFormat/>
    <w:rsid w:val="008D258A"/>
    <w:pPr>
      <w:outlineLvl w:val="2"/>
    </w:pPr>
    <w:rPr>
      <w:smallCaps w:val="0"/>
      <w:sz w:val="24"/>
      <w:szCs w:val="24"/>
    </w:rPr>
  </w:style>
  <w:style w:type="character" w:customStyle="1" w:styleId="Taxbodytext4Char">
    <w:name w:val="Tax body text 4 Char"/>
    <w:basedOn w:val="Taxbodytext3Char"/>
    <w:link w:val="Taxbodytext4"/>
    <w:rsid w:val="00900CD9"/>
    <w:rPr>
      <w:rFonts w:ascii="Times New Roman" w:hAnsi="Times New Roman"/>
      <w:b w:val="0"/>
      <w:sz w:val="24"/>
    </w:rPr>
  </w:style>
  <w:style w:type="paragraph" w:customStyle="1" w:styleId="Taxheading3">
    <w:name w:val="Tax heading 3"/>
    <w:basedOn w:val="Taxheading2"/>
    <w:next w:val="Taxbodytext1"/>
    <w:link w:val="Taxheading3Char"/>
    <w:qFormat/>
    <w:rsid w:val="007820AF"/>
    <w:pPr>
      <w:outlineLvl w:val="3"/>
    </w:pPr>
    <w:rPr>
      <w:i/>
    </w:rPr>
  </w:style>
  <w:style w:type="character" w:customStyle="1" w:styleId="Taxheading2Char">
    <w:name w:val="Tax heading 2 Char"/>
    <w:basedOn w:val="Taxbodytext1Char"/>
    <w:link w:val="Taxheading2"/>
    <w:rsid w:val="008D258A"/>
    <w:rPr>
      <w:rFonts w:ascii="Times New Roman" w:hAnsi="Times New Roman"/>
      <w:b/>
      <w:sz w:val="24"/>
      <w:szCs w:val="24"/>
    </w:rPr>
  </w:style>
  <w:style w:type="paragraph" w:customStyle="1" w:styleId="Taxheading4">
    <w:name w:val="Tax heading 4"/>
    <w:basedOn w:val="Taxheading3"/>
    <w:next w:val="Taxbodytext1"/>
    <w:link w:val="Taxheading4Char"/>
    <w:qFormat/>
    <w:rsid w:val="007820AF"/>
    <w:pPr>
      <w:tabs>
        <w:tab w:val="left" w:pos="567"/>
      </w:tabs>
      <w:outlineLvl w:val="4"/>
    </w:pPr>
    <w:rPr>
      <w:b w:val="0"/>
    </w:rPr>
  </w:style>
  <w:style w:type="character" w:customStyle="1" w:styleId="Taxheading3Char">
    <w:name w:val="Tax heading 3 Char"/>
    <w:basedOn w:val="Taxheading2Char"/>
    <w:link w:val="Taxheading3"/>
    <w:rsid w:val="007820AF"/>
    <w:rPr>
      <w:rFonts w:ascii="Times New Roman" w:hAnsi="Times New Roman"/>
      <w:b/>
      <w:i/>
      <w:sz w:val="24"/>
      <w:szCs w:val="24"/>
    </w:rPr>
  </w:style>
  <w:style w:type="character" w:customStyle="1" w:styleId="Taxheading4Char">
    <w:name w:val="Tax heading 4 Char"/>
    <w:basedOn w:val="Taxheading3Char"/>
    <w:link w:val="Taxheading4"/>
    <w:rsid w:val="007820AF"/>
    <w:rPr>
      <w:rFonts w:ascii="Times New Roman" w:hAnsi="Times New Roman"/>
      <w:b w:val="0"/>
      <w:i/>
      <w:sz w:val="24"/>
      <w:szCs w:val="24"/>
    </w:rPr>
  </w:style>
  <w:style w:type="paragraph" w:customStyle="1" w:styleId="Taxquotation">
    <w:name w:val="Tax quotation"/>
    <w:basedOn w:val="Normal"/>
    <w:link w:val="TaxquotationChar"/>
    <w:qFormat/>
    <w:rsid w:val="00900CD9"/>
    <w:pPr>
      <w:spacing w:after="120"/>
      <w:ind w:left="1134" w:right="1089"/>
      <w:contextualSpacing w:val="0"/>
    </w:pPr>
    <w:rPr>
      <w:sz w:val="22"/>
    </w:rPr>
  </w:style>
  <w:style w:type="character" w:customStyle="1" w:styleId="TaxquotationChar">
    <w:name w:val="Tax quotation Char"/>
    <w:basedOn w:val="DefaultParagraphFont"/>
    <w:link w:val="Taxquotation"/>
    <w:rsid w:val="00900CD9"/>
    <w:rPr>
      <w:rFonts w:ascii="Times New Roman" w:hAnsi="Times New Roman"/>
    </w:rPr>
  </w:style>
  <w:style w:type="paragraph" w:styleId="BalloonText">
    <w:name w:val="Balloon Text"/>
    <w:basedOn w:val="Normal"/>
    <w:link w:val="BalloonTextChar"/>
    <w:uiPriority w:val="99"/>
    <w:semiHidden/>
    <w:unhideWhenUsed/>
    <w:rsid w:val="003E283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833"/>
    <w:rPr>
      <w:rFonts w:ascii="Segoe UI" w:hAnsi="Segoe UI" w:cs="Segoe UI"/>
      <w:sz w:val="18"/>
      <w:szCs w:val="18"/>
    </w:rPr>
  </w:style>
  <w:style w:type="paragraph" w:customStyle="1" w:styleId="Taxbodytext5">
    <w:name w:val="Tax body text 5"/>
    <w:basedOn w:val="Taxbodytext4"/>
    <w:link w:val="Taxbodytext5Char"/>
    <w:qFormat/>
    <w:rsid w:val="00900CD9"/>
    <w:pPr>
      <w:numPr>
        <w:ilvl w:val="4"/>
      </w:numPr>
      <w:tabs>
        <w:tab w:val="clear" w:pos="2268"/>
        <w:tab w:val="left" w:pos="2835"/>
      </w:tabs>
    </w:pPr>
  </w:style>
  <w:style w:type="character" w:customStyle="1" w:styleId="Taxbodytext5Char">
    <w:name w:val="Tax body text 5 Char"/>
    <w:basedOn w:val="Taxbodytext4Char"/>
    <w:link w:val="Taxbodytext5"/>
    <w:rsid w:val="00900CD9"/>
    <w:rPr>
      <w:rFonts w:ascii="Times New Roman" w:hAnsi="Times New Roman"/>
      <w:b w:val="0"/>
      <w:sz w:val="24"/>
    </w:rPr>
  </w:style>
  <w:style w:type="paragraph" w:customStyle="1" w:styleId="TaxSuperHeading">
    <w:name w:val="Tax Super Heading"/>
    <w:basedOn w:val="Normal"/>
    <w:next w:val="Taxbodytext1"/>
    <w:link w:val="TaxSuperHeadingChar"/>
    <w:qFormat/>
    <w:rsid w:val="00F937EA"/>
    <w:pPr>
      <w:keepNext/>
      <w:spacing w:after="120"/>
      <w:jc w:val="center"/>
      <w:outlineLvl w:val="0"/>
    </w:pPr>
    <w:rPr>
      <w:b/>
      <w:caps/>
      <w:sz w:val="22"/>
    </w:rPr>
  </w:style>
  <w:style w:type="character" w:customStyle="1" w:styleId="TaxSuperHeadingChar">
    <w:name w:val="Tax Super Heading Char"/>
    <w:basedOn w:val="DefaultParagraphFont"/>
    <w:link w:val="TaxSuperHeading"/>
    <w:rsid w:val="00F937EA"/>
    <w:rPr>
      <w:rFonts w:ascii="Times New Roman" w:hAnsi="Times New Roman"/>
      <w:b/>
      <w:caps/>
    </w:rPr>
  </w:style>
  <w:style w:type="paragraph" w:customStyle="1" w:styleId="ParaLevel1">
    <w:name w:val="ParaLevel1"/>
    <w:basedOn w:val="Normal"/>
    <w:uiPriority w:val="99"/>
    <w:rsid w:val="000D038B"/>
    <w:pPr>
      <w:numPr>
        <w:numId w:val="15"/>
      </w:numPr>
      <w:suppressAutoHyphens/>
      <w:spacing w:before="240"/>
      <w:contextualSpacing w:val="0"/>
      <w:outlineLvl w:val="0"/>
    </w:pPr>
    <w:rPr>
      <w:rFonts w:eastAsia="Times New Roman" w:cs="Times New Roman"/>
      <w:szCs w:val="20"/>
    </w:rPr>
  </w:style>
  <w:style w:type="paragraph" w:customStyle="1" w:styleId="ParaLevel2">
    <w:name w:val="ParaLevel2"/>
    <w:basedOn w:val="Normal"/>
    <w:uiPriority w:val="99"/>
    <w:rsid w:val="000D038B"/>
    <w:pPr>
      <w:numPr>
        <w:ilvl w:val="1"/>
        <w:numId w:val="15"/>
      </w:numPr>
      <w:suppressAutoHyphens/>
      <w:spacing w:before="240"/>
      <w:contextualSpacing w:val="0"/>
      <w:outlineLvl w:val="1"/>
    </w:pPr>
    <w:rPr>
      <w:rFonts w:eastAsia="Times New Roman" w:cs="Times New Roman"/>
      <w:szCs w:val="20"/>
    </w:rPr>
  </w:style>
  <w:style w:type="paragraph" w:customStyle="1" w:styleId="ParaLevel3">
    <w:name w:val="ParaLevel3"/>
    <w:basedOn w:val="Normal"/>
    <w:uiPriority w:val="99"/>
    <w:rsid w:val="000D038B"/>
    <w:pPr>
      <w:numPr>
        <w:ilvl w:val="2"/>
        <w:numId w:val="15"/>
      </w:numPr>
      <w:suppressAutoHyphens/>
      <w:spacing w:before="240"/>
      <w:contextualSpacing w:val="0"/>
      <w:outlineLvl w:val="2"/>
    </w:pPr>
    <w:rPr>
      <w:rFonts w:eastAsia="Times New Roman" w:cs="Times New Roman"/>
      <w:szCs w:val="20"/>
    </w:rPr>
  </w:style>
  <w:style w:type="paragraph" w:customStyle="1" w:styleId="ParaLevel4">
    <w:name w:val="ParaLevel4"/>
    <w:basedOn w:val="Normal"/>
    <w:uiPriority w:val="99"/>
    <w:rsid w:val="000D038B"/>
    <w:pPr>
      <w:numPr>
        <w:ilvl w:val="3"/>
        <w:numId w:val="15"/>
      </w:numPr>
      <w:tabs>
        <w:tab w:val="clear" w:pos="3207"/>
        <w:tab w:val="num" w:pos="2836"/>
      </w:tabs>
      <w:suppressAutoHyphens/>
      <w:spacing w:before="240"/>
      <w:contextualSpacing w:val="0"/>
      <w:outlineLvl w:val="3"/>
    </w:pPr>
    <w:rPr>
      <w:rFonts w:eastAsia="Times New Roman" w:cs="Times New Roman"/>
      <w:szCs w:val="20"/>
    </w:rPr>
  </w:style>
  <w:style w:type="paragraph" w:customStyle="1" w:styleId="ParaLevel5">
    <w:name w:val="ParaLevel5"/>
    <w:basedOn w:val="Normal"/>
    <w:uiPriority w:val="99"/>
    <w:rsid w:val="000D038B"/>
    <w:pPr>
      <w:numPr>
        <w:ilvl w:val="4"/>
        <w:numId w:val="15"/>
      </w:numPr>
      <w:suppressAutoHyphens/>
      <w:spacing w:before="240"/>
      <w:contextualSpacing w:val="0"/>
      <w:outlineLvl w:val="4"/>
    </w:pPr>
    <w:rPr>
      <w:rFonts w:eastAsia="Times New Roman" w:cs="Times New Roman"/>
      <w:szCs w:val="20"/>
    </w:rPr>
  </w:style>
  <w:style w:type="paragraph" w:customStyle="1" w:styleId="ParaLevel6">
    <w:name w:val="ParaLevel6"/>
    <w:basedOn w:val="Normal"/>
    <w:uiPriority w:val="99"/>
    <w:rsid w:val="000D038B"/>
    <w:pPr>
      <w:numPr>
        <w:ilvl w:val="5"/>
        <w:numId w:val="15"/>
      </w:numPr>
      <w:tabs>
        <w:tab w:val="clear" w:pos="4625"/>
        <w:tab w:val="num" w:pos="4254"/>
      </w:tabs>
      <w:suppressAutoHyphens/>
      <w:spacing w:before="240"/>
      <w:contextualSpacing w:val="0"/>
      <w:outlineLvl w:val="5"/>
    </w:pPr>
    <w:rPr>
      <w:rFonts w:eastAsia="Times New Roman" w:cs="Times New Roman"/>
      <w:szCs w:val="20"/>
    </w:rPr>
  </w:style>
  <w:style w:type="paragraph" w:customStyle="1" w:styleId="ParaLevel7">
    <w:name w:val="ParaLevel7"/>
    <w:basedOn w:val="Normal"/>
    <w:uiPriority w:val="99"/>
    <w:rsid w:val="000D038B"/>
    <w:pPr>
      <w:numPr>
        <w:ilvl w:val="6"/>
        <w:numId w:val="15"/>
      </w:numPr>
      <w:suppressAutoHyphens/>
      <w:spacing w:before="240"/>
      <w:contextualSpacing w:val="0"/>
      <w:outlineLvl w:val="6"/>
    </w:pPr>
    <w:rPr>
      <w:rFonts w:eastAsia="Times New Roman" w:cs="Times New Roman"/>
      <w:szCs w:val="20"/>
    </w:rPr>
  </w:style>
  <w:style w:type="paragraph" w:customStyle="1" w:styleId="ParaLevel8">
    <w:name w:val="ParaLevel8"/>
    <w:basedOn w:val="Normal"/>
    <w:uiPriority w:val="99"/>
    <w:rsid w:val="000D038B"/>
    <w:pPr>
      <w:numPr>
        <w:ilvl w:val="7"/>
        <w:numId w:val="15"/>
      </w:numPr>
      <w:tabs>
        <w:tab w:val="clear" w:pos="6043"/>
        <w:tab w:val="num" w:pos="5672"/>
      </w:tabs>
      <w:suppressAutoHyphens/>
      <w:spacing w:before="240"/>
      <w:contextualSpacing w:val="0"/>
      <w:outlineLvl w:val="7"/>
    </w:pPr>
    <w:rPr>
      <w:rFonts w:eastAsia="Times New Roman" w:cs="Times New Roman"/>
      <w:szCs w:val="20"/>
    </w:rPr>
  </w:style>
  <w:style w:type="paragraph" w:customStyle="1" w:styleId="ParaLevel9">
    <w:name w:val="ParaLevel9"/>
    <w:basedOn w:val="Normal"/>
    <w:uiPriority w:val="99"/>
    <w:rsid w:val="000D038B"/>
    <w:pPr>
      <w:numPr>
        <w:ilvl w:val="8"/>
        <w:numId w:val="15"/>
      </w:numPr>
      <w:suppressAutoHyphens/>
      <w:spacing w:before="240"/>
      <w:contextualSpacing w:val="0"/>
      <w:outlineLvl w:val="8"/>
    </w:pPr>
    <w:rPr>
      <w:rFonts w:eastAsia="Times New Roman" w:cs="Times New Roman"/>
      <w:szCs w:val="20"/>
    </w:rPr>
  </w:style>
  <w:style w:type="paragraph" w:styleId="Quote">
    <w:name w:val="Quote"/>
    <w:basedOn w:val="Normal"/>
    <w:next w:val="ParaLevel1"/>
    <w:link w:val="QuoteChar"/>
    <w:uiPriority w:val="99"/>
    <w:qFormat/>
    <w:rsid w:val="000D038B"/>
    <w:pPr>
      <w:ind w:left="1440" w:right="1440"/>
      <w:contextualSpacing w:val="0"/>
    </w:pPr>
    <w:rPr>
      <w:rFonts w:eastAsia="Times New Roman" w:cs="Times New Roman"/>
      <w:szCs w:val="20"/>
    </w:rPr>
  </w:style>
  <w:style w:type="character" w:customStyle="1" w:styleId="QuoteChar">
    <w:name w:val="Quote Char"/>
    <w:basedOn w:val="DefaultParagraphFont"/>
    <w:link w:val="Quote"/>
    <w:uiPriority w:val="99"/>
    <w:rsid w:val="000D038B"/>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97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razaq\AppData\Local\Microsoft\Windows\INetCache\Content.Outlook\XBC2PTN5\A01%20Full%20decision%20TN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F3208D305A8942964F9B9131A980AB" ma:contentTypeVersion="10" ma:contentTypeDescription="Create a new document." ma:contentTypeScope="" ma:versionID="8dc945d485d4dc382de9530c4295bea6">
  <xsd:schema xmlns:xsd="http://www.w3.org/2001/XMLSchema" xmlns:xs="http://www.w3.org/2001/XMLSchema" xmlns:p="http://schemas.microsoft.com/office/2006/metadata/properties" xmlns:ns2="ecdd3419-2a1d-4c89-b077-b2e6ec886409" xmlns:ns3="fb49fd98-d057-41c3-9c17-d644dc2912e0" targetNamespace="http://schemas.microsoft.com/office/2006/metadata/properties" ma:root="true" ma:fieldsID="0982cf7d567800e8000583c37056dc31" ns2:_="" ns3:_="">
    <xsd:import namespace="ecdd3419-2a1d-4c89-b077-b2e6ec886409"/>
    <xsd:import namespace="fb49fd98-d057-41c3-9c17-d644dc2912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d3419-2a1d-4c89-b077-b2e6ec886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49fd98-d057-41c3-9c17-d644dc2912e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BF995-237A-420A-A171-39A692571A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7AC895-F550-4A1A-96F2-194DF5618328}">
  <ds:schemaRefs>
    <ds:schemaRef ds:uri="http://schemas.microsoft.com/sharepoint/v3/contenttype/forms"/>
  </ds:schemaRefs>
</ds:datastoreItem>
</file>

<file path=customXml/itemProps3.xml><?xml version="1.0" encoding="utf-8"?>
<ds:datastoreItem xmlns:ds="http://schemas.openxmlformats.org/officeDocument/2006/customXml" ds:itemID="{BEB9A8ED-07B3-487B-8AF2-6F52BA26D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d3419-2a1d-4c89-b077-b2e6ec886409"/>
    <ds:schemaRef ds:uri="fb49fd98-d057-41c3-9c17-d644dc291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8AA230-54E4-4206-B184-182F24FE7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A01 Full decision TNA template.dotx</Template>
  <TotalTime>1</TotalTime>
  <Pages>16</Pages>
  <Words>7147</Words>
  <Characters>40743</Characters>
  <Application>Microsoft Office Word</Application>
  <DocSecurity>4</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AShaw3</dc:creator>
  <cp:keywords/>
  <dc:description/>
  <cp:lastModifiedBy>Razaq, Haroon</cp:lastModifiedBy>
  <cp:revision>2</cp:revision>
  <cp:lastPrinted>2023-01-09T15:23:00Z</cp:lastPrinted>
  <dcterms:created xsi:type="dcterms:W3CDTF">2023-01-19T10:24:00Z</dcterms:created>
  <dcterms:modified xsi:type="dcterms:W3CDTF">2023-01-19T10:24:00Z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0x01010040F3208D305A8942964F9B9131A980AB</vt:lpwstr>
  </property>
</Properties>
</file>